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7513F">
      <w:pPr>
        <w:rPr>
          <w:rFonts w:hint="eastAsia" w:ascii="宋体" w:hAnsi="宋体" w:eastAsia="宋体" w:cs="宋体"/>
          <w:color w:val="auto"/>
          <w:sz w:val="32"/>
          <w:szCs w:val="32"/>
          <w:highlight w:val="none"/>
        </w:rPr>
      </w:pPr>
      <w:bookmarkStart w:id="640" w:name="_GoBack"/>
      <w:bookmarkEnd w:id="640"/>
    </w:p>
    <w:p w14:paraId="0ECCBA5C">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kern w:val="0"/>
          <w:sz w:val="96"/>
          <w:szCs w:val="96"/>
          <w:highlight w:val="none"/>
        </w:rPr>
        <w:t>政府采购项目</w:t>
      </w:r>
    </w:p>
    <w:p w14:paraId="7DFDE9CD">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14:paraId="222DE3B9">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（货物）</w:t>
      </w:r>
    </w:p>
    <w:p w14:paraId="07400EA1">
      <w:pPr>
        <w:jc w:val="center"/>
        <w:rPr>
          <w:rFonts w:hint="eastAsia" w:ascii="宋体" w:hAnsi="宋体" w:eastAsia="宋体" w:cs="宋体"/>
          <w:b/>
          <w:bCs/>
          <w:color w:val="auto"/>
          <w:sz w:val="60"/>
          <w:szCs w:val="60"/>
          <w:highlight w:val="none"/>
        </w:rPr>
      </w:pPr>
      <w:bookmarkStart w:id="0" w:name="_Hlk164181180"/>
      <w:r>
        <w:rPr>
          <w:rFonts w:hint="eastAsia" w:ascii="宋体" w:hAnsi="宋体"/>
          <w:color w:val="auto"/>
          <w:sz w:val="28"/>
          <w:highlight w:val="none"/>
        </w:rPr>
        <w:drawing>
          <wp:anchor distT="0" distB="0" distL="114300" distR="114300" simplePos="0" relativeHeight="251659264" behindDoc="1" locked="0" layoutInCell="1" allowOverlap="1">
            <wp:simplePos x="0" y="0"/>
            <wp:positionH relativeFrom="column">
              <wp:posOffset>944245</wp:posOffset>
            </wp:positionH>
            <wp:positionV relativeFrom="paragraph">
              <wp:posOffset>247015</wp:posOffset>
            </wp:positionV>
            <wp:extent cx="3154680" cy="2541905"/>
            <wp:effectExtent l="0" t="0" r="7620" b="1079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3154680" cy="2541905"/>
                    </a:xfrm>
                    <a:prstGeom prst="rect">
                      <a:avLst/>
                    </a:prstGeom>
                    <a:noFill/>
                    <a:ln>
                      <a:noFill/>
                    </a:ln>
                  </pic:spPr>
                </pic:pic>
              </a:graphicData>
            </a:graphic>
          </wp:anchor>
        </w:drawing>
      </w:r>
    </w:p>
    <w:bookmarkEnd w:id="0"/>
    <w:p w14:paraId="067D706B">
      <w:pPr>
        <w:ind w:left="420" w:leftChars="175"/>
        <w:rPr>
          <w:rFonts w:hint="eastAsia" w:ascii="宋体" w:hAnsi="宋体" w:eastAsia="宋体" w:cs="宋体"/>
          <w:color w:val="auto"/>
          <w:sz w:val="36"/>
          <w:szCs w:val="36"/>
          <w:highlight w:val="none"/>
        </w:rPr>
      </w:pPr>
    </w:p>
    <w:p w14:paraId="6417B6DA">
      <w:pPr>
        <w:ind w:left="420" w:leftChars="175"/>
        <w:rPr>
          <w:rFonts w:hint="eastAsia" w:ascii="宋体" w:hAnsi="宋体" w:eastAsia="宋体" w:cs="宋体"/>
          <w:color w:val="auto"/>
          <w:sz w:val="36"/>
          <w:szCs w:val="36"/>
          <w:highlight w:val="none"/>
        </w:rPr>
      </w:pPr>
    </w:p>
    <w:p w14:paraId="4D426DA4">
      <w:pPr>
        <w:ind w:left="420" w:leftChars="175"/>
        <w:rPr>
          <w:rFonts w:hint="eastAsia" w:ascii="宋体" w:hAnsi="宋体" w:eastAsia="宋体" w:cs="宋体"/>
          <w:color w:val="auto"/>
          <w:sz w:val="36"/>
          <w:szCs w:val="36"/>
          <w:highlight w:val="none"/>
        </w:rPr>
      </w:pPr>
    </w:p>
    <w:p w14:paraId="567F2AFD">
      <w:pPr>
        <w:ind w:left="420" w:leftChars="175"/>
        <w:rPr>
          <w:rFonts w:hint="eastAsia" w:ascii="宋体" w:hAnsi="宋体" w:eastAsia="宋体" w:cs="宋体"/>
          <w:color w:val="auto"/>
          <w:sz w:val="36"/>
          <w:szCs w:val="36"/>
          <w:highlight w:val="none"/>
        </w:rPr>
      </w:pPr>
    </w:p>
    <w:p w14:paraId="04F2B214">
      <w:pPr>
        <w:ind w:left="420" w:leftChars="175"/>
        <w:rPr>
          <w:rFonts w:hint="eastAsia" w:ascii="宋体" w:hAnsi="宋体" w:eastAsia="宋体" w:cs="宋体"/>
          <w:color w:val="auto"/>
          <w:sz w:val="36"/>
          <w:szCs w:val="36"/>
          <w:highlight w:val="none"/>
        </w:rPr>
      </w:pPr>
    </w:p>
    <w:p w14:paraId="5B2CE068">
      <w:pPr>
        <w:rPr>
          <w:rFonts w:hint="eastAsia" w:ascii="宋体" w:hAnsi="宋体" w:eastAsia="宋体" w:cs="宋体"/>
          <w:color w:val="auto"/>
          <w:sz w:val="36"/>
          <w:szCs w:val="36"/>
          <w:highlight w:val="none"/>
        </w:rPr>
      </w:pPr>
    </w:p>
    <w:p w14:paraId="21B46956">
      <w:pPr>
        <w:pStyle w:val="7"/>
        <w:ind w:firstLine="480"/>
        <w:rPr>
          <w:rFonts w:hint="eastAsia" w:ascii="宋体" w:hAnsi="宋体" w:eastAsia="宋体" w:cs="宋体"/>
          <w:color w:val="auto"/>
          <w:highlight w:val="none"/>
        </w:rPr>
      </w:pPr>
    </w:p>
    <w:p w14:paraId="5882A2EE">
      <w:pPr>
        <w:ind w:left="2220" w:leftChars="175" w:hanging="1800" w:hangingChars="500"/>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w:t>
      </w:r>
      <w:r>
        <w:rPr>
          <w:rFonts w:hint="eastAsia" w:cs="宋体"/>
          <w:color w:val="auto"/>
          <w:sz w:val="36"/>
          <w:szCs w:val="36"/>
          <w:highlight w:val="none"/>
          <w:u w:val="none"/>
          <w:lang w:eastAsia="zh-CN"/>
        </w:rPr>
        <w:t>阿勒泰地区青河县紧密型医共体提标资源共享中心扩能建设项目（超声类）</w:t>
      </w:r>
    </w:p>
    <w:p w14:paraId="634D3AC6">
      <w:pPr>
        <w:ind w:left="420" w:leftChars="175"/>
        <w:rPr>
          <w:rFonts w:hint="default"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val="en-US" w:eastAsia="zh-CN"/>
        </w:rPr>
        <w:t>XJHY-2026-018</w:t>
      </w:r>
    </w:p>
    <w:p w14:paraId="0CC32653">
      <w:pPr>
        <w:ind w:left="420" w:leftChars="175"/>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采购人：青河县人民医院</w:t>
      </w:r>
    </w:p>
    <w:p w14:paraId="638E5D66">
      <w:pPr>
        <w:ind w:left="2940" w:leftChars="175" w:hanging="2520" w:hangingChars="700"/>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采购代理机构：新疆华域建设工程项目管理咨询有限公司</w:t>
      </w:r>
    </w:p>
    <w:p w14:paraId="56A189F0">
      <w:pPr>
        <w:ind w:left="420" w:leftChars="175"/>
        <w:jc w:val="center"/>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2026年</w:t>
      </w:r>
      <w:r>
        <w:rPr>
          <w:rFonts w:hint="eastAsia" w:cs="宋体"/>
          <w:color w:val="auto"/>
          <w:sz w:val="36"/>
          <w:szCs w:val="36"/>
          <w:highlight w:val="none"/>
          <w:u w:val="none"/>
          <w:lang w:val="en-US" w:eastAsia="zh-CN"/>
        </w:rPr>
        <w:t>5</w:t>
      </w:r>
      <w:r>
        <w:rPr>
          <w:rFonts w:hint="eastAsia" w:ascii="宋体" w:hAnsi="宋体" w:eastAsia="宋体" w:cs="宋体"/>
          <w:color w:val="auto"/>
          <w:sz w:val="36"/>
          <w:szCs w:val="36"/>
          <w:highlight w:val="none"/>
          <w:u w:val="none"/>
        </w:rPr>
        <w:t>月</w:t>
      </w:r>
    </w:p>
    <w:p w14:paraId="26EEC56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目  录</w:t>
      </w:r>
    </w:p>
    <w:p w14:paraId="5539D839">
      <w:pPr>
        <w:spacing w:line="240" w:lineRule="auto"/>
        <w:jc w:val="center"/>
        <w:rPr>
          <w:rFonts w:hint="eastAsia" w:ascii="宋体" w:hAnsi="宋体" w:eastAsia="宋体" w:cs="宋体"/>
          <w:color w:val="auto"/>
          <w:highlight w:val="none"/>
        </w:rPr>
      </w:pPr>
    </w:p>
    <w:p w14:paraId="2A8DF2C7">
      <w:pPr>
        <w:pStyle w:val="15"/>
        <w:tabs>
          <w:tab w:val="right" w:leader="dot" w:pos="8306"/>
        </w:tabs>
        <w:rPr>
          <w:color w:val="auto"/>
          <w:sz w:val="28"/>
          <w:szCs w:val="28"/>
          <w:highlight w:val="none"/>
        </w:rPr>
      </w:pPr>
      <w:r>
        <w:rPr>
          <w:rFonts w:hint="eastAsia" w:ascii="宋体" w:hAnsi="宋体" w:eastAsia="宋体" w:cs="宋体"/>
          <w:color w:val="auto"/>
          <w:sz w:val="44"/>
          <w:szCs w:val="44"/>
          <w:highlight w:val="none"/>
        </w:rPr>
        <w:fldChar w:fldCharType="begin"/>
      </w:r>
      <w:r>
        <w:rPr>
          <w:rFonts w:hint="eastAsia" w:ascii="宋体" w:hAnsi="宋体" w:eastAsia="宋体" w:cs="宋体"/>
          <w:color w:val="auto"/>
          <w:sz w:val="44"/>
          <w:szCs w:val="44"/>
          <w:highlight w:val="none"/>
        </w:rPr>
        <w:instrText xml:space="preserve">TOC \o "1-1" \h \u </w:instrText>
      </w:r>
      <w:r>
        <w:rPr>
          <w:rFonts w:hint="eastAsia" w:ascii="宋体" w:hAnsi="宋体" w:eastAsia="宋体" w:cs="宋体"/>
          <w:color w:val="auto"/>
          <w:sz w:val="44"/>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_Toc16372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 xml:space="preserve">第一章 </w:t>
      </w:r>
      <w:r>
        <w:rPr>
          <w:rFonts w:hint="eastAsia" w:ascii="宋体" w:hAnsi="宋体" w:eastAsia="宋体" w:cs="宋体"/>
          <w:color w:val="auto"/>
          <w:sz w:val="28"/>
          <w:szCs w:val="52"/>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_Toc16372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601E85B1">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_Toc14929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_Toc14929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592572AA">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_Toc11277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_Toc11277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2C34C567">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_Toc29841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第四章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_Toc29841 \h </w:instrText>
      </w:r>
      <w:r>
        <w:rPr>
          <w:color w:val="auto"/>
          <w:sz w:val="28"/>
          <w:szCs w:val="28"/>
          <w:highlight w:val="none"/>
        </w:rPr>
        <w:fldChar w:fldCharType="separate"/>
      </w:r>
      <w:r>
        <w:rPr>
          <w:color w:val="auto"/>
          <w:sz w:val="28"/>
          <w:szCs w:val="28"/>
          <w:highlight w:val="none"/>
        </w:rPr>
        <w:t>58</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2F521F02">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_Toc16715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第五章 评标方法及标准(综合评分法)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_Toc16715 \h </w:instrText>
      </w:r>
      <w:r>
        <w:rPr>
          <w:color w:val="auto"/>
          <w:sz w:val="28"/>
          <w:szCs w:val="28"/>
          <w:highlight w:val="none"/>
        </w:rPr>
        <w:fldChar w:fldCharType="separate"/>
      </w:r>
      <w:r>
        <w:rPr>
          <w:color w:val="auto"/>
          <w:sz w:val="28"/>
          <w:szCs w:val="28"/>
          <w:highlight w:val="none"/>
        </w:rPr>
        <w:t>60</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5BDAEAE7">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_Toc10751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lang w:val="zh-CN"/>
        </w:rPr>
        <w:t>第六章 合同草案</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_Toc10751 \h </w:instrText>
      </w:r>
      <w:r>
        <w:rPr>
          <w:color w:val="auto"/>
          <w:sz w:val="28"/>
          <w:szCs w:val="28"/>
          <w:highlight w:val="none"/>
        </w:rPr>
        <w:fldChar w:fldCharType="separate"/>
      </w:r>
      <w:r>
        <w:rPr>
          <w:color w:val="auto"/>
          <w:sz w:val="28"/>
          <w:szCs w:val="28"/>
          <w:highlight w:val="none"/>
        </w:rPr>
        <w:t>74</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6D5FEE16">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_Toc32301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_Toc32301 \h </w:instrText>
      </w:r>
      <w:r>
        <w:rPr>
          <w:color w:val="auto"/>
          <w:sz w:val="28"/>
          <w:szCs w:val="28"/>
          <w:highlight w:val="none"/>
        </w:rPr>
        <w:fldChar w:fldCharType="separate"/>
      </w:r>
      <w:r>
        <w:rPr>
          <w:color w:val="auto"/>
          <w:sz w:val="28"/>
          <w:szCs w:val="28"/>
          <w:highlight w:val="none"/>
        </w:rPr>
        <w:t>81</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67518F54">
      <w:pPr>
        <w:pStyle w:val="10"/>
        <w:rPr>
          <w:rFonts w:hint="eastAsia" w:ascii="宋体" w:hAnsi="宋体" w:eastAsia="宋体" w:cs="宋体"/>
          <w:color w:val="auto"/>
          <w:highlight w:val="none"/>
        </w:rPr>
      </w:pPr>
      <w:r>
        <w:rPr>
          <w:rFonts w:hint="eastAsia" w:ascii="宋体" w:hAnsi="宋体" w:eastAsia="宋体" w:cs="宋体"/>
          <w:color w:val="auto"/>
          <w:sz w:val="32"/>
          <w:szCs w:val="44"/>
          <w:highlight w:val="none"/>
        </w:rPr>
        <w:fldChar w:fldCharType="end"/>
      </w:r>
    </w:p>
    <w:p w14:paraId="4D09E88C">
      <w:pPr>
        <w:pStyle w:val="10"/>
        <w:rPr>
          <w:rFonts w:hint="eastAsia" w:ascii="宋体" w:hAnsi="宋体" w:eastAsia="宋体" w:cs="宋体"/>
          <w:color w:val="auto"/>
          <w:highlight w:val="none"/>
        </w:rPr>
      </w:pPr>
    </w:p>
    <w:p w14:paraId="35767E58">
      <w:pPr>
        <w:pStyle w:val="10"/>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14:paraId="267DDFB2">
      <w:pPr>
        <w:pStyle w:val="2"/>
        <w:spacing w:before="220" w:after="220" w:line="480" w:lineRule="auto"/>
        <w:ind w:left="420" w:hanging="420"/>
        <w:jc w:val="center"/>
        <w:rPr>
          <w:rFonts w:hint="eastAsia" w:ascii="宋体" w:hAnsi="宋体" w:eastAsia="宋体" w:cs="宋体"/>
          <w:color w:val="auto"/>
          <w:sz w:val="36"/>
          <w:szCs w:val="36"/>
          <w:highlight w:val="none"/>
        </w:rPr>
      </w:pPr>
      <w:bookmarkStart w:id="1" w:name="_Toc155185859"/>
      <w:bookmarkStart w:id="2" w:name="_Toc16718"/>
      <w:bookmarkStart w:id="3" w:name="_Toc16372"/>
      <w:r>
        <w:rPr>
          <w:rFonts w:hint="eastAsia" w:ascii="宋体" w:hAnsi="宋体" w:eastAsia="宋体" w:cs="宋体"/>
          <w:bCs/>
          <w:color w:val="auto"/>
          <w:sz w:val="36"/>
          <w:szCs w:val="36"/>
          <w:highlight w:val="none"/>
        </w:rPr>
        <w:t xml:space="preserve">第一章 </w:t>
      </w:r>
      <w:bookmarkEnd w:id="1"/>
      <w:bookmarkStart w:id="4" w:name="_Hlk130458318"/>
      <w:r>
        <w:rPr>
          <w:rFonts w:hint="eastAsia" w:ascii="宋体" w:hAnsi="宋体" w:eastAsia="宋体" w:cs="宋体"/>
          <w:color w:val="auto"/>
          <w:sz w:val="36"/>
          <w:szCs w:val="36"/>
          <w:highlight w:val="none"/>
        </w:rPr>
        <w:t>招标公告</w:t>
      </w:r>
      <w:bookmarkEnd w:id="2"/>
      <w:bookmarkEnd w:id="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2E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1A6BA130">
            <w:pPr>
              <w:pStyle w:val="3"/>
              <w:pageBreakBefore w:val="0"/>
              <w:kinsoku/>
              <w:overflowPunct/>
              <w:topLinePunct w:val="0"/>
              <w:autoSpaceDE/>
              <w:autoSpaceDN/>
              <w:bidi w:val="0"/>
              <w:adjustRightInd/>
              <w:spacing w:before="0" w:after="0" w:line="440" w:lineRule="exact"/>
              <w:ind w:left="0" w:firstLine="0" w:firstLineChars="0"/>
              <w:rPr>
                <w:rFonts w:hint="eastAsia" w:ascii="宋体" w:hAnsi="宋体" w:eastAsia="宋体" w:cs="宋体"/>
                <w:color w:val="auto"/>
                <w:sz w:val="24"/>
                <w:szCs w:val="24"/>
                <w:highlight w:val="none"/>
                <w:u w:val="none"/>
              </w:rPr>
            </w:pPr>
            <w:bookmarkStart w:id="5" w:name="_Toc23233"/>
            <w:bookmarkStart w:id="6" w:name="_Toc8264"/>
            <w:bookmarkStart w:id="7" w:name="_Toc21773"/>
            <w:bookmarkStart w:id="8" w:name="_Toc28359089"/>
            <w:bookmarkStart w:id="9" w:name="_Toc109899829"/>
            <w:bookmarkStart w:id="10" w:name="_Toc109899410"/>
            <w:bookmarkStart w:id="11" w:name="_Toc35393798"/>
            <w:bookmarkStart w:id="12" w:name="_Toc28359012"/>
            <w:bookmarkStart w:id="13" w:name="_Toc109900248"/>
            <w:bookmarkStart w:id="14" w:name="_Toc140132745"/>
            <w:bookmarkStart w:id="15" w:name="_Toc155185860"/>
            <w:bookmarkStart w:id="16" w:name="_Toc44583628"/>
            <w:bookmarkStart w:id="17" w:name="_Toc35393629"/>
            <w:r>
              <w:rPr>
                <w:rFonts w:hint="eastAsia" w:ascii="宋体" w:hAnsi="宋体" w:eastAsia="宋体" w:cs="宋体"/>
                <w:color w:val="auto"/>
                <w:sz w:val="24"/>
                <w:szCs w:val="24"/>
                <w:highlight w:val="none"/>
                <w:u w:val="none"/>
              </w:rPr>
              <w:t>项目概况：</w:t>
            </w:r>
            <w:bookmarkEnd w:id="5"/>
            <w:bookmarkEnd w:id="6"/>
            <w:bookmarkEnd w:id="7"/>
          </w:p>
          <w:p w14:paraId="7F3C04E8">
            <w:pPr>
              <w:pageBreakBefore w:val="0"/>
              <w:kinsoku/>
              <w:overflowPunct/>
              <w:topLinePunct w:val="0"/>
              <w:autoSpaceDE/>
              <w:autoSpaceDN/>
              <w:bidi w:val="0"/>
              <w:adjustRightInd/>
              <w:spacing w:line="440" w:lineRule="exact"/>
              <w:ind w:left="0" w:firstLine="480" w:firstLineChars="200"/>
              <w:rPr>
                <w:rFonts w:hint="eastAsia" w:ascii="宋体" w:hAnsi="宋体" w:eastAsia="宋体" w:cs="宋体"/>
                <w:color w:val="auto"/>
                <w:sz w:val="24"/>
                <w:szCs w:val="24"/>
                <w:highlight w:val="none"/>
                <w:u w:val="none"/>
              </w:rPr>
            </w:pPr>
            <w:r>
              <w:rPr>
                <w:rFonts w:hint="eastAsia" w:cs="宋体"/>
                <w:iCs/>
                <w:color w:val="auto"/>
                <w:sz w:val="24"/>
                <w:szCs w:val="24"/>
                <w:highlight w:val="none"/>
                <w:u w:val="single"/>
                <w:shd w:val="clear" w:color="auto" w:fill="FFFFFF"/>
                <w:lang w:val="hr-HR" w:eastAsia="zh-CN"/>
              </w:rPr>
              <w:t>阿勒泰地区青河县紧密型医共体提标资源共享中心扩能建设项目（超声类）</w:t>
            </w:r>
            <w:r>
              <w:rPr>
                <w:rFonts w:hint="eastAsia" w:ascii="宋体" w:hAnsi="宋体" w:eastAsia="宋体" w:cs="宋体"/>
                <w:iCs/>
                <w:color w:val="auto"/>
                <w:sz w:val="24"/>
                <w:szCs w:val="24"/>
                <w:highlight w:val="none"/>
                <w:u w:val="none"/>
                <w:shd w:val="clear" w:color="auto" w:fill="FFFFFF"/>
                <w:lang w:val="hr-HR"/>
              </w:rPr>
              <w:t>的潜在投标人应在（政采云平台线上）获取招标文件，并于</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01</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11时00</w:t>
            </w:r>
            <w:r>
              <w:rPr>
                <w:rFonts w:hint="eastAsia" w:ascii="宋体" w:hAnsi="宋体" w:eastAsia="宋体" w:cs="宋体"/>
                <w:iCs/>
                <w:color w:val="auto"/>
                <w:sz w:val="24"/>
                <w:szCs w:val="24"/>
                <w:highlight w:val="none"/>
                <w:u w:val="none"/>
                <w:shd w:val="clear" w:color="auto" w:fill="FFFFFF"/>
                <w:lang w:val="hr-HR"/>
              </w:rPr>
              <w:t>分（北京时间）前递交投标文件。</w:t>
            </w:r>
          </w:p>
        </w:tc>
      </w:tr>
      <w:bookmarkEnd w:id="8"/>
      <w:bookmarkEnd w:id="9"/>
      <w:bookmarkEnd w:id="10"/>
      <w:bookmarkEnd w:id="11"/>
      <w:bookmarkEnd w:id="12"/>
      <w:bookmarkEnd w:id="13"/>
      <w:bookmarkEnd w:id="14"/>
      <w:bookmarkEnd w:id="15"/>
      <w:bookmarkEnd w:id="16"/>
      <w:bookmarkEnd w:id="17"/>
    </w:tbl>
    <w:p w14:paraId="49108B8C">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rPr>
      </w:pPr>
      <w:bookmarkStart w:id="18" w:name="_Toc13157"/>
      <w:bookmarkStart w:id="19" w:name="_Toc11462"/>
      <w:r>
        <w:rPr>
          <w:rFonts w:hint="eastAsia" w:ascii="宋体" w:hAnsi="宋体" w:eastAsia="宋体" w:cs="宋体"/>
          <w:b/>
          <w:bCs/>
          <w:i w:val="0"/>
          <w:iCs w:val="0"/>
          <w:color w:val="auto"/>
          <w:kern w:val="2"/>
          <w:sz w:val="24"/>
          <w:szCs w:val="24"/>
          <w:highlight w:val="none"/>
          <w:u w:val="none"/>
          <w:lang w:val="hr-HR" w:eastAsia="zh-CN" w:bidi="ar-SA"/>
        </w:rPr>
        <w:t>一、</w:t>
      </w:r>
      <w:r>
        <w:rPr>
          <w:rFonts w:hint="eastAsia" w:ascii="宋体" w:hAnsi="宋体" w:eastAsia="宋体" w:cs="宋体"/>
          <w:i w:val="0"/>
          <w:iCs w:val="0"/>
          <w:color w:val="auto"/>
          <w:sz w:val="24"/>
          <w:szCs w:val="24"/>
          <w:highlight w:val="none"/>
          <w:u w:val="none"/>
          <w:lang w:val="hr-HR"/>
        </w:rPr>
        <w:t>项目基本情况</w:t>
      </w:r>
      <w:bookmarkEnd w:id="18"/>
      <w:bookmarkEnd w:id="19"/>
    </w:p>
    <w:p w14:paraId="0242E59A">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项目编号：</w:t>
      </w:r>
      <w:r>
        <w:rPr>
          <w:rFonts w:hint="eastAsia" w:cs="宋体"/>
          <w:i w:val="0"/>
          <w:iCs w:val="0"/>
          <w:color w:val="auto"/>
          <w:sz w:val="24"/>
          <w:szCs w:val="24"/>
          <w:highlight w:val="none"/>
          <w:u w:val="none"/>
          <w:lang w:val="en-US" w:eastAsia="zh-CN"/>
        </w:rPr>
        <w:t>XJHY-2026-018</w:t>
      </w:r>
      <w:r>
        <w:rPr>
          <w:rFonts w:hint="eastAsia" w:ascii="宋体" w:hAnsi="宋体" w:eastAsia="宋体" w:cs="宋体"/>
          <w:i w:val="0"/>
          <w:iCs w:val="0"/>
          <w:color w:val="auto"/>
          <w:sz w:val="24"/>
          <w:szCs w:val="24"/>
          <w:highlight w:val="none"/>
          <w:u w:val="none"/>
          <w:lang w:val="en-US" w:eastAsia="zh-CN"/>
        </w:rPr>
        <w:t xml:space="preserve"> </w:t>
      </w:r>
    </w:p>
    <w:p w14:paraId="4ACE1629">
      <w:pPr>
        <w:pStyle w:val="36"/>
        <w:pageBreakBefore w:val="0"/>
        <w:shd w:val="clear" w:color="auto" w:fill="auto"/>
        <w:kinsoku/>
        <w:overflowPunct/>
        <w:topLinePunct w:val="0"/>
        <w:autoSpaceDE/>
        <w:autoSpaceDN/>
        <w:bidi w:val="0"/>
        <w:adjustRightInd/>
        <w:spacing w:line="440" w:lineRule="exact"/>
        <w:ind w:left="0" w:leftChars="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项目名称：</w:t>
      </w:r>
      <w:r>
        <w:rPr>
          <w:rFonts w:hint="eastAsia" w:cs="宋体"/>
          <w:i w:val="0"/>
          <w:iCs w:val="0"/>
          <w:color w:val="auto"/>
          <w:sz w:val="24"/>
          <w:szCs w:val="24"/>
          <w:highlight w:val="none"/>
          <w:u w:val="none"/>
          <w:lang w:val="hr-HR" w:eastAsia="zh-CN"/>
        </w:rPr>
        <w:t>阿勒泰地区青河县紧密型医共体提标资源共享中心扩能建设项目（超声类）</w:t>
      </w:r>
    </w:p>
    <w:p w14:paraId="697D41DD">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公开招标</w:t>
      </w:r>
    </w:p>
    <w:p w14:paraId="46A99B82">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9900000.00</w:t>
      </w:r>
      <w:r>
        <w:rPr>
          <w:rFonts w:hint="eastAsia" w:ascii="宋体" w:hAnsi="宋体" w:eastAsia="宋体" w:cs="宋体"/>
          <w:i w:val="0"/>
          <w:iCs w:val="0"/>
          <w:color w:val="auto"/>
          <w:sz w:val="24"/>
          <w:szCs w:val="24"/>
          <w:highlight w:val="none"/>
          <w:u w:val="none"/>
          <w:lang w:val="en-US" w:eastAsia="zh-CN"/>
        </w:rPr>
        <w:t>元</w:t>
      </w:r>
    </w:p>
    <w:p w14:paraId="40E900DE">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color w:val="auto"/>
          <w:highlight w:val="none"/>
          <w:lang w:val="en-US"/>
        </w:rPr>
      </w:pP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：8001371.69元</w:t>
      </w:r>
    </w:p>
    <w:p w14:paraId="7EF8EDFE">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p>
    <w:p w14:paraId="24D90173">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采购需求：</w:t>
      </w:r>
    </w:p>
    <w:p w14:paraId="1E55879C">
      <w:pPr>
        <w:pStyle w:val="36"/>
        <w:pageBreakBefore w:val="0"/>
        <w:shd w:val="clear" w:color="auto" w:fill="auto"/>
        <w:kinsoku/>
        <w:overflowPunct/>
        <w:topLinePunct w:val="0"/>
        <w:autoSpaceDE/>
        <w:autoSpaceDN/>
        <w:bidi w:val="0"/>
        <w:adjustRightInd/>
        <w:spacing w:line="440" w:lineRule="exact"/>
        <w:rPr>
          <w:rFonts w:hint="eastAsia" w:eastAsia="宋体" w:cs="宋体"/>
          <w:iCs/>
          <w:color w:val="auto"/>
          <w:sz w:val="24"/>
          <w:szCs w:val="24"/>
          <w:highlight w:val="none"/>
          <w:u w:val="none"/>
          <w:shd w:val="clear" w:color="auto" w:fill="FFFFFF"/>
          <w:lang w:val="en-US" w:eastAsia="zh-CN"/>
        </w:rPr>
      </w:pPr>
      <w:r>
        <w:rPr>
          <w:rFonts w:hint="eastAsia" w:ascii="宋体" w:hAnsi="宋体" w:eastAsia="宋体" w:cs="宋体"/>
          <w:i w:val="0"/>
          <w:iCs w:val="0"/>
          <w:color w:val="auto"/>
          <w:sz w:val="24"/>
          <w:szCs w:val="24"/>
          <w:highlight w:val="none"/>
          <w:u w:val="none"/>
          <w:lang w:val="hr-HR"/>
        </w:rPr>
        <w:t>标项名称:</w:t>
      </w:r>
      <w:r>
        <w:rPr>
          <w:rFonts w:hint="eastAsia" w:ascii="宋体" w:hAnsi="宋体" w:eastAsia="宋体" w:cs="宋体"/>
          <w:i w:val="0"/>
          <w:iCs w:val="0"/>
          <w:color w:val="auto"/>
          <w:sz w:val="24"/>
          <w:szCs w:val="24"/>
          <w:highlight w:val="none"/>
          <w:u w:val="none"/>
          <w:lang w:val="en-US" w:eastAsia="zh-CN"/>
        </w:rPr>
        <w:t xml:space="preserve"> </w:t>
      </w:r>
      <w:r>
        <w:rPr>
          <w:rFonts w:hint="eastAsia" w:cs="宋体"/>
          <w:i w:val="0"/>
          <w:iCs w:val="0"/>
          <w:color w:val="auto"/>
          <w:sz w:val="24"/>
          <w:szCs w:val="24"/>
          <w:highlight w:val="none"/>
          <w:u w:val="none"/>
          <w:lang w:val="en-US" w:eastAsia="zh-CN"/>
        </w:rPr>
        <w:t>阿勒泰地区青河县紧密型医共体提标资源共享中心扩能建设项目（超声类）</w:t>
      </w:r>
    </w:p>
    <w:p w14:paraId="581AD91C">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1BB31AF5">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9900000.00</w:t>
      </w:r>
      <w:r>
        <w:rPr>
          <w:rFonts w:hint="eastAsia" w:ascii="宋体" w:hAnsi="宋体" w:eastAsia="宋体" w:cs="宋体"/>
          <w:i w:val="0"/>
          <w:iCs w:val="0"/>
          <w:color w:val="auto"/>
          <w:sz w:val="24"/>
          <w:szCs w:val="24"/>
          <w:highlight w:val="none"/>
          <w:u w:val="none"/>
          <w:lang w:val="en-US" w:eastAsia="zh-CN"/>
        </w:rPr>
        <w:t>元</w:t>
      </w:r>
    </w:p>
    <w:p w14:paraId="6FBBBF8F">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 xml:space="preserve">单位：批 </w:t>
      </w:r>
    </w:p>
    <w:p w14:paraId="538B117C">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cs="宋体"/>
          <w:i w:val="0"/>
          <w:iCs w:val="0"/>
          <w:color w:val="auto"/>
          <w:sz w:val="24"/>
          <w:szCs w:val="24"/>
          <w:highlight w:val="none"/>
          <w:u w:val="none"/>
          <w:lang w:val="en-US" w:eastAsia="zh-CN"/>
        </w:rPr>
        <w:t>详见招标文件。</w:t>
      </w:r>
    </w:p>
    <w:p w14:paraId="6E4EA720">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备注：</w:t>
      </w:r>
    </w:p>
    <w:p w14:paraId="5F063DDE">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合同履约期限：</w:t>
      </w:r>
      <w:r>
        <w:rPr>
          <w:rFonts w:hint="eastAsia" w:cs="宋体"/>
          <w:i w:val="0"/>
          <w:iCs w:val="0"/>
          <w:color w:val="auto"/>
          <w:sz w:val="24"/>
          <w:szCs w:val="24"/>
          <w:highlight w:val="none"/>
          <w:u w:val="none"/>
          <w:lang w:val="en-US" w:eastAsia="zh-CN"/>
        </w:rPr>
        <w:t>按合同约定期限</w:t>
      </w:r>
    </w:p>
    <w:p w14:paraId="241B23FB">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本项目（否）接受联合体投标。</w:t>
      </w:r>
    </w:p>
    <w:p w14:paraId="73E1FAA6">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20" w:name="_Toc163492813"/>
      <w:bookmarkStart w:id="21" w:name="_Toc15913"/>
      <w:bookmarkStart w:id="22" w:name="_Toc109899830"/>
      <w:bookmarkStart w:id="23" w:name="_Toc140132746"/>
      <w:bookmarkStart w:id="24" w:name="_Toc1273"/>
      <w:bookmarkStart w:id="25" w:name="_Toc109900249"/>
      <w:bookmarkStart w:id="26" w:name="_Toc155185861"/>
      <w:bookmarkStart w:id="27" w:name="_Toc109899411"/>
      <w:r>
        <w:rPr>
          <w:rFonts w:hint="eastAsia" w:ascii="宋体" w:hAnsi="宋体" w:eastAsia="宋体" w:cs="宋体"/>
          <w:b/>
          <w:bCs/>
          <w:i w:val="0"/>
          <w:iCs w:val="0"/>
          <w:color w:val="auto"/>
          <w:kern w:val="2"/>
          <w:sz w:val="24"/>
          <w:szCs w:val="24"/>
          <w:highlight w:val="none"/>
          <w:u w:val="none"/>
          <w:lang w:val="en-US" w:eastAsia="zh-CN" w:bidi="ar-SA"/>
        </w:rPr>
        <w:t>二、申请人的</w:t>
      </w:r>
      <w:r>
        <w:rPr>
          <w:rFonts w:hint="eastAsia" w:ascii="宋体" w:hAnsi="宋体" w:eastAsia="宋体" w:cs="宋体"/>
          <w:b/>
          <w:bCs/>
          <w:i w:val="0"/>
          <w:iCs w:val="0"/>
          <w:color w:val="auto"/>
          <w:kern w:val="2"/>
          <w:sz w:val="24"/>
          <w:szCs w:val="24"/>
          <w:highlight w:val="none"/>
          <w:u w:val="none"/>
          <w:lang w:val="hr-HR" w:eastAsia="zh-CN" w:bidi="ar-SA"/>
        </w:rPr>
        <w:t>资格要求</w:t>
      </w:r>
      <w:bookmarkEnd w:id="20"/>
      <w:bookmarkEnd w:id="21"/>
      <w:bookmarkEnd w:id="22"/>
      <w:bookmarkEnd w:id="23"/>
      <w:bookmarkEnd w:id="24"/>
      <w:bookmarkEnd w:id="25"/>
      <w:bookmarkEnd w:id="26"/>
      <w:bookmarkEnd w:id="27"/>
    </w:p>
    <w:p w14:paraId="33FC44B1">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strike/>
          <w:color w:val="auto"/>
          <w:sz w:val="24"/>
          <w:szCs w:val="24"/>
          <w:highlight w:val="none"/>
          <w:u w:val="none"/>
          <w:lang w:val="en-US" w:eastAsia="zh-CN"/>
        </w:rPr>
      </w:pPr>
      <w:bookmarkStart w:id="28" w:name="_Toc28359091"/>
      <w:bookmarkStart w:id="29" w:name="_Toc28359014"/>
      <w:bookmarkStart w:id="30" w:name="_Toc44583630"/>
      <w:bookmarkStart w:id="31" w:name="_Toc35393800"/>
      <w:bookmarkStart w:id="32" w:name="_Toc35393631"/>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3ECDD04B">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rPr>
      </w:pPr>
      <w:bookmarkStart w:id="33" w:name="_Hlk89807755"/>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.落实政府采购政策需满足的资格要求：</w:t>
      </w:r>
      <w:r>
        <w:rPr>
          <w:rFonts w:hint="eastAsia" w:ascii="宋体" w:hAnsi="宋体" w:cs="宋体"/>
          <w:color w:val="auto"/>
          <w:highlight w:val="none"/>
        </w:rPr>
        <w:t>本项目</w:t>
      </w:r>
      <w:r>
        <w:rPr>
          <w:rFonts w:hint="eastAsia" w:cs="宋体"/>
          <w:color w:val="auto"/>
          <w:highlight w:val="none"/>
          <w:lang w:val="en-US" w:eastAsia="zh-CN"/>
        </w:rPr>
        <w:t>不</w:t>
      </w:r>
      <w:r>
        <w:rPr>
          <w:rFonts w:hint="eastAsia" w:ascii="宋体" w:hAnsi="宋体" w:cs="宋体"/>
          <w:color w:val="auto"/>
          <w:highlight w:val="none"/>
        </w:rPr>
        <w:t>专门面向中小企业。</w:t>
      </w:r>
    </w:p>
    <w:p w14:paraId="009B1019">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28"/>
      <w:bookmarkEnd w:id="29"/>
      <w:bookmarkEnd w:id="30"/>
      <w:bookmarkEnd w:id="31"/>
      <w:bookmarkEnd w:id="32"/>
      <w:bookmarkEnd w:id="33"/>
      <w:bookmarkStart w:id="34" w:name="_Toc28359017"/>
      <w:bookmarkStart w:id="35" w:name="_Toc44583633"/>
      <w:bookmarkStart w:id="36" w:name="_Toc35393634"/>
      <w:bookmarkStart w:id="37" w:name="_Toc28359094"/>
      <w:bookmarkStart w:id="38" w:name="_Toc163492816"/>
      <w:bookmarkStart w:id="39" w:name="_Toc35393803"/>
      <w:bookmarkStart w:id="40" w:name="_Toc9733"/>
      <w:bookmarkStart w:id="41" w:name="_Toc109900252"/>
      <w:bookmarkStart w:id="42" w:name="_Toc109899833"/>
      <w:bookmarkStart w:id="43" w:name="_Toc109899414"/>
      <w:bookmarkStart w:id="44" w:name="_Toc140132749"/>
      <w:bookmarkStart w:id="45" w:name="_Toc155185864"/>
      <w:bookmarkStart w:id="46" w:name="_Toc9513"/>
      <w:r>
        <w:rPr>
          <w:rFonts w:hint="eastAsia"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u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p w14:paraId="73857799">
      <w:pPr>
        <w:pageBreakBefore w:val="0"/>
        <w:shd w:val="clear" w:color="auto" w:fill="auto"/>
        <w:kinsoku/>
        <w:overflowPunct/>
        <w:topLinePunct w:val="0"/>
        <w:autoSpaceDE/>
        <w:autoSpaceDN/>
        <w:bidi w:val="0"/>
        <w:adjustRightInd/>
        <w:spacing w:line="440" w:lineRule="exac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三、获取招标文件</w:t>
      </w:r>
    </w:p>
    <w:p w14:paraId="0B824322">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时间：</w:t>
      </w:r>
      <w:r>
        <w:rPr>
          <w:rFonts w:hint="eastAsia" w:cs="宋体"/>
          <w:b w:val="0"/>
          <w:bCs w:val="0"/>
          <w:i w:val="0"/>
          <w:iCs w:val="0"/>
          <w:color w:val="auto"/>
          <w:kern w:val="2"/>
          <w:sz w:val="24"/>
          <w:szCs w:val="24"/>
          <w:highlight w:val="none"/>
          <w:u w:val="none"/>
          <w:lang w:val="en-US" w:eastAsia="zh-CN" w:bidi="ar-SA"/>
        </w:rPr>
        <w:t>2026年05月10日至2026年05月16日</w:t>
      </w:r>
      <w:r>
        <w:rPr>
          <w:rFonts w:hint="eastAsia" w:ascii="宋体" w:hAnsi="宋体" w:eastAsia="宋体" w:cs="宋体"/>
          <w:b w:val="0"/>
          <w:bCs w:val="0"/>
          <w:i w:val="0"/>
          <w:iCs w:val="0"/>
          <w:color w:val="auto"/>
          <w:kern w:val="2"/>
          <w:sz w:val="24"/>
          <w:szCs w:val="24"/>
          <w:highlight w:val="none"/>
          <w:u w:val="none"/>
          <w:lang w:val="en-US" w:eastAsia="zh-CN" w:bidi="ar-SA"/>
        </w:rPr>
        <w:t>，每天上午00:00至14:00，下午14:00至23:59（北京时间，法定节假日除外）</w:t>
      </w:r>
    </w:p>
    <w:p w14:paraId="3E228A12">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地点：政采云平台线上</w:t>
      </w:r>
    </w:p>
    <w:p w14:paraId="274245AB">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E2D1F4D">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售价（元）：0</w:t>
      </w:r>
    </w:p>
    <w:p w14:paraId="10D8B4F6">
      <w:pPr>
        <w:pageBreakBefore w:val="0"/>
        <w:numPr>
          <w:ilvl w:val="0"/>
          <w:numId w:val="0"/>
        </w:numPr>
        <w:shd w:val="clear" w:color="auto" w:fill="auto"/>
        <w:kinsoku/>
        <w:overflowPunct/>
        <w:topLinePunct w:val="0"/>
        <w:autoSpaceDE/>
        <w:autoSpaceDN/>
        <w:bidi w:val="0"/>
        <w:adjustRightInd/>
        <w:spacing w:line="440" w:lineRule="exact"/>
        <w:rPr>
          <w:rFonts w:hint="eastAsia" w:ascii="宋体" w:hAnsi="宋体" w:eastAsia="宋体" w:cs="宋体"/>
          <w:b/>
          <w:bCs/>
          <w:i w:val="0"/>
          <w:iCs w:val="0"/>
          <w:color w:val="auto"/>
          <w:kern w:val="2"/>
          <w:sz w:val="24"/>
          <w:szCs w:val="24"/>
          <w:highlight w:val="none"/>
          <w:u w:val="none"/>
          <w:lang w:val="en-US" w:eastAsia="zh-CN" w:bidi="ar-SA"/>
        </w:rPr>
      </w:pPr>
      <w:r>
        <w:rPr>
          <w:rFonts w:hint="eastAsia" w:cs="宋体"/>
          <w:b/>
          <w:bCs/>
          <w:i w:val="0"/>
          <w:iCs w:val="0"/>
          <w:color w:val="auto"/>
          <w:kern w:val="2"/>
          <w:sz w:val="24"/>
          <w:szCs w:val="24"/>
          <w:highlight w:val="none"/>
          <w:u w:val="none"/>
          <w:lang w:val="en-US" w:eastAsia="zh-CN" w:bidi="ar-SA"/>
        </w:rPr>
        <w:t>四、</w:t>
      </w:r>
      <w:r>
        <w:rPr>
          <w:rFonts w:hint="eastAsia" w:ascii="宋体" w:hAnsi="宋体" w:eastAsia="宋体" w:cs="宋体"/>
          <w:b/>
          <w:bCs/>
          <w:i w:val="0"/>
          <w:iCs w:val="0"/>
          <w:color w:val="auto"/>
          <w:kern w:val="2"/>
          <w:sz w:val="24"/>
          <w:szCs w:val="24"/>
          <w:highlight w:val="none"/>
          <w:u w:val="none"/>
          <w:lang w:val="en-US" w:eastAsia="zh-CN" w:bidi="ar-SA"/>
        </w:rPr>
        <w:t>提交投标文件截止时间、开标时间和地点</w:t>
      </w:r>
    </w:p>
    <w:p w14:paraId="695BB4F3">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提交投标文件截止时间：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01</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79BEB77D">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投标地点：请登录政采云投标客户端投标</w:t>
      </w:r>
    </w:p>
    <w:p w14:paraId="5CFB9FA5">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01</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723219FD">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开标地点：投标人登录政采云平台https://www.zcygov.cn/，进入“项目采购-开标评标-右边选择对应项目点击“进入项目”进入开标大厅。</w:t>
      </w:r>
    </w:p>
    <w:p w14:paraId="1EECCE97">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r>
        <w:rPr>
          <w:rFonts w:hint="eastAsia" w:ascii="宋体" w:hAnsi="宋体" w:eastAsia="宋体" w:cs="宋体"/>
          <w:b/>
          <w:bCs/>
          <w:i w:val="0"/>
          <w:iCs w:val="0"/>
          <w:color w:val="auto"/>
          <w:kern w:val="2"/>
          <w:sz w:val="24"/>
          <w:szCs w:val="24"/>
          <w:highlight w:val="none"/>
          <w:u w:val="none"/>
          <w:lang w:val="en-US" w:eastAsia="zh-CN" w:bidi="ar-SA"/>
        </w:rPr>
        <w:t>五、</w:t>
      </w:r>
      <w:r>
        <w:rPr>
          <w:rFonts w:hint="eastAsia" w:ascii="宋体" w:hAnsi="宋体" w:eastAsia="宋体" w:cs="宋体"/>
          <w:b/>
          <w:bCs/>
          <w:i w:val="0"/>
          <w:iCs w:val="0"/>
          <w:color w:val="auto"/>
          <w:kern w:val="2"/>
          <w:sz w:val="24"/>
          <w:szCs w:val="24"/>
          <w:highlight w:val="none"/>
          <w:u w:val="none"/>
          <w:lang w:val="hr-HR" w:eastAsia="zh-CN" w:bidi="ar-SA"/>
        </w:rPr>
        <w:t>公告期限</w:t>
      </w:r>
      <w:bookmarkEnd w:id="34"/>
      <w:bookmarkEnd w:id="35"/>
      <w:bookmarkEnd w:id="36"/>
      <w:bookmarkEnd w:id="37"/>
      <w:bookmarkEnd w:id="38"/>
      <w:bookmarkEnd w:id="39"/>
      <w:bookmarkEnd w:id="40"/>
      <w:bookmarkEnd w:id="41"/>
      <w:bookmarkEnd w:id="42"/>
      <w:bookmarkEnd w:id="43"/>
      <w:bookmarkEnd w:id="44"/>
      <w:bookmarkEnd w:id="45"/>
      <w:bookmarkEnd w:id="46"/>
    </w:p>
    <w:p w14:paraId="012CE989">
      <w:pPr>
        <w:pageBreakBefore w:val="0"/>
        <w:shd w:val="clear" w:color="auto" w:fill="auto"/>
        <w:kinsoku/>
        <w:wordWrap/>
        <w:overflowPunct/>
        <w:topLinePunct w:val="0"/>
        <w:autoSpaceDE/>
        <w:autoSpaceDN/>
        <w:bidi w:val="0"/>
        <w:adjustRightInd/>
        <w:snapToGrid w:val="0"/>
        <w:spacing w:line="440" w:lineRule="exact"/>
        <w:ind w:left="0" w:leftChars="0" w:firstLine="480" w:firstLineChars="200"/>
        <w:jc w:val="both"/>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自本公告发布之日起5个工作日。</w:t>
      </w:r>
      <w:bookmarkStart w:id="47" w:name="_Toc140132750"/>
      <w:bookmarkStart w:id="48" w:name="_Toc163492817"/>
      <w:bookmarkStart w:id="49" w:name="_Toc35393804"/>
      <w:bookmarkStart w:id="50" w:name="_Toc109899834"/>
      <w:bookmarkStart w:id="51" w:name="_Toc44583634"/>
      <w:bookmarkStart w:id="52" w:name="_Toc155185865"/>
      <w:bookmarkStart w:id="53" w:name="_Toc109900253"/>
      <w:bookmarkStart w:id="54" w:name="_Toc35393635"/>
      <w:bookmarkStart w:id="55" w:name="_Toc109899415"/>
    </w:p>
    <w:p w14:paraId="5FFE64A0">
      <w:pPr>
        <w:pageBreakBefore w:val="0"/>
        <w:shd w:val="clear" w:color="auto" w:fill="auto"/>
        <w:kinsoku/>
        <w:wordWrap/>
        <w:overflowPunct/>
        <w:topLinePunct w:val="0"/>
        <w:autoSpaceDE/>
        <w:autoSpaceDN/>
        <w:bidi w:val="0"/>
        <w:adjustRightInd/>
        <w:snapToGrid w:val="0"/>
        <w:spacing w:line="440" w:lineRule="exact"/>
        <w:ind w:left="0" w:firstLine="0" w:firstLineChars="0"/>
        <w:jc w:val="both"/>
        <w:outlineLvl w:val="9"/>
        <w:rPr>
          <w:rFonts w:hint="eastAsia" w:ascii="宋体" w:hAnsi="宋体" w:eastAsia="宋体" w:cs="宋体"/>
          <w:b w:val="0"/>
          <w:bCs w:val="0"/>
          <w:i w:val="0"/>
          <w:iCs w:val="0"/>
          <w:color w:val="auto"/>
          <w:kern w:val="2"/>
          <w:sz w:val="24"/>
          <w:szCs w:val="24"/>
          <w:highlight w:val="none"/>
          <w:u w:val="none"/>
          <w:lang w:val="hr-HR" w:eastAsia="zh-CN" w:bidi="ar-SA"/>
        </w:rPr>
      </w:pPr>
      <w:bookmarkStart w:id="56" w:name="_Toc11867"/>
      <w:bookmarkStart w:id="57" w:name="_Toc6777"/>
      <w:r>
        <w:rPr>
          <w:rStyle w:val="28"/>
          <w:rFonts w:hint="eastAsia" w:ascii="宋体" w:hAnsi="宋体" w:eastAsia="宋体" w:cs="宋体"/>
          <w:color w:val="auto"/>
          <w:sz w:val="24"/>
          <w:szCs w:val="24"/>
          <w:highlight w:val="none"/>
          <w:u w:val="none"/>
          <w:lang w:val="en-US" w:eastAsia="zh-CN"/>
        </w:rPr>
        <w:t>六</w:t>
      </w:r>
      <w:r>
        <w:rPr>
          <w:rStyle w:val="28"/>
          <w:rFonts w:hint="eastAsia" w:ascii="宋体" w:hAnsi="宋体" w:eastAsia="宋体" w:cs="宋体"/>
          <w:color w:val="auto"/>
          <w:sz w:val="24"/>
          <w:szCs w:val="24"/>
          <w:highlight w:val="none"/>
          <w:u w:val="none"/>
          <w:lang w:val="hr-HR" w:eastAsia="zh-CN"/>
        </w:rPr>
        <w:t>、其他补充事宜</w:t>
      </w:r>
      <w:bookmarkEnd w:id="47"/>
      <w:bookmarkEnd w:id="48"/>
      <w:bookmarkEnd w:id="49"/>
      <w:bookmarkEnd w:id="50"/>
      <w:bookmarkEnd w:id="51"/>
      <w:bookmarkEnd w:id="52"/>
      <w:bookmarkEnd w:id="53"/>
      <w:bookmarkEnd w:id="54"/>
      <w:bookmarkEnd w:id="55"/>
      <w:bookmarkEnd w:id="56"/>
      <w:bookmarkEnd w:id="57"/>
    </w:p>
    <w:p w14:paraId="1B741638">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58" w:name="_Toc12646"/>
      <w:bookmarkStart w:id="59" w:name="_Toc1462"/>
      <w:r>
        <w:rPr>
          <w:rFonts w:hint="eastAsia" w:ascii="宋体" w:hAnsi="宋体" w:eastAsia="宋体" w:cs="宋体"/>
          <w:b/>
          <w:bCs/>
          <w:i w:val="0"/>
          <w:iCs w:val="0"/>
          <w:color w:val="auto"/>
          <w:kern w:val="2"/>
          <w:sz w:val="24"/>
          <w:szCs w:val="24"/>
          <w:highlight w:val="none"/>
          <w:u w:val="none"/>
          <w:lang w:val="en-US" w:eastAsia="zh-CN" w:bidi="ar-SA"/>
        </w:rPr>
        <w:t>/</w:t>
      </w:r>
    </w:p>
    <w:p w14:paraId="1D330330">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eastAsia="zh-CN"/>
        </w:rPr>
      </w:pPr>
      <w:r>
        <w:rPr>
          <w:rFonts w:hint="eastAsia" w:ascii="宋体" w:hAnsi="宋体" w:cs="宋体"/>
          <w:b/>
          <w:bCs/>
          <w:i w:val="0"/>
          <w:iCs w:val="0"/>
          <w:color w:val="auto"/>
          <w:kern w:val="2"/>
          <w:sz w:val="24"/>
          <w:szCs w:val="24"/>
          <w:highlight w:val="none"/>
          <w:u w:val="none"/>
          <w:lang w:val="en-US" w:eastAsia="zh-CN" w:bidi="ar-SA"/>
        </w:rPr>
        <w:t>七</w:t>
      </w:r>
      <w:r>
        <w:rPr>
          <w:rFonts w:hint="eastAsia" w:ascii="宋体" w:hAnsi="宋体" w:eastAsia="宋体" w:cs="宋体"/>
          <w:b/>
          <w:bCs/>
          <w:i w:val="0"/>
          <w:iCs w:val="0"/>
          <w:color w:val="auto"/>
          <w:kern w:val="2"/>
          <w:sz w:val="24"/>
          <w:szCs w:val="24"/>
          <w:highlight w:val="none"/>
          <w:u w:val="none"/>
          <w:lang w:val="en-US" w:eastAsia="zh-CN" w:bidi="ar-SA"/>
        </w:rPr>
        <w:t>、</w:t>
      </w:r>
      <w:r>
        <w:rPr>
          <w:rFonts w:hint="eastAsia" w:ascii="宋体" w:hAnsi="宋体" w:eastAsia="宋体" w:cs="宋体"/>
          <w:b/>
          <w:bCs/>
          <w:i w:val="0"/>
          <w:iCs w:val="0"/>
          <w:color w:val="auto"/>
          <w:kern w:val="2"/>
          <w:sz w:val="24"/>
          <w:szCs w:val="24"/>
          <w:highlight w:val="none"/>
          <w:u w:val="none"/>
          <w:lang w:val="hr-HR" w:eastAsia="zh-CN" w:bidi="ar-SA"/>
        </w:rPr>
        <w:t>凡对本次采购提出询问，请按以下方式联系</w:t>
      </w:r>
      <w:bookmarkEnd w:id="58"/>
      <w:bookmarkEnd w:id="59"/>
    </w:p>
    <w:p w14:paraId="6B3ACE1D">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rPr>
      </w:pPr>
      <w:bookmarkStart w:id="60" w:name="_Toc28359019"/>
      <w:bookmarkStart w:id="61" w:name="_Toc35393637"/>
      <w:bookmarkStart w:id="62" w:name="_Toc35393806"/>
      <w:bookmarkStart w:id="63" w:name="_Toc28359096"/>
      <w:r>
        <w:rPr>
          <w:rFonts w:hint="eastAsia" w:ascii="宋体" w:hAnsi="宋体" w:eastAsia="宋体" w:cs="宋体"/>
          <w:color w:val="auto"/>
          <w:sz w:val="24"/>
          <w:szCs w:val="24"/>
          <w:highlight w:val="none"/>
          <w:u w:val="none"/>
        </w:rPr>
        <w:t>1.采购人信息</w:t>
      </w:r>
      <w:bookmarkEnd w:id="60"/>
      <w:bookmarkEnd w:id="61"/>
      <w:bookmarkEnd w:id="62"/>
      <w:bookmarkEnd w:id="63"/>
    </w:p>
    <w:p w14:paraId="10648C53">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名称：青河县人民医院</w:t>
      </w:r>
    </w:p>
    <w:p w14:paraId="1A39EB6B">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地址：青河县模范北路13号</w:t>
      </w:r>
    </w:p>
    <w:p w14:paraId="14EF48EC">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联系人：邓革新</w:t>
      </w:r>
    </w:p>
    <w:p w14:paraId="601D7E41">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13345311070</w:t>
      </w:r>
    </w:p>
    <w:p w14:paraId="10040B58">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3A647FC3">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称：新疆华域建设工程项目管理咨询有限公司</w:t>
      </w:r>
    </w:p>
    <w:p w14:paraId="66057DFC">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址：乌鲁木齐市五星北路194号新地园大厦13、14楼</w:t>
      </w:r>
    </w:p>
    <w:p w14:paraId="061B6CEF">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联系方式：13999938813  、13899901320</w:t>
      </w:r>
    </w:p>
    <w:p w14:paraId="5E0D689E">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1139C801">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w:t>
      </w:r>
      <w:r>
        <w:rPr>
          <w:rFonts w:hint="eastAsia" w:cs="宋体"/>
          <w:color w:val="auto"/>
          <w:sz w:val="24"/>
          <w:szCs w:val="24"/>
          <w:highlight w:val="none"/>
          <w:u w:val="none"/>
          <w:lang w:val="en-US" w:eastAsia="zh-CN"/>
        </w:rPr>
        <w:t>王文周、李昱骁、薛迎、王慧</w:t>
      </w:r>
    </w:p>
    <w:p w14:paraId="5D48F22E">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 话：13999938813  、13899901320</w:t>
      </w:r>
    </w:p>
    <w:p w14:paraId="55C7437D">
      <w:pPr>
        <w:rPr>
          <w:rFonts w:hint="eastAsia" w:ascii="宋体" w:hAnsi="宋体" w:eastAsia="宋体" w:cs="宋体"/>
          <w:color w:val="auto"/>
          <w:highlight w:val="none"/>
        </w:rPr>
      </w:pPr>
    </w:p>
    <w:p w14:paraId="29F1B68B">
      <w:pPr>
        <w:rPr>
          <w:rFonts w:hint="eastAsia" w:ascii="宋体" w:hAnsi="宋体" w:eastAsia="宋体" w:cs="宋体"/>
          <w:color w:val="auto"/>
          <w:highlight w:val="none"/>
        </w:rPr>
      </w:pPr>
    </w:p>
    <w:p w14:paraId="730E1DED">
      <w:pPr>
        <w:rPr>
          <w:rFonts w:hint="eastAsia" w:ascii="宋体" w:hAnsi="宋体" w:eastAsia="宋体" w:cs="宋体"/>
          <w:color w:val="auto"/>
          <w:highlight w:val="none"/>
        </w:rPr>
      </w:pPr>
    </w:p>
    <w:p w14:paraId="4F52E1A1">
      <w:pPr>
        <w:rPr>
          <w:rFonts w:hint="eastAsia" w:ascii="宋体" w:hAnsi="宋体" w:eastAsia="宋体" w:cs="宋体"/>
          <w:color w:val="auto"/>
          <w:highlight w:val="none"/>
        </w:rPr>
      </w:pPr>
    </w:p>
    <w:p w14:paraId="77368E57">
      <w:pPr>
        <w:rPr>
          <w:rFonts w:hint="eastAsia" w:ascii="宋体" w:hAnsi="宋体" w:eastAsia="宋体" w:cs="宋体"/>
          <w:color w:val="auto"/>
          <w:highlight w:val="none"/>
        </w:rPr>
      </w:pPr>
    </w:p>
    <w:p w14:paraId="243F24AA">
      <w:pPr>
        <w:rPr>
          <w:rFonts w:hint="eastAsia" w:ascii="宋体" w:hAnsi="宋体" w:eastAsia="宋体" w:cs="宋体"/>
          <w:color w:val="auto"/>
          <w:highlight w:val="none"/>
        </w:rPr>
      </w:pPr>
    </w:p>
    <w:p w14:paraId="5AD7526B">
      <w:pPr>
        <w:rPr>
          <w:rFonts w:hint="eastAsia" w:ascii="宋体" w:hAnsi="宋体" w:eastAsia="宋体" w:cs="宋体"/>
          <w:color w:val="auto"/>
          <w:highlight w:val="none"/>
        </w:rPr>
      </w:pPr>
    </w:p>
    <w:p w14:paraId="59E01AEC">
      <w:pPr>
        <w:rPr>
          <w:rFonts w:hint="eastAsia" w:ascii="宋体" w:hAnsi="宋体" w:eastAsia="宋体" w:cs="宋体"/>
          <w:color w:val="auto"/>
          <w:highlight w:val="none"/>
        </w:rPr>
      </w:pPr>
    </w:p>
    <w:p w14:paraId="4C4FD65D">
      <w:pPr>
        <w:rPr>
          <w:rFonts w:hint="eastAsia" w:ascii="宋体" w:hAnsi="宋体" w:eastAsia="宋体" w:cs="宋体"/>
          <w:color w:val="auto"/>
          <w:highlight w:val="none"/>
        </w:rPr>
      </w:pPr>
    </w:p>
    <w:p w14:paraId="59F84B45">
      <w:pPr>
        <w:rPr>
          <w:rFonts w:hint="eastAsia" w:ascii="宋体" w:hAnsi="宋体" w:eastAsia="宋体" w:cs="宋体"/>
          <w:color w:val="auto"/>
          <w:highlight w:val="none"/>
        </w:rPr>
      </w:pPr>
    </w:p>
    <w:p w14:paraId="06E9BE32">
      <w:pPr>
        <w:rPr>
          <w:rFonts w:hint="eastAsia" w:ascii="宋体" w:hAnsi="宋体" w:eastAsia="宋体" w:cs="宋体"/>
          <w:color w:val="auto"/>
          <w:highlight w:val="none"/>
        </w:rPr>
      </w:pPr>
    </w:p>
    <w:p w14:paraId="5B866695">
      <w:pPr>
        <w:rPr>
          <w:rFonts w:hint="eastAsia" w:ascii="宋体" w:hAnsi="宋体" w:eastAsia="宋体" w:cs="宋体"/>
          <w:color w:val="auto"/>
          <w:highlight w:val="none"/>
        </w:rPr>
      </w:pPr>
    </w:p>
    <w:p w14:paraId="4741FCB1">
      <w:pPr>
        <w:rPr>
          <w:rFonts w:hint="eastAsia" w:ascii="宋体" w:hAnsi="宋体" w:eastAsia="宋体" w:cs="宋体"/>
          <w:color w:val="auto"/>
          <w:highlight w:val="none"/>
        </w:rPr>
      </w:pPr>
    </w:p>
    <w:p w14:paraId="3352AB10">
      <w:pPr>
        <w:rPr>
          <w:rFonts w:hint="eastAsia" w:ascii="宋体" w:hAnsi="宋体" w:eastAsia="宋体" w:cs="宋体"/>
          <w:color w:val="auto"/>
          <w:highlight w:val="none"/>
        </w:rPr>
      </w:pPr>
    </w:p>
    <w:p w14:paraId="6384D5DF">
      <w:pPr>
        <w:rPr>
          <w:rFonts w:hint="eastAsia" w:ascii="宋体" w:hAnsi="宋体" w:eastAsia="宋体" w:cs="宋体"/>
          <w:color w:val="auto"/>
          <w:highlight w:val="none"/>
        </w:rPr>
      </w:pPr>
    </w:p>
    <w:p w14:paraId="7719D52F">
      <w:pPr>
        <w:rPr>
          <w:rFonts w:hint="eastAsia" w:ascii="宋体" w:hAnsi="宋体" w:eastAsia="宋体" w:cs="宋体"/>
          <w:color w:val="auto"/>
          <w:highlight w:val="none"/>
        </w:rPr>
      </w:pPr>
    </w:p>
    <w:p w14:paraId="11C7AA91">
      <w:pPr>
        <w:rPr>
          <w:rFonts w:hint="eastAsia" w:ascii="宋体" w:hAnsi="宋体" w:eastAsia="宋体" w:cs="宋体"/>
          <w:color w:val="auto"/>
          <w:highlight w:val="none"/>
        </w:rPr>
      </w:pPr>
    </w:p>
    <w:p w14:paraId="56F4E602">
      <w:pPr>
        <w:rPr>
          <w:rFonts w:hint="eastAsia" w:ascii="宋体" w:hAnsi="宋体" w:eastAsia="宋体" w:cs="宋体"/>
          <w:color w:val="auto"/>
          <w:highlight w:val="none"/>
        </w:rPr>
      </w:pPr>
    </w:p>
    <w:p w14:paraId="07CAE4BF">
      <w:pPr>
        <w:rPr>
          <w:rFonts w:hint="eastAsia" w:ascii="宋体" w:hAnsi="宋体" w:eastAsia="宋体" w:cs="宋体"/>
          <w:color w:val="auto"/>
          <w:highlight w:val="none"/>
        </w:rPr>
      </w:pPr>
    </w:p>
    <w:p w14:paraId="733ECB2B">
      <w:pPr>
        <w:rPr>
          <w:rFonts w:hint="eastAsia" w:ascii="宋体" w:hAnsi="宋体" w:eastAsia="宋体" w:cs="宋体"/>
          <w:color w:val="auto"/>
          <w:highlight w:val="none"/>
        </w:rPr>
      </w:pPr>
    </w:p>
    <w:p w14:paraId="5D02AC45">
      <w:pPr>
        <w:rPr>
          <w:rFonts w:hint="eastAsia" w:ascii="宋体" w:hAnsi="宋体" w:eastAsia="宋体" w:cs="宋体"/>
          <w:color w:val="auto"/>
          <w:highlight w:val="none"/>
        </w:rPr>
      </w:pPr>
    </w:p>
    <w:p w14:paraId="56FD8470">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64" w:name="_Toc6667"/>
      <w:bookmarkStart w:id="65" w:name="_Toc14929"/>
      <w:bookmarkStart w:id="66" w:name="_Toc155185867"/>
      <w:r>
        <w:rPr>
          <w:rFonts w:hint="eastAsia" w:ascii="宋体" w:hAnsi="宋体" w:eastAsia="宋体" w:cs="宋体"/>
          <w:bCs/>
          <w:color w:val="auto"/>
          <w:sz w:val="36"/>
          <w:szCs w:val="36"/>
          <w:highlight w:val="none"/>
        </w:rPr>
        <w:t>第二章 投标人须知</w:t>
      </w:r>
      <w:bookmarkEnd w:id="64"/>
      <w:bookmarkEnd w:id="65"/>
      <w:bookmarkEnd w:id="66"/>
    </w:p>
    <w:bookmarkEnd w:id="4"/>
    <w:p w14:paraId="04EDF775">
      <w:pPr>
        <w:pStyle w:val="3"/>
        <w:pageBreakBefore w:val="0"/>
        <w:kinsoku/>
        <w:overflowPunct/>
        <w:topLinePunct w:val="0"/>
        <w:bidi w:val="0"/>
        <w:spacing w:before="0" w:after="0" w:line="440" w:lineRule="exact"/>
        <w:ind w:left="0" w:firstLine="0" w:firstLineChars="0"/>
        <w:textAlignment w:val="auto"/>
        <w:rPr>
          <w:rFonts w:hint="eastAsia" w:ascii="宋体" w:hAnsi="宋体" w:eastAsia="宋体" w:cs="宋体"/>
          <w:color w:val="auto"/>
          <w:sz w:val="24"/>
          <w:szCs w:val="24"/>
          <w:highlight w:val="none"/>
        </w:rPr>
      </w:pPr>
      <w:bookmarkStart w:id="67" w:name="_Toc155185868"/>
      <w:bookmarkStart w:id="68" w:name="_Toc6574"/>
      <w:r>
        <w:rPr>
          <w:rFonts w:hint="eastAsia" w:ascii="宋体" w:hAnsi="宋体" w:eastAsia="宋体" w:cs="宋体"/>
          <w:color w:val="auto"/>
          <w:sz w:val="24"/>
          <w:szCs w:val="24"/>
          <w:highlight w:val="none"/>
        </w:rPr>
        <w:t>一、投标人须知前附表</w:t>
      </w:r>
      <w:bookmarkEnd w:id="67"/>
      <w:bookmarkEnd w:id="68"/>
    </w:p>
    <w:p w14:paraId="5FD3FDA5">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投标人应仔细阅读本招标文件的第二章“投标人须知”，下面所列资料是对“投标人须知”的具体补充和说明，如有矛盾，应以本表为准。</w:t>
      </w:r>
      <w:r>
        <w:rPr>
          <w:rFonts w:hint="eastAsia" w:ascii="宋体" w:hAnsi="宋体" w:eastAsia="宋体" w:cs="宋体"/>
          <w:color w:val="auto"/>
          <w:sz w:val="24"/>
          <w:szCs w:val="24"/>
          <w:highlight w:val="none"/>
          <w:lang w:val="en-US"/>
        </w:rPr>
        <w:t>标记“☑”的选项意为适用于本项目，标记“□”的选项意为不适用于本项目。</w:t>
      </w:r>
    </w:p>
    <w:tbl>
      <w:tblPr>
        <w:tblStyle w:val="22"/>
        <w:tblW w:w="98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898"/>
        <w:gridCol w:w="1611"/>
        <w:gridCol w:w="7343"/>
      </w:tblGrid>
      <w:tr w14:paraId="57C21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6" w:hRule="atLeast"/>
          <w:tblHeader/>
          <w:jc w:val="center"/>
        </w:trPr>
        <w:tc>
          <w:tcPr>
            <w:tcW w:w="89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010CFC1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1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2B5E1C2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343"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4D7A80F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6131A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75246D5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11" w:type="dxa"/>
            <w:noWrap w:val="0"/>
            <w:vAlign w:val="center"/>
          </w:tcPr>
          <w:p w14:paraId="1BF48E1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7343" w:type="dxa"/>
            <w:noWrap w:val="0"/>
            <w:vAlign w:val="center"/>
          </w:tcPr>
          <w:p w14:paraId="46B4F118">
            <w:pPr>
              <w:pStyle w:val="37"/>
              <w:pageBreakBefore w:val="0"/>
              <w:shd w:val="clear" w:color="auto" w:fill="auto"/>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阿勒泰地区青河县紧密型医共体提标资源共享中心扩能建设项目（超声类）</w:t>
            </w:r>
          </w:p>
        </w:tc>
      </w:tr>
      <w:tr w14:paraId="704B4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99" w:hRule="atLeast"/>
          <w:jc w:val="center"/>
        </w:trPr>
        <w:tc>
          <w:tcPr>
            <w:tcW w:w="898" w:type="dxa"/>
            <w:noWrap w:val="0"/>
            <w:vAlign w:val="center"/>
          </w:tcPr>
          <w:p w14:paraId="09E6399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611" w:type="dxa"/>
            <w:noWrap w:val="0"/>
            <w:vAlign w:val="center"/>
          </w:tcPr>
          <w:p w14:paraId="762984D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7343" w:type="dxa"/>
            <w:noWrap w:val="0"/>
            <w:vAlign w:val="center"/>
          </w:tcPr>
          <w:p w14:paraId="4C009B42">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名称：青河县人民医院　　　　　　　　</w:t>
            </w:r>
          </w:p>
          <w:p w14:paraId="7191AB8C">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地址：青河县模范北路13号</w:t>
            </w:r>
          </w:p>
          <w:p w14:paraId="3E3258C4">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none"/>
                <w:lang w:eastAsia="zh-CN"/>
              </w:rPr>
              <w:t>邓革新</w:t>
            </w:r>
          </w:p>
          <w:p w14:paraId="47B1635A">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none"/>
                <w:lang w:val="en-US" w:eastAsia="zh-CN"/>
              </w:rPr>
              <w:t>13345311070</w:t>
            </w:r>
          </w:p>
        </w:tc>
      </w:tr>
      <w:tr w14:paraId="5CCAB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6D8B4D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611" w:type="dxa"/>
            <w:noWrap w:val="0"/>
            <w:vAlign w:val="center"/>
          </w:tcPr>
          <w:p w14:paraId="526EC0F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343" w:type="dxa"/>
            <w:noWrap w:val="0"/>
            <w:vAlign w:val="center"/>
          </w:tcPr>
          <w:p w14:paraId="676F1EF5">
            <w:pPr>
              <w:pStyle w:val="37"/>
              <w:spacing w:line="360" w:lineRule="atLeast"/>
              <w:rPr>
                <w:rFonts w:hint="eastAsia" w:cs="宋体"/>
                <w:color w:val="auto"/>
                <w:szCs w:val="24"/>
                <w:highlight w:val="none"/>
              </w:rPr>
            </w:pPr>
            <w:r>
              <w:rPr>
                <w:rFonts w:hint="eastAsia" w:cs="宋体"/>
                <w:color w:val="auto"/>
                <w:szCs w:val="24"/>
                <w:highlight w:val="none"/>
              </w:rPr>
              <w:t>名 称：新疆华域建设工程项目管理咨询有限公司</w:t>
            </w:r>
          </w:p>
          <w:p w14:paraId="09FCD177">
            <w:pPr>
              <w:pStyle w:val="37"/>
              <w:spacing w:line="360" w:lineRule="atLeast"/>
              <w:rPr>
                <w:rFonts w:hint="eastAsia" w:cs="宋体"/>
                <w:color w:val="auto"/>
                <w:szCs w:val="24"/>
                <w:highlight w:val="none"/>
              </w:rPr>
            </w:pPr>
            <w:r>
              <w:rPr>
                <w:rFonts w:hint="eastAsia" w:cs="宋体"/>
                <w:color w:val="auto"/>
                <w:szCs w:val="24"/>
                <w:highlight w:val="none"/>
              </w:rPr>
              <w:t>地 址：乌鲁木齐市五星北路194号新地园大厦13、14楼</w:t>
            </w:r>
          </w:p>
          <w:p w14:paraId="0C196FBE">
            <w:pPr>
              <w:pStyle w:val="37"/>
              <w:spacing w:line="360" w:lineRule="atLeast"/>
              <w:rPr>
                <w:rFonts w:hint="eastAsia" w:cs="宋体"/>
                <w:color w:val="auto"/>
                <w:szCs w:val="24"/>
                <w:highlight w:val="none"/>
              </w:rPr>
            </w:pPr>
            <w:r>
              <w:rPr>
                <w:rFonts w:hint="eastAsia" w:cs="宋体"/>
                <w:color w:val="auto"/>
                <w:szCs w:val="24"/>
                <w:highlight w:val="none"/>
              </w:rPr>
              <w:t>联系人：</w:t>
            </w:r>
            <w:r>
              <w:rPr>
                <w:rFonts w:hint="eastAsia" w:cs="宋体"/>
                <w:color w:val="auto"/>
                <w:sz w:val="24"/>
                <w:szCs w:val="24"/>
                <w:highlight w:val="none"/>
                <w:u w:val="none"/>
                <w:lang w:val="en-US" w:eastAsia="zh-CN"/>
              </w:rPr>
              <w:t>王文周、李昱骁、薛迎、王慧</w:t>
            </w:r>
            <w:r>
              <w:rPr>
                <w:rFonts w:hint="eastAsia" w:ascii="宋体" w:hAnsi="宋体" w:eastAsia="宋体" w:cs="宋体"/>
                <w:color w:val="auto"/>
                <w:sz w:val="24"/>
                <w:szCs w:val="24"/>
                <w:highlight w:val="none"/>
                <w:u w:val="none"/>
                <w:lang w:val="en-US" w:eastAsia="zh-CN"/>
              </w:rPr>
              <w:t xml:space="preserve"> </w:t>
            </w:r>
          </w:p>
          <w:p w14:paraId="372381FA">
            <w:pPr>
              <w:keepNext w:val="0"/>
              <w:keepLines w:val="0"/>
              <w:pageBreakBefore w:val="0"/>
              <w:widowControl/>
              <w:shd w:val="clear" w:color="auto" w:fill="auto"/>
              <w:kinsoku/>
              <w:wordWrap/>
              <w:overflowPunct/>
              <w:topLinePunct w:val="0"/>
              <w:bidi w:val="0"/>
              <w:adjustRightInd w:val="0"/>
              <w:snapToGrid w:val="0"/>
              <w:spacing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cs="宋体"/>
                <w:color w:val="auto"/>
                <w:szCs w:val="24"/>
                <w:highlight w:val="none"/>
              </w:rPr>
              <w:t>联系方式：</w:t>
            </w:r>
            <w:r>
              <w:rPr>
                <w:rFonts w:hint="eastAsia" w:cs="宋体"/>
                <w:color w:val="auto"/>
                <w:szCs w:val="24"/>
                <w:highlight w:val="none"/>
                <w:lang w:val="en-US" w:eastAsia="zh-CN"/>
              </w:rPr>
              <w:t>13999938813  、13899901320</w:t>
            </w:r>
            <w:r>
              <w:rPr>
                <w:rFonts w:hint="eastAsia" w:ascii="宋体" w:hAnsi="宋体" w:eastAsia="宋体" w:cs="宋体"/>
                <w:color w:val="auto"/>
                <w:spacing w:val="0"/>
                <w:position w:val="0"/>
                <w:sz w:val="24"/>
                <w:szCs w:val="24"/>
                <w:highlight w:val="none"/>
              </w:rPr>
              <w:t xml:space="preserve">  </w:t>
            </w:r>
          </w:p>
        </w:tc>
      </w:tr>
      <w:tr w14:paraId="06853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F11004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611" w:type="dxa"/>
            <w:noWrap w:val="0"/>
            <w:vAlign w:val="center"/>
          </w:tcPr>
          <w:p w14:paraId="762B441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核心产品</w:t>
            </w:r>
          </w:p>
        </w:tc>
        <w:tc>
          <w:tcPr>
            <w:tcW w:w="7343" w:type="dxa"/>
            <w:noWrap w:val="0"/>
            <w:vAlign w:val="center"/>
          </w:tcPr>
          <w:p w14:paraId="69A6089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包不适用。 </w:t>
            </w:r>
          </w:p>
          <w:p w14:paraId="4EB9EFD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包为单一产品采购项目。 </w:t>
            </w:r>
          </w:p>
          <w:p w14:paraId="1687B243">
            <w:pPr>
              <w:pStyle w:val="37"/>
              <w:pageBreakBefore w:val="0"/>
              <w:kinsoku/>
              <w:overflowPunct/>
              <w:topLinePunct w:val="0"/>
              <w:bidi w:val="0"/>
              <w:spacing w:line="440" w:lineRule="exact"/>
              <w:ind w:left="0" w:firstLine="0" w:firstLineChars="0"/>
              <w:textAlignment w:val="auto"/>
              <w:rPr>
                <w:rFonts w:hint="default" w:ascii="宋体" w:hAnsi="宋体" w:eastAsia="宋体" w:cs="宋体"/>
                <w:color w:val="auto"/>
                <w:kern w:val="2"/>
                <w:sz w:val="24"/>
                <w:szCs w:val="24"/>
                <w:highlight w:val="none"/>
                <w:u w:val="single"/>
                <w:lang w:val="en-US" w:eastAsia="zh-CN" w:bidi="ar-SA"/>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包为非单一产品采购项目，其中核心产品为：</w:t>
            </w:r>
            <w:r>
              <w:rPr>
                <w:rFonts w:hint="eastAsia" w:ascii="宋体" w:hAnsi="宋体" w:eastAsia="宋体" w:cs="宋体"/>
                <w:color w:val="auto"/>
                <w:sz w:val="24"/>
                <w:szCs w:val="24"/>
                <w:highlight w:val="none"/>
                <w:u w:val="single"/>
              </w:rPr>
              <w:t>全数字化高端彩色多普勒超声诊断仪</w:t>
            </w:r>
          </w:p>
        </w:tc>
      </w:tr>
      <w:tr w14:paraId="7F27C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1D3D490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611" w:type="dxa"/>
            <w:noWrap w:val="0"/>
            <w:vAlign w:val="center"/>
          </w:tcPr>
          <w:p w14:paraId="739AAB96">
            <w:pPr>
              <w:pageBreakBefore w:val="0"/>
              <w:widowControl/>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科研仪器设备</w:t>
            </w:r>
          </w:p>
        </w:tc>
        <w:tc>
          <w:tcPr>
            <w:tcW w:w="7343" w:type="dxa"/>
            <w:noWrap w:val="0"/>
            <w:vAlign w:val="center"/>
          </w:tcPr>
          <w:p w14:paraId="2125CDED">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是否属于科研仪器设备采购项目： </w:t>
            </w:r>
          </w:p>
          <w:p w14:paraId="4C455D28">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是 </w:t>
            </w:r>
          </w:p>
          <w:p w14:paraId="6893C4AD">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否</w:t>
            </w:r>
          </w:p>
        </w:tc>
      </w:tr>
      <w:tr w14:paraId="590BF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8BC203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611" w:type="dxa"/>
            <w:noWrap w:val="0"/>
            <w:vAlign w:val="center"/>
          </w:tcPr>
          <w:p w14:paraId="0BF96EF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bookmarkStart w:id="69" w:name="_Hlk143529175"/>
            <w:r>
              <w:rPr>
                <w:rFonts w:hint="eastAsia" w:ascii="宋体" w:hAnsi="宋体" w:eastAsia="宋体" w:cs="宋体"/>
                <w:color w:val="auto"/>
                <w:sz w:val="24"/>
                <w:szCs w:val="24"/>
                <w:highlight w:val="none"/>
              </w:rPr>
              <w:t>现场考察</w:t>
            </w:r>
            <w:bookmarkEnd w:id="69"/>
          </w:p>
        </w:tc>
        <w:tc>
          <w:tcPr>
            <w:tcW w:w="7343" w:type="dxa"/>
            <w:noWrap w:val="0"/>
            <w:vAlign w:val="center"/>
          </w:tcPr>
          <w:p w14:paraId="1B8632C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p>
          <w:p w14:paraId="19C2CE9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33FA98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B8D57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FFF27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C14C81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611" w:type="dxa"/>
            <w:noWrap w:val="0"/>
            <w:vAlign w:val="center"/>
          </w:tcPr>
          <w:p w14:paraId="485ACC1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343" w:type="dxa"/>
            <w:noWrap w:val="0"/>
            <w:vAlign w:val="center"/>
          </w:tcPr>
          <w:p w14:paraId="7BC1137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04F8957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1C00EA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064637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15C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2741D0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611" w:type="dxa"/>
            <w:noWrap w:val="0"/>
            <w:vAlign w:val="center"/>
          </w:tcPr>
          <w:p w14:paraId="25329CC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343" w:type="dxa"/>
            <w:noWrap w:val="0"/>
            <w:vAlign w:val="center"/>
          </w:tcPr>
          <w:p w14:paraId="53DD8DE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6535BE9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在供应商客户端中按照格式填写询问函，并在生成询问函后加盖电子印章提交；其他询问</w:t>
            </w:r>
            <w:r>
              <w:rPr>
                <w:rFonts w:hint="eastAsia" w:ascii="宋体" w:hAnsi="宋体" w:eastAsia="宋体" w:cs="宋体"/>
                <w:color w:val="auto"/>
                <w:sz w:val="24"/>
                <w:szCs w:val="24"/>
                <w:highlight w:val="none"/>
                <w:u w:val="none"/>
              </w:rPr>
              <w:t>方式：以加盖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u w:val="none"/>
              </w:rPr>
              <w:t>公章的书面形式递交至代理公司。</w:t>
            </w:r>
          </w:p>
          <w:p w14:paraId="63D8F96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2.时间要求：</w:t>
            </w:r>
          </w:p>
          <w:p w14:paraId="0DF1A2F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收到采购文件之日起7个工作日内（逾期视为对招标文件内容无异议的，采购人将视其为同意。在规定的时间后就招标文件内容提出的异议或询问的将不予受理。）。</w:t>
            </w:r>
          </w:p>
        </w:tc>
      </w:tr>
      <w:tr w14:paraId="3E32F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26355E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snapToGrid w:val="0"/>
                <w:color w:val="auto"/>
                <w:szCs w:val="24"/>
                <w:highlight w:val="none"/>
              </w:rPr>
            </w:pPr>
            <w:r>
              <w:rPr>
                <w:rFonts w:hint="eastAsia" w:cs="宋体"/>
                <w:color w:val="auto"/>
                <w:sz w:val="24"/>
                <w:szCs w:val="24"/>
                <w:highlight w:val="none"/>
                <w:u w:val="none"/>
                <w:lang w:val="en-US" w:eastAsia="zh-CN"/>
              </w:rPr>
              <w:t xml:space="preserve">14.6 </w:t>
            </w:r>
          </w:p>
        </w:tc>
        <w:tc>
          <w:tcPr>
            <w:tcW w:w="1611" w:type="dxa"/>
            <w:noWrap w:val="0"/>
            <w:vAlign w:val="center"/>
          </w:tcPr>
          <w:p w14:paraId="18DBF1B9">
            <w:pPr>
              <w:pStyle w:val="37"/>
              <w:pageBreakBefore w:val="0"/>
              <w:kinsoku/>
              <w:overflowPunct/>
              <w:topLinePunct w:val="0"/>
              <w:bidi w:val="0"/>
              <w:spacing w:line="440" w:lineRule="exact"/>
              <w:ind w:left="0" w:firstLine="0" w:firstLineChars="0"/>
              <w:jc w:val="center"/>
              <w:textAlignment w:val="auto"/>
              <w:rPr>
                <w:rFonts w:hint="eastAsia" w:cs="宋体"/>
                <w:color w:val="auto"/>
                <w:sz w:val="24"/>
                <w:szCs w:val="24"/>
                <w:highlight w:val="none"/>
                <w:lang w:val="en-US" w:eastAsia="zh-CN"/>
              </w:rPr>
            </w:pPr>
            <w:r>
              <w:rPr>
                <w:rFonts w:hint="eastAsia" w:cs="宋体"/>
                <w:color w:val="auto"/>
                <w:sz w:val="24"/>
                <w:szCs w:val="24"/>
                <w:highlight w:val="none"/>
                <w:u w:val="none"/>
                <w:lang w:val="en-US" w:eastAsia="zh-CN"/>
              </w:rPr>
              <w:t>预算金额或者最高投标限价</w:t>
            </w:r>
          </w:p>
        </w:tc>
        <w:tc>
          <w:tcPr>
            <w:tcW w:w="7343" w:type="dxa"/>
            <w:noWrap w:val="0"/>
            <w:vAlign w:val="center"/>
          </w:tcPr>
          <w:p w14:paraId="3E70FDEB">
            <w:pPr>
              <w:pStyle w:val="37"/>
              <w:pageBreakBefore w:val="0"/>
              <w:kinsoku/>
              <w:overflowPunct/>
              <w:topLinePunct w:val="0"/>
              <w:bidi w:val="0"/>
              <w:spacing w:line="440" w:lineRule="exact"/>
              <w:ind w:left="0" w:firstLine="0" w:firstLine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投标报价不得超过招标文件第三章采购需求中规定的最高投标限价总价，否则评标委员会将对其作无效投标处理。</w:t>
            </w:r>
          </w:p>
        </w:tc>
      </w:tr>
      <w:tr w14:paraId="4F86C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FCC0BD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611" w:type="dxa"/>
            <w:noWrap w:val="0"/>
            <w:vAlign w:val="center"/>
          </w:tcPr>
          <w:p w14:paraId="415D550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343" w:type="dxa"/>
            <w:noWrap w:val="0"/>
            <w:vAlign w:val="center"/>
          </w:tcPr>
          <w:p w14:paraId="1A82E69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3481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5" w:hRule="atLeast"/>
          <w:jc w:val="center"/>
        </w:trPr>
        <w:tc>
          <w:tcPr>
            <w:tcW w:w="898" w:type="dxa"/>
            <w:noWrap w:val="0"/>
            <w:vAlign w:val="center"/>
          </w:tcPr>
          <w:p w14:paraId="63DA5C5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611" w:type="dxa"/>
            <w:noWrap w:val="0"/>
            <w:vAlign w:val="center"/>
          </w:tcPr>
          <w:p w14:paraId="501837F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343" w:type="dxa"/>
            <w:noWrap w:val="0"/>
            <w:vAlign w:val="center"/>
          </w:tcPr>
          <w:p w14:paraId="3C26B818">
            <w:pPr>
              <w:spacing w:line="360" w:lineRule="atLeast"/>
              <w:rPr>
                <w:rFonts w:hint="eastAsia"/>
                <w:color w:val="auto"/>
                <w:szCs w:val="24"/>
                <w:highlight w:val="none"/>
              </w:rPr>
            </w:pPr>
            <w:r>
              <w:rPr>
                <w:rFonts w:hint="eastAsia"/>
                <w:color w:val="auto"/>
                <w:szCs w:val="24"/>
                <w:highlight w:val="none"/>
              </w:rPr>
              <w:t>投标保证金：</w:t>
            </w:r>
          </w:p>
          <w:p w14:paraId="127BD5C2">
            <w:pPr>
              <w:spacing w:line="360" w:lineRule="atLeast"/>
              <w:rPr>
                <w:rFonts w:hint="default"/>
                <w:color w:val="auto"/>
                <w:szCs w:val="24"/>
                <w:highlight w:val="none"/>
                <w:lang w:val="en-US" w:eastAsia="zh-CN"/>
              </w:rPr>
            </w:pPr>
            <w:r>
              <w:rPr>
                <w:rFonts w:hint="eastAsia"/>
                <w:color w:val="auto"/>
                <w:szCs w:val="24"/>
                <w:highlight w:val="none"/>
                <w:lang w:val="en-US" w:eastAsia="zh-CN"/>
              </w:rPr>
              <w:t>金额</w:t>
            </w:r>
            <w:r>
              <w:rPr>
                <w:rFonts w:hint="eastAsia"/>
                <w:color w:val="auto"/>
                <w:szCs w:val="24"/>
                <w:highlight w:val="none"/>
              </w:rPr>
              <w:t>：</w:t>
            </w:r>
            <w:r>
              <w:rPr>
                <w:rFonts w:hint="eastAsia"/>
                <w:color w:val="auto"/>
                <w:szCs w:val="24"/>
                <w:highlight w:val="none"/>
                <w:lang w:val="en-US" w:eastAsia="zh-CN"/>
              </w:rPr>
              <w:t>160000.00</w:t>
            </w:r>
            <w:r>
              <w:rPr>
                <w:rFonts w:hint="eastAsia"/>
                <w:color w:val="auto"/>
                <w:szCs w:val="24"/>
                <w:highlight w:val="none"/>
              </w:rPr>
              <w:t>元</w:t>
            </w:r>
          </w:p>
          <w:p w14:paraId="19D7000F">
            <w:pPr>
              <w:spacing w:line="360" w:lineRule="atLeast"/>
              <w:rPr>
                <w:rFonts w:hint="eastAsia"/>
                <w:color w:val="auto"/>
                <w:szCs w:val="24"/>
                <w:highlight w:val="none"/>
              </w:rPr>
            </w:pPr>
            <w:r>
              <w:rPr>
                <w:rFonts w:hint="eastAsia"/>
                <w:color w:val="auto"/>
                <w:szCs w:val="24"/>
                <w:highlight w:val="none"/>
              </w:rPr>
              <w:t>投标保证金缴纳方式：以支票、汇票、本票或者金融机构、担保机构出具的保函等非现金形式提交。</w:t>
            </w:r>
          </w:p>
          <w:p w14:paraId="54F27839">
            <w:pPr>
              <w:spacing w:line="360" w:lineRule="atLeast"/>
              <w:rPr>
                <w:rFonts w:hint="eastAsia"/>
                <w:color w:val="auto"/>
                <w:szCs w:val="24"/>
                <w:highlight w:val="none"/>
              </w:rPr>
            </w:pPr>
            <w:r>
              <w:rPr>
                <w:rFonts w:hint="eastAsia"/>
                <w:color w:val="auto"/>
                <w:szCs w:val="24"/>
                <w:highlight w:val="none"/>
              </w:rPr>
              <w:t>投标保证金缴纳账号：</w:t>
            </w:r>
          </w:p>
          <w:p w14:paraId="32374E6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开户名称：新疆华域建设工程项目管理咨询有限公司</w:t>
            </w:r>
          </w:p>
          <w:p w14:paraId="53F488F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开户银行：中国银行乌鲁木齐南湖东路支行</w:t>
            </w:r>
          </w:p>
          <w:p w14:paraId="43902AA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 xml:space="preserve">开户行行号：104881006151 </w:t>
            </w:r>
          </w:p>
          <w:p w14:paraId="672A160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账   号： 107083025521</w:t>
            </w:r>
          </w:p>
          <w:p w14:paraId="4AB16A7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b/>
                <w:bCs/>
                <w:color w:val="auto"/>
                <w:sz w:val="24"/>
                <w:szCs w:val="24"/>
                <w:highlight w:val="none"/>
              </w:rPr>
            </w:pPr>
            <w:r>
              <w:rPr>
                <w:rFonts w:hint="eastAsia"/>
                <w:color w:val="auto"/>
                <w:sz w:val="24"/>
                <w:szCs w:val="24"/>
                <w:highlight w:val="none"/>
              </w:rPr>
              <w:t>投标保证金缴纳期限：凡拟参加本次招标项目的供应商，必须在</w:t>
            </w:r>
            <w:r>
              <w:rPr>
                <w:rFonts w:hint="eastAsia"/>
                <w:color w:val="auto"/>
                <w:sz w:val="24"/>
                <w:szCs w:val="24"/>
                <w:highlight w:val="none"/>
                <w:lang w:val="en-US"/>
              </w:rPr>
              <w:t>投标文件递交截止时间之</w:t>
            </w:r>
            <w:r>
              <w:rPr>
                <w:rFonts w:hint="eastAsia"/>
                <w:color w:val="auto"/>
                <w:sz w:val="24"/>
                <w:szCs w:val="24"/>
                <w:highlight w:val="none"/>
              </w:rPr>
              <w:t>前将投标保证金汇入指定账户</w:t>
            </w:r>
            <w:r>
              <w:rPr>
                <w:rFonts w:hint="eastAsia"/>
                <w:b/>
                <w:bCs/>
                <w:color w:val="auto"/>
                <w:sz w:val="24"/>
                <w:szCs w:val="24"/>
                <w:highlight w:val="none"/>
              </w:rPr>
              <w:t>（</w:t>
            </w:r>
            <w:r>
              <w:rPr>
                <w:rFonts w:hint="eastAsia"/>
                <w:b/>
                <w:bCs/>
                <w:color w:val="auto"/>
                <w:sz w:val="24"/>
                <w:szCs w:val="24"/>
                <w:highlight w:val="none"/>
                <w:lang w:val="en-US"/>
              </w:rPr>
              <w:t>以到账为准</w:t>
            </w:r>
            <w:r>
              <w:rPr>
                <w:rFonts w:hint="eastAsia"/>
                <w:b/>
                <w:bCs/>
                <w:color w:val="auto"/>
                <w:sz w:val="24"/>
                <w:szCs w:val="24"/>
                <w:highlight w:val="none"/>
              </w:rPr>
              <w:t>）。</w:t>
            </w:r>
          </w:p>
          <w:p w14:paraId="5A83143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ascii="宋体" w:hAnsi="宋体" w:eastAsia="宋体" w:cs="宋体"/>
                <w:color w:val="auto"/>
                <w:sz w:val="24"/>
                <w:szCs w:val="24"/>
                <w:highlight w:val="none"/>
              </w:rPr>
            </w:pPr>
            <w:r>
              <w:rPr>
                <w:rFonts w:hint="eastAsia"/>
                <w:b/>
                <w:bCs/>
                <w:color w:val="auto"/>
                <w:sz w:val="24"/>
                <w:szCs w:val="24"/>
                <w:highlight w:val="none"/>
              </w:rPr>
              <w:t>注：供应商缴纳投标保证金时，须备注所投</w:t>
            </w:r>
            <w:r>
              <w:rPr>
                <w:rFonts w:hint="eastAsia"/>
                <w:b/>
                <w:bCs/>
                <w:color w:val="auto"/>
                <w:sz w:val="24"/>
                <w:szCs w:val="24"/>
                <w:highlight w:val="none"/>
                <w:lang w:val="en-US"/>
              </w:rPr>
              <w:t>项目名称</w:t>
            </w:r>
            <w:r>
              <w:rPr>
                <w:rFonts w:hint="eastAsia"/>
                <w:b/>
                <w:bCs/>
                <w:color w:val="auto"/>
                <w:sz w:val="24"/>
                <w:szCs w:val="24"/>
                <w:highlight w:val="none"/>
                <w:lang w:val="en-US" w:eastAsia="zh-CN"/>
              </w:rPr>
              <w:t>（可简写）</w:t>
            </w:r>
            <w:r>
              <w:rPr>
                <w:rFonts w:hint="eastAsia"/>
                <w:b/>
                <w:bCs/>
                <w:color w:val="auto"/>
                <w:sz w:val="24"/>
                <w:szCs w:val="24"/>
                <w:highlight w:val="none"/>
              </w:rPr>
              <w:t>。</w:t>
            </w:r>
            <w:r>
              <w:rPr>
                <w:rFonts w:hint="eastAsia" w:ascii="宋体" w:hAnsi="宋体" w:eastAsia="宋体" w:cs="宋体"/>
                <w:color w:val="auto"/>
                <w:sz w:val="24"/>
                <w:szCs w:val="24"/>
                <w:highlight w:val="none"/>
              </w:rPr>
              <w:t xml:space="preserve">              </w:t>
            </w:r>
          </w:p>
          <w:p w14:paraId="576BA09D">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4206CC3E">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63DCBA50">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7E858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34" w:hRule="atLeast"/>
          <w:jc w:val="center"/>
        </w:trPr>
        <w:tc>
          <w:tcPr>
            <w:tcW w:w="898" w:type="dxa"/>
            <w:noWrap w:val="0"/>
            <w:vAlign w:val="center"/>
          </w:tcPr>
          <w:p w14:paraId="5DBC9D9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611" w:type="dxa"/>
            <w:noWrap w:val="0"/>
            <w:vAlign w:val="center"/>
          </w:tcPr>
          <w:p w14:paraId="676E9D3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343" w:type="dxa"/>
            <w:noWrap w:val="0"/>
            <w:vAlign w:val="center"/>
          </w:tcPr>
          <w:p w14:paraId="123DFED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投标样品递交： </w:t>
            </w:r>
          </w:p>
          <w:p w14:paraId="7391C38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6667033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□需要，具体要求如下： </w:t>
            </w:r>
          </w:p>
          <w:p w14:paraId="64CCD27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1.样品制作的标准和要求：_________； </w:t>
            </w:r>
          </w:p>
          <w:p w14:paraId="4C3F5BF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2.是否需要随样品提交相关检测报告： </w:t>
            </w:r>
          </w:p>
          <w:p w14:paraId="119D52C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23DE556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 </w:t>
            </w:r>
          </w:p>
          <w:p w14:paraId="229F65C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0E103B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，逾期提供的样品将不予接受。 </w:t>
            </w:r>
          </w:p>
          <w:p w14:paraId="52304A9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4.未中标人样品退还：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4C8E8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5.中标人样品保管、封存及退还：_________； </w:t>
            </w:r>
          </w:p>
          <w:p w14:paraId="01E5F42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6.其他要求（如有）：_________。 </w:t>
            </w:r>
          </w:p>
        </w:tc>
      </w:tr>
      <w:tr w14:paraId="30959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7" w:hRule="atLeast"/>
          <w:jc w:val="center"/>
        </w:trPr>
        <w:tc>
          <w:tcPr>
            <w:tcW w:w="898" w:type="dxa"/>
            <w:noWrap w:val="0"/>
            <w:vAlign w:val="center"/>
          </w:tcPr>
          <w:p w14:paraId="44F40D4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611" w:type="dxa"/>
            <w:noWrap w:val="0"/>
            <w:vAlign w:val="center"/>
          </w:tcPr>
          <w:p w14:paraId="03D06FA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343" w:type="dxa"/>
            <w:noWrap w:val="0"/>
            <w:vAlign w:val="center"/>
          </w:tcPr>
          <w:p w14:paraId="10B4D35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72245BC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0ED2C45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1BB1416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07A693D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E8C1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797880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c>
          <w:tcPr>
            <w:tcW w:w="1611" w:type="dxa"/>
            <w:noWrap w:val="0"/>
            <w:vAlign w:val="center"/>
          </w:tcPr>
          <w:p w14:paraId="34339B3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343" w:type="dxa"/>
            <w:noWrap w:val="0"/>
            <w:vAlign w:val="center"/>
          </w:tcPr>
          <w:p w14:paraId="0497D41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分钟。 </w:t>
            </w:r>
          </w:p>
          <w:p w14:paraId="227CCF6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592D5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1BE96B0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611" w:type="dxa"/>
            <w:noWrap w:val="0"/>
            <w:vAlign w:val="center"/>
          </w:tcPr>
          <w:p w14:paraId="4EB8C1A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343" w:type="dxa"/>
            <w:noWrap w:val="0"/>
            <w:vAlign w:val="center"/>
          </w:tcPr>
          <w:p w14:paraId="381F200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综合评分法</w:t>
            </w:r>
          </w:p>
          <w:p w14:paraId="53FBAC4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最低评标价法</w:t>
            </w:r>
          </w:p>
        </w:tc>
      </w:tr>
      <w:tr w14:paraId="6AB053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54F635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611" w:type="dxa"/>
            <w:noWrap w:val="0"/>
            <w:vAlign w:val="center"/>
          </w:tcPr>
          <w:p w14:paraId="310F926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343" w:type="dxa"/>
            <w:noWrap w:val="0"/>
            <w:vAlign w:val="center"/>
          </w:tcPr>
          <w:p w14:paraId="6CBB16A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35874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179967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611" w:type="dxa"/>
            <w:noWrap w:val="0"/>
            <w:vAlign w:val="center"/>
          </w:tcPr>
          <w:p w14:paraId="058E620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343" w:type="dxa"/>
            <w:noWrap w:val="0"/>
            <w:vAlign w:val="center"/>
          </w:tcPr>
          <w:p w14:paraId="15B323B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7894640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579B2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90" w:hRule="atLeast"/>
          <w:jc w:val="center"/>
        </w:trPr>
        <w:tc>
          <w:tcPr>
            <w:tcW w:w="898" w:type="dxa"/>
            <w:noWrap w:val="0"/>
            <w:vAlign w:val="center"/>
          </w:tcPr>
          <w:p w14:paraId="6943913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p>
          <w:p w14:paraId="69AD19F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p>
        </w:tc>
        <w:tc>
          <w:tcPr>
            <w:tcW w:w="1611" w:type="dxa"/>
            <w:noWrap w:val="0"/>
            <w:vAlign w:val="center"/>
          </w:tcPr>
          <w:p w14:paraId="4BD320B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提供相同品牌产品的不同投标人确定中标候选人的规定</w:t>
            </w:r>
          </w:p>
        </w:tc>
        <w:tc>
          <w:tcPr>
            <w:tcW w:w="7343" w:type="dxa"/>
            <w:noWrap w:val="0"/>
            <w:vAlign w:val="center"/>
          </w:tcPr>
          <w:p w14:paraId="30C464B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经济报价较低的投标人获得中标人推荐资格的</w:t>
            </w:r>
            <w:r>
              <w:rPr>
                <w:rFonts w:hint="eastAsia" w:ascii="宋体" w:hAnsi="宋体" w:eastAsia="宋体" w:cs="宋体"/>
                <w:color w:val="auto"/>
                <w:kern w:val="0"/>
                <w:sz w:val="24"/>
                <w:szCs w:val="24"/>
                <w:highlight w:val="none"/>
              </w:rPr>
              <w:t>方式确定一个投标人获得中标人推荐资格，其他同品牌投标人不作为中标候选人。</w:t>
            </w:r>
          </w:p>
          <w:p w14:paraId="0B7A5CB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方式确定一个参加评标的投标人，其他投标无效。</w:t>
            </w:r>
          </w:p>
        </w:tc>
      </w:tr>
      <w:tr w14:paraId="00EB42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79" w:hRule="atLeast"/>
          <w:jc w:val="center"/>
        </w:trPr>
        <w:tc>
          <w:tcPr>
            <w:tcW w:w="898" w:type="dxa"/>
            <w:noWrap w:val="0"/>
            <w:vAlign w:val="center"/>
          </w:tcPr>
          <w:p w14:paraId="676D0F0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611" w:type="dxa"/>
            <w:noWrap w:val="0"/>
            <w:vAlign w:val="center"/>
          </w:tcPr>
          <w:p w14:paraId="5BF05E71">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343" w:type="dxa"/>
            <w:noWrap w:val="0"/>
            <w:vAlign w:val="center"/>
          </w:tcPr>
          <w:p w14:paraId="3F6C148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1.金额：</w:t>
            </w:r>
          </w:p>
          <w:p w14:paraId="7215824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08BDFA1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w:t>
            </w:r>
          </w:p>
          <w:p w14:paraId="0C005AE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AB9FDA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p>
          <w:p w14:paraId="5ADE30C8">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投标人可自主选择以支票、汇票、本票、电汇、转账、网银、保函等非现金形式缴纳或提交保证金。</w:t>
            </w:r>
          </w:p>
          <w:p w14:paraId="6CE1C5C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3.收取单位：                            </w:t>
            </w:r>
          </w:p>
          <w:p w14:paraId="37ACCEB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4.收取账号：              </w:t>
            </w:r>
          </w:p>
          <w:p w14:paraId="7279593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5.退还时间：              </w:t>
            </w:r>
          </w:p>
          <w:p w14:paraId="063B8DF9">
            <w:pPr>
              <w:pStyle w:val="37"/>
              <w:pageBreakBefore w:val="0"/>
              <w:kinsoku/>
              <w:overflowPunct/>
              <w:topLinePunct w:val="0"/>
              <w:bidi w:val="0"/>
              <w:spacing w:line="440" w:lineRule="exact"/>
              <w:ind w:lef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3FCE81D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728C8D0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p w14:paraId="148B1481">
            <w:pPr>
              <w:pStyle w:val="37"/>
              <w:pageBreakBefore w:val="0"/>
              <w:kinsoku/>
              <w:overflowPunct/>
              <w:topLinePunct w:val="0"/>
              <w:bidi w:val="0"/>
              <w:spacing w:line="440" w:lineRule="exact"/>
              <w:ind w:left="0" w:firstLine="240" w:firstLineChars="1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中标通知书》发出后20日内，中标方足额缴纳履约保证金，未按要求提交履约保函或缴纳保证金的视为投标人不具备履约能力，采购人有权取消其中标资格，并可根据相关法律法规决定是否不予退还投标保证金。项目验收合格后退还履约保证金。</w:t>
            </w:r>
          </w:p>
        </w:tc>
      </w:tr>
      <w:tr w14:paraId="52939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7D07B4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p>
        </w:tc>
        <w:tc>
          <w:tcPr>
            <w:tcW w:w="1611" w:type="dxa"/>
            <w:noWrap w:val="0"/>
            <w:vAlign w:val="center"/>
          </w:tcPr>
          <w:p w14:paraId="115399C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7343" w:type="dxa"/>
            <w:noWrap w:val="0"/>
            <w:vAlign w:val="center"/>
          </w:tcPr>
          <w:p w14:paraId="0975036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14:paraId="4F51856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不允许 </w:t>
            </w:r>
          </w:p>
          <w:p w14:paraId="618E70B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允许，具体要求： </w:t>
            </w:r>
          </w:p>
          <w:p w14:paraId="3EDED91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none"/>
              </w:rPr>
              <w:t>_</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_</w:t>
            </w:r>
            <w:r>
              <w:rPr>
                <w:rFonts w:hint="eastAsia" w:ascii="宋体" w:hAnsi="宋体" w:eastAsia="宋体" w:cs="宋体"/>
                <w:color w:val="auto"/>
                <w:sz w:val="24"/>
                <w:szCs w:val="24"/>
                <w:highlight w:val="none"/>
              </w:rPr>
              <w:t xml:space="preserve">； </w:t>
            </w:r>
          </w:p>
          <w:p w14:paraId="5E6844B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p w14:paraId="072E2EF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tc>
      </w:tr>
      <w:tr w14:paraId="5B90D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A8E828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611" w:type="dxa"/>
            <w:noWrap w:val="0"/>
            <w:vAlign w:val="center"/>
          </w:tcPr>
          <w:p w14:paraId="42FF1BC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343" w:type="dxa"/>
            <w:noWrap w:val="0"/>
            <w:vAlign w:val="center"/>
          </w:tcPr>
          <w:p w14:paraId="59054E27">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针对同一采购程序环节的质疑次数：一次性提出</w:t>
            </w:r>
          </w:p>
          <w:p w14:paraId="2DFCB1E1">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递交方式：书面形式递交             </w:t>
            </w:r>
          </w:p>
          <w:p w14:paraId="41411EF4">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接收部门：新疆华域建设工程项目管理咨询有限公司              </w:t>
            </w:r>
          </w:p>
          <w:p w14:paraId="61DE580A">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rPr>
              <w:t xml:space="preserve">： </w:t>
            </w:r>
            <w:r>
              <w:rPr>
                <w:rFonts w:hint="eastAsia" w:ascii="宋体" w:hAnsi="宋体" w:cs="宋体"/>
                <w:color w:val="auto"/>
                <w:sz w:val="24"/>
                <w:szCs w:val="24"/>
                <w:highlight w:val="none"/>
                <w:lang w:val="en-US" w:eastAsia="zh-CN"/>
              </w:rPr>
              <w:t>王文周、李昱骁、薛迎、王慧</w:t>
            </w:r>
          </w:p>
          <w:p w14:paraId="1BBADA19">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联系电话：13999938813、13899901320            </w:t>
            </w:r>
          </w:p>
          <w:p w14:paraId="08CC2E4D">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通讯地址：乌鲁木齐市五星北路194号新地园大厦1401            </w:t>
            </w:r>
          </w:p>
        </w:tc>
      </w:tr>
      <w:tr w14:paraId="09E08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7070362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p>
        </w:tc>
        <w:tc>
          <w:tcPr>
            <w:tcW w:w="1611" w:type="dxa"/>
            <w:noWrap w:val="0"/>
            <w:vAlign w:val="center"/>
          </w:tcPr>
          <w:p w14:paraId="36B56FA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343" w:type="dxa"/>
            <w:noWrap w:val="0"/>
            <w:vAlign w:val="center"/>
          </w:tcPr>
          <w:p w14:paraId="5E3C5D3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2F0BCE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2.收费标准：</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收取</w:t>
            </w:r>
            <w:r>
              <w:rPr>
                <w:rFonts w:hint="eastAsia" w:ascii="宋体" w:hAnsi="宋体" w:cs="宋体"/>
                <w:b w:val="0"/>
                <w:i w:val="0"/>
                <w:caps w:val="0"/>
                <w:color w:val="auto"/>
                <w:spacing w:val="0"/>
                <w:w w:val="100"/>
                <w:kern w:val="2"/>
                <w:position w:val="0"/>
                <w:sz w:val="24"/>
                <w:szCs w:val="24"/>
                <w:highlight w:val="none"/>
                <w:u w:val="single" w:color="auto"/>
                <w:lang w:val="en-US" w:eastAsia="zh-CN" w:bidi="ar-SA"/>
              </w:rPr>
              <w:t>，</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由中标人向采购代理机构支付。本项目最高限价已包含代理服务费，请供应商将该费用考虑在报价之中，招标人将不另行支付</w:t>
            </w:r>
            <w:r>
              <w:rPr>
                <w:rFonts w:hint="eastAsia" w:ascii="宋体" w:hAnsi="宋体" w:eastAsia="宋体" w:cs="宋体"/>
                <w:color w:val="auto"/>
                <w:sz w:val="24"/>
                <w:szCs w:val="24"/>
                <w:highlight w:val="none"/>
                <w:u w:val="single" w:color="auto"/>
              </w:rPr>
              <w:t>。</w:t>
            </w:r>
          </w:p>
          <w:p w14:paraId="653760A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3.收取时间：</w:t>
            </w:r>
            <w:r>
              <w:rPr>
                <w:rFonts w:hint="eastAsia" w:ascii="宋体" w:hAnsi="宋体" w:eastAsia="宋体" w:cs="宋体"/>
                <w:color w:val="auto"/>
                <w:sz w:val="24"/>
                <w:szCs w:val="24"/>
                <w:highlight w:val="none"/>
                <w:u w:val="single"/>
              </w:rPr>
              <w:t>核发中标通知书时由中标单位一次性支付。</w:t>
            </w:r>
          </w:p>
          <w:p w14:paraId="65FD11F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4.收取方式：</w:t>
            </w:r>
            <w:r>
              <w:rPr>
                <w:rFonts w:hint="eastAsia" w:ascii="宋体" w:hAnsi="宋体" w:eastAsia="宋体" w:cs="宋体"/>
                <w:color w:val="auto"/>
                <w:sz w:val="24"/>
                <w:szCs w:val="24"/>
                <w:highlight w:val="none"/>
                <w:u w:val="single"/>
              </w:rPr>
              <w:t>银行电汇</w:t>
            </w:r>
          </w:p>
          <w:p w14:paraId="6041308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5.收款账户信息：</w:t>
            </w:r>
          </w:p>
          <w:p w14:paraId="17C076B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开户名称：新疆华域建设工程项目管理咨询有限公司</w:t>
            </w:r>
          </w:p>
          <w:p w14:paraId="7AE9DC4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开户银行：中国银行乌鲁木齐南湖东路支行</w:t>
            </w:r>
          </w:p>
          <w:p w14:paraId="101C883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开户行行号：104881006151 </w:t>
            </w:r>
          </w:p>
          <w:p w14:paraId="22FC306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   号： 107083025521</w:t>
            </w:r>
          </w:p>
        </w:tc>
      </w:tr>
      <w:tr w14:paraId="489F3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0905BB0">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611" w:type="dxa"/>
            <w:noWrap w:val="0"/>
            <w:vAlign w:val="center"/>
          </w:tcPr>
          <w:p w14:paraId="6B3836E9">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7343" w:type="dxa"/>
            <w:noWrap w:val="0"/>
            <w:vAlign w:val="center"/>
          </w:tcPr>
          <w:p w14:paraId="28B9AEB1">
            <w:pPr>
              <w:pStyle w:val="65"/>
              <w:widowControl w:val="0"/>
              <w:spacing w:before="0" w:beforeAutospacing="0" w:after="0" w:afterAutospacing="0" w:line="240" w:lineRule="auto"/>
              <w:jc w:val="both"/>
              <w:rPr>
                <w:rFonts w:hint="eastAsia" w:ascii="宋体" w:hAnsi="宋体" w:eastAsia="宋体" w:cs="宋体"/>
                <w:color w:val="auto"/>
                <w:sz w:val="24"/>
                <w:szCs w:val="24"/>
                <w:highlight w:val="none"/>
                <w:u w:val="singl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4D61C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1D22DD9">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cs="宋体"/>
                <w:color w:val="auto"/>
                <w:sz w:val="24"/>
                <w:szCs w:val="24"/>
                <w:highlight w:val="none"/>
                <w:lang w:val="en-US" w:eastAsia="zh-CN"/>
              </w:rPr>
              <w:t>2</w:t>
            </w:r>
          </w:p>
        </w:tc>
        <w:tc>
          <w:tcPr>
            <w:tcW w:w="1611" w:type="dxa"/>
            <w:noWrap w:val="0"/>
            <w:vAlign w:val="center"/>
          </w:tcPr>
          <w:p w14:paraId="3A34F8E9">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343" w:type="dxa"/>
            <w:noWrap w:val="0"/>
            <w:vAlign w:val="center"/>
          </w:tcPr>
          <w:p w14:paraId="67B8762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67589A76">
            <w:pPr>
              <w:pStyle w:val="37"/>
              <w:pageBreakBefore w:val="0"/>
              <w:kinsoku/>
              <w:overflowPunct/>
              <w:topLinePunct w:val="0"/>
              <w:bidi w:val="0"/>
              <w:spacing w:line="44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r>
              <w:rPr>
                <w:rFonts w:hint="eastAsia" w:cs="宋体"/>
                <w:color w:val="auto"/>
                <w:sz w:val="24"/>
                <w:szCs w:val="24"/>
                <w:highlight w:val="none"/>
                <w:lang w:val="zh-CN"/>
              </w:rPr>
              <w:t>，</w:t>
            </w:r>
            <w:r>
              <w:rPr>
                <w:rFonts w:hint="eastAsia" w:cs="宋体"/>
                <w:color w:val="auto"/>
                <w:sz w:val="24"/>
                <w:szCs w:val="24"/>
                <w:highlight w:val="none"/>
                <w:lang w:val="en-US" w:eastAsia="zh-CN"/>
              </w:rPr>
              <w:t>仅允许第三章“采购需求”中列明了“允许进口”的货物提供进口产品，否则视为不响应。</w:t>
            </w:r>
          </w:p>
        </w:tc>
      </w:tr>
      <w:tr w14:paraId="5D112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E8C9D1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611" w:type="dxa"/>
            <w:noWrap w:val="0"/>
            <w:vAlign w:val="center"/>
          </w:tcPr>
          <w:p w14:paraId="248A259C">
            <w:pPr>
              <w:pStyle w:val="37"/>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25"/>
                <w:rFonts w:hint="eastAsia" w:ascii="宋体" w:hAnsi="宋体" w:eastAsia="宋体" w:cs="宋体"/>
                <w:b/>
                <w:bCs w:val="0"/>
                <w:color w:val="auto"/>
                <w:sz w:val="24"/>
                <w:szCs w:val="24"/>
                <w:highlight w:val="none"/>
                <w:lang w:val="en-US" w:eastAsia="zh-CN"/>
              </w:rPr>
              <w:t>（非专门面向中小企业采购项目适用）</w:t>
            </w:r>
          </w:p>
        </w:tc>
        <w:tc>
          <w:tcPr>
            <w:tcW w:w="7343" w:type="dxa"/>
            <w:noWrap w:val="0"/>
            <w:vAlign w:val="center"/>
          </w:tcPr>
          <w:p w14:paraId="4D7CE1A2">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C6333F1">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572DB81">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1B1A81F">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9920A6E">
            <w:pPr>
              <w:pStyle w:val="65"/>
              <w:keepNext w:val="0"/>
              <w:keepLines w:val="0"/>
              <w:pageBreakBefore w:val="0"/>
              <w:widowControl w:val="0"/>
              <w:kinsoku/>
              <w:wordWrap/>
              <w:overflowPunct/>
              <w:topLinePunct w:val="0"/>
              <w:bidi w:val="0"/>
              <w:snapToGrid/>
              <w:spacing w:before="0" w:beforeAutospacing="0" w:after="0" w:afterAutospacing="0" w:line="40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EE63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FDE56E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611" w:type="dxa"/>
            <w:noWrap w:val="0"/>
            <w:vAlign w:val="center"/>
          </w:tcPr>
          <w:p w14:paraId="73A819C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5E8CDEA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参照后附《工信部联企业〔2011〕300号》</w:t>
            </w:r>
          </w:p>
        </w:tc>
        <w:tc>
          <w:tcPr>
            <w:tcW w:w="7343" w:type="dxa"/>
            <w:noWrap w:val="0"/>
            <w:vAlign w:val="center"/>
          </w:tcPr>
          <w:p w14:paraId="6807ADFA">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本项目采购标的对应的中小企业划分标准所属行业： </w:t>
            </w:r>
            <w:r>
              <w:rPr>
                <w:rFonts w:hint="eastAsia" w:ascii="宋体" w:hAnsi="宋体" w:eastAsia="宋体" w:cs="宋体"/>
                <w:color w:val="auto"/>
                <w:kern w:val="0"/>
                <w:sz w:val="24"/>
                <w:szCs w:val="24"/>
                <w:highlight w:val="none"/>
                <w:u w:val="single"/>
                <w:lang w:val="en-US" w:eastAsia="zh-CN"/>
              </w:rPr>
              <w:t>工业</w:t>
            </w:r>
          </w:p>
          <w:p w14:paraId="4826430A">
            <w:pPr>
              <w:pStyle w:val="37"/>
              <w:pageBreakBefore w:val="0"/>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标的名称</w:t>
            </w:r>
            <w:r>
              <w:rPr>
                <w:rFonts w:hint="eastAsia" w:cs="宋体"/>
                <w:color w:val="auto"/>
                <w:kern w:val="0"/>
                <w:sz w:val="24"/>
                <w:szCs w:val="24"/>
                <w:highlight w:val="none"/>
                <w:lang w:val="en-US" w:eastAsia="zh-CN"/>
              </w:rPr>
              <w:t>见第三章采购需求中的采购清单。</w:t>
            </w:r>
          </w:p>
        </w:tc>
      </w:tr>
      <w:tr w14:paraId="15C76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F7314B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w:t>
            </w:r>
          </w:p>
        </w:tc>
        <w:tc>
          <w:tcPr>
            <w:tcW w:w="1611" w:type="dxa"/>
            <w:noWrap w:val="0"/>
            <w:vAlign w:val="center"/>
          </w:tcPr>
          <w:p w14:paraId="0BB2A26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优先采购创新节能环保产品</w:t>
            </w:r>
          </w:p>
        </w:tc>
        <w:tc>
          <w:tcPr>
            <w:tcW w:w="7343" w:type="dxa"/>
            <w:noWrap w:val="0"/>
            <w:vAlign w:val="center"/>
          </w:tcPr>
          <w:p w14:paraId="0DB39B4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的价格扣除。</w:t>
            </w:r>
          </w:p>
        </w:tc>
      </w:tr>
      <w:tr w14:paraId="1936A1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9" w:hRule="atLeast"/>
          <w:jc w:val="center"/>
        </w:trPr>
        <w:tc>
          <w:tcPr>
            <w:tcW w:w="898" w:type="dxa"/>
            <w:noWrap w:val="0"/>
            <w:vAlign w:val="center"/>
          </w:tcPr>
          <w:p w14:paraId="262F44B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611" w:type="dxa"/>
            <w:noWrap w:val="0"/>
            <w:vAlign w:val="center"/>
          </w:tcPr>
          <w:p w14:paraId="143CD30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需要补充的其他内容</w:t>
            </w:r>
          </w:p>
        </w:tc>
        <w:tc>
          <w:tcPr>
            <w:tcW w:w="7343" w:type="dxa"/>
            <w:noWrap w:val="0"/>
            <w:vAlign w:val="center"/>
          </w:tcPr>
          <w:p w14:paraId="21A15E8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1、开标现场信用查询：采购人或采购代理机构将通过“信用中国”网站（www.creditchina.gov.cn）和中国政府采购网（www.ccgp.gov.cn）查询相关主体信用记录。</w:t>
            </w:r>
          </w:p>
          <w:p w14:paraId="4CE7491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2、本项目现场信用记录查询时间：投标文件截止2小时内。</w:t>
            </w:r>
          </w:p>
          <w:p w14:paraId="4B0938A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投标报价具有唯一性，</w:t>
            </w:r>
            <w:r>
              <w:rPr>
                <w:rFonts w:hint="eastAsia" w:cs="宋体"/>
                <w:color w:val="auto"/>
                <w:sz w:val="24"/>
                <w:szCs w:val="24"/>
                <w:highlight w:val="none"/>
                <w:lang w:val="en-US" w:eastAsia="zh-CN"/>
              </w:rPr>
              <w:t>不得</w:t>
            </w:r>
            <w:r>
              <w:rPr>
                <w:rFonts w:hint="eastAsia" w:ascii="宋体" w:hAnsi="宋体" w:eastAsia="宋体" w:cs="宋体"/>
                <w:color w:val="auto"/>
                <w:sz w:val="24"/>
                <w:szCs w:val="24"/>
                <w:highlight w:val="none"/>
              </w:rPr>
              <w:t>超过采购项目预算，本项目不接受选择性报价，对于出现的政采云平台开标唱标环节经投标供应商确认的投标报价与投标文件中开标一览表的报价不一致的现象，视作选择性报价，将被作为无效投标处理。</w:t>
            </w:r>
          </w:p>
          <w:p w14:paraId="24985A5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在中标成交通知书发出之日起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日内，按照采购文件确定的事项签订采购合同，并在合同签订之日起2个工作日内将合同上传至</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政府采购网进行公示。</w:t>
            </w:r>
          </w:p>
          <w:p w14:paraId="72850508">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color w:val="auto"/>
                <w:szCs w:val="24"/>
                <w:highlight w:val="none"/>
                <w:lang w:val="en-US" w:eastAsia="zh-CN"/>
              </w:rPr>
              <w:t>5</w:t>
            </w:r>
            <w:r>
              <w:rPr>
                <w:rFonts w:hint="eastAsia" w:cs="宋体"/>
                <w:color w:val="auto"/>
                <w:szCs w:val="24"/>
                <w:highlight w:val="none"/>
              </w:rPr>
              <w:t>、</w:t>
            </w:r>
            <w:r>
              <w:rPr>
                <w:rFonts w:hint="eastAsia" w:ascii="宋体" w:hAnsi="宋体" w:eastAsia="宋体" w:cs="宋体"/>
                <w:b/>
                <w:bCs/>
                <w:color w:val="auto"/>
                <w:sz w:val="24"/>
                <w:szCs w:val="24"/>
                <w:highlight w:val="none"/>
                <w:lang w:val="en-US" w:eastAsia="zh-CN"/>
              </w:rPr>
              <w:t>关于异常</w:t>
            </w:r>
            <w:r>
              <w:rPr>
                <w:rFonts w:hint="eastAsia" w:cs="宋体"/>
                <w:b/>
                <w:bCs/>
                <w:color w:val="auto"/>
                <w:sz w:val="24"/>
                <w:szCs w:val="24"/>
                <w:highlight w:val="none"/>
                <w:lang w:val="en-US" w:eastAsia="zh-CN"/>
              </w:rPr>
              <w:t>低价。根据《财库（2026）2号》文件：（一）采购人应当在采购文件中明确，政府采购评审中出现下列情形之一的，评审委员会应当启动异常低价投标（响应）审查程序：</w:t>
            </w:r>
          </w:p>
          <w:p w14:paraId="5B27DE7C">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4671D89F">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332723A">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3.投标（响应）报价低于采购项目最高限价45%的，即投标（响应）报价&lt;采购项目最高限价×45%；</w:t>
            </w:r>
          </w:p>
          <w:p w14:paraId="6FCF8094">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4.评审委员会基于专业判断，认为供应商报价过低，有可能影响产品质量或者不能诚信履约的其他情形。</w:t>
            </w:r>
          </w:p>
          <w:p w14:paraId="4B6BDD96">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采购人可以结合具体项目实际情况，提高上述第1项至第3项中启动异常低价投标（响应）审查的数值标准，但是最高不得超过65%。</w:t>
            </w:r>
          </w:p>
          <w:p w14:paraId="0C18EFBD">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相关法律法规对供应商报价有规定的，从其规定。</w:t>
            </w:r>
          </w:p>
          <w:p w14:paraId="1394F7BE">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C384BA">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0FB2B99">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EE0C17">
            <w:pPr>
              <w:pStyle w:val="37"/>
              <w:spacing w:line="360" w:lineRule="atLeast"/>
              <w:rPr>
                <w:rFonts w:hint="eastAsia" w:eastAsia="宋体" w:cs="宋体"/>
                <w:color w:val="auto"/>
                <w:szCs w:val="24"/>
                <w:highlight w:val="none"/>
                <w:lang w:eastAsia="zh-CN"/>
              </w:rPr>
            </w:pPr>
            <w:r>
              <w:rPr>
                <w:rFonts w:hint="eastAsia" w:cs="宋体"/>
                <w:b/>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F0CFAF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auto"/>
                <w:szCs w:val="24"/>
                <w:highlight w:val="none"/>
                <w:lang w:val="en-US" w:eastAsia="zh-CN"/>
              </w:rPr>
              <w:t>6</w:t>
            </w:r>
            <w:r>
              <w:rPr>
                <w:rFonts w:hint="eastAsia" w:cs="宋体"/>
                <w:color w:val="auto"/>
                <w:szCs w:val="24"/>
                <w:highlight w:val="none"/>
              </w:rPr>
              <w:t>、无论何种原因，在响应文件中未提供相应材料的，评审小组将视同其未提供。</w:t>
            </w:r>
          </w:p>
        </w:tc>
      </w:tr>
      <w:tr w14:paraId="7CBAC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53" w:hRule="atLeast"/>
          <w:jc w:val="center"/>
        </w:trPr>
        <w:tc>
          <w:tcPr>
            <w:tcW w:w="898" w:type="dxa"/>
            <w:tcBorders>
              <w:right w:val="single" w:color="auto" w:sz="4" w:space="0"/>
            </w:tcBorders>
            <w:noWrap w:val="0"/>
            <w:vAlign w:val="center"/>
          </w:tcPr>
          <w:p w14:paraId="078CD03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8954" w:type="dxa"/>
            <w:gridSpan w:val="2"/>
            <w:tcBorders>
              <w:left w:val="single" w:color="auto" w:sz="4" w:space="0"/>
            </w:tcBorders>
            <w:noWrap w:val="0"/>
            <w:vAlign w:val="center"/>
          </w:tcPr>
          <w:p w14:paraId="01A1CFE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E71C9A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225193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3、本项目采用不见面开标、投标人需要递交电子投标文件，加密的电子投标文件，在投标截止时间前通过新疆政府采购云平台：https://www.zcygov.cn/上传到指定位置。无需递交纸质文件。</w:t>
            </w:r>
          </w:p>
          <w:p w14:paraId="497F4C8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6D4145E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5、远程开标前，投标人务必在新疆政府采购云平台：https://www.zcygov.cn/投标文件上传模块中使用“模拟解密”功能，验证本机远程自助解密环境。</w:t>
            </w:r>
          </w:p>
          <w:p w14:paraId="45D005C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6、供应商应当在招标截止时间前,将生成的“电子加密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”上传递交至“政府采购云平台”,招标截止时间以后上传递交的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52A8E49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7、供应商在招标前须提前配置好电脑浏览器（建议使用360 浏览器或谷歌浏览器）, 招标时请使用制作加密电子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w:t>
            </w:r>
          </w:p>
          <w:p w14:paraId="023C79F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8、供应商登录政采云平台，在招标文件规定时间内用“项目采购-开标评标”功能进行解密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。若供应商在规定时间内未按时解密的，视为无效招标。解密与加密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须使用同一个CA。 </w:t>
            </w:r>
          </w:p>
        </w:tc>
      </w:tr>
      <w:tr w14:paraId="3A1E4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14" w:hRule="atLeast"/>
          <w:jc w:val="center"/>
        </w:trPr>
        <w:tc>
          <w:tcPr>
            <w:tcW w:w="9852" w:type="dxa"/>
            <w:gridSpan w:val="3"/>
            <w:noWrap w:val="0"/>
            <w:vAlign w:val="center"/>
          </w:tcPr>
          <w:p w14:paraId="4C2B70C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13EA44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24A59D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p w14:paraId="06982448">
            <w:pPr>
              <w:pStyle w:val="37"/>
              <w:spacing w:line="360" w:lineRule="atLeast"/>
              <w:rPr>
                <w:rFonts w:hint="eastAsia" w:cs="宋体"/>
                <w:b/>
                <w:bCs/>
                <w:color w:val="auto"/>
                <w:szCs w:val="24"/>
                <w:highlight w:val="none"/>
              </w:rPr>
            </w:pPr>
            <w:r>
              <w:rPr>
                <w:rFonts w:hint="eastAsia" w:cs="宋体"/>
                <w:b/>
                <w:bCs/>
                <w:color w:val="auto"/>
                <w:szCs w:val="24"/>
                <w:highlight w:val="none"/>
              </w:rPr>
              <w:t>3. 采购文件中部分加粗、标★</w:t>
            </w:r>
            <w:r>
              <w:rPr>
                <w:rFonts w:hint="eastAsia" w:cs="宋体"/>
                <w:b/>
                <w:bCs/>
                <w:color w:val="auto"/>
                <w:szCs w:val="24"/>
                <w:highlight w:val="none"/>
                <w:lang w:eastAsia="zh-CN"/>
              </w:rPr>
              <w:t>（</w:t>
            </w:r>
            <w:r>
              <w:rPr>
                <w:rFonts w:hint="eastAsia" w:cs="宋体"/>
                <w:b/>
                <w:bCs/>
                <w:color w:val="auto"/>
                <w:szCs w:val="24"/>
                <w:highlight w:val="none"/>
                <w:lang w:val="en-US" w:eastAsia="zh-CN"/>
              </w:rPr>
              <w:t>或标▲</w:t>
            </w:r>
            <w:r>
              <w:rPr>
                <w:rFonts w:hint="eastAsia" w:cs="宋体"/>
                <w:b/>
                <w:bCs/>
                <w:color w:val="auto"/>
                <w:szCs w:val="24"/>
                <w:highlight w:val="none"/>
                <w:lang w:eastAsia="zh-CN"/>
              </w:rPr>
              <w:t>）</w:t>
            </w:r>
            <w:r>
              <w:rPr>
                <w:rFonts w:hint="eastAsia" w:cs="宋体"/>
                <w:b/>
                <w:bCs/>
                <w:color w:val="auto"/>
                <w:szCs w:val="24"/>
                <w:highlight w:val="none"/>
              </w:rPr>
              <w:t>、加下划线、废标、无效标、投标被拒绝字样的条款，着重提醒各投标人注意，并认真查看采购文件中的每一个条款及要求，因误读采购文件而造成其他的后果，招标人概不负责。</w:t>
            </w:r>
          </w:p>
          <w:p w14:paraId="7730B57F">
            <w:pPr>
              <w:pStyle w:val="37"/>
              <w:spacing w:line="360" w:lineRule="atLeast"/>
              <w:rPr>
                <w:rFonts w:hint="eastAsia" w:cs="宋体"/>
                <w:color w:val="auto"/>
                <w:szCs w:val="24"/>
                <w:highlight w:val="none"/>
              </w:rPr>
            </w:pPr>
            <w:r>
              <w:rPr>
                <w:rFonts w:hint="eastAsia" w:cs="宋体"/>
                <w:color w:val="auto"/>
                <w:szCs w:val="24"/>
                <w:highlight w:val="none"/>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5BC9A4B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Cs w:val="24"/>
                <w:highlight w:val="none"/>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1142FD23">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70" w:name="_Toc155185869"/>
      <w:bookmarkStart w:id="71" w:name="_Toc25718"/>
      <w:r>
        <w:rPr>
          <w:rFonts w:hint="eastAsia" w:ascii="宋体" w:hAnsi="宋体" w:eastAsia="宋体" w:cs="宋体"/>
          <w:b/>
          <w:bCs/>
          <w:color w:val="auto"/>
          <w:sz w:val="28"/>
          <w:szCs w:val="28"/>
          <w:highlight w:val="none"/>
        </w:rPr>
        <w:t>二、投标人须知</w:t>
      </w:r>
      <w:bookmarkEnd w:id="70"/>
      <w:bookmarkEnd w:id="71"/>
    </w:p>
    <w:p w14:paraId="2CF83317">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72" w:name="_Toc23355"/>
      <w:bookmarkStart w:id="73" w:name="_Toc163492822"/>
      <w:bookmarkStart w:id="74" w:name="_Toc26511"/>
      <w:bookmarkStart w:id="75" w:name="_Toc155185870"/>
      <w:bookmarkStart w:id="76" w:name="_Toc27686"/>
      <w:bookmarkStart w:id="77" w:name="_Toc27067"/>
      <w:r>
        <w:rPr>
          <w:rFonts w:hint="eastAsia" w:ascii="宋体" w:hAnsi="宋体" w:eastAsia="宋体" w:cs="宋体"/>
          <w:color w:val="auto"/>
          <w:sz w:val="24"/>
          <w:highlight w:val="none"/>
        </w:rPr>
        <w:t>（一）总则</w:t>
      </w:r>
      <w:bookmarkEnd w:id="72"/>
      <w:bookmarkEnd w:id="73"/>
      <w:bookmarkEnd w:id="74"/>
      <w:bookmarkEnd w:id="75"/>
      <w:bookmarkEnd w:id="76"/>
      <w:bookmarkEnd w:id="77"/>
    </w:p>
    <w:p w14:paraId="4814511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78" w:name="_Toc26566"/>
      <w:bookmarkStart w:id="79" w:name="_Toc109900050"/>
      <w:bookmarkStart w:id="80" w:name="_Toc109899631"/>
      <w:bookmarkStart w:id="81" w:name="_Toc8451"/>
      <w:bookmarkStart w:id="82" w:name="_Toc9584"/>
      <w:bookmarkStart w:id="83" w:name="_Toc29103"/>
      <w:bookmarkStart w:id="84" w:name="_Toc109900469"/>
      <w:bookmarkStart w:id="85" w:name="_Toc163492823"/>
      <w:bookmarkStart w:id="86" w:name="_Toc31233"/>
      <w:bookmarkStart w:id="87" w:name="_Toc155095689"/>
      <w:bookmarkStart w:id="88" w:name="_Toc109897532"/>
      <w:r>
        <w:rPr>
          <w:rFonts w:hint="eastAsia" w:ascii="宋体" w:hAnsi="宋体" w:eastAsia="宋体" w:cs="宋体"/>
          <w:color w:val="auto"/>
          <w:sz w:val="24"/>
          <w:highlight w:val="none"/>
        </w:rPr>
        <w:t>1.适用范围</w:t>
      </w:r>
      <w:bookmarkEnd w:id="78"/>
      <w:bookmarkEnd w:id="79"/>
      <w:bookmarkEnd w:id="80"/>
      <w:bookmarkEnd w:id="81"/>
      <w:bookmarkEnd w:id="82"/>
      <w:bookmarkEnd w:id="83"/>
      <w:bookmarkEnd w:id="84"/>
      <w:bookmarkEnd w:id="85"/>
      <w:bookmarkEnd w:id="86"/>
      <w:bookmarkEnd w:id="87"/>
      <w:bookmarkEnd w:id="88"/>
    </w:p>
    <w:p w14:paraId="01BAF568">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1.1本招标文件仅适用于本项目的采购活动。</w:t>
      </w:r>
    </w:p>
    <w:p w14:paraId="77A91E4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89" w:name="_Toc26282"/>
      <w:bookmarkStart w:id="90" w:name="_Toc20400"/>
      <w:bookmarkStart w:id="91" w:name="_Toc163492824"/>
      <w:bookmarkStart w:id="92" w:name="_Toc32274"/>
      <w:bookmarkStart w:id="93" w:name="_Toc11923"/>
      <w:r>
        <w:rPr>
          <w:rFonts w:hint="eastAsia" w:ascii="宋体" w:hAnsi="宋体" w:eastAsia="宋体" w:cs="宋体"/>
          <w:color w:val="auto"/>
          <w:sz w:val="24"/>
          <w:highlight w:val="none"/>
        </w:rPr>
        <w:t>2.基本定义</w:t>
      </w:r>
      <w:bookmarkEnd w:id="89"/>
      <w:bookmarkEnd w:id="90"/>
      <w:bookmarkEnd w:id="91"/>
      <w:bookmarkEnd w:id="92"/>
      <w:bookmarkEnd w:id="93"/>
    </w:p>
    <w:p w14:paraId="5BEAD30A">
      <w:pPr>
        <w:pStyle w:val="36"/>
        <w:rPr>
          <w:rFonts w:hint="eastAsia" w:ascii="宋体" w:hAnsi="宋体" w:eastAsia="宋体" w:cs="宋体"/>
          <w:color w:val="auto"/>
          <w:highlight w:val="none"/>
        </w:rPr>
      </w:pPr>
      <w:r>
        <w:rPr>
          <w:rFonts w:hint="eastAsia" w:ascii="宋体" w:hAnsi="宋体" w:eastAsia="宋体" w:cs="宋体"/>
          <w:color w:val="auto"/>
          <w:highlight w:val="none"/>
        </w:rPr>
        <w:t>2.1根据《中华人民共和国政府采购法》及其实施条例等有关法律、法规和规章的规定，制定本招标文件。</w:t>
      </w:r>
    </w:p>
    <w:p w14:paraId="3CF2C25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2.2采购人：</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w:t>
      </w:r>
    </w:p>
    <w:p w14:paraId="7E2B8FC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2.3采购代理机构：</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委托的采购代理机构。</w:t>
      </w:r>
    </w:p>
    <w:p w14:paraId="38AFBF75">
      <w:pPr>
        <w:pStyle w:val="36"/>
        <w:rPr>
          <w:rFonts w:hint="eastAsia" w:ascii="宋体" w:hAnsi="宋体" w:eastAsia="宋体" w:cs="宋体"/>
          <w:color w:val="auto"/>
          <w:highlight w:val="none"/>
        </w:rPr>
      </w:pPr>
      <w:r>
        <w:rPr>
          <w:rFonts w:hint="eastAsia" w:ascii="宋体" w:hAnsi="宋体" w:eastAsia="宋体" w:cs="宋体"/>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D26187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2.5 核心产品见</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w:t>
      </w:r>
    </w:p>
    <w:p w14:paraId="4AA840F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2.6是否属于</w:t>
      </w:r>
      <w:r>
        <w:rPr>
          <w:rFonts w:hint="eastAsia" w:ascii="宋体" w:hAnsi="宋体" w:eastAsia="宋体" w:cs="宋体"/>
          <w:color w:val="auto"/>
          <w:kern w:val="0"/>
          <w:szCs w:val="24"/>
          <w:highlight w:val="none"/>
          <w:lang w:val="en-US"/>
        </w:rPr>
        <w:t>科研仪器设备采购</w:t>
      </w:r>
      <w:r>
        <w:rPr>
          <w:rFonts w:hint="eastAsia" w:ascii="宋体" w:hAnsi="宋体" w:eastAsia="宋体" w:cs="宋体"/>
          <w:color w:val="auto"/>
          <w:highlight w:val="none"/>
          <w:lang w:val="en-US"/>
        </w:rPr>
        <w:t>见</w:t>
      </w:r>
      <w:r>
        <w:rPr>
          <w:rFonts w:hint="eastAsia" w:ascii="宋体" w:hAnsi="宋体" w:eastAsia="宋体" w:cs="宋体"/>
          <w:color w:val="auto"/>
          <w:highlight w:val="none"/>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须知前附表”</w:t>
      </w:r>
      <w:r>
        <w:rPr>
          <w:rFonts w:hint="eastAsia" w:ascii="宋体" w:hAnsi="宋体" w:eastAsia="宋体" w:cs="宋体"/>
          <w:color w:val="auto"/>
          <w:highlight w:val="none"/>
          <w:lang w:val="en-US"/>
        </w:rPr>
        <w:t>。</w:t>
      </w:r>
    </w:p>
    <w:p w14:paraId="2A7F61F4">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2.7投标人（也称“供应商”、“申请人”）：指向采购人提供货物、工程或者服务的法人、其他组织或者自然人。</w:t>
      </w:r>
      <w:r>
        <w:rPr>
          <w:rFonts w:hint="eastAsia" w:ascii="宋体" w:hAnsi="宋体" w:eastAsia="宋体" w:cs="宋体"/>
          <w:color w:val="auto"/>
          <w:highlight w:val="none"/>
        </w:rPr>
        <w:t>分支机构不得参加政府采购活动，但银行、保险、石油石化、电力、电信等有行业特殊情况的除外。本项目的投标人须满足以下条件：</w:t>
      </w:r>
    </w:p>
    <w:p w14:paraId="634B781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2.7.1具备《中华人民共和国政府采购法》第二十二条规定的条件，遵守本项目采购人本级和上级财政部门政府采购的有关规定。</w:t>
      </w:r>
    </w:p>
    <w:p w14:paraId="455E2F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2.7.2以招标公告中发布的方式依法获得了本项目的招标文件。</w:t>
      </w:r>
    </w:p>
    <w:p w14:paraId="16DB63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2.7.3符合本招标文件规定并参加投标的供应商。</w:t>
      </w:r>
    </w:p>
    <w:p w14:paraId="1244A37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iCs/>
          <w:color w:val="auto"/>
          <w:highlight w:val="none"/>
          <w:shd w:val="clear" w:color="auto" w:fill="FFFFFF"/>
        </w:rPr>
        <w:t>潜在投标人、潜在供应商：指</w:t>
      </w:r>
      <w:r>
        <w:rPr>
          <w:rFonts w:hint="eastAsia" w:ascii="宋体" w:hAnsi="宋体" w:eastAsia="宋体" w:cs="宋体"/>
          <w:color w:val="auto"/>
          <w:highlight w:val="none"/>
        </w:rPr>
        <w:t>符合本招标文件规定的供应商。</w:t>
      </w:r>
    </w:p>
    <w:p w14:paraId="5498CF2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4" w:name="_Toc5535"/>
      <w:bookmarkStart w:id="95" w:name="_Toc163492825"/>
      <w:bookmarkStart w:id="96" w:name="_Toc28067"/>
      <w:bookmarkStart w:id="97" w:name="_Toc140132758"/>
      <w:bookmarkStart w:id="98" w:name="_Toc9283"/>
      <w:bookmarkStart w:id="99" w:name="_Toc16195"/>
      <w:r>
        <w:rPr>
          <w:rFonts w:hint="eastAsia" w:ascii="宋体" w:hAnsi="宋体" w:eastAsia="宋体" w:cs="宋体"/>
          <w:color w:val="auto"/>
          <w:sz w:val="24"/>
          <w:highlight w:val="none"/>
        </w:rPr>
        <w:t>3.资金来源</w:t>
      </w:r>
      <w:bookmarkEnd w:id="94"/>
      <w:bookmarkEnd w:id="95"/>
      <w:bookmarkEnd w:id="96"/>
      <w:bookmarkEnd w:id="97"/>
      <w:bookmarkEnd w:id="98"/>
      <w:bookmarkEnd w:id="99"/>
    </w:p>
    <w:p w14:paraId="4327961C">
      <w:pPr>
        <w:pStyle w:val="36"/>
        <w:rPr>
          <w:rFonts w:hint="eastAsia" w:ascii="宋体" w:hAnsi="宋体" w:eastAsia="宋体" w:cs="宋体"/>
          <w:color w:val="auto"/>
          <w:highlight w:val="none"/>
        </w:rPr>
      </w:pPr>
      <w:r>
        <w:rPr>
          <w:rFonts w:hint="eastAsia" w:ascii="宋体" w:hAnsi="宋体" w:eastAsia="宋体" w:cs="宋体"/>
          <w:color w:val="auto"/>
          <w:highlight w:val="none"/>
        </w:rPr>
        <w:t>3.1资金来源：</w:t>
      </w:r>
      <w:r>
        <w:rPr>
          <w:rFonts w:hint="eastAsia" w:ascii="宋体" w:hAnsi="宋体" w:eastAsia="宋体" w:cs="宋体"/>
          <w:color w:val="auto"/>
          <w:highlight w:val="none"/>
          <w:lang w:val="en-US"/>
        </w:rPr>
        <w:t>为财政性资金即</w:t>
      </w:r>
      <w:r>
        <w:rPr>
          <w:rFonts w:hint="eastAsia" w:ascii="宋体" w:hAnsi="宋体" w:eastAsia="宋体" w:cs="宋体"/>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7A2D091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0" w:name="_Toc23672"/>
      <w:bookmarkStart w:id="101" w:name="_Toc163492826"/>
      <w:bookmarkStart w:id="102" w:name="_Toc14888"/>
      <w:bookmarkStart w:id="103" w:name="_Toc17305"/>
      <w:bookmarkStart w:id="104" w:name="_Toc4999"/>
      <w:bookmarkStart w:id="105" w:name="_Toc140132760"/>
      <w:r>
        <w:rPr>
          <w:rFonts w:hint="eastAsia" w:ascii="宋体" w:hAnsi="宋体" w:eastAsia="宋体" w:cs="宋体"/>
          <w:color w:val="auto"/>
          <w:sz w:val="24"/>
          <w:highlight w:val="none"/>
        </w:rPr>
        <w:t>4.投标人资格要求</w:t>
      </w:r>
      <w:bookmarkEnd w:id="100"/>
      <w:bookmarkEnd w:id="101"/>
      <w:bookmarkEnd w:id="102"/>
      <w:bookmarkEnd w:id="103"/>
      <w:bookmarkEnd w:id="104"/>
      <w:bookmarkEnd w:id="105"/>
    </w:p>
    <w:p w14:paraId="52FD7819">
      <w:pPr>
        <w:pStyle w:val="36"/>
        <w:rPr>
          <w:rFonts w:hint="eastAsia" w:ascii="宋体" w:hAnsi="宋体" w:eastAsia="宋体" w:cs="宋体"/>
          <w:color w:val="auto"/>
          <w:highlight w:val="none"/>
        </w:rPr>
      </w:pPr>
      <w:r>
        <w:rPr>
          <w:rFonts w:hint="eastAsia" w:ascii="宋体" w:hAnsi="宋体" w:eastAsia="宋体" w:cs="宋体"/>
          <w:color w:val="auto"/>
          <w:highlight w:val="none"/>
        </w:rPr>
        <w:t>4.1投标人资格要求：见“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p>
    <w:p w14:paraId="73CE188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”规定接受联合体投标的，还应遵守以下规定：</w:t>
      </w:r>
    </w:p>
    <w:p w14:paraId="0B28708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1两个以上的自然人、法人或者其他组织可以组成一个联合体，以一个</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的身份共同参加政府采购。以联合体形式进行政府采购的，参加联合体的供应商均应当具备《中华人民共和国政府采购法》第二十二条规定的条件。</w:t>
      </w:r>
    </w:p>
    <w:p w14:paraId="2B13FED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2.2</w:t>
      </w:r>
      <w:r>
        <w:rPr>
          <w:rFonts w:hint="eastAsia" w:ascii="宋体" w:hAnsi="宋体" w:eastAsia="宋体" w:cs="宋体"/>
          <w:color w:val="auto"/>
          <w:highlight w:val="none"/>
        </w:rPr>
        <w:t>联合体各方应按招标文件提供的格式签订联合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，明确约定联合体各方承担的工作和相应的责任，并将联合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作为投标文件的一部分提交，该协议书对联合</w:t>
      </w:r>
      <w:r>
        <w:rPr>
          <w:rFonts w:hint="eastAsia" w:ascii="宋体" w:hAnsi="宋体" w:eastAsia="宋体" w:cs="宋体"/>
          <w:color w:val="auto"/>
          <w:highlight w:val="none"/>
          <w:lang w:val="en-US"/>
        </w:rPr>
        <w:t>体所有成员</w:t>
      </w:r>
      <w:r>
        <w:rPr>
          <w:rFonts w:hint="eastAsia" w:ascii="宋体" w:hAnsi="宋体" w:eastAsia="宋体" w:cs="宋体"/>
          <w:color w:val="auto"/>
          <w:highlight w:val="none"/>
        </w:rPr>
        <w:t>均具有法律约束力。</w:t>
      </w:r>
    </w:p>
    <w:p w14:paraId="164D4588">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4.2.3</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797D1D5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以联合体形式参加政府采购活动的，联合体各方不得再单独参加或者与其他供应商另外组成联合体参加</w:t>
      </w:r>
      <w:r>
        <w:rPr>
          <w:rFonts w:hint="eastAsia" w:ascii="宋体" w:hAnsi="宋体" w:eastAsia="宋体" w:cs="宋体"/>
          <w:color w:val="auto"/>
          <w:highlight w:val="none"/>
          <w:lang w:val="en-US"/>
        </w:rPr>
        <w:t>同一合同项下的</w:t>
      </w:r>
      <w:r>
        <w:rPr>
          <w:rFonts w:hint="eastAsia" w:ascii="宋体" w:hAnsi="宋体" w:eastAsia="宋体" w:cs="宋体"/>
          <w:color w:val="auto"/>
          <w:highlight w:val="none"/>
        </w:rPr>
        <w:t>投标，否则相关投标将被认定为</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65B35D1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.5大中型企业、其他自然人、法人或者非法人组织与小型、微型企业组成联合体共同参加投标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中应写明小型、微型企业的合同金额占到联合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投标</w:t>
      </w:r>
      <w:r>
        <w:rPr>
          <w:rFonts w:hint="eastAsia" w:ascii="宋体" w:hAnsi="宋体" w:eastAsia="宋体" w:cs="宋体"/>
          <w:color w:val="auto"/>
          <w:highlight w:val="none"/>
          <w:lang w:val="en-US"/>
        </w:rPr>
        <w:t>合同</w:t>
      </w:r>
      <w:r>
        <w:rPr>
          <w:rFonts w:hint="eastAsia" w:ascii="宋体" w:hAnsi="宋体" w:eastAsia="宋体" w:cs="宋体"/>
          <w:color w:val="auto"/>
          <w:highlight w:val="none"/>
        </w:rPr>
        <w:t>总金额的比例。</w:t>
      </w:r>
    </w:p>
    <w:p w14:paraId="7E110141">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.6</w:t>
      </w:r>
      <w:r>
        <w:rPr>
          <w:rFonts w:hint="eastAsia" w:ascii="宋体" w:hAnsi="宋体" w:eastAsia="宋体" w:cs="宋体"/>
          <w:color w:val="auto"/>
          <w:highlight w:val="none"/>
        </w:rPr>
        <w:t>联合体中标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合同应由</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各成员的合法授权代表签字</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加盖</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各成员公章，</w:t>
      </w:r>
      <w:r>
        <w:rPr>
          <w:rFonts w:hint="eastAsia" w:ascii="宋体" w:hAnsi="宋体" w:eastAsia="宋体" w:cs="宋体"/>
          <w:color w:val="auto"/>
          <w:highlight w:val="none"/>
          <w:lang w:val="en-US"/>
        </w:rPr>
        <w:t>并</w:t>
      </w:r>
      <w:r>
        <w:rPr>
          <w:rFonts w:hint="eastAsia" w:ascii="宋体" w:hAnsi="宋体" w:eastAsia="宋体" w:cs="宋体"/>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0129FEA0">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.7</w:t>
      </w:r>
      <w:r>
        <w:rPr>
          <w:rFonts w:hint="eastAsia" w:ascii="宋体" w:hAnsi="宋体" w:eastAsia="宋体" w:cs="宋体"/>
          <w:color w:val="auto"/>
          <w:highlight w:val="none"/>
        </w:rPr>
        <w:t>联合体或其成员不得将其在合同项下的权利或义务全部或部分转让给第三人，有关分包事项须事先取得采购</w:t>
      </w:r>
      <w:r>
        <w:rPr>
          <w:rFonts w:hint="eastAsia" w:ascii="宋体" w:hAnsi="宋体" w:eastAsia="宋体" w:cs="宋体"/>
          <w:color w:val="auto"/>
          <w:highlight w:val="none"/>
          <w:lang w:val="en-US"/>
        </w:rPr>
        <w:t>人</w:t>
      </w:r>
      <w:r>
        <w:rPr>
          <w:rFonts w:hint="eastAsia" w:ascii="宋体" w:hAnsi="宋体" w:eastAsia="宋体" w:cs="宋体"/>
          <w:color w:val="auto"/>
          <w:highlight w:val="none"/>
        </w:rPr>
        <w:t>书面同意并且须遵守相关法律、法规、本次招标的全部相关规定。</w:t>
      </w:r>
    </w:p>
    <w:p w14:paraId="47346A32">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对联合体投标的其他资格要求见“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r>
        <w:rPr>
          <w:rFonts w:hint="eastAsia" w:ascii="宋体" w:hAnsi="宋体" w:eastAsia="宋体" w:cs="宋体"/>
          <w:color w:val="auto"/>
          <w:highlight w:val="none"/>
          <w:lang w:val="en-US"/>
        </w:rPr>
        <w:t>中的“二、申请人的</w:t>
      </w:r>
      <w:r>
        <w:rPr>
          <w:rFonts w:hint="eastAsia" w:ascii="宋体" w:hAnsi="宋体" w:eastAsia="宋体" w:cs="宋体"/>
          <w:color w:val="auto"/>
          <w:highlight w:val="none"/>
        </w:rPr>
        <w:t>资格</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w:t>
      </w:r>
    </w:p>
    <w:p w14:paraId="257614B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6" w:name="_Toc163492827"/>
      <w:bookmarkStart w:id="107" w:name="_Toc2393"/>
      <w:bookmarkStart w:id="108" w:name="_Toc21085"/>
      <w:bookmarkStart w:id="109" w:name="_Toc8952"/>
      <w:bookmarkStart w:id="110" w:name="_Toc14011"/>
      <w:r>
        <w:rPr>
          <w:rFonts w:hint="eastAsia" w:ascii="宋体" w:hAnsi="宋体" w:eastAsia="宋体" w:cs="宋体"/>
          <w:color w:val="auto"/>
          <w:sz w:val="24"/>
          <w:highlight w:val="none"/>
        </w:rPr>
        <w:t>5.费用承担</w:t>
      </w:r>
      <w:bookmarkEnd w:id="106"/>
      <w:bookmarkEnd w:id="107"/>
      <w:bookmarkEnd w:id="108"/>
      <w:bookmarkEnd w:id="109"/>
      <w:bookmarkEnd w:id="110"/>
    </w:p>
    <w:p w14:paraId="5379CEE8">
      <w:pPr>
        <w:pStyle w:val="36"/>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rPr>
        <w:t>不论投标的结果如何，投标人应承担所有与准备和参加投标有关的费用。</w:t>
      </w:r>
    </w:p>
    <w:p w14:paraId="177AD36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1" w:name="_Toc140132761"/>
      <w:bookmarkStart w:id="112" w:name="_Toc12379"/>
      <w:bookmarkStart w:id="113" w:name="_Toc30861"/>
      <w:bookmarkStart w:id="114" w:name="_Toc163492828"/>
      <w:bookmarkStart w:id="115" w:name="_Toc7681"/>
      <w:bookmarkStart w:id="116" w:name="_Toc18248"/>
      <w:r>
        <w:rPr>
          <w:rFonts w:hint="eastAsia" w:ascii="宋体" w:hAnsi="宋体" w:eastAsia="宋体" w:cs="宋体"/>
          <w:color w:val="auto"/>
          <w:sz w:val="24"/>
          <w:highlight w:val="none"/>
        </w:rPr>
        <w:t>6.保密</w:t>
      </w:r>
      <w:bookmarkEnd w:id="111"/>
      <w:bookmarkEnd w:id="112"/>
      <w:bookmarkEnd w:id="113"/>
      <w:bookmarkEnd w:id="114"/>
      <w:bookmarkEnd w:id="115"/>
      <w:bookmarkEnd w:id="116"/>
    </w:p>
    <w:p w14:paraId="70B7664D">
      <w:pPr>
        <w:pStyle w:val="36"/>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3CE4B0B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68D37B7">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2BC7208">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75235A1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7" w:name="_Toc31425"/>
      <w:bookmarkStart w:id="118" w:name="_Toc30926"/>
      <w:bookmarkStart w:id="119" w:name="_Toc140132762"/>
      <w:bookmarkStart w:id="120" w:name="_Toc163492829"/>
      <w:bookmarkStart w:id="121" w:name="_Toc29628"/>
      <w:bookmarkStart w:id="122" w:name="_Toc15553"/>
      <w:r>
        <w:rPr>
          <w:rFonts w:hint="eastAsia" w:ascii="宋体" w:hAnsi="宋体" w:eastAsia="宋体" w:cs="宋体"/>
          <w:color w:val="auto"/>
          <w:sz w:val="24"/>
          <w:highlight w:val="none"/>
        </w:rPr>
        <w:t>7.语言文字</w:t>
      </w:r>
      <w:bookmarkEnd w:id="117"/>
      <w:bookmarkEnd w:id="118"/>
      <w:bookmarkEnd w:id="119"/>
      <w:bookmarkEnd w:id="120"/>
      <w:bookmarkEnd w:id="121"/>
      <w:bookmarkEnd w:id="122"/>
    </w:p>
    <w:p w14:paraId="317DD3F7">
      <w:pPr>
        <w:pStyle w:val="36"/>
        <w:rPr>
          <w:rFonts w:hint="eastAsia" w:ascii="宋体" w:hAnsi="宋体" w:eastAsia="宋体" w:cs="宋体"/>
          <w:color w:val="auto"/>
          <w:highlight w:val="none"/>
        </w:rPr>
      </w:pPr>
      <w:r>
        <w:rPr>
          <w:rFonts w:hint="eastAsia" w:ascii="宋体" w:hAnsi="宋体" w:eastAsia="宋体" w:cs="宋体"/>
          <w:color w:val="auto"/>
          <w:highlight w:val="none"/>
        </w:rPr>
        <w:t>7.1招标投标</w:t>
      </w:r>
      <w:r>
        <w:rPr>
          <w:rFonts w:hint="eastAsia" w:ascii="宋体" w:hAnsi="宋体" w:eastAsia="宋体" w:cs="宋体"/>
          <w:color w:val="auto"/>
          <w:highlight w:val="none"/>
          <w:lang w:val="en-US"/>
        </w:rPr>
        <w:t>过程</w:t>
      </w:r>
      <w:r>
        <w:rPr>
          <w:rFonts w:hint="eastAsia" w:ascii="宋体" w:hAnsi="宋体" w:eastAsia="宋体" w:cs="宋体"/>
          <w:color w:val="auto"/>
          <w:highlight w:val="none"/>
        </w:rPr>
        <w:t>文件使用的语言文字为中文。专用术语使用外文的，应附有中文注释。</w:t>
      </w:r>
      <w:r>
        <w:rPr>
          <w:rFonts w:hint="eastAsia" w:ascii="宋体" w:hAnsi="宋体" w:eastAsia="宋体" w:cs="宋体"/>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61E4D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3" w:name="_Toc28427"/>
      <w:bookmarkStart w:id="124" w:name="_Toc16458"/>
      <w:bookmarkStart w:id="125" w:name="_Toc19184"/>
      <w:bookmarkStart w:id="126" w:name="_Toc140132763"/>
      <w:bookmarkStart w:id="127" w:name="_Toc163492830"/>
      <w:bookmarkStart w:id="128" w:name="_Toc31019"/>
      <w:r>
        <w:rPr>
          <w:rFonts w:hint="eastAsia" w:ascii="宋体" w:hAnsi="宋体" w:eastAsia="宋体" w:cs="宋体"/>
          <w:color w:val="auto"/>
          <w:sz w:val="24"/>
          <w:highlight w:val="none"/>
        </w:rPr>
        <w:t>8.计量单位</w:t>
      </w:r>
      <w:bookmarkEnd w:id="123"/>
      <w:bookmarkEnd w:id="124"/>
      <w:bookmarkEnd w:id="125"/>
      <w:bookmarkEnd w:id="126"/>
      <w:bookmarkEnd w:id="127"/>
      <w:bookmarkEnd w:id="128"/>
    </w:p>
    <w:p w14:paraId="680C83C0">
      <w:pPr>
        <w:pStyle w:val="36"/>
        <w:rPr>
          <w:rFonts w:hint="eastAsia" w:ascii="宋体" w:hAnsi="宋体" w:eastAsia="宋体" w:cs="宋体"/>
          <w:color w:val="auto"/>
          <w:highlight w:val="none"/>
        </w:rPr>
      </w:pPr>
      <w:r>
        <w:rPr>
          <w:rFonts w:hint="eastAsia" w:ascii="宋体" w:hAnsi="宋体" w:eastAsia="宋体" w:cs="宋体"/>
          <w:color w:val="auto"/>
          <w:highlight w:val="none"/>
        </w:rPr>
        <w:t>8.1所有计量均采用中华人民共和国法定计量单位。</w:t>
      </w:r>
    </w:p>
    <w:p w14:paraId="14EE02A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9" w:name="_Toc30434"/>
      <w:bookmarkStart w:id="130" w:name="_Toc140132764"/>
      <w:bookmarkStart w:id="131" w:name="_Toc163492831"/>
      <w:bookmarkStart w:id="132" w:name="_Toc28428"/>
      <w:bookmarkStart w:id="133" w:name="_Toc30077"/>
      <w:bookmarkStart w:id="134" w:name="_Toc8827"/>
      <w:r>
        <w:rPr>
          <w:rFonts w:hint="eastAsia" w:ascii="宋体" w:hAnsi="宋体" w:eastAsia="宋体" w:cs="宋体"/>
          <w:color w:val="auto"/>
          <w:sz w:val="24"/>
          <w:highlight w:val="none"/>
        </w:rPr>
        <w:t>9.现场考察和答疑会</w:t>
      </w:r>
      <w:bookmarkEnd w:id="129"/>
      <w:bookmarkEnd w:id="130"/>
      <w:bookmarkEnd w:id="131"/>
      <w:bookmarkEnd w:id="132"/>
      <w:bookmarkEnd w:id="133"/>
      <w:bookmarkEnd w:id="134"/>
    </w:p>
    <w:p w14:paraId="4BC9BB8F">
      <w:pPr>
        <w:pStyle w:val="36"/>
        <w:rPr>
          <w:rFonts w:hint="eastAsia" w:ascii="宋体" w:hAnsi="宋体" w:eastAsia="宋体" w:cs="宋体"/>
          <w:color w:val="auto"/>
          <w:highlight w:val="none"/>
        </w:rPr>
      </w:pPr>
      <w:bookmarkStart w:id="135" w:name="_Hlk143529198"/>
      <w:r>
        <w:rPr>
          <w:rFonts w:hint="eastAsia" w:ascii="宋体" w:hAnsi="宋体" w:eastAsia="宋体" w:cs="宋体"/>
          <w:color w:val="auto"/>
          <w:highlight w:val="none"/>
        </w:rPr>
        <w:t xml:space="preserve">9.1 “投标人须知前附表”规定组织现场考察的，采购代理机构按“投标人须知前附表”规定的时间、地点组织投标人项目现场考察。 </w:t>
      </w:r>
    </w:p>
    <w:p w14:paraId="0DF021B2">
      <w:pPr>
        <w:pStyle w:val="36"/>
        <w:rPr>
          <w:rFonts w:hint="eastAsia" w:ascii="宋体" w:hAnsi="宋体" w:eastAsia="宋体" w:cs="宋体"/>
          <w:color w:val="auto"/>
          <w:highlight w:val="none"/>
        </w:rPr>
      </w:pPr>
      <w:r>
        <w:rPr>
          <w:rFonts w:hint="eastAsia" w:ascii="宋体" w:hAnsi="宋体" w:eastAsia="宋体" w:cs="宋体"/>
          <w:color w:val="auto"/>
          <w:highlight w:val="none"/>
        </w:rPr>
        <w:t>9.2 投标人现场考察发生的费用自理。</w:t>
      </w:r>
    </w:p>
    <w:p w14:paraId="656CC365">
      <w:pPr>
        <w:pStyle w:val="36"/>
        <w:rPr>
          <w:rFonts w:hint="eastAsia" w:ascii="宋体" w:hAnsi="宋体" w:eastAsia="宋体" w:cs="宋体"/>
          <w:color w:val="auto"/>
          <w:highlight w:val="none"/>
        </w:rPr>
      </w:pPr>
      <w:r>
        <w:rPr>
          <w:rFonts w:hint="eastAsia" w:ascii="宋体" w:hAnsi="宋体" w:eastAsia="宋体" w:cs="宋体"/>
          <w:color w:val="auto"/>
          <w:highlight w:val="none"/>
        </w:rPr>
        <w:t>9.3 在现场考察中，因投标人自身原因发生的人员伤亡和财产损失，由投标人自行负责。</w:t>
      </w:r>
    </w:p>
    <w:p w14:paraId="0206E726">
      <w:pPr>
        <w:pStyle w:val="36"/>
        <w:rPr>
          <w:rFonts w:hint="eastAsia" w:ascii="宋体" w:hAnsi="宋体" w:eastAsia="宋体" w:cs="宋体"/>
          <w:color w:val="auto"/>
          <w:highlight w:val="none"/>
        </w:rPr>
      </w:pPr>
      <w:r>
        <w:rPr>
          <w:rFonts w:hint="eastAsia" w:ascii="宋体" w:hAnsi="宋体" w:eastAsia="宋体" w:cs="宋体"/>
          <w:color w:val="auto"/>
          <w:highlight w:val="none"/>
        </w:rPr>
        <w:t>9.4 采购人在现场考察中介绍的项目场地和相关的周边环境情况，仅供投标人在编制投标文件时参考，采购人和采购代理机构不对投标人据此作出的判断和决策负责。</w:t>
      </w:r>
    </w:p>
    <w:p w14:paraId="4CF03AF3">
      <w:pPr>
        <w:pStyle w:val="36"/>
        <w:rPr>
          <w:rFonts w:hint="eastAsia" w:ascii="宋体" w:hAnsi="宋体" w:eastAsia="宋体" w:cs="宋体"/>
          <w:color w:val="auto"/>
          <w:highlight w:val="none"/>
        </w:rPr>
      </w:pPr>
      <w:r>
        <w:rPr>
          <w:rFonts w:hint="eastAsia" w:ascii="宋体" w:hAnsi="宋体" w:eastAsia="宋体" w:cs="宋体"/>
          <w:color w:val="auto"/>
          <w:highlight w:val="none"/>
        </w:rPr>
        <w:t>9.5 “投标人须知前附表”规定召开答疑会的，采购代理机构按“投标人须知前附表”规定的时间和地点召开答疑会，澄清投标人提出的问题。</w:t>
      </w:r>
    </w:p>
    <w:p w14:paraId="21DA214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5"/>
    <w:p w14:paraId="0CD7E56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6" w:name="_Toc163492833"/>
      <w:bookmarkStart w:id="137" w:name="_Toc26824"/>
      <w:bookmarkStart w:id="138" w:name="_Toc155185858"/>
      <w:bookmarkStart w:id="139" w:name="_Toc31066"/>
      <w:bookmarkStart w:id="140" w:name="_Toc2189"/>
      <w:bookmarkStart w:id="141" w:name="_Toc1905"/>
      <w:bookmarkStart w:id="142" w:name="_Toc155185871"/>
      <w:r>
        <w:rPr>
          <w:rFonts w:hint="eastAsia" w:ascii="宋体" w:hAnsi="宋体" w:eastAsia="宋体" w:cs="宋体"/>
          <w:color w:val="auto"/>
          <w:sz w:val="24"/>
          <w:highlight w:val="none"/>
        </w:rPr>
        <w:t>10.电子投标说明</w:t>
      </w:r>
      <w:bookmarkEnd w:id="136"/>
      <w:bookmarkEnd w:id="137"/>
      <w:bookmarkEnd w:id="138"/>
      <w:bookmarkEnd w:id="139"/>
      <w:bookmarkEnd w:id="140"/>
      <w:bookmarkEnd w:id="141"/>
      <w:r>
        <w:rPr>
          <w:rFonts w:hint="eastAsia" w:ascii="宋体" w:hAnsi="宋体" w:eastAsia="宋体" w:cs="宋体"/>
          <w:color w:val="auto"/>
          <w:sz w:val="24"/>
          <w:highlight w:val="none"/>
        </w:rPr>
        <w:t xml:space="preserve">   </w:t>
      </w:r>
    </w:p>
    <w:p w14:paraId="0CAA55C9">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10.1 </w:t>
      </w:r>
      <w:r>
        <w:rPr>
          <w:rFonts w:hint="eastAsia" w:ascii="宋体" w:hAnsi="宋体" w:eastAsia="宋体" w:cs="宋体"/>
          <w:color w:val="auto"/>
          <w:highlight w:val="none"/>
        </w:rPr>
        <w:t>本次采购采用电子交易方式，电子交易平台为</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。投标人参与本项目电子交易活动前，应</w:t>
      </w:r>
      <w:r>
        <w:rPr>
          <w:rFonts w:hint="eastAsia" w:ascii="宋体" w:hAnsi="宋体" w:eastAsia="宋体" w:cs="宋体"/>
          <w:color w:val="auto"/>
          <w:highlight w:val="none"/>
          <w:lang w:val="en-US"/>
        </w:rPr>
        <w:t>在</w:t>
      </w:r>
      <w:r>
        <w:rPr>
          <w:rFonts w:hint="eastAsia" w:ascii="宋体" w:hAnsi="宋体" w:eastAsia="宋体" w:cs="宋体"/>
          <w:color w:val="auto"/>
          <w:highlight w:val="none"/>
        </w:rPr>
        <w:t>政</w:t>
      </w:r>
      <w:r>
        <w:rPr>
          <w:rFonts w:hint="eastAsia" w:ascii="宋体" w:hAnsi="宋体" w:eastAsia="宋体" w:cs="宋体"/>
          <w:color w:val="auto"/>
          <w:highlight w:val="none"/>
          <w:lang w:val="en-US"/>
        </w:rPr>
        <w:t>采云</w:t>
      </w:r>
      <w:r>
        <w:rPr>
          <w:rFonts w:hint="eastAsia" w:ascii="宋体" w:hAnsi="宋体" w:eastAsia="宋体" w:cs="宋体"/>
          <w:color w:val="auto"/>
          <w:highlight w:val="none"/>
        </w:rPr>
        <w:t>平台</w:t>
      </w:r>
      <w:r>
        <w:rPr>
          <w:rFonts w:hint="eastAsia" w:ascii="宋体" w:hAnsi="宋体" w:eastAsia="宋体" w:cs="宋体"/>
          <w:color w:val="auto"/>
          <w:highlight w:val="none"/>
          <w:lang w:val="en-US"/>
        </w:rPr>
        <w:t>上</w:t>
      </w:r>
      <w:r>
        <w:rPr>
          <w:rFonts w:hint="eastAsia" w:ascii="宋体" w:hAnsi="宋体" w:eastAsia="宋体" w:cs="宋体"/>
          <w:color w:val="auto"/>
          <w:highlight w:val="none"/>
        </w:rPr>
        <w:t>注册</w:t>
      </w:r>
      <w:r>
        <w:rPr>
          <w:rFonts w:hint="eastAsia" w:ascii="宋体" w:hAnsi="宋体" w:eastAsia="宋体" w:cs="宋体"/>
          <w:color w:val="auto"/>
          <w:highlight w:val="none"/>
          <w:lang w:val="en-US"/>
        </w:rPr>
        <w:t>供应商账号</w:t>
      </w:r>
      <w:r>
        <w:rPr>
          <w:rFonts w:hint="eastAsia" w:ascii="宋体" w:hAnsi="宋体" w:eastAsia="宋体" w:cs="宋体"/>
          <w:color w:val="auto"/>
          <w:highlight w:val="none"/>
        </w:rPr>
        <w:t>。编制电子</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文件前还需</w:t>
      </w:r>
      <w:r>
        <w:rPr>
          <w:rFonts w:hint="eastAsia" w:ascii="宋体" w:hAnsi="宋体" w:eastAsia="宋体" w:cs="宋体"/>
          <w:color w:val="auto"/>
          <w:highlight w:val="none"/>
          <w:lang w:val="en-US"/>
        </w:rPr>
        <w:t>申领CA证书并绑定帐号。投标人应充分考虑完成平台注册、申领CA证书等所需的时间。</w:t>
      </w:r>
      <w:r>
        <w:rPr>
          <w:rFonts w:hint="eastAsia" w:ascii="宋体" w:hAnsi="宋体" w:eastAsia="宋体" w:cs="宋体"/>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政府采购网“供应商注册”—“</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政府采购供应商入驻登记”—“立即登记”进行自助注册绑定。</w:t>
      </w:r>
    </w:p>
    <w:p w14:paraId="1A693A6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投标人将</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政府采购网“下载专区”—“电子招投标客户端下载”下载相关客户端，如有问题可拨打政采云客户服务热线95763进行咨询。</w:t>
      </w:r>
    </w:p>
    <w:p w14:paraId="590F16D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加密的电子投标文件应在投标文件递交截止时间前通过政采云平台上传完成。逾期上传或者未上传指定地点的投标文件，不予受理。</w:t>
      </w:r>
    </w:p>
    <w:p w14:paraId="511D5C3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投标人在开标前须提前配置好电脑</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浏览器，开标时请使用制作加密电子投标文件的CA锁进行解密及报价确认。本项目投标文件解密时间</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，如因自身原因导致无法正常解密，后果由投标人自行承担。</w:t>
      </w:r>
    </w:p>
    <w:p w14:paraId="665AA519">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5</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如遇“</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”电子交易规则调整，以最新要求为准。</w:t>
      </w:r>
    </w:p>
    <w:p w14:paraId="268C072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744356B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0D6A297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43" w:name="_Toc2606"/>
      <w:bookmarkStart w:id="144" w:name="_Toc27586"/>
      <w:bookmarkStart w:id="145" w:name="_Toc2058"/>
      <w:bookmarkStart w:id="146" w:name="_Toc25633"/>
      <w:bookmarkStart w:id="147" w:name="_Toc163492834"/>
      <w:r>
        <w:rPr>
          <w:rFonts w:hint="eastAsia" w:ascii="宋体" w:hAnsi="宋体" w:eastAsia="宋体" w:cs="宋体"/>
          <w:color w:val="auto"/>
          <w:sz w:val="24"/>
          <w:highlight w:val="none"/>
        </w:rPr>
        <w:t>（二）招标文件</w:t>
      </w:r>
      <w:bookmarkEnd w:id="142"/>
      <w:bookmarkEnd w:id="143"/>
      <w:bookmarkEnd w:id="144"/>
      <w:bookmarkEnd w:id="145"/>
      <w:bookmarkEnd w:id="146"/>
      <w:bookmarkEnd w:id="147"/>
    </w:p>
    <w:p w14:paraId="45313E0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48" w:name="_Toc140132768"/>
      <w:bookmarkStart w:id="149" w:name="_Toc163492835"/>
      <w:bookmarkStart w:id="150" w:name="_Toc27444"/>
      <w:bookmarkStart w:id="151" w:name="_Toc7878"/>
      <w:bookmarkStart w:id="152" w:name="_Toc11591"/>
      <w:bookmarkStart w:id="153" w:name="_Toc24167"/>
      <w:r>
        <w:rPr>
          <w:rFonts w:hint="eastAsia" w:ascii="宋体" w:hAnsi="宋体" w:eastAsia="宋体" w:cs="宋体"/>
          <w:color w:val="auto"/>
          <w:sz w:val="24"/>
          <w:highlight w:val="none"/>
        </w:rPr>
        <w:t>11.招标文件的组成</w:t>
      </w:r>
      <w:bookmarkEnd w:id="148"/>
      <w:bookmarkEnd w:id="149"/>
      <w:bookmarkEnd w:id="150"/>
      <w:bookmarkEnd w:id="151"/>
      <w:bookmarkEnd w:id="152"/>
      <w:bookmarkEnd w:id="153"/>
    </w:p>
    <w:p w14:paraId="7523558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11.1本招标文件包括下列文件及根据本章第9款、第12款对招标文件所作的澄清或者修改。</w:t>
      </w:r>
    </w:p>
    <w:p w14:paraId="3A50B9C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highlight w:val="none"/>
        </w:rPr>
        <w:t>招标公告</w:t>
      </w:r>
    </w:p>
    <w:p w14:paraId="26A112D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73F9F97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采购需求</w:t>
      </w:r>
    </w:p>
    <w:p w14:paraId="6BCD604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资格审查</w:t>
      </w:r>
    </w:p>
    <w:p w14:paraId="22B6CEA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评标方法及标准</w:t>
      </w:r>
    </w:p>
    <w:p w14:paraId="1C2D63F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合同草案</w:t>
      </w:r>
    </w:p>
    <w:p w14:paraId="7BFFAFB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 投标文件的格式</w:t>
      </w:r>
    </w:p>
    <w:p w14:paraId="5DB94CE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54" w:name="_Toc163492836"/>
      <w:bookmarkStart w:id="155" w:name="_Toc14064"/>
      <w:bookmarkStart w:id="156" w:name="_Toc30904"/>
      <w:bookmarkStart w:id="157" w:name="_Toc20196"/>
      <w:bookmarkStart w:id="158" w:name="_Toc140132769"/>
      <w:bookmarkStart w:id="159" w:name="_Toc13699"/>
      <w:r>
        <w:rPr>
          <w:rFonts w:hint="eastAsia" w:ascii="宋体" w:hAnsi="宋体" w:eastAsia="宋体" w:cs="宋体"/>
          <w:color w:val="auto"/>
          <w:sz w:val="24"/>
          <w:highlight w:val="none"/>
        </w:rPr>
        <w:t>12.招标文件的询问、澄清或者修改</w:t>
      </w:r>
      <w:bookmarkEnd w:id="154"/>
      <w:bookmarkEnd w:id="155"/>
      <w:bookmarkEnd w:id="156"/>
      <w:bookmarkEnd w:id="157"/>
      <w:bookmarkEnd w:id="158"/>
      <w:bookmarkEnd w:id="159"/>
    </w:p>
    <w:p w14:paraId="1E70D08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6E7F3BF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367BFF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采购人或者采购代理机构可以对已发出的招标文件进行必要的澄清或者修改。</w:t>
      </w:r>
      <w:r>
        <w:rPr>
          <w:rFonts w:hint="eastAsia" w:ascii="宋体" w:hAnsi="宋体" w:eastAsia="宋体" w:cs="宋体"/>
          <w:color w:val="auto"/>
          <w:highlight w:val="none"/>
        </w:rPr>
        <w:t>澄清或修改的内容为招标文件的组成部分，并对所有获取招标文件的潜在投标人具有约束力。</w:t>
      </w:r>
    </w:p>
    <w:p w14:paraId="5506967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37A3AAE">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2</w:t>
      </w:r>
      <w:r>
        <w:rPr>
          <w:rFonts w:hint="eastAsia" w:ascii="宋体" w:hAnsi="宋体" w:eastAsia="宋体" w:cs="宋体"/>
          <w:color w:val="auto"/>
          <w:highlight w:val="none"/>
        </w:rPr>
        <w:t xml:space="preserve">.4 </w:t>
      </w:r>
      <w:r>
        <w:rPr>
          <w:rFonts w:hint="eastAsia" w:ascii="宋体" w:hAnsi="宋体" w:eastAsia="宋体" w:cs="宋体"/>
          <w:color w:val="auto"/>
          <w:szCs w:val="24"/>
          <w:highlight w:val="none"/>
          <w:lang w:val="en-US"/>
        </w:rPr>
        <w:t>“</w:t>
      </w:r>
      <w:r>
        <w:rPr>
          <w:rFonts w:hint="eastAsia" w:ascii="宋体" w:hAnsi="宋体" w:eastAsia="宋体" w:cs="宋体"/>
          <w:color w:val="auto"/>
          <w:szCs w:val="24"/>
          <w:highlight w:val="none"/>
        </w:rPr>
        <w:t>投标人须知”所称“</w:t>
      </w:r>
      <w:r>
        <w:rPr>
          <w:rFonts w:hint="eastAsia" w:ascii="宋体" w:hAnsi="宋体" w:eastAsia="宋体" w:cs="宋体"/>
          <w:color w:val="auto"/>
          <w:highlight w:val="none"/>
        </w:rPr>
        <w:t>书面形式</w:t>
      </w:r>
      <w:r>
        <w:rPr>
          <w:rFonts w:hint="eastAsia" w:ascii="宋体" w:hAnsi="宋体" w:eastAsia="宋体" w:cs="宋体"/>
          <w:color w:val="auto"/>
          <w:szCs w:val="24"/>
          <w:highlight w:val="none"/>
        </w:rPr>
        <w:t>”</w:t>
      </w:r>
      <w:r>
        <w:rPr>
          <w:rFonts w:hint="eastAsia" w:ascii="宋体" w:hAnsi="宋体" w:eastAsia="宋体" w:cs="宋体"/>
          <w:color w:val="auto"/>
          <w:highlight w:val="none"/>
        </w:rPr>
        <w:t>包括系统消息、政府采购</w:t>
      </w:r>
      <w:r>
        <w:rPr>
          <w:rFonts w:hint="eastAsia" w:ascii="宋体" w:hAnsi="宋体" w:eastAsia="宋体" w:cs="宋体"/>
          <w:color w:val="auto"/>
          <w:highlight w:val="none"/>
          <w:lang w:val="en-US"/>
        </w:rPr>
        <w:t>云平台</w:t>
      </w:r>
      <w:r>
        <w:rPr>
          <w:rFonts w:hint="eastAsia" w:ascii="宋体" w:hAnsi="宋体" w:eastAsia="宋体" w:cs="宋体"/>
          <w:color w:val="auto"/>
          <w:highlight w:val="none"/>
        </w:rPr>
        <w:t>发布的公告。</w:t>
      </w:r>
    </w:p>
    <w:p w14:paraId="44A840FD">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1B4759C2">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071F71F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60" w:name="_Toc3060"/>
      <w:bookmarkStart w:id="161" w:name="_Toc9097"/>
      <w:bookmarkStart w:id="162" w:name="_Toc13035"/>
      <w:bookmarkStart w:id="163" w:name="_Toc163492837"/>
      <w:bookmarkStart w:id="164" w:name="_Toc195"/>
      <w:bookmarkStart w:id="165" w:name="_Toc155185872"/>
      <w:r>
        <w:rPr>
          <w:rFonts w:hint="eastAsia" w:ascii="宋体" w:hAnsi="宋体" w:eastAsia="宋体" w:cs="宋体"/>
          <w:color w:val="auto"/>
          <w:sz w:val="24"/>
          <w:highlight w:val="none"/>
        </w:rPr>
        <w:t>（三）投标文件</w:t>
      </w:r>
      <w:bookmarkEnd w:id="160"/>
      <w:bookmarkEnd w:id="161"/>
      <w:bookmarkEnd w:id="162"/>
      <w:bookmarkEnd w:id="163"/>
      <w:bookmarkEnd w:id="164"/>
      <w:bookmarkEnd w:id="165"/>
    </w:p>
    <w:p w14:paraId="6A3B6BE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66" w:name="_Toc163492838"/>
      <w:bookmarkStart w:id="167" w:name="_Toc24818"/>
      <w:bookmarkStart w:id="168" w:name="_Toc13879"/>
      <w:bookmarkStart w:id="169" w:name="_Toc1776"/>
      <w:bookmarkStart w:id="170" w:name="_Toc30794"/>
      <w:r>
        <w:rPr>
          <w:rFonts w:hint="eastAsia" w:ascii="宋体" w:hAnsi="宋体" w:eastAsia="宋体" w:cs="宋体"/>
          <w:color w:val="auto"/>
          <w:sz w:val="24"/>
          <w:highlight w:val="none"/>
        </w:rPr>
        <w:t>13.投标文件的组成</w:t>
      </w:r>
      <w:bookmarkEnd w:id="166"/>
      <w:bookmarkEnd w:id="167"/>
      <w:bookmarkEnd w:id="168"/>
      <w:bookmarkEnd w:id="169"/>
      <w:bookmarkEnd w:id="170"/>
    </w:p>
    <w:p w14:paraId="33E5A6ED">
      <w:pPr>
        <w:pStyle w:val="66"/>
        <w:spacing w:line="360" w:lineRule="auto"/>
        <w:ind w:firstLine="480" w:firstLineChars="200"/>
        <w:rPr>
          <w:rFonts w:hint="eastAsia" w:ascii="宋体" w:hAnsi="宋体" w:eastAsia="宋体" w:cs="宋体"/>
          <w:color w:val="auto"/>
          <w:kern w:val="2"/>
          <w:sz w:val="24"/>
          <w:szCs w:val="22"/>
          <w:highlight w:val="none"/>
        </w:rPr>
      </w:pPr>
      <w:bookmarkStart w:id="171" w:name="_Toc163492839"/>
      <w:bookmarkStart w:id="172"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7C3EB05E">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3" w:name="_Hlk11703583"/>
      <w:r>
        <w:rPr>
          <w:rFonts w:hint="eastAsia" w:ascii="宋体" w:hAnsi="宋体" w:eastAsia="宋体" w:cs="宋体"/>
          <w:color w:val="auto"/>
          <w:kern w:val="2"/>
          <w:sz w:val="24"/>
          <w:szCs w:val="22"/>
          <w:highlight w:val="none"/>
        </w:rPr>
        <w:t>等。</w:t>
      </w:r>
    </w:p>
    <w:bookmarkEnd w:id="173"/>
    <w:p w14:paraId="339BCCBB">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76565AF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4" w:name="_Toc12233"/>
      <w:bookmarkStart w:id="175" w:name="_Toc10265"/>
      <w:bookmarkStart w:id="176" w:name="_Toc893"/>
      <w:bookmarkStart w:id="177" w:name="_Toc16697"/>
      <w:r>
        <w:rPr>
          <w:rFonts w:hint="eastAsia" w:ascii="宋体" w:hAnsi="宋体" w:eastAsia="宋体" w:cs="宋体"/>
          <w:color w:val="auto"/>
          <w:sz w:val="24"/>
          <w:highlight w:val="none"/>
        </w:rPr>
        <w:t>14.投标报价</w:t>
      </w:r>
      <w:bookmarkEnd w:id="171"/>
      <w:bookmarkEnd w:id="172"/>
      <w:bookmarkEnd w:id="174"/>
      <w:bookmarkEnd w:id="175"/>
      <w:bookmarkEnd w:id="176"/>
      <w:bookmarkEnd w:id="177"/>
    </w:p>
    <w:p w14:paraId="5C19E310">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14.1 </w:t>
      </w:r>
      <w:r>
        <w:rPr>
          <w:rFonts w:hint="eastAsia" w:ascii="宋体" w:hAnsi="宋体" w:eastAsia="宋体" w:cs="宋体"/>
          <w:snapToGrid w:val="0"/>
          <w:color w:val="auto"/>
          <w:szCs w:val="24"/>
          <w:highlight w:val="none"/>
          <w:lang w:val="zh-CN"/>
        </w:rPr>
        <w:t>投标人的报价均应以人民币进行报价。</w:t>
      </w:r>
    </w:p>
    <w:p w14:paraId="5269C3EA">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 投标人应按照本招标文件规定的报价方式进行报价，投标报价中不得包含招标文件要求以外的内容，否则，在评标时不予核减。投标报价中也不得缺漏招标文件所要求的内容，否则，其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p>
    <w:p w14:paraId="666EF94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5AB79D4">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投标人的报价应包括但不限于下列内容： </w:t>
      </w:r>
    </w:p>
    <w:p w14:paraId="1FE20F5C">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14.2.1 投标货物及标准附件、备品备件、专用工具等的出厂价（包括已在中</w:t>
      </w:r>
      <w:r>
        <w:rPr>
          <w:rFonts w:hint="eastAsia" w:ascii="宋体" w:hAnsi="宋体" w:eastAsia="宋体"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720CB7F6">
      <w:pPr>
        <w:pStyle w:val="7"/>
        <w:ind w:firstLine="48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14.2.2 按照招标文件要求完成本项目的全部相关费用。</w:t>
      </w:r>
    </w:p>
    <w:p w14:paraId="516CB28E">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14.3 </w:t>
      </w:r>
      <w:r>
        <w:rPr>
          <w:rFonts w:hint="eastAsia" w:ascii="宋体" w:hAnsi="宋体" w:eastAsia="宋体" w:cs="宋体"/>
          <w:color w:val="auto"/>
          <w:highlight w:val="none"/>
        </w:rPr>
        <w:t>投标人须严格按照分项报价表规定的内容填写货物单价以及其他事项。</w:t>
      </w:r>
      <w:r>
        <w:rPr>
          <w:rFonts w:hint="eastAsia" w:ascii="宋体" w:hAnsi="宋体" w:eastAsia="宋体"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color w:val="auto"/>
          <w:szCs w:val="24"/>
          <w:highlight w:val="none"/>
        </w:rPr>
        <w:t>缴</w:t>
      </w:r>
      <w:r>
        <w:rPr>
          <w:rFonts w:hint="eastAsia" w:ascii="宋体" w:hAnsi="宋体" w:eastAsia="宋体" w:cs="宋体"/>
          <w:snapToGrid w:val="0"/>
          <w:color w:val="auto"/>
          <w:szCs w:val="24"/>
          <w:highlight w:val="none"/>
          <w:lang w:val="zh-CN"/>
        </w:rPr>
        <w:t>纳的费用都应包括在投标人提交的投标报价中。</w:t>
      </w:r>
    </w:p>
    <w:p w14:paraId="3831699D">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14.4 投标人在投标文件中注明免费的项目将视为包含在投标报价中。</w:t>
      </w:r>
    </w:p>
    <w:p w14:paraId="006522A1">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14.5 每一种采购内容只允许有一个报价，否则其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r>
        <w:rPr>
          <w:rFonts w:hint="eastAsia" w:ascii="宋体" w:hAnsi="宋体" w:eastAsia="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color w:val="auto"/>
          <w:szCs w:val="24"/>
          <w:highlight w:val="none"/>
        </w:rPr>
        <w:t>投标无效</w:t>
      </w:r>
      <w:r>
        <w:rPr>
          <w:rFonts w:hint="eastAsia" w:ascii="宋体" w:hAnsi="宋体" w:eastAsia="宋体" w:cs="宋体"/>
          <w:color w:val="auto"/>
          <w:highlight w:val="none"/>
        </w:rPr>
        <w:t>。</w:t>
      </w:r>
    </w:p>
    <w:p w14:paraId="4844F6A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 投标报价不得超过“</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”中规定的最高投标限价</w:t>
      </w:r>
      <w:r>
        <w:rPr>
          <w:rFonts w:hint="eastAsia" w:ascii="宋体" w:hAnsi="宋体" w:eastAsia="宋体" w:cs="宋体"/>
          <w:color w:val="auto"/>
          <w:highlight w:val="none"/>
        </w:rPr>
        <w:t>或者预算金额</w:t>
      </w:r>
      <w:r>
        <w:rPr>
          <w:rFonts w:hint="eastAsia" w:ascii="宋体" w:hAnsi="宋体" w:eastAsia="宋体" w:cs="宋体"/>
          <w:color w:val="auto"/>
          <w:szCs w:val="24"/>
          <w:highlight w:val="none"/>
        </w:rPr>
        <w:t>，否则评标委员会将对其作</w:t>
      </w:r>
      <w:r>
        <w:rPr>
          <w:rFonts w:hint="eastAsia" w:ascii="宋体" w:hAnsi="宋体" w:eastAsia="宋体" w:cs="宋体"/>
          <w:b/>
          <w:bCs/>
          <w:color w:val="auto"/>
          <w:szCs w:val="24"/>
          <w:highlight w:val="none"/>
        </w:rPr>
        <w:t>无效投标处理</w:t>
      </w:r>
      <w:r>
        <w:rPr>
          <w:rFonts w:hint="eastAsia" w:ascii="宋体" w:hAnsi="宋体" w:eastAsia="宋体" w:cs="宋体"/>
          <w:color w:val="auto"/>
          <w:szCs w:val="24"/>
          <w:highlight w:val="none"/>
        </w:rPr>
        <w:t>。</w:t>
      </w:r>
    </w:p>
    <w:p w14:paraId="6FBA6974">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394B1B3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239DBE8">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529DCCE">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512CB53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14.10</w:t>
      </w:r>
      <w:r>
        <w:rPr>
          <w:rFonts w:hint="eastAsia" w:ascii="宋体" w:hAnsi="宋体" w:eastAsia="宋体" w:cs="宋体"/>
          <w:color w:val="auto"/>
          <w:kern w:val="0"/>
          <w:szCs w:val="24"/>
          <w:highlight w:val="none"/>
        </w:rPr>
        <w:t>采购人不得向投标人索要或者接受其给予的赠品、回扣或者与采购无关的其他商品、服务。</w:t>
      </w:r>
    </w:p>
    <w:p w14:paraId="4E5CAB3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8" w:name="_Toc2907"/>
      <w:bookmarkStart w:id="179" w:name="_Toc15358"/>
      <w:bookmarkStart w:id="180" w:name="_Toc4011"/>
      <w:bookmarkStart w:id="181" w:name="_Toc163492840"/>
      <w:bookmarkStart w:id="182" w:name="_Toc140132773"/>
      <w:bookmarkStart w:id="183" w:name="_Toc11990"/>
      <w:r>
        <w:rPr>
          <w:rFonts w:hint="eastAsia" w:ascii="宋体" w:hAnsi="宋体" w:eastAsia="宋体" w:cs="宋体"/>
          <w:color w:val="auto"/>
          <w:sz w:val="24"/>
          <w:highlight w:val="none"/>
        </w:rPr>
        <w:t>15.投标有效期</w:t>
      </w:r>
      <w:bookmarkEnd w:id="178"/>
      <w:bookmarkEnd w:id="179"/>
      <w:bookmarkEnd w:id="180"/>
      <w:bookmarkEnd w:id="181"/>
      <w:bookmarkEnd w:id="182"/>
      <w:bookmarkEnd w:id="183"/>
    </w:p>
    <w:p w14:paraId="2E23B06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15.1 </w:t>
      </w:r>
      <w:r>
        <w:rPr>
          <w:rFonts w:hint="eastAsia" w:ascii="宋体" w:hAnsi="宋体" w:eastAsia="宋体" w:cs="宋体"/>
          <w:color w:val="auto"/>
          <w:kern w:val="0"/>
          <w:szCs w:val="21"/>
          <w:highlight w:val="none"/>
        </w:rPr>
        <w:t>投标有效期</w:t>
      </w:r>
      <w:r>
        <w:rPr>
          <w:rFonts w:hint="eastAsia" w:ascii="宋体" w:hAnsi="宋体" w:eastAsia="宋体" w:cs="宋体"/>
          <w:color w:val="auto"/>
          <w:szCs w:val="24"/>
          <w:highlight w:val="none"/>
        </w:rPr>
        <w:t>见“第二章 投标人须知前附表”，投标人承诺的投标有效期</w:t>
      </w:r>
      <w:r>
        <w:rPr>
          <w:rFonts w:hint="eastAsia" w:ascii="宋体" w:hAnsi="宋体" w:eastAsia="宋体" w:cs="宋体"/>
          <w:snapToGrid w:val="0"/>
          <w:color w:val="auto"/>
          <w:highlight w:val="none"/>
          <w:lang w:val="zh-CN"/>
        </w:rPr>
        <w:t>少于</w:t>
      </w:r>
      <w:r>
        <w:rPr>
          <w:rFonts w:hint="eastAsia" w:ascii="宋体" w:hAnsi="宋体" w:eastAsia="宋体" w:cs="宋体"/>
          <w:snapToGrid w:val="0"/>
          <w:color w:val="auto"/>
          <w:highlight w:val="none"/>
        </w:rPr>
        <w:t>招标</w:t>
      </w:r>
      <w:r>
        <w:rPr>
          <w:rFonts w:hint="eastAsia" w:ascii="宋体" w:hAnsi="宋体" w:eastAsia="宋体" w:cs="宋体"/>
          <w:snapToGrid w:val="0"/>
          <w:color w:val="auto"/>
          <w:highlight w:val="none"/>
          <w:lang w:val="zh-CN"/>
        </w:rPr>
        <w:t>文件规定期限的，其</w:t>
      </w:r>
      <w:r>
        <w:rPr>
          <w:rFonts w:hint="eastAsia" w:ascii="宋体" w:hAnsi="宋体" w:eastAsia="宋体" w:cs="宋体"/>
          <w:b/>
          <w:bCs/>
          <w:snapToGrid w:val="0"/>
          <w:color w:val="auto"/>
          <w:highlight w:val="none"/>
        </w:rPr>
        <w:t>投标</w:t>
      </w:r>
      <w:r>
        <w:rPr>
          <w:rFonts w:hint="eastAsia" w:ascii="宋体" w:hAnsi="宋体" w:eastAsia="宋体" w:cs="宋体"/>
          <w:b/>
          <w:bCs/>
          <w:snapToGrid w:val="0"/>
          <w:color w:val="auto"/>
          <w:highlight w:val="none"/>
          <w:lang w:val="zh-CN"/>
        </w:rPr>
        <w:t>无效</w:t>
      </w:r>
      <w:r>
        <w:rPr>
          <w:rFonts w:hint="eastAsia" w:ascii="宋体" w:hAnsi="宋体" w:eastAsia="宋体" w:cs="宋体"/>
          <w:snapToGrid w:val="0"/>
          <w:color w:val="auto"/>
          <w:highlight w:val="none"/>
          <w:lang w:val="zh-CN"/>
        </w:rPr>
        <w:t>。</w:t>
      </w:r>
    </w:p>
    <w:p w14:paraId="5BC7EAE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394C5A9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6F69C0F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15.4投标人同意延长的，</w:t>
      </w:r>
      <w:r>
        <w:rPr>
          <w:rFonts w:hint="eastAsia" w:ascii="宋体" w:hAnsi="宋体" w:eastAsia="宋体" w:cs="宋体"/>
          <w:color w:val="auto"/>
          <w:highlight w:val="none"/>
        </w:rPr>
        <w:t>其投标保证金的有效期也相应延长，但</w:t>
      </w:r>
      <w:r>
        <w:rPr>
          <w:rFonts w:hint="eastAsia" w:ascii="宋体" w:hAnsi="宋体" w:eastAsia="宋体" w:cs="宋体"/>
          <w:color w:val="auto"/>
          <w:szCs w:val="24"/>
          <w:highlight w:val="none"/>
        </w:rPr>
        <w:t>不得要求或被允许修改或撤销其投标文件；投标人拒绝延长的，其投标文件在原投标有效期满后将不再有效，但其提交的投标保证金可予以退还。</w:t>
      </w:r>
    </w:p>
    <w:p w14:paraId="21D7E2A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84" w:name="_Toc22098"/>
      <w:bookmarkStart w:id="185" w:name="_Toc140132774"/>
      <w:bookmarkStart w:id="186" w:name="_Toc163492841"/>
      <w:bookmarkStart w:id="187" w:name="_Toc25519"/>
      <w:bookmarkStart w:id="188" w:name="_Toc17233"/>
      <w:bookmarkStart w:id="189" w:name="_Toc18088"/>
      <w:r>
        <w:rPr>
          <w:rFonts w:hint="eastAsia" w:ascii="宋体" w:hAnsi="宋体" w:eastAsia="宋体" w:cs="宋体"/>
          <w:color w:val="auto"/>
          <w:sz w:val="24"/>
          <w:highlight w:val="none"/>
        </w:rPr>
        <w:t>16.投标文件的编制</w:t>
      </w:r>
      <w:bookmarkEnd w:id="184"/>
      <w:bookmarkEnd w:id="185"/>
      <w:bookmarkEnd w:id="186"/>
      <w:bookmarkEnd w:id="187"/>
      <w:bookmarkEnd w:id="188"/>
      <w:bookmarkEnd w:id="189"/>
    </w:p>
    <w:p w14:paraId="244913B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16.1投标文件应在供应商客户端中进行编制，在投标文件中要求加盖印章的，除有特殊说明之外，可使用电子签章签署。</w:t>
      </w:r>
    </w:p>
    <w:p w14:paraId="564F2551">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bookmarkStart w:id="190" w:name="_Hlk143528557"/>
      <w:r>
        <w:rPr>
          <w:rFonts w:hint="eastAsia" w:ascii="宋体" w:hAnsi="宋体" w:eastAsia="宋体" w:cs="宋体"/>
          <w:color w:val="auto"/>
          <w:highlight w:val="none"/>
        </w:rPr>
        <w:t>2投标人在供应商客户端中按照供应商客户端中的格式要求填写响应内容后，生成投标文件。投标人须按照招标文件的要求使用电子签章对要求加盖印章的部分逐一进行签章。</w:t>
      </w:r>
      <w:bookmarkEnd w:id="190"/>
    </w:p>
    <w:p w14:paraId="155EC280">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highlight w:val="none"/>
        </w:rPr>
        <w:t>导致</w:t>
      </w:r>
      <w:r>
        <w:rPr>
          <w:rFonts w:hint="eastAsia" w:ascii="宋体" w:hAnsi="宋体" w:eastAsia="宋体" w:cs="宋体"/>
          <w:b/>
          <w:bCs/>
          <w:color w:val="auto"/>
          <w:highlight w:val="none"/>
          <w:lang w:val="en-US"/>
        </w:rPr>
        <w:t>其</w:t>
      </w:r>
      <w:r>
        <w:rPr>
          <w:rFonts w:hint="eastAsia" w:ascii="宋体" w:hAnsi="宋体" w:eastAsia="宋体" w:cs="宋体"/>
          <w:b/>
          <w:bCs/>
          <w:color w:val="auto"/>
          <w:highlight w:val="none"/>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rPr>
        <w:t>。</w:t>
      </w:r>
    </w:p>
    <w:p w14:paraId="79DD15A4">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投标文件须严格按照</w:t>
      </w:r>
      <w:r>
        <w:rPr>
          <w:rFonts w:hint="eastAsia" w:ascii="宋体" w:hAnsi="宋体" w:eastAsia="宋体" w:cs="宋体"/>
          <w:color w:val="auto"/>
          <w:highlight w:val="none"/>
          <w:lang w:val="en-US"/>
        </w:rPr>
        <w:t>本</w:t>
      </w:r>
      <w:r>
        <w:rPr>
          <w:rFonts w:hint="eastAsia" w:ascii="宋体" w:hAnsi="宋体" w:eastAsia="宋体" w:cs="宋体"/>
          <w:color w:val="auto"/>
          <w:highlight w:val="none"/>
        </w:rPr>
        <w:t>招标文件第</w:t>
      </w:r>
      <w:r>
        <w:rPr>
          <w:rFonts w:hint="eastAsia" w:ascii="宋体" w:hAnsi="宋体" w:eastAsia="宋体" w:cs="宋体"/>
          <w:color w:val="auto"/>
          <w:highlight w:val="none"/>
          <w:lang w:val="en-US"/>
        </w:rPr>
        <w:t>七章</w:t>
      </w:r>
      <w:r>
        <w:rPr>
          <w:rFonts w:hint="eastAsia" w:ascii="宋体" w:hAnsi="宋体" w:eastAsia="宋体" w:cs="宋体"/>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72C3A6F8">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highlight w:val="none"/>
          <w:lang w:val="en-US"/>
        </w:rPr>
        <w:t>视为未响应</w:t>
      </w:r>
      <w:r>
        <w:rPr>
          <w:rFonts w:hint="eastAsia" w:ascii="宋体" w:hAnsi="宋体" w:eastAsia="宋体" w:cs="宋体"/>
          <w:color w:val="auto"/>
          <w:highlight w:val="none"/>
          <w:lang w:val="en-US"/>
        </w:rPr>
        <w:t>。</w:t>
      </w:r>
    </w:p>
    <w:p w14:paraId="48EBA6AF">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开标一览表为在开标</w:t>
      </w:r>
      <w:r>
        <w:rPr>
          <w:rFonts w:hint="eastAsia" w:ascii="宋体" w:hAnsi="宋体" w:eastAsia="宋体" w:cs="宋体"/>
          <w:color w:val="auto"/>
          <w:highlight w:val="none"/>
          <w:lang w:val="en-US"/>
        </w:rPr>
        <w:t>时</w:t>
      </w:r>
      <w:r>
        <w:rPr>
          <w:rFonts w:hint="eastAsia" w:ascii="宋体" w:hAnsi="宋体" w:eastAsia="宋体" w:cs="宋体"/>
          <w:color w:val="auto"/>
          <w:highlight w:val="none"/>
        </w:rPr>
        <w:t>唱标的内容，要求按格式统一填写，不得自行增减内容。</w:t>
      </w:r>
    </w:p>
    <w:p w14:paraId="28C36947">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highlight w:val="none"/>
          <w:lang w:val="en-US"/>
        </w:rPr>
        <w:t>按</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rPr>
        <w:t>处理。</w:t>
      </w:r>
    </w:p>
    <w:p w14:paraId="3735E180">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投标人必须保证投标文件所提供的全部资料真实可靠，并接受采购</w:t>
      </w:r>
      <w:r>
        <w:rPr>
          <w:rFonts w:hint="eastAsia" w:ascii="宋体" w:hAnsi="宋体" w:eastAsia="宋体" w:cs="宋体"/>
          <w:color w:val="auto"/>
          <w:highlight w:val="none"/>
          <w:lang w:val="en-US"/>
        </w:rPr>
        <w:t>人、采购</w:t>
      </w:r>
      <w:r>
        <w:rPr>
          <w:rFonts w:hint="eastAsia" w:ascii="宋体" w:hAnsi="宋体" w:eastAsia="宋体" w:cs="宋体"/>
          <w:color w:val="auto"/>
          <w:highlight w:val="none"/>
        </w:rPr>
        <w:t>代理机构或评标委员会对其中任何资料进一步审查的要求。</w:t>
      </w:r>
    </w:p>
    <w:p w14:paraId="57673A8F">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9</w:t>
      </w:r>
      <w:r>
        <w:rPr>
          <w:rFonts w:hint="eastAsia" w:ascii="宋体" w:hAnsi="宋体" w:eastAsia="宋体" w:cs="宋体"/>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highlight w:val="none"/>
        </w:rPr>
        <w:t>无效投标</w:t>
      </w:r>
      <w:r>
        <w:rPr>
          <w:rFonts w:hint="eastAsia" w:ascii="宋体" w:hAnsi="宋体" w:eastAsia="宋体" w:cs="宋体"/>
          <w:color w:val="auto"/>
          <w:highlight w:val="none"/>
        </w:rPr>
        <w:t>处理。</w:t>
      </w:r>
    </w:p>
    <w:p w14:paraId="305C4A1B">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16.10电子投标文件的编制</w:t>
      </w:r>
    </w:p>
    <w:p w14:paraId="69389425">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16.10.1电子投标文件需按招标文件要求进行制作编制。投标文件制作时，不同内容按标签提示制作导入，按照招标文件中明确的投标文件目录和格式进行编制，保证目录清晰、内容完整；           </w:t>
      </w:r>
    </w:p>
    <w:p w14:paraId="0A96145F">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2"/>
          <w:highlight w:val="none"/>
          <w:shd w:val="clear" w:color="auto" w:fill="FFFFFF"/>
        </w:rPr>
        <w:t>其投标无效</w:t>
      </w:r>
      <w:r>
        <w:rPr>
          <w:rFonts w:hint="eastAsia" w:ascii="宋体" w:hAnsi="宋体" w:eastAsia="宋体" w:cs="宋体"/>
          <w:iCs/>
          <w:color w:val="auto"/>
          <w:kern w:val="2"/>
          <w:sz w:val="24"/>
          <w:szCs w:val="22"/>
          <w:highlight w:val="none"/>
          <w:shd w:val="clear" w:color="auto" w:fill="FFFFFF"/>
        </w:rPr>
        <w:t xml:space="preserve">。 </w:t>
      </w:r>
    </w:p>
    <w:p w14:paraId="4B0A57CB">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91" w:name="_Toc17210"/>
      <w:bookmarkStart w:id="192" w:name="_Toc3198"/>
      <w:bookmarkStart w:id="193" w:name="_Toc155185873"/>
      <w:bookmarkStart w:id="194" w:name="_Toc29237"/>
      <w:bookmarkStart w:id="195" w:name="_Toc163492842"/>
      <w:bookmarkStart w:id="196" w:name="_Toc4470"/>
      <w:r>
        <w:rPr>
          <w:rFonts w:hint="eastAsia" w:ascii="宋体" w:hAnsi="宋体" w:eastAsia="宋体" w:cs="宋体"/>
          <w:color w:val="auto"/>
          <w:sz w:val="24"/>
          <w:highlight w:val="none"/>
        </w:rPr>
        <w:t>（四）投标</w:t>
      </w:r>
      <w:bookmarkEnd w:id="191"/>
      <w:bookmarkEnd w:id="192"/>
      <w:bookmarkEnd w:id="193"/>
      <w:bookmarkEnd w:id="194"/>
      <w:bookmarkEnd w:id="195"/>
      <w:bookmarkEnd w:id="196"/>
    </w:p>
    <w:p w14:paraId="0A2A1B8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7" w:name="_Toc22324"/>
      <w:bookmarkStart w:id="198" w:name="_Toc18595"/>
      <w:bookmarkStart w:id="199" w:name="_Toc28270"/>
      <w:bookmarkStart w:id="200" w:name="_Toc4876"/>
      <w:bookmarkStart w:id="201" w:name="_Toc163492843"/>
      <w:r>
        <w:rPr>
          <w:rFonts w:hint="eastAsia" w:ascii="宋体" w:hAnsi="宋体" w:eastAsia="宋体" w:cs="宋体"/>
          <w:color w:val="auto"/>
          <w:sz w:val="24"/>
          <w:highlight w:val="none"/>
        </w:rPr>
        <w:t>17.投标保证金</w:t>
      </w:r>
      <w:bookmarkEnd w:id="197"/>
      <w:bookmarkEnd w:id="198"/>
      <w:bookmarkEnd w:id="199"/>
      <w:bookmarkEnd w:id="200"/>
    </w:p>
    <w:p w14:paraId="3EAB0EAE">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17.1投标人应按照招标文件“第二章 投标人须知前附表”规定的金额及要求提交投标保证金。投标人自愿超额缴纳投标保证金的，投标文件不做无效处理。</w:t>
      </w:r>
    </w:p>
    <w:p w14:paraId="0DFA7FF9">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highlight w:val="none"/>
        </w:rPr>
        <w:t>投标人未按照招标文件要求提交投标保证金的，其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。投标保证金有效期同投标有效期。</w:t>
      </w:r>
    </w:p>
    <w:p w14:paraId="042844F1">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651BFF7C">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17.4 投标人为联合体的，可以由联合体中的一方或者多方共同提交投标保证金，其提交的投标保证金对联合体各方均具有约束力。</w:t>
      </w:r>
    </w:p>
    <w:p w14:paraId="4A18746B">
      <w:pPr>
        <w:pStyle w:val="66"/>
        <w:spacing w:line="360" w:lineRule="auto"/>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7F727B53">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17.6 投标人在投标截止时间前撤回已提交的投标文件的，自收到投标人书面撤回通知之日起 5 个工作日内，退还已收取的投标保证金，但因投标人自身原因导致无法及时退还的除外。 </w:t>
      </w:r>
    </w:p>
    <w:p w14:paraId="03AE77B6">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17.7 终止招标项目已经收取投标保证金的，自终止采购活动后 5 个工作日内退还已收取的投标保证金及其在银行产生的孳息。</w:t>
      </w:r>
    </w:p>
    <w:p w14:paraId="74FF9986">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17.8 有下列情形之一的，采购人或采购代理机构可以不予退还投标保证金,</w:t>
      </w:r>
      <w:r>
        <w:rPr>
          <w:rFonts w:hint="eastAsia" w:ascii="宋体" w:hAnsi="宋体" w:eastAsia="宋体" w:cs="宋体"/>
          <w:color w:val="auto"/>
          <w:kern w:val="2"/>
          <w:sz w:val="24"/>
          <w:szCs w:val="22"/>
          <w:highlight w:val="none"/>
        </w:rPr>
        <w:t>情节严重的将其列入不良记录名单</w:t>
      </w:r>
      <w:r>
        <w:rPr>
          <w:rFonts w:hint="eastAsia" w:ascii="宋体" w:hAnsi="宋体" w:eastAsia="宋体" w:cs="宋体"/>
          <w:iCs/>
          <w:color w:val="auto"/>
          <w:kern w:val="2"/>
          <w:sz w:val="24"/>
          <w:szCs w:val="22"/>
          <w:highlight w:val="none"/>
          <w:shd w:val="clear" w:color="auto" w:fill="FFFFFF"/>
        </w:rPr>
        <w:t xml:space="preserve">： </w:t>
      </w:r>
    </w:p>
    <w:p w14:paraId="5F2BF0F3">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17.8.1 </w:t>
      </w:r>
      <w:r>
        <w:rPr>
          <w:rFonts w:hint="eastAsia" w:ascii="宋体" w:hAnsi="宋体" w:eastAsia="宋体" w:cs="宋体"/>
          <w:color w:val="auto"/>
          <w:kern w:val="2"/>
          <w:sz w:val="24"/>
          <w:szCs w:val="22"/>
          <w:highlight w:val="none"/>
        </w:rPr>
        <w:t>开标后在投标有效期内，投标人撤销其投标的；</w:t>
      </w:r>
      <w:r>
        <w:rPr>
          <w:rFonts w:hint="eastAsia" w:ascii="宋体" w:hAnsi="宋体" w:eastAsia="宋体" w:cs="宋体"/>
          <w:iCs/>
          <w:color w:val="auto"/>
          <w:kern w:val="2"/>
          <w:sz w:val="24"/>
          <w:szCs w:val="22"/>
          <w:highlight w:val="none"/>
          <w:shd w:val="clear" w:color="auto" w:fill="FFFFFF"/>
        </w:rPr>
        <w:t xml:space="preserve"> </w:t>
      </w:r>
    </w:p>
    <w:p w14:paraId="5DBC3997">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17.8.2 </w:t>
      </w:r>
      <w:r>
        <w:rPr>
          <w:rFonts w:hint="eastAsia" w:ascii="宋体" w:hAnsi="宋体" w:eastAsia="宋体" w:cs="宋体"/>
          <w:color w:val="auto"/>
          <w:kern w:val="2"/>
          <w:sz w:val="24"/>
          <w:szCs w:val="22"/>
          <w:highlight w:val="none"/>
        </w:rPr>
        <w:t>中标后无正当理由不与采购人签订合同的；</w:t>
      </w:r>
    </w:p>
    <w:p w14:paraId="4663EB9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1676C29B">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6896D1B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5 存在串通投标行为的；</w:t>
      </w:r>
    </w:p>
    <w:p w14:paraId="3C629A6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6 存在弄虚作假或提供虚假材料谋取中标的；</w:t>
      </w:r>
    </w:p>
    <w:p w14:paraId="03DBFF92">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7 投标人其他未按招标文件规定和合同约定履行义务的行为。</w:t>
      </w:r>
    </w:p>
    <w:p w14:paraId="021E04B5">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17.9如开标时投标人对本单位投标保证金缴纳情况有疑义，投标人应在开标结束前向采购人提交书面申请核实保证金缴纳情况。由银行或保险公司核实后出具书面材料予以答复。</w:t>
      </w:r>
    </w:p>
    <w:p w14:paraId="5267351A">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宋体"/>
          <w:iCs/>
          <w:color w:val="auto"/>
          <w:kern w:val="2"/>
          <w:sz w:val="24"/>
          <w:szCs w:val="22"/>
          <w:highlight w:val="none"/>
          <w:shd w:val="clear" w:color="auto" w:fill="FFFFFF"/>
          <w:lang w:eastAsia="zh-CN"/>
        </w:rPr>
        <w:t>。</w:t>
      </w:r>
      <w:r>
        <w:rPr>
          <w:rFonts w:hint="eastAsia" w:ascii="宋体" w:hAnsi="宋体" w:eastAsia="宋体" w:cs="宋体"/>
          <w:iCs/>
          <w:color w:val="auto"/>
          <w:kern w:val="2"/>
          <w:sz w:val="24"/>
          <w:szCs w:val="22"/>
          <w:highlight w:val="none"/>
          <w:shd w:val="clear" w:color="auto" w:fill="FFFFFF"/>
        </w:rPr>
        <w:t xml:space="preserve">，    </w:t>
      </w:r>
    </w:p>
    <w:p w14:paraId="28B6F55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2" w:name="_Toc26606"/>
      <w:bookmarkStart w:id="203" w:name="_Toc8188"/>
      <w:bookmarkStart w:id="204" w:name="_Toc28464"/>
      <w:bookmarkStart w:id="205" w:name="_Toc16247"/>
      <w:r>
        <w:rPr>
          <w:rFonts w:hint="eastAsia" w:ascii="宋体" w:hAnsi="宋体" w:eastAsia="宋体" w:cs="宋体"/>
          <w:color w:val="auto"/>
          <w:sz w:val="24"/>
          <w:highlight w:val="none"/>
        </w:rPr>
        <w:t>18.投标文件的加密</w:t>
      </w:r>
      <w:bookmarkEnd w:id="201"/>
      <w:bookmarkEnd w:id="202"/>
      <w:bookmarkEnd w:id="203"/>
      <w:bookmarkEnd w:id="204"/>
      <w:bookmarkEnd w:id="205"/>
    </w:p>
    <w:p w14:paraId="2884811F">
      <w:pPr>
        <w:ind w:firstLine="480" w:firstLineChars="200"/>
        <w:rPr>
          <w:rFonts w:hint="eastAsia" w:ascii="宋体" w:hAnsi="宋体" w:eastAsia="宋体" w:cs="宋体"/>
          <w:color w:val="auto"/>
          <w:szCs w:val="24"/>
          <w:highlight w:val="none"/>
          <w:u w:val="single"/>
        </w:rPr>
      </w:pPr>
      <w:bookmarkStart w:id="206" w:name="_Hlk143531864"/>
      <w:r>
        <w:rPr>
          <w:rFonts w:hint="eastAsia" w:ascii="宋体" w:hAnsi="宋体" w:eastAsia="宋体" w:cs="宋体"/>
          <w:color w:val="auto"/>
          <w:szCs w:val="24"/>
          <w:highlight w:val="none"/>
        </w:rPr>
        <w:t>18.1投标人在供应商客户端中生成投标文件并完成签章之后，使用CA证书在供应商客户端中对投标文件进行加密。</w:t>
      </w:r>
    </w:p>
    <w:p w14:paraId="2EBE951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18.2投标人应在供应商客户端中对加密的投标文件进行解密验证，以防止投标文件加密异常，在开标时无法解密。</w:t>
      </w:r>
    </w:p>
    <w:p w14:paraId="528EF4F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投标人应保证加密投标文件的CA证书有效期在开标时间之前。若CA证书有效期临近开标时间，建议投标人提前办理CA证书续期，以免开标时无法进行解密。</w:t>
      </w:r>
    </w:p>
    <w:p w14:paraId="3F50DBCF">
      <w:pPr>
        <w:wordWrap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18.4投标人在投标文件递交截止时间前通过</w:t>
      </w:r>
      <w:r>
        <w:rPr>
          <w:rFonts w:hint="eastAsia" w:ascii="宋体" w:hAnsi="宋体" w:eastAsia="宋体" w:cs="宋体"/>
          <w:color w:val="auto"/>
          <w:szCs w:val="24"/>
          <w:highlight w:val="none"/>
          <w:lang w:eastAsia="zh-CN"/>
        </w:rPr>
        <w:t>新疆</w:t>
      </w:r>
      <w:r>
        <w:rPr>
          <w:rFonts w:hint="eastAsia" w:ascii="宋体" w:hAnsi="宋体" w:eastAsia="宋体" w:cs="宋体"/>
          <w:color w:val="auto"/>
          <w:szCs w:val="24"/>
          <w:highlight w:val="none"/>
        </w:rPr>
        <w:t>政府采购网（http://www.ccgp-xinjiang.gov.cn/）的”政采云登录入口”登录后，将加密电子投标文件（为.jmbs后缀格式）上传到对应项目的指定位置，投标人认为有必要提交的其他资料请于投标截止时间前一并提交。</w:t>
      </w:r>
    </w:p>
    <w:p w14:paraId="534ECD9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36B651B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18.6本项目采用不见面开标，无需提供电子投标文件U盘。</w:t>
      </w:r>
    </w:p>
    <w:bookmarkEnd w:id="206"/>
    <w:p w14:paraId="0F572FF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7" w:name="_Toc140132777"/>
      <w:bookmarkStart w:id="208" w:name="_Toc163492844"/>
      <w:bookmarkStart w:id="209" w:name="_Toc29763"/>
      <w:bookmarkStart w:id="210" w:name="_Toc16258"/>
      <w:bookmarkStart w:id="211" w:name="_Toc32423"/>
      <w:bookmarkStart w:id="212" w:name="_Toc27844"/>
      <w:r>
        <w:rPr>
          <w:rFonts w:hint="eastAsia" w:ascii="宋体" w:hAnsi="宋体" w:eastAsia="宋体" w:cs="宋体"/>
          <w:color w:val="auto"/>
          <w:sz w:val="24"/>
          <w:highlight w:val="none"/>
        </w:rPr>
        <w:t>19.投标文件的递交</w:t>
      </w:r>
      <w:bookmarkEnd w:id="207"/>
      <w:r>
        <w:rPr>
          <w:rFonts w:hint="eastAsia" w:ascii="宋体" w:hAnsi="宋体" w:eastAsia="宋体" w:cs="宋体"/>
          <w:color w:val="auto"/>
          <w:sz w:val="24"/>
          <w:highlight w:val="none"/>
        </w:rPr>
        <w:t>（上传）</w:t>
      </w:r>
      <w:bookmarkEnd w:id="208"/>
      <w:bookmarkEnd w:id="209"/>
      <w:bookmarkEnd w:id="210"/>
      <w:bookmarkEnd w:id="211"/>
      <w:bookmarkEnd w:id="212"/>
    </w:p>
    <w:p w14:paraId="0FDC3A30">
      <w:pPr>
        <w:ind w:firstLine="480" w:firstLineChars="200"/>
        <w:rPr>
          <w:rFonts w:hint="eastAsia" w:ascii="宋体" w:hAnsi="宋体" w:eastAsia="宋体" w:cs="宋体"/>
          <w:color w:val="auto"/>
          <w:szCs w:val="24"/>
          <w:highlight w:val="none"/>
        </w:rPr>
      </w:pPr>
      <w:bookmarkStart w:id="213" w:name="_Hlk143531977"/>
      <w:r>
        <w:rPr>
          <w:rFonts w:hint="eastAsia" w:ascii="宋体" w:hAnsi="宋体" w:eastAsia="宋体" w:cs="宋体"/>
          <w:color w:val="auto"/>
          <w:szCs w:val="24"/>
          <w:highlight w:val="none"/>
        </w:rPr>
        <w:t xml:space="preserve">19.1 投标人应在“第一章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”规定的投标截止时间前递交（上传）投标文件。</w:t>
      </w:r>
    </w:p>
    <w:p w14:paraId="2EF56CE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19.2 投标人递交（上传）投标文件的地点见“第一章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w:t>
      </w:r>
    </w:p>
    <w:p w14:paraId="0260CDE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89503C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投标人应在供应商客户端中下载未加密且完成签章的投标文件妥善保存，以便启动应急开标程序时使用。</w:t>
      </w:r>
    </w:p>
    <w:p w14:paraId="78005E6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19.5投标人所递交的投标文件不予退还。</w:t>
      </w:r>
    </w:p>
    <w:bookmarkEnd w:id="213"/>
    <w:p w14:paraId="5B5C6D1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4" w:name="_Toc4892"/>
      <w:bookmarkStart w:id="215" w:name="_Toc163492845"/>
      <w:bookmarkStart w:id="216" w:name="_Toc29074"/>
      <w:bookmarkStart w:id="217" w:name="_Toc32306"/>
      <w:bookmarkStart w:id="218" w:name="_Toc30939"/>
      <w:r>
        <w:rPr>
          <w:rFonts w:hint="eastAsia" w:ascii="宋体" w:hAnsi="宋体" w:eastAsia="宋体" w:cs="宋体"/>
          <w:color w:val="auto"/>
          <w:sz w:val="24"/>
          <w:highlight w:val="none"/>
        </w:rPr>
        <w:t>20.拒收</w:t>
      </w:r>
      <w:bookmarkEnd w:id="214"/>
      <w:bookmarkEnd w:id="215"/>
      <w:bookmarkEnd w:id="216"/>
      <w:bookmarkEnd w:id="217"/>
      <w:bookmarkEnd w:id="218"/>
    </w:p>
    <w:p w14:paraId="6FAA21E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超过投标文件提交截止时间</w:t>
      </w:r>
      <w:bookmarkStart w:id="219" w:name="_Hlk143532404"/>
      <w:r>
        <w:rPr>
          <w:rFonts w:hint="eastAsia" w:ascii="宋体" w:hAnsi="宋体" w:eastAsia="宋体" w:cs="宋体"/>
          <w:color w:val="auto"/>
          <w:szCs w:val="24"/>
          <w:highlight w:val="none"/>
        </w:rPr>
        <w:t>或者不按照本章要求加密的投标文件，交易系统应当拒收</w:t>
      </w:r>
      <w:bookmarkEnd w:id="219"/>
      <w:r>
        <w:rPr>
          <w:rFonts w:hint="eastAsia" w:ascii="宋体" w:hAnsi="宋体" w:eastAsia="宋体" w:cs="宋体"/>
          <w:color w:val="auto"/>
          <w:szCs w:val="24"/>
          <w:highlight w:val="none"/>
        </w:rPr>
        <w:t>。</w:t>
      </w:r>
    </w:p>
    <w:p w14:paraId="09E3B03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0" w:name="_Toc2528"/>
      <w:bookmarkStart w:id="221" w:name="_Toc163492846"/>
      <w:bookmarkStart w:id="222" w:name="_Toc26768"/>
      <w:bookmarkStart w:id="223" w:name="_Toc140132778"/>
      <w:bookmarkStart w:id="224" w:name="_Toc29200"/>
      <w:bookmarkStart w:id="225" w:name="_Toc4072"/>
      <w:r>
        <w:rPr>
          <w:rFonts w:hint="eastAsia" w:ascii="宋体" w:hAnsi="宋体" w:eastAsia="宋体" w:cs="宋体"/>
          <w:color w:val="auto"/>
          <w:sz w:val="24"/>
          <w:highlight w:val="none"/>
        </w:rPr>
        <w:t>21.投标文件的修改与撤回</w:t>
      </w:r>
      <w:bookmarkEnd w:id="220"/>
      <w:bookmarkEnd w:id="221"/>
      <w:bookmarkEnd w:id="222"/>
      <w:bookmarkEnd w:id="223"/>
      <w:bookmarkEnd w:id="224"/>
      <w:bookmarkEnd w:id="225"/>
    </w:p>
    <w:p w14:paraId="7FDDD11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bookmarkStart w:id="226" w:name="_Hlk143532466"/>
      <w:r>
        <w:rPr>
          <w:rFonts w:hint="eastAsia" w:ascii="宋体" w:hAnsi="宋体" w:eastAsia="宋体" w:cs="宋体"/>
          <w:color w:val="auto"/>
          <w:szCs w:val="24"/>
          <w:highlight w:val="none"/>
        </w:rPr>
        <w:t>投标人在“</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”规定的投标文件递交截止时间之前，可在政府采购电子交易云平台上随时撤回已上传的电子投标文件，将修改好的电子投标文件在投标文件递交截止时间前重新上传到政府采购电子交易云平台的指定位置。</w:t>
      </w:r>
    </w:p>
    <w:bookmarkEnd w:id="226"/>
    <w:p w14:paraId="31980BC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7" w:name="_Toc24996"/>
      <w:bookmarkStart w:id="228" w:name="_Toc9242"/>
      <w:bookmarkStart w:id="229" w:name="_Toc19338"/>
      <w:bookmarkStart w:id="230" w:name="_Toc163492847"/>
      <w:bookmarkStart w:id="231" w:name="_Toc6575"/>
      <w:bookmarkStart w:id="232" w:name="_Toc155185874"/>
      <w:r>
        <w:rPr>
          <w:rFonts w:hint="eastAsia" w:ascii="宋体" w:hAnsi="宋体" w:eastAsia="宋体" w:cs="宋体"/>
          <w:color w:val="auto"/>
          <w:sz w:val="24"/>
          <w:highlight w:val="none"/>
        </w:rPr>
        <w:t>22.实物样品</w:t>
      </w:r>
      <w:bookmarkEnd w:id="227"/>
      <w:bookmarkEnd w:id="228"/>
      <w:bookmarkEnd w:id="229"/>
      <w:bookmarkEnd w:id="230"/>
      <w:bookmarkEnd w:id="231"/>
      <w:bookmarkEnd w:id="232"/>
    </w:p>
    <w:p w14:paraId="24E245AF">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.1“投标人须知前附表”要求提供样品的，样品的具体要求及评审详见“第三章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1D0BFF73">
      <w:pPr>
        <w:pStyle w:val="36"/>
        <w:rPr>
          <w:rFonts w:hint="eastAsia" w:ascii="宋体" w:hAnsi="宋体" w:eastAsia="宋体" w:cs="宋体"/>
          <w:b/>
          <w:color w:val="auto"/>
          <w:szCs w:val="24"/>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.2样品退还：未中标的投标人应</w:t>
      </w:r>
      <w:r>
        <w:rPr>
          <w:rFonts w:hint="eastAsia" w:ascii="宋体" w:hAnsi="宋体" w:eastAsia="宋体" w:cs="宋体"/>
          <w:color w:val="auto"/>
          <w:highlight w:val="none"/>
          <w:lang w:val="en-US"/>
        </w:rPr>
        <w:t>按照</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自行联系采购人取回投标样品；中标人的样品由采购人进行保管、封存，并作为履约验收的参考（招标文件另有规定的从其规定）。</w:t>
      </w:r>
    </w:p>
    <w:p w14:paraId="78F5232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33" w:name="_Toc31127"/>
      <w:bookmarkStart w:id="234" w:name="_Toc163492848"/>
      <w:bookmarkStart w:id="235" w:name="_Toc155185875"/>
      <w:bookmarkStart w:id="236" w:name="_Toc28857"/>
      <w:bookmarkStart w:id="237" w:name="_Toc29711"/>
      <w:bookmarkStart w:id="238" w:name="_Toc25755"/>
      <w:r>
        <w:rPr>
          <w:rFonts w:hint="eastAsia" w:ascii="宋体" w:hAnsi="宋体" w:eastAsia="宋体" w:cs="宋体"/>
          <w:color w:val="auto"/>
          <w:sz w:val="24"/>
          <w:highlight w:val="none"/>
        </w:rPr>
        <w:t>23.演示</w:t>
      </w:r>
      <w:bookmarkEnd w:id="233"/>
      <w:bookmarkEnd w:id="234"/>
      <w:bookmarkEnd w:id="235"/>
      <w:bookmarkEnd w:id="236"/>
      <w:bookmarkEnd w:id="237"/>
      <w:bookmarkEnd w:id="238"/>
    </w:p>
    <w:p w14:paraId="2820C01E">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.1要求投标人进行演示的，演示要求详见“投标人须知前附表”。</w:t>
      </w:r>
    </w:p>
    <w:p w14:paraId="0A1E1305">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.2演示的评审详见“第三章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6638E3DA">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39" w:name="_Toc25557"/>
      <w:bookmarkStart w:id="240" w:name="_Toc7097"/>
      <w:bookmarkStart w:id="241" w:name="_Toc140132779"/>
      <w:bookmarkStart w:id="242" w:name="_Toc155185876"/>
      <w:bookmarkStart w:id="243" w:name="_Toc21792"/>
      <w:bookmarkStart w:id="244" w:name="_Toc6826"/>
      <w:bookmarkStart w:id="245" w:name="_Toc163492849"/>
      <w:r>
        <w:rPr>
          <w:rFonts w:hint="eastAsia" w:ascii="宋体" w:hAnsi="宋体" w:eastAsia="宋体" w:cs="宋体"/>
          <w:color w:val="auto"/>
          <w:sz w:val="24"/>
          <w:highlight w:val="none"/>
        </w:rPr>
        <w:t>（五）开标</w:t>
      </w:r>
      <w:bookmarkEnd w:id="239"/>
      <w:bookmarkEnd w:id="240"/>
      <w:bookmarkEnd w:id="241"/>
      <w:bookmarkEnd w:id="242"/>
      <w:bookmarkEnd w:id="243"/>
      <w:bookmarkEnd w:id="244"/>
      <w:bookmarkEnd w:id="245"/>
    </w:p>
    <w:p w14:paraId="4FE21E5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46" w:name="_Toc25197"/>
      <w:bookmarkStart w:id="247" w:name="_Toc140132780"/>
      <w:bookmarkStart w:id="248" w:name="_Toc29962"/>
      <w:bookmarkStart w:id="249" w:name="_Toc31983"/>
      <w:bookmarkStart w:id="250" w:name="_Toc163492850"/>
      <w:bookmarkStart w:id="251" w:name="_Toc16939"/>
      <w:r>
        <w:rPr>
          <w:rFonts w:hint="eastAsia" w:ascii="宋体" w:hAnsi="宋体" w:eastAsia="宋体" w:cs="宋体"/>
          <w:color w:val="auto"/>
          <w:sz w:val="24"/>
          <w:highlight w:val="none"/>
        </w:rPr>
        <w:t>24.开标会议</w:t>
      </w:r>
      <w:bookmarkEnd w:id="246"/>
      <w:bookmarkEnd w:id="247"/>
      <w:bookmarkEnd w:id="248"/>
      <w:bookmarkEnd w:id="249"/>
      <w:bookmarkEnd w:id="250"/>
      <w:bookmarkEnd w:id="251"/>
    </w:p>
    <w:p w14:paraId="075E3BF0">
      <w:pPr>
        <w:ind w:firstLine="480" w:firstLineChars="200"/>
        <w:rPr>
          <w:rFonts w:hint="eastAsia" w:ascii="宋体" w:hAnsi="宋体" w:eastAsia="宋体" w:cs="宋体"/>
          <w:color w:val="auto"/>
          <w:szCs w:val="24"/>
          <w:highlight w:val="none"/>
        </w:rPr>
      </w:pPr>
      <w:bookmarkStart w:id="252" w:name="_Toc140132781"/>
      <w:r>
        <w:rPr>
          <w:rFonts w:hint="eastAsia" w:ascii="宋体" w:hAnsi="宋体" w:eastAsia="宋体" w:cs="宋体"/>
          <w:color w:val="auto"/>
          <w:szCs w:val="24"/>
          <w:highlight w:val="none"/>
        </w:rPr>
        <w:t xml:space="preserve">24.1开标会按“第一章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”规定的开标时间和地点准时举行，采购人、采购代理机构邀请所有投标人准时参加开标会。</w:t>
      </w:r>
      <w:r>
        <w:rPr>
          <w:rFonts w:hint="eastAsia" w:ascii="宋体" w:hAnsi="宋体" w:eastAsia="宋体" w:cs="宋体"/>
          <w:color w:val="auto"/>
          <w:highlight w:val="none"/>
        </w:rPr>
        <w:t>投标人应按照招标文件的要求参与不见面开标。</w:t>
      </w:r>
    </w:p>
    <w:p w14:paraId="04E0A2C3">
      <w:pPr>
        <w:wordWrap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24.2 </w:t>
      </w:r>
      <w:bookmarkEnd w:id="252"/>
      <w:r>
        <w:rPr>
          <w:rFonts w:hint="eastAsia" w:ascii="宋体" w:hAnsi="宋体" w:eastAsia="宋体"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政府采购电子交易云平台（网址：https://www.zcygov.cn/）的“政采云登录入口”登录后，进入“政采云远程开标大厅”参加开标会议，并使用CA密钥完成远程解密、提疑澄清、开标唱标、结果公布等交互环节。</w:t>
      </w:r>
    </w:p>
    <w:p w14:paraId="434DC1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22FCB7A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3" w:name="_Toc17474"/>
      <w:bookmarkStart w:id="254" w:name="_Toc12764"/>
      <w:bookmarkStart w:id="255" w:name="_Toc140132783"/>
      <w:bookmarkStart w:id="256" w:name="_Toc30827"/>
      <w:bookmarkStart w:id="257" w:name="_Toc20710"/>
      <w:bookmarkStart w:id="258" w:name="_Toc163492852"/>
      <w:r>
        <w:rPr>
          <w:rFonts w:hint="eastAsia" w:ascii="宋体" w:hAnsi="宋体" w:eastAsia="宋体" w:cs="宋体"/>
          <w:color w:val="auto"/>
          <w:sz w:val="24"/>
          <w:highlight w:val="none"/>
        </w:rPr>
        <w:t>25.开标程序</w:t>
      </w:r>
      <w:bookmarkEnd w:id="253"/>
      <w:bookmarkEnd w:id="254"/>
      <w:bookmarkEnd w:id="255"/>
      <w:bookmarkEnd w:id="256"/>
      <w:bookmarkEnd w:id="257"/>
      <w:bookmarkEnd w:id="258"/>
    </w:p>
    <w:p w14:paraId="24E5F40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投标人不足3家的，不得开标。</w:t>
      </w:r>
    </w:p>
    <w:p w14:paraId="77CB8EC6">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25.2 评标委员会成员不得参加开标活动。</w:t>
      </w:r>
    </w:p>
    <w:p w14:paraId="22806D1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25.3主持人按下列程序进行开标：</w:t>
      </w:r>
    </w:p>
    <w:p w14:paraId="647BADFC">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（1）宣布开标会纪律；</w:t>
      </w:r>
    </w:p>
    <w:p w14:paraId="4A780D27">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（2）介绍参加开标会的单位和人员；</w:t>
      </w:r>
    </w:p>
    <w:p w14:paraId="36E15C8C">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（3）发起投标文件解密。投标人应在“投标人须知前附表”规定的时间内使用加密投标文件的CA证书在系统中完成投标文件的解密；</w:t>
      </w:r>
    </w:p>
    <w:p w14:paraId="74C10E10">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（4）解密完成后，系统自动显示投标人名称、投标价格和招标文件规定的需要宣布的其他内容；</w:t>
      </w:r>
    </w:p>
    <w:p w14:paraId="7270C183">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（5）系统自动生成开标记录表，投标人应在线对开标记录进行签署确认；</w:t>
      </w:r>
    </w:p>
    <w:p w14:paraId="17264B07">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（6）开标会结束。</w:t>
      </w:r>
      <w:bookmarkStart w:id="259" w:name="_Toc140132784"/>
      <w:bookmarkStart w:id="260" w:name="_Toc163492853"/>
    </w:p>
    <w:p w14:paraId="47A3BF8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61" w:name="_Toc19420"/>
      <w:bookmarkStart w:id="262" w:name="_Toc15283"/>
      <w:bookmarkStart w:id="263" w:name="_Toc10387"/>
      <w:bookmarkStart w:id="264" w:name="_Toc20123"/>
      <w:r>
        <w:rPr>
          <w:rFonts w:hint="eastAsia" w:ascii="宋体" w:hAnsi="宋体" w:eastAsia="宋体" w:cs="宋体"/>
          <w:color w:val="auto"/>
          <w:sz w:val="24"/>
          <w:highlight w:val="none"/>
        </w:rPr>
        <w:t>26.开标疑义及回避情形</w:t>
      </w:r>
      <w:bookmarkEnd w:id="259"/>
      <w:bookmarkEnd w:id="260"/>
      <w:bookmarkEnd w:id="261"/>
      <w:bookmarkEnd w:id="262"/>
      <w:bookmarkEnd w:id="263"/>
      <w:bookmarkEnd w:id="264"/>
    </w:p>
    <w:p w14:paraId="3BFD5D50">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E8B97F1">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.2投标人未参加开标的，视同认可开标结果。</w:t>
      </w:r>
    </w:p>
    <w:p w14:paraId="4F793079">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65" w:name="_Toc155185877"/>
      <w:bookmarkStart w:id="266" w:name="_Toc163492854"/>
      <w:bookmarkStart w:id="267" w:name="_Toc140132785"/>
      <w:bookmarkStart w:id="268" w:name="_Toc19512"/>
      <w:bookmarkStart w:id="269" w:name="_Toc20084"/>
      <w:bookmarkStart w:id="270" w:name="_Toc2893"/>
      <w:bookmarkStart w:id="271" w:name="_Toc11421"/>
      <w:r>
        <w:rPr>
          <w:rFonts w:hint="eastAsia" w:ascii="宋体" w:hAnsi="宋体" w:eastAsia="宋体" w:cs="宋体"/>
          <w:color w:val="auto"/>
          <w:sz w:val="24"/>
          <w:highlight w:val="none"/>
        </w:rPr>
        <w:t>（六）资格审查</w:t>
      </w:r>
      <w:bookmarkEnd w:id="265"/>
      <w:bookmarkEnd w:id="266"/>
      <w:bookmarkEnd w:id="267"/>
      <w:bookmarkEnd w:id="268"/>
      <w:bookmarkEnd w:id="269"/>
      <w:bookmarkEnd w:id="270"/>
      <w:bookmarkEnd w:id="271"/>
    </w:p>
    <w:p w14:paraId="6F537E1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72" w:name="_Toc1466"/>
      <w:bookmarkStart w:id="273" w:name="_Toc162"/>
      <w:bookmarkStart w:id="274" w:name="_Toc163492855"/>
      <w:bookmarkStart w:id="275" w:name="_Toc9963"/>
      <w:bookmarkStart w:id="276" w:name="_Toc13821"/>
      <w:r>
        <w:rPr>
          <w:rFonts w:hint="eastAsia" w:ascii="宋体" w:hAnsi="宋体" w:eastAsia="宋体" w:cs="宋体"/>
          <w:color w:val="auto"/>
          <w:sz w:val="24"/>
          <w:highlight w:val="none"/>
        </w:rPr>
        <w:t>27.资格审查及审查主体</w:t>
      </w:r>
      <w:bookmarkEnd w:id="272"/>
      <w:bookmarkEnd w:id="273"/>
      <w:bookmarkEnd w:id="274"/>
      <w:bookmarkEnd w:id="275"/>
      <w:bookmarkEnd w:id="276"/>
    </w:p>
    <w:p w14:paraId="11D86F9F">
      <w:pPr>
        <w:pStyle w:val="36"/>
        <w:rPr>
          <w:rFonts w:hint="eastAsia" w:ascii="宋体" w:hAnsi="宋体" w:eastAsia="宋体" w:cs="宋体"/>
          <w:color w:val="auto"/>
          <w:highlight w:val="none"/>
        </w:rPr>
      </w:pPr>
      <w:bookmarkStart w:id="277" w:name="_Toc140132786"/>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.1</w:t>
      </w:r>
      <w:bookmarkEnd w:id="277"/>
      <w:r>
        <w:rPr>
          <w:rFonts w:hint="eastAsia" w:ascii="宋体" w:hAnsi="宋体" w:eastAsia="宋体" w:cs="宋体"/>
          <w:color w:val="auto"/>
          <w:highlight w:val="none"/>
        </w:rPr>
        <w:t>开标结束后，采购人或者采购代理机构应当依法对投标人的资格进行审查。</w:t>
      </w:r>
    </w:p>
    <w:p w14:paraId="1430BF53">
      <w:pPr>
        <w:pStyle w:val="36"/>
        <w:rPr>
          <w:rFonts w:hint="eastAsia" w:ascii="宋体" w:hAnsi="宋体" w:eastAsia="宋体" w:cs="宋体"/>
          <w:color w:val="auto"/>
          <w:highlight w:val="none"/>
        </w:rPr>
      </w:pPr>
      <w:bookmarkStart w:id="278" w:name="_Toc140132787"/>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.2资格审查按“第四章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资格审查”的规定进行。</w:t>
      </w:r>
      <w:bookmarkEnd w:id="278"/>
    </w:p>
    <w:p w14:paraId="34FEF0B9">
      <w:pPr>
        <w:pStyle w:val="36"/>
        <w:rPr>
          <w:rFonts w:hint="eastAsia" w:ascii="宋体" w:hAnsi="宋体" w:eastAsia="宋体" w:cs="宋体"/>
          <w:color w:val="auto"/>
          <w:highlight w:val="none"/>
        </w:rPr>
      </w:pPr>
      <w:bookmarkStart w:id="279" w:name="_Toc140132788"/>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.3资格审查结束后，应及时对资格审查结果进行复核，对资格审查错误进行及时纠正并记录。</w:t>
      </w:r>
      <w:bookmarkEnd w:id="279"/>
    </w:p>
    <w:p w14:paraId="7874CBA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27.4</w:t>
      </w:r>
      <w:r>
        <w:rPr>
          <w:rFonts w:hint="eastAsia" w:ascii="宋体" w:hAnsi="宋体" w:eastAsia="宋体" w:cs="宋体"/>
          <w:color w:val="auto"/>
          <w:highlight w:val="none"/>
        </w:rPr>
        <w:t>资格审查合格投标人不足3家的，不得评标。</w:t>
      </w:r>
    </w:p>
    <w:p w14:paraId="0535D1D1">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80" w:name="_Toc163492856"/>
      <w:bookmarkStart w:id="281" w:name="_Toc8249"/>
      <w:bookmarkStart w:id="282" w:name="_Toc30290"/>
      <w:bookmarkStart w:id="283" w:name="_Toc155185878"/>
      <w:bookmarkStart w:id="284" w:name="_Toc14198"/>
      <w:bookmarkStart w:id="285" w:name="_Toc31247"/>
      <w:bookmarkStart w:id="286" w:name="_Toc140132789"/>
      <w:r>
        <w:rPr>
          <w:rFonts w:hint="eastAsia" w:ascii="宋体" w:hAnsi="宋体" w:eastAsia="宋体" w:cs="宋体"/>
          <w:color w:val="auto"/>
          <w:sz w:val="24"/>
          <w:highlight w:val="none"/>
        </w:rPr>
        <w:t>（七）评标</w:t>
      </w:r>
      <w:bookmarkEnd w:id="280"/>
      <w:bookmarkEnd w:id="281"/>
      <w:bookmarkEnd w:id="282"/>
      <w:bookmarkEnd w:id="283"/>
      <w:bookmarkEnd w:id="284"/>
      <w:bookmarkEnd w:id="285"/>
      <w:bookmarkEnd w:id="286"/>
    </w:p>
    <w:p w14:paraId="0CCEB03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87" w:name="_Toc163492857"/>
      <w:bookmarkStart w:id="288" w:name="_Toc16858"/>
      <w:bookmarkStart w:id="289" w:name="_Toc32434"/>
      <w:bookmarkStart w:id="290" w:name="_Toc4659"/>
      <w:bookmarkStart w:id="291" w:name="_Toc140132790"/>
      <w:bookmarkStart w:id="292" w:name="_Toc20462"/>
      <w:r>
        <w:rPr>
          <w:rFonts w:hint="eastAsia" w:ascii="宋体" w:hAnsi="宋体" w:eastAsia="宋体" w:cs="宋体"/>
          <w:color w:val="auto"/>
          <w:sz w:val="24"/>
          <w:highlight w:val="none"/>
        </w:rPr>
        <w:t>28.评标委员会</w:t>
      </w:r>
      <w:bookmarkEnd w:id="287"/>
      <w:bookmarkEnd w:id="288"/>
      <w:bookmarkEnd w:id="289"/>
      <w:bookmarkEnd w:id="290"/>
      <w:bookmarkEnd w:id="291"/>
      <w:bookmarkEnd w:id="292"/>
    </w:p>
    <w:p w14:paraId="59AED633">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.1 评标由采购人依法组建的评标委员会负责。评标委员会由采购人代表和评审专家组成，</w:t>
      </w:r>
      <w:r>
        <w:rPr>
          <w:rFonts w:hint="eastAsia" w:ascii="宋体" w:hAnsi="宋体" w:eastAsia="宋体" w:cs="宋体"/>
          <w:color w:val="auto"/>
          <w:highlight w:val="none"/>
          <w:lang w:val="en-US"/>
        </w:rPr>
        <w:t>成员人数应当为5</w:t>
      </w:r>
      <w:r>
        <w:rPr>
          <w:rFonts w:hint="eastAsia" w:ascii="宋体" w:hAnsi="宋体" w:eastAsia="宋体" w:cs="宋体"/>
          <w:color w:val="auto"/>
          <w:highlight w:val="none"/>
        </w:rPr>
        <w:t>人以上单数，其中</w:t>
      </w:r>
      <w:r>
        <w:rPr>
          <w:rFonts w:hint="eastAsia" w:ascii="宋体" w:hAnsi="宋体" w:eastAsia="宋体" w:cs="宋体"/>
          <w:color w:val="auto"/>
          <w:highlight w:val="none"/>
          <w:lang w:val="en-US"/>
        </w:rPr>
        <w:t>评审</w:t>
      </w:r>
      <w:r>
        <w:rPr>
          <w:rFonts w:hint="eastAsia" w:ascii="宋体" w:hAnsi="宋体" w:eastAsia="宋体" w:cs="宋体"/>
          <w:color w:val="auto"/>
          <w:highlight w:val="none"/>
        </w:rPr>
        <w:t>专家不</w:t>
      </w:r>
      <w:r>
        <w:rPr>
          <w:rFonts w:hint="eastAsia" w:ascii="宋体" w:hAnsi="宋体" w:eastAsia="宋体" w:cs="宋体"/>
          <w:color w:val="auto"/>
          <w:highlight w:val="none"/>
          <w:lang w:val="en-US"/>
        </w:rPr>
        <w:t>得</w:t>
      </w:r>
      <w:r>
        <w:rPr>
          <w:rFonts w:hint="eastAsia" w:ascii="宋体" w:hAnsi="宋体" w:eastAsia="宋体" w:cs="宋体"/>
          <w:color w:val="auto"/>
          <w:highlight w:val="none"/>
        </w:rPr>
        <w:t>少于</w:t>
      </w:r>
      <w:r>
        <w:rPr>
          <w:rFonts w:hint="eastAsia" w:ascii="宋体" w:hAnsi="宋体" w:eastAsia="宋体" w:cs="宋体"/>
          <w:color w:val="auto"/>
          <w:highlight w:val="none"/>
          <w:lang w:val="en-US"/>
        </w:rPr>
        <w:t>成员总数的</w:t>
      </w:r>
      <w:r>
        <w:rPr>
          <w:rFonts w:hint="eastAsia" w:ascii="宋体" w:hAnsi="宋体" w:eastAsia="宋体" w:cs="宋体"/>
          <w:color w:val="auto"/>
          <w:highlight w:val="none"/>
        </w:rPr>
        <w:t>三分之二。</w:t>
      </w:r>
      <w:r>
        <w:rPr>
          <w:rFonts w:hint="eastAsia" w:ascii="宋体" w:hAnsi="宋体" w:eastAsia="宋体" w:cs="宋体"/>
          <w:color w:val="auto"/>
          <w:highlight w:val="none"/>
          <w:lang w:val="en-US"/>
        </w:rPr>
        <w:t>采购人或者采购代理机构应当从省级以上财政部门设立的政府采购评审专家库中，通过随机方式抽取评审专家。</w:t>
      </w:r>
    </w:p>
    <w:p w14:paraId="3DEB6FE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28.2 采购项目符合下列情形之一的，评标委员会成员人数应当为7人以上单数：</w:t>
      </w:r>
    </w:p>
    <w:p w14:paraId="2B54FB8C">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（1）采购预算金额在1000万元以上；</w:t>
      </w:r>
    </w:p>
    <w:p w14:paraId="4A186EBD">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（2）技术复杂；</w:t>
      </w:r>
    </w:p>
    <w:p w14:paraId="450E561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（3）社会影响较大。</w:t>
      </w:r>
    </w:p>
    <w:p w14:paraId="1F5BEB78">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3832B4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28.4评标委员会成员名单在评标结果公告前应当保密。</w:t>
      </w:r>
    </w:p>
    <w:p w14:paraId="265243F4">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4A2AD4E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7EC54511">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 xml:space="preserve"> 评标委员会成员有下列情形之一的，应当回避：</w:t>
      </w:r>
    </w:p>
    <w:p w14:paraId="2161B9BC">
      <w:pPr>
        <w:pStyle w:val="36"/>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（1）参加采购活动前3年内与投标人存在劳动关系；</w:t>
      </w:r>
    </w:p>
    <w:p w14:paraId="23E7340C">
      <w:pPr>
        <w:pStyle w:val="36"/>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（2）参加采购活动前3年内担任投标人的董事、监事；</w:t>
      </w:r>
    </w:p>
    <w:p w14:paraId="3C904CC7">
      <w:pPr>
        <w:pStyle w:val="36"/>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（3）参加采购活动前3年内是投标人的控股股东或实际控制人；</w:t>
      </w:r>
    </w:p>
    <w:p w14:paraId="539C7D98">
      <w:pPr>
        <w:pStyle w:val="36"/>
        <w:rPr>
          <w:rFonts w:hint="eastAsia" w:ascii="宋体" w:hAnsi="宋体" w:eastAsia="宋体" w:cs="宋体"/>
          <w:color w:val="auto"/>
          <w:highlight w:val="none"/>
        </w:rPr>
      </w:pPr>
      <w:r>
        <w:rPr>
          <w:rFonts w:hint="eastAsia" w:ascii="宋体" w:hAnsi="宋体" w:eastAsia="宋体" w:cs="宋体"/>
          <w:color w:val="auto"/>
          <w:highlight w:val="none"/>
        </w:rPr>
        <w:t>（4）与投标人的法定代表人或者负责人有夫妻、直系血亲、三代以内旁系血亲或者近姻亲关系；</w:t>
      </w:r>
    </w:p>
    <w:p w14:paraId="54E2E12F">
      <w:pPr>
        <w:pStyle w:val="36"/>
        <w:rPr>
          <w:rFonts w:hint="eastAsia" w:ascii="宋体" w:hAnsi="宋体" w:eastAsia="宋体" w:cs="宋体"/>
          <w:color w:val="auto"/>
          <w:highlight w:val="none"/>
        </w:rPr>
      </w:pPr>
      <w:r>
        <w:rPr>
          <w:rFonts w:hint="eastAsia" w:ascii="宋体" w:hAnsi="宋体" w:eastAsia="宋体" w:cs="宋体"/>
          <w:color w:val="auto"/>
          <w:highlight w:val="none"/>
        </w:rPr>
        <w:t>（5）与投标人有其他可能影响采购活动公平、公正进行的关系。</w:t>
      </w:r>
    </w:p>
    <w:p w14:paraId="0BFE102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93" w:name="_Toc3667"/>
      <w:bookmarkStart w:id="294" w:name="_Toc23723"/>
      <w:bookmarkStart w:id="295" w:name="_Toc26969"/>
      <w:bookmarkStart w:id="296" w:name="_Toc140132791"/>
      <w:bookmarkStart w:id="297" w:name="_Toc15103"/>
      <w:bookmarkStart w:id="298" w:name="_Toc163492858"/>
      <w:r>
        <w:rPr>
          <w:rFonts w:hint="eastAsia" w:ascii="宋体" w:hAnsi="宋体" w:eastAsia="宋体" w:cs="宋体"/>
          <w:color w:val="auto"/>
          <w:sz w:val="24"/>
          <w:highlight w:val="none"/>
        </w:rPr>
        <w:t>29.评标</w:t>
      </w:r>
      <w:bookmarkEnd w:id="293"/>
      <w:bookmarkEnd w:id="294"/>
      <w:bookmarkEnd w:id="295"/>
      <w:bookmarkEnd w:id="296"/>
      <w:bookmarkEnd w:id="297"/>
      <w:bookmarkEnd w:id="298"/>
    </w:p>
    <w:p w14:paraId="4641B1EE">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.1</w:t>
      </w:r>
      <w:r>
        <w:rPr>
          <w:rFonts w:hint="eastAsia" w:ascii="宋体" w:hAnsi="宋体" w:eastAsia="宋体" w:cs="宋体"/>
          <w:color w:val="auto"/>
          <w:highlight w:val="none"/>
          <w:lang w:val="en-US"/>
        </w:rPr>
        <w:t xml:space="preserve"> 评标方法分为综合评分法和</w:t>
      </w:r>
      <w:r>
        <w:rPr>
          <w:rFonts w:hint="eastAsia" w:ascii="宋体" w:hAnsi="宋体" w:eastAsia="宋体" w:cs="宋体"/>
          <w:color w:val="auto"/>
          <w:highlight w:val="none"/>
        </w:rPr>
        <w:t>最低评标价法，本项目评标</w:t>
      </w:r>
      <w:r>
        <w:rPr>
          <w:rFonts w:hint="eastAsia" w:ascii="宋体" w:hAnsi="宋体" w:eastAsia="宋体" w:cs="宋体"/>
          <w:color w:val="auto"/>
          <w:highlight w:val="none"/>
          <w:lang w:val="en-US"/>
        </w:rPr>
        <w:t>方法详见</w:t>
      </w:r>
      <w:r>
        <w:rPr>
          <w:rFonts w:hint="eastAsia" w:ascii="宋体" w:hAnsi="宋体" w:eastAsia="宋体" w:cs="宋体"/>
          <w:color w:val="auto"/>
          <w:highlight w:val="none"/>
        </w:rPr>
        <w:t>“投标人须知前附表”。</w:t>
      </w:r>
    </w:p>
    <w:p w14:paraId="522B6FBC">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9.1.1</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55E6ACE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29.1.2.</w:t>
      </w:r>
      <w:r>
        <w:rPr>
          <w:rFonts w:hint="eastAsia" w:ascii="宋体" w:hAnsi="宋体" w:eastAsia="宋体" w:cs="宋体"/>
          <w:color w:val="auto"/>
          <w:highlight w:val="none"/>
        </w:rPr>
        <w:t>最低评标价法，是指投标文件满足招标文件全部实质性要求，且投标报价最低的投标人为中标候选人的评标方法。</w:t>
      </w:r>
    </w:p>
    <w:p w14:paraId="071C520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2 </w:t>
      </w:r>
      <w:r>
        <w:rPr>
          <w:rFonts w:hint="eastAsia" w:ascii="宋体" w:hAnsi="宋体" w:eastAsia="宋体" w:cs="宋体"/>
          <w:color w:val="auto"/>
          <w:highlight w:val="none"/>
        </w:rPr>
        <w:t>评标委员会按照“第五章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规定对投标文件进行评审。“第五章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法及标准”没有规定的方法、评审因素和标准，不作为评标依据。</w:t>
      </w:r>
    </w:p>
    <w:p w14:paraId="120A81D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3 </w:t>
      </w:r>
      <w:r>
        <w:rPr>
          <w:rFonts w:hint="eastAsia" w:ascii="宋体" w:hAnsi="宋体" w:eastAsia="宋体" w:cs="宋体"/>
          <w:color w:val="auto"/>
          <w:highlight w:val="none"/>
        </w:rPr>
        <w:t>评标委员会按“投标人须知前附表”规定的中标候选人数量在评标报告中向采购人推荐中标候选人。</w:t>
      </w:r>
    </w:p>
    <w:p w14:paraId="71D9DA47">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29.4 开标之后，直到签订合同止，凡是属于审查、澄清、评价和比较投标的有关资料以及定标意向等，均不得向投标人或者其他与评标无关的人员透露。</w:t>
      </w:r>
    </w:p>
    <w:p w14:paraId="433FDEC6">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w:t>
      </w:r>
    </w:p>
    <w:p w14:paraId="78F0EB03">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 电子招投标的应急措施</w:t>
      </w:r>
    </w:p>
    <w:p w14:paraId="6DA50FE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29.6.1电子开标、评标如出现下列原因，导致系统无法正常运行或无法正常评标时，应采取应急措施。</w:t>
      </w:r>
    </w:p>
    <w:p w14:paraId="1AEF0674">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（1）系统服务器发生故障，无法访问或无法使用系统；</w:t>
      </w:r>
    </w:p>
    <w:p w14:paraId="0620551D">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（2）系统的软件或数据库出现错误，不能进行正常操作；</w:t>
      </w:r>
    </w:p>
    <w:p w14:paraId="6EC34BDA">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（3）系统发现有安全漏洞，有潜在的泄密危险；</w:t>
      </w:r>
    </w:p>
    <w:p w14:paraId="00B54E84">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（4）病毒发作或受到外来病毒的攻击；</w:t>
      </w:r>
    </w:p>
    <w:p w14:paraId="3D6F1E1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（5）出现其他不可抗拒的客观原因造成开评标系统无法正常使用。</w:t>
      </w:r>
    </w:p>
    <w:p w14:paraId="482B0A80">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出现上述情况时，应对未开标的暂停开标。已在系统内开标、评标的立即停止。采取应急措施时，必须对原有资料及信息作出妥善保密处理。</w:t>
      </w:r>
    </w:p>
    <w:p w14:paraId="168EE6FA">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1D2AA87A">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 投标人瑕疵滞后发现的处理规则</w:t>
      </w:r>
    </w:p>
    <w:p w14:paraId="7CEF9AC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29.7.1无论基于何种原因，各项本应作</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0A0C583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99" w:name="_Toc140132792"/>
      <w:bookmarkStart w:id="300" w:name="_Toc8349"/>
      <w:bookmarkStart w:id="301" w:name="_Toc4255"/>
      <w:bookmarkStart w:id="302" w:name="_Toc22170"/>
      <w:bookmarkStart w:id="303" w:name="_Toc163492859"/>
      <w:bookmarkStart w:id="304" w:name="_Toc1414"/>
      <w:bookmarkStart w:id="305" w:name="_Toc155185879"/>
      <w:r>
        <w:rPr>
          <w:rFonts w:hint="eastAsia" w:ascii="宋体" w:hAnsi="宋体" w:eastAsia="宋体" w:cs="宋体"/>
          <w:color w:val="auto"/>
          <w:sz w:val="24"/>
          <w:highlight w:val="none"/>
        </w:rPr>
        <w:t>（八）中标</w:t>
      </w:r>
      <w:bookmarkEnd w:id="299"/>
      <w:bookmarkEnd w:id="300"/>
      <w:bookmarkEnd w:id="301"/>
      <w:bookmarkEnd w:id="302"/>
      <w:bookmarkEnd w:id="303"/>
      <w:bookmarkEnd w:id="304"/>
      <w:bookmarkEnd w:id="305"/>
    </w:p>
    <w:p w14:paraId="7CC7A81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6" w:name="_Toc140132793"/>
      <w:bookmarkStart w:id="307" w:name="_Toc163492860"/>
      <w:bookmarkStart w:id="308" w:name="_Toc9777"/>
      <w:bookmarkStart w:id="309" w:name="_Toc4784"/>
      <w:bookmarkStart w:id="310" w:name="_Toc31516"/>
      <w:bookmarkStart w:id="311" w:name="_Toc26318"/>
      <w:r>
        <w:rPr>
          <w:rFonts w:hint="eastAsia" w:ascii="宋体" w:hAnsi="宋体" w:eastAsia="宋体" w:cs="宋体"/>
          <w:color w:val="auto"/>
          <w:sz w:val="24"/>
          <w:highlight w:val="none"/>
        </w:rPr>
        <w:t>30.确定中标人</w:t>
      </w:r>
      <w:bookmarkEnd w:id="306"/>
      <w:bookmarkEnd w:id="307"/>
      <w:bookmarkEnd w:id="308"/>
      <w:bookmarkEnd w:id="309"/>
      <w:bookmarkEnd w:id="310"/>
      <w:bookmarkEnd w:id="311"/>
    </w:p>
    <w:p w14:paraId="340AD656">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30.1</w:t>
      </w:r>
      <w:r>
        <w:rPr>
          <w:rFonts w:hint="eastAsia" w:ascii="宋体" w:hAnsi="宋体" w:eastAsia="宋体" w:cs="宋体"/>
          <w:color w:val="auto"/>
          <w:kern w:val="0"/>
          <w:szCs w:val="24"/>
          <w:highlight w:val="none"/>
        </w:rPr>
        <w:t>采购人将在评标报告确定的中标候选人名单中按顺序确定中标人，中标候选人并列的，按照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确定中标人；招标文件未规定的，采取随机抽取的方式确定。采购人是否委托评标委员会直接确定中标人，见</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w:t>
      </w:r>
    </w:p>
    <w:p w14:paraId="7C839759">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规定的方式确定一个投标人获得中标人推荐资格，招标文件未规定的采取随机抽取方式确定，其他同品牌投标人不作为中标候选人。</w:t>
      </w:r>
    </w:p>
    <w:p w14:paraId="0F329E59">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规定的方式确定一个参加评标的投标人，招标文件未规定的采取随机抽取方式确定，其他投标无效。</w:t>
      </w:r>
    </w:p>
    <w:p w14:paraId="1DC423E7">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Cs w:val="24"/>
          <w:highlight w:val="none"/>
        </w:rPr>
        <w:t>30.4非单一产品采购项目，采购人应当根据采购项目技术构成、产品价格比重等合理确定核心产品，并在</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 xml:space="preserve">中载明。多家投标人提供的核心产品品牌相同的，按前两款规定处理。 </w:t>
      </w:r>
    </w:p>
    <w:p w14:paraId="5B6B814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2" w:name="_Toc6330"/>
      <w:bookmarkStart w:id="313" w:name="_Toc24795"/>
      <w:bookmarkStart w:id="314" w:name="_Toc163492861"/>
      <w:bookmarkStart w:id="315" w:name="_Toc140132794"/>
      <w:bookmarkStart w:id="316" w:name="_Toc19155"/>
      <w:bookmarkStart w:id="317" w:name="_Toc7431"/>
      <w:r>
        <w:rPr>
          <w:rFonts w:hint="eastAsia" w:ascii="宋体" w:hAnsi="宋体" w:eastAsia="宋体" w:cs="宋体"/>
          <w:color w:val="auto"/>
          <w:sz w:val="24"/>
          <w:highlight w:val="none"/>
        </w:rPr>
        <w:t>31.中标结果公告</w:t>
      </w:r>
      <w:bookmarkEnd w:id="312"/>
      <w:bookmarkEnd w:id="313"/>
      <w:bookmarkEnd w:id="314"/>
      <w:bookmarkEnd w:id="315"/>
      <w:bookmarkEnd w:id="316"/>
      <w:bookmarkEnd w:id="317"/>
    </w:p>
    <w:p w14:paraId="0DEA67E7">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rPr>
        <w:t>采购人或</w:t>
      </w:r>
      <w:r>
        <w:rPr>
          <w:rFonts w:hint="eastAsia" w:ascii="宋体" w:hAnsi="宋体" w:eastAsia="宋体" w:cs="宋体"/>
          <w:color w:val="auto"/>
          <w:highlight w:val="none"/>
        </w:rPr>
        <w:t>采购代理机构应当自中标人确定之日起2个工作日内，在</w:t>
      </w:r>
      <w:r>
        <w:rPr>
          <w:rFonts w:hint="eastAsia" w:ascii="宋体" w:hAnsi="宋体" w:eastAsia="宋体" w:cs="宋体"/>
          <w:color w:val="auto"/>
          <w:highlight w:val="none"/>
          <w:lang w:val="en-US"/>
        </w:rPr>
        <w:t>发布招标公告的同一</w:t>
      </w:r>
      <w:r>
        <w:rPr>
          <w:rFonts w:hint="eastAsia" w:ascii="宋体" w:hAnsi="宋体" w:eastAsia="宋体" w:cs="宋体"/>
          <w:color w:val="auto"/>
          <w:highlight w:val="none"/>
        </w:rPr>
        <w:t>媒体上发布中标结果公告，</w:t>
      </w:r>
      <w:r>
        <w:rPr>
          <w:rFonts w:hint="eastAsia" w:ascii="宋体" w:hAnsi="宋体" w:eastAsia="宋体" w:cs="宋体"/>
          <w:color w:val="auto"/>
          <w:highlight w:val="none"/>
          <w:lang w:val="en-US"/>
        </w:rPr>
        <w:t>同时向中标人</w:t>
      </w:r>
      <w:r>
        <w:rPr>
          <w:rFonts w:hint="eastAsia" w:ascii="宋体" w:hAnsi="宋体" w:eastAsia="宋体" w:cs="宋体"/>
          <w:color w:val="auto"/>
          <w:highlight w:val="none"/>
        </w:rPr>
        <w:t>发出中标通知书。招标文件随中标结果同时公告，中标结果公告期限为1个工作日。</w:t>
      </w:r>
    </w:p>
    <w:p w14:paraId="02CE5AF3">
      <w:pPr>
        <w:pStyle w:val="36"/>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bCs/>
          <w:color w:val="auto"/>
          <w:highlight w:val="none"/>
        </w:rPr>
        <w:t>.2中标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为中小企业</w:t>
      </w:r>
      <w:r>
        <w:rPr>
          <w:rFonts w:hint="eastAsia" w:ascii="宋体" w:hAnsi="宋体" w:eastAsia="宋体" w:cs="宋体"/>
          <w:bCs/>
          <w:color w:val="auto"/>
          <w:highlight w:val="none"/>
          <w:lang w:val="en-US"/>
        </w:rPr>
        <w:t>享受中小企业扶持政策的</w:t>
      </w:r>
      <w:r>
        <w:rPr>
          <w:rFonts w:hint="eastAsia" w:ascii="宋体" w:hAnsi="宋体" w:eastAsia="宋体" w:cs="宋体"/>
          <w:bCs/>
          <w:color w:val="auto"/>
          <w:highlight w:val="none"/>
        </w:rPr>
        <w:t>，其“中小企业声明函”随中标结果同时公告。中标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为残疾人福利性单位的，其“残疾人福利性单位声明函”随中标结果同时公告。</w:t>
      </w:r>
    </w:p>
    <w:p w14:paraId="5D9DFF13">
      <w:pPr>
        <w:pStyle w:val="36"/>
        <w:rPr>
          <w:rFonts w:hint="eastAsia" w:ascii="宋体" w:hAnsi="宋体" w:eastAsia="宋体" w:cs="宋体"/>
          <w:bCs/>
          <w:color w:val="auto"/>
          <w:highlight w:val="none"/>
        </w:rPr>
      </w:pPr>
      <w:r>
        <w:rPr>
          <w:rFonts w:hint="eastAsia" w:ascii="宋体" w:hAnsi="宋体" w:eastAsia="宋体" w:cs="宋体"/>
          <w:bCs/>
          <w:color w:val="auto"/>
          <w:highlight w:val="none"/>
          <w:lang w:val="en-US"/>
        </w:rPr>
        <w:t>31.3</w:t>
      </w:r>
      <w:r>
        <w:rPr>
          <w:rFonts w:hint="eastAsia" w:ascii="宋体" w:hAnsi="宋体" w:eastAsia="宋体" w:cs="宋体"/>
          <w:bCs/>
          <w:color w:val="auto"/>
          <w:highlight w:val="none"/>
        </w:rPr>
        <w:t>项目采购采用最低评标价法的，公告中标结果时同时公告因落实政府采购政策等原因进行价格扣除后中标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的评审报价；项目采购采用综合评分法的，公告中标结果时同时公告中标</w:t>
      </w:r>
      <w:r>
        <w:rPr>
          <w:rFonts w:hint="eastAsia" w:ascii="宋体" w:hAnsi="宋体" w:eastAsia="宋体" w:cs="宋体"/>
          <w:bCs/>
          <w:color w:val="auto"/>
          <w:highlight w:val="none"/>
          <w:lang w:val="en-US"/>
        </w:rPr>
        <w:t>供应商</w:t>
      </w:r>
      <w:r>
        <w:rPr>
          <w:rFonts w:hint="eastAsia" w:ascii="宋体" w:hAnsi="宋体" w:eastAsia="宋体" w:cs="宋体"/>
          <w:bCs/>
          <w:color w:val="auto"/>
          <w:highlight w:val="none"/>
        </w:rPr>
        <w:t>的评审总得分。</w:t>
      </w:r>
    </w:p>
    <w:p w14:paraId="73F00E7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8" w:name="_Toc140132795"/>
      <w:bookmarkStart w:id="319" w:name="_Toc17586"/>
      <w:bookmarkStart w:id="320" w:name="_Toc2830"/>
      <w:bookmarkStart w:id="321" w:name="_Toc17569"/>
      <w:bookmarkStart w:id="322" w:name="_Toc7104"/>
      <w:bookmarkStart w:id="323" w:name="_Toc163492862"/>
      <w:r>
        <w:rPr>
          <w:rFonts w:hint="eastAsia" w:ascii="宋体" w:hAnsi="宋体" w:eastAsia="宋体" w:cs="宋体"/>
          <w:color w:val="auto"/>
          <w:sz w:val="24"/>
          <w:highlight w:val="none"/>
        </w:rPr>
        <w:t>32.中标通知</w:t>
      </w:r>
      <w:bookmarkEnd w:id="318"/>
      <w:bookmarkEnd w:id="319"/>
      <w:bookmarkEnd w:id="320"/>
      <w:bookmarkEnd w:id="321"/>
      <w:bookmarkEnd w:id="322"/>
      <w:bookmarkEnd w:id="323"/>
    </w:p>
    <w:p w14:paraId="7E632A9F">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2</w:t>
      </w:r>
      <w:r>
        <w:rPr>
          <w:rFonts w:hint="eastAsia" w:ascii="宋体" w:hAnsi="宋体" w:eastAsia="宋体" w:cs="宋体"/>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0E43896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32.2中标通知书对采购人和中标人均具有法律效力。中标通知书发出后，采购人改变中标结果的，或者中标人放弃中标项目的，应当依法承担法律责任。</w:t>
      </w:r>
    </w:p>
    <w:p w14:paraId="55F194A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24" w:name="_Toc28090"/>
      <w:bookmarkStart w:id="325" w:name="_Toc9494"/>
      <w:bookmarkStart w:id="326" w:name="_Toc163492863"/>
      <w:bookmarkStart w:id="327" w:name="_Toc27448"/>
      <w:bookmarkStart w:id="328" w:name="_Toc4010"/>
      <w:r>
        <w:rPr>
          <w:rFonts w:hint="eastAsia" w:ascii="宋体" w:hAnsi="宋体" w:eastAsia="宋体" w:cs="宋体"/>
          <w:color w:val="auto"/>
          <w:sz w:val="24"/>
          <w:highlight w:val="none"/>
        </w:rPr>
        <w:t>（九）签订</w:t>
      </w:r>
      <w:bookmarkStart w:id="329" w:name="_Toc155185880"/>
      <w:bookmarkStart w:id="330" w:name="_Toc140132796"/>
      <w:r>
        <w:rPr>
          <w:rFonts w:hint="eastAsia" w:ascii="宋体" w:hAnsi="宋体" w:eastAsia="宋体" w:cs="宋体"/>
          <w:color w:val="auto"/>
          <w:sz w:val="24"/>
          <w:highlight w:val="none"/>
        </w:rPr>
        <w:t>合同</w:t>
      </w:r>
      <w:bookmarkEnd w:id="324"/>
      <w:bookmarkEnd w:id="325"/>
      <w:bookmarkEnd w:id="326"/>
      <w:bookmarkEnd w:id="327"/>
      <w:bookmarkEnd w:id="328"/>
      <w:bookmarkEnd w:id="329"/>
      <w:bookmarkEnd w:id="330"/>
    </w:p>
    <w:p w14:paraId="2674CE4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1" w:name="_Toc6972"/>
      <w:bookmarkStart w:id="332" w:name="_Toc140132797"/>
      <w:bookmarkStart w:id="333" w:name="_Toc22178"/>
      <w:bookmarkStart w:id="334" w:name="_Toc18923"/>
      <w:bookmarkStart w:id="335" w:name="_Toc18377"/>
      <w:bookmarkStart w:id="336" w:name="_Toc163492864"/>
      <w:r>
        <w:rPr>
          <w:rFonts w:hint="eastAsia" w:ascii="宋体" w:hAnsi="宋体" w:eastAsia="宋体" w:cs="宋体"/>
          <w:color w:val="auto"/>
          <w:sz w:val="24"/>
          <w:highlight w:val="none"/>
        </w:rPr>
        <w:t>33.履约保证金</w:t>
      </w:r>
      <w:bookmarkEnd w:id="331"/>
      <w:bookmarkEnd w:id="332"/>
      <w:bookmarkEnd w:id="333"/>
      <w:bookmarkEnd w:id="334"/>
      <w:bookmarkEnd w:id="335"/>
      <w:bookmarkEnd w:id="336"/>
    </w:p>
    <w:p w14:paraId="332650BB">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.1在签订合同前，中标人应按“投标人须知前附表”规定的金额、担保形式和采购人认可的履约担保格式向采购人提交履约保证金。</w:t>
      </w:r>
    </w:p>
    <w:p w14:paraId="4B2AE6B5">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.2中标人不能按本章第3</w:t>
      </w:r>
      <w:r>
        <w:rPr>
          <w:rFonts w:hint="eastAsia" w:ascii="宋体" w:hAnsi="宋体" w:eastAsia="宋体" w:cs="宋体"/>
          <w:color w:val="auto"/>
          <w:highlight w:val="none"/>
          <w:lang w:val="en-US"/>
        </w:rPr>
        <w:t>3</w:t>
      </w:r>
      <w:r>
        <w:rPr>
          <w:rFonts w:hint="eastAsia" w:ascii="宋体" w:hAnsi="宋体" w:eastAsia="宋体" w:cs="宋体"/>
          <w:color w:val="auto"/>
          <w:highlight w:val="none"/>
        </w:rPr>
        <w:t>.1项要求提交履约担保的，视为放弃中标，给采购人造成损失的，中标人还应当承担民事责任。</w:t>
      </w:r>
    </w:p>
    <w:p w14:paraId="4F66A13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7" w:name="_Toc163492865"/>
      <w:bookmarkStart w:id="338" w:name="_Toc19464"/>
      <w:bookmarkStart w:id="339" w:name="_Toc25821"/>
      <w:bookmarkStart w:id="340" w:name="_Toc2818"/>
      <w:bookmarkStart w:id="341" w:name="_Toc140132798"/>
      <w:bookmarkStart w:id="342" w:name="_Toc30681"/>
      <w:r>
        <w:rPr>
          <w:rFonts w:hint="eastAsia" w:ascii="宋体" w:hAnsi="宋体" w:eastAsia="宋体" w:cs="宋体"/>
          <w:color w:val="auto"/>
          <w:sz w:val="24"/>
          <w:highlight w:val="none"/>
        </w:rPr>
        <w:t>34.签订合同</w:t>
      </w:r>
      <w:bookmarkEnd w:id="337"/>
      <w:bookmarkEnd w:id="338"/>
      <w:bookmarkEnd w:id="339"/>
      <w:bookmarkEnd w:id="340"/>
      <w:bookmarkEnd w:id="341"/>
      <w:bookmarkEnd w:id="342"/>
    </w:p>
    <w:p w14:paraId="1C001D81">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.1 采购人和中标人应当自中标通知书发出之日起</w:t>
      </w:r>
      <w:r>
        <w:rPr>
          <w:rFonts w:hint="eastAsia" w:ascii="宋体" w:hAnsi="宋体" w:eastAsia="宋体" w:cs="宋体"/>
          <w:color w:val="auto"/>
          <w:highlight w:val="none"/>
          <w:lang w:val="en-US"/>
        </w:rPr>
        <w:t>25</w:t>
      </w:r>
      <w:r>
        <w:rPr>
          <w:rFonts w:hint="eastAsia" w:ascii="宋体" w:hAnsi="宋体" w:eastAsia="宋体" w:cs="宋体"/>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172F032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34.2 中标人拒绝与采购人签订合同的，采购人可以按照评标报告推荐的中标候选人名单排序，确定下一候选人为中标人，也可以重新开展政府采购活动。</w:t>
      </w:r>
    </w:p>
    <w:p w14:paraId="3FF78995">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 xml:space="preserve"> 采购人和中标人不得向对方提出任何不合理的要求，作为签订合同的条件，双方不得私下订立背离合同实质性内容的协议。</w:t>
      </w:r>
    </w:p>
    <w:p w14:paraId="46C51EB9">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34.4 联合体中标的，联合体各方应当共同与采购人签订合同，就采购合同约定的事项向采购人承担连带责任。</w:t>
      </w:r>
    </w:p>
    <w:p w14:paraId="782FEA2B">
      <w:pPr>
        <w:pStyle w:val="36"/>
        <w:rPr>
          <w:rFonts w:hint="eastAsia" w:ascii="宋体" w:hAnsi="宋体" w:eastAsia="宋体" w:cs="宋体"/>
          <w:b/>
          <w:bCs/>
          <w:color w:val="auto"/>
          <w:highlight w:val="none"/>
          <w:lang w:val="en-US"/>
        </w:rPr>
      </w:pPr>
      <w:r>
        <w:rPr>
          <w:rFonts w:hint="eastAsia" w:ascii="宋体" w:hAnsi="宋体" w:eastAsia="宋体" w:cs="宋体"/>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。中标人就采购项目和分包项目向采购人负责，分包供应商就分包项目承担责任。</w:t>
      </w:r>
      <w:r>
        <w:rPr>
          <w:rFonts w:hint="eastAsia" w:ascii="宋体" w:hAnsi="宋体" w:eastAsia="宋体" w:cs="宋体"/>
          <w:b/>
          <w:bCs/>
          <w:color w:val="auto"/>
          <w:highlight w:val="none"/>
          <w:lang w:val="en-US"/>
        </w:rPr>
        <w:t>政府采购合同不能转包。</w:t>
      </w:r>
    </w:p>
    <w:p w14:paraId="6A89B3E7">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采购合同履行中，采购人需追加与合同标的相同的</w:t>
      </w:r>
      <w:r>
        <w:rPr>
          <w:rFonts w:hint="eastAsia" w:ascii="宋体" w:hAnsi="宋体" w:eastAsia="宋体" w:cs="宋体"/>
          <w:color w:val="auto"/>
          <w:highlight w:val="none"/>
          <w:lang w:val="en-US"/>
        </w:rPr>
        <w:t>货物、工程或者服务</w:t>
      </w:r>
      <w:r>
        <w:rPr>
          <w:rFonts w:hint="eastAsia" w:ascii="宋体" w:hAnsi="宋体" w:eastAsia="宋体" w:cs="宋体"/>
          <w:color w:val="auto"/>
          <w:highlight w:val="none"/>
        </w:rPr>
        <w:t>的，在不改变合同其他条款的前提下，可以与中标人协商签订补充合同，但所有补充合同的采购金额不得超过原合同采购金额的百分之十。</w:t>
      </w:r>
    </w:p>
    <w:p w14:paraId="5E4FA8B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34.7 采购人应于签订合同之日起2个工作日内在政采云平台备案公示。</w:t>
      </w:r>
    </w:p>
    <w:p w14:paraId="4316798F">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43" w:name="_Toc140132799"/>
      <w:bookmarkStart w:id="344" w:name="_Toc163492866"/>
      <w:bookmarkStart w:id="345" w:name="_Toc3470"/>
      <w:bookmarkStart w:id="346" w:name="_Toc16755"/>
      <w:bookmarkStart w:id="347" w:name="_Toc9575"/>
      <w:bookmarkStart w:id="348" w:name="_Toc155185881"/>
      <w:bookmarkStart w:id="349" w:name="_Toc16618"/>
      <w:r>
        <w:rPr>
          <w:rFonts w:hint="eastAsia" w:ascii="宋体" w:hAnsi="宋体" w:eastAsia="宋体" w:cs="宋体"/>
          <w:color w:val="auto"/>
          <w:sz w:val="24"/>
          <w:highlight w:val="none"/>
        </w:rPr>
        <w:t>（十）质疑和投诉</w:t>
      </w:r>
      <w:bookmarkEnd w:id="343"/>
      <w:bookmarkEnd w:id="344"/>
      <w:bookmarkEnd w:id="345"/>
      <w:bookmarkEnd w:id="346"/>
      <w:bookmarkEnd w:id="347"/>
      <w:bookmarkEnd w:id="348"/>
      <w:bookmarkEnd w:id="349"/>
    </w:p>
    <w:p w14:paraId="66ED23B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0" w:name="_Toc163492867"/>
      <w:bookmarkStart w:id="351" w:name="_Toc140132800"/>
      <w:bookmarkStart w:id="352" w:name="_Toc8211"/>
      <w:bookmarkStart w:id="353" w:name="_Toc26264"/>
      <w:bookmarkStart w:id="354" w:name="_Toc1814"/>
      <w:bookmarkStart w:id="355" w:name="_Toc5638"/>
      <w:r>
        <w:rPr>
          <w:rFonts w:hint="eastAsia" w:ascii="宋体" w:hAnsi="宋体" w:eastAsia="宋体" w:cs="宋体"/>
          <w:color w:val="auto"/>
          <w:sz w:val="24"/>
          <w:highlight w:val="none"/>
        </w:rPr>
        <w:t>35.质疑</w:t>
      </w:r>
      <w:bookmarkEnd w:id="350"/>
      <w:bookmarkEnd w:id="351"/>
      <w:bookmarkEnd w:id="352"/>
      <w:bookmarkEnd w:id="353"/>
      <w:bookmarkEnd w:id="354"/>
      <w:bookmarkEnd w:id="355"/>
    </w:p>
    <w:p w14:paraId="69F2588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。供应商在法定质疑期内一次性提出针对同一采购程序环节的质疑。</w:t>
      </w:r>
    </w:p>
    <w:p w14:paraId="0FFA69B8">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.2提出质疑的供应商（以下简称质疑供应商）应当是参与所质疑项目采购活动的供应商。</w:t>
      </w:r>
    </w:p>
    <w:p w14:paraId="1ACD5566">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35.3</w:t>
      </w:r>
      <w:r>
        <w:rPr>
          <w:rFonts w:hint="eastAsia" w:ascii="宋体" w:hAnsi="宋体" w:eastAsia="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p>
    <w:p w14:paraId="3BD4194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35.4</w:t>
      </w:r>
      <w:r>
        <w:rPr>
          <w:rFonts w:hint="eastAsia" w:ascii="宋体" w:hAnsi="宋体" w:eastAsia="宋体" w:cs="宋体"/>
          <w:color w:val="auto"/>
          <w:highlight w:val="none"/>
        </w:rPr>
        <w:t>供应商提出质疑应当提交质疑函和必要的证明材料。质疑函应当包括下列内容：</w:t>
      </w:r>
    </w:p>
    <w:p w14:paraId="5749164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）供应商的姓名或者名称、地址、邮编、联系人及联系电话；</w:t>
      </w:r>
    </w:p>
    <w:p w14:paraId="319F1D5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）质疑项目的名称、</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0727A6F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）具体、明确的质疑事项和与质疑事项相关的请求；</w:t>
      </w:r>
    </w:p>
    <w:p w14:paraId="21BAE840">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64EE3D5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）必要的法律依据；</w:t>
      </w:r>
    </w:p>
    <w:p w14:paraId="037D52F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）提出质疑的日期。</w:t>
      </w:r>
    </w:p>
    <w:p w14:paraId="58AE1541">
      <w:pPr>
        <w:pStyle w:val="36"/>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供应商为自然人的，应当由本人签字；供应商为法人或者其他组织的，应当由法定代表人、主要负责人，或者其授权代表签字或者盖章，并加盖公章。</w:t>
      </w:r>
    </w:p>
    <w:p w14:paraId="3A9BA11E">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.5质疑函不符合上述要求的，采购人或代理机构应书面告知具体事项，质疑人应当按要求进行修改或补充，并在质疑有效期限内提交。</w:t>
      </w:r>
    </w:p>
    <w:p w14:paraId="37429D8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r>
        <w:rPr>
          <w:rFonts w:hint="eastAsia" w:ascii="宋体" w:hAnsi="宋体" w:eastAsia="宋体" w:cs="宋体"/>
          <w:snapToGrid w:val="0"/>
          <w:color w:val="auto"/>
          <w:highlight w:val="none"/>
          <w:lang w:val="en-US"/>
        </w:rPr>
        <w:t>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6</w:t>
      </w:r>
      <w:r>
        <w:rPr>
          <w:rFonts w:hint="eastAsia" w:ascii="宋体" w:hAnsi="宋体" w:eastAsia="宋体" w:cs="宋体"/>
          <w:snapToGrid w:val="0"/>
          <w:color w:val="auto"/>
          <w:highlight w:val="none"/>
        </w:rPr>
        <w:t>投标人进行虚假和恶意</w:t>
      </w:r>
      <w:r>
        <w:rPr>
          <w:rFonts w:hint="eastAsia" w:ascii="宋体" w:hAnsi="宋体" w:eastAsia="宋体" w:cs="宋体"/>
          <w:snapToGrid w:val="0"/>
          <w:color w:val="auto"/>
          <w:highlight w:val="none"/>
          <w:lang w:val="en-US"/>
        </w:rPr>
        <w:t>质疑投诉</w:t>
      </w:r>
      <w:r>
        <w:rPr>
          <w:rFonts w:hint="eastAsia" w:ascii="宋体" w:hAnsi="宋体" w:eastAsia="宋体" w:cs="宋体"/>
          <w:snapToGrid w:val="0"/>
          <w:color w:val="auto"/>
          <w:highlight w:val="none"/>
        </w:rPr>
        <w:t>的，采购代理机构将提请有关部门将其列入不良记录名单，在一至三年内禁止参加政府采购活动，并将处理决定在相关政府采购媒体上公布。</w:t>
      </w:r>
    </w:p>
    <w:p w14:paraId="0628205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35.7</w:t>
      </w:r>
      <w:r>
        <w:rPr>
          <w:rFonts w:hint="eastAsia" w:ascii="宋体" w:hAnsi="宋体" w:eastAsia="宋体" w:cs="宋体"/>
          <w:color w:val="auto"/>
          <w:highlight w:val="none"/>
        </w:rPr>
        <w:t>质疑函</w:t>
      </w:r>
      <w:r>
        <w:rPr>
          <w:rFonts w:hint="eastAsia" w:ascii="宋体" w:hAnsi="宋体" w:eastAsia="宋体" w:cs="宋体"/>
          <w:color w:val="auto"/>
          <w:highlight w:val="none"/>
          <w:lang w:val="en-US"/>
        </w:rPr>
        <w:t>应当使用中文，并采用财政部门制定的范本。</w:t>
      </w:r>
    </w:p>
    <w:p w14:paraId="56A54E0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6" w:name="_Toc163492868"/>
      <w:bookmarkStart w:id="357" w:name="_Toc21790"/>
      <w:bookmarkStart w:id="358" w:name="_Toc2311"/>
      <w:bookmarkStart w:id="359" w:name="_Toc28277"/>
      <w:bookmarkStart w:id="360" w:name="_Toc13773"/>
      <w:bookmarkStart w:id="361" w:name="_Toc140132801"/>
      <w:r>
        <w:rPr>
          <w:rFonts w:hint="eastAsia" w:ascii="宋体" w:hAnsi="宋体" w:eastAsia="宋体" w:cs="宋体"/>
          <w:color w:val="auto"/>
          <w:sz w:val="24"/>
          <w:highlight w:val="none"/>
        </w:rPr>
        <w:t>36.质疑答复</w:t>
      </w:r>
      <w:bookmarkEnd w:id="356"/>
      <w:bookmarkEnd w:id="357"/>
      <w:bookmarkEnd w:id="358"/>
      <w:bookmarkEnd w:id="359"/>
      <w:bookmarkEnd w:id="360"/>
      <w:bookmarkEnd w:id="361"/>
    </w:p>
    <w:p w14:paraId="48A9A273">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6</w:t>
      </w:r>
      <w:r>
        <w:rPr>
          <w:rFonts w:hint="eastAsia" w:ascii="宋体" w:hAnsi="宋体" w:eastAsia="宋体" w:cs="宋体"/>
          <w:color w:val="auto"/>
          <w:highlight w:val="none"/>
        </w:rPr>
        <w:t>.1采购人、采购代理机构不得拒收质疑供应商在法定质疑期内发出的质疑函，应当在收到质疑函后7个工作日内作出答复，并以书面形式通知质疑供应商和其他有关供应商。</w:t>
      </w:r>
    </w:p>
    <w:p w14:paraId="3247FB9B">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36.2供应商对评审过程、中标结果提出质疑的，采购人、采购代理机构可以组织原评标委员会协助答复质疑。</w:t>
      </w:r>
    </w:p>
    <w:p w14:paraId="15EC55F5">
      <w:pPr>
        <w:pStyle w:val="36"/>
        <w:rPr>
          <w:rFonts w:hint="eastAsia" w:ascii="宋体" w:hAnsi="宋体" w:eastAsia="宋体" w:cs="宋体"/>
          <w:color w:val="auto"/>
          <w:highlight w:val="none"/>
        </w:rPr>
      </w:pPr>
      <w:bookmarkStart w:id="362" w:name="_Toc163492869"/>
      <w:bookmarkStart w:id="363" w:name="_Toc140132802"/>
      <w:r>
        <w:rPr>
          <w:rFonts w:hint="eastAsia" w:ascii="宋体" w:hAnsi="宋体" w:eastAsia="宋体" w:cs="宋体"/>
          <w:color w:val="auto"/>
          <w:highlight w:val="none"/>
        </w:rPr>
        <w:t>质疑答复应当包括下列内容：</w:t>
      </w:r>
    </w:p>
    <w:p w14:paraId="2749EDF9">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）质疑供应商的姓名或者名称；</w:t>
      </w:r>
    </w:p>
    <w:p w14:paraId="70D94F7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）收到质疑函的日期、质疑项目名称及</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7B21FABD">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）质疑事项、质疑答复的具体内容、事实依据和法律依据；</w:t>
      </w:r>
    </w:p>
    <w:p w14:paraId="75E6438D">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）告知质疑供应商依法投诉的权利；</w:t>
      </w:r>
    </w:p>
    <w:p w14:paraId="739D527D">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）质疑答复人名称；</w:t>
      </w:r>
    </w:p>
    <w:p w14:paraId="153EE0CE">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）答复质疑的日期。</w:t>
      </w:r>
    </w:p>
    <w:p w14:paraId="50CFC9C5">
      <w:pPr>
        <w:pStyle w:val="36"/>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042797C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64" w:name="_Toc32007"/>
      <w:bookmarkStart w:id="365" w:name="_Toc11920"/>
      <w:bookmarkStart w:id="366" w:name="_Toc13357"/>
      <w:bookmarkStart w:id="367" w:name="_Toc32321"/>
      <w:r>
        <w:rPr>
          <w:rFonts w:hint="eastAsia" w:ascii="宋体" w:hAnsi="宋体" w:eastAsia="宋体" w:cs="宋体"/>
          <w:color w:val="auto"/>
          <w:sz w:val="24"/>
          <w:highlight w:val="none"/>
        </w:rPr>
        <w:t>37.投诉</w:t>
      </w:r>
      <w:bookmarkEnd w:id="362"/>
      <w:bookmarkEnd w:id="363"/>
      <w:bookmarkEnd w:id="364"/>
      <w:bookmarkEnd w:id="365"/>
      <w:bookmarkEnd w:id="366"/>
      <w:bookmarkEnd w:id="367"/>
    </w:p>
    <w:p w14:paraId="4986F4A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37.1</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highlight w:val="none"/>
          <w:lang w:val="en-US"/>
        </w:rPr>
        <w:t>同级政府采购监督管理部门</w:t>
      </w:r>
      <w:r>
        <w:rPr>
          <w:rFonts w:hint="eastAsia" w:ascii="宋体" w:hAnsi="宋体" w:eastAsia="宋体" w:cs="宋体"/>
          <w:color w:val="auto"/>
          <w:highlight w:val="none"/>
        </w:rPr>
        <w:t>提起投诉。</w:t>
      </w:r>
    </w:p>
    <w:p w14:paraId="120275DC">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37.2</w:t>
      </w:r>
      <w:r>
        <w:rPr>
          <w:rFonts w:hint="eastAsia" w:ascii="宋体" w:hAnsi="宋体" w:eastAsia="宋体" w:cs="宋体"/>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CC7692D">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）投诉人和被投诉人的姓名或者名称、通讯地址、邮编、联系人及联系电话；</w:t>
      </w:r>
    </w:p>
    <w:p w14:paraId="19CD1AD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）质疑和质疑答复情况说明及相关证明材料；</w:t>
      </w:r>
    </w:p>
    <w:p w14:paraId="65B34AA5">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）具体、明确的投诉事项和与投诉事项相关的投诉请求；</w:t>
      </w:r>
    </w:p>
    <w:p w14:paraId="1366DAD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6E66A0F6">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）法律依据；</w:t>
      </w:r>
    </w:p>
    <w:p w14:paraId="7B405C6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）提起投诉的日期。</w:t>
      </w:r>
    </w:p>
    <w:p w14:paraId="3721957F">
      <w:pPr>
        <w:pStyle w:val="36"/>
        <w:rPr>
          <w:rFonts w:hint="eastAsia" w:ascii="宋体" w:hAnsi="宋体" w:eastAsia="宋体" w:cs="宋体"/>
          <w:color w:val="auto"/>
          <w:highlight w:val="none"/>
        </w:rPr>
      </w:pPr>
      <w:r>
        <w:rPr>
          <w:rFonts w:hint="eastAsia" w:ascii="宋体" w:hAnsi="宋体" w:eastAsia="宋体" w:cs="宋体"/>
          <w:color w:val="auto"/>
          <w:highlight w:val="none"/>
        </w:rPr>
        <w:t>投诉人为自然人的，应当由本人签字；投诉人为法人或者其他组织的，应当由法定代表人、主要负责人，或者其授权代表签字或者盖章，并加盖公章。</w:t>
      </w:r>
    </w:p>
    <w:p w14:paraId="57CE006D">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37.3</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rPr>
        <w:t>质疑、</w:t>
      </w:r>
      <w:r>
        <w:rPr>
          <w:rFonts w:hint="eastAsia" w:ascii="宋体" w:hAnsi="宋体" w:eastAsia="宋体" w:cs="宋体"/>
          <w:color w:val="auto"/>
          <w:highlight w:val="none"/>
        </w:rPr>
        <w:t>投诉</w:t>
      </w:r>
      <w:r>
        <w:rPr>
          <w:rFonts w:hint="eastAsia" w:ascii="宋体" w:hAnsi="宋体" w:eastAsia="宋体" w:cs="宋体"/>
          <w:color w:val="auto"/>
          <w:highlight w:val="none"/>
          <w:lang w:val="en-US"/>
        </w:rPr>
        <w:t>应当有明确的请求和必要的证明材料</w:t>
      </w:r>
      <w:r>
        <w:rPr>
          <w:rFonts w:hint="eastAsia" w:ascii="宋体" w:hAnsi="宋体" w:eastAsia="宋体" w:cs="宋体"/>
          <w:color w:val="auto"/>
          <w:highlight w:val="none"/>
        </w:rPr>
        <w:t>。供应商投诉的事项不得超出</w:t>
      </w:r>
      <w:r>
        <w:rPr>
          <w:rFonts w:hint="eastAsia" w:ascii="宋体" w:hAnsi="宋体" w:eastAsia="宋体" w:cs="宋体"/>
          <w:color w:val="auto"/>
          <w:highlight w:val="none"/>
          <w:lang w:val="en-US"/>
        </w:rPr>
        <w:t>已</w:t>
      </w:r>
      <w:r>
        <w:rPr>
          <w:rFonts w:hint="eastAsia" w:ascii="宋体" w:hAnsi="宋体" w:eastAsia="宋体" w:cs="宋体"/>
          <w:color w:val="auto"/>
          <w:highlight w:val="none"/>
        </w:rPr>
        <w:t>质疑事项的范围，但基于质疑答复内容提出的投诉事项除外。</w:t>
      </w:r>
    </w:p>
    <w:p w14:paraId="2C3D4196">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37.4</w:t>
      </w:r>
      <w:r>
        <w:rPr>
          <w:rFonts w:hint="eastAsia" w:ascii="宋体" w:hAnsi="宋体" w:eastAsia="宋体" w:cs="宋体"/>
          <w:color w:val="auto"/>
          <w:highlight w:val="none"/>
          <w:lang w:val="en-US"/>
        </w:rPr>
        <w:t>投诉书应当使用中文，并采用财政部门制定的范本。</w:t>
      </w:r>
    </w:p>
    <w:p w14:paraId="2FBAE4A5">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68" w:name="_Toc30549"/>
      <w:bookmarkStart w:id="369" w:name="_Toc13943"/>
      <w:bookmarkStart w:id="370" w:name="_Toc140132803"/>
      <w:bookmarkStart w:id="371" w:name="_Toc18525"/>
      <w:bookmarkStart w:id="372" w:name="_Toc3580"/>
      <w:bookmarkStart w:id="373" w:name="_Toc163492870"/>
      <w:bookmarkStart w:id="374" w:name="_Toc155185882"/>
      <w:r>
        <w:rPr>
          <w:rFonts w:hint="eastAsia" w:ascii="宋体" w:hAnsi="宋体" w:eastAsia="宋体" w:cs="宋体"/>
          <w:color w:val="auto"/>
          <w:sz w:val="24"/>
          <w:highlight w:val="none"/>
        </w:rPr>
        <w:t>（十一）采购代理服务费</w:t>
      </w:r>
      <w:bookmarkEnd w:id="368"/>
      <w:bookmarkEnd w:id="369"/>
      <w:bookmarkEnd w:id="370"/>
      <w:bookmarkEnd w:id="371"/>
      <w:bookmarkEnd w:id="372"/>
      <w:bookmarkEnd w:id="373"/>
      <w:bookmarkEnd w:id="374"/>
    </w:p>
    <w:p w14:paraId="27B675D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75" w:name="_Toc140132804"/>
      <w:bookmarkStart w:id="376" w:name="_Toc6328"/>
      <w:bookmarkStart w:id="377" w:name="_Toc13299"/>
      <w:bookmarkStart w:id="378" w:name="_Toc163492871"/>
      <w:bookmarkStart w:id="379" w:name="_Toc17649"/>
      <w:bookmarkStart w:id="380" w:name="_Toc30395"/>
      <w:r>
        <w:rPr>
          <w:rFonts w:hint="eastAsia" w:ascii="宋体" w:hAnsi="宋体" w:eastAsia="宋体" w:cs="宋体"/>
          <w:color w:val="auto"/>
          <w:sz w:val="24"/>
          <w:highlight w:val="none"/>
        </w:rPr>
        <w:t>38.收取方式和标准</w:t>
      </w:r>
      <w:bookmarkEnd w:id="375"/>
      <w:bookmarkEnd w:id="376"/>
      <w:bookmarkEnd w:id="377"/>
      <w:bookmarkEnd w:id="378"/>
      <w:bookmarkEnd w:id="379"/>
      <w:bookmarkEnd w:id="380"/>
    </w:p>
    <w:p w14:paraId="272BED89">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8</w:t>
      </w:r>
      <w:r>
        <w:rPr>
          <w:rFonts w:hint="eastAsia" w:ascii="宋体" w:hAnsi="宋体" w:eastAsia="宋体" w:cs="宋体"/>
          <w:color w:val="auto"/>
          <w:highlight w:val="none"/>
        </w:rPr>
        <w:t>.1采购代理机构按“投标人须知前附表”规定的方式和标准收取采购代理服务费。</w:t>
      </w:r>
    </w:p>
    <w:p w14:paraId="3C8637AD">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81" w:name="_Toc4233"/>
      <w:bookmarkStart w:id="382" w:name="_Toc8195"/>
      <w:bookmarkStart w:id="383" w:name="_Toc21208"/>
      <w:bookmarkStart w:id="384" w:name="_Toc140132805"/>
      <w:bookmarkStart w:id="385" w:name="_Toc155185883"/>
      <w:bookmarkStart w:id="386" w:name="_Toc163492872"/>
      <w:bookmarkStart w:id="387" w:name="_Toc12331"/>
      <w:r>
        <w:rPr>
          <w:rFonts w:hint="eastAsia" w:ascii="宋体" w:hAnsi="宋体" w:eastAsia="宋体" w:cs="宋体"/>
          <w:color w:val="auto"/>
          <w:sz w:val="24"/>
          <w:highlight w:val="none"/>
        </w:rPr>
        <w:t>（十二）无效投标和废标</w:t>
      </w:r>
      <w:bookmarkEnd w:id="381"/>
      <w:bookmarkEnd w:id="382"/>
      <w:bookmarkEnd w:id="383"/>
      <w:bookmarkEnd w:id="384"/>
      <w:bookmarkEnd w:id="385"/>
      <w:bookmarkEnd w:id="386"/>
      <w:bookmarkEnd w:id="387"/>
    </w:p>
    <w:p w14:paraId="1B38757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88" w:name="_Toc6212"/>
      <w:bookmarkStart w:id="389" w:name="_Toc8456"/>
      <w:bookmarkStart w:id="390" w:name="_Toc163492873"/>
      <w:bookmarkStart w:id="391" w:name="_Toc140132806"/>
      <w:bookmarkStart w:id="392" w:name="_Toc27690"/>
      <w:bookmarkStart w:id="393" w:name="_Toc4746"/>
      <w:r>
        <w:rPr>
          <w:rFonts w:hint="eastAsia" w:ascii="宋体" w:hAnsi="宋体" w:eastAsia="宋体" w:cs="宋体"/>
          <w:color w:val="auto"/>
          <w:sz w:val="24"/>
          <w:highlight w:val="none"/>
        </w:rPr>
        <w:t>39.无效投标</w:t>
      </w:r>
      <w:bookmarkEnd w:id="388"/>
      <w:bookmarkEnd w:id="389"/>
      <w:bookmarkEnd w:id="390"/>
      <w:bookmarkEnd w:id="391"/>
      <w:bookmarkEnd w:id="392"/>
      <w:bookmarkEnd w:id="393"/>
    </w:p>
    <w:p w14:paraId="4BC06619">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39</w:t>
      </w:r>
      <w:r>
        <w:rPr>
          <w:rFonts w:hint="eastAsia" w:ascii="宋体" w:hAnsi="宋体" w:eastAsia="宋体" w:cs="宋体"/>
          <w:color w:val="auto"/>
          <w:highlight w:val="none"/>
        </w:rPr>
        <w:t>.1投标文件存在“第四章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规定的投标无效情形的，其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157D5E1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94" w:name="_Toc140132807"/>
      <w:bookmarkStart w:id="395" w:name="_Toc31646"/>
      <w:bookmarkStart w:id="396" w:name="_Toc31376"/>
      <w:bookmarkStart w:id="397" w:name="_Toc163492874"/>
      <w:bookmarkStart w:id="398" w:name="_Toc22537"/>
      <w:bookmarkStart w:id="399" w:name="_Toc15530"/>
      <w:r>
        <w:rPr>
          <w:rFonts w:hint="eastAsia" w:ascii="宋体" w:hAnsi="宋体" w:eastAsia="宋体" w:cs="宋体"/>
          <w:color w:val="auto"/>
          <w:sz w:val="24"/>
          <w:highlight w:val="none"/>
        </w:rPr>
        <w:t>40.废标</w:t>
      </w:r>
      <w:bookmarkEnd w:id="394"/>
      <w:bookmarkEnd w:id="395"/>
      <w:bookmarkEnd w:id="396"/>
      <w:bookmarkEnd w:id="397"/>
      <w:bookmarkEnd w:id="398"/>
      <w:bookmarkEnd w:id="399"/>
    </w:p>
    <w:p w14:paraId="3887C1C0">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rPr>
        <w:t>0</w:t>
      </w:r>
      <w:r>
        <w:rPr>
          <w:rFonts w:hint="eastAsia" w:ascii="宋体" w:hAnsi="宋体" w:eastAsia="宋体" w:cs="宋体"/>
          <w:color w:val="auto"/>
          <w:highlight w:val="none"/>
        </w:rPr>
        <w:t>.1在招标采购中出现有“第五章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规定的废标情形的，应予以</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36DA8CB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400" w:name="_Toc140132766"/>
      <w:bookmarkStart w:id="401" w:name="_Toc163492875"/>
      <w:bookmarkStart w:id="402" w:name="_Toc6874"/>
      <w:bookmarkStart w:id="403" w:name="_Toc18106"/>
      <w:bookmarkStart w:id="404" w:name="_Toc9595"/>
      <w:bookmarkStart w:id="405" w:name="_Toc6934"/>
      <w:bookmarkStart w:id="406" w:name="_Toc163492877"/>
      <w:bookmarkStart w:id="407" w:name="_Toc140132808"/>
      <w:bookmarkStart w:id="408"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400"/>
      <w:bookmarkEnd w:id="401"/>
      <w:r>
        <w:rPr>
          <w:rFonts w:hint="eastAsia" w:ascii="宋体" w:hAnsi="宋体" w:eastAsia="宋体" w:cs="宋体"/>
          <w:b/>
          <w:bCs/>
          <w:color w:val="auto"/>
          <w:kern w:val="2"/>
          <w:sz w:val="24"/>
          <w:szCs w:val="32"/>
          <w:highlight w:val="none"/>
          <w:lang w:val="en-US" w:eastAsia="zh-CN" w:bidi="ar-SA"/>
        </w:rPr>
        <w:t>（包括但不限于下列具体政策要求）</w:t>
      </w:r>
    </w:p>
    <w:p w14:paraId="4A7DF68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9"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09"/>
    </w:p>
    <w:p w14:paraId="7667BFB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3CF3DD32">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6B401369">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A1DB01D">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49A5F4EB">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37D5A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982DE01">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9715431">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70B55745">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3EE8C6AB">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1FC4FAE">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4F08BDF4">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3F9AC83">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3F7DE423">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8AD050E">
      <w:pPr>
        <w:pStyle w:val="5"/>
        <w:keepNext w:val="0"/>
        <w:keepLines w:val="0"/>
        <w:spacing w:before="80" w:after="8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42.中小企业、监狱企业及残疾人福利性单位</w:t>
      </w:r>
      <w:bookmarkEnd w:id="402"/>
      <w:bookmarkEnd w:id="403"/>
      <w:bookmarkEnd w:id="404"/>
      <w:bookmarkEnd w:id="405"/>
      <w:bookmarkEnd w:id="406"/>
    </w:p>
    <w:p w14:paraId="4C078511">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22FF8BB">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2</w:t>
      </w:r>
      <w:r>
        <w:rPr>
          <w:rFonts w:hint="eastAsia" w:ascii="宋体" w:hAnsi="宋体" w:eastAsia="宋体" w:cs="宋体"/>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“残疾人福利性单位声明函”，评审时，</w:t>
      </w:r>
      <w:r>
        <w:rPr>
          <w:rFonts w:hint="eastAsia" w:ascii="宋体" w:hAnsi="宋体" w:eastAsia="宋体" w:cs="宋体"/>
          <w:snapToGrid w:val="0"/>
          <w:color w:val="auto"/>
          <w:highlight w:val="none"/>
          <w:lang w:val="en-US"/>
        </w:rPr>
        <w:t>评标委员会</w:t>
      </w:r>
      <w:r>
        <w:rPr>
          <w:rFonts w:hint="eastAsia" w:ascii="宋体" w:hAnsi="宋体" w:eastAsia="宋体" w:cs="宋体"/>
          <w:snapToGrid w:val="0"/>
          <w:color w:val="auto"/>
          <w:highlight w:val="none"/>
        </w:rPr>
        <w:t>将依据本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w:t>
      </w:r>
      <w:r>
        <w:rPr>
          <w:rFonts w:hint="eastAsia" w:ascii="宋体" w:hAnsi="宋体" w:eastAsia="宋体" w:cs="宋体"/>
          <w:snapToGrid w:val="0"/>
          <w:color w:val="auto"/>
          <w:highlight w:val="none"/>
          <w:lang w:val="en-US"/>
        </w:rPr>
        <w:t>投标人</w:t>
      </w:r>
      <w:r>
        <w:rPr>
          <w:rFonts w:hint="eastAsia" w:ascii="宋体" w:hAnsi="宋体" w:eastAsia="宋体" w:cs="宋体"/>
          <w:snapToGrid w:val="0"/>
          <w:color w:val="auto"/>
          <w:highlight w:val="none"/>
        </w:rPr>
        <w:t>须知前附表”规定的报价扣除比例，对供应商报价进行价格扣除，用扣除后的价格参与评审；</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公告中明确项目专门面向中小企业采购的，“中小企业声明函”为资格要求文件，供应商参与</w:t>
      </w:r>
      <w:r>
        <w:rPr>
          <w:rFonts w:hint="eastAsia" w:ascii="宋体" w:hAnsi="宋体" w:eastAsia="宋体" w:cs="宋体"/>
          <w:snapToGrid w:val="0"/>
          <w:color w:val="auto"/>
          <w:highlight w:val="none"/>
          <w:lang w:val="en-US"/>
        </w:rPr>
        <w:t>投标</w:t>
      </w:r>
      <w:r>
        <w:rPr>
          <w:rFonts w:hint="eastAsia" w:ascii="宋体" w:hAnsi="宋体" w:eastAsia="宋体" w:cs="宋体"/>
          <w:snapToGrid w:val="0"/>
          <w:color w:val="auto"/>
          <w:highlight w:val="none"/>
        </w:rPr>
        <w:t>须按本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“残疾人福利性单位声明函”等作为资格证明文件。</w:t>
      </w:r>
      <w:r>
        <w:rPr>
          <w:rFonts w:hint="eastAsia" w:ascii="宋体" w:hAnsi="宋体" w:eastAsia="宋体" w:cs="宋体"/>
          <w:snapToGrid w:val="0"/>
          <w:color w:val="auto"/>
          <w:highlight w:val="none"/>
          <w:lang w:val="en-US"/>
        </w:rPr>
        <w:t xml:space="preserve"> </w:t>
      </w:r>
    </w:p>
    <w:p w14:paraId="3CFE03D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42.3 投标人提供的货物、工程或者服务符合下列情形的，享受中小企业扶持政策： </w:t>
      </w:r>
    </w:p>
    <w:p w14:paraId="646C3916">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（1）在货物采购项目中，货物由中小企业制造，即货物由中小企业生产且使用该中小企业商号或者注册商标； </w:t>
      </w:r>
    </w:p>
    <w:p w14:paraId="4467A6C1">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（2）在工程采购项目中，工程由中小企业承建，即工程施工单位为中小企业； </w:t>
      </w:r>
    </w:p>
    <w:p w14:paraId="3F290FFE">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（3）在服务采购项目中，服务由中小企业承接，即提供服务的人员为中小企业依照《中华人民共和国劳动合同法》订立劳动合同的从业人员。</w:t>
      </w:r>
    </w:p>
    <w:p w14:paraId="401450B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42.4 在货物采购项目中，投标人提供的货物既有中小企业制造货物，也有大型企业制造货物的，不享受中小企业扶持政策。 </w:t>
      </w:r>
    </w:p>
    <w:p w14:paraId="438D818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42.5 以联合体形式参加政府采购活动，联合体各方均为中小企业的，联合体视同中小企业。其中，联合体各方均为小微企业的，联合体视同小微企业。  </w:t>
      </w:r>
    </w:p>
    <w:p w14:paraId="3667E3E2">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12B845B">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4F599B7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42.7.1 安置的残疾人占本单位在职职工人数的比例不低于25% （含 25%），并且安置的残疾人人数不少于10人（含10人）； </w:t>
      </w:r>
    </w:p>
    <w:p w14:paraId="4F405BBC">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42.7.2 依法与安置的每位残疾人签订了1年以上（含1年）的劳动合同或服务协议； </w:t>
      </w:r>
    </w:p>
    <w:p w14:paraId="6663BAF1">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42.7.3 为安置的每位残疾人按月足额缴纳了基本养老保险、基本医疗保险、失业保险、工伤保险和生育保险等社会保险费； </w:t>
      </w:r>
    </w:p>
    <w:p w14:paraId="2D12BB0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42.7.4 通过银行等金融机构向安置的每位残疾人，按月支付了不低于单位所在区县适用的经省级人民政府批准的月最低工资标准的工资； </w:t>
      </w:r>
    </w:p>
    <w:p w14:paraId="3E15A2B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42.7.5 提供本单位制造的货物、承担的工程或者服务（以下简称产品），或者提供其他残疾人福利性单位制造的货物（不包括使用非残疾人福利性单位注册商标的货物）； </w:t>
      </w:r>
    </w:p>
    <w:p w14:paraId="462EA1C4">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26955630">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32BED8A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0" w:name="_Toc163492878"/>
      <w:bookmarkStart w:id="411" w:name="_Toc5822"/>
      <w:bookmarkStart w:id="412" w:name="_Toc7407"/>
      <w:bookmarkStart w:id="413" w:name="_Toc9255"/>
      <w:bookmarkStart w:id="414" w:name="_Toc1808"/>
      <w:r>
        <w:rPr>
          <w:rFonts w:hint="eastAsia" w:ascii="宋体" w:hAnsi="宋体" w:eastAsia="宋体" w:cs="宋体"/>
          <w:color w:val="auto"/>
          <w:sz w:val="24"/>
          <w:highlight w:val="none"/>
        </w:rPr>
        <w:t>43.政府采购节能产品、环境标志产品</w:t>
      </w:r>
      <w:bookmarkEnd w:id="410"/>
      <w:bookmarkEnd w:id="411"/>
      <w:bookmarkEnd w:id="412"/>
      <w:bookmarkEnd w:id="413"/>
      <w:bookmarkEnd w:id="414"/>
    </w:p>
    <w:p w14:paraId="39E8F25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3E21443F">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A34782">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 </w:t>
      </w:r>
    </w:p>
    <w:p w14:paraId="5D674E40">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43.4 非政府强制采购的节能产品或环境标志产品，依据品目清单和认证证书实施政府优先采购。优先采购的具体规定见“第五章 评标方法及标准”（如涉及）。</w:t>
      </w:r>
    </w:p>
    <w:p w14:paraId="2071CD18">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 xml:space="preserve">43.5 </w:t>
      </w:r>
      <w:r>
        <w:rPr>
          <w:rFonts w:hint="eastAsia" w:ascii="宋体" w:hAnsi="宋体" w:eastAsia="宋体" w:cs="宋体"/>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highlight w:val="none"/>
          <w:lang w:val="en-US"/>
        </w:rPr>
        <w:t>价格评审优惠</w:t>
      </w:r>
      <w:r>
        <w:rPr>
          <w:rFonts w:hint="eastAsia" w:ascii="宋体" w:hAnsi="宋体" w:eastAsia="宋体" w:cs="宋体"/>
          <w:snapToGrid w:val="0"/>
          <w:color w:val="auto"/>
          <w:highlight w:val="none"/>
        </w:rPr>
        <w:t>，未提供认证证书的视为</w:t>
      </w:r>
      <w:r>
        <w:rPr>
          <w:rFonts w:hint="eastAsia" w:ascii="宋体" w:hAnsi="宋体" w:eastAsia="宋体" w:cs="宋体"/>
          <w:b/>
          <w:bCs/>
          <w:snapToGrid w:val="0"/>
          <w:color w:val="auto"/>
          <w:highlight w:val="none"/>
          <w:lang w:val="en-US"/>
        </w:rPr>
        <w:t>投标</w:t>
      </w:r>
      <w:r>
        <w:rPr>
          <w:rFonts w:hint="eastAsia" w:ascii="宋体" w:hAnsi="宋体" w:eastAsia="宋体" w:cs="宋体"/>
          <w:b/>
          <w:bCs/>
          <w:snapToGrid w:val="0"/>
          <w:color w:val="auto"/>
          <w:highlight w:val="none"/>
        </w:rPr>
        <w:t>无效</w:t>
      </w:r>
      <w:r>
        <w:rPr>
          <w:rFonts w:hint="eastAsia" w:ascii="宋体" w:hAnsi="宋体" w:eastAsia="宋体" w:cs="宋体"/>
          <w:snapToGrid w:val="0"/>
          <w:color w:val="auto"/>
          <w:highlight w:val="none"/>
        </w:rPr>
        <w:t>。属于</w:t>
      </w:r>
      <w:r>
        <w:rPr>
          <w:rFonts w:hint="eastAsia" w:ascii="宋体" w:hAnsi="宋体" w:eastAsia="宋体" w:cs="宋体"/>
          <w:snapToGrid w:val="0"/>
          <w:color w:val="auto"/>
          <w:highlight w:val="none"/>
          <w:lang w:val="en-US"/>
        </w:rPr>
        <w:t>优先采购</w:t>
      </w:r>
      <w:r>
        <w:rPr>
          <w:rFonts w:hint="eastAsia" w:ascii="宋体" w:hAnsi="宋体" w:eastAsia="宋体" w:cs="宋体"/>
          <w:snapToGrid w:val="0"/>
          <w:color w:val="auto"/>
          <w:highlight w:val="none"/>
        </w:rPr>
        <w:t>节能产品政府采购品目清单、环境标志产品政府采购品目清单、</w:t>
      </w:r>
      <w:r>
        <w:rPr>
          <w:rFonts w:hint="eastAsia" w:ascii="宋体" w:hAnsi="宋体" w:eastAsia="宋体" w:cs="宋体"/>
          <w:snapToGrid w:val="0"/>
          <w:color w:val="auto"/>
          <w:highlight w:val="none"/>
          <w:lang w:val="en-US"/>
        </w:rPr>
        <w:t>创新产品</w:t>
      </w:r>
      <w:r>
        <w:rPr>
          <w:rFonts w:hint="eastAsia" w:ascii="宋体" w:hAnsi="宋体" w:eastAsia="宋体" w:cs="宋体"/>
          <w:snapToGrid w:val="0"/>
          <w:color w:val="auto"/>
          <w:highlight w:val="none"/>
        </w:rPr>
        <w:t>范围的，按照“</w:t>
      </w:r>
      <w:r>
        <w:rPr>
          <w:rFonts w:hint="eastAsia" w:ascii="宋体" w:hAnsi="宋体" w:eastAsia="宋体" w:cs="宋体"/>
          <w:color w:val="auto"/>
          <w:highlight w:val="none"/>
          <w:lang w:val="en-US"/>
        </w:rPr>
        <w:t>第五章 评标方法及标准</w:t>
      </w:r>
      <w:r>
        <w:rPr>
          <w:rFonts w:hint="eastAsia" w:ascii="宋体" w:hAnsi="宋体" w:eastAsia="宋体" w:cs="宋体"/>
          <w:snapToGrid w:val="0"/>
          <w:color w:val="auto"/>
          <w:highlight w:val="none"/>
        </w:rPr>
        <w:t>”中相关规定</w:t>
      </w:r>
      <w:r>
        <w:rPr>
          <w:rFonts w:hint="eastAsia" w:ascii="宋体" w:hAnsi="宋体" w:eastAsia="宋体" w:cs="宋体"/>
          <w:color w:val="auto"/>
          <w:highlight w:val="none"/>
          <w:lang w:val="en-US"/>
        </w:rPr>
        <w:t>在评审时给予价格评审优惠，具体详见</w:t>
      </w:r>
      <w:r>
        <w:rPr>
          <w:rFonts w:hint="eastAsia" w:ascii="宋体" w:hAnsi="宋体" w:eastAsia="宋体" w:cs="宋体"/>
          <w:snapToGrid w:val="0"/>
          <w:color w:val="auto"/>
          <w:highlight w:val="none"/>
          <w:lang w:val="en-US"/>
        </w:rPr>
        <w:t>“投标人须知前附表”及</w:t>
      </w:r>
      <w:r>
        <w:rPr>
          <w:rFonts w:hint="eastAsia" w:ascii="宋体" w:hAnsi="宋体" w:eastAsia="宋体" w:cs="宋体"/>
          <w:color w:val="auto"/>
          <w:highlight w:val="none"/>
          <w:lang w:val="en-US"/>
        </w:rPr>
        <w:t>“第五章 评标方法及标准”</w:t>
      </w:r>
      <w:r>
        <w:rPr>
          <w:rFonts w:hint="eastAsia" w:ascii="宋体" w:hAnsi="宋体" w:eastAsia="宋体" w:cs="宋体"/>
          <w:color w:val="auto"/>
          <w:highlight w:val="none"/>
        </w:rPr>
        <w:t>。</w:t>
      </w:r>
    </w:p>
    <w:p w14:paraId="72C0B93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5" w:name="_Toc27051"/>
      <w:bookmarkStart w:id="416" w:name="_Toc18587"/>
      <w:bookmarkStart w:id="417" w:name="_Toc27639"/>
      <w:bookmarkStart w:id="418" w:name="_Toc14967"/>
      <w:bookmarkStart w:id="419" w:name="_Toc163492879"/>
      <w:r>
        <w:rPr>
          <w:rFonts w:hint="eastAsia" w:ascii="宋体" w:hAnsi="宋体" w:eastAsia="宋体" w:cs="宋体"/>
          <w:color w:val="auto"/>
          <w:sz w:val="24"/>
          <w:highlight w:val="none"/>
        </w:rPr>
        <w:t>44.正版软件</w:t>
      </w:r>
      <w:bookmarkEnd w:id="415"/>
      <w:bookmarkEnd w:id="416"/>
      <w:bookmarkEnd w:id="417"/>
      <w:bookmarkEnd w:id="418"/>
      <w:r>
        <w:rPr>
          <w:rFonts w:hint="eastAsia" w:ascii="宋体" w:hAnsi="宋体" w:eastAsia="宋体" w:cs="宋体"/>
          <w:color w:val="auto"/>
          <w:sz w:val="24"/>
          <w:highlight w:val="none"/>
        </w:rPr>
        <w:t xml:space="preserve">  </w:t>
      </w:r>
    </w:p>
    <w:p w14:paraId="6CFC6447">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7FE7510">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7C9CFE2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0" w:name="_Toc5754"/>
      <w:bookmarkStart w:id="421" w:name="_Toc9349"/>
      <w:bookmarkStart w:id="422" w:name="_Toc18124"/>
      <w:bookmarkStart w:id="423" w:name="_Toc23823"/>
      <w:r>
        <w:rPr>
          <w:rFonts w:hint="eastAsia" w:ascii="宋体" w:hAnsi="宋体" w:eastAsia="宋体" w:cs="宋体"/>
          <w:color w:val="auto"/>
          <w:sz w:val="24"/>
          <w:highlight w:val="none"/>
        </w:rPr>
        <w:t>45.网络安全专用产品</w:t>
      </w:r>
      <w:bookmarkEnd w:id="420"/>
      <w:bookmarkEnd w:id="421"/>
      <w:bookmarkEnd w:id="422"/>
      <w:bookmarkEnd w:id="423"/>
      <w:r>
        <w:rPr>
          <w:rFonts w:hint="eastAsia" w:ascii="宋体" w:hAnsi="宋体" w:eastAsia="宋体" w:cs="宋体"/>
          <w:color w:val="auto"/>
          <w:sz w:val="24"/>
          <w:highlight w:val="none"/>
        </w:rPr>
        <w:t xml:space="preserve">   </w:t>
      </w:r>
    </w:p>
    <w:p w14:paraId="200BE7A2">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36FC3E66">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83F8C8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4" w:name="_Toc4141"/>
      <w:bookmarkStart w:id="425" w:name="_Toc30425"/>
      <w:bookmarkStart w:id="426" w:name="_Toc26826"/>
      <w:bookmarkStart w:id="427" w:name="_Toc30358"/>
      <w:r>
        <w:rPr>
          <w:rFonts w:hint="eastAsia" w:ascii="宋体" w:hAnsi="宋体" w:eastAsia="宋体" w:cs="宋体"/>
          <w:color w:val="auto"/>
          <w:sz w:val="24"/>
          <w:highlight w:val="none"/>
        </w:rPr>
        <w:t>46.采购需求标准</w:t>
      </w:r>
      <w:bookmarkEnd w:id="424"/>
      <w:bookmarkEnd w:id="425"/>
      <w:bookmarkEnd w:id="426"/>
      <w:bookmarkEnd w:id="427"/>
      <w:r>
        <w:rPr>
          <w:rFonts w:hint="eastAsia" w:ascii="宋体" w:hAnsi="宋体" w:eastAsia="宋体" w:cs="宋体"/>
          <w:color w:val="auto"/>
          <w:sz w:val="24"/>
          <w:highlight w:val="none"/>
        </w:rPr>
        <w:t xml:space="preserve">   </w:t>
      </w:r>
    </w:p>
    <w:p w14:paraId="4D31B4FB">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46.1 商品包装、快递包装政府采购需求标准（试行） </w:t>
      </w:r>
    </w:p>
    <w:p w14:paraId="5D6B00CB">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5797851A">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46.2 绿色数据中心政府采购需求标准（试行） </w:t>
      </w:r>
    </w:p>
    <w:p w14:paraId="5BA57BD7">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512E665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46.3台式计算机政府采购需求标准</w:t>
      </w:r>
    </w:p>
    <w:p w14:paraId="04EE9EA6">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3ED5038">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46.4便携式计算机政府采购需求标准</w:t>
      </w:r>
    </w:p>
    <w:p w14:paraId="247A1B5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32C586C">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46.5一体式计算机政府采购需求标准</w:t>
      </w:r>
    </w:p>
    <w:p w14:paraId="64899DC6">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6586B61">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46.6工作站政府采购需求标准</w:t>
      </w:r>
    </w:p>
    <w:p w14:paraId="2CC8B91C">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349485CE">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46.7通用服务器政府采购需求标准</w:t>
      </w:r>
    </w:p>
    <w:p w14:paraId="19FD1AE8">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00F7D88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46.8操作系统政府采购需求标准</w:t>
      </w:r>
    </w:p>
    <w:p w14:paraId="1E169B9E">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258F9B82">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46.9数据库政府采购需求标准</w:t>
      </w:r>
    </w:p>
    <w:p w14:paraId="7F0D404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60581B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46.10物业管理服务政府采购需求标准（办公场所类）（试行）</w:t>
      </w:r>
    </w:p>
    <w:p w14:paraId="2E1FA24F">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407"/>
    <w:bookmarkEnd w:id="408"/>
    <w:bookmarkEnd w:id="419"/>
    <w:p w14:paraId="25E39E28">
      <w:pPr>
        <w:pStyle w:val="4"/>
        <w:keepNext w:val="0"/>
        <w:keepLines w:val="0"/>
        <w:spacing w:before="100" w:after="10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w:t>
      </w:r>
    </w:p>
    <w:p w14:paraId="42F3708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8" w:name="_Toc25907"/>
      <w:bookmarkStart w:id="429" w:name="_Toc163492882"/>
      <w:bookmarkStart w:id="430" w:name="_Toc7838"/>
      <w:bookmarkStart w:id="431" w:name="_Toc4822"/>
      <w:bookmarkStart w:id="432" w:name="_Toc15832"/>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.需要补充的其他内容</w:t>
      </w:r>
      <w:bookmarkEnd w:id="428"/>
      <w:bookmarkEnd w:id="429"/>
      <w:bookmarkEnd w:id="430"/>
      <w:bookmarkEnd w:id="431"/>
      <w:bookmarkEnd w:id="432"/>
    </w:p>
    <w:p w14:paraId="4D1E0C88">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.1需要补充的其他内容：见投标人须知前附表。</w:t>
      </w:r>
    </w:p>
    <w:p w14:paraId="53E2046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3" w:name="_Toc4492"/>
      <w:bookmarkStart w:id="434" w:name="_Toc140132810"/>
      <w:bookmarkStart w:id="435" w:name="_Toc16633"/>
      <w:bookmarkStart w:id="436" w:name="_Toc5587"/>
      <w:bookmarkStart w:id="437" w:name="_Toc155185886"/>
      <w:bookmarkStart w:id="438" w:name="_Toc163492883"/>
      <w:bookmarkStart w:id="439" w:name="_Toc5942"/>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.适用法律</w:t>
      </w:r>
      <w:bookmarkEnd w:id="433"/>
      <w:bookmarkEnd w:id="434"/>
      <w:bookmarkEnd w:id="435"/>
      <w:bookmarkEnd w:id="436"/>
      <w:bookmarkEnd w:id="437"/>
      <w:bookmarkEnd w:id="438"/>
      <w:bookmarkEnd w:id="439"/>
    </w:p>
    <w:p w14:paraId="18DCE85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808FBCB">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.2政府采购合同的履行、违约责任和解决争议的方法等适用《中华人民共和国民法典》。</w:t>
      </w:r>
    </w:p>
    <w:p w14:paraId="1E3048F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40" w:name="_Toc12709"/>
      <w:bookmarkStart w:id="441" w:name="_Toc163492884"/>
      <w:bookmarkStart w:id="442" w:name="_Toc18236"/>
      <w:bookmarkStart w:id="443" w:name="_Toc26968"/>
      <w:bookmarkStart w:id="444" w:name="_Toc155185887"/>
      <w:bookmarkStart w:id="445" w:name="_Toc26457"/>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.解释权</w:t>
      </w:r>
      <w:bookmarkEnd w:id="440"/>
      <w:bookmarkEnd w:id="441"/>
      <w:bookmarkEnd w:id="442"/>
      <w:bookmarkEnd w:id="443"/>
      <w:bookmarkEnd w:id="444"/>
      <w:bookmarkEnd w:id="445"/>
    </w:p>
    <w:p w14:paraId="3892A5F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eastAsia="zh-CN"/>
        </w:rPr>
        <w:t>49</w:t>
      </w:r>
      <w:r>
        <w:rPr>
          <w:rFonts w:hint="eastAsia" w:ascii="宋体" w:hAnsi="宋体" w:eastAsia="宋体" w:cs="宋体"/>
          <w:snapToGrid w:val="0"/>
          <w:color w:val="auto"/>
          <w:highlight w:val="none"/>
        </w:rPr>
        <w:t>.1本招标文件最终解释权归采购人或采购代理机构所有。</w:t>
      </w:r>
    </w:p>
    <w:p w14:paraId="75F79FDE">
      <w:pPr>
        <w:pStyle w:val="36"/>
        <w:rPr>
          <w:rFonts w:hint="eastAsia" w:ascii="宋体" w:hAnsi="宋体" w:eastAsia="宋体" w:cs="宋体"/>
          <w:snapToGrid w:val="0"/>
          <w:color w:val="auto"/>
          <w:highlight w:val="none"/>
        </w:rPr>
      </w:pPr>
    </w:p>
    <w:p w14:paraId="183797AC">
      <w:pPr>
        <w:pStyle w:val="36"/>
        <w:rPr>
          <w:rFonts w:hint="eastAsia" w:ascii="宋体" w:hAnsi="宋体" w:eastAsia="宋体" w:cs="宋体"/>
          <w:snapToGrid w:val="0"/>
          <w:color w:val="auto"/>
          <w:highlight w:val="none"/>
        </w:rPr>
      </w:pPr>
    </w:p>
    <w:p w14:paraId="678FDF02">
      <w:pPr>
        <w:pStyle w:val="36"/>
        <w:rPr>
          <w:rFonts w:hint="eastAsia" w:ascii="宋体" w:hAnsi="宋体" w:eastAsia="宋体" w:cs="宋体"/>
          <w:snapToGrid w:val="0"/>
          <w:color w:val="auto"/>
          <w:highlight w:val="none"/>
        </w:rPr>
      </w:pPr>
    </w:p>
    <w:p w14:paraId="78D5E529">
      <w:pPr>
        <w:pStyle w:val="36"/>
        <w:rPr>
          <w:rFonts w:hint="eastAsia" w:ascii="宋体" w:hAnsi="宋体" w:eastAsia="宋体" w:cs="宋体"/>
          <w:snapToGrid w:val="0"/>
          <w:color w:val="auto"/>
          <w:highlight w:val="none"/>
        </w:rPr>
      </w:pPr>
    </w:p>
    <w:p w14:paraId="5D6B1638">
      <w:pPr>
        <w:pStyle w:val="36"/>
        <w:rPr>
          <w:rFonts w:hint="eastAsia" w:ascii="宋体" w:hAnsi="宋体" w:eastAsia="宋体" w:cs="宋体"/>
          <w:snapToGrid w:val="0"/>
          <w:color w:val="auto"/>
          <w:highlight w:val="none"/>
        </w:rPr>
      </w:pPr>
    </w:p>
    <w:p w14:paraId="5E6C0D25">
      <w:pPr>
        <w:pStyle w:val="36"/>
        <w:rPr>
          <w:rFonts w:hint="eastAsia" w:ascii="宋体" w:hAnsi="宋体" w:eastAsia="宋体" w:cs="宋体"/>
          <w:snapToGrid w:val="0"/>
          <w:color w:val="auto"/>
          <w:highlight w:val="none"/>
        </w:rPr>
      </w:pPr>
    </w:p>
    <w:p w14:paraId="734D3658">
      <w:pPr>
        <w:pStyle w:val="36"/>
        <w:rPr>
          <w:rFonts w:hint="eastAsia" w:ascii="宋体" w:hAnsi="宋体" w:eastAsia="宋体" w:cs="宋体"/>
          <w:snapToGrid w:val="0"/>
          <w:color w:val="auto"/>
          <w:highlight w:val="none"/>
        </w:rPr>
      </w:pPr>
    </w:p>
    <w:p w14:paraId="71DAB0F4">
      <w:pPr>
        <w:pStyle w:val="36"/>
        <w:rPr>
          <w:rFonts w:hint="eastAsia" w:ascii="宋体" w:hAnsi="宋体" w:eastAsia="宋体" w:cs="宋体"/>
          <w:snapToGrid w:val="0"/>
          <w:color w:val="auto"/>
          <w:highlight w:val="none"/>
        </w:rPr>
      </w:pPr>
    </w:p>
    <w:p w14:paraId="152757EF">
      <w:pPr>
        <w:pStyle w:val="36"/>
        <w:rPr>
          <w:rFonts w:hint="eastAsia" w:ascii="宋体" w:hAnsi="宋体" w:eastAsia="宋体" w:cs="宋体"/>
          <w:snapToGrid w:val="0"/>
          <w:color w:val="auto"/>
          <w:highlight w:val="none"/>
        </w:rPr>
      </w:pPr>
    </w:p>
    <w:p w14:paraId="48960BE4">
      <w:pPr>
        <w:pStyle w:val="36"/>
        <w:rPr>
          <w:rFonts w:hint="eastAsia" w:ascii="宋体" w:hAnsi="宋体" w:eastAsia="宋体" w:cs="宋体"/>
          <w:snapToGrid w:val="0"/>
          <w:color w:val="auto"/>
          <w:highlight w:val="none"/>
        </w:rPr>
      </w:pPr>
    </w:p>
    <w:p w14:paraId="4A7DBB8F">
      <w:pPr>
        <w:pStyle w:val="36"/>
        <w:rPr>
          <w:rFonts w:hint="eastAsia" w:ascii="宋体" w:hAnsi="宋体" w:eastAsia="宋体" w:cs="宋体"/>
          <w:snapToGrid w:val="0"/>
          <w:color w:val="auto"/>
          <w:highlight w:val="none"/>
        </w:rPr>
      </w:pPr>
    </w:p>
    <w:p w14:paraId="1ED7237E">
      <w:pPr>
        <w:pStyle w:val="36"/>
        <w:rPr>
          <w:rFonts w:hint="eastAsia" w:ascii="宋体" w:hAnsi="宋体" w:eastAsia="宋体" w:cs="宋体"/>
          <w:snapToGrid w:val="0"/>
          <w:color w:val="auto"/>
          <w:highlight w:val="none"/>
        </w:rPr>
      </w:pPr>
    </w:p>
    <w:p w14:paraId="5E32FE75">
      <w:pPr>
        <w:pStyle w:val="36"/>
        <w:rPr>
          <w:rFonts w:hint="eastAsia" w:ascii="宋体" w:hAnsi="宋体" w:eastAsia="宋体" w:cs="宋体"/>
          <w:snapToGrid w:val="0"/>
          <w:color w:val="auto"/>
          <w:highlight w:val="none"/>
        </w:rPr>
      </w:pPr>
    </w:p>
    <w:p w14:paraId="0D803671">
      <w:pPr>
        <w:pStyle w:val="36"/>
        <w:rPr>
          <w:rFonts w:hint="eastAsia" w:ascii="宋体" w:hAnsi="宋体" w:eastAsia="宋体" w:cs="宋体"/>
          <w:snapToGrid w:val="0"/>
          <w:color w:val="auto"/>
          <w:highlight w:val="none"/>
        </w:rPr>
      </w:pPr>
    </w:p>
    <w:p w14:paraId="3C5D774D">
      <w:pPr>
        <w:pStyle w:val="36"/>
        <w:rPr>
          <w:rFonts w:hint="eastAsia" w:ascii="宋体" w:hAnsi="宋体" w:eastAsia="宋体" w:cs="宋体"/>
          <w:snapToGrid w:val="0"/>
          <w:color w:val="auto"/>
          <w:highlight w:val="none"/>
        </w:rPr>
      </w:pPr>
    </w:p>
    <w:p w14:paraId="081C7766">
      <w:pPr>
        <w:pStyle w:val="36"/>
        <w:rPr>
          <w:rFonts w:hint="eastAsia" w:ascii="宋体" w:hAnsi="宋体" w:eastAsia="宋体" w:cs="宋体"/>
          <w:snapToGrid w:val="0"/>
          <w:color w:val="auto"/>
          <w:highlight w:val="none"/>
        </w:rPr>
      </w:pPr>
    </w:p>
    <w:p w14:paraId="0B407D6F">
      <w:pPr>
        <w:pStyle w:val="36"/>
        <w:rPr>
          <w:rFonts w:hint="eastAsia" w:ascii="宋体" w:hAnsi="宋体" w:eastAsia="宋体" w:cs="宋体"/>
          <w:snapToGrid w:val="0"/>
          <w:color w:val="auto"/>
          <w:highlight w:val="none"/>
        </w:rPr>
      </w:pPr>
    </w:p>
    <w:p w14:paraId="66FD2123">
      <w:pPr>
        <w:pStyle w:val="36"/>
        <w:rPr>
          <w:rFonts w:hint="eastAsia" w:ascii="宋体" w:hAnsi="宋体" w:eastAsia="宋体" w:cs="宋体"/>
          <w:snapToGrid w:val="0"/>
          <w:color w:val="auto"/>
          <w:highlight w:val="none"/>
        </w:rPr>
      </w:pPr>
    </w:p>
    <w:p w14:paraId="4772647D">
      <w:pPr>
        <w:pStyle w:val="36"/>
        <w:rPr>
          <w:rFonts w:hint="eastAsia" w:ascii="宋体" w:hAnsi="宋体" w:eastAsia="宋体" w:cs="宋体"/>
          <w:snapToGrid w:val="0"/>
          <w:color w:val="auto"/>
          <w:highlight w:val="none"/>
        </w:rPr>
      </w:pPr>
    </w:p>
    <w:p w14:paraId="28ABF1B9">
      <w:pPr>
        <w:pStyle w:val="36"/>
        <w:rPr>
          <w:rFonts w:hint="eastAsia" w:ascii="宋体" w:hAnsi="宋体" w:eastAsia="宋体" w:cs="宋体"/>
          <w:snapToGrid w:val="0"/>
          <w:color w:val="auto"/>
          <w:highlight w:val="none"/>
        </w:rPr>
      </w:pPr>
    </w:p>
    <w:p w14:paraId="1AC48F5C">
      <w:pPr>
        <w:pStyle w:val="36"/>
        <w:rPr>
          <w:rFonts w:hint="eastAsia" w:ascii="宋体" w:hAnsi="宋体" w:eastAsia="宋体" w:cs="宋体"/>
          <w:snapToGrid w:val="0"/>
          <w:color w:val="auto"/>
          <w:highlight w:val="none"/>
        </w:rPr>
      </w:pPr>
    </w:p>
    <w:p w14:paraId="7C3B1B35">
      <w:pPr>
        <w:pStyle w:val="36"/>
        <w:rPr>
          <w:rFonts w:hint="eastAsia" w:ascii="宋体" w:hAnsi="宋体" w:eastAsia="宋体" w:cs="宋体"/>
          <w:snapToGrid w:val="0"/>
          <w:color w:val="auto"/>
          <w:highlight w:val="none"/>
        </w:rPr>
      </w:pPr>
    </w:p>
    <w:p w14:paraId="53FB70CC">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46" w:name="_Toc11277"/>
      <w:bookmarkStart w:id="447" w:name="_Toc155185888"/>
      <w:bookmarkStart w:id="448" w:name="_Toc18413"/>
      <w:r>
        <w:rPr>
          <w:rFonts w:hint="eastAsia" w:ascii="宋体" w:hAnsi="宋体" w:eastAsia="宋体" w:cs="宋体"/>
          <w:bCs/>
          <w:color w:val="auto"/>
          <w:sz w:val="36"/>
          <w:szCs w:val="36"/>
          <w:highlight w:val="none"/>
        </w:rPr>
        <w:t>第三章 采购需求</w:t>
      </w:r>
      <w:bookmarkEnd w:id="446"/>
      <w:bookmarkEnd w:id="447"/>
      <w:bookmarkEnd w:id="448"/>
    </w:p>
    <w:p w14:paraId="3C2973EB">
      <w:pPr>
        <w:pStyle w:val="3"/>
        <w:spacing w:before="0" w:after="0" w:line="360" w:lineRule="auto"/>
        <w:rPr>
          <w:rFonts w:hint="eastAsia" w:ascii="宋体" w:hAnsi="宋体" w:eastAsia="宋体" w:cs="宋体"/>
          <w:color w:val="auto"/>
          <w:sz w:val="28"/>
          <w:szCs w:val="28"/>
          <w:highlight w:val="none"/>
        </w:rPr>
      </w:pPr>
      <w:bookmarkStart w:id="449" w:name="_Toc2251"/>
      <w:bookmarkStart w:id="450" w:name="_Toc140132812"/>
      <w:bookmarkStart w:id="451" w:name="_Toc155185889"/>
      <w:r>
        <w:rPr>
          <w:rFonts w:hint="eastAsia" w:ascii="宋体" w:hAnsi="宋体" w:eastAsia="宋体" w:cs="宋体"/>
          <w:color w:val="auto"/>
          <w:sz w:val="28"/>
          <w:szCs w:val="28"/>
          <w:highlight w:val="none"/>
        </w:rPr>
        <w:t>一、采购</w:t>
      </w:r>
      <w:bookmarkEnd w:id="449"/>
      <w:r>
        <w:rPr>
          <w:rFonts w:hint="eastAsia" w:ascii="宋体" w:hAnsi="宋体" w:cs="宋体"/>
          <w:color w:val="auto"/>
          <w:sz w:val="28"/>
          <w:szCs w:val="28"/>
          <w:highlight w:val="none"/>
          <w:lang w:val="en-US" w:eastAsia="zh-CN"/>
        </w:rPr>
        <w:t>清单</w:t>
      </w:r>
      <w:r>
        <w:rPr>
          <w:rFonts w:hint="eastAsia" w:ascii="宋体" w:hAnsi="宋体" w:eastAsia="宋体" w:cs="宋体"/>
          <w:color w:val="auto"/>
          <w:sz w:val="28"/>
          <w:szCs w:val="28"/>
          <w:highlight w:val="none"/>
        </w:rPr>
        <w:t xml:space="preserve"> </w:t>
      </w:r>
    </w:p>
    <w:tbl>
      <w:tblPr>
        <w:tblStyle w:val="22"/>
        <w:tblW w:w="9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4199"/>
        <w:gridCol w:w="1315"/>
        <w:gridCol w:w="1623"/>
        <w:gridCol w:w="1534"/>
      </w:tblGrid>
      <w:tr w14:paraId="74A8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5" w:type="dxa"/>
            <w:tcBorders>
              <w:top w:val="single" w:color="000000" w:sz="4" w:space="0"/>
              <w:left w:val="single" w:color="000000" w:sz="4" w:space="0"/>
              <w:bottom w:val="single" w:color="000000" w:sz="4" w:space="0"/>
              <w:right w:val="single" w:color="000000" w:sz="4" w:space="0"/>
            </w:tcBorders>
            <w:noWrap w:val="0"/>
            <w:vAlign w:val="center"/>
          </w:tcPr>
          <w:p w14:paraId="5FC4B4C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7AF1CD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A3DE28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4B2C7E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sz w:val="24"/>
                <w:szCs w:val="24"/>
                <w:highlight w:val="none"/>
                <w:u w:val="none"/>
                <w:lang w:val="en-US" w:eastAsia="zh-CN"/>
              </w:rPr>
              <w:t>数量</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0A2547C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国产/进口</w:t>
            </w:r>
          </w:p>
        </w:tc>
      </w:tr>
      <w:tr w14:paraId="67AD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1EAF40D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25414C0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全数字化高端彩色多普勒超声诊断仪</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BE53E0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4B4D7E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5B12F99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3FD7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5722097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34932FD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高端彩色多普勒超声诊断仪</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D8A13D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996F57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58FA739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0785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37201BA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403BD09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便携式彩色多普勒超声诊断系统</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722D22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8F404D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79605D0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739F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14:paraId="6753FD5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4199" w:type="dxa"/>
            <w:tcBorders>
              <w:top w:val="single" w:color="000000" w:sz="4" w:space="0"/>
              <w:left w:val="single" w:color="000000" w:sz="4" w:space="0"/>
              <w:bottom w:val="single" w:color="000000" w:sz="4" w:space="0"/>
              <w:right w:val="single" w:color="000000" w:sz="4" w:space="0"/>
            </w:tcBorders>
            <w:noWrap w:val="0"/>
            <w:vAlign w:val="center"/>
          </w:tcPr>
          <w:p w14:paraId="0F18993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高端便携式彩色多普勒超声诊断系统</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922085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2468435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0DF7E42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3224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96" w:type="dxa"/>
            <w:gridSpan w:val="5"/>
            <w:tcBorders>
              <w:top w:val="single" w:color="000000" w:sz="4" w:space="0"/>
              <w:left w:val="single" w:color="000000" w:sz="4" w:space="0"/>
              <w:bottom w:val="single" w:color="000000" w:sz="4" w:space="0"/>
              <w:right w:val="single" w:color="000000" w:sz="4" w:space="0"/>
            </w:tcBorders>
            <w:noWrap/>
            <w:vAlign w:val="center"/>
          </w:tcPr>
          <w:p w14:paraId="648B8875">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最高投标限价总价：8001371.69元</w:t>
            </w:r>
          </w:p>
        </w:tc>
      </w:tr>
    </w:tbl>
    <w:p w14:paraId="6A87EC58">
      <w:pPr>
        <w:pStyle w:val="3"/>
        <w:spacing w:before="0" w:after="0" w:line="360" w:lineRule="auto"/>
        <w:rPr>
          <w:rFonts w:hint="eastAsia" w:ascii="宋体" w:hAnsi="宋体" w:eastAsia="宋体" w:cs="宋体"/>
          <w:color w:val="auto"/>
          <w:sz w:val="28"/>
          <w:szCs w:val="28"/>
          <w:highlight w:val="none"/>
        </w:rPr>
      </w:pPr>
      <w:bookmarkStart w:id="452" w:name="_Toc17598"/>
      <w:r>
        <w:rPr>
          <w:rFonts w:hint="eastAsia" w:ascii="宋体" w:hAnsi="宋体" w:eastAsia="宋体" w:cs="宋体"/>
          <w:color w:val="auto"/>
          <w:sz w:val="28"/>
          <w:szCs w:val="28"/>
          <w:highlight w:val="none"/>
        </w:rPr>
        <w:t>二、商务要求</w:t>
      </w:r>
      <w:bookmarkEnd w:id="452"/>
      <w:r>
        <w:rPr>
          <w:rFonts w:hint="eastAsia" w:ascii="宋体" w:hAnsi="宋体" w:eastAsia="宋体" w:cs="宋体"/>
          <w:color w:val="auto"/>
          <w:sz w:val="28"/>
          <w:szCs w:val="28"/>
          <w:highlight w:val="none"/>
        </w:rPr>
        <w:t xml:space="preserve"> </w:t>
      </w:r>
    </w:p>
    <w:p w14:paraId="12CDC5D9">
      <w:pPr>
        <w:pStyle w:val="36"/>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交付时间</w:t>
      </w:r>
      <w:r>
        <w:rPr>
          <w:rFonts w:hint="default" w:cs="宋体"/>
          <w:b w:val="0"/>
          <w:bCs w:val="0"/>
          <w:color w:val="auto"/>
          <w:sz w:val="24"/>
          <w:szCs w:val="24"/>
          <w:highlight w:val="none"/>
          <w:lang w:val="en-US" w:eastAsia="zh-CN"/>
        </w:rPr>
        <w:t>：</w:t>
      </w:r>
      <w:r>
        <w:rPr>
          <w:rFonts w:hint="eastAsia" w:cs="宋体"/>
          <w:snapToGrid w:val="0"/>
          <w:color w:val="auto"/>
          <w:szCs w:val="24"/>
          <w:highlight w:val="none"/>
          <w:lang w:val="en-US" w:eastAsia="zh-CN"/>
        </w:rPr>
        <w:t>合同签订后90天内完成设备供货、安装、调试及培训。</w:t>
      </w:r>
    </w:p>
    <w:p w14:paraId="5DCA247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2</w:t>
      </w:r>
      <w:r>
        <w:rPr>
          <w:rFonts w:hint="default" w:cs="宋体"/>
          <w:b w:val="0"/>
          <w:bCs w:val="0"/>
          <w:color w:val="auto"/>
          <w:sz w:val="24"/>
          <w:szCs w:val="24"/>
          <w:highlight w:val="none"/>
          <w:lang w:val="en-US" w:eastAsia="zh-CN"/>
        </w:rPr>
        <w:t>.交货地点：</w:t>
      </w:r>
      <w:r>
        <w:rPr>
          <w:rFonts w:hint="eastAsia" w:ascii="宋体" w:hAnsi="宋体" w:eastAsia="宋体" w:cs="宋体"/>
          <w:color w:val="auto"/>
          <w:spacing w:val="0"/>
          <w:kern w:val="2"/>
          <w:position w:val="0"/>
          <w:sz w:val="24"/>
          <w:szCs w:val="24"/>
          <w:highlight w:val="none"/>
          <w:u w:val="none"/>
          <w:lang w:val="en-US" w:eastAsia="zh-CN" w:bidi="ar-SA"/>
        </w:rPr>
        <w:t>按采购人指定地点交货、验收。</w:t>
      </w:r>
    </w:p>
    <w:p w14:paraId="7EE06DA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3</w:t>
      </w:r>
      <w:r>
        <w:rPr>
          <w:rFonts w:hint="default" w:cs="宋体"/>
          <w:b w:val="0"/>
          <w:bCs w:val="0"/>
          <w:color w:val="auto"/>
          <w:sz w:val="24"/>
          <w:szCs w:val="24"/>
          <w:highlight w:val="none"/>
          <w:lang w:val="en-US" w:eastAsia="zh-CN"/>
        </w:rPr>
        <w:t>.付款方式：</w:t>
      </w:r>
      <w:r>
        <w:rPr>
          <w:rFonts w:hint="eastAsia" w:ascii="宋体" w:hAnsi="宋体" w:eastAsia="宋体" w:cs="宋体"/>
          <w:b w:val="0"/>
          <w:bCs w:val="0"/>
          <w:color w:val="auto"/>
          <w:sz w:val="24"/>
          <w:szCs w:val="24"/>
          <w:highlight w:val="none"/>
          <w:lang w:val="en-US" w:eastAsia="zh-CN"/>
        </w:rPr>
        <w:t>合同签订后支付合同价款的30%，</w:t>
      </w:r>
      <w:r>
        <w:rPr>
          <w:rFonts w:hint="default" w:ascii="宋体" w:hAnsi="宋体" w:eastAsia="宋体" w:cs="宋体"/>
          <w:b w:val="0"/>
          <w:bCs w:val="0"/>
          <w:color w:val="auto"/>
          <w:sz w:val="24"/>
          <w:szCs w:val="24"/>
          <w:highlight w:val="none"/>
          <w:lang w:val="en-US" w:eastAsia="zh-CN"/>
        </w:rPr>
        <w:t>安装、验收合格支付合同总金额的</w:t>
      </w:r>
      <w:r>
        <w:rPr>
          <w:rFonts w:hint="eastAsia" w:ascii="宋体" w:hAnsi="宋体" w:eastAsia="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0%，合同全部内容履约完成，无任何质量问题后支付合同金额的剩余</w:t>
      </w:r>
      <w:r>
        <w:rPr>
          <w:rFonts w:hint="eastAsia" w:ascii="宋体" w:hAnsi="宋体" w:eastAsia="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0%。</w:t>
      </w:r>
    </w:p>
    <w:p w14:paraId="6E381AF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4</w:t>
      </w:r>
      <w:r>
        <w:rPr>
          <w:rFonts w:hint="default" w:cs="宋体"/>
          <w:b w:val="0"/>
          <w:bCs w:val="0"/>
          <w:color w:val="auto"/>
          <w:sz w:val="24"/>
          <w:szCs w:val="24"/>
          <w:highlight w:val="none"/>
          <w:lang w:val="en-US" w:eastAsia="zh-CN"/>
        </w:rPr>
        <w:t>.质保期：</w:t>
      </w:r>
      <w:r>
        <w:rPr>
          <w:rFonts w:hint="eastAsia" w:cs="宋体"/>
          <w:b w:val="0"/>
          <w:bCs w:val="0"/>
          <w:color w:val="auto"/>
          <w:sz w:val="24"/>
          <w:szCs w:val="24"/>
          <w:highlight w:val="none"/>
          <w:lang w:val="en-US" w:eastAsia="zh-CN"/>
        </w:rPr>
        <w:t>3年</w:t>
      </w:r>
    </w:p>
    <w:p w14:paraId="427EA3D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5.产品注册（备案）要求：产品须具备医疗器械注册证或备案证明，须提供所投产品（配件）注册证或整机注册证或备案证明；（根据所投内容提供）</w:t>
      </w:r>
    </w:p>
    <w:p w14:paraId="197A086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6.售后服务要求</w:t>
      </w:r>
    </w:p>
    <w:p w14:paraId="026735A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6.1 投标人应对所提供的货物提供不少于36个月的免费原厂维修保养服务，免费质保期内，供应商不得使用第三方维保代替原厂质保，须保证能够提供原厂级别的维保服务，包括但不限于:原厂正品备件供应、原厂软件升级服务、原厂级故障诊断技术支持。（需提供承诺函并加盖公章，格式自拟。）</w:t>
      </w:r>
    </w:p>
    <w:p w14:paraId="73EE2A1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6.2 开机率≥98%，仪器故障要求12小时内应答，24小时形成解决方案。</w:t>
      </w:r>
    </w:p>
    <w:p w14:paraId="4E21265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6.3 提供全国免费电话。</w:t>
      </w:r>
    </w:p>
    <w:p w14:paraId="42163B3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7.其他要求：</w:t>
      </w:r>
    </w:p>
    <w:p w14:paraId="48E2975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7.1</w:t>
      </w:r>
      <w:r>
        <w:rPr>
          <w:rFonts w:hint="eastAsia" w:ascii="宋体" w:hAnsi="宋体" w:eastAsia="宋体" w:cs="宋体"/>
          <w:b w:val="0"/>
          <w:bCs w:val="0"/>
          <w:color w:val="auto"/>
          <w:sz w:val="24"/>
          <w:szCs w:val="24"/>
          <w:highlight w:val="none"/>
          <w:lang w:val="en-US" w:eastAsia="zh-CN"/>
        </w:rPr>
        <w:t>当年生产机器，生产日期与到货日期不得超过半年。</w:t>
      </w:r>
    </w:p>
    <w:p w14:paraId="37F4750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7.2所有设备的接口费，均由中标单位承担。</w:t>
      </w:r>
    </w:p>
    <w:p w14:paraId="1E410A72">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三、技术要求 </w:t>
      </w:r>
    </w:p>
    <w:tbl>
      <w:tblPr>
        <w:tblStyle w:val="22"/>
        <w:tblW w:w="91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3"/>
        <w:gridCol w:w="730"/>
        <w:gridCol w:w="6777"/>
        <w:gridCol w:w="500"/>
        <w:gridCol w:w="534"/>
      </w:tblGrid>
      <w:tr w14:paraId="033E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2ED7C6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D9F67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auto"/>
                <w:sz w:val="22"/>
                <w:szCs w:val="22"/>
                <w:highlight w:val="none"/>
                <w:u w:val="none"/>
                <w:lang w:val="en-US"/>
              </w:rPr>
            </w:pPr>
            <w:r>
              <w:rPr>
                <w:rFonts w:hint="eastAsia" w:cs="宋体"/>
                <w:b/>
                <w:bCs/>
                <w:i w:val="0"/>
                <w:iCs w:val="0"/>
                <w:color w:val="auto"/>
                <w:kern w:val="0"/>
                <w:sz w:val="22"/>
                <w:szCs w:val="22"/>
                <w:highlight w:val="none"/>
                <w:u w:val="none"/>
                <w:lang w:val="en-US" w:eastAsia="zh-CN" w:bidi="ar"/>
              </w:rPr>
              <w:t>设备名称</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4340C1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技术参数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52FD6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607550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数量</w:t>
            </w:r>
          </w:p>
        </w:tc>
      </w:tr>
      <w:tr w14:paraId="36E5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62D3BB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791C1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全数字化高端彩色多普勒超声诊断仪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12BCEC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一、设备名称：全数字化高端彩色多普勒超声诊断仪</w:t>
            </w:r>
          </w:p>
          <w:p w14:paraId="0F20D7A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二、数    量：</w:t>
            </w: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套</w:t>
            </w:r>
          </w:p>
          <w:p w14:paraId="644BBE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三、用    途：主要用于产前筛查、胎儿心脏、新生儿、妇科生殖、盆底、腹部、成人心脏、泌尿、小儿、血管（外周、颅脑、腹部）、小器官、骨骼肌肉、神经、术中、弹性成像、介入等方面的临床诊断和科研教学工作。</w:t>
            </w:r>
          </w:p>
          <w:p w14:paraId="7A6DAB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四、主要技术规格及系统概述：</w:t>
            </w:r>
          </w:p>
          <w:p w14:paraId="4F7C93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1、主机系统：</w:t>
            </w:r>
          </w:p>
          <w:p w14:paraId="0370C27F">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高分辨率液晶显示器≥21英寸, 分辨率≥1920×1080,可上下左右任意旋转，可前后折叠。</w:t>
            </w:r>
          </w:p>
          <w:p w14:paraId="0CD9621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操作面板具备液晶触摸屏≥12英寸,可通过手指滑动触摸屏进行翻页，直接点击触摸屏即可选择需要调节的参数，操作面板可上下左右进行高度调整及旋转。</w:t>
            </w:r>
          </w:p>
          <w:p w14:paraId="0430BE6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脉冲优化处理技术</w:t>
            </w:r>
            <w:r>
              <w:rPr>
                <w:rFonts w:hint="eastAsia" w:cs="宋体"/>
                <w:i w:val="0"/>
                <w:iCs w:val="0"/>
                <w:color w:val="auto"/>
                <w:sz w:val="20"/>
                <w:szCs w:val="20"/>
                <w:highlight w:val="none"/>
                <w:u w:val="none"/>
                <w:lang w:eastAsia="zh-CN"/>
              </w:rPr>
              <w:t>。</w:t>
            </w:r>
          </w:p>
          <w:p w14:paraId="0822C5B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自适应增益补偿技术</w:t>
            </w:r>
            <w:r>
              <w:rPr>
                <w:rFonts w:hint="eastAsia" w:cs="宋体"/>
                <w:i w:val="0"/>
                <w:iCs w:val="0"/>
                <w:color w:val="auto"/>
                <w:sz w:val="20"/>
                <w:szCs w:val="20"/>
                <w:highlight w:val="none"/>
                <w:u w:val="none"/>
                <w:lang w:eastAsia="zh-CN"/>
              </w:rPr>
              <w:t>。</w:t>
            </w:r>
          </w:p>
          <w:p w14:paraId="25BE6A40">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数字化二维灰阶成像及M型显像单元</w:t>
            </w:r>
            <w:r>
              <w:rPr>
                <w:rFonts w:hint="eastAsia" w:cs="宋体"/>
                <w:i w:val="0"/>
                <w:iCs w:val="0"/>
                <w:color w:val="auto"/>
                <w:sz w:val="20"/>
                <w:szCs w:val="20"/>
                <w:highlight w:val="none"/>
                <w:u w:val="none"/>
                <w:lang w:eastAsia="zh-CN"/>
              </w:rPr>
              <w:t>。</w:t>
            </w:r>
          </w:p>
          <w:p w14:paraId="0522B8CC">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解剖M型技术,可360度任意旋转M型取样线角度方便准确的进行测量</w:t>
            </w:r>
            <w:r>
              <w:rPr>
                <w:rFonts w:hint="eastAsia" w:cs="宋体"/>
                <w:i w:val="0"/>
                <w:iCs w:val="0"/>
                <w:color w:val="auto"/>
                <w:sz w:val="20"/>
                <w:szCs w:val="20"/>
                <w:highlight w:val="none"/>
                <w:u w:val="none"/>
                <w:lang w:eastAsia="zh-CN"/>
              </w:rPr>
              <w:t>。</w:t>
            </w:r>
          </w:p>
          <w:p w14:paraId="0C5C0DB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脉冲反向谐波成像单元</w:t>
            </w:r>
            <w:r>
              <w:rPr>
                <w:rFonts w:hint="eastAsia" w:cs="宋体"/>
                <w:i w:val="0"/>
                <w:iCs w:val="0"/>
                <w:color w:val="auto"/>
                <w:sz w:val="20"/>
                <w:szCs w:val="20"/>
                <w:highlight w:val="none"/>
                <w:u w:val="none"/>
                <w:lang w:eastAsia="zh-CN"/>
              </w:rPr>
              <w:t>。</w:t>
            </w:r>
          </w:p>
          <w:p w14:paraId="55F09D67">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彩色多普勒成像技术</w:t>
            </w:r>
            <w:r>
              <w:rPr>
                <w:rFonts w:hint="eastAsia" w:cs="宋体"/>
                <w:i w:val="0"/>
                <w:iCs w:val="0"/>
                <w:color w:val="auto"/>
                <w:sz w:val="20"/>
                <w:szCs w:val="20"/>
                <w:highlight w:val="none"/>
                <w:u w:val="none"/>
                <w:lang w:eastAsia="zh-CN"/>
              </w:rPr>
              <w:t>。</w:t>
            </w:r>
          </w:p>
          <w:p w14:paraId="48E9BE86">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自适应宽频带彩色多普勒成像技术</w:t>
            </w:r>
            <w:r>
              <w:rPr>
                <w:rFonts w:hint="eastAsia" w:cs="宋体"/>
                <w:i w:val="0"/>
                <w:iCs w:val="0"/>
                <w:color w:val="auto"/>
                <w:sz w:val="20"/>
                <w:szCs w:val="20"/>
                <w:highlight w:val="none"/>
                <w:u w:val="none"/>
                <w:lang w:eastAsia="zh-CN"/>
              </w:rPr>
              <w:t>。</w:t>
            </w:r>
          </w:p>
          <w:p w14:paraId="1AD3AD8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彩色多普勒能量图技术</w:t>
            </w:r>
            <w:r>
              <w:rPr>
                <w:rFonts w:hint="eastAsia" w:cs="宋体"/>
                <w:i w:val="0"/>
                <w:iCs w:val="0"/>
                <w:color w:val="auto"/>
                <w:sz w:val="20"/>
                <w:szCs w:val="20"/>
                <w:highlight w:val="none"/>
                <w:u w:val="none"/>
                <w:lang w:eastAsia="zh-CN"/>
              </w:rPr>
              <w:t>。</w:t>
            </w:r>
          </w:p>
          <w:p w14:paraId="09C3FA64">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方向性能量图技术</w:t>
            </w:r>
            <w:r>
              <w:rPr>
                <w:rFonts w:hint="eastAsia" w:cs="宋体"/>
                <w:i w:val="0"/>
                <w:iCs w:val="0"/>
                <w:color w:val="auto"/>
                <w:sz w:val="20"/>
                <w:szCs w:val="20"/>
                <w:highlight w:val="none"/>
                <w:u w:val="none"/>
                <w:lang w:eastAsia="zh-CN"/>
              </w:rPr>
              <w:t>。</w:t>
            </w:r>
          </w:p>
          <w:p w14:paraId="417394F6">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数字化频谱多普勒显示和分析单元 (包括 PW 、CW和 HPRF)</w:t>
            </w:r>
            <w:r>
              <w:rPr>
                <w:rFonts w:hint="eastAsia" w:cs="宋体"/>
                <w:i w:val="0"/>
                <w:iCs w:val="0"/>
                <w:color w:val="auto"/>
                <w:sz w:val="20"/>
                <w:szCs w:val="20"/>
                <w:highlight w:val="none"/>
                <w:u w:val="none"/>
                <w:lang w:eastAsia="zh-CN"/>
              </w:rPr>
              <w:t>。</w:t>
            </w:r>
          </w:p>
          <w:p w14:paraId="0F6838E4">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动态范围≥300dB</w:t>
            </w:r>
          </w:p>
          <w:p w14:paraId="45A6D5F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智能全程聚焦技术</w:t>
            </w:r>
            <w:r>
              <w:rPr>
                <w:rFonts w:hint="eastAsia" w:cs="宋体"/>
                <w:i w:val="0"/>
                <w:iCs w:val="0"/>
                <w:color w:val="auto"/>
                <w:sz w:val="20"/>
                <w:szCs w:val="20"/>
                <w:highlight w:val="none"/>
                <w:u w:val="none"/>
                <w:lang w:eastAsia="zh-CN"/>
              </w:rPr>
              <w:t>。</w:t>
            </w:r>
          </w:p>
          <w:p w14:paraId="7F0A6F4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智能化一键图像优化技术；可自适应调整图像的增益等参数获取最佳图像</w:t>
            </w:r>
            <w:r>
              <w:rPr>
                <w:rFonts w:hint="eastAsia" w:cs="宋体"/>
                <w:i w:val="0"/>
                <w:iCs w:val="0"/>
                <w:color w:val="auto"/>
                <w:sz w:val="20"/>
                <w:szCs w:val="20"/>
                <w:highlight w:val="none"/>
                <w:u w:val="none"/>
                <w:lang w:eastAsia="zh-CN"/>
              </w:rPr>
              <w:t>。</w:t>
            </w:r>
          </w:p>
          <w:p w14:paraId="3D7A1B0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空间复合成像技术。</w:t>
            </w:r>
          </w:p>
          <w:p w14:paraId="3A5ADB5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自适应核磁像素优化技术。</w:t>
            </w:r>
          </w:p>
          <w:p w14:paraId="6CAFC2F4">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具有微细血流成像技术，可捕捉超微细血流及超低速血流信号，支持凸阵、线阵探头，可用于腹部、浅表、肌骨、儿科、血管等多种应用，具有单独模式、增强模式及2D对比模式，具有8种map图可选，并可进行血流速度测量，已存储的图像亦可使用增强模式进行观察。（附图证明）</w:t>
            </w:r>
            <w:r>
              <w:rPr>
                <w:rFonts w:hint="eastAsia" w:cs="宋体"/>
                <w:i w:val="0"/>
                <w:iCs w:val="0"/>
                <w:color w:val="auto"/>
                <w:sz w:val="20"/>
                <w:szCs w:val="20"/>
                <w:highlight w:val="none"/>
                <w:u w:val="none"/>
                <w:lang w:eastAsia="zh-CN"/>
              </w:rPr>
              <w:t>。</w:t>
            </w:r>
          </w:p>
          <w:p w14:paraId="5ADF4C90">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实时二同步 /三同步能力</w:t>
            </w:r>
            <w:r>
              <w:rPr>
                <w:rFonts w:hint="eastAsia" w:cs="宋体"/>
                <w:i w:val="0"/>
                <w:iCs w:val="0"/>
                <w:color w:val="auto"/>
                <w:sz w:val="20"/>
                <w:szCs w:val="20"/>
                <w:highlight w:val="none"/>
                <w:u w:val="none"/>
                <w:lang w:eastAsia="zh-CN"/>
              </w:rPr>
              <w:t>。</w:t>
            </w:r>
          </w:p>
          <w:p w14:paraId="3AB8B28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内置 DICOM3.0标准输出接口，中文操作界面</w:t>
            </w:r>
            <w:r>
              <w:rPr>
                <w:rFonts w:hint="eastAsia" w:cs="宋体"/>
                <w:i w:val="0"/>
                <w:iCs w:val="0"/>
                <w:color w:val="auto"/>
                <w:sz w:val="20"/>
                <w:szCs w:val="20"/>
                <w:highlight w:val="none"/>
                <w:u w:val="none"/>
                <w:lang w:eastAsia="zh-CN"/>
              </w:rPr>
              <w:t>。</w:t>
            </w:r>
          </w:p>
          <w:p w14:paraId="513468E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内有一体化超声工作站</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 xml:space="preserve">                      </w:t>
            </w:r>
          </w:p>
          <w:p w14:paraId="78DCB8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2、成像技术：</w:t>
            </w:r>
          </w:p>
          <w:p w14:paraId="75EA73C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造影剂二次谐波成像单元,包含低MI实时灌注成像和高MI造影成像，采用脉冲反相谐波技术、能量调制技术以及多脉冲序列谐波造影技术。可与复合成像技术、核磁像素优化技术结合使用，具有实时双幅造影对比成像模式，并可进行双幅同步测量</w:t>
            </w:r>
            <w:r>
              <w:rPr>
                <w:rFonts w:hint="eastAsia" w:cs="宋体"/>
                <w:i w:val="0"/>
                <w:iCs w:val="0"/>
                <w:color w:val="auto"/>
                <w:sz w:val="20"/>
                <w:szCs w:val="20"/>
                <w:highlight w:val="none"/>
                <w:u w:val="none"/>
                <w:lang w:eastAsia="zh-CN"/>
              </w:rPr>
              <w:t>。</w:t>
            </w:r>
          </w:p>
          <w:p w14:paraId="52DAFD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000000"/>
                <w:sz w:val="20"/>
                <w:szCs w:val="20"/>
                <w:u w:val="none"/>
              </w:rPr>
              <w:t>▲</w:t>
            </w: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具有相交互两个平面同屏同时相实时显示造影成像技术</w:t>
            </w:r>
            <w:r>
              <w:rPr>
                <w:rFonts w:hint="eastAsia" w:cs="宋体"/>
                <w:i w:val="0"/>
                <w:iCs w:val="0"/>
                <w:color w:val="auto"/>
                <w:sz w:val="20"/>
                <w:szCs w:val="20"/>
                <w:highlight w:val="none"/>
                <w:u w:val="none"/>
                <w:lang w:eastAsia="zh-CN"/>
              </w:rPr>
              <w:t>。</w:t>
            </w:r>
          </w:p>
          <w:p w14:paraId="436BFB79">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具备造影定量分析组织运动追踪技术，实时追踪被定量组织，消除因患者呼吸、运动等产生的组织位移，使超声造影定量分析更加准确</w:t>
            </w:r>
            <w:r>
              <w:rPr>
                <w:rFonts w:hint="eastAsia" w:cs="宋体"/>
                <w:i w:val="0"/>
                <w:iCs w:val="0"/>
                <w:color w:val="auto"/>
                <w:sz w:val="20"/>
                <w:szCs w:val="20"/>
                <w:highlight w:val="none"/>
                <w:u w:val="none"/>
                <w:lang w:eastAsia="zh-CN"/>
              </w:rPr>
              <w:t>。</w:t>
            </w:r>
          </w:p>
          <w:p w14:paraId="199F92B0">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结合造影及微细血流成像两项技术，在造影延迟相显示组织及肿瘤的血供，帮助准确、高效的分辨肿瘤的良恶性</w:t>
            </w:r>
            <w:r>
              <w:rPr>
                <w:rFonts w:hint="eastAsia" w:cs="宋体"/>
                <w:i w:val="0"/>
                <w:iCs w:val="0"/>
                <w:color w:val="auto"/>
                <w:sz w:val="20"/>
                <w:szCs w:val="20"/>
                <w:highlight w:val="none"/>
                <w:u w:val="none"/>
                <w:lang w:eastAsia="zh-CN"/>
              </w:rPr>
              <w:t>。</w:t>
            </w:r>
          </w:p>
          <w:p w14:paraId="1C3894E0">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在机及离机造影时间强度曲线定量分析</w:t>
            </w:r>
            <w:r>
              <w:rPr>
                <w:rFonts w:hint="eastAsia" w:cs="宋体"/>
                <w:i w:val="0"/>
                <w:iCs w:val="0"/>
                <w:color w:val="auto"/>
                <w:sz w:val="20"/>
                <w:szCs w:val="20"/>
                <w:highlight w:val="none"/>
                <w:u w:val="none"/>
                <w:lang w:eastAsia="zh-CN"/>
              </w:rPr>
              <w:t>。</w:t>
            </w:r>
          </w:p>
          <w:p w14:paraId="64522C1C">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造影技术支持凸阵，线阵，腔内探头，腔内容积探头，相控阵,矩阵探头，可满足临床对腹部、妇产、浅表、乳腺、血管、心室腔、腔内的前列腺、经阴道妇科，经阴道子宫输卵管超声造影评估输卵管通畅性以及三维成像的需求</w:t>
            </w:r>
            <w:r>
              <w:rPr>
                <w:rFonts w:hint="eastAsia" w:cs="宋体"/>
                <w:i w:val="0"/>
                <w:iCs w:val="0"/>
                <w:color w:val="auto"/>
                <w:sz w:val="20"/>
                <w:szCs w:val="20"/>
                <w:highlight w:val="none"/>
                <w:u w:val="none"/>
                <w:lang w:eastAsia="zh-CN"/>
              </w:rPr>
              <w:t>。</w:t>
            </w:r>
          </w:p>
          <w:p w14:paraId="53915DF5">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3D/4D成像功能</w:t>
            </w:r>
            <w:r>
              <w:rPr>
                <w:rFonts w:hint="eastAsia" w:cs="宋体"/>
                <w:i w:val="0"/>
                <w:iCs w:val="0"/>
                <w:color w:val="auto"/>
                <w:sz w:val="20"/>
                <w:szCs w:val="20"/>
                <w:highlight w:val="none"/>
                <w:u w:val="none"/>
                <w:lang w:eastAsia="zh-CN"/>
              </w:rPr>
              <w:t>。</w:t>
            </w:r>
          </w:p>
          <w:p w14:paraId="5912AB1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真实渲染成像功能：通过全新的容积处理方式，增强容积图像的细节显示，提高图像真实感，加强临床诊断信心。智能可变光源系统通过虚拟光源位置的改变可得到常规容积成像难以获得的多方位容积增强显示。</w:t>
            </w:r>
          </w:p>
          <w:p w14:paraId="4A3CAF31">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全触屏手势操控三维成像后处理：通过在全触摸屏上进行手势操作，可对容积图像进行X/Y/Z轴向旋转及放大/缩小调整，并通过手势操作，使得光源可沿X/Y/Z轴三个方向进行调节，有助于组织内部的结构观察。（附图证明）</w:t>
            </w:r>
          </w:p>
          <w:p w14:paraId="7EA04184">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容积轮廓剪影显示模式： 突出显示容积图像内结构的轮廓。通过调节阈值，可以选择只显示容积图像表面成像或既显示表面又显示容积数据内部组织，如液性区形态、骨骼分布和形态。对于诊断多胎妊娠、骨骼畸形、内脏反位等畸形，可以帮助直观快捷的诊断。并可配合使用光源移动，光源可沿X/Y/Z轴三个方位进行调节，帮助医生对所感兴趣区域进行着重的观察。</w:t>
            </w:r>
          </w:p>
          <w:p w14:paraId="185D570E">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胎儿自动识别容积成像：通过大数据建立胎儿组织结构的骨性结构标志库，基于机器深度学习功能，自动识别感兴趣区域内骨性标志，通过人工智能（AI），一键快速获取胎儿容积数据，例如一键化去除胎儿颜面部遮挡，自动识别胎儿颜面部骨骼标志从而获得清晰胎儿颜面部容积图像。帮助使用者能够快速获得胎儿容积图像，提高工作效率。</w:t>
            </w:r>
          </w:p>
          <w:p w14:paraId="2F77E6B9">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容积深度渲染：基于深度信息的创新性显示方法，用不同颜色渲染深部组织信息提高3D图像Z轴（深度）方向渲染效果，呈现更多的立体结构信息，凸显需要观察的解剖部位，帮助临床医生获得更多的诊断信息。≥25种色调可调节，满足不同用户需求。</w:t>
            </w:r>
          </w:p>
          <w:p w14:paraId="591E59FE">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容积探头扫查角度自动偏转技术：扫查过程中，无需转动探头，扫查角度可自动偏转，可调档位≥5档，并同时支持多种显示模式（2D、Color、Pw、M-mode）</w:t>
            </w:r>
            <w:r>
              <w:rPr>
                <w:rFonts w:hint="eastAsia" w:cs="宋体"/>
                <w:i w:val="0"/>
                <w:iCs w:val="0"/>
                <w:color w:val="auto"/>
                <w:sz w:val="20"/>
                <w:szCs w:val="20"/>
                <w:highlight w:val="none"/>
                <w:u w:val="none"/>
                <w:lang w:eastAsia="zh-CN"/>
              </w:rPr>
              <w:t>。</w:t>
            </w:r>
          </w:p>
          <w:p w14:paraId="0B2DC4C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自动产科测量：通过人工智能解剖，单键选择产科常规的自动测量（双顶径、枕额径、头围、腹围和股骨长度）</w:t>
            </w:r>
            <w:r>
              <w:rPr>
                <w:rFonts w:hint="eastAsia" w:cs="宋体"/>
                <w:i w:val="0"/>
                <w:iCs w:val="0"/>
                <w:color w:val="auto"/>
                <w:sz w:val="20"/>
                <w:szCs w:val="20"/>
                <w:highlight w:val="none"/>
                <w:u w:val="none"/>
                <w:lang w:eastAsia="zh-CN"/>
              </w:rPr>
              <w:t>。</w:t>
            </w:r>
          </w:p>
          <w:p w14:paraId="16AE8D4A">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智能容积断层成像，可在X,Y,Z轴具有多层断层显示方式并可进行同屏显示</w:t>
            </w:r>
            <w:r>
              <w:rPr>
                <w:rFonts w:hint="eastAsia" w:cs="宋体"/>
                <w:i w:val="0"/>
                <w:iCs w:val="0"/>
                <w:color w:val="auto"/>
                <w:sz w:val="20"/>
                <w:szCs w:val="20"/>
                <w:highlight w:val="none"/>
                <w:u w:val="none"/>
                <w:lang w:eastAsia="zh-CN"/>
              </w:rPr>
              <w:t>。</w:t>
            </w:r>
          </w:p>
          <w:p w14:paraId="434C5A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1）单次可切割≥30幅图像。</w:t>
            </w:r>
          </w:p>
          <w:p w14:paraId="08741C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2）同屏最少可显示25幅图像（参考切面除外，请附图说明）</w:t>
            </w:r>
            <w:r>
              <w:rPr>
                <w:rFonts w:hint="eastAsia" w:cs="宋体"/>
                <w:i w:val="0"/>
                <w:iCs w:val="0"/>
                <w:color w:val="auto"/>
                <w:sz w:val="20"/>
                <w:szCs w:val="20"/>
                <w:highlight w:val="none"/>
                <w:u w:val="none"/>
                <w:lang w:eastAsia="zh-CN"/>
              </w:rPr>
              <w:t>。</w:t>
            </w:r>
          </w:p>
          <w:p w14:paraId="5FBE55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3）可进行多种显示格式排列，包括3*3、4*4、5*5。</w:t>
            </w:r>
          </w:p>
          <w:p w14:paraId="4FE383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4）可调节不同断层切割层厚，最小切割层厚≤0.1mm （附图说明各层面间距为0.1mm）</w:t>
            </w:r>
          </w:p>
          <w:p w14:paraId="37D976A0">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曲面容积断层成像，对于有弧度的脏器，可按照其走形弧度节段一一垂直切割，从而避免因直接切割弧形脏器造成的切面信息不完整。</w:t>
            </w:r>
          </w:p>
          <w:p w14:paraId="3895400B">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空间定位成像:可将容积数据内的三个相互垂直的平面在一幅图像上进行关联显示，从而更直观显示出X/Y/Z轴三个切面的空间关系，有助于医生对空间位置有更好的理解。</w:t>
            </w:r>
          </w:p>
          <w:p w14:paraId="28420E04">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自动体积定量技术:对获取的容积数据进行体积的计算。包括三种计算方式：</w:t>
            </w:r>
          </w:p>
          <w:p w14:paraId="1857E2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1）手动方式：通过测量三个径线得到体积。</w:t>
            </w:r>
          </w:p>
          <w:p w14:paraId="40A9DA6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2）半自动：将容积数据分解成若干平面，通过对每个平面进行边界的勾画后得到总的体积。</w:t>
            </w:r>
          </w:p>
          <w:p w14:paraId="4F75DA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3）全自动：对于囊性结构，系统自动确定其边界，并计算出其体积。</w:t>
            </w:r>
          </w:p>
          <w:p w14:paraId="126C5252">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触摸屏三维成像全触控技术：触摸屏可手势操作三维立体图像，替代按钮功能，包含图像的旋转，光源位置移动，容积数据A\B\C平面选择及取样框位置、大小调整，取样曲线位置调节，“十”字定位点位置移动。</w:t>
            </w:r>
          </w:p>
          <w:p w14:paraId="078DF41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弹性成像技术</w:t>
            </w:r>
          </w:p>
          <w:p w14:paraId="0BBE8F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1）实时软组织弹性成像技术，无需人工加压，具有灰阶，反转及彩色多普勒多种显像方式</w:t>
            </w:r>
            <w:r>
              <w:rPr>
                <w:rFonts w:hint="eastAsia" w:cs="宋体"/>
                <w:i w:val="0"/>
                <w:iCs w:val="0"/>
                <w:color w:val="auto"/>
                <w:sz w:val="20"/>
                <w:szCs w:val="20"/>
                <w:highlight w:val="none"/>
                <w:u w:val="none"/>
                <w:lang w:eastAsia="zh-CN"/>
              </w:rPr>
              <w:t>。</w:t>
            </w:r>
          </w:p>
          <w:p w14:paraId="38EE20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2）具备AI鉴别诊断技术</w:t>
            </w:r>
            <w:r>
              <w:rPr>
                <w:rFonts w:hint="eastAsia"/>
                <w:color w:val="auto"/>
                <w:highlight w:val="none"/>
                <w:lang w:eastAsia="zh-CN"/>
              </w:rPr>
              <w:t>；</w:t>
            </w:r>
            <w:r>
              <w:rPr>
                <w:rFonts w:hint="eastAsia" w:ascii="宋体" w:hAnsi="宋体" w:eastAsia="宋体"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lang w:val="en-US" w:eastAsia="zh-CN"/>
              </w:rPr>
              <w:t>需提供满足技术要求的系统功能截图</w:t>
            </w:r>
            <w:r>
              <w:rPr>
                <w:rFonts w:hint="eastAsia" w:ascii="宋体" w:hAnsi="宋体" w:eastAsia="宋体" w:cs="宋体"/>
                <w:i w:val="0"/>
                <w:iCs w:val="0"/>
                <w:color w:val="auto"/>
                <w:sz w:val="20"/>
                <w:szCs w:val="20"/>
                <w:highlight w:val="none"/>
                <w:u w:val="none"/>
                <w:lang w:eastAsia="zh-CN"/>
              </w:rPr>
              <w:t>）</w:t>
            </w:r>
          </w:p>
          <w:p w14:paraId="78B18F7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3）具备浅表、腹部及腔内弹性成像</w:t>
            </w:r>
          </w:p>
          <w:p w14:paraId="20CAA1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4）主机内置一体化实时弹性定量分析技术，可对弹性图像进行直径面积对比分析、动态弹性应变分析、动态弹性参数成像。</w:t>
            </w:r>
          </w:p>
          <w:p w14:paraId="720B8E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5）支持高频线阵探头为纯净波材质，具备≥1920阵元；</w:t>
            </w:r>
            <w:r>
              <w:rPr>
                <w:rFonts w:hint="eastAsia" w:ascii="宋体" w:hAnsi="宋体" w:eastAsia="宋体" w:cs="宋体"/>
                <w:b/>
                <w:bCs/>
                <w:i w:val="0"/>
                <w:iCs w:val="0"/>
                <w:color w:val="auto"/>
                <w:sz w:val="20"/>
                <w:szCs w:val="20"/>
                <w:highlight w:val="none"/>
                <w:u w:val="none"/>
              </w:rPr>
              <w:t>（相关证明材料包含但不限于提供响应产品彩页或检验检测报告或功能截图或证书或厂家使用说明书或技术白皮书等证明材料，未提供或不符合要求的，视为不响应技术参数。）</w:t>
            </w:r>
          </w:p>
          <w:p w14:paraId="34D5A1D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盆底解决方案，可以对盆底超声检查中的前盆腔和肛提肌厚度及盆底裂孔面积进行测量与评估。</w:t>
            </w:r>
          </w:p>
          <w:p w14:paraId="1A7DCA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1）腹部容积探头和腔内容积探头均支持盆底二维及三维成像功能，容积探头具备断层成像功能，要求最薄切面0.01mm，最多可切30幅图。（提供附图证明）</w:t>
            </w:r>
          </w:p>
          <w:p w14:paraId="34EE38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2）盆底细节显示，可配合线阵高频探头扫查。</w:t>
            </w:r>
          </w:p>
          <w:p w14:paraId="66C7B5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3）支持盆底距离、角度、体积等测量。</w:t>
            </w:r>
          </w:p>
          <w:p w14:paraId="2E971F2A">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全屏高清显示，放大后图像显示区域尺寸≥23，分辨率≥1080p，放大后整个显示器屏幕内仅显示有效图像信息，而无其他菜单界面显示，显示比例16：9。（附显示器全屏显示图）</w:t>
            </w:r>
          </w:p>
          <w:p w14:paraId="6491D080">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多影像实时对比联合诊断技术：主机可直接获取和浏览CT/NM/MR，乳房X线/超声的DICOM图像，同屏对比既往和目前的超声图像，回顾实时的、存储的、输出的图像进行对比诊断。</w:t>
            </w:r>
          </w:p>
          <w:p w14:paraId="70481785">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扩展成像技术：凸阵、微凸阵、线阵探头均具有此功能，且空间复合成像技术及斑点噪声抑制技术支持其扩展区域。</w:t>
            </w:r>
          </w:p>
          <w:p w14:paraId="7193C405">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具备智能多普勒血管检查技术</w:t>
            </w:r>
          </w:p>
          <w:p w14:paraId="0CC611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1)单键优化二维、多普勒图像质量</w:t>
            </w:r>
            <w:r>
              <w:rPr>
                <w:rFonts w:hint="eastAsia" w:cs="宋体"/>
                <w:i w:val="0"/>
                <w:iCs w:val="0"/>
                <w:color w:val="auto"/>
                <w:sz w:val="20"/>
                <w:szCs w:val="20"/>
                <w:highlight w:val="none"/>
                <w:u w:val="none"/>
                <w:lang w:eastAsia="zh-CN"/>
              </w:rPr>
              <w:t>。</w:t>
            </w:r>
          </w:p>
          <w:p w14:paraId="32F82F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2)单键自动调整取样框角度、位置、取样门位置、角度等</w:t>
            </w:r>
            <w:r>
              <w:rPr>
                <w:rFonts w:hint="eastAsia" w:cs="宋体"/>
                <w:i w:val="0"/>
                <w:iCs w:val="0"/>
                <w:color w:val="auto"/>
                <w:sz w:val="20"/>
                <w:szCs w:val="20"/>
                <w:highlight w:val="none"/>
                <w:u w:val="none"/>
                <w:lang w:eastAsia="zh-CN"/>
              </w:rPr>
              <w:t>。</w:t>
            </w:r>
          </w:p>
          <w:p w14:paraId="1DC28F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3)具备血流自动追踪技术，可跟随探头的移动实时追踪血管位置，自动调整彩色图像（包括取样框角度、位置等），自动优化频谱测量以保证测量值的准确性</w:t>
            </w:r>
            <w:r>
              <w:rPr>
                <w:rFonts w:hint="eastAsia" w:cs="宋体"/>
                <w:i w:val="0"/>
                <w:iCs w:val="0"/>
                <w:color w:val="auto"/>
                <w:sz w:val="20"/>
                <w:szCs w:val="20"/>
                <w:highlight w:val="none"/>
                <w:u w:val="none"/>
                <w:lang w:eastAsia="zh-CN"/>
              </w:rPr>
              <w:t>。</w:t>
            </w:r>
          </w:p>
          <w:p w14:paraId="1C144088">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超声声速自动校正技术</w:t>
            </w:r>
          </w:p>
          <w:p w14:paraId="5ABEEB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1）针对晚孕期肥胖及困难病人</w:t>
            </w:r>
            <w:r>
              <w:rPr>
                <w:rFonts w:hint="eastAsia" w:cs="宋体"/>
                <w:i w:val="0"/>
                <w:iCs w:val="0"/>
                <w:color w:val="auto"/>
                <w:sz w:val="20"/>
                <w:szCs w:val="20"/>
                <w:highlight w:val="none"/>
                <w:u w:val="none"/>
                <w:lang w:eastAsia="zh-CN"/>
              </w:rPr>
              <w:t>。</w:t>
            </w:r>
          </w:p>
          <w:p w14:paraId="2A888C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2）可用于乳腺检查，并可调整级别</w:t>
            </w:r>
            <w:r>
              <w:rPr>
                <w:rFonts w:hint="eastAsia" w:cs="宋体"/>
                <w:i w:val="0"/>
                <w:iCs w:val="0"/>
                <w:color w:val="auto"/>
                <w:sz w:val="20"/>
                <w:szCs w:val="20"/>
                <w:highlight w:val="none"/>
                <w:u w:val="none"/>
                <w:lang w:eastAsia="zh-CN"/>
              </w:rPr>
              <w:t>。</w:t>
            </w:r>
          </w:p>
          <w:p w14:paraId="117F733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3）专门的预置条件</w:t>
            </w:r>
            <w:r>
              <w:rPr>
                <w:rFonts w:hint="eastAsia" w:cs="宋体"/>
                <w:i w:val="0"/>
                <w:iCs w:val="0"/>
                <w:color w:val="auto"/>
                <w:sz w:val="20"/>
                <w:szCs w:val="20"/>
                <w:highlight w:val="none"/>
                <w:u w:val="none"/>
                <w:lang w:eastAsia="zh-CN"/>
              </w:rPr>
              <w:t>。</w:t>
            </w:r>
          </w:p>
          <w:p w14:paraId="31677F0E">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超宽视野成像扫描技术</w:t>
            </w:r>
          </w:p>
          <w:p w14:paraId="5E4C87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1）测量功能,电影回放功能</w:t>
            </w:r>
            <w:r>
              <w:rPr>
                <w:rFonts w:hint="eastAsia" w:cs="宋体"/>
                <w:i w:val="0"/>
                <w:iCs w:val="0"/>
                <w:color w:val="auto"/>
                <w:sz w:val="20"/>
                <w:szCs w:val="20"/>
                <w:highlight w:val="none"/>
                <w:u w:val="none"/>
                <w:lang w:eastAsia="zh-CN"/>
              </w:rPr>
              <w:t>。</w:t>
            </w:r>
          </w:p>
          <w:p w14:paraId="513E230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2）线阵、凸阵及容积探头具备</w:t>
            </w:r>
            <w:r>
              <w:rPr>
                <w:rFonts w:hint="eastAsia" w:cs="宋体"/>
                <w:i w:val="0"/>
                <w:iCs w:val="0"/>
                <w:color w:val="auto"/>
                <w:sz w:val="20"/>
                <w:szCs w:val="20"/>
                <w:highlight w:val="none"/>
                <w:u w:val="none"/>
                <w:lang w:eastAsia="zh-CN"/>
              </w:rPr>
              <w:t>。</w:t>
            </w:r>
          </w:p>
          <w:p w14:paraId="050EC9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3）结合先进的成像技术如复合成像技术结合使用</w:t>
            </w:r>
            <w:r>
              <w:rPr>
                <w:rFonts w:hint="eastAsia" w:cs="宋体"/>
                <w:i w:val="0"/>
                <w:iCs w:val="0"/>
                <w:color w:val="auto"/>
                <w:sz w:val="20"/>
                <w:szCs w:val="20"/>
                <w:highlight w:val="none"/>
                <w:u w:val="none"/>
                <w:lang w:eastAsia="zh-CN"/>
              </w:rPr>
              <w:t>。</w:t>
            </w:r>
          </w:p>
          <w:p w14:paraId="5C256E4C">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测量和分析： ( B 型、M 型、D 型、彩色模式)</w:t>
            </w:r>
            <w:r>
              <w:rPr>
                <w:rFonts w:hint="eastAsia" w:cs="宋体"/>
                <w:i w:val="0"/>
                <w:iCs w:val="0"/>
                <w:color w:val="auto"/>
                <w:sz w:val="20"/>
                <w:szCs w:val="20"/>
                <w:highlight w:val="none"/>
                <w:u w:val="none"/>
                <w:lang w:eastAsia="zh-CN"/>
              </w:rPr>
              <w:t>。</w:t>
            </w:r>
          </w:p>
          <w:p w14:paraId="592A6A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28.1 一般测量：距离、面积、周长等</w:t>
            </w:r>
            <w:r>
              <w:rPr>
                <w:rFonts w:hint="eastAsia" w:cs="宋体"/>
                <w:i w:val="0"/>
                <w:iCs w:val="0"/>
                <w:color w:val="auto"/>
                <w:sz w:val="20"/>
                <w:szCs w:val="20"/>
                <w:highlight w:val="none"/>
                <w:u w:val="none"/>
                <w:lang w:eastAsia="zh-CN"/>
              </w:rPr>
              <w:t>。</w:t>
            </w:r>
          </w:p>
          <w:p w14:paraId="09303F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28.2 产科测量：包括全面的产科径线测量、NT测量、单/双胎儿孕龄及生长曲线、羊水指数、新生儿髋关节角度等</w:t>
            </w:r>
            <w:r>
              <w:rPr>
                <w:rFonts w:hint="eastAsia" w:cs="宋体"/>
                <w:i w:val="0"/>
                <w:iCs w:val="0"/>
                <w:color w:val="auto"/>
                <w:sz w:val="20"/>
                <w:szCs w:val="20"/>
                <w:highlight w:val="none"/>
                <w:u w:val="none"/>
                <w:lang w:eastAsia="zh-CN"/>
              </w:rPr>
              <w:t>。</w:t>
            </w:r>
          </w:p>
          <w:p w14:paraId="1A5D93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28.3 外周血管测量和计算功能</w:t>
            </w:r>
            <w:r>
              <w:rPr>
                <w:rFonts w:hint="eastAsia" w:cs="宋体"/>
                <w:i w:val="0"/>
                <w:iCs w:val="0"/>
                <w:color w:val="auto"/>
                <w:sz w:val="20"/>
                <w:szCs w:val="20"/>
                <w:highlight w:val="none"/>
                <w:u w:val="none"/>
                <w:lang w:eastAsia="zh-CN"/>
              </w:rPr>
              <w:t>。</w:t>
            </w:r>
          </w:p>
          <w:p w14:paraId="0DD67F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28.4 多普勒血流测量与分析 (含自动多普勒频谱包络计算)</w:t>
            </w:r>
            <w:r>
              <w:rPr>
                <w:rFonts w:hint="eastAsia" w:cs="宋体"/>
                <w:i w:val="0"/>
                <w:iCs w:val="0"/>
                <w:color w:val="auto"/>
                <w:sz w:val="20"/>
                <w:szCs w:val="20"/>
                <w:highlight w:val="none"/>
                <w:u w:val="none"/>
                <w:lang w:eastAsia="zh-CN"/>
              </w:rPr>
              <w:t>。</w:t>
            </w:r>
          </w:p>
          <w:p w14:paraId="53EF9F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28.5 心脏功能测量</w:t>
            </w:r>
            <w:r>
              <w:rPr>
                <w:rFonts w:hint="eastAsia" w:cs="宋体"/>
                <w:i w:val="0"/>
                <w:iCs w:val="0"/>
                <w:color w:val="auto"/>
                <w:sz w:val="20"/>
                <w:szCs w:val="20"/>
                <w:highlight w:val="none"/>
                <w:u w:val="none"/>
                <w:lang w:eastAsia="zh-CN"/>
              </w:rPr>
              <w:t>。</w:t>
            </w:r>
          </w:p>
          <w:p w14:paraId="59FBA4D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图像存储 (电影) 回放重显及病案管理单元</w:t>
            </w:r>
            <w:r>
              <w:rPr>
                <w:rFonts w:hint="eastAsia" w:cs="宋体"/>
                <w:i w:val="0"/>
                <w:iCs w:val="0"/>
                <w:color w:val="auto"/>
                <w:sz w:val="20"/>
                <w:szCs w:val="20"/>
                <w:highlight w:val="none"/>
                <w:u w:val="none"/>
                <w:lang w:eastAsia="zh-CN"/>
              </w:rPr>
              <w:t>。</w:t>
            </w:r>
          </w:p>
          <w:p w14:paraId="28E071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29.1 数字化捕捉、回放、存储静、动态图像，实时图像传输，实时 JPEG 解压缩，可进行参数编程调节</w:t>
            </w:r>
            <w:r>
              <w:rPr>
                <w:rFonts w:hint="eastAsia" w:cs="宋体"/>
                <w:i w:val="0"/>
                <w:iCs w:val="0"/>
                <w:color w:val="auto"/>
                <w:sz w:val="20"/>
                <w:szCs w:val="20"/>
                <w:highlight w:val="none"/>
                <w:u w:val="none"/>
                <w:lang w:eastAsia="zh-CN"/>
              </w:rPr>
              <w:t>。</w:t>
            </w:r>
          </w:p>
          <w:p w14:paraId="1FCDE7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29.2 硬盘≥1T（1024G），DVD／USB图像存储</w:t>
            </w:r>
            <w:r>
              <w:rPr>
                <w:rFonts w:hint="eastAsia" w:cs="宋体"/>
                <w:i w:val="0"/>
                <w:iCs w:val="0"/>
                <w:color w:val="auto"/>
                <w:sz w:val="20"/>
                <w:szCs w:val="20"/>
                <w:highlight w:val="none"/>
                <w:u w:val="none"/>
                <w:lang w:eastAsia="zh-CN"/>
              </w:rPr>
              <w:t>。</w:t>
            </w:r>
          </w:p>
          <w:p w14:paraId="6DFECE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29.3 具备主机硬盘图像数据存储</w:t>
            </w:r>
            <w:r>
              <w:rPr>
                <w:rFonts w:hint="eastAsia" w:cs="宋体"/>
                <w:i w:val="0"/>
                <w:iCs w:val="0"/>
                <w:color w:val="auto"/>
                <w:sz w:val="20"/>
                <w:szCs w:val="20"/>
                <w:highlight w:val="none"/>
                <w:u w:val="none"/>
                <w:lang w:eastAsia="zh-CN"/>
              </w:rPr>
              <w:t>。</w:t>
            </w:r>
          </w:p>
          <w:p w14:paraId="49160F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29.4 病案管理单元包括病人资料、报告、图像等的存储、修改、检索和打印等</w:t>
            </w:r>
            <w:r>
              <w:rPr>
                <w:rFonts w:hint="eastAsia" w:cs="宋体"/>
                <w:i w:val="0"/>
                <w:iCs w:val="0"/>
                <w:color w:val="auto"/>
                <w:sz w:val="20"/>
                <w:szCs w:val="20"/>
                <w:highlight w:val="none"/>
                <w:u w:val="none"/>
                <w:lang w:eastAsia="zh-CN"/>
              </w:rPr>
              <w:t>。</w:t>
            </w:r>
          </w:p>
          <w:p w14:paraId="6E1A70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29.5 可根据检查要求对工作站参数（存储、压缩、回放）进行编程调节</w:t>
            </w:r>
            <w:r>
              <w:rPr>
                <w:rFonts w:hint="eastAsia" w:cs="宋体"/>
                <w:i w:val="0"/>
                <w:iCs w:val="0"/>
                <w:color w:val="auto"/>
                <w:sz w:val="20"/>
                <w:szCs w:val="20"/>
                <w:highlight w:val="none"/>
                <w:u w:val="none"/>
                <w:lang w:eastAsia="zh-CN"/>
              </w:rPr>
              <w:t>。</w:t>
            </w:r>
          </w:p>
          <w:p w14:paraId="3B196D19">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输入/输出信号：</w:t>
            </w:r>
          </w:p>
          <w:p w14:paraId="1C4B90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30.1 输入：DICOM DATA</w:t>
            </w:r>
            <w:r>
              <w:rPr>
                <w:rFonts w:hint="eastAsia" w:cs="宋体"/>
                <w:i w:val="0"/>
                <w:iCs w:val="0"/>
                <w:color w:val="auto"/>
                <w:sz w:val="20"/>
                <w:szCs w:val="20"/>
                <w:highlight w:val="none"/>
                <w:u w:val="none"/>
                <w:lang w:eastAsia="zh-CN"/>
              </w:rPr>
              <w:t>。</w:t>
            </w:r>
          </w:p>
          <w:p w14:paraId="79482F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30.2 输出：S-视频、DP高清数字化输出</w:t>
            </w:r>
            <w:r>
              <w:rPr>
                <w:rFonts w:hint="eastAsia" w:cs="宋体"/>
                <w:i w:val="0"/>
                <w:iCs w:val="0"/>
                <w:color w:val="auto"/>
                <w:sz w:val="20"/>
                <w:szCs w:val="20"/>
                <w:highlight w:val="none"/>
                <w:u w:val="none"/>
                <w:lang w:eastAsia="zh-CN"/>
              </w:rPr>
              <w:t>。</w:t>
            </w:r>
          </w:p>
          <w:p w14:paraId="1270D633">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ind w:left="425" w:leftChars="0" w:hanging="425" w:firstLine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连通性：医学数字图像和通信 DICOM 3.0 版接口部件</w:t>
            </w:r>
            <w:r>
              <w:rPr>
                <w:rFonts w:hint="eastAsia" w:cs="宋体"/>
                <w:i w:val="0"/>
                <w:iCs w:val="0"/>
                <w:color w:val="auto"/>
                <w:sz w:val="20"/>
                <w:szCs w:val="20"/>
                <w:highlight w:val="none"/>
                <w:u w:val="none"/>
                <w:lang w:eastAsia="zh-CN"/>
              </w:rPr>
              <w:t>。</w:t>
            </w:r>
          </w:p>
          <w:p w14:paraId="5871F2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五、系统技术参数及要求：</w:t>
            </w:r>
          </w:p>
          <w:p w14:paraId="32F7AD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系统通用功能：</w:t>
            </w:r>
          </w:p>
          <w:p w14:paraId="6487E4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1.1 探头接口选择：≥ 4个，微型非针式，并激活可互换通用，接口需具备照明系统方便在暗室环境更换探头，容积探头可接任意探头接口。</w:t>
            </w:r>
          </w:p>
          <w:p w14:paraId="30EF70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 预设条件: 针对不同的检查脏器,预置最佳化图像的检查条件,减少操作时的调节,及常用所需的外部调节及组合调节</w:t>
            </w:r>
            <w:r>
              <w:rPr>
                <w:rFonts w:hint="eastAsia" w:cs="宋体"/>
                <w:i w:val="0"/>
                <w:iCs w:val="0"/>
                <w:color w:val="auto"/>
                <w:sz w:val="20"/>
                <w:szCs w:val="20"/>
                <w:highlight w:val="none"/>
                <w:u w:val="none"/>
                <w:lang w:eastAsia="zh-CN"/>
              </w:rPr>
              <w:t>。</w:t>
            </w:r>
          </w:p>
          <w:p w14:paraId="713454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1.3安全性能：符合国家相关安全质量要求</w:t>
            </w:r>
            <w:r>
              <w:rPr>
                <w:rFonts w:hint="eastAsia" w:cs="宋体"/>
                <w:i w:val="0"/>
                <w:iCs w:val="0"/>
                <w:color w:val="auto"/>
                <w:sz w:val="20"/>
                <w:szCs w:val="20"/>
                <w:highlight w:val="none"/>
                <w:u w:val="none"/>
                <w:lang w:eastAsia="zh-CN"/>
              </w:rPr>
              <w:t>。</w:t>
            </w:r>
          </w:p>
          <w:p w14:paraId="685358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探头规格</w:t>
            </w:r>
          </w:p>
          <w:p w14:paraId="21C03A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2.1 频率：超宽频带探头，最高频率≥22MHz,从1MHz到22Hz</w:t>
            </w:r>
            <w:r>
              <w:rPr>
                <w:rFonts w:hint="eastAsia" w:cs="宋体"/>
                <w:i w:val="0"/>
                <w:iCs w:val="0"/>
                <w:color w:val="auto"/>
                <w:sz w:val="20"/>
                <w:szCs w:val="20"/>
                <w:highlight w:val="none"/>
                <w:u w:val="none"/>
                <w:lang w:eastAsia="zh-CN"/>
              </w:rPr>
              <w:t>。</w:t>
            </w:r>
          </w:p>
          <w:p w14:paraId="7B0D01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2.2 二维、彩色、多普勒均可独立变频</w:t>
            </w:r>
            <w:r>
              <w:rPr>
                <w:rFonts w:hint="eastAsia" w:cs="宋体"/>
                <w:i w:val="0"/>
                <w:iCs w:val="0"/>
                <w:color w:val="auto"/>
                <w:sz w:val="20"/>
                <w:szCs w:val="20"/>
                <w:highlight w:val="none"/>
                <w:u w:val="none"/>
                <w:lang w:eastAsia="zh-CN"/>
              </w:rPr>
              <w:t>。</w:t>
            </w:r>
          </w:p>
          <w:p w14:paraId="4092871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2.3 具备纯净波单晶体宽频腹部容积探头</w:t>
            </w:r>
            <w:r>
              <w:rPr>
                <w:rFonts w:hint="eastAsia" w:cs="宋体"/>
                <w:i w:val="0"/>
                <w:iCs w:val="0"/>
                <w:color w:val="auto"/>
                <w:sz w:val="20"/>
                <w:szCs w:val="20"/>
                <w:highlight w:val="none"/>
                <w:u w:val="none"/>
                <w:lang w:eastAsia="zh-CN"/>
              </w:rPr>
              <w:t>。</w:t>
            </w:r>
          </w:p>
          <w:p w14:paraId="02C082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2.4 主机可支持单晶体探头≥11把，具有腹部、浅表、心脏、腔内全面单晶体探头支持</w:t>
            </w:r>
            <w:r>
              <w:rPr>
                <w:rFonts w:hint="eastAsia" w:cs="宋体"/>
                <w:i w:val="0"/>
                <w:iCs w:val="0"/>
                <w:color w:val="auto"/>
                <w:sz w:val="20"/>
                <w:szCs w:val="20"/>
                <w:highlight w:val="none"/>
                <w:u w:val="none"/>
                <w:lang w:eastAsia="zh-CN"/>
              </w:rPr>
              <w:t>。</w:t>
            </w:r>
          </w:p>
          <w:p w14:paraId="0C9F19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2.5 有效阵元数：</w:t>
            </w:r>
          </w:p>
          <w:p w14:paraId="5AE12A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2.5.1电子线阵探头有效阵元数≥256</w:t>
            </w:r>
            <w:r>
              <w:rPr>
                <w:rFonts w:hint="eastAsia" w:cs="宋体"/>
                <w:i w:val="0"/>
                <w:iCs w:val="0"/>
                <w:color w:val="auto"/>
                <w:sz w:val="20"/>
                <w:szCs w:val="20"/>
                <w:highlight w:val="none"/>
                <w:u w:val="none"/>
                <w:lang w:eastAsia="zh-CN"/>
              </w:rPr>
              <w:t>。</w:t>
            </w:r>
          </w:p>
          <w:p w14:paraId="75277E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2.5.2电子微凸腔内探头有效阵元数≥128</w:t>
            </w:r>
            <w:r>
              <w:rPr>
                <w:rFonts w:hint="eastAsia" w:cs="宋体"/>
                <w:i w:val="0"/>
                <w:iCs w:val="0"/>
                <w:color w:val="auto"/>
                <w:sz w:val="20"/>
                <w:szCs w:val="20"/>
                <w:highlight w:val="none"/>
                <w:u w:val="none"/>
                <w:lang w:eastAsia="zh-CN"/>
              </w:rPr>
              <w:t>。</w:t>
            </w:r>
          </w:p>
          <w:p w14:paraId="0DA9A3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2.5.3电子经腹容积探头有效阵元数≥192</w:t>
            </w:r>
            <w:r>
              <w:rPr>
                <w:rFonts w:hint="eastAsia" w:cs="宋体"/>
                <w:i w:val="0"/>
                <w:iCs w:val="0"/>
                <w:color w:val="auto"/>
                <w:sz w:val="20"/>
                <w:szCs w:val="20"/>
                <w:highlight w:val="none"/>
                <w:u w:val="none"/>
                <w:lang w:eastAsia="zh-CN"/>
              </w:rPr>
              <w:t>。</w:t>
            </w:r>
          </w:p>
          <w:p w14:paraId="317DFF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2.6探头配置</w:t>
            </w:r>
          </w:p>
          <w:p w14:paraId="15CC84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2.6.1 腹部凸阵探头1把</w:t>
            </w:r>
            <w:r>
              <w:rPr>
                <w:rFonts w:hint="eastAsia" w:cs="宋体"/>
                <w:i w:val="0"/>
                <w:iCs w:val="0"/>
                <w:color w:val="auto"/>
                <w:sz w:val="20"/>
                <w:szCs w:val="20"/>
                <w:highlight w:val="none"/>
                <w:u w:val="none"/>
                <w:lang w:eastAsia="zh-CN"/>
              </w:rPr>
              <w:t>。</w:t>
            </w:r>
          </w:p>
          <w:p w14:paraId="4F3990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2.6.2心脏相控阵探头1把</w:t>
            </w:r>
            <w:r>
              <w:rPr>
                <w:rFonts w:hint="eastAsia" w:cs="宋体"/>
                <w:i w:val="0"/>
                <w:iCs w:val="0"/>
                <w:color w:val="auto"/>
                <w:sz w:val="20"/>
                <w:szCs w:val="20"/>
                <w:highlight w:val="none"/>
                <w:u w:val="none"/>
                <w:lang w:eastAsia="zh-CN"/>
              </w:rPr>
              <w:t>。</w:t>
            </w:r>
          </w:p>
          <w:p w14:paraId="79561E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2.6.3单晶体腔内凸阵探头1把</w:t>
            </w:r>
            <w:r>
              <w:rPr>
                <w:rFonts w:hint="eastAsia" w:cs="宋体"/>
                <w:i w:val="0"/>
                <w:iCs w:val="0"/>
                <w:color w:val="auto"/>
                <w:sz w:val="20"/>
                <w:szCs w:val="20"/>
                <w:highlight w:val="none"/>
                <w:u w:val="none"/>
                <w:lang w:eastAsia="zh-CN"/>
              </w:rPr>
              <w:t>。</w:t>
            </w:r>
          </w:p>
          <w:p w14:paraId="5E8F6C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2.6.4单晶体腹部容积探头1把</w:t>
            </w:r>
            <w:r>
              <w:rPr>
                <w:rFonts w:hint="eastAsia" w:cs="宋体"/>
                <w:i w:val="0"/>
                <w:iCs w:val="0"/>
                <w:color w:val="auto"/>
                <w:sz w:val="20"/>
                <w:szCs w:val="20"/>
                <w:highlight w:val="none"/>
                <w:u w:val="none"/>
                <w:lang w:eastAsia="zh-CN"/>
              </w:rPr>
              <w:t>。</w:t>
            </w:r>
          </w:p>
          <w:p w14:paraId="18098D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2.6.5单晶体浅表器官探头2把</w:t>
            </w:r>
            <w:r>
              <w:rPr>
                <w:rFonts w:hint="eastAsia" w:cs="宋体"/>
                <w:i w:val="0"/>
                <w:iCs w:val="0"/>
                <w:color w:val="auto"/>
                <w:sz w:val="20"/>
                <w:szCs w:val="20"/>
                <w:highlight w:val="none"/>
                <w:u w:val="none"/>
                <w:lang w:eastAsia="zh-CN"/>
              </w:rPr>
              <w:t>。</w:t>
            </w:r>
          </w:p>
          <w:p w14:paraId="0B3871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2.7 B/D 兼用：电子线阵：B/PWD、电子凸阵：B/PWD、电子矩阵：B/PWD、</w:t>
            </w:r>
          </w:p>
          <w:p w14:paraId="2890F9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 xml:space="preserve">                电子相控阵：B/PWD、 B/CWD</w:t>
            </w:r>
            <w:r>
              <w:rPr>
                <w:rFonts w:hint="eastAsia" w:cs="宋体"/>
                <w:i w:val="0"/>
                <w:iCs w:val="0"/>
                <w:color w:val="auto"/>
                <w:sz w:val="20"/>
                <w:szCs w:val="20"/>
                <w:highlight w:val="none"/>
                <w:u w:val="none"/>
                <w:lang w:eastAsia="zh-CN"/>
              </w:rPr>
              <w:t>。</w:t>
            </w:r>
          </w:p>
          <w:p w14:paraId="520CAC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2.8 穿刺导向：探头可配穿刺导向装置</w:t>
            </w:r>
            <w:r>
              <w:rPr>
                <w:rFonts w:hint="eastAsia" w:cs="宋体"/>
                <w:i w:val="0"/>
                <w:iCs w:val="0"/>
                <w:color w:val="auto"/>
                <w:sz w:val="20"/>
                <w:szCs w:val="20"/>
                <w:highlight w:val="none"/>
                <w:u w:val="none"/>
                <w:lang w:eastAsia="zh-CN"/>
              </w:rPr>
              <w:t>。</w:t>
            </w:r>
          </w:p>
          <w:p w14:paraId="415BF64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二维显像主要参数：</w:t>
            </w:r>
          </w:p>
          <w:p w14:paraId="2AC0B6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3.1 成像速度：凸阵探头, 85°角,18CM深度时,帧速度≥51帧/秒</w:t>
            </w:r>
            <w:r>
              <w:rPr>
                <w:rFonts w:hint="eastAsia" w:cs="宋体"/>
                <w:i w:val="0"/>
                <w:iCs w:val="0"/>
                <w:color w:val="auto"/>
                <w:sz w:val="20"/>
                <w:szCs w:val="20"/>
                <w:highlight w:val="none"/>
                <w:u w:val="none"/>
                <w:lang w:eastAsia="zh-CN"/>
              </w:rPr>
              <w:t>。</w:t>
            </w:r>
          </w:p>
          <w:p w14:paraId="617AFB4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3.2 增益调节：TGC≥8 段，B/M 可独立调节，LGC≥8 段</w:t>
            </w:r>
            <w:r>
              <w:rPr>
                <w:rFonts w:hint="eastAsia" w:cs="宋体"/>
                <w:i w:val="0"/>
                <w:iCs w:val="0"/>
                <w:color w:val="auto"/>
                <w:sz w:val="20"/>
                <w:szCs w:val="20"/>
                <w:highlight w:val="none"/>
                <w:u w:val="none"/>
                <w:lang w:eastAsia="zh-CN"/>
              </w:rPr>
              <w:t>。</w:t>
            </w:r>
          </w:p>
          <w:p w14:paraId="138280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3.3 数字式声束形成器：数字式全程动态聚焦，数字式可变孔径及动态变迹，A/D≥12bit</w:t>
            </w:r>
            <w:r>
              <w:rPr>
                <w:rFonts w:hint="eastAsia" w:cs="宋体"/>
                <w:i w:val="0"/>
                <w:iCs w:val="0"/>
                <w:color w:val="auto"/>
                <w:sz w:val="20"/>
                <w:szCs w:val="20"/>
                <w:highlight w:val="none"/>
                <w:u w:val="none"/>
                <w:lang w:eastAsia="zh-CN"/>
              </w:rPr>
              <w:t>。</w:t>
            </w:r>
          </w:p>
          <w:p w14:paraId="7D02EC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3.4 高分辨率放大：放大时增加信息量，提高分辨率及帧率</w:t>
            </w:r>
            <w:r>
              <w:rPr>
                <w:rFonts w:hint="eastAsia" w:cs="宋体"/>
                <w:i w:val="0"/>
                <w:iCs w:val="0"/>
                <w:color w:val="auto"/>
                <w:sz w:val="20"/>
                <w:szCs w:val="20"/>
                <w:highlight w:val="none"/>
                <w:u w:val="none"/>
                <w:lang w:eastAsia="zh-CN"/>
              </w:rPr>
              <w:t>。</w:t>
            </w:r>
          </w:p>
          <w:p w14:paraId="7122B1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3.5 声束聚焦：发射及接收全程连续聚焦</w:t>
            </w:r>
            <w:r>
              <w:rPr>
                <w:rFonts w:hint="eastAsia" w:cs="宋体"/>
                <w:i w:val="0"/>
                <w:iCs w:val="0"/>
                <w:color w:val="auto"/>
                <w:sz w:val="20"/>
                <w:szCs w:val="20"/>
                <w:highlight w:val="none"/>
                <w:u w:val="none"/>
                <w:lang w:eastAsia="zh-CN"/>
              </w:rPr>
              <w:t>。</w:t>
            </w:r>
          </w:p>
          <w:p w14:paraId="512345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3.6 接收方式：独立接收和发射通道数, 多倍信号并行处理</w:t>
            </w:r>
            <w:r>
              <w:rPr>
                <w:rFonts w:hint="eastAsia" w:cs="宋体"/>
                <w:i w:val="0"/>
                <w:iCs w:val="0"/>
                <w:color w:val="auto"/>
                <w:sz w:val="20"/>
                <w:szCs w:val="20"/>
                <w:highlight w:val="none"/>
                <w:u w:val="none"/>
                <w:lang w:eastAsia="zh-CN"/>
              </w:rPr>
              <w:t>。</w:t>
            </w:r>
          </w:p>
          <w:p w14:paraId="2B4240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3.7 接收超声信号系统动态范围≥300 dB</w:t>
            </w:r>
            <w:r>
              <w:rPr>
                <w:rFonts w:hint="eastAsia" w:cs="宋体"/>
                <w:i w:val="0"/>
                <w:iCs w:val="0"/>
                <w:color w:val="auto"/>
                <w:sz w:val="20"/>
                <w:szCs w:val="20"/>
                <w:highlight w:val="none"/>
                <w:u w:val="none"/>
                <w:lang w:eastAsia="zh-CN"/>
              </w:rPr>
              <w:t>。</w:t>
            </w:r>
          </w:p>
          <w:p w14:paraId="33265C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3.8 二维灰阶成像  256 灰阶</w:t>
            </w:r>
            <w:r>
              <w:rPr>
                <w:rFonts w:hint="eastAsia" w:cs="宋体"/>
                <w:i w:val="0"/>
                <w:iCs w:val="0"/>
                <w:color w:val="auto"/>
                <w:sz w:val="20"/>
                <w:szCs w:val="20"/>
                <w:highlight w:val="none"/>
                <w:u w:val="none"/>
                <w:lang w:eastAsia="zh-CN"/>
              </w:rPr>
              <w:t>。</w:t>
            </w:r>
          </w:p>
          <w:p w14:paraId="75D5AE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频谱多普勒：</w:t>
            </w:r>
          </w:p>
          <w:p w14:paraId="797A6B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 显示模式：脉冲多普勒 (PWD)、高脉冲重复频率 (HPRF)、连续波多普勒（CW）</w:t>
            </w:r>
            <w:r>
              <w:rPr>
                <w:rFonts w:hint="eastAsia" w:cs="宋体"/>
                <w:i w:val="0"/>
                <w:iCs w:val="0"/>
                <w:color w:val="auto"/>
                <w:sz w:val="20"/>
                <w:szCs w:val="20"/>
                <w:highlight w:val="none"/>
                <w:u w:val="none"/>
                <w:lang w:eastAsia="zh-CN"/>
              </w:rPr>
              <w:t>。</w:t>
            </w:r>
          </w:p>
          <w:p w14:paraId="644F1D7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 发射频率: 电子凸阵:PWD:2.0-2.2MHz</w:t>
            </w:r>
            <w:r>
              <w:rPr>
                <w:rFonts w:hint="eastAsia" w:cs="宋体"/>
                <w:i w:val="0"/>
                <w:iCs w:val="0"/>
                <w:color w:val="auto"/>
                <w:sz w:val="20"/>
                <w:szCs w:val="20"/>
                <w:highlight w:val="none"/>
                <w:u w:val="none"/>
                <w:lang w:eastAsia="zh-CN"/>
              </w:rPr>
              <w:t>。</w:t>
            </w:r>
          </w:p>
          <w:p w14:paraId="158705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电子线阵:PWD:5.75-7.0MHz</w:t>
            </w:r>
            <w:r>
              <w:rPr>
                <w:rFonts w:hint="eastAsia" w:cs="宋体"/>
                <w:i w:val="0"/>
                <w:iCs w:val="0"/>
                <w:color w:val="auto"/>
                <w:sz w:val="20"/>
                <w:szCs w:val="20"/>
                <w:highlight w:val="none"/>
                <w:u w:val="none"/>
                <w:lang w:eastAsia="zh-CN"/>
              </w:rPr>
              <w:t>。</w:t>
            </w:r>
          </w:p>
          <w:p w14:paraId="350761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4.3 显示方式：B/D、M/D、D、B/CDV、B/CPA、B/CDV/PW；B/CPA/PW；B/CDV/CW；</w:t>
            </w:r>
          </w:p>
          <w:p w14:paraId="21667E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 最大测量速度：PWD正或反向血流速度：≥ 10.0 m/s（0度夹角）</w:t>
            </w:r>
            <w:r>
              <w:rPr>
                <w:rFonts w:hint="eastAsia" w:cs="宋体"/>
                <w:i w:val="0"/>
                <w:iCs w:val="0"/>
                <w:color w:val="auto"/>
                <w:sz w:val="20"/>
                <w:szCs w:val="20"/>
                <w:highlight w:val="none"/>
                <w:u w:val="none"/>
                <w:lang w:eastAsia="zh-CN"/>
              </w:rPr>
              <w:t>。</w:t>
            </w:r>
          </w:p>
          <w:p w14:paraId="09DAE4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4.5 最低测量速度：≤ 0.25mm/s (非噪音信号)</w:t>
            </w:r>
            <w:r>
              <w:rPr>
                <w:rFonts w:hint="eastAsia" w:cs="宋体"/>
                <w:i w:val="0"/>
                <w:iCs w:val="0"/>
                <w:color w:val="auto"/>
                <w:sz w:val="20"/>
                <w:szCs w:val="20"/>
                <w:highlight w:val="none"/>
                <w:u w:val="none"/>
                <w:lang w:eastAsia="zh-CN"/>
              </w:rPr>
              <w:t>。</w:t>
            </w:r>
          </w:p>
          <w:p w14:paraId="5F8CE9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4.6 Doppler及M型电影回放：48 秒</w:t>
            </w:r>
            <w:r>
              <w:rPr>
                <w:rFonts w:hint="eastAsia" w:cs="宋体"/>
                <w:i w:val="0"/>
                <w:iCs w:val="0"/>
                <w:color w:val="auto"/>
                <w:sz w:val="20"/>
                <w:szCs w:val="20"/>
                <w:highlight w:val="none"/>
                <w:u w:val="none"/>
                <w:lang w:eastAsia="zh-CN"/>
              </w:rPr>
              <w:t>。</w:t>
            </w:r>
          </w:p>
          <w:p w14:paraId="577A18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4.7 滤波器：高通滤波或低通滤波两种，分级选择</w:t>
            </w:r>
            <w:r>
              <w:rPr>
                <w:rFonts w:hint="eastAsia" w:cs="宋体"/>
                <w:i w:val="0"/>
                <w:iCs w:val="0"/>
                <w:color w:val="auto"/>
                <w:sz w:val="20"/>
                <w:szCs w:val="20"/>
                <w:highlight w:val="none"/>
                <w:u w:val="none"/>
                <w:lang w:eastAsia="zh-CN"/>
              </w:rPr>
              <w:t>。</w:t>
            </w:r>
          </w:p>
          <w:p w14:paraId="33E742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4.8 取样宽度及位置范围：宽度 0.5mm至20mm多级可调</w:t>
            </w:r>
            <w:r>
              <w:rPr>
                <w:rFonts w:hint="eastAsia" w:cs="宋体"/>
                <w:i w:val="0"/>
                <w:iCs w:val="0"/>
                <w:color w:val="auto"/>
                <w:sz w:val="20"/>
                <w:szCs w:val="20"/>
                <w:highlight w:val="none"/>
                <w:u w:val="none"/>
                <w:lang w:eastAsia="zh-CN"/>
              </w:rPr>
              <w:t>。</w:t>
            </w:r>
          </w:p>
          <w:p w14:paraId="34AD177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4.9 零位移动： 9 级</w:t>
            </w:r>
            <w:r>
              <w:rPr>
                <w:rFonts w:hint="eastAsia" w:cs="宋体"/>
                <w:i w:val="0"/>
                <w:iCs w:val="0"/>
                <w:color w:val="auto"/>
                <w:sz w:val="20"/>
                <w:szCs w:val="20"/>
                <w:highlight w:val="none"/>
                <w:u w:val="none"/>
                <w:lang w:eastAsia="zh-CN"/>
              </w:rPr>
              <w:t>。</w:t>
            </w:r>
          </w:p>
          <w:p w14:paraId="6A7E72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4.10显示控制：反转显示 (上/下)、零移位、B-刷新、D 扩展、B/D 扩展，局放及移位</w:t>
            </w:r>
            <w:r>
              <w:rPr>
                <w:rFonts w:hint="eastAsia" w:cs="宋体"/>
                <w:i w:val="0"/>
                <w:iCs w:val="0"/>
                <w:color w:val="auto"/>
                <w:sz w:val="20"/>
                <w:szCs w:val="20"/>
                <w:highlight w:val="none"/>
                <w:u w:val="none"/>
                <w:lang w:eastAsia="zh-CN"/>
              </w:rPr>
              <w:t>。</w:t>
            </w:r>
          </w:p>
          <w:p w14:paraId="7F7511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4.11 实时自动包络频谱并完成频谱测量计算</w:t>
            </w:r>
            <w:r>
              <w:rPr>
                <w:rFonts w:hint="eastAsia" w:cs="宋体"/>
                <w:i w:val="0"/>
                <w:iCs w:val="0"/>
                <w:color w:val="auto"/>
                <w:sz w:val="20"/>
                <w:szCs w:val="20"/>
                <w:highlight w:val="none"/>
                <w:u w:val="none"/>
                <w:lang w:eastAsia="zh-CN"/>
              </w:rPr>
              <w:t>。</w:t>
            </w:r>
          </w:p>
          <w:p w14:paraId="2AAF3F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彩色多普勒：</w:t>
            </w:r>
          </w:p>
          <w:p w14:paraId="0337E0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5.1 显示方式：速度图 (CDV)、能量图 (CPA)、方向性能量图（DCPA）</w:t>
            </w:r>
            <w:r>
              <w:rPr>
                <w:rFonts w:hint="eastAsia" w:cs="宋体"/>
                <w:i w:val="0"/>
                <w:iCs w:val="0"/>
                <w:color w:val="auto"/>
                <w:sz w:val="20"/>
                <w:szCs w:val="20"/>
                <w:highlight w:val="none"/>
                <w:u w:val="none"/>
                <w:lang w:eastAsia="zh-CN"/>
              </w:rPr>
              <w:t>。</w:t>
            </w:r>
          </w:p>
          <w:p w14:paraId="116B40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5.2 扫描速率：凸阵探头、最大角度，18cm深时，彩色显示帧频≥11帧/ S</w:t>
            </w:r>
            <w:r>
              <w:rPr>
                <w:rFonts w:hint="eastAsia" w:cs="宋体"/>
                <w:i w:val="0"/>
                <w:iCs w:val="0"/>
                <w:color w:val="auto"/>
                <w:sz w:val="20"/>
                <w:szCs w:val="20"/>
                <w:highlight w:val="none"/>
                <w:u w:val="none"/>
                <w:lang w:eastAsia="zh-CN"/>
              </w:rPr>
              <w:t>。</w:t>
            </w:r>
          </w:p>
          <w:p w14:paraId="001291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记录装置：</w:t>
            </w:r>
          </w:p>
          <w:p w14:paraId="2B438D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6.1 内置一体化超声工作站：数字化储存静态及动态图像，动态图像及静态图像以AVI、BMP或JPEG等PC通用格式直接储存</w:t>
            </w:r>
            <w:r>
              <w:rPr>
                <w:rFonts w:hint="eastAsia" w:cs="宋体"/>
                <w:i w:val="0"/>
                <w:iCs w:val="0"/>
                <w:color w:val="auto"/>
                <w:sz w:val="20"/>
                <w:szCs w:val="20"/>
                <w:highlight w:val="none"/>
                <w:u w:val="none"/>
                <w:lang w:eastAsia="zh-CN"/>
              </w:rPr>
              <w:t>。</w:t>
            </w:r>
          </w:p>
          <w:p w14:paraId="0D803F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6.2 主机硬盘容量≥1T（1024GB）</w:t>
            </w:r>
            <w:r>
              <w:rPr>
                <w:rFonts w:hint="eastAsia" w:cs="宋体"/>
                <w:i w:val="0"/>
                <w:iCs w:val="0"/>
                <w:color w:val="auto"/>
                <w:sz w:val="20"/>
                <w:szCs w:val="20"/>
                <w:highlight w:val="none"/>
                <w:u w:val="none"/>
                <w:lang w:eastAsia="zh-CN"/>
              </w:rPr>
              <w:t>。</w:t>
            </w:r>
          </w:p>
          <w:p w14:paraId="380F16D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6.3 DVD-RW 或USB图像存储</w:t>
            </w:r>
            <w:r>
              <w:rPr>
                <w:rFonts w:hint="eastAsia" w:cs="宋体"/>
                <w:i w:val="0"/>
                <w:iCs w:val="0"/>
                <w:color w:val="auto"/>
                <w:sz w:val="20"/>
                <w:szCs w:val="20"/>
                <w:highlight w:val="none"/>
                <w:u w:val="none"/>
                <w:lang w:eastAsia="zh-CN"/>
              </w:rPr>
              <w:t>。</w:t>
            </w:r>
          </w:p>
          <w:p w14:paraId="446D6A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6.4 USB接口≥5个，用于图像传输</w:t>
            </w:r>
            <w:r>
              <w:rPr>
                <w:rFonts w:hint="eastAsia" w:cs="宋体"/>
                <w:i w:val="0"/>
                <w:iCs w:val="0"/>
                <w:color w:val="auto"/>
                <w:sz w:val="20"/>
                <w:szCs w:val="20"/>
                <w:highlight w:val="none"/>
                <w:u w:val="none"/>
                <w:lang w:eastAsia="zh-CN"/>
              </w:rPr>
              <w:t>。</w:t>
            </w:r>
          </w:p>
          <w:p w14:paraId="3E89F5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7、其他配置（每套设备）：</w:t>
            </w:r>
          </w:p>
          <w:p w14:paraId="694A00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7.1医师椅、电动检查床</w:t>
            </w:r>
            <w:r>
              <w:rPr>
                <w:rFonts w:hint="eastAsia" w:cs="宋体"/>
                <w:i w:val="0"/>
                <w:iCs w:val="0"/>
                <w:color w:val="auto"/>
                <w:sz w:val="20"/>
                <w:szCs w:val="20"/>
                <w:highlight w:val="none"/>
                <w:u w:val="none"/>
                <w:lang w:eastAsia="zh-CN"/>
              </w:rPr>
              <w:t>。</w:t>
            </w:r>
          </w:p>
          <w:p w14:paraId="6328E2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7.1单独打报告高清工作站2台</w:t>
            </w:r>
            <w:r>
              <w:rPr>
                <w:rFonts w:hint="eastAsia" w:cs="宋体"/>
                <w:i w:val="0"/>
                <w:iCs w:val="0"/>
                <w:color w:val="auto"/>
                <w:sz w:val="20"/>
                <w:szCs w:val="20"/>
                <w:highlight w:val="none"/>
                <w:u w:val="none"/>
                <w:lang w:eastAsia="zh-CN"/>
              </w:rPr>
              <w:t>（</w:t>
            </w:r>
            <w:r>
              <w:rPr>
                <w:rFonts w:hint="eastAsia" w:cs="宋体"/>
                <w:i w:val="0"/>
                <w:iCs w:val="0"/>
                <w:color w:val="auto"/>
                <w:sz w:val="20"/>
                <w:szCs w:val="20"/>
                <w:highlight w:val="none"/>
                <w:u w:val="none"/>
                <w:lang w:val="en-US" w:eastAsia="zh-CN"/>
              </w:rPr>
              <w:t>CPU≥8核，硬盘4T，内存16G。</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w:t>
            </w:r>
          </w:p>
          <w:p w14:paraId="6DB870D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7.3稳压电源</w:t>
            </w:r>
            <w:r>
              <w:rPr>
                <w:rFonts w:hint="eastAsia" w:cs="宋体"/>
                <w:i w:val="0"/>
                <w:iCs w:val="0"/>
                <w:color w:val="auto"/>
                <w:sz w:val="20"/>
                <w:szCs w:val="20"/>
                <w:highlight w:val="none"/>
                <w:u w:val="none"/>
                <w:lang w:eastAsia="zh-CN"/>
              </w:rPr>
              <w:t>。</w:t>
            </w:r>
          </w:p>
          <w:p w14:paraId="65A0EA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7.4激光黑白打印机</w:t>
            </w:r>
            <w:r>
              <w:rPr>
                <w:rFonts w:hint="eastAsia" w:cs="宋体"/>
                <w:i w:val="0"/>
                <w:iCs w:val="0"/>
                <w:color w:val="auto"/>
                <w:sz w:val="20"/>
                <w:szCs w:val="20"/>
                <w:highlight w:val="none"/>
                <w:u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A9B0B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45F44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bidi="ar"/>
              </w:rPr>
              <w:t>2</w:t>
            </w:r>
          </w:p>
        </w:tc>
      </w:tr>
      <w:tr w14:paraId="19AE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11CBBE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15173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高端彩色多普勒超声诊断仪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6BB8F8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1.名称：高档彩色多普勒超声诊断仪</w:t>
            </w:r>
          </w:p>
          <w:p w14:paraId="51DF45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.数量：</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套</w:t>
            </w:r>
          </w:p>
          <w:p w14:paraId="7F1DA2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.用途说明：</w:t>
            </w:r>
          </w:p>
          <w:p w14:paraId="2226D56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.1高端全身应用型:腹部、产科、妇科、心脏、小器官、泌尿、血管、儿科、神经、急诊、麻醉、其它</w:t>
            </w:r>
            <w:r>
              <w:rPr>
                <w:rFonts w:hint="eastAsia" w:cs="宋体"/>
                <w:i w:val="0"/>
                <w:iCs w:val="0"/>
                <w:color w:val="auto"/>
                <w:sz w:val="20"/>
                <w:szCs w:val="20"/>
                <w:highlight w:val="none"/>
                <w:u w:val="none"/>
                <w:lang w:eastAsia="zh-CN"/>
              </w:rPr>
              <w:t>。</w:t>
            </w:r>
          </w:p>
          <w:p w14:paraId="3B8E5CD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4.系统技术规格及概述：</w:t>
            </w:r>
          </w:p>
          <w:p w14:paraId="28E953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4.1全数字化彩色多普勒超声诊断系统主机</w:t>
            </w:r>
            <w:r>
              <w:rPr>
                <w:rFonts w:hint="eastAsia" w:cs="宋体"/>
                <w:i w:val="0"/>
                <w:iCs w:val="0"/>
                <w:color w:val="auto"/>
                <w:sz w:val="20"/>
                <w:szCs w:val="20"/>
                <w:highlight w:val="none"/>
                <w:u w:val="none"/>
                <w:lang w:eastAsia="zh-CN"/>
              </w:rPr>
              <w:t>。</w:t>
            </w:r>
          </w:p>
          <w:p w14:paraId="13858C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4.2≥21英寸彩色液晶显示器</w:t>
            </w:r>
            <w:r>
              <w:rPr>
                <w:rFonts w:hint="eastAsia" w:cs="宋体"/>
                <w:i w:val="0"/>
                <w:iCs w:val="0"/>
                <w:color w:val="auto"/>
                <w:sz w:val="20"/>
                <w:szCs w:val="20"/>
                <w:highlight w:val="none"/>
                <w:u w:val="none"/>
                <w:lang w:eastAsia="zh-CN"/>
              </w:rPr>
              <w:t>。</w:t>
            </w:r>
          </w:p>
          <w:p w14:paraId="791B9F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4.3≥13英寸彩色触摸屏，支持手势操作，触摸屏角度可调</w:t>
            </w:r>
            <w:r>
              <w:rPr>
                <w:rFonts w:hint="eastAsia" w:cs="宋体"/>
                <w:i w:val="0"/>
                <w:iCs w:val="0"/>
                <w:color w:val="auto"/>
                <w:sz w:val="20"/>
                <w:szCs w:val="20"/>
                <w:highlight w:val="none"/>
                <w:u w:val="none"/>
                <w:lang w:eastAsia="zh-CN"/>
              </w:rPr>
              <w:t>。</w:t>
            </w:r>
          </w:p>
          <w:p w14:paraId="54ECAD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4.4控制面板可独立旋转、升降及平移</w:t>
            </w:r>
            <w:r>
              <w:rPr>
                <w:rFonts w:hint="eastAsia" w:cs="宋体"/>
                <w:i w:val="0"/>
                <w:iCs w:val="0"/>
                <w:color w:val="auto"/>
                <w:sz w:val="20"/>
                <w:szCs w:val="20"/>
                <w:highlight w:val="none"/>
                <w:u w:val="none"/>
                <w:lang w:eastAsia="zh-CN"/>
              </w:rPr>
              <w:t>。</w:t>
            </w:r>
          </w:p>
          <w:p w14:paraId="355EFE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4.5具备全程实时动态聚焦技术</w:t>
            </w:r>
          </w:p>
          <w:p w14:paraId="5CC1E7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4.6针对不同脏器预设最佳声波传播速度用于计算成像</w:t>
            </w:r>
            <w:r>
              <w:rPr>
                <w:rFonts w:hint="eastAsia" w:cs="宋体"/>
                <w:i w:val="0"/>
                <w:iCs w:val="0"/>
                <w:color w:val="auto"/>
                <w:sz w:val="20"/>
                <w:szCs w:val="20"/>
                <w:highlight w:val="none"/>
                <w:u w:val="none"/>
                <w:lang w:eastAsia="zh-CN"/>
              </w:rPr>
              <w:t>。</w:t>
            </w:r>
          </w:p>
          <w:p w14:paraId="5C59D2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4.7可根据人体组织真实情况，一键实时自动匹配至最佳成像声速，并以具体数值在屏幕上显示</w:t>
            </w:r>
            <w:r>
              <w:rPr>
                <w:rFonts w:hint="eastAsia" w:cs="宋体"/>
                <w:i w:val="0"/>
                <w:iCs w:val="0"/>
                <w:color w:val="auto"/>
                <w:sz w:val="20"/>
                <w:szCs w:val="20"/>
                <w:highlight w:val="none"/>
                <w:u w:val="none"/>
                <w:lang w:eastAsia="zh-CN"/>
              </w:rPr>
              <w:t>。</w:t>
            </w:r>
          </w:p>
          <w:p w14:paraId="1E2F6B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4.8多级信号处理系统</w:t>
            </w:r>
            <w:r>
              <w:rPr>
                <w:rFonts w:hint="eastAsia" w:cs="宋体"/>
                <w:i w:val="0"/>
                <w:iCs w:val="0"/>
                <w:color w:val="auto"/>
                <w:sz w:val="20"/>
                <w:szCs w:val="20"/>
                <w:highlight w:val="none"/>
                <w:u w:val="none"/>
                <w:lang w:eastAsia="zh-CN"/>
              </w:rPr>
              <w:t>。</w:t>
            </w:r>
          </w:p>
          <w:p w14:paraId="01D19F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4.9高倍波束并行处理系统</w:t>
            </w:r>
            <w:r>
              <w:rPr>
                <w:rFonts w:hint="eastAsia" w:cs="宋体"/>
                <w:i w:val="0"/>
                <w:iCs w:val="0"/>
                <w:color w:val="auto"/>
                <w:sz w:val="20"/>
                <w:szCs w:val="20"/>
                <w:highlight w:val="none"/>
                <w:u w:val="none"/>
                <w:lang w:eastAsia="zh-CN"/>
              </w:rPr>
              <w:t>。</w:t>
            </w:r>
          </w:p>
          <w:p w14:paraId="0E7703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4.10探头接口≥5个</w:t>
            </w:r>
            <w:r>
              <w:rPr>
                <w:rFonts w:hint="eastAsia" w:cs="宋体"/>
                <w:i w:val="0"/>
                <w:iCs w:val="0"/>
                <w:color w:val="auto"/>
                <w:sz w:val="20"/>
                <w:szCs w:val="20"/>
                <w:highlight w:val="none"/>
                <w:u w:val="none"/>
                <w:lang w:eastAsia="zh-CN"/>
              </w:rPr>
              <w:t>。</w:t>
            </w:r>
          </w:p>
          <w:p w14:paraId="4B026A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4.11二维灰阶模式</w:t>
            </w:r>
            <w:r>
              <w:rPr>
                <w:rFonts w:hint="eastAsia" w:cs="宋体"/>
                <w:i w:val="0"/>
                <w:iCs w:val="0"/>
                <w:color w:val="auto"/>
                <w:sz w:val="20"/>
                <w:szCs w:val="20"/>
                <w:highlight w:val="none"/>
                <w:u w:val="none"/>
                <w:lang w:eastAsia="zh-CN"/>
              </w:rPr>
              <w:t>。</w:t>
            </w:r>
          </w:p>
          <w:p w14:paraId="17443CB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4.12谐波成像模式</w:t>
            </w:r>
            <w:r>
              <w:rPr>
                <w:rFonts w:hint="eastAsia" w:cs="宋体"/>
                <w:i w:val="0"/>
                <w:iCs w:val="0"/>
                <w:color w:val="auto"/>
                <w:sz w:val="20"/>
                <w:szCs w:val="20"/>
                <w:highlight w:val="none"/>
                <w:u w:val="none"/>
                <w:lang w:eastAsia="zh-CN"/>
              </w:rPr>
              <w:t>。</w:t>
            </w:r>
          </w:p>
          <w:p w14:paraId="3B8CDB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4.13M型模式</w:t>
            </w:r>
            <w:r>
              <w:rPr>
                <w:rFonts w:hint="eastAsia" w:cs="宋体"/>
                <w:i w:val="0"/>
                <w:iCs w:val="0"/>
                <w:color w:val="auto"/>
                <w:sz w:val="20"/>
                <w:szCs w:val="20"/>
                <w:highlight w:val="none"/>
                <w:u w:val="none"/>
                <w:lang w:eastAsia="zh-CN"/>
              </w:rPr>
              <w:t>。</w:t>
            </w:r>
          </w:p>
          <w:p w14:paraId="1B7D03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4.14彩色M型模式</w:t>
            </w:r>
            <w:r>
              <w:rPr>
                <w:rFonts w:hint="eastAsia" w:cs="宋体"/>
                <w:i w:val="0"/>
                <w:iCs w:val="0"/>
                <w:color w:val="auto"/>
                <w:sz w:val="20"/>
                <w:szCs w:val="20"/>
                <w:highlight w:val="none"/>
                <w:u w:val="none"/>
                <w:lang w:eastAsia="zh-CN"/>
              </w:rPr>
              <w:t>。</w:t>
            </w:r>
          </w:p>
          <w:p w14:paraId="292659F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4.15解剖M型模式 (≥2条取样线，提供证明图片)</w:t>
            </w:r>
            <w:r>
              <w:rPr>
                <w:rFonts w:hint="eastAsia" w:cs="宋体"/>
                <w:i w:val="0"/>
                <w:iCs w:val="0"/>
                <w:color w:val="auto"/>
                <w:sz w:val="20"/>
                <w:szCs w:val="20"/>
                <w:highlight w:val="none"/>
                <w:u w:val="none"/>
                <w:lang w:eastAsia="zh-CN"/>
              </w:rPr>
              <w:t>。</w:t>
            </w:r>
          </w:p>
          <w:p w14:paraId="2D60C60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4.16可选配曲线M型模式</w:t>
            </w:r>
            <w:r>
              <w:rPr>
                <w:rFonts w:hint="eastAsia" w:cs="宋体"/>
                <w:i w:val="0"/>
                <w:iCs w:val="0"/>
                <w:color w:val="auto"/>
                <w:sz w:val="20"/>
                <w:szCs w:val="20"/>
                <w:highlight w:val="none"/>
                <w:u w:val="none"/>
                <w:lang w:eastAsia="zh-CN"/>
              </w:rPr>
              <w:t>。</w:t>
            </w:r>
          </w:p>
          <w:p w14:paraId="3414F1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4.17彩色多普勒成像（包括彩色、能量、方向能量多普勒模式等）</w:t>
            </w:r>
            <w:r>
              <w:rPr>
                <w:rFonts w:hint="eastAsia" w:cs="宋体"/>
                <w:i w:val="0"/>
                <w:iCs w:val="0"/>
                <w:color w:val="auto"/>
                <w:sz w:val="20"/>
                <w:szCs w:val="20"/>
                <w:highlight w:val="none"/>
                <w:u w:val="none"/>
                <w:lang w:eastAsia="zh-CN"/>
              </w:rPr>
              <w:t>。</w:t>
            </w:r>
          </w:p>
          <w:p w14:paraId="277AE1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4.18频谱多普勒成像（包括脉冲多普勒、高脉冲重复频率、连续波多普勒等）</w:t>
            </w:r>
            <w:r>
              <w:rPr>
                <w:rFonts w:hint="eastAsia" w:cs="宋体"/>
                <w:i w:val="0"/>
                <w:iCs w:val="0"/>
                <w:color w:val="auto"/>
                <w:sz w:val="20"/>
                <w:szCs w:val="20"/>
                <w:highlight w:val="none"/>
                <w:u w:val="none"/>
                <w:lang w:eastAsia="zh-CN"/>
              </w:rPr>
              <w:t>。</w:t>
            </w:r>
          </w:p>
          <w:p w14:paraId="4C0D09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4.19组织多普勒成像</w:t>
            </w:r>
            <w:r>
              <w:rPr>
                <w:rFonts w:hint="eastAsia" w:cs="宋体"/>
                <w:i w:val="0"/>
                <w:iCs w:val="0"/>
                <w:color w:val="auto"/>
                <w:sz w:val="20"/>
                <w:szCs w:val="20"/>
                <w:highlight w:val="none"/>
                <w:u w:val="none"/>
                <w:lang w:eastAsia="zh-CN"/>
              </w:rPr>
              <w:t>。</w:t>
            </w:r>
          </w:p>
          <w:p w14:paraId="192642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4.20自由臂三维成像</w:t>
            </w:r>
            <w:r>
              <w:rPr>
                <w:rFonts w:hint="eastAsia" w:cs="宋体"/>
                <w:i w:val="0"/>
                <w:iCs w:val="0"/>
                <w:color w:val="auto"/>
                <w:sz w:val="20"/>
                <w:szCs w:val="20"/>
                <w:highlight w:val="none"/>
                <w:u w:val="none"/>
                <w:lang w:eastAsia="zh-CN"/>
              </w:rPr>
              <w:t>。</w:t>
            </w:r>
          </w:p>
          <w:p w14:paraId="260365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4.21宽景成像（支持彩色宽景，扫描速度提示，提供证明图片）</w:t>
            </w:r>
            <w:r>
              <w:rPr>
                <w:rFonts w:hint="eastAsia" w:cs="宋体"/>
                <w:i w:val="0"/>
                <w:iCs w:val="0"/>
                <w:color w:val="auto"/>
                <w:sz w:val="20"/>
                <w:szCs w:val="20"/>
                <w:highlight w:val="none"/>
                <w:u w:val="none"/>
                <w:lang w:eastAsia="zh-CN"/>
              </w:rPr>
              <w:t>。</w:t>
            </w:r>
          </w:p>
          <w:p w14:paraId="058413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4.22空间复合成像，≥9线偏转</w:t>
            </w:r>
            <w:r>
              <w:rPr>
                <w:rFonts w:hint="eastAsia" w:cs="宋体"/>
                <w:i w:val="0"/>
                <w:iCs w:val="0"/>
                <w:color w:val="auto"/>
                <w:sz w:val="20"/>
                <w:szCs w:val="20"/>
                <w:highlight w:val="none"/>
                <w:u w:val="none"/>
                <w:lang w:eastAsia="zh-CN"/>
              </w:rPr>
              <w:t>。</w:t>
            </w:r>
          </w:p>
          <w:p w14:paraId="484271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4.23斑点抑制成像</w:t>
            </w:r>
            <w:r>
              <w:rPr>
                <w:rFonts w:hint="eastAsia" w:cs="宋体"/>
                <w:i w:val="0"/>
                <w:iCs w:val="0"/>
                <w:color w:val="auto"/>
                <w:sz w:val="20"/>
                <w:szCs w:val="20"/>
                <w:highlight w:val="none"/>
                <w:u w:val="none"/>
                <w:lang w:eastAsia="zh-CN"/>
              </w:rPr>
              <w:t>。</w:t>
            </w:r>
          </w:p>
          <w:p w14:paraId="2A1930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4.24频率复合成像</w:t>
            </w:r>
            <w:r>
              <w:rPr>
                <w:rFonts w:hint="eastAsia" w:cs="宋体"/>
                <w:i w:val="0"/>
                <w:iCs w:val="0"/>
                <w:color w:val="auto"/>
                <w:sz w:val="20"/>
                <w:szCs w:val="20"/>
                <w:highlight w:val="none"/>
                <w:u w:val="none"/>
                <w:lang w:eastAsia="zh-CN"/>
              </w:rPr>
              <w:t>。</w:t>
            </w:r>
          </w:p>
          <w:p w14:paraId="7985CD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4.25独立角度偏转</w:t>
            </w:r>
            <w:r>
              <w:rPr>
                <w:rFonts w:hint="eastAsia" w:cs="宋体"/>
                <w:i w:val="0"/>
                <w:iCs w:val="0"/>
                <w:color w:val="auto"/>
                <w:sz w:val="20"/>
                <w:szCs w:val="20"/>
                <w:highlight w:val="none"/>
                <w:u w:val="none"/>
                <w:lang w:eastAsia="zh-CN"/>
              </w:rPr>
              <w:t>。</w:t>
            </w:r>
          </w:p>
          <w:p w14:paraId="1D749D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4.26扩展成像（要求凸阵、线阵、容积、心脏探头可用，提供证明图片）</w:t>
            </w:r>
            <w:r>
              <w:rPr>
                <w:rFonts w:hint="eastAsia" w:cs="宋体"/>
                <w:i w:val="0"/>
                <w:iCs w:val="0"/>
                <w:color w:val="auto"/>
                <w:sz w:val="20"/>
                <w:szCs w:val="20"/>
                <w:highlight w:val="none"/>
                <w:u w:val="none"/>
                <w:lang w:eastAsia="zh-CN"/>
              </w:rPr>
              <w:t>。</w:t>
            </w:r>
          </w:p>
          <w:p w14:paraId="030011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4.27实时双幅对比成像</w:t>
            </w:r>
            <w:r>
              <w:rPr>
                <w:rFonts w:hint="eastAsia" w:cs="宋体"/>
                <w:i w:val="0"/>
                <w:iCs w:val="0"/>
                <w:color w:val="auto"/>
                <w:sz w:val="20"/>
                <w:szCs w:val="20"/>
                <w:highlight w:val="none"/>
                <w:u w:val="none"/>
                <w:lang w:eastAsia="zh-CN"/>
              </w:rPr>
              <w:t>。</w:t>
            </w:r>
          </w:p>
          <w:p w14:paraId="143155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4.28高清血流成像</w:t>
            </w:r>
            <w:r>
              <w:rPr>
                <w:rFonts w:hint="eastAsia" w:cs="宋体"/>
                <w:i w:val="0"/>
                <w:iCs w:val="0"/>
                <w:color w:val="auto"/>
                <w:sz w:val="20"/>
                <w:szCs w:val="20"/>
                <w:highlight w:val="none"/>
                <w:u w:val="none"/>
                <w:lang w:eastAsia="zh-CN"/>
              </w:rPr>
              <w:t>。</w:t>
            </w:r>
          </w:p>
          <w:p w14:paraId="0275524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4.29精细血流自动识别成像</w:t>
            </w:r>
            <w:r>
              <w:rPr>
                <w:rFonts w:hint="eastAsia" w:cs="宋体"/>
                <w:i w:val="0"/>
                <w:iCs w:val="0"/>
                <w:color w:val="auto"/>
                <w:sz w:val="20"/>
                <w:szCs w:val="20"/>
                <w:highlight w:val="none"/>
                <w:u w:val="none"/>
                <w:lang w:eastAsia="zh-CN"/>
              </w:rPr>
              <w:t>。</w:t>
            </w:r>
          </w:p>
          <w:p w14:paraId="24BD4F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4.30一键自动优化，要求一键快速优化造影图像、二维图像、彩色图像、彩色取样框位置、频谱图像、频谱取样门大小、取样门位置、偏转角度及造影图像</w:t>
            </w:r>
            <w:r>
              <w:rPr>
                <w:rFonts w:hint="eastAsia" w:cs="宋体"/>
                <w:i w:val="0"/>
                <w:iCs w:val="0"/>
                <w:color w:val="auto"/>
                <w:sz w:val="20"/>
                <w:szCs w:val="20"/>
                <w:highlight w:val="none"/>
                <w:u w:val="none"/>
                <w:lang w:eastAsia="zh-CN"/>
              </w:rPr>
              <w:t>。</w:t>
            </w:r>
          </w:p>
          <w:p w14:paraId="56885F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4.31支持两种模式全屏放大</w:t>
            </w:r>
            <w:r>
              <w:rPr>
                <w:rFonts w:hint="eastAsia" w:cs="宋体"/>
                <w:i w:val="0"/>
                <w:iCs w:val="0"/>
                <w:color w:val="auto"/>
                <w:sz w:val="20"/>
                <w:szCs w:val="20"/>
                <w:highlight w:val="none"/>
                <w:u w:val="none"/>
                <w:lang w:eastAsia="zh-CN"/>
              </w:rPr>
              <w:t>。</w:t>
            </w:r>
          </w:p>
          <w:p w14:paraId="22EAF6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4.32支持前端、后端局部放大</w:t>
            </w:r>
            <w:r>
              <w:rPr>
                <w:rFonts w:hint="eastAsia" w:cs="宋体"/>
                <w:i w:val="0"/>
                <w:iCs w:val="0"/>
                <w:color w:val="auto"/>
                <w:sz w:val="20"/>
                <w:szCs w:val="20"/>
                <w:highlight w:val="none"/>
                <w:u w:val="none"/>
                <w:lang w:eastAsia="zh-CN"/>
              </w:rPr>
              <w:t>。</w:t>
            </w:r>
          </w:p>
          <w:p w14:paraId="2BE336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4.33造影及造影定量分析功能，支持腹部探头、浅表探头</w:t>
            </w:r>
            <w:r>
              <w:rPr>
                <w:rFonts w:hint="eastAsia" w:cs="宋体"/>
                <w:i w:val="0"/>
                <w:iCs w:val="0"/>
                <w:color w:val="auto"/>
                <w:sz w:val="20"/>
                <w:szCs w:val="20"/>
                <w:highlight w:val="none"/>
                <w:u w:val="none"/>
                <w:lang w:eastAsia="zh-CN"/>
              </w:rPr>
              <w:t>。</w:t>
            </w:r>
          </w:p>
          <w:p w14:paraId="5B48B3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4.33.1支持低机械指数造影</w:t>
            </w:r>
            <w:r>
              <w:rPr>
                <w:rFonts w:hint="eastAsia" w:cs="宋体"/>
                <w:i w:val="0"/>
                <w:iCs w:val="0"/>
                <w:color w:val="auto"/>
                <w:sz w:val="20"/>
                <w:szCs w:val="20"/>
                <w:highlight w:val="none"/>
                <w:u w:val="none"/>
                <w:lang w:eastAsia="zh-CN"/>
              </w:rPr>
              <w:t>。</w:t>
            </w:r>
          </w:p>
          <w:p w14:paraId="7F5784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4.33.2双计时器</w:t>
            </w:r>
            <w:r>
              <w:rPr>
                <w:rFonts w:hint="eastAsia" w:cs="宋体"/>
                <w:i w:val="0"/>
                <w:iCs w:val="0"/>
                <w:color w:val="auto"/>
                <w:sz w:val="20"/>
                <w:szCs w:val="20"/>
                <w:highlight w:val="none"/>
                <w:u w:val="none"/>
                <w:lang w:eastAsia="zh-CN"/>
              </w:rPr>
              <w:t>。</w:t>
            </w:r>
          </w:p>
          <w:p w14:paraId="341A7E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4.33.3支持向后存储，≥5分钟电影</w:t>
            </w:r>
            <w:r>
              <w:rPr>
                <w:rFonts w:hint="eastAsia" w:cs="宋体"/>
                <w:i w:val="0"/>
                <w:iCs w:val="0"/>
                <w:color w:val="auto"/>
                <w:sz w:val="20"/>
                <w:szCs w:val="20"/>
                <w:highlight w:val="none"/>
                <w:u w:val="none"/>
                <w:lang w:eastAsia="zh-CN"/>
              </w:rPr>
              <w:t>。</w:t>
            </w:r>
          </w:p>
          <w:p w14:paraId="60AC719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4.33.4支持向前存储</w:t>
            </w:r>
            <w:r>
              <w:rPr>
                <w:rFonts w:hint="eastAsia" w:cs="宋体"/>
                <w:i w:val="0"/>
                <w:iCs w:val="0"/>
                <w:color w:val="auto"/>
                <w:sz w:val="20"/>
                <w:szCs w:val="20"/>
                <w:highlight w:val="none"/>
                <w:u w:val="none"/>
                <w:lang w:eastAsia="zh-CN"/>
              </w:rPr>
              <w:t>。</w:t>
            </w:r>
          </w:p>
          <w:p w14:paraId="14FA994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4.33.5双实时: 实时显示组织图像和造影图像</w:t>
            </w:r>
            <w:r>
              <w:rPr>
                <w:rFonts w:hint="eastAsia" w:cs="宋体"/>
                <w:i w:val="0"/>
                <w:iCs w:val="0"/>
                <w:color w:val="auto"/>
                <w:sz w:val="20"/>
                <w:szCs w:val="20"/>
                <w:highlight w:val="none"/>
                <w:u w:val="none"/>
                <w:lang w:eastAsia="zh-CN"/>
              </w:rPr>
              <w:t>。</w:t>
            </w:r>
          </w:p>
          <w:p w14:paraId="7CBB44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4.33.6支持造影击碎</w:t>
            </w:r>
            <w:r>
              <w:rPr>
                <w:rFonts w:hint="eastAsia" w:cs="宋体"/>
                <w:i w:val="0"/>
                <w:iCs w:val="0"/>
                <w:color w:val="auto"/>
                <w:sz w:val="20"/>
                <w:szCs w:val="20"/>
                <w:highlight w:val="none"/>
                <w:u w:val="none"/>
                <w:lang w:eastAsia="zh-CN"/>
              </w:rPr>
              <w:t>。</w:t>
            </w:r>
          </w:p>
          <w:p w14:paraId="5907F3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4.33.7支持斑点噪声抑制</w:t>
            </w:r>
            <w:r>
              <w:rPr>
                <w:rFonts w:hint="eastAsia" w:cs="宋体"/>
                <w:i w:val="0"/>
                <w:iCs w:val="0"/>
                <w:color w:val="auto"/>
                <w:sz w:val="20"/>
                <w:szCs w:val="20"/>
                <w:highlight w:val="none"/>
                <w:u w:val="none"/>
                <w:lang w:eastAsia="zh-CN"/>
              </w:rPr>
              <w:t>。</w:t>
            </w:r>
          </w:p>
          <w:p w14:paraId="596AF7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4.33.8具备混合模式</w:t>
            </w:r>
            <w:r>
              <w:rPr>
                <w:rFonts w:hint="eastAsia" w:cs="宋体"/>
                <w:i w:val="0"/>
                <w:iCs w:val="0"/>
                <w:color w:val="auto"/>
                <w:sz w:val="20"/>
                <w:szCs w:val="20"/>
                <w:highlight w:val="none"/>
                <w:u w:val="none"/>
                <w:lang w:eastAsia="zh-CN"/>
              </w:rPr>
              <w:t>。</w:t>
            </w:r>
          </w:p>
          <w:p w14:paraId="229F07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4.33.9支持造影图像和组织图像位置互换</w:t>
            </w:r>
            <w:r>
              <w:rPr>
                <w:rFonts w:hint="eastAsia" w:cs="宋体"/>
                <w:i w:val="0"/>
                <w:iCs w:val="0"/>
                <w:color w:val="auto"/>
                <w:sz w:val="20"/>
                <w:szCs w:val="20"/>
                <w:highlight w:val="none"/>
                <w:u w:val="none"/>
                <w:lang w:eastAsia="zh-CN"/>
              </w:rPr>
              <w:t>。</w:t>
            </w:r>
          </w:p>
          <w:p w14:paraId="2E0289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4.33.10支持微血管造影增强功能</w:t>
            </w:r>
            <w:r>
              <w:rPr>
                <w:rFonts w:hint="eastAsia" w:cs="宋体"/>
                <w:i w:val="0"/>
                <w:iCs w:val="0"/>
                <w:color w:val="auto"/>
                <w:sz w:val="20"/>
                <w:szCs w:val="20"/>
                <w:highlight w:val="none"/>
                <w:u w:val="none"/>
                <w:lang w:eastAsia="zh-CN"/>
              </w:rPr>
              <w:t>。</w:t>
            </w:r>
          </w:p>
          <w:p w14:paraId="0A1986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4.33.11支持造影定量分析（取样点可跟踪感兴趣区运动）</w:t>
            </w:r>
            <w:r>
              <w:rPr>
                <w:rFonts w:hint="eastAsia" w:cs="宋体"/>
                <w:i w:val="0"/>
                <w:iCs w:val="0"/>
                <w:color w:val="auto"/>
                <w:sz w:val="20"/>
                <w:szCs w:val="20"/>
                <w:highlight w:val="none"/>
                <w:u w:val="none"/>
                <w:lang w:eastAsia="zh-CN"/>
              </w:rPr>
              <w:t>。</w:t>
            </w:r>
          </w:p>
          <w:p w14:paraId="7AAB65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4.34造影成像，要求支持腹部探头、浅表探头</w:t>
            </w:r>
            <w:r>
              <w:rPr>
                <w:rFonts w:hint="eastAsia" w:cs="宋体"/>
                <w:i w:val="0"/>
                <w:iCs w:val="0"/>
                <w:color w:val="auto"/>
                <w:sz w:val="20"/>
                <w:szCs w:val="20"/>
                <w:highlight w:val="none"/>
                <w:u w:val="none"/>
                <w:lang w:eastAsia="zh-CN"/>
              </w:rPr>
              <w:t>。</w:t>
            </w:r>
          </w:p>
          <w:p w14:paraId="799483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4.34.1凸阵探头10cm深度，扫描角度45°，帧率可达28帧/秒及以上</w:t>
            </w:r>
            <w:r>
              <w:rPr>
                <w:rFonts w:hint="eastAsia" w:cs="宋体"/>
                <w:i w:val="0"/>
                <w:iCs w:val="0"/>
                <w:color w:val="auto"/>
                <w:sz w:val="20"/>
                <w:szCs w:val="20"/>
                <w:highlight w:val="none"/>
                <w:u w:val="none"/>
                <w:lang w:eastAsia="zh-CN"/>
              </w:rPr>
              <w:t>。</w:t>
            </w:r>
          </w:p>
          <w:p w14:paraId="5BF700B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4.34.2线阵探头4cm深度，帧率可45帧/秒及以上；（提供证明图片）</w:t>
            </w:r>
            <w:r>
              <w:rPr>
                <w:rFonts w:hint="eastAsia" w:cs="宋体"/>
                <w:i w:val="0"/>
                <w:iCs w:val="0"/>
                <w:color w:val="auto"/>
                <w:sz w:val="20"/>
                <w:szCs w:val="20"/>
                <w:highlight w:val="none"/>
                <w:u w:val="none"/>
                <w:lang w:eastAsia="zh-CN"/>
              </w:rPr>
              <w:t>。</w:t>
            </w:r>
          </w:p>
          <w:p w14:paraId="21885A1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4.35支持应变式弹性成像</w:t>
            </w:r>
            <w:r>
              <w:rPr>
                <w:rFonts w:hint="eastAsia" w:cs="宋体"/>
                <w:i w:val="0"/>
                <w:iCs w:val="0"/>
                <w:color w:val="auto"/>
                <w:sz w:val="20"/>
                <w:szCs w:val="20"/>
                <w:highlight w:val="none"/>
                <w:u w:val="none"/>
                <w:lang w:eastAsia="zh-CN"/>
              </w:rPr>
              <w:t>。</w:t>
            </w:r>
          </w:p>
          <w:p w14:paraId="607BB8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4.35.1具备组织硬度定量分析软件、压力曲线提示图标，直方图等分析工具</w:t>
            </w:r>
            <w:r>
              <w:rPr>
                <w:rFonts w:hint="eastAsia" w:cs="宋体"/>
                <w:i w:val="0"/>
                <w:iCs w:val="0"/>
                <w:color w:val="auto"/>
                <w:sz w:val="20"/>
                <w:szCs w:val="20"/>
                <w:highlight w:val="none"/>
                <w:u w:val="none"/>
                <w:lang w:eastAsia="zh-CN"/>
              </w:rPr>
              <w:t>。</w:t>
            </w:r>
          </w:p>
          <w:p w14:paraId="322D52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 xml:space="preserve">4.35.2具备肿块周边组织与正常组织、肿块周边组织与肿块内组织弹性定量分析功能 </w:t>
            </w:r>
            <w:r>
              <w:rPr>
                <w:rFonts w:hint="eastAsia" w:cs="宋体"/>
                <w:i w:val="0"/>
                <w:iCs w:val="0"/>
                <w:color w:val="auto"/>
                <w:sz w:val="20"/>
                <w:szCs w:val="20"/>
                <w:highlight w:val="none"/>
                <w:u w:val="none"/>
                <w:lang w:eastAsia="zh-CN"/>
              </w:rPr>
              <w:t>。</w:t>
            </w:r>
          </w:p>
          <w:p w14:paraId="26213FB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4.36支持STE剪切波定量式弹性成像功能</w:t>
            </w:r>
            <w:r>
              <w:rPr>
                <w:rFonts w:hint="eastAsia" w:cs="宋体"/>
                <w:i w:val="0"/>
                <w:iCs w:val="0"/>
                <w:color w:val="auto"/>
                <w:sz w:val="20"/>
                <w:szCs w:val="20"/>
                <w:highlight w:val="none"/>
                <w:u w:val="none"/>
                <w:lang w:eastAsia="zh-CN"/>
              </w:rPr>
              <w:t>。</w:t>
            </w:r>
          </w:p>
          <w:p w14:paraId="3C09D4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4.36.1可以动态显示二维剪切波弹性成像图</w:t>
            </w:r>
            <w:r>
              <w:rPr>
                <w:rFonts w:hint="eastAsia" w:cs="宋体"/>
                <w:i w:val="0"/>
                <w:iCs w:val="0"/>
                <w:color w:val="auto"/>
                <w:sz w:val="20"/>
                <w:szCs w:val="20"/>
                <w:highlight w:val="none"/>
                <w:u w:val="none"/>
                <w:lang w:eastAsia="zh-CN"/>
              </w:rPr>
              <w:t>。</w:t>
            </w:r>
          </w:p>
          <w:p w14:paraId="2925BC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4.36.2具备多种定量参数，包括剪切波速度，杨氏模量，剪切模量等。（提供证明图片）</w:t>
            </w:r>
            <w:r>
              <w:rPr>
                <w:rFonts w:hint="eastAsia" w:cs="宋体"/>
                <w:i w:val="0"/>
                <w:iCs w:val="0"/>
                <w:color w:val="auto"/>
                <w:sz w:val="20"/>
                <w:szCs w:val="20"/>
                <w:highlight w:val="none"/>
                <w:u w:val="none"/>
                <w:lang w:eastAsia="zh-CN"/>
              </w:rPr>
              <w:t>。</w:t>
            </w:r>
          </w:p>
          <w:p w14:paraId="5F3388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4.37支持立体血流</w:t>
            </w:r>
            <w:r>
              <w:rPr>
                <w:rFonts w:hint="eastAsia" w:cs="宋体"/>
                <w:i w:val="0"/>
                <w:iCs w:val="0"/>
                <w:color w:val="auto"/>
                <w:sz w:val="20"/>
                <w:szCs w:val="20"/>
                <w:highlight w:val="none"/>
                <w:u w:val="none"/>
                <w:lang w:eastAsia="zh-CN"/>
              </w:rPr>
              <w:t>。</w:t>
            </w:r>
          </w:p>
          <w:p w14:paraId="45DE6B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4.38通过二维灰阶图像自动定量，可联合多指标研究肝脂肪病变</w:t>
            </w:r>
            <w:r>
              <w:rPr>
                <w:rFonts w:hint="eastAsia" w:cs="宋体"/>
                <w:i w:val="0"/>
                <w:iCs w:val="0"/>
                <w:color w:val="auto"/>
                <w:sz w:val="20"/>
                <w:szCs w:val="20"/>
                <w:highlight w:val="none"/>
                <w:u w:val="none"/>
                <w:lang w:eastAsia="zh-CN"/>
              </w:rPr>
              <w:t>。</w:t>
            </w:r>
          </w:p>
          <w:p w14:paraId="602BA0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4.39支持乳腺病灶自动分析功能，具备同一病灶同屏显示≥4相交切面图像，最多可支持≥5个病灶分析。可自动识别病灶边界，自动分析病灶形态，边缘，回声类型，后方回声，钙化及血流状态。分析结果自动进入报告。</w:t>
            </w:r>
          </w:p>
          <w:p w14:paraId="01AEB7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4.40自动工作流协议，自动标注体位图、注释及自动切换检查模式</w:t>
            </w:r>
            <w:r>
              <w:rPr>
                <w:rFonts w:hint="eastAsia" w:cs="宋体"/>
                <w:i w:val="0"/>
                <w:iCs w:val="0"/>
                <w:color w:val="auto"/>
                <w:sz w:val="20"/>
                <w:szCs w:val="20"/>
                <w:highlight w:val="none"/>
                <w:u w:val="none"/>
                <w:lang w:eastAsia="zh-CN"/>
              </w:rPr>
              <w:t>。</w:t>
            </w:r>
          </w:p>
          <w:p w14:paraId="59C6CF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4.41穿刺针增强技术，具有双屏实时对比显示，增强前后效果，并同时支持增强平面多角度可调（提供证明图片）</w:t>
            </w:r>
            <w:r>
              <w:rPr>
                <w:rFonts w:hint="eastAsia" w:cs="宋体"/>
                <w:i w:val="0"/>
                <w:iCs w:val="0"/>
                <w:color w:val="auto"/>
                <w:sz w:val="20"/>
                <w:szCs w:val="20"/>
                <w:highlight w:val="none"/>
                <w:u w:val="none"/>
                <w:lang w:eastAsia="zh-CN"/>
              </w:rPr>
              <w:t>。</w:t>
            </w:r>
          </w:p>
          <w:p w14:paraId="66B87C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4.42支持中文、英语</w:t>
            </w:r>
            <w:r>
              <w:rPr>
                <w:rFonts w:hint="eastAsia" w:cs="宋体"/>
                <w:i w:val="0"/>
                <w:iCs w:val="0"/>
                <w:color w:val="auto"/>
                <w:sz w:val="20"/>
                <w:szCs w:val="20"/>
                <w:highlight w:val="none"/>
                <w:u w:val="none"/>
                <w:lang w:eastAsia="zh-CN"/>
              </w:rPr>
              <w:t>。</w:t>
            </w:r>
          </w:p>
          <w:p w14:paraId="296B97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4.43支持手动触摸屏上注释</w:t>
            </w:r>
            <w:r>
              <w:rPr>
                <w:rFonts w:hint="eastAsia" w:cs="宋体"/>
                <w:i w:val="0"/>
                <w:iCs w:val="0"/>
                <w:color w:val="auto"/>
                <w:sz w:val="20"/>
                <w:szCs w:val="20"/>
                <w:highlight w:val="none"/>
                <w:u w:val="none"/>
                <w:lang w:eastAsia="zh-CN"/>
              </w:rPr>
              <w:t>。</w:t>
            </w:r>
          </w:p>
          <w:p w14:paraId="19900D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4.44支持手动触摸屏上包络测量</w:t>
            </w:r>
            <w:r>
              <w:rPr>
                <w:rFonts w:hint="eastAsia" w:cs="宋体"/>
                <w:i w:val="0"/>
                <w:iCs w:val="0"/>
                <w:color w:val="auto"/>
                <w:sz w:val="20"/>
                <w:szCs w:val="20"/>
                <w:highlight w:val="none"/>
                <w:u w:val="none"/>
                <w:lang w:eastAsia="zh-CN"/>
              </w:rPr>
              <w:t>。</w:t>
            </w:r>
          </w:p>
          <w:p w14:paraId="2CF631A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4.45支持语音注释及播放</w:t>
            </w:r>
            <w:r>
              <w:rPr>
                <w:rFonts w:hint="eastAsia" w:cs="宋体"/>
                <w:i w:val="0"/>
                <w:iCs w:val="0"/>
                <w:color w:val="auto"/>
                <w:sz w:val="20"/>
                <w:szCs w:val="20"/>
                <w:highlight w:val="none"/>
                <w:u w:val="none"/>
                <w:lang w:eastAsia="zh-CN"/>
              </w:rPr>
              <w:t>。</w:t>
            </w:r>
          </w:p>
          <w:p w14:paraId="0B5E89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4.46体位图</w:t>
            </w:r>
            <w:r>
              <w:rPr>
                <w:rFonts w:hint="eastAsia" w:cs="宋体"/>
                <w:i w:val="0"/>
                <w:iCs w:val="0"/>
                <w:color w:val="auto"/>
                <w:sz w:val="20"/>
                <w:szCs w:val="20"/>
                <w:highlight w:val="none"/>
                <w:u w:val="none"/>
                <w:lang w:eastAsia="zh-CN"/>
              </w:rPr>
              <w:t>。</w:t>
            </w:r>
          </w:p>
          <w:p w14:paraId="4A7070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5.测量/分析和报告</w:t>
            </w:r>
          </w:p>
          <w:p w14:paraId="454753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5.1常规测量</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多普勒测量</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自动频谱测量</w:t>
            </w:r>
            <w:r>
              <w:rPr>
                <w:rFonts w:hint="eastAsia" w:cs="宋体"/>
                <w:i w:val="0"/>
                <w:iCs w:val="0"/>
                <w:color w:val="auto"/>
                <w:sz w:val="20"/>
                <w:szCs w:val="20"/>
                <w:highlight w:val="none"/>
                <w:u w:val="none"/>
                <w:lang w:eastAsia="zh-CN"/>
              </w:rPr>
              <w:t>。</w:t>
            </w:r>
          </w:p>
          <w:p w14:paraId="1442AD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5.2全科测量包，自动生成报告腹部、妇科、产科、心脏、泌尿、小器官、儿科、血管、神经、急诊科</w:t>
            </w:r>
            <w:r>
              <w:rPr>
                <w:rFonts w:hint="eastAsia" w:cs="宋体"/>
                <w:i w:val="0"/>
                <w:iCs w:val="0"/>
                <w:color w:val="auto"/>
                <w:sz w:val="20"/>
                <w:szCs w:val="20"/>
                <w:highlight w:val="none"/>
                <w:u w:val="none"/>
                <w:lang w:eastAsia="zh-CN"/>
              </w:rPr>
              <w:t>。</w:t>
            </w:r>
          </w:p>
          <w:p w14:paraId="169BFF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5.3血管内中膜自动测量，可同时进行血管前、后壁的内中膜一段距离的自动描记、自动生成测量数据结果，并具备ＩＭＴ评估曲线分析（提供证明图片）</w:t>
            </w:r>
            <w:r>
              <w:rPr>
                <w:rFonts w:hint="eastAsia" w:cs="宋体"/>
                <w:i w:val="0"/>
                <w:iCs w:val="0"/>
                <w:color w:val="auto"/>
                <w:sz w:val="20"/>
                <w:szCs w:val="20"/>
                <w:highlight w:val="none"/>
                <w:u w:val="none"/>
                <w:lang w:eastAsia="zh-CN"/>
              </w:rPr>
              <w:t>。</w:t>
            </w:r>
          </w:p>
          <w:p w14:paraId="438DFF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5.4支持血管内中膜自动实时测量,自动获取6组IMT内膜厚度值,并实时更新。</w:t>
            </w:r>
          </w:p>
          <w:p w14:paraId="48D508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5.5支持血管体位图手动编辑功能，通过手动编辑体位图，直观显示病变的位置。（提供证明图片）</w:t>
            </w:r>
          </w:p>
          <w:p w14:paraId="2C7CAE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5.6颅内容积自动测量功能，可自动显示胎儿颅内立体轮廓，并自动获取胎儿颅内容积测量数据。</w:t>
            </w:r>
          </w:p>
          <w:p w14:paraId="0293DF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5.7支持腔内STE剪切波弹性成像功能。</w:t>
            </w:r>
          </w:p>
          <w:p w14:paraId="5B2CB1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6.电影回放和原始数据处理</w:t>
            </w:r>
          </w:p>
          <w:p w14:paraId="2FB21F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6.1所有模式下可用</w:t>
            </w:r>
          </w:p>
          <w:p w14:paraId="77457C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支持手动、自动回放</w:t>
            </w:r>
            <w:r>
              <w:rPr>
                <w:rFonts w:hint="eastAsia" w:cs="宋体"/>
                <w:i w:val="0"/>
                <w:iCs w:val="0"/>
                <w:color w:val="auto"/>
                <w:sz w:val="20"/>
                <w:szCs w:val="20"/>
                <w:highlight w:val="none"/>
                <w:u w:val="none"/>
                <w:lang w:eastAsia="zh-CN"/>
              </w:rPr>
              <w:t>。</w:t>
            </w:r>
          </w:p>
          <w:p w14:paraId="72746A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支持4D 电影回放</w:t>
            </w:r>
            <w:r>
              <w:rPr>
                <w:rFonts w:hint="eastAsia" w:cs="宋体"/>
                <w:i w:val="0"/>
                <w:iCs w:val="0"/>
                <w:color w:val="auto"/>
                <w:sz w:val="20"/>
                <w:szCs w:val="20"/>
                <w:highlight w:val="none"/>
                <w:u w:val="none"/>
                <w:lang w:eastAsia="zh-CN"/>
              </w:rPr>
              <w:t>。</w:t>
            </w:r>
          </w:p>
          <w:p w14:paraId="15A1F0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支持向后存储和向前存储，时间长度可预置，向后存储≥5分钟的电影</w:t>
            </w:r>
            <w:r>
              <w:rPr>
                <w:rFonts w:hint="eastAsia" w:cs="宋体"/>
                <w:i w:val="0"/>
                <w:iCs w:val="0"/>
                <w:color w:val="auto"/>
                <w:sz w:val="20"/>
                <w:szCs w:val="20"/>
                <w:highlight w:val="none"/>
                <w:u w:val="none"/>
                <w:lang w:eastAsia="zh-CN"/>
              </w:rPr>
              <w:t>。</w:t>
            </w:r>
          </w:p>
          <w:p w14:paraId="559C94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支持图像对比（动态、静态）</w:t>
            </w:r>
            <w:r>
              <w:rPr>
                <w:rFonts w:hint="eastAsia" w:cs="宋体"/>
                <w:i w:val="0"/>
                <w:iCs w:val="0"/>
                <w:color w:val="auto"/>
                <w:sz w:val="20"/>
                <w:szCs w:val="20"/>
                <w:highlight w:val="none"/>
                <w:u w:val="none"/>
                <w:lang w:eastAsia="zh-CN"/>
              </w:rPr>
              <w:t>。</w:t>
            </w:r>
          </w:p>
          <w:p w14:paraId="25F7D2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6.2原始数据处理，支持动、静态图像冻结后，最大可进行35项参数调节。</w:t>
            </w:r>
          </w:p>
          <w:p w14:paraId="0C9893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7.检查存储和管理（内置超声工作站）</w:t>
            </w:r>
          </w:p>
          <w:p w14:paraId="1C4807D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7.1检查存储</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≥1TB硬盘</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内置超声工作站</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多种导出图像格式：动态图像、静态图像以PC格式直接导出，无需特殊软件即能在普通PC机上直接观看图像。导出、备份图像数据资料同时，可进行实时检查</w:t>
            </w:r>
            <w:r>
              <w:rPr>
                <w:rFonts w:hint="eastAsia" w:cs="宋体"/>
                <w:i w:val="0"/>
                <w:iCs w:val="0"/>
                <w:color w:val="auto"/>
                <w:sz w:val="20"/>
                <w:szCs w:val="20"/>
                <w:highlight w:val="none"/>
                <w:u w:val="none"/>
                <w:lang w:eastAsia="zh-CN"/>
              </w:rPr>
              <w:t>。</w:t>
            </w:r>
          </w:p>
          <w:p w14:paraId="4C59BF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8.连通性要求</w:t>
            </w:r>
          </w:p>
          <w:p w14:paraId="2697344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8.1支持网络连接</w:t>
            </w:r>
            <w:r>
              <w:rPr>
                <w:rFonts w:hint="eastAsia" w:cs="宋体"/>
                <w:i w:val="0"/>
                <w:iCs w:val="0"/>
                <w:color w:val="auto"/>
                <w:sz w:val="20"/>
                <w:szCs w:val="20"/>
                <w:highlight w:val="none"/>
                <w:u w:val="none"/>
                <w:lang w:eastAsia="zh-CN"/>
              </w:rPr>
              <w:t>。</w:t>
            </w:r>
          </w:p>
          <w:p w14:paraId="25694F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8.2支持移动设备无线传输</w:t>
            </w:r>
            <w:r>
              <w:rPr>
                <w:rFonts w:hint="eastAsia" w:cs="宋体"/>
                <w:i w:val="0"/>
                <w:iCs w:val="0"/>
                <w:color w:val="auto"/>
                <w:sz w:val="20"/>
                <w:szCs w:val="20"/>
                <w:highlight w:val="none"/>
                <w:u w:val="none"/>
                <w:lang w:eastAsia="zh-CN"/>
              </w:rPr>
              <w:t>。</w:t>
            </w:r>
          </w:p>
          <w:p w14:paraId="417260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8.3通过无线传输支持移动终端设备进行远程控制超声机器图像参数调节、远程病人信息管理: 浏览，查询，获取，删除病人信息等</w:t>
            </w:r>
            <w:r>
              <w:rPr>
                <w:rFonts w:hint="eastAsia" w:cs="宋体"/>
                <w:i w:val="0"/>
                <w:iCs w:val="0"/>
                <w:color w:val="auto"/>
                <w:sz w:val="20"/>
                <w:szCs w:val="20"/>
                <w:highlight w:val="none"/>
                <w:u w:val="none"/>
                <w:lang w:eastAsia="zh-CN"/>
              </w:rPr>
              <w:t>。</w:t>
            </w:r>
          </w:p>
          <w:p w14:paraId="59EC66C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8.4</w:t>
            </w:r>
            <w:r>
              <w:rPr>
                <w:rFonts w:hint="eastAsia"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DICOM 3.0</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DICOM妇产科、心脏、血管、乳腺结构化报告</w:t>
            </w:r>
            <w:r>
              <w:rPr>
                <w:rFonts w:hint="eastAsia" w:cs="宋体"/>
                <w:i w:val="0"/>
                <w:iCs w:val="0"/>
                <w:color w:val="auto"/>
                <w:sz w:val="20"/>
                <w:szCs w:val="20"/>
                <w:highlight w:val="none"/>
                <w:u w:val="none"/>
                <w:lang w:eastAsia="zh-CN"/>
              </w:rPr>
              <w:t>。</w:t>
            </w:r>
          </w:p>
          <w:p w14:paraId="1B8701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8.5视频/音频输入、输出</w:t>
            </w:r>
            <w:r>
              <w:rPr>
                <w:rFonts w:hint="eastAsia" w:cs="宋体"/>
                <w:i w:val="0"/>
                <w:iCs w:val="0"/>
                <w:color w:val="auto"/>
                <w:sz w:val="20"/>
                <w:szCs w:val="20"/>
                <w:highlight w:val="none"/>
                <w:u w:val="none"/>
                <w:lang w:eastAsia="zh-CN"/>
              </w:rPr>
              <w:t>。</w:t>
            </w:r>
          </w:p>
          <w:p w14:paraId="66670B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8.6支持ECG/PCG信号</w:t>
            </w:r>
            <w:r>
              <w:rPr>
                <w:rFonts w:hint="eastAsia" w:cs="宋体"/>
                <w:i w:val="0"/>
                <w:iCs w:val="0"/>
                <w:color w:val="auto"/>
                <w:sz w:val="20"/>
                <w:szCs w:val="20"/>
                <w:highlight w:val="none"/>
                <w:u w:val="none"/>
                <w:lang w:eastAsia="zh-CN"/>
              </w:rPr>
              <w:t>。</w:t>
            </w:r>
          </w:p>
          <w:p w14:paraId="4E0213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8.7≥５个接口</w:t>
            </w:r>
            <w:r>
              <w:rPr>
                <w:rFonts w:hint="eastAsia" w:cs="宋体"/>
                <w:i w:val="0"/>
                <w:iCs w:val="0"/>
                <w:color w:val="auto"/>
                <w:sz w:val="20"/>
                <w:szCs w:val="20"/>
                <w:highlight w:val="none"/>
                <w:u w:val="none"/>
                <w:lang w:eastAsia="zh-CN"/>
              </w:rPr>
              <w:t>。</w:t>
            </w:r>
          </w:p>
          <w:p w14:paraId="771169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8.8DVD R/W 刻录光驱</w:t>
            </w:r>
            <w:r>
              <w:rPr>
                <w:rFonts w:hint="eastAsia" w:cs="宋体"/>
                <w:i w:val="0"/>
                <w:iCs w:val="0"/>
                <w:color w:val="auto"/>
                <w:sz w:val="20"/>
                <w:szCs w:val="20"/>
                <w:highlight w:val="none"/>
                <w:u w:val="none"/>
                <w:lang w:eastAsia="zh-CN"/>
              </w:rPr>
              <w:t>。</w:t>
            </w:r>
          </w:p>
          <w:p w14:paraId="47820C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9.系统技术参数及要求</w:t>
            </w:r>
            <w:r>
              <w:rPr>
                <w:rFonts w:hint="eastAsia" w:cs="宋体"/>
                <w:i w:val="0"/>
                <w:iCs w:val="0"/>
                <w:color w:val="auto"/>
                <w:sz w:val="20"/>
                <w:szCs w:val="20"/>
                <w:highlight w:val="none"/>
                <w:u w:val="none"/>
                <w:lang w:eastAsia="zh-CN"/>
              </w:rPr>
              <w:t>。</w:t>
            </w:r>
          </w:p>
          <w:p w14:paraId="3E7EC0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9.3探头接口≥５个</w:t>
            </w:r>
            <w:r>
              <w:rPr>
                <w:rFonts w:hint="eastAsia" w:cs="宋体"/>
                <w:i w:val="0"/>
                <w:iCs w:val="0"/>
                <w:color w:val="auto"/>
                <w:sz w:val="20"/>
                <w:szCs w:val="20"/>
                <w:highlight w:val="none"/>
                <w:u w:val="none"/>
                <w:lang w:eastAsia="zh-CN"/>
              </w:rPr>
              <w:t>。</w:t>
            </w:r>
          </w:p>
          <w:p w14:paraId="6CBA189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9.4二维灰阶模式</w:t>
            </w:r>
            <w:r>
              <w:rPr>
                <w:rFonts w:hint="eastAsia" w:cs="宋体"/>
                <w:i w:val="0"/>
                <w:iCs w:val="0"/>
                <w:color w:val="auto"/>
                <w:sz w:val="20"/>
                <w:szCs w:val="20"/>
                <w:highlight w:val="none"/>
                <w:u w:val="none"/>
                <w:lang w:eastAsia="zh-CN"/>
              </w:rPr>
              <w:t>。</w:t>
            </w:r>
          </w:p>
          <w:p w14:paraId="0B3926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数字化声束形成器</w:t>
            </w:r>
          </w:p>
          <w:p w14:paraId="3F98E7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全程动态聚焦</w:t>
            </w:r>
          </w:p>
          <w:p w14:paraId="22ECFE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多倍信号并行处理</w:t>
            </w:r>
          </w:p>
          <w:p w14:paraId="2B6AE4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扫描频率：</w:t>
            </w:r>
          </w:p>
          <w:p w14:paraId="0D75897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电子凸阵：超声频率约</w:t>
            </w:r>
            <w:r>
              <w:rPr>
                <w:rFonts w:hint="eastAsia" w:ascii="宋体" w:hAnsi="宋体" w:eastAsia="宋体" w:cs="宋体"/>
                <w:i w:val="0"/>
                <w:iCs w:val="0"/>
                <w:color w:val="auto"/>
                <w:sz w:val="20"/>
                <w:szCs w:val="20"/>
                <w:highlight w:val="none"/>
                <w:u w:val="none"/>
              </w:rPr>
              <w:tab/>
            </w:r>
            <w:r>
              <w:rPr>
                <w:rFonts w:hint="eastAsia" w:ascii="宋体" w:hAnsi="宋体" w:eastAsia="宋体" w:cs="宋体"/>
                <w:i w:val="0"/>
                <w:iCs w:val="0"/>
                <w:color w:val="auto"/>
                <w:sz w:val="20"/>
                <w:szCs w:val="20"/>
                <w:highlight w:val="none"/>
                <w:u w:val="none"/>
              </w:rPr>
              <w:t>1.2- 6.0 MHz</w:t>
            </w:r>
          </w:p>
          <w:p w14:paraId="5845B0D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电子相控阵：超声频率约1.5- 4.5MHz</w:t>
            </w:r>
          </w:p>
          <w:p w14:paraId="369DE0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电子线阵：超声频率约3.8-13 MHz</w:t>
            </w:r>
          </w:p>
          <w:p w14:paraId="2CD16E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电子凸阵经阴道：约3.0-11.0 MHz</w:t>
            </w:r>
          </w:p>
          <w:p w14:paraId="389BA2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预设条件：针对不同的检查脏器，预置最佳图像检查条件</w:t>
            </w:r>
          </w:p>
          <w:p w14:paraId="3E6CC9E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 xml:space="preserve">最大显示深度:≥38cm（提供图片证明） </w:t>
            </w:r>
          </w:p>
          <w:p w14:paraId="10139DD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▲最大帧率: ≥650 帧/秒</w:t>
            </w:r>
          </w:p>
          <w:p w14:paraId="7C6E06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TGC: ≥8段</w:t>
            </w:r>
          </w:p>
          <w:p w14:paraId="484EAA9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LGC: ≥8段</w:t>
            </w:r>
          </w:p>
          <w:p w14:paraId="14C7D9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二维灰阶：≥256</w:t>
            </w:r>
          </w:p>
          <w:p w14:paraId="7BA549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动态范围: ≥160 （提供图片证明）</w:t>
            </w:r>
          </w:p>
          <w:p w14:paraId="3690CE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增益调节: B/M/D分别独立可调，≥100</w:t>
            </w:r>
          </w:p>
          <w:p w14:paraId="153E2D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伪彩图谱: ≥8种</w:t>
            </w:r>
          </w:p>
          <w:p w14:paraId="025B48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9.5彩色多普勒成像</w:t>
            </w:r>
          </w:p>
          <w:p w14:paraId="492EDE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包括速度、速度方差、能量、方向能量显示等</w:t>
            </w:r>
          </w:p>
          <w:p w14:paraId="127EFB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显示方式：B/C、B/C/M、B/POWER、B/C/PW</w:t>
            </w:r>
          </w:p>
          <w:p w14:paraId="484DE9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取样框偏转: ≥±28度 (线阵探头</w:t>
            </w:r>
          </w:p>
          <w:p w14:paraId="02C048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最大帧率: ≥200 帧/秒</w:t>
            </w:r>
          </w:p>
          <w:p w14:paraId="2C3DE6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支持B/C 同宽（提供图片证明）</w:t>
            </w:r>
          </w:p>
          <w:p w14:paraId="3EE2A03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9.6频谱多普勒模式</w:t>
            </w:r>
          </w:p>
          <w:p w14:paraId="399FDD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包括脉冲多普勒、高脉冲重复频率、连续多普勒</w:t>
            </w:r>
          </w:p>
          <w:p w14:paraId="78E39D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显示方式：B, PW，B/PW, B/C/PW, B/CW, B/C/CW等等</w:t>
            </w:r>
          </w:p>
          <w:p w14:paraId="352F4D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显示控制：反转、零移位、B刷新、D扩展、B/D扩展等</w:t>
            </w:r>
          </w:p>
          <w:p w14:paraId="4F4004B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最大速度: ≥7.60m/s（连续多普勒速度: ≥29.9m/s）</w:t>
            </w:r>
          </w:p>
          <w:p w14:paraId="7AAC68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最小速度: ≤1 mm /s（非噪声信号）</w:t>
            </w:r>
          </w:p>
          <w:p w14:paraId="1AD742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取样容积:1-30mm ,支持所有探头</w:t>
            </w:r>
          </w:p>
          <w:p w14:paraId="506073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偏转角度: ≥±29度</w:t>
            </w:r>
          </w:p>
          <w:p w14:paraId="4DBB21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零位移动：≥8 级</w:t>
            </w:r>
          </w:p>
          <w:p w14:paraId="0E23DEE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快速角度校正</w:t>
            </w:r>
          </w:p>
          <w:p w14:paraId="6D25DE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支持频谱自动测量</w:t>
            </w:r>
          </w:p>
          <w:p w14:paraId="6F7F32C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9.7组织多普勒成像（包括组织速度图、能量图、M型、频谱成像4种模式，提供图片证明）</w:t>
            </w:r>
            <w:r>
              <w:rPr>
                <w:rFonts w:hint="eastAsia" w:cs="宋体"/>
                <w:i w:val="0"/>
                <w:iCs w:val="0"/>
                <w:color w:val="auto"/>
                <w:sz w:val="20"/>
                <w:szCs w:val="20"/>
                <w:highlight w:val="none"/>
                <w:u w:val="none"/>
                <w:lang w:eastAsia="zh-CN"/>
              </w:rPr>
              <w:t>。</w:t>
            </w:r>
          </w:p>
          <w:p w14:paraId="6B062D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9.8心功能自动测量工具</w:t>
            </w:r>
            <w:r>
              <w:rPr>
                <w:rFonts w:hint="eastAsia" w:cs="宋体"/>
                <w:i w:val="0"/>
                <w:iCs w:val="0"/>
                <w:color w:val="auto"/>
                <w:sz w:val="20"/>
                <w:szCs w:val="20"/>
                <w:highlight w:val="none"/>
                <w:u w:val="none"/>
                <w:lang w:eastAsia="zh-CN"/>
              </w:rPr>
              <w:t>。</w:t>
            </w:r>
          </w:p>
          <w:p w14:paraId="3EA55C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9.9支持腔内剪切波弹性成像功能。</w:t>
            </w:r>
          </w:p>
          <w:p w14:paraId="23E3763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9.10支持小儿髋关节自动测量功能，可自动计算α角,β角，自动进行临床分型。</w:t>
            </w:r>
          </w:p>
          <w:p w14:paraId="6B1D51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10.探头规格</w:t>
            </w:r>
          </w:p>
          <w:p w14:paraId="4761C1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10.1频率：超宽频带或变频探头</w:t>
            </w:r>
          </w:p>
          <w:p w14:paraId="26621F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10.2二维、彩色、多普勒均可独立变频</w:t>
            </w:r>
          </w:p>
          <w:p w14:paraId="085A60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10.3探头频率：</w:t>
            </w:r>
          </w:p>
          <w:p w14:paraId="2719BF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频率带宽1.2-20 MHz（依赖不同探头）</w:t>
            </w:r>
            <w:r>
              <w:rPr>
                <w:rFonts w:hint="eastAsia" w:cs="宋体"/>
                <w:i w:val="0"/>
                <w:iCs w:val="0"/>
                <w:color w:val="auto"/>
                <w:sz w:val="20"/>
                <w:szCs w:val="20"/>
                <w:highlight w:val="none"/>
                <w:u w:val="none"/>
                <w:lang w:eastAsia="zh-CN"/>
              </w:rPr>
              <w:t>。</w:t>
            </w:r>
          </w:p>
          <w:p w14:paraId="5F59F2F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所有探头均为宽频变频探头,二维、谐波、彩色及频谱多普勒模式分别独立变频，≥3段</w:t>
            </w:r>
            <w:r>
              <w:rPr>
                <w:rFonts w:hint="eastAsia" w:cs="宋体"/>
                <w:i w:val="0"/>
                <w:iCs w:val="0"/>
                <w:color w:val="auto"/>
                <w:sz w:val="20"/>
                <w:szCs w:val="20"/>
                <w:highlight w:val="none"/>
                <w:u w:val="none"/>
                <w:lang w:eastAsia="zh-CN"/>
              </w:rPr>
              <w:t>。</w:t>
            </w:r>
          </w:p>
          <w:p w14:paraId="583D58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阵元：最大有效阵元数≥572阵元</w:t>
            </w:r>
            <w:r>
              <w:rPr>
                <w:rFonts w:hint="eastAsia" w:cs="宋体"/>
                <w:i w:val="0"/>
                <w:iCs w:val="0"/>
                <w:color w:val="auto"/>
                <w:sz w:val="20"/>
                <w:szCs w:val="20"/>
                <w:highlight w:val="none"/>
                <w:u w:val="none"/>
                <w:lang w:eastAsia="zh-CN"/>
              </w:rPr>
              <w:t>。</w:t>
            </w:r>
          </w:p>
          <w:p w14:paraId="2101B4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10.5穿刺引导凸阵、线阵、相控阵具备多角度穿刺引导功能</w:t>
            </w:r>
            <w:r>
              <w:rPr>
                <w:rFonts w:hint="eastAsia" w:cs="宋体"/>
                <w:i w:val="0"/>
                <w:iCs w:val="0"/>
                <w:color w:val="auto"/>
                <w:sz w:val="20"/>
                <w:szCs w:val="20"/>
                <w:highlight w:val="none"/>
                <w:u w:val="none"/>
                <w:lang w:eastAsia="zh-CN"/>
              </w:rPr>
              <w:t>。</w:t>
            </w:r>
          </w:p>
          <w:p w14:paraId="1722AF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10.6单晶凸阵探头频率约 1.2-6.0MHz，角度≥71°</w:t>
            </w:r>
            <w:r>
              <w:rPr>
                <w:rFonts w:hint="eastAsia" w:cs="宋体"/>
                <w:i w:val="0"/>
                <w:iCs w:val="0"/>
                <w:color w:val="auto"/>
                <w:sz w:val="20"/>
                <w:szCs w:val="20"/>
                <w:highlight w:val="none"/>
                <w:u w:val="none"/>
                <w:lang w:eastAsia="zh-CN"/>
              </w:rPr>
              <w:t>。</w:t>
            </w:r>
          </w:p>
          <w:p w14:paraId="5BD032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10.7单晶相控阵探头频率约1.5- 4.5MHz，角度≥89°</w:t>
            </w:r>
            <w:r>
              <w:rPr>
                <w:rFonts w:hint="eastAsia" w:cs="宋体"/>
                <w:i w:val="0"/>
                <w:iCs w:val="0"/>
                <w:color w:val="auto"/>
                <w:sz w:val="20"/>
                <w:szCs w:val="20"/>
                <w:highlight w:val="none"/>
                <w:u w:val="none"/>
                <w:lang w:eastAsia="zh-CN"/>
              </w:rPr>
              <w:t>。</w:t>
            </w:r>
          </w:p>
          <w:p w14:paraId="00BB09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10.8线阵频率约 3.8-13 MHz</w:t>
            </w:r>
            <w:r>
              <w:rPr>
                <w:rFonts w:hint="eastAsia" w:cs="宋体"/>
                <w:i w:val="0"/>
                <w:iCs w:val="0"/>
                <w:color w:val="auto"/>
                <w:sz w:val="20"/>
                <w:szCs w:val="20"/>
                <w:highlight w:val="none"/>
                <w:u w:val="none"/>
                <w:lang w:eastAsia="zh-CN"/>
              </w:rPr>
              <w:t>。</w:t>
            </w:r>
          </w:p>
          <w:p w14:paraId="7EAAAF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11.声功率输出调节</w:t>
            </w:r>
          </w:p>
          <w:p w14:paraId="4475E7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B/M、彩色、频谱多普勒输出功率可选择分级调节</w:t>
            </w:r>
            <w:r>
              <w:rPr>
                <w:rFonts w:hint="eastAsia" w:cs="宋体"/>
                <w:i w:val="0"/>
                <w:iCs w:val="0"/>
                <w:color w:val="auto"/>
                <w:sz w:val="20"/>
                <w:szCs w:val="20"/>
                <w:highlight w:val="none"/>
                <w:u w:val="none"/>
                <w:lang w:eastAsia="zh-CN"/>
              </w:rPr>
              <w:t>。</w:t>
            </w:r>
          </w:p>
          <w:p w14:paraId="2D3F60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12.外设和附件</w:t>
            </w:r>
          </w:p>
          <w:p w14:paraId="2E8FE0C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12.1耦合剂加热器</w:t>
            </w:r>
            <w:r>
              <w:rPr>
                <w:rFonts w:hint="eastAsia" w:cs="宋体"/>
                <w:i w:val="0"/>
                <w:iCs w:val="0"/>
                <w:color w:val="auto"/>
                <w:sz w:val="20"/>
                <w:szCs w:val="20"/>
                <w:highlight w:val="none"/>
                <w:u w:val="none"/>
                <w:lang w:eastAsia="zh-CN"/>
              </w:rPr>
              <w:t>。</w:t>
            </w:r>
          </w:p>
          <w:p w14:paraId="1B7C5B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12.2腔内探头放置架</w:t>
            </w:r>
            <w:r>
              <w:rPr>
                <w:rFonts w:hint="eastAsia" w:cs="宋体"/>
                <w:i w:val="0"/>
                <w:iCs w:val="0"/>
                <w:color w:val="auto"/>
                <w:sz w:val="20"/>
                <w:szCs w:val="20"/>
                <w:highlight w:val="none"/>
                <w:u w:val="none"/>
                <w:lang w:eastAsia="zh-CN"/>
              </w:rPr>
              <w:t>。</w:t>
            </w:r>
          </w:p>
          <w:p w14:paraId="2B27A7A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12.3探头放置槽≥6个</w:t>
            </w:r>
            <w:r>
              <w:rPr>
                <w:rFonts w:hint="eastAsia" w:cs="宋体"/>
                <w:i w:val="0"/>
                <w:iCs w:val="0"/>
                <w:color w:val="auto"/>
                <w:sz w:val="20"/>
                <w:szCs w:val="20"/>
                <w:highlight w:val="none"/>
                <w:u w:val="none"/>
                <w:lang w:eastAsia="zh-CN"/>
              </w:rPr>
              <w:t>。</w:t>
            </w:r>
          </w:p>
          <w:p w14:paraId="6C362D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.配置要求：</w:t>
            </w:r>
          </w:p>
          <w:p w14:paraId="56EA99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.1彩色多普勒超声诊断仪一台</w:t>
            </w:r>
            <w:r>
              <w:rPr>
                <w:rFonts w:hint="eastAsia" w:cs="宋体"/>
                <w:i w:val="0"/>
                <w:iCs w:val="0"/>
                <w:color w:val="auto"/>
                <w:sz w:val="20"/>
                <w:szCs w:val="20"/>
                <w:highlight w:val="none"/>
                <w:u w:val="none"/>
                <w:lang w:eastAsia="zh-CN"/>
              </w:rPr>
              <w:t>。</w:t>
            </w:r>
          </w:p>
          <w:p w14:paraId="43D0BA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.2腹部单晶体探头一个、心脏单晶体探头一个，线阵探头一个，腔内探头一个</w:t>
            </w:r>
            <w:r>
              <w:rPr>
                <w:rFonts w:hint="eastAsia" w:cs="宋体"/>
                <w:i w:val="0"/>
                <w:iCs w:val="0"/>
                <w:color w:val="auto"/>
                <w:sz w:val="20"/>
                <w:szCs w:val="20"/>
                <w:highlight w:val="none"/>
                <w:u w:val="none"/>
                <w:lang w:eastAsia="zh-CN"/>
              </w:rPr>
              <w:t>。</w:t>
            </w:r>
          </w:p>
          <w:p w14:paraId="55C40B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.3包含医师椅</w:t>
            </w:r>
            <w:r>
              <w:rPr>
                <w:rFonts w:hint="eastAsia" w:cs="宋体"/>
                <w:i w:val="0"/>
                <w:iCs w:val="0"/>
                <w:color w:val="auto"/>
                <w:sz w:val="20"/>
                <w:szCs w:val="20"/>
                <w:highlight w:val="none"/>
                <w:u w:val="none"/>
                <w:lang w:eastAsia="zh-CN"/>
              </w:rPr>
              <w:t>。</w:t>
            </w:r>
          </w:p>
          <w:p w14:paraId="03F4CF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.4电动检查床</w:t>
            </w:r>
            <w:r>
              <w:rPr>
                <w:rFonts w:hint="eastAsia" w:cs="宋体"/>
                <w:i w:val="0"/>
                <w:iCs w:val="0"/>
                <w:color w:val="auto"/>
                <w:sz w:val="20"/>
                <w:szCs w:val="20"/>
                <w:highlight w:val="none"/>
                <w:u w:val="none"/>
                <w:lang w:eastAsia="zh-CN"/>
              </w:rPr>
              <w:t>。</w:t>
            </w:r>
          </w:p>
          <w:p w14:paraId="71BA88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.5独立工作站1台</w:t>
            </w:r>
            <w:r>
              <w:rPr>
                <w:rFonts w:hint="eastAsia" w:cs="宋体"/>
                <w:i w:val="0"/>
                <w:iCs w:val="0"/>
                <w:color w:val="auto"/>
                <w:sz w:val="20"/>
                <w:szCs w:val="20"/>
                <w:highlight w:val="none"/>
                <w:u w:val="none"/>
                <w:lang w:eastAsia="zh-CN"/>
              </w:rPr>
              <w:t>。</w:t>
            </w:r>
          </w:p>
          <w:p w14:paraId="19CDBF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.6稳压电源</w:t>
            </w:r>
            <w:r>
              <w:rPr>
                <w:rFonts w:hint="eastAsia" w:cs="宋体"/>
                <w:i w:val="0"/>
                <w:iCs w:val="0"/>
                <w:color w:val="auto"/>
                <w:sz w:val="20"/>
                <w:szCs w:val="20"/>
                <w:highlight w:val="none"/>
                <w:u w:val="none"/>
                <w:lang w:eastAsia="zh-CN"/>
              </w:rPr>
              <w:t>。</w:t>
            </w:r>
          </w:p>
          <w:p w14:paraId="702CBF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.7激光黑白打印机</w:t>
            </w:r>
            <w:r>
              <w:rPr>
                <w:rFonts w:hint="eastAsia" w:cs="宋体"/>
                <w:i w:val="0"/>
                <w:iCs w:val="0"/>
                <w:color w:val="auto"/>
                <w:sz w:val="20"/>
                <w:szCs w:val="20"/>
                <w:highlight w:val="none"/>
                <w:u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ACDD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0EB636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73E2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3296D9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3533A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便携式彩色多普勒超声诊断系统</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706C42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一、</w:t>
            </w:r>
            <w:r>
              <w:rPr>
                <w:rFonts w:hint="eastAsia" w:cs="宋体"/>
                <w:i w:val="0"/>
                <w:iCs w:val="0"/>
                <w:color w:val="auto"/>
                <w:sz w:val="20"/>
                <w:szCs w:val="20"/>
                <w:highlight w:val="none"/>
                <w:u w:val="none"/>
                <w:lang w:val="en-US" w:eastAsia="zh-CN"/>
              </w:rPr>
              <w:t>名称：</w:t>
            </w:r>
            <w:r>
              <w:rPr>
                <w:rFonts w:hint="eastAsia" w:ascii="宋体" w:hAnsi="宋体" w:eastAsia="宋体" w:cs="宋体"/>
                <w:i w:val="0"/>
                <w:iCs w:val="0"/>
                <w:color w:val="auto"/>
                <w:sz w:val="20"/>
                <w:szCs w:val="20"/>
                <w:highlight w:val="none"/>
                <w:u w:val="none"/>
              </w:rPr>
              <w:t>便携彩色多普勒超声诊断系统</w:t>
            </w:r>
          </w:p>
          <w:p w14:paraId="25F79A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数量：2套</w:t>
            </w:r>
          </w:p>
          <w:p w14:paraId="4CC0A6F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400" w:firstLineChars="20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产品用途说明：满足适用于腹部、产科、妇科、心脏、小器官、泌尿、血管、儿科、神经、急重诊等应用。</w:t>
            </w:r>
          </w:p>
          <w:p w14:paraId="235BB0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1.系统技术规格及概述：</w:t>
            </w:r>
          </w:p>
          <w:p w14:paraId="06D4AF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系统通用功能</w:t>
            </w:r>
          </w:p>
          <w:p w14:paraId="004606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1.1≥15英寸显示器，自动调节亮度</w:t>
            </w:r>
          </w:p>
          <w:p w14:paraId="414A4A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1.2显示器与主机开合角度≥170°</w:t>
            </w:r>
          </w:p>
          <w:p w14:paraId="44D1390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1.3主机内置相同大小探头接口≥2个</w:t>
            </w:r>
          </w:p>
          <w:p w14:paraId="6653E16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1.4整机重量≤4kg（含电池）</w:t>
            </w:r>
          </w:p>
          <w:p w14:paraId="6D3CAE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2.二维灰阶模式</w:t>
            </w:r>
          </w:p>
          <w:p w14:paraId="433815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2.1组织谐波成像</w:t>
            </w:r>
          </w:p>
          <w:p w14:paraId="407482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2.2组织特异性成像</w:t>
            </w:r>
          </w:p>
          <w:p w14:paraId="08A733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2.3多角度空间复合成像技术，≥3档可调</w:t>
            </w:r>
          </w:p>
          <w:p w14:paraId="6A8317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2.4斑点噪声抑制成像，≥7档可调</w:t>
            </w:r>
          </w:p>
          <w:p w14:paraId="3C1CC5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2.5B图像偏转，≥5档可调</w:t>
            </w:r>
          </w:p>
          <w:p w14:paraId="19FF36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2.6TGC8段、LGC8段</w:t>
            </w:r>
          </w:p>
          <w:p w14:paraId="1CA0BE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3.M型成像模式</w:t>
            </w:r>
          </w:p>
          <w:p w14:paraId="665930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3.1彩色M型</w:t>
            </w:r>
          </w:p>
          <w:p w14:paraId="7B0547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3.2解剖M型，取样线≥3线，可360度任意旋转</w:t>
            </w:r>
          </w:p>
          <w:p w14:paraId="6DE1CC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4.彩色多普勒成像（包括彩色、能量、方向能量多普勒模式）</w:t>
            </w:r>
          </w:p>
          <w:p w14:paraId="7255302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4.1高分辨率血流成像</w:t>
            </w:r>
          </w:p>
          <w:p w14:paraId="5497677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4.2双实时同屏对比显示</w:t>
            </w:r>
          </w:p>
          <w:p w14:paraId="042C4C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4.3自动调节取样框的角度及位置</w:t>
            </w:r>
          </w:p>
          <w:p w14:paraId="3B9E6B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4.4立体血流功能，支持彩色模式和能量模式，使血流呈现立体效果</w:t>
            </w:r>
          </w:p>
          <w:p w14:paraId="53592F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4.5取样框偏转：线阵探头支持≥ ±20 度，取样框可根据探头血流方向自动调节</w:t>
            </w:r>
          </w:p>
          <w:p w14:paraId="24187E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5.频谱多普勒成像</w:t>
            </w:r>
          </w:p>
          <w:p w14:paraId="55C1A8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5.1脉冲多普勒、连续多普勒</w:t>
            </w:r>
          </w:p>
          <w:p w14:paraId="2EE7A3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5.2自动计算心动周期</w:t>
            </w:r>
          </w:p>
          <w:p w14:paraId="325E35D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color w:val="auto"/>
                <w:highlight w:val="none"/>
              </w:rPr>
            </w:pPr>
            <w:r>
              <w:rPr>
                <w:rFonts w:hint="eastAsia" w:ascii="宋体" w:hAnsi="宋体" w:eastAsia="宋体" w:cs="宋体"/>
                <w:i w:val="0"/>
                <w:iCs w:val="0"/>
                <w:color w:val="auto"/>
                <w:sz w:val="20"/>
                <w:szCs w:val="20"/>
                <w:highlight w:val="none"/>
                <w:u w:val="none"/>
              </w:rPr>
              <w:t>5.3</w:t>
            </w:r>
            <w:r>
              <w:rPr>
                <w:rFonts w:hint="eastAsia"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PW最大速度≥720cm/s;</w:t>
            </w:r>
            <w:r>
              <w:rPr>
                <w:rFonts w:hint="eastAsia"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CW最大速度≥3800cm/s</w:t>
            </w:r>
          </w:p>
          <w:p w14:paraId="57F396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6.一键自动优化（包括应用于二维、彩色、频谱模式、造影等）</w:t>
            </w:r>
          </w:p>
          <w:p w14:paraId="07D87B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7.穿刺针增强：应用于超声引导下的穿刺手术，动态增 强超声图像中针体显示，具有双屏实时 对比显示，增强前后效果，并支持自适 应校正角度</w:t>
            </w:r>
          </w:p>
          <w:p w14:paraId="3106FB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8.支持造影成像技术：支持凸阵，线阵，腔内等探头</w:t>
            </w:r>
          </w:p>
          <w:p w14:paraId="6CC7B9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9.超声教学助手</w:t>
            </w:r>
          </w:p>
          <w:p w14:paraId="4437D8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10.应变式弹性功能</w:t>
            </w:r>
          </w:p>
          <w:p w14:paraId="5EBDD3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 xml:space="preserve">11.自动肺部B线检测；自动计算B线数量、获取B线面积比、B线间距 </w:t>
            </w:r>
          </w:p>
          <w:p w14:paraId="6059CF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二、测量分析和报告</w:t>
            </w:r>
          </w:p>
          <w:p w14:paraId="2293D5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常规测量软件包</w:t>
            </w:r>
          </w:p>
          <w:p w14:paraId="59EEE6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1.1</w:t>
            </w:r>
            <w:r>
              <w:rPr>
                <w:rFonts w:hint="eastAsia" w:ascii="宋体" w:hAnsi="宋体" w:eastAsia="宋体" w:cs="宋体"/>
                <w:i w:val="0"/>
                <w:iCs w:val="0"/>
                <w:color w:val="auto"/>
                <w:sz w:val="20"/>
                <w:szCs w:val="20"/>
                <w:highlight w:val="none"/>
                <w:u w:val="none"/>
              </w:rPr>
              <w:t>血管内中膜自动测量，可同时进行血管前、后壁的内中膜一段距离的自动描记、自动生成测量数据结果</w:t>
            </w:r>
            <w:r>
              <w:rPr>
                <w:rFonts w:hint="eastAsia" w:cs="宋体"/>
                <w:i w:val="0"/>
                <w:iCs w:val="0"/>
                <w:color w:val="auto"/>
                <w:sz w:val="20"/>
                <w:szCs w:val="20"/>
                <w:highlight w:val="none"/>
                <w:u w:val="none"/>
                <w:lang w:eastAsia="zh-CN"/>
              </w:rPr>
              <w:t>。</w:t>
            </w:r>
          </w:p>
          <w:p w14:paraId="05CE63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1</w:t>
            </w:r>
            <w:r>
              <w:rPr>
                <w:rFonts w:hint="eastAsia" w:ascii="宋体" w:hAnsi="宋体" w:eastAsia="宋体" w:cs="宋体"/>
                <w:i w:val="0"/>
                <w:iCs w:val="0"/>
                <w:color w:val="auto"/>
                <w:sz w:val="20"/>
                <w:szCs w:val="20"/>
                <w:highlight w:val="none"/>
                <w:u w:val="none"/>
              </w:rPr>
              <w:t>.</w:t>
            </w: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产科自动测量：支持BPD，HC，OFD，FL，AC，HUM。自动测量≥6项胎儿发育评估指标</w:t>
            </w:r>
            <w:r>
              <w:rPr>
                <w:rFonts w:hint="eastAsia" w:cs="宋体"/>
                <w:i w:val="0"/>
                <w:iCs w:val="0"/>
                <w:color w:val="auto"/>
                <w:sz w:val="20"/>
                <w:szCs w:val="20"/>
                <w:highlight w:val="none"/>
                <w:u w:val="none"/>
                <w:lang w:eastAsia="zh-CN"/>
              </w:rPr>
              <w:t>。</w:t>
            </w:r>
          </w:p>
          <w:p w14:paraId="3A8688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1</w:t>
            </w:r>
            <w:r>
              <w:rPr>
                <w:rFonts w:hint="eastAsia" w:ascii="宋体" w:hAnsi="宋体" w:eastAsia="宋体" w:cs="宋体"/>
                <w:i w:val="0"/>
                <w:iCs w:val="0"/>
                <w:color w:val="auto"/>
                <w:sz w:val="20"/>
                <w:szCs w:val="20"/>
                <w:highlight w:val="none"/>
                <w:u w:val="none"/>
              </w:rPr>
              <w:t>.</w:t>
            </w:r>
            <w:r>
              <w:rPr>
                <w:rFonts w:hint="eastAsia" w:cs="宋体"/>
                <w:i w:val="0"/>
                <w:iCs w:val="0"/>
                <w:color w:val="auto"/>
                <w:sz w:val="20"/>
                <w:szCs w:val="20"/>
                <w:highlight w:val="none"/>
                <w:u w:val="none"/>
                <w:lang w:val="en-US" w:eastAsia="zh-CN"/>
              </w:rPr>
              <w:t>3</w:t>
            </w:r>
            <w:r>
              <w:rPr>
                <w:rFonts w:hint="eastAsia" w:ascii="宋体" w:hAnsi="宋体" w:eastAsia="宋体" w:cs="宋体"/>
                <w:i w:val="0"/>
                <w:iCs w:val="0"/>
                <w:color w:val="auto"/>
                <w:sz w:val="20"/>
                <w:szCs w:val="20"/>
                <w:highlight w:val="none"/>
                <w:u w:val="none"/>
              </w:rPr>
              <w:t>胎儿颈项透明层自动检测与测量技术</w:t>
            </w:r>
            <w:r>
              <w:rPr>
                <w:rFonts w:hint="eastAsia" w:cs="宋体"/>
                <w:i w:val="0"/>
                <w:iCs w:val="0"/>
                <w:color w:val="auto"/>
                <w:sz w:val="20"/>
                <w:szCs w:val="20"/>
                <w:highlight w:val="none"/>
                <w:u w:val="none"/>
                <w:lang w:eastAsia="zh-CN"/>
              </w:rPr>
              <w:t>。</w:t>
            </w:r>
          </w:p>
          <w:p w14:paraId="4FA9BED4">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240" w:lineRule="auto"/>
              <w:jc w:val="left"/>
              <w:textAlignment w:val="center"/>
              <w:rPr>
                <w:rFonts w:hint="eastAsia"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电影回放及原始数据处理</w:t>
            </w:r>
            <w:r>
              <w:rPr>
                <w:rFonts w:hint="eastAsia" w:cs="宋体"/>
                <w:i w:val="0"/>
                <w:iCs w:val="0"/>
                <w:color w:val="auto"/>
                <w:sz w:val="20"/>
                <w:szCs w:val="20"/>
                <w:highlight w:val="none"/>
                <w:u w:val="none"/>
                <w:lang w:eastAsia="zh-CN"/>
              </w:rPr>
              <w:t>。</w:t>
            </w:r>
          </w:p>
          <w:p w14:paraId="372BC2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w:t>
            </w:r>
            <w:r>
              <w:rPr>
                <w:rFonts w:hint="eastAsia" w:cs="宋体"/>
                <w:i w:val="0"/>
                <w:iCs w:val="0"/>
                <w:color w:val="auto"/>
                <w:sz w:val="20"/>
                <w:szCs w:val="20"/>
                <w:highlight w:val="none"/>
                <w:u w:val="none"/>
                <w:lang w:val="en-US" w:eastAsia="zh-CN"/>
              </w:rPr>
              <w:t>1</w:t>
            </w:r>
            <w:r>
              <w:rPr>
                <w:rFonts w:hint="eastAsia" w:ascii="宋体" w:hAnsi="宋体" w:eastAsia="宋体" w:cs="宋体"/>
                <w:i w:val="0"/>
                <w:iCs w:val="0"/>
                <w:color w:val="auto"/>
                <w:sz w:val="20"/>
                <w:szCs w:val="20"/>
                <w:highlight w:val="none"/>
                <w:u w:val="none"/>
              </w:rPr>
              <w:t>电影回放</w:t>
            </w:r>
          </w:p>
          <w:p w14:paraId="38BE36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.1</w:t>
            </w:r>
            <w:r>
              <w:rPr>
                <w:rFonts w:hint="eastAsia" w:ascii="宋体" w:hAnsi="宋体" w:eastAsia="宋体" w:cs="宋体"/>
                <w:i w:val="0"/>
                <w:iCs w:val="0"/>
                <w:color w:val="auto"/>
                <w:sz w:val="20"/>
                <w:szCs w:val="20"/>
                <w:highlight w:val="none"/>
                <w:u w:val="none"/>
              </w:rPr>
              <w:t>所有模式下支持手动、自动回放</w:t>
            </w:r>
            <w:r>
              <w:rPr>
                <w:rFonts w:hint="eastAsia" w:cs="宋体"/>
                <w:i w:val="0"/>
                <w:iCs w:val="0"/>
                <w:color w:val="auto"/>
                <w:sz w:val="20"/>
                <w:szCs w:val="20"/>
                <w:highlight w:val="none"/>
                <w:u w:val="none"/>
                <w:lang w:eastAsia="zh-CN"/>
              </w:rPr>
              <w:t>。</w:t>
            </w:r>
          </w:p>
          <w:p w14:paraId="53DB37E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w:t>
            </w:r>
            <w:r>
              <w:rPr>
                <w:rFonts w:hint="eastAsia" w:cs="宋体"/>
                <w:i w:val="0"/>
                <w:iCs w:val="0"/>
                <w:color w:val="auto"/>
                <w:sz w:val="20"/>
                <w:szCs w:val="20"/>
                <w:highlight w:val="none"/>
                <w:u w:val="none"/>
                <w:lang w:val="en-US" w:eastAsia="zh-CN"/>
              </w:rPr>
              <w:t>1.</w:t>
            </w:r>
            <w:r>
              <w:rPr>
                <w:rFonts w:hint="eastAsia" w:ascii="宋体" w:hAnsi="宋体" w:eastAsia="宋体" w:cs="宋体"/>
                <w:i w:val="0"/>
                <w:iCs w:val="0"/>
                <w:color w:val="auto"/>
                <w:sz w:val="20"/>
                <w:szCs w:val="20"/>
                <w:highlight w:val="none"/>
                <w:u w:val="none"/>
              </w:rPr>
              <w:t>2支持向后存储和向前存储，时间长度可预置，向后存储≥7分钟的电影</w:t>
            </w:r>
            <w:r>
              <w:rPr>
                <w:rFonts w:hint="eastAsia" w:cs="宋体"/>
                <w:i w:val="0"/>
                <w:iCs w:val="0"/>
                <w:color w:val="auto"/>
                <w:sz w:val="20"/>
                <w:szCs w:val="20"/>
                <w:highlight w:val="none"/>
                <w:u w:val="none"/>
                <w:lang w:eastAsia="zh-CN"/>
              </w:rPr>
              <w:t>。</w:t>
            </w:r>
          </w:p>
          <w:p w14:paraId="50FAA0C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w:t>
            </w:r>
            <w:r>
              <w:rPr>
                <w:rFonts w:hint="eastAsia" w:cs="宋体"/>
                <w:i w:val="0"/>
                <w:iCs w:val="0"/>
                <w:color w:val="auto"/>
                <w:sz w:val="20"/>
                <w:szCs w:val="20"/>
                <w:highlight w:val="none"/>
                <w:u w:val="none"/>
                <w:lang w:val="en-US" w:eastAsia="zh-CN"/>
              </w:rPr>
              <w:t>1.</w:t>
            </w:r>
            <w:r>
              <w:rPr>
                <w:rFonts w:hint="eastAsia" w:ascii="宋体" w:hAnsi="宋体" w:eastAsia="宋体" w:cs="宋体"/>
                <w:i w:val="0"/>
                <w:iCs w:val="0"/>
                <w:color w:val="auto"/>
                <w:sz w:val="20"/>
                <w:szCs w:val="20"/>
                <w:highlight w:val="none"/>
                <w:u w:val="none"/>
              </w:rPr>
              <w:t>3支持保存后的图像同屏对比分析（动态、静态）</w:t>
            </w:r>
            <w:r>
              <w:rPr>
                <w:rFonts w:hint="eastAsia" w:cs="宋体"/>
                <w:i w:val="0"/>
                <w:iCs w:val="0"/>
                <w:color w:val="auto"/>
                <w:sz w:val="20"/>
                <w:szCs w:val="20"/>
                <w:highlight w:val="none"/>
                <w:u w:val="none"/>
                <w:lang w:eastAsia="zh-CN"/>
              </w:rPr>
              <w:t>。</w:t>
            </w:r>
          </w:p>
          <w:p w14:paraId="19F4EE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rPr>
              <w:t>2.</w:t>
            </w: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原始数据处理，可对回放图像进行≥20个参数调节</w:t>
            </w:r>
            <w:r>
              <w:rPr>
                <w:rFonts w:hint="eastAsia" w:cs="宋体"/>
                <w:i w:val="0"/>
                <w:iCs w:val="0"/>
                <w:color w:val="auto"/>
                <w:sz w:val="20"/>
                <w:szCs w:val="20"/>
                <w:highlight w:val="none"/>
                <w:u w:val="none"/>
                <w:lang w:eastAsia="zh-CN"/>
              </w:rPr>
              <w:t>。</w:t>
            </w:r>
          </w:p>
          <w:p w14:paraId="2563AC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三</w:t>
            </w:r>
            <w:r>
              <w:rPr>
                <w:rFonts w:hint="eastAsia" w:ascii="宋体" w:hAnsi="宋体" w:eastAsia="宋体" w:cs="宋体"/>
                <w:i w:val="0"/>
                <w:iCs w:val="0"/>
                <w:color w:val="auto"/>
                <w:sz w:val="20"/>
                <w:szCs w:val="20"/>
                <w:highlight w:val="none"/>
                <w:u w:val="none"/>
              </w:rPr>
              <w:t>、信息管理与存储</w:t>
            </w:r>
          </w:p>
          <w:p w14:paraId="18A199C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512G SSD固态硬盘</w:t>
            </w:r>
            <w:r>
              <w:rPr>
                <w:rFonts w:hint="eastAsia" w:cs="宋体"/>
                <w:i w:val="0"/>
                <w:iCs w:val="0"/>
                <w:color w:val="auto"/>
                <w:sz w:val="20"/>
                <w:szCs w:val="20"/>
                <w:highlight w:val="none"/>
                <w:u w:val="none"/>
                <w:lang w:eastAsia="zh-CN"/>
              </w:rPr>
              <w:t>。</w:t>
            </w:r>
          </w:p>
          <w:p w14:paraId="233E25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内置超声工作站，支持同步存储，即后台存储或导出图像数据的同时前台可以完成实时扫描，不影响检查操作</w:t>
            </w:r>
            <w:r>
              <w:rPr>
                <w:rFonts w:hint="eastAsia" w:cs="宋体"/>
                <w:i w:val="0"/>
                <w:iCs w:val="0"/>
                <w:color w:val="auto"/>
                <w:sz w:val="20"/>
                <w:szCs w:val="20"/>
                <w:highlight w:val="none"/>
                <w:u w:val="none"/>
                <w:lang w:eastAsia="zh-CN"/>
              </w:rPr>
              <w:t>。</w:t>
            </w:r>
          </w:p>
          <w:p w14:paraId="60FF3E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动态图像、静态图像以PC格式直接导出（支持单帧图像文件包含： DCM、TIFF、BMP、JPG单帧，电影文件包括：CIN、AVI、DCM、MP4），无需特殊软件即能在普通PC 机上直接观看图像。</w:t>
            </w:r>
          </w:p>
          <w:p w14:paraId="0DA226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 xml:space="preserve">通过局域网将单帧图像或电影文件从超声系统分享到手机或平板等智能设备 </w:t>
            </w:r>
            <w:r>
              <w:rPr>
                <w:rFonts w:hint="eastAsia" w:cs="宋体"/>
                <w:i w:val="0"/>
                <w:iCs w:val="0"/>
                <w:color w:val="auto"/>
                <w:sz w:val="20"/>
                <w:szCs w:val="20"/>
                <w:highlight w:val="none"/>
                <w:u w:val="none"/>
                <w:lang w:eastAsia="zh-CN"/>
              </w:rPr>
              <w:t>。</w:t>
            </w:r>
          </w:p>
          <w:p w14:paraId="62B577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5</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 xml:space="preserve">通过扫描二维码实现图像分享 </w:t>
            </w:r>
            <w:r>
              <w:rPr>
                <w:rFonts w:hint="eastAsia" w:cs="宋体"/>
                <w:i w:val="0"/>
                <w:iCs w:val="0"/>
                <w:color w:val="auto"/>
                <w:sz w:val="20"/>
                <w:szCs w:val="20"/>
                <w:highlight w:val="none"/>
                <w:u w:val="none"/>
                <w:lang w:eastAsia="zh-CN"/>
              </w:rPr>
              <w:t>。</w:t>
            </w:r>
          </w:p>
          <w:p w14:paraId="6E5F21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支持隐藏病人信息</w:t>
            </w:r>
            <w:r>
              <w:rPr>
                <w:rFonts w:hint="eastAsia" w:cs="宋体"/>
                <w:i w:val="0"/>
                <w:iCs w:val="0"/>
                <w:color w:val="auto"/>
                <w:sz w:val="20"/>
                <w:szCs w:val="20"/>
                <w:highlight w:val="none"/>
                <w:u w:val="none"/>
                <w:lang w:eastAsia="zh-CN"/>
              </w:rPr>
              <w:t>。</w:t>
            </w:r>
          </w:p>
          <w:p w14:paraId="003287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四</w:t>
            </w:r>
            <w:r>
              <w:rPr>
                <w:rFonts w:hint="eastAsia" w:ascii="宋体" w:hAnsi="宋体" w:eastAsia="宋体" w:cs="宋体"/>
                <w:i w:val="0"/>
                <w:iCs w:val="0"/>
                <w:color w:val="auto"/>
                <w:sz w:val="20"/>
                <w:szCs w:val="20"/>
                <w:highlight w:val="none"/>
                <w:u w:val="none"/>
              </w:rPr>
              <w:t>、连通性</w:t>
            </w:r>
          </w:p>
          <w:p w14:paraId="7FEEB8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1.主机内置HDMI、USB3.0、Type-c、网络等接口</w:t>
            </w:r>
            <w:r>
              <w:rPr>
                <w:rFonts w:hint="eastAsia" w:cs="宋体"/>
                <w:i w:val="0"/>
                <w:iCs w:val="0"/>
                <w:color w:val="auto"/>
                <w:sz w:val="20"/>
                <w:szCs w:val="20"/>
                <w:highlight w:val="none"/>
                <w:u w:val="none"/>
                <w:lang w:eastAsia="zh-CN"/>
              </w:rPr>
              <w:t>。</w:t>
            </w:r>
          </w:p>
          <w:p w14:paraId="2D9EE0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2.DICOM3.0系统</w:t>
            </w:r>
            <w:r>
              <w:rPr>
                <w:rFonts w:hint="eastAsia" w:cs="宋体"/>
                <w:i w:val="0"/>
                <w:iCs w:val="0"/>
                <w:color w:val="auto"/>
                <w:sz w:val="20"/>
                <w:szCs w:val="20"/>
                <w:highlight w:val="none"/>
                <w:u w:val="none"/>
                <w:lang w:eastAsia="zh-CN"/>
              </w:rPr>
              <w:t>。</w:t>
            </w:r>
          </w:p>
          <w:p w14:paraId="2D0542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3.多功能台车：可拆卸的储物篮，电源缆线专用放置架，防撞支架</w:t>
            </w:r>
            <w:r>
              <w:rPr>
                <w:rFonts w:hint="eastAsia" w:cs="宋体"/>
                <w:i w:val="0"/>
                <w:iCs w:val="0"/>
                <w:color w:val="auto"/>
                <w:sz w:val="20"/>
                <w:szCs w:val="20"/>
                <w:highlight w:val="none"/>
                <w:u w:val="none"/>
                <w:lang w:eastAsia="zh-CN"/>
              </w:rPr>
              <w:t>。</w:t>
            </w:r>
          </w:p>
          <w:p w14:paraId="7F93E1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4.专用旅行箱，可装载主机、探头及相关备件</w:t>
            </w:r>
            <w:r>
              <w:rPr>
                <w:rFonts w:hint="eastAsia" w:cs="宋体"/>
                <w:i w:val="0"/>
                <w:iCs w:val="0"/>
                <w:color w:val="auto"/>
                <w:sz w:val="20"/>
                <w:szCs w:val="20"/>
                <w:highlight w:val="none"/>
                <w:u w:val="none"/>
                <w:lang w:eastAsia="zh-CN"/>
              </w:rPr>
              <w:t>。</w:t>
            </w:r>
          </w:p>
          <w:p w14:paraId="47C984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五</w:t>
            </w:r>
            <w:r>
              <w:rPr>
                <w:rFonts w:hint="eastAsia" w:ascii="宋体" w:hAnsi="宋体" w:eastAsia="宋体" w:cs="宋体"/>
                <w:i w:val="0"/>
                <w:iCs w:val="0"/>
                <w:color w:val="auto"/>
                <w:sz w:val="20"/>
                <w:szCs w:val="20"/>
                <w:highlight w:val="none"/>
                <w:u w:val="none"/>
              </w:rPr>
              <w:t>、配置</w:t>
            </w:r>
          </w:p>
          <w:p w14:paraId="76F86B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1.主机1台</w:t>
            </w:r>
          </w:p>
          <w:p w14:paraId="3376609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2.凸阵探头1把，频率范围约：1.5-6.0MHz</w:t>
            </w:r>
          </w:p>
          <w:p w14:paraId="69303B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3.线阵探头1把，频率范围约：3.0-13.0MHz</w:t>
            </w:r>
          </w:p>
          <w:p w14:paraId="161888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4.心脏探头1把，频率范围约：1.5-4.5MHz</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C1B06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39404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476B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5405DA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96DC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高端便携式彩色多普勒超声诊断系统</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0274D9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名称：高端便携式彩色多普勒超声诊断系统</w:t>
            </w:r>
          </w:p>
          <w:p w14:paraId="645A75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sz w:val="20"/>
                <w:szCs w:val="20"/>
                <w:highlight w:val="none"/>
                <w:u w:val="none"/>
                <w:lang w:val="en-US" w:eastAsia="zh-CN"/>
              </w:rPr>
              <w:t>数量：2套</w:t>
            </w:r>
          </w:p>
          <w:p w14:paraId="7CE4CF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一、使用说明：腹部、妇科、产科、心脏、小器官与浅表组织、血管、颅脑, 泌尿、介入性超声、儿科、急诊、麻醉、等全身应用</w:t>
            </w:r>
          </w:p>
          <w:p w14:paraId="7449D5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二、技术规格：</w:t>
            </w:r>
          </w:p>
          <w:p w14:paraId="2B14D67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1.系统功能</w:t>
            </w:r>
          </w:p>
          <w:p w14:paraId="46BAF3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1.1≥15寸彩色显示屏，可根据环境自动调节亮度</w:t>
            </w:r>
          </w:p>
          <w:p w14:paraId="21693D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1.2探头接口1个，可扩展到3个</w:t>
            </w:r>
          </w:p>
          <w:p w14:paraId="4D0B7E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1.3整机重量≤6.5kg</w:t>
            </w:r>
          </w:p>
          <w:p w14:paraId="3B7F51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1.4支持用户自定义按键数量≥4个，同一个自定义键支持≥4个功能</w:t>
            </w:r>
          </w:p>
          <w:p w14:paraId="7DA575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1.5支持中文、英文等</w:t>
            </w:r>
          </w:p>
          <w:p w14:paraId="2110F3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2.二维灰阶模式</w:t>
            </w:r>
          </w:p>
          <w:p w14:paraId="3AA6E1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2.1组织谐波成像模式</w:t>
            </w:r>
          </w:p>
          <w:p w14:paraId="7A323E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2.2组织特异性成像</w:t>
            </w:r>
          </w:p>
          <w:p w14:paraId="749471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2.3具备空间复合成像技术，支持≥7条偏转线，多级可调，支持线阵和凸阵探头</w:t>
            </w:r>
          </w:p>
          <w:p w14:paraId="7C32BF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2.4具备频率复合成像</w:t>
            </w:r>
          </w:p>
          <w:p w14:paraId="3D49FEF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2.5具备斑点噪声抑制成像</w:t>
            </w:r>
          </w:p>
          <w:p w14:paraId="54774E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2.6具备回波增强技术</w:t>
            </w:r>
          </w:p>
          <w:p w14:paraId="583E97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3.M型成像模式</w:t>
            </w:r>
          </w:p>
          <w:p w14:paraId="7E679A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3.1彩色M型</w:t>
            </w:r>
          </w:p>
          <w:p w14:paraId="79CC4C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3.2解剖M型，取样线≥2条，可360度任意旋转，支持实时扫描以及离线重构M型图像</w:t>
            </w:r>
          </w:p>
          <w:p w14:paraId="62B44A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4.彩色多普勒成像（包括彩色、能量、方向能量多普勒模式）</w:t>
            </w:r>
          </w:p>
          <w:p w14:paraId="2F8C22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4.1超宽动态血流技术</w:t>
            </w:r>
          </w:p>
          <w:p w14:paraId="26097A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4.2高分辨率血流成像</w:t>
            </w:r>
          </w:p>
          <w:p w14:paraId="29BB967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4.3双实时同屏对比显示</w:t>
            </w:r>
          </w:p>
          <w:p w14:paraId="5AB10A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4.4自动调节取样框的角度及位置</w:t>
            </w:r>
          </w:p>
          <w:p w14:paraId="1A3C90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5.频谱多普勒成像</w:t>
            </w:r>
          </w:p>
          <w:p w14:paraId="62DF46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5.1脉冲多普勒、高脉冲重复频率</w:t>
            </w:r>
          </w:p>
          <w:p w14:paraId="3E49155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5.2连续多普勒</w:t>
            </w:r>
          </w:p>
          <w:p w14:paraId="62899D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5.3自动优化频谱多普勒取样线角度，快速矫正取样角度</w:t>
            </w:r>
          </w:p>
          <w:p w14:paraId="2287B8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6.组织多普勒成像及定量分析单元</w:t>
            </w:r>
          </w:p>
          <w:p w14:paraId="62AFEA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6.1支持TVI、TVD、TVM、TEI等模式（提供证明图片）</w:t>
            </w:r>
          </w:p>
          <w:p w14:paraId="1FC822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6.2具备TDI速度、应变、应变率定量分析工具</w:t>
            </w:r>
          </w:p>
          <w:p w14:paraId="06E1D3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6.3曲线解剖M型</w:t>
            </w:r>
          </w:p>
          <w:p w14:paraId="09A9A7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7.组织追踪定量分析单元</w:t>
            </w:r>
          </w:p>
          <w:p w14:paraId="701062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7.1自动追踪心肌运动</w:t>
            </w:r>
          </w:p>
          <w:p w14:paraId="62909E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7.2可分析≥</w:t>
            </w:r>
            <w:r>
              <w:rPr>
                <w:rFonts w:hint="eastAsia" w:cs="宋体"/>
                <w:i w:val="0"/>
                <w:iCs w:val="0"/>
                <w:color w:val="auto"/>
                <w:sz w:val="20"/>
                <w:szCs w:val="20"/>
                <w:highlight w:val="none"/>
                <w:u w:val="none"/>
                <w:lang w:val="en-US" w:eastAsia="zh-CN"/>
              </w:rPr>
              <w:t>6</w:t>
            </w:r>
            <w:r>
              <w:rPr>
                <w:rFonts w:hint="eastAsia" w:ascii="宋体" w:hAnsi="宋体" w:eastAsia="宋体" w:cs="宋体"/>
                <w:i w:val="0"/>
                <w:iCs w:val="0"/>
                <w:color w:val="auto"/>
                <w:sz w:val="20"/>
                <w:szCs w:val="20"/>
                <w:highlight w:val="none"/>
                <w:u w:val="none"/>
              </w:rPr>
              <w:t>个心脏切面，提供速度、位移和应变率等测量参数</w:t>
            </w:r>
          </w:p>
          <w:p w14:paraId="6CC436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7.3参数分析结果用牛眼图等显示</w:t>
            </w:r>
          </w:p>
          <w:p w14:paraId="693173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8.造影成像及定量分析单元</w:t>
            </w:r>
          </w:p>
          <w:p w14:paraId="3509F2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8.1用于腹部、浅表和微血管造影</w:t>
            </w:r>
          </w:p>
          <w:p w14:paraId="083448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8.2左室造影和心肌造影</w:t>
            </w:r>
          </w:p>
          <w:p w14:paraId="492BA1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8.3支持时间强度分析曲线和运动追踪</w:t>
            </w:r>
          </w:p>
          <w:p w14:paraId="4982B4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9.弹性成像及定量分析单元</w:t>
            </w:r>
          </w:p>
          <w:p w14:paraId="7AED3F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9</w:t>
            </w:r>
            <w:r>
              <w:rPr>
                <w:rFonts w:hint="eastAsia" w:ascii="宋体" w:hAnsi="宋体" w:eastAsia="宋体" w:cs="宋体"/>
                <w:i w:val="0"/>
                <w:iCs w:val="0"/>
                <w:color w:val="auto"/>
                <w:sz w:val="20"/>
                <w:szCs w:val="20"/>
                <w:highlight w:val="none"/>
                <w:u w:val="none"/>
              </w:rPr>
              <w:t>.1组织硬度定量分析软件和压力曲线提示图标</w:t>
            </w:r>
          </w:p>
          <w:p w14:paraId="3C6101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9</w:t>
            </w:r>
            <w:r>
              <w:rPr>
                <w:rFonts w:hint="eastAsia" w:ascii="宋体" w:hAnsi="宋体" w:eastAsia="宋体" w:cs="宋体"/>
                <w:i w:val="0"/>
                <w:iCs w:val="0"/>
                <w:color w:val="auto"/>
                <w:sz w:val="20"/>
                <w:szCs w:val="20"/>
                <w:highlight w:val="none"/>
                <w:u w:val="none"/>
              </w:rPr>
              <w:t>.2支持应变率测量和肿块周边组织弹性定量分析（提供证明图片）</w:t>
            </w:r>
            <w:r>
              <w:rPr>
                <w:rFonts w:hint="eastAsia" w:cs="宋体"/>
                <w:i w:val="0"/>
                <w:iCs w:val="0"/>
                <w:color w:val="auto"/>
                <w:sz w:val="20"/>
                <w:szCs w:val="20"/>
                <w:highlight w:val="none"/>
                <w:u w:val="none"/>
                <w:lang w:eastAsia="zh-CN"/>
              </w:rPr>
              <w:t>。</w:t>
            </w:r>
          </w:p>
          <w:p w14:paraId="38005E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10.实时宽景成像，支持凸阵、线阵和相控阵探头，具有扫描速度提示，可360度旋转</w:t>
            </w:r>
            <w:r>
              <w:rPr>
                <w:rFonts w:hint="eastAsia" w:cs="宋体"/>
                <w:i w:val="0"/>
                <w:iCs w:val="0"/>
                <w:color w:val="auto"/>
                <w:sz w:val="20"/>
                <w:szCs w:val="20"/>
                <w:highlight w:val="none"/>
                <w:u w:val="none"/>
                <w:lang w:eastAsia="zh-CN"/>
              </w:rPr>
              <w:t>。</w:t>
            </w:r>
          </w:p>
          <w:p w14:paraId="1089E6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11.一键自动优化（包括应用于二维、彩色、频谱模式、TDI及造影）</w:t>
            </w:r>
            <w:r>
              <w:rPr>
                <w:rFonts w:hint="eastAsia" w:cs="宋体"/>
                <w:i w:val="0"/>
                <w:iCs w:val="0"/>
                <w:color w:val="auto"/>
                <w:sz w:val="20"/>
                <w:szCs w:val="20"/>
                <w:highlight w:val="none"/>
                <w:u w:val="none"/>
                <w:lang w:eastAsia="zh-CN"/>
              </w:rPr>
              <w:t>。</w:t>
            </w:r>
          </w:p>
          <w:p w14:paraId="404DDC3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12.图像放大技术</w:t>
            </w:r>
          </w:p>
          <w:p w14:paraId="302314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12.1一键全屏放大</w:t>
            </w:r>
            <w:r>
              <w:rPr>
                <w:rFonts w:hint="eastAsia" w:cs="宋体"/>
                <w:i w:val="0"/>
                <w:iCs w:val="0"/>
                <w:color w:val="auto"/>
                <w:sz w:val="20"/>
                <w:szCs w:val="20"/>
                <w:highlight w:val="none"/>
                <w:u w:val="none"/>
                <w:lang w:eastAsia="zh-CN"/>
              </w:rPr>
              <w:t>。</w:t>
            </w:r>
          </w:p>
          <w:p w14:paraId="31DFB7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12.2≥10倍局部放大</w:t>
            </w:r>
            <w:r>
              <w:rPr>
                <w:rFonts w:hint="eastAsia" w:cs="宋体"/>
                <w:i w:val="0"/>
                <w:iCs w:val="0"/>
                <w:color w:val="auto"/>
                <w:sz w:val="20"/>
                <w:szCs w:val="20"/>
                <w:highlight w:val="none"/>
                <w:u w:val="none"/>
                <w:lang w:eastAsia="zh-CN"/>
              </w:rPr>
              <w:t>。</w:t>
            </w:r>
          </w:p>
          <w:p w14:paraId="6EEA683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13.自动工作流协议</w:t>
            </w:r>
          </w:p>
          <w:p w14:paraId="3AC4F6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13.1可根据医生习惯自定义检查规范</w:t>
            </w:r>
            <w:r>
              <w:rPr>
                <w:rFonts w:hint="eastAsia" w:cs="宋体"/>
                <w:i w:val="0"/>
                <w:iCs w:val="0"/>
                <w:color w:val="auto"/>
                <w:sz w:val="20"/>
                <w:szCs w:val="20"/>
                <w:highlight w:val="none"/>
                <w:u w:val="none"/>
                <w:lang w:eastAsia="zh-CN"/>
              </w:rPr>
              <w:t>。</w:t>
            </w:r>
          </w:p>
          <w:p w14:paraId="1A15ECE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13.2自动打开彩色、频谱成像模式，自动添加体位图和注释</w:t>
            </w:r>
            <w:r>
              <w:rPr>
                <w:rFonts w:hint="eastAsia" w:cs="宋体"/>
                <w:i w:val="0"/>
                <w:iCs w:val="0"/>
                <w:color w:val="auto"/>
                <w:sz w:val="20"/>
                <w:szCs w:val="20"/>
                <w:highlight w:val="none"/>
                <w:u w:val="none"/>
                <w:lang w:eastAsia="zh-CN"/>
              </w:rPr>
              <w:t>。</w:t>
            </w:r>
          </w:p>
          <w:p w14:paraId="3C9EA0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14.穿刺针增强技术</w:t>
            </w:r>
            <w:r>
              <w:rPr>
                <w:rFonts w:hint="eastAsia" w:cs="宋体"/>
                <w:i w:val="0"/>
                <w:iCs w:val="0"/>
                <w:color w:val="auto"/>
                <w:sz w:val="20"/>
                <w:szCs w:val="20"/>
                <w:highlight w:val="none"/>
                <w:u w:val="none"/>
                <w:lang w:eastAsia="zh-CN"/>
              </w:rPr>
              <w:t>。</w:t>
            </w:r>
          </w:p>
          <w:p w14:paraId="07FB38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14.1双屏实时对比显示增强前后效果</w:t>
            </w:r>
            <w:r>
              <w:rPr>
                <w:rFonts w:hint="eastAsia" w:cs="宋体"/>
                <w:i w:val="0"/>
                <w:iCs w:val="0"/>
                <w:color w:val="auto"/>
                <w:sz w:val="20"/>
                <w:szCs w:val="20"/>
                <w:highlight w:val="none"/>
                <w:u w:val="none"/>
                <w:lang w:eastAsia="zh-CN"/>
              </w:rPr>
              <w:t>。</w:t>
            </w:r>
          </w:p>
          <w:p w14:paraId="2C84CB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14.2增强平面角度可调</w:t>
            </w:r>
            <w:r>
              <w:rPr>
                <w:rFonts w:hint="eastAsia" w:cs="宋体"/>
                <w:i w:val="0"/>
                <w:iCs w:val="0"/>
                <w:color w:val="auto"/>
                <w:sz w:val="20"/>
                <w:szCs w:val="20"/>
                <w:highlight w:val="none"/>
                <w:u w:val="none"/>
                <w:lang w:eastAsia="zh-CN"/>
              </w:rPr>
              <w:t>。</w:t>
            </w:r>
          </w:p>
          <w:p w14:paraId="05FD3F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15.具备教学助手，能提供标准超声声像图、解剖示意图、手法图及扫查技巧提示等，并支持信息区域单窗口放大。</w:t>
            </w:r>
          </w:p>
          <w:p w14:paraId="495333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三</w:t>
            </w:r>
            <w:r>
              <w:rPr>
                <w:rFonts w:hint="eastAsia" w:ascii="宋体" w:hAnsi="宋体" w:eastAsia="宋体" w:cs="宋体"/>
                <w:i w:val="0"/>
                <w:iCs w:val="0"/>
                <w:color w:val="auto"/>
                <w:sz w:val="20"/>
                <w:szCs w:val="20"/>
                <w:highlight w:val="none"/>
                <w:u w:val="none"/>
              </w:rPr>
              <w:t>、 测量分析和报告</w:t>
            </w:r>
          </w:p>
          <w:p w14:paraId="53B015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1.常规测量，支持距离、椭圆、描迹测、体积、斜率等</w:t>
            </w:r>
            <w:r>
              <w:rPr>
                <w:rFonts w:hint="eastAsia" w:cs="宋体"/>
                <w:i w:val="0"/>
                <w:iCs w:val="0"/>
                <w:color w:val="auto"/>
                <w:sz w:val="20"/>
                <w:szCs w:val="20"/>
                <w:highlight w:val="none"/>
                <w:u w:val="none"/>
                <w:lang w:eastAsia="zh-CN"/>
              </w:rPr>
              <w:t>。</w:t>
            </w:r>
          </w:p>
          <w:p w14:paraId="2FC372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2.多普勒测量（自动或手动包络测量，自动计算测量参数）</w:t>
            </w:r>
            <w:r>
              <w:rPr>
                <w:rFonts w:hint="eastAsia" w:cs="宋体"/>
                <w:i w:val="0"/>
                <w:iCs w:val="0"/>
                <w:color w:val="auto"/>
                <w:sz w:val="20"/>
                <w:szCs w:val="20"/>
                <w:highlight w:val="none"/>
                <w:u w:val="none"/>
                <w:lang w:eastAsia="zh-CN"/>
              </w:rPr>
              <w:t>。</w:t>
            </w:r>
          </w:p>
          <w:p w14:paraId="59FD24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3.妇科/产科专用测量及分析</w:t>
            </w:r>
            <w:r>
              <w:rPr>
                <w:rFonts w:hint="eastAsia" w:cs="宋体"/>
                <w:i w:val="0"/>
                <w:iCs w:val="0"/>
                <w:color w:val="auto"/>
                <w:sz w:val="20"/>
                <w:szCs w:val="20"/>
                <w:highlight w:val="none"/>
                <w:u w:val="none"/>
                <w:lang w:eastAsia="zh-CN"/>
              </w:rPr>
              <w:t>。</w:t>
            </w:r>
          </w:p>
          <w:p w14:paraId="3E7968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 xml:space="preserve">3.1含多胎测量、胎儿生理评分、中国人群产科公式 </w:t>
            </w:r>
            <w:r>
              <w:rPr>
                <w:rFonts w:hint="eastAsia" w:cs="宋体"/>
                <w:i w:val="0"/>
                <w:iCs w:val="0"/>
                <w:color w:val="auto"/>
                <w:sz w:val="20"/>
                <w:szCs w:val="20"/>
                <w:highlight w:val="none"/>
                <w:u w:val="none"/>
                <w:lang w:eastAsia="zh-CN"/>
              </w:rPr>
              <w:t>。</w:t>
            </w:r>
          </w:p>
          <w:p w14:paraId="74623D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3.2自动产科测量（支持双顶径、头围、枕额径、股骨长、腹围）</w:t>
            </w:r>
            <w:r>
              <w:rPr>
                <w:rFonts w:hint="eastAsia" w:cs="宋体"/>
                <w:i w:val="0"/>
                <w:iCs w:val="0"/>
                <w:color w:val="auto"/>
                <w:sz w:val="20"/>
                <w:szCs w:val="20"/>
                <w:highlight w:val="none"/>
                <w:u w:val="none"/>
                <w:lang w:eastAsia="zh-CN"/>
              </w:rPr>
              <w:t>。</w:t>
            </w:r>
          </w:p>
          <w:p w14:paraId="7167962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3.3自动NT测量</w:t>
            </w:r>
            <w:r>
              <w:rPr>
                <w:rFonts w:hint="eastAsia" w:cs="宋体"/>
                <w:i w:val="0"/>
                <w:iCs w:val="0"/>
                <w:color w:val="auto"/>
                <w:sz w:val="20"/>
                <w:szCs w:val="20"/>
                <w:highlight w:val="none"/>
                <w:u w:val="none"/>
                <w:lang w:eastAsia="zh-CN"/>
              </w:rPr>
              <w:t>。</w:t>
            </w:r>
          </w:p>
          <w:p w14:paraId="159569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4.心脏功能专用测量及分析，包括Simpson BP，Tei指数分析，PISA等</w:t>
            </w:r>
            <w:r>
              <w:rPr>
                <w:rFonts w:hint="eastAsia" w:cs="宋体"/>
                <w:i w:val="0"/>
                <w:iCs w:val="0"/>
                <w:color w:val="auto"/>
                <w:sz w:val="20"/>
                <w:szCs w:val="20"/>
                <w:highlight w:val="none"/>
                <w:u w:val="none"/>
                <w:lang w:eastAsia="zh-CN"/>
              </w:rPr>
              <w:t>。</w:t>
            </w:r>
          </w:p>
          <w:p w14:paraId="10F919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5.血管内中膜自动测量1，可同时进行血管前、后壁的内中膜一段距离的自动描记、自动生成测量数据结果</w:t>
            </w:r>
            <w:r>
              <w:rPr>
                <w:rFonts w:hint="eastAsia" w:cs="宋体"/>
                <w:i w:val="0"/>
                <w:iCs w:val="0"/>
                <w:color w:val="auto"/>
                <w:sz w:val="20"/>
                <w:szCs w:val="20"/>
                <w:highlight w:val="none"/>
                <w:u w:val="none"/>
                <w:lang w:eastAsia="zh-CN"/>
              </w:rPr>
              <w:t>。</w:t>
            </w:r>
          </w:p>
          <w:p w14:paraId="7AE52C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6.Auto EF射血分数自动测量</w:t>
            </w:r>
            <w:r>
              <w:rPr>
                <w:rFonts w:hint="eastAsia" w:cs="宋体"/>
                <w:i w:val="0"/>
                <w:iCs w:val="0"/>
                <w:color w:val="auto"/>
                <w:sz w:val="20"/>
                <w:szCs w:val="20"/>
                <w:highlight w:val="none"/>
                <w:u w:val="none"/>
                <w:lang w:eastAsia="zh-CN"/>
              </w:rPr>
              <w:t>。</w:t>
            </w:r>
          </w:p>
          <w:p w14:paraId="4C26A6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6.1自动识别左室舒张期切面和左室收缩期切面</w:t>
            </w:r>
            <w:r>
              <w:rPr>
                <w:rFonts w:hint="eastAsia" w:cs="宋体"/>
                <w:i w:val="0"/>
                <w:iCs w:val="0"/>
                <w:color w:val="auto"/>
                <w:sz w:val="20"/>
                <w:szCs w:val="20"/>
                <w:highlight w:val="none"/>
                <w:u w:val="none"/>
                <w:lang w:eastAsia="zh-CN"/>
              </w:rPr>
              <w:t>。</w:t>
            </w:r>
          </w:p>
          <w:p w14:paraId="3D217E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6.2自动包络心内膜边界，自动计算左室舒张期容积、左室收缩期容积，左室射血分数EF以及每搏量SV</w:t>
            </w:r>
            <w:r>
              <w:rPr>
                <w:rFonts w:hint="eastAsia" w:cs="宋体"/>
                <w:i w:val="0"/>
                <w:iCs w:val="0"/>
                <w:color w:val="auto"/>
                <w:sz w:val="20"/>
                <w:szCs w:val="20"/>
                <w:highlight w:val="none"/>
                <w:u w:val="none"/>
                <w:lang w:eastAsia="zh-CN"/>
              </w:rPr>
              <w:t>。</w:t>
            </w:r>
          </w:p>
          <w:p w14:paraId="12D7BA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6.3支持心室容积随时间变化的容积变化曲线</w:t>
            </w:r>
            <w:r>
              <w:rPr>
                <w:rFonts w:hint="eastAsia" w:cs="宋体"/>
                <w:i w:val="0"/>
                <w:iCs w:val="0"/>
                <w:color w:val="auto"/>
                <w:sz w:val="20"/>
                <w:szCs w:val="20"/>
                <w:highlight w:val="none"/>
                <w:u w:val="none"/>
                <w:lang w:eastAsia="zh-CN"/>
              </w:rPr>
              <w:t>。</w:t>
            </w:r>
          </w:p>
          <w:p w14:paraId="4DDE4C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四</w:t>
            </w:r>
            <w:r>
              <w:rPr>
                <w:rFonts w:hint="eastAsia" w:ascii="宋体" w:hAnsi="宋体" w:eastAsia="宋体" w:cs="宋体"/>
                <w:i w:val="0"/>
                <w:iCs w:val="0"/>
                <w:color w:val="auto"/>
                <w:sz w:val="20"/>
                <w:szCs w:val="20"/>
                <w:highlight w:val="none"/>
                <w:u w:val="none"/>
              </w:rPr>
              <w:t>、电影回放及原始数据处理</w:t>
            </w:r>
          </w:p>
          <w:p w14:paraId="3B0F64A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2.1.电影回放</w:t>
            </w:r>
          </w:p>
          <w:p w14:paraId="7D8AB8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1.1所有模式下支持手动、自动回放</w:t>
            </w:r>
            <w:r>
              <w:rPr>
                <w:rFonts w:hint="eastAsia" w:cs="宋体"/>
                <w:i w:val="0"/>
                <w:iCs w:val="0"/>
                <w:color w:val="auto"/>
                <w:sz w:val="20"/>
                <w:szCs w:val="20"/>
                <w:highlight w:val="none"/>
                <w:u w:val="none"/>
                <w:lang w:eastAsia="zh-CN"/>
              </w:rPr>
              <w:t>。</w:t>
            </w:r>
          </w:p>
          <w:p w14:paraId="77CDE5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1.2支持向后存储和向前存储，时间长度可预置，向后存储≥5分钟的电影</w:t>
            </w:r>
            <w:r>
              <w:rPr>
                <w:rFonts w:hint="eastAsia" w:cs="宋体"/>
                <w:i w:val="0"/>
                <w:iCs w:val="0"/>
                <w:color w:val="auto"/>
                <w:sz w:val="20"/>
                <w:szCs w:val="20"/>
                <w:highlight w:val="none"/>
                <w:u w:val="none"/>
                <w:lang w:eastAsia="zh-CN"/>
              </w:rPr>
              <w:t>。</w:t>
            </w:r>
          </w:p>
          <w:p w14:paraId="770757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1.3支持保存后的图像同屏对比分析（动态、静态）</w:t>
            </w:r>
            <w:r>
              <w:rPr>
                <w:rFonts w:hint="eastAsia" w:cs="宋体"/>
                <w:i w:val="0"/>
                <w:iCs w:val="0"/>
                <w:color w:val="auto"/>
                <w:sz w:val="20"/>
                <w:szCs w:val="20"/>
                <w:highlight w:val="none"/>
                <w:u w:val="none"/>
                <w:lang w:eastAsia="zh-CN"/>
              </w:rPr>
              <w:t>。</w:t>
            </w:r>
          </w:p>
          <w:p w14:paraId="67DCCF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w:t>
            </w:r>
            <w:r>
              <w:rPr>
                <w:rFonts w:hint="eastAsia" w:cs="宋体"/>
                <w:i w:val="0"/>
                <w:iCs w:val="0"/>
                <w:color w:val="auto"/>
                <w:sz w:val="20"/>
                <w:szCs w:val="20"/>
                <w:highlight w:val="none"/>
                <w:u w:val="none"/>
                <w:lang w:val="en-US" w:eastAsia="zh-CN"/>
              </w:rPr>
              <w:t>2</w:t>
            </w:r>
            <w:r>
              <w:rPr>
                <w:rFonts w:hint="eastAsia" w:ascii="宋体" w:hAnsi="宋体" w:eastAsia="宋体" w:cs="宋体"/>
                <w:i w:val="0"/>
                <w:iCs w:val="0"/>
                <w:color w:val="auto"/>
                <w:sz w:val="20"/>
                <w:szCs w:val="20"/>
                <w:highlight w:val="none"/>
                <w:u w:val="none"/>
              </w:rPr>
              <w:t>原始数据处理，可对回放图像进行≥20个参数调节</w:t>
            </w:r>
            <w:r>
              <w:rPr>
                <w:rFonts w:hint="eastAsia" w:cs="宋体"/>
                <w:i w:val="0"/>
                <w:iCs w:val="0"/>
                <w:color w:val="auto"/>
                <w:sz w:val="20"/>
                <w:szCs w:val="20"/>
                <w:highlight w:val="none"/>
                <w:u w:val="none"/>
                <w:lang w:eastAsia="zh-CN"/>
              </w:rPr>
              <w:t>。</w:t>
            </w:r>
          </w:p>
          <w:p w14:paraId="171703D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五</w:t>
            </w:r>
            <w:r>
              <w:rPr>
                <w:rFonts w:hint="eastAsia" w:ascii="宋体" w:hAnsi="宋体" w:eastAsia="宋体" w:cs="宋体"/>
                <w:i w:val="0"/>
                <w:iCs w:val="0"/>
                <w:color w:val="auto"/>
                <w:sz w:val="20"/>
                <w:szCs w:val="20"/>
                <w:highlight w:val="none"/>
                <w:u w:val="none"/>
              </w:rPr>
              <w:t>、检查存储和管理</w:t>
            </w:r>
          </w:p>
          <w:p w14:paraId="5F4789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1.≥240G固态硬盘</w:t>
            </w:r>
            <w:r>
              <w:rPr>
                <w:rFonts w:hint="eastAsia" w:cs="宋体"/>
                <w:i w:val="0"/>
                <w:iCs w:val="0"/>
                <w:color w:val="auto"/>
                <w:sz w:val="20"/>
                <w:szCs w:val="20"/>
                <w:highlight w:val="none"/>
                <w:u w:val="none"/>
                <w:lang w:eastAsia="zh-CN"/>
              </w:rPr>
              <w:t>。</w:t>
            </w:r>
          </w:p>
          <w:p w14:paraId="5ACFBC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2.内置超声工作站，支持同步存储，即后台存储或导出图像数据的同时前台可以完成实时扫描</w:t>
            </w:r>
            <w:r>
              <w:rPr>
                <w:rFonts w:hint="eastAsia" w:cs="宋体"/>
                <w:i w:val="0"/>
                <w:iCs w:val="0"/>
                <w:color w:val="auto"/>
                <w:sz w:val="20"/>
                <w:szCs w:val="20"/>
                <w:highlight w:val="none"/>
                <w:u w:val="none"/>
                <w:lang w:eastAsia="zh-CN"/>
              </w:rPr>
              <w:t>。</w:t>
            </w:r>
          </w:p>
          <w:p w14:paraId="5803C0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3.动态图像、静态图像以PC格式直接导出（支持单帧图像文件包含： DCM、TIFF、BMP、JPG单帧，电影文件包括：CIN、AVI、DCM）。</w:t>
            </w:r>
          </w:p>
          <w:p w14:paraId="3B302BC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六</w:t>
            </w:r>
            <w:r>
              <w:rPr>
                <w:rFonts w:hint="eastAsia" w:ascii="宋体" w:hAnsi="宋体" w:eastAsia="宋体" w:cs="宋体"/>
                <w:i w:val="0"/>
                <w:iCs w:val="0"/>
                <w:color w:val="auto"/>
                <w:sz w:val="20"/>
                <w:szCs w:val="20"/>
                <w:highlight w:val="none"/>
                <w:u w:val="none"/>
              </w:rPr>
              <w:t>、技术参数及要求</w:t>
            </w:r>
          </w:p>
          <w:p w14:paraId="02CB98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1.二维灰阶模式</w:t>
            </w:r>
          </w:p>
          <w:p w14:paraId="4F5235D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1.1</w:t>
            </w:r>
            <w:r>
              <w:rPr>
                <w:rFonts w:hint="eastAsia"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扫描频率：电子凸阵：超声频率1.3-6.0MHz，支持扩展成像；电子相控阵：超声频率1.5-5.0MHz，扫描角度≥90°；电子线阵：超声频率3.0-13MHz，支持扩展成像</w:t>
            </w:r>
            <w:r>
              <w:rPr>
                <w:rFonts w:hint="eastAsia" w:cs="宋体"/>
                <w:i w:val="0"/>
                <w:iCs w:val="0"/>
                <w:color w:val="auto"/>
                <w:sz w:val="20"/>
                <w:szCs w:val="20"/>
                <w:highlight w:val="none"/>
                <w:u w:val="none"/>
                <w:lang w:eastAsia="zh-CN"/>
              </w:rPr>
              <w:t>。</w:t>
            </w:r>
          </w:p>
          <w:p w14:paraId="198E5A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w:t>
            </w:r>
            <w:r>
              <w:rPr>
                <w:rFonts w:hint="eastAsia"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最大显示深度:≥39cm</w:t>
            </w:r>
            <w:r>
              <w:rPr>
                <w:rFonts w:hint="eastAsia" w:cs="宋体"/>
                <w:i w:val="0"/>
                <w:iCs w:val="0"/>
                <w:color w:val="auto"/>
                <w:sz w:val="20"/>
                <w:szCs w:val="20"/>
                <w:highlight w:val="none"/>
                <w:u w:val="none"/>
                <w:lang w:eastAsia="zh-CN"/>
              </w:rPr>
              <w:t>。</w:t>
            </w:r>
          </w:p>
          <w:p w14:paraId="455E00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1.3</w:t>
            </w:r>
            <w:r>
              <w:rPr>
                <w:rFonts w:hint="eastAsia"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rPr>
              <w:t>TGC: ≥8段，LGC: ≥4段</w:t>
            </w:r>
            <w:r>
              <w:rPr>
                <w:rFonts w:hint="eastAsia" w:cs="宋体"/>
                <w:i w:val="0"/>
                <w:iCs w:val="0"/>
                <w:color w:val="auto"/>
                <w:sz w:val="20"/>
                <w:szCs w:val="20"/>
                <w:highlight w:val="none"/>
                <w:u w:val="none"/>
                <w:lang w:eastAsia="zh-CN"/>
              </w:rPr>
              <w:t>。</w:t>
            </w:r>
          </w:p>
          <w:p w14:paraId="289FFD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1.4动态范围: 30-190dB可调</w:t>
            </w:r>
            <w:r>
              <w:rPr>
                <w:rFonts w:hint="eastAsia" w:cs="宋体"/>
                <w:i w:val="0"/>
                <w:iCs w:val="0"/>
                <w:color w:val="auto"/>
                <w:sz w:val="20"/>
                <w:szCs w:val="20"/>
                <w:highlight w:val="none"/>
                <w:u w:val="none"/>
                <w:lang w:eastAsia="zh-CN"/>
              </w:rPr>
              <w:t>。</w:t>
            </w:r>
          </w:p>
          <w:p w14:paraId="4E27FB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1.5增益调节: B/M/D分别≥100独立可调</w:t>
            </w:r>
            <w:r>
              <w:rPr>
                <w:rFonts w:hint="eastAsia" w:cs="宋体"/>
                <w:i w:val="0"/>
                <w:iCs w:val="0"/>
                <w:color w:val="auto"/>
                <w:sz w:val="20"/>
                <w:szCs w:val="20"/>
                <w:highlight w:val="none"/>
                <w:u w:val="none"/>
                <w:lang w:eastAsia="zh-CN"/>
              </w:rPr>
              <w:t>。</w:t>
            </w:r>
          </w:p>
          <w:p w14:paraId="6A249C3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1.6伪彩图谱: ≥8种</w:t>
            </w:r>
            <w:r>
              <w:rPr>
                <w:rFonts w:hint="eastAsia" w:cs="宋体"/>
                <w:i w:val="0"/>
                <w:iCs w:val="0"/>
                <w:color w:val="auto"/>
                <w:sz w:val="20"/>
                <w:szCs w:val="20"/>
                <w:highlight w:val="none"/>
                <w:u w:val="none"/>
                <w:lang w:eastAsia="zh-CN"/>
              </w:rPr>
              <w:t>。</w:t>
            </w:r>
          </w:p>
          <w:p w14:paraId="24C8E3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1.7扫描帧率：相控阵探头18cm深，全视野二维帧频≥50帧/秒；凸阵探头18cm深，全视野二维帧频≥40帧/秒</w:t>
            </w:r>
            <w:r>
              <w:rPr>
                <w:rFonts w:hint="eastAsia" w:cs="宋体"/>
                <w:i w:val="0"/>
                <w:iCs w:val="0"/>
                <w:color w:val="auto"/>
                <w:sz w:val="20"/>
                <w:szCs w:val="20"/>
                <w:highlight w:val="none"/>
                <w:u w:val="none"/>
                <w:lang w:eastAsia="zh-CN"/>
              </w:rPr>
              <w:t>。</w:t>
            </w:r>
          </w:p>
          <w:p w14:paraId="7BF68B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2.彩色多普勒成像</w:t>
            </w:r>
          </w:p>
          <w:p w14:paraId="2CC246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2.1包括速度、速度方差、能量、方向能量显示等</w:t>
            </w:r>
            <w:r>
              <w:rPr>
                <w:rFonts w:hint="eastAsia" w:cs="宋体"/>
                <w:i w:val="0"/>
                <w:iCs w:val="0"/>
                <w:color w:val="auto"/>
                <w:sz w:val="20"/>
                <w:szCs w:val="20"/>
                <w:highlight w:val="none"/>
                <w:u w:val="none"/>
                <w:lang w:eastAsia="zh-CN"/>
              </w:rPr>
              <w:t>。</w:t>
            </w:r>
          </w:p>
          <w:p w14:paraId="004D3C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2.2显示方式：B/C、B/C/M、B/POWER、B/C/PW</w:t>
            </w:r>
            <w:r>
              <w:rPr>
                <w:rFonts w:hint="eastAsia" w:cs="宋体"/>
                <w:i w:val="0"/>
                <w:iCs w:val="0"/>
                <w:color w:val="auto"/>
                <w:sz w:val="20"/>
                <w:szCs w:val="20"/>
                <w:highlight w:val="none"/>
                <w:u w:val="none"/>
                <w:lang w:eastAsia="zh-CN"/>
              </w:rPr>
              <w:t>。</w:t>
            </w:r>
          </w:p>
          <w:p w14:paraId="0B49832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2.3取样框偏转: ≥±30度 (线阵探头)</w:t>
            </w:r>
            <w:r>
              <w:rPr>
                <w:rFonts w:hint="eastAsia" w:cs="宋体"/>
                <w:i w:val="0"/>
                <w:iCs w:val="0"/>
                <w:color w:val="auto"/>
                <w:sz w:val="20"/>
                <w:szCs w:val="20"/>
                <w:highlight w:val="none"/>
                <w:u w:val="none"/>
                <w:lang w:eastAsia="zh-CN"/>
              </w:rPr>
              <w:t>。</w:t>
            </w:r>
          </w:p>
          <w:p w14:paraId="3EC645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2.4扫描帧率：相控阵探头18cm深，高线密度全视野彩色帧频≥4帧/秒</w:t>
            </w:r>
            <w:r>
              <w:rPr>
                <w:rFonts w:hint="eastAsia" w:cs="宋体"/>
                <w:i w:val="0"/>
                <w:iCs w:val="0"/>
                <w:color w:val="auto"/>
                <w:sz w:val="20"/>
                <w:szCs w:val="20"/>
                <w:highlight w:val="none"/>
                <w:u w:val="none"/>
                <w:lang w:eastAsia="zh-CN"/>
              </w:rPr>
              <w:t>。</w:t>
            </w:r>
            <w:r>
              <w:rPr>
                <w:rFonts w:hint="eastAsia" w:ascii="宋体" w:hAnsi="宋体" w:eastAsia="宋体" w:cs="宋体"/>
                <w:i w:val="0"/>
                <w:iCs w:val="0"/>
                <w:color w:val="auto"/>
                <w:sz w:val="20"/>
                <w:szCs w:val="20"/>
                <w:highlight w:val="none"/>
                <w:u w:val="none"/>
              </w:rPr>
              <w:t>凸阵探头18cm深，高线密度全视野彩色帧频≥6帧/秒</w:t>
            </w:r>
            <w:r>
              <w:rPr>
                <w:rFonts w:hint="eastAsia" w:cs="宋体"/>
                <w:i w:val="0"/>
                <w:iCs w:val="0"/>
                <w:color w:val="auto"/>
                <w:sz w:val="20"/>
                <w:szCs w:val="20"/>
                <w:highlight w:val="none"/>
                <w:u w:val="none"/>
                <w:lang w:eastAsia="zh-CN"/>
              </w:rPr>
              <w:t>。</w:t>
            </w:r>
          </w:p>
          <w:p w14:paraId="2200A0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2.5支持B/C 同宽</w:t>
            </w:r>
            <w:r>
              <w:rPr>
                <w:rFonts w:hint="eastAsia" w:cs="宋体"/>
                <w:i w:val="0"/>
                <w:iCs w:val="0"/>
                <w:color w:val="auto"/>
                <w:sz w:val="20"/>
                <w:szCs w:val="20"/>
                <w:highlight w:val="none"/>
                <w:u w:val="none"/>
                <w:lang w:eastAsia="zh-CN"/>
              </w:rPr>
              <w:t>。</w:t>
            </w:r>
          </w:p>
          <w:p w14:paraId="074434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3.频谱多普勒模式</w:t>
            </w:r>
          </w:p>
          <w:p w14:paraId="2E53A1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3.1显示控制：反转、零移位、B刷新、D扩展、B/D扩展等</w:t>
            </w:r>
            <w:r>
              <w:rPr>
                <w:rFonts w:hint="eastAsia" w:cs="宋体"/>
                <w:i w:val="0"/>
                <w:iCs w:val="0"/>
                <w:color w:val="auto"/>
                <w:sz w:val="20"/>
                <w:szCs w:val="20"/>
                <w:highlight w:val="none"/>
                <w:u w:val="none"/>
                <w:lang w:eastAsia="zh-CN"/>
              </w:rPr>
              <w:t>。</w:t>
            </w:r>
          </w:p>
          <w:p w14:paraId="23C42A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3.2PW最大速度: ≥9.21m/s</w:t>
            </w:r>
            <w:r>
              <w:rPr>
                <w:rFonts w:hint="eastAsia" w:cs="宋体"/>
                <w:i w:val="0"/>
                <w:iCs w:val="0"/>
                <w:color w:val="auto"/>
                <w:sz w:val="20"/>
                <w:szCs w:val="20"/>
                <w:highlight w:val="none"/>
                <w:u w:val="none"/>
                <w:lang w:eastAsia="zh-CN"/>
              </w:rPr>
              <w:t>。</w:t>
            </w:r>
          </w:p>
          <w:p w14:paraId="126441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3.3最小速度: ≤5mm/s</w:t>
            </w:r>
            <w:r>
              <w:rPr>
                <w:rFonts w:hint="eastAsia" w:cs="宋体"/>
                <w:i w:val="0"/>
                <w:iCs w:val="0"/>
                <w:color w:val="auto"/>
                <w:sz w:val="20"/>
                <w:szCs w:val="20"/>
                <w:highlight w:val="none"/>
                <w:u w:val="none"/>
                <w:lang w:eastAsia="zh-CN"/>
              </w:rPr>
              <w:t>。</w:t>
            </w:r>
          </w:p>
          <w:p w14:paraId="46E1E4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 xml:space="preserve">3.4取样容积: 0.5-20mm </w:t>
            </w:r>
            <w:r>
              <w:rPr>
                <w:rFonts w:hint="eastAsia" w:cs="宋体"/>
                <w:i w:val="0"/>
                <w:iCs w:val="0"/>
                <w:color w:val="auto"/>
                <w:sz w:val="20"/>
                <w:szCs w:val="20"/>
                <w:highlight w:val="none"/>
                <w:u w:val="none"/>
                <w:lang w:eastAsia="zh-CN"/>
              </w:rPr>
              <w:t>。</w:t>
            </w:r>
          </w:p>
          <w:p w14:paraId="1C5A51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3.5偏转角度: ≥±30度 (线阵探头)</w:t>
            </w:r>
            <w:r>
              <w:rPr>
                <w:rFonts w:hint="eastAsia" w:cs="宋体"/>
                <w:i w:val="0"/>
                <w:iCs w:val="0"/>
                <w:color w:val="auto"/>
                <w:sz w:val="20"/>
                <w:szCs w:val="20"/>
                <w:highlight w:val="none"/>
                <w:u w:val="none"/>
                <w:lang w:eastAsia="zh-CN"/>
              </w:rPr>
              <w:t>。</w:t>
            </w:r>
          </w:p>
          <w:p w14:paraId="0A3742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3.6零位移动：≥8 级</w:t>
            </w:r>
            <w:r>
              <w:rPr>
                <w:rFonts w:hint="eastAsia" w:cs="宋体"/>
                <w:i w:val="0"/>
                <w:iCs w:val="0"/>
                <w:color w:val="auto"/>
                <w:sz w:val="20"/>
                <w:szCs w:val="20"/>
                <w:highlight w:val="none"/>
                <w:u w:val="none"/>
                <w:lang w:eastAsia="zh-CN"/>
              </w:rPr>
              <w:t>。</w:t>
            </w:r>
          </w:p>
          <w:p w14:paraId="030CE0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3.7快速角度校正</w:t>
            </w:r>
          </w:p>
          <w:p w14:paraId="23E428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sz w:val="20"/>
                <w:szCs w:val="20"/>
                <w:highlight w:val="none"/>
                <w:u w:val="none"/>
                <w:lang w:val="en-US" w:eastAsia="zh-CN"/>
              </w:rPr>
              <w:t>七</w:t>
            </w:r>
            <w:r>
              <w:rPr>
                <w:rFonts w:hint="eastAsia" w:ascii="宋体" w:hAnsi="宋体" w:eastAsia="宋体" w:cs="宋体"/>
                <w:i w:val="0"/>
                <w:iCs w:val="0"/>
                <w:color w:val="auto"/>
                <w:sz w:val="20"/>
                <w:szCs w:val="20"/>
                <w:highlight w:val="none"/>
                <w:u w:val="none"/>
              </w:rPr>
              <w:t>、连通性及配置要求</w:t>
            </w:r>
          </w:p>
          <w:p w14:paraId="5A402E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w:t>
            </w:r>
            <w:r>
              <w:rPr>
                <w:rFonts w:hint="eastAsia" w:cs="宋体"/>
                <w:i w:val="0"/>
                <w:iCs w:val="0"/>
                <w:color w:val="auto"/>
                <w:sz w:val="20"/>
                <w:szCs w:val="20"/>
                <w:highlight w:val="none"/>
                <w:u w:val="none"/>
                <w:lang w:val="en-US" w:eastAsia="zh-CN"/>
              </w:rPr>
              <w:t>.</w:t>
            </w:r>
            <w:r>
              <w:rPr>
                <w:rFonts w:hint="eastAsia" w:ascii="宋体" w:hAnsi="宋体" w:eastAsia="宋体" w:cs="宋体"/>
                <w:i w:val="0"/>
                <w:iCs w:val="0"/>
                <w:color w:val="auto"/>
                <w:sz w:val="20"/>
                <w:szCs w:val="20"/>
                <w:highlight w:val="none"/>
                <w:u w:val="none"/>
              </w:rPr>
              <w:t>数据接口:HDMI、USB3.0接口、音频接口等</w:t>
            </w:r>
            <w:r>
              <w:rPr>
                <w:rFonts w:hint="eastAsia" w:cs="宋体"/>
                <w:i w:val="0"/>
                <w:iCs w:val="0"/>
                <w:color w:val="auto"/>
                <w:sz w:val="20"/>
                <w:szCs w:val="20"/>
                <w:highlight w:val="none"/>
                <w:u w:val="none"/>
                <w:lang w:eastAsia="zh-CN"/>
              </w:rPr>
              <w:t>。</w:t>
            </w:r>
          </w:p>
          <w:p w14:paraId="09CB4B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1.2支持数据无线传输</w:t>
            </w:r>
            <w:r>
              <w:rPr>
                <w:rFonts w:hint="eastAsia" w:cs="宋体"/>
                <w:i w:val="0"/>
                <w:iCs w:val="0"/>
                <w:color w:val="auto"/>
                <w:sz w:val="20"/>
                <w:szCs w:val="20"/>
                <w:highlight w:val="none"/>
                <w:u w:val="none"/>
                <w:lang w:eastAsia="zh-CN"/>
              </w:rPr>
              <w:t>。</w:t>
            </w:r>
          </w:p>
          <w:p w14:paraId="599669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1.3支持DICOM3.0系统，可选配DICOM妇产科、心脏、血管、乳腺结构化报</w:t>
            </w:r>
          </w:p>
          <w:p w14:paraId="594282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1.4配台车：具备升降、防盗锁模块</w:t>
            </w:r>
            <w:r>
              <w:rPr>
                <w:rFonts w:hint="eastAsia" w:cs="宋体"/>
                <w:i w:val="0"/>
                <w:iCs w:val="0"/>
                <w:color w:val="auto"/>
                <w:sz w:val="20"/>
                <w:szCs w:val="20"/>
                <w:highlight w:val="none"/>
                <w:u w:val="none"/>
                <w:lang w:eastAsia="zh-CN"/>
              </w:rPr>
              <w:t>。</w:t>
            </w:r>
          </w:p>
          <w:p w14:paraId="751554D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rPr>
              <w:t>1.5专用便携箱，可装载主机、探头及相关备件</w:t>
            </w:r>
            <w:r>
              <w:rPr>
                <w:rFonts w:hint="eastAsia" w:cs="宋体"/>
                <w:i w:val="0"/>
                <w:iCs w:val="0"/>
                <w:color w:val="auto"/>
                <w:sz w:val="20"/>
                <w:szCs w:val="20"/>
                <w:highlight w:val="none"/>
                <w:u w:val="none"/>
                <w:lang w:eastAsia="zh-CN"/>
              </w:rPr>
              <w:t>。</w:t>
            </w:r>
          </w:p>
          <w:p w14:paraId="3CD5232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auto"/>
                <w:sz w:val="20"/>
                <w:szCs w:val="20"/>
                <w:highlight w:val="none"/>
                <w:u w:val="none"/>
              </w:rPr>
              <w:t>1.6探头配置：腹部探头一把；相控阵探头一把；浅表探头一把</w:t>
            </w:r>
            <w:r>
              <w:rPr>
                <w:rFonts w:hint="eastAsia" w:cs="宋体"/>
                <w:i w:val="0"/>
                <w:iCs w:val="0"/>
                <w:color w:val="auto"/>
                <w:sz w:val="20"/>
                <w:szCs w:val="20"/>
                <w:highlight w:val="none"/>
                <w:u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30AD09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3C3679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bl>
    <w:p w14:paraId="45E43CB6">
      <w:pPr>
        <w:pStyle w:val="36"/>
        <w:ind w:firstLine="0"/>
        <w:rPr>
          <w:rFonts w:hint="eastAsia" w:ascii="宋体" w:hAnsi="宋体" w:eastAsia="宋体" w:cs="宋体"/>
          <w:b/>
          <w:bCs/>
          <w:snapToGrid w:val="0"/>
          <w:color w:val="auto"/>
          <w:szCs w:val="24"/>
          <w:highlight w:val="none"/>
          <w:lang w:val="en-US" w:eastAsia="zh-CN"/>
        </w:rPr>
      </w:pPr>
    </w:p>
    <w:p w14:paraId="6E50DEEC">
      <w:pPr>
        <w:pStyle w:val="36"/>
        <w:ind w:firstLine="0"/>
        <w:rPr>
          <w:rFonts w:hint="eastAsia" w:ascii="宋体" w:hAnsi="宋体" w:eastAsia="宋体" w:cs="宋体"/>
          <w:b/>
          <w:bCs/>
          <w:snapToGrid w:val="0"/>
          <w:color w:val="auto"/>
          <w:szCs w:val="24"/>
          <w:highlight w:val="none"/>
          <w:lang w:val="en-US"/>
        </w:rPr>
      </w:pPr>
      <w:r>
        <w:rPr>
          <w:rFonts w:hint="eastAsia" w:ascii="宋体" w:hAnsi="宋体" w:eastAsia="宋体" w:cs="宋体"/>
          <w:b/>
          <w:bCs/>
          <w:snapToGrid w:val="0"/>
          <w:color w:val="auto"/>
          <w:szCs w:val="24"/>
          <w:highlight w:val="none"/>
          <w:lang w:val="en-US" w:eastAsia="zh-CN"/>
        </w:rPr>
        <w:t>四、</w:t>
      </w:r>
      <w:r>
        <w:rPr>
          <w:rFonts w:hint="eastAsia" w:ascii="宋体" w:hAnsi="宋体" w:eastAsia="宋体" w:cs="宋体"/>
          <w:b/>
          <w:bCs/>
          <w:snapToGrid w:val="0"/>
          <w:color w:val="auto"/>
          <w:szCs w:val="24"/>
          <w:highlight w:val="none"/>
          <w:lang w:val="en-US"/>
        </w:rPr>
        <w:t>其他要求：</w:t>
      </w:r>
    </w:p>
    <w:p w14:paraId="110937E4">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(1)</w:t>
      </w:r>
      <w:r>
        <w:rPr>
          <w:rFonts w:hint="eastAsia" w:ascii="宋体" w:hAnsi="宋体" w:eastAsia="宋体" w:cs="宋体"/>
          <w:color w:val="auto"/>
          <w:szCs w:val="24"/>
          <w:highlight w:val="none"/>
        </w:rPr>
        <w:t>技术参数中有具体数值参数要求的及有具体功能要求的，必须提供技术参数或功能实现的相关证明材料，相关证明材料包含但不限于提供响应产品彩页或检验检测报告或功能截图或证书或厂家使用说明书</w:t>
      </w:r>
      <w:r>
        <w:rPr>
          <w:rFonts w:hint="eastAsia" w:cs="宋体"/>
          <w:color w:val="auto"/>
          <w:szCs w:val="24"/>
          <w:highlight w:val="none"/>
          <w:lang w:val="en-US" w:eastAsia="zh-CN"/>
        </w:rPr>
        <w:t>或技术白皮书</w:t>
      </w:r>
      <w:r>
        <w:rPr>
          <w:rFonts w:hint="eastAsia" w:ascii="宋体" w:hAnsi="宋体" w:eastAsia="宋体" w:cs="宋体"/>
          <w:color w:val="auto"/>
          <w:szCs w:val="24"/>
          <w:highlight w:val="none"/>
        </w:rPr>
        <w:t>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0A140B18">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2</w:t>
      </w:r>
      <w:r>
        <w:rPr>
          <w:rFonts w:hint="eastAsia" w:ascii="宋体" w:hAnsi="宋体" w:eastAsia="宋体" w:cs="宋体"/>
          <w:snapToGrid w:val="0"/>
          <w:color w:val="auto"/>
          <w:szCs w:val="24"/>
          <w:highlight w:val="none"/>
          <w:lang w:val="en-US"/>
        </w:rPr>
        <w:t>）供应商须对本采购文件技术参数要求进行点对点应答,根据技术参数进行逐条逐项答复、说明和解释,在技术参数偏离表中标注产品实际参数值及在《投标文件》中的页码，建议在证明材料中重点标出具体参数值，因未标注导致无法有效核对的，评标委员会有权要求澄清或不予认定该条参数响应有效。</w:t>
      </w:r>
    </w:p>
    <w:p w14:paraId="590FBC42">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供应商在技术参数偏离表中标注产品实际参数，照搬照抄采购文件参数、不注明实际参数者视为未响应。</w:t>
      </w:r>
    </w:p>
    <w:p w14:paraId="4B7C4FEF">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3</w:t>
      </w:r>
      <w:r>
        <w:rPr>
          <w:rFonts w:hint="eastAsia" w:ascii="宋体" w:hAnsi="宋体" w:eastAsia="宋体" w:cs="宋体"/>
          <w:snapToGrid w:val="0"/>
          <w:color w:val="auto"/>
          <w:szCs w:val="24"/>
          <w:highlight w:val="none"/>
          <w:lang w:val="en-US"/>
        </w:rPr>
        <w:t>）本项目为“交钥匙项目”各项购买货物及其运送、安装、调试、保险和相关服务等的费用及所需缴纳的所有价格、税、费等均应包含在单台设备的报价中不得单列。</w:t>
      </w:r>
    </w:p>
    <w:p w14:paraId="2279E69B">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4</w:t>
      </w:r>
      <w:r>
        <w:rPr>
          <w:rFonts w:hint="eastAsia" w:ascii="宋体" w:hAnsi="宋体" w:eastAsia="宋体" w:cs="宋体"/>
          <w:snapToGrid w:val="0"/>
          <w:color w:val="auto"/>
          <w:szCs w:val="24"/>
          <w:highlight w:val="none"/>
          <w:lang w:val="en-US"/>
        </w:rPr>
        <w:t>）如对本招标文件有任何疑问或要求澄清，请按本招标文件的规定提出，否则视同理解和接受。</w:t>
      </w:r>
    </w:p>
    <w:p w14:paraId="1056ACEE">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5</w:t>
      </w:r>
      <w:r>
        <w:rPr>
          <w:rFonts w:hint="eastAsia" w:ascii="宋体" w:hAnsi="宋体" w:eastAsia="宋体" w:cs="宋体"/>
          <w:snapToGrid w:val="0"/>
          <w:color w:val="auto"/>
          <w:szCs w:val="24"/>
          <w:highlight w:val="none"/>
          <w:lang w:val="en-US"/>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31B6273A">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6</w:t>
      </w:r>
      <w:r>
        <w:rPr>
          <w:rFonts w:hint="eastAsia" w:ascii="宋体" w:hAnsi="宋体" w:eastAsia="宋体" w:cs="宋体"/>
          <w:snapToGrid w:val="0"/>
          <w:color w:val="auto"/>
          <w:szCs w:val="24"/>
          <w:highlight w:val="none"/>
          <w:lang w:val="en-US"/>
        </w:rPr>
        <w:t>）投标人如欲在项目实施过程中采用自有知识成果，须在投标文件中声明，并提供相关知识产权证明文件。使用该知识成果后，投标人须提供开发接口和开发手册等技术文档。</w:t>
      </w:r>
    </w:p>
    <w:p w14:paraId="6CE3682F">
      <w:pPr>
        <w:rPr>
          <w:rFonts w:hint="eastAsia" w:ascii="宋体" w:hAnsi="宋体" w:eastAsia="宋体" w:cs="宋体"/>
          <w:b/>
          <w:bCs/>
          <w:color w:val="auto"/>
          <w:spacing w:val="-1"/>
          <w:szCs w:val="24"/>
          <w:highlight w:val="none"/>
        </w:rPr>
      </w:pPr>
    </w:p>
    <w:p w14:paraId="059ACF90">
      <w:pPr>
        <w:rPr>
          <w:rFonts w:hint="eastAsia" w:ascii="宋体" w:hAnsi="宋体" w:eastAsia="宋体" w:cs="宋体"/>
          <w:b/>
          <w:bCs/>
          <w:color w:val="auto"/>
          <w:spacing w:val="-1"/>
          <w:szCs w:val="24"/>
          <w:highlight w:val="none"/>
        </w:rPr>
      </w:pPr>
    </w:p>
    <w:p w14:paraId="1E343A26">
      <w:pPr>
        <w:rPr>
          <w:rFonts w:hint="eastAsia" w:ascii="宋体" w:hAnsi="宋体" w:eastAsia="宋体" w:cs="宋体"/>
          <w:b/>
          <w:bCs/>
          <w:color w:val="auto"/>
          <w:spacing w:val="-1"/>
          <w:szCs w:val="24"/>
          <w:highlight w:val="none"/>
        </w:rPr>
      </w:pPr>
    </w:p>
    <w:p w14:paraId="5F743D23">
      <w:pPr>
        <w:rPr>
          <w:rFonts w:hint="eastAsia" w:ascii="宋体" w:hAnsi="宋体" w:eastAsia="宋体" w:cs="宋体"/>
          <w:b/>
          <w:bCs/>
          <w:color w:val="auto"/>
          <w:spacing w:val="-1"/>
          <w:szCs w:val="24"/>
          <w:highlight w:val="none"/>
        </w:rPr>
      </w:pPr>
    </w:p>
    <w:p w14:paraId="3D637B68">
      <w:pPr>
        <w:rPr>
          <w:rFonts w:hint="eastAsia" w:ascii="宋体" w:hAnsi="宋体" w:eastAsia="宋体" w:cs="宋体"/>
          <w:b/>
          <w:bCs/>
          <w:color w:val="auto"/>
          <w:spacing w:val="-1"/>
          <w:szCs w:val="24"/>
          <w:highlight w:val="none"/>
        </w:rPr>
      </w:pPr>
    </w:p>
    <w:p w14:paraId="2E0D5FE9">
      <w:pPr>
        <w:rPr>
          <w:rFonts w:hint="eastAsia" w:ascii="宋体" w:hAnsi="宋体" w:eastAsia="宋体" w:cs="宋体"/>
          <w:b/>
          <w:bCs/>
          <w:color w:val="auto"/>
          <w:spacing w:val="-1"/>
          <w:szCs w:val="24"/>
          <w:highlight w:val="none"/>
        </w:rPr>
      </w:pPr>
    </w:p>
    <w:p w14:paraId="359BE0E9">
      <w:pPr>
        <w:rPr>
          <w:rFonts w:hint="eastAsia" w:ascii="宋体" w:hAnsi="宋体" w:eastAsia="宋体" w:cs="宋体"/>
          <w:b/>
          <w:bCs/>
          <w:color w:val="auto"/>
          <w:spacing w:val="-1"/>
          <w:szCs w:val="24"/>
          <w:highlight w:val="none"/>
        </w:rPr>
      </w:pPr>
    </w:p>
    <w:p w14:paraId="1150EAEF">
      <w:pPr>
        <w:rPr>
          <w:rFonts w:hint="eastAsia" w:ascii="宋体" w:hAnsi="宋体" w:eastAsia="宋体" w:cs="宋体"/>
          <w:b/>
          <w:bCs/>
          <w:color w:val="auto"/>
          <w:spacing w:val="-1"/>
          <w:szCs w:val="24"/>
          <w:highlight w:val="none"/>
        </w:rPr>
      </w:pPr>
    </w:p>
    <w:p w14:paraId="7E529133">
      <w:pPr>
        <w:rPr>
          <w:rFonts w:hint="eastAsia" w:ascii="宋体" w:hAnsi="宋体" w:eastAsia="宋体" w:cs="宋体"/>
          <w:b/>
          <w:bCs/>
          <w:color w:val="auto"/>
          <w:spacing w:val="-1"/>
          <w:szCs w:val="24"/>
          <w:highlight w:val="none"/>
        </w:rPr>
      </w:pPr>
    </w:p>
    <w:p w14:paraId="5FB36795">
      <w:pPr>
        <w:rPr>
          <w:rFonts w:hint="eastAsia" w:ascii="宋体" w:hAnsi="宋体" w:eastAsia="宋体" w:cs="宋体"/>
          <w:b/>
          <w:bCs/>
          <w:color w:val="auto"/>
          <w:spacing w:val="-1"/>
          <w:szCs w:val="24"/>
          <w:highlight w:val="none"/>
        </w:rPr>
      </w:pPr>
    </w:p>
    <w:p w14:paraId="237A8583">
      <w:pPr>
        <w:rPr>
          <w:rFonts w:hint="eastAsia" w:ascii="宋体" w:hAnsi="宋体" w:eastAsia="宋体" w:cs="宋体"/>
          <w:b/>
          <w:bCs/>
          <w:color w:val="auto"/>
          <w:spacing w:val="-1"/>
          <w:szCs w:val="24"/>
          <w:highlight w:val="none"/>
        </w:rPr>
      </w:pPr>
    </w:p>
    <w:p w14:paraId="5DC8B3E1">
      <w:pPr>
        <w:rPr>
          <w:rFonts w:hint="eastAsia" w:ascii="宋体" w:hAnsi="宋体" w:eastAsia="宋体" w:cs="宋体"/>
          <w:b/>
          <w:bCs/>
          <w:color w:val="auto"/>
          <w:spacing w:val="-1"/>
          <w:szCs w:val="24"/>
          <w:highlight w:val="none"/>
        </w:rPr>
      </w:pPr>
    </w:p>
    <w:p w14:paraId="5948337C">
      <w:pPr>
        <w:rPr>
          <w:rFonts w:hint="eastAsia" w:ascii="宋体" w:hAnsi="宋体" w:eastAsia="宋体" w:cs="宋体"/>
          <w:b/>
          <w:bCs/>
          <w:color w:val="auto"/>
          <w:spacing w:val="-1"/>
          <w:szCs w:val="24"/>
          <w:highlight w:val="none"/>
        </w:rPr>
      </w:pPr>
    </w:p>
    <w:p w14:paraId="41383349">
      <w:pPr>
        <w:rPr>
          <w:rFonts w:hint="eastAsia" w:ascii="宋体" w:hAnsi="宋体" w:eastAsia="宋体" w:cs="宋体"/>
          <w:b/>
          <w:bCs/>
          <w:color w:val="auto"/>
          <w:spacing w:val="-1"/>
          <w:szCs w:val="24"/>
          <w:highlight w:val="none"/>
        </w:rPr>
      </w:pPr>
    </w:p>
    <w:p w14:paraId="62660AA9">
      <w:pPr>
        <w:rPr>
          <w:rFonts w:hint="eastAsia" w:ascii="宋体" w:hAnsi="宋体" w:eastAsia="宋体" w:cs="宋体"/>
          <w:b/>
          <w:bCs/>
          <w:color w:val="auto"/>
          <w:spacing w:val="-1"/>
          <w:szCs w:val="24"/>
          <w:highlight w:val="none"/>
        </w:rPr>
      </w:pPr>
    </w:p>
    <w:p w14:paraId="5DF6A3DC">
      <w:pPr>
        <w:rPr>
          <w:rFonts w:hint="eastAsia" w:ascii="宋体" w:hAnsi="宋体" w:eastAsia="宋体" w:cs="宋体"/>
          <w:b/>
          <w:bCs/>
          <w:color w:val="auto"/>
          <w:spacing w:val="-1"/>
          <w:szCs w:val="24"/>
          <w:highlight w:val="none"/>
        </w:rPr>
      </w:pPr>
    </w:p>
    <w:p w14:paraId="1EB32802">
      <w:pPr>
        <w:rPr>
          <w:rFonts w:hint="eastAsia" w:ascii="宋体" w:hAnsi="宋体" w:eastAsia="宋体" w:cs="宋体"/>
          <w:b/>
          <w:bCs/>
          <w:color w:val="auto"/>
          <w:spacing w:val="-1"/>
          <w:szCs w:val="24"/>
          <w:highlight w:val="none"/>
        </w:rPr>
      </w:pPr>
    </w:p>
    <w:p w14:paraId="576FA3EB">
      <w:pPr>
        <w:rPr>
          <w:rFonts w:hint="eastAsia" w:ascii="宋体" w:hAnsi="宋体" w:eastAsia="宋体" w:cs="宋体"/>
          <w:b/>
          <w:bCs/>
          <w:color w:val="auto"/>
          <w:spacing w:val="-1"/>
          <w:szCs w:val="24"/>
          <w:highlight w:val="none"/>
        </w:rPr>
      </w:pPr>
    </w:p>
    <w:p w14:paraId="35C763CA">
      <w:pPr>
        <w:rPr>
          <w:rFonts w:hint="eastAsia" w:ascii="宋体" w:hAnsi="宋体" w:eastAsia="宋体" w:cs="宋体"/>
          <w:b/>
          <w:bCs/>
          <w:color w:val="auto"/>
          <w:spacing w:val="-1"/>
          <w:szCs w:val="24"/>
          <w:highlight w:val="none"/>
        </w:rPr>
      </w:pPr>
    </w:p>
    <w:bookmarkEnd w:id="450"/>
    <w:bookmarkEnd w:id="451"/>
    <w:p w14:paraId="7B6FB5EF">
      <w:pPr>
        <w:pStyle w:val="2"/>
        <w:spacing w:before="100" w:after="100" w:line="480" w:lineRule="auto"/>
        <w:ind w:left="420" w:hanging="420"/>
        <w:jc w:val="center"/>
        <w:rPr>
          <w:rFonts w:hint="eastAsia" w:ascii="宋体" w:hAnsi="宋体" w:eastAsia="宋体" w:cs="宋体"/>
          <w:bCs/>
          <w:color w:val="auto"/>
          <w:sz w:val="36"/>
          <w:szCs w:val="36"/>
          <w:highlight w:val="none"/>
        </w:rPr>
      </w:pPr>
      <w:bookmarkStart w:id="453" w:name="_Toc16160"/>
      <w:bookmarkStart w:id="454" w:name="_Toc29841"/>
      <w:bookmarkStart w:id="455" w:name="_Toc155185895"/>
      <w:r>
        <w:rPr>
          <w:rFonts w:hint="eastAsia" w:ascii="宋体" w:hAnsi="宋体" w:eastAsia="宋体" w:cs="宋体"/>
          <w:bCs/>
          <w:color w:val="auto"/>
          <w:sz w:val="36"/>
          <w:szCs w:val="36"/>
          <w:highlight w:val="none"/>
        </w:rPr>
        <w:t>第四章 资格审查</w:t>
      </w:r>
      <w:bookmarkEnd w:id="453"/>
      <w:bookmarkEnd w:id="454"/>
      <w:bookmarkEnd w:id="455"/>
    </w:p>
    <w:p w14:paraId="2A164994">
      <w:pPr>
        <w:pStyle w:val="3"/>
        <w:spacing w:before="60" w:after="60" w:line="240" w:lineRule="auto"/>
        <w:ind w:left="420" w:hanging="420"/>
        <w:rPr>
          <w:rFonts w:hint="eastAsia" w:ascii="宋体" w:hAnsi="宋体" w:eastAsia="宋体" w:cs="宋体"/>
          <w:color w:val="auto"/>
          <w:sz w:val="28"/>
          <w:szCs w:val="28"/>
          <w:highlight w:val="none"/>
          <w:lang w:val="zh-CN"/>
        </w:rPr>
      </w:pPr>
      <w:bookmarkStart w:id="456" w:name="_Toc16612"/>
      <w:r>
        <w:rPr>
          <w:rFonts w:hint="eastAsia" w:ascii="宋体" w:hAnsi="宋体" w:eastAsia="宋体" w:cs="宋体"/>
          <w:color w:val="auto"/>
          <w:sz w:val="28"/>
          <w:szCs w:val="28"/>
          <w:highlight w:val="none"/>
        </w:rPr>
        <w:t>一、资格审查程序</w:t>
      </w:r>
      <w:bookmarkEnd w:id="456"/>
      <w:r>
        <w:rPr>
          <w:rFonts w:hint="eastAsia" w:ascii="宋体" w:hAnsi="宋体" w:eastAsia="宋体" w:cs="宋体"/>
          <w:color w:val="auto"/>
          <w:sz w:val="28"/>
          <w:szCs w:val="28"/>
          <w:highlight w:val="none"/>
        </w:rPr>
        <w:t xml:space="preserve"> </w:t>
      </w:r>
    </w:p>
    <w:p w14:paraId="63812F09">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1 开标结束后，采购人或采购代理机构将根据《资格审查要求》中的规定，对投标人进行资格审查，并形成资格审查结果。 </w:t>
      </w:r>
    </w:p>
    <w:p w14:paraId="1A98ECD8">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 投标人《资格证明文件》有任何一项不符合《资格审查要求》的，资格审查不合格，其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 xml:space="preserve">。 </w:t>
      </w:r>
    </w:p>
    <w:p w14:paraId="5C30E923">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3 资格审查合格的投标人不足 3 家的，不进行评标。 </w:t>
      </w:r>
    </w:p>
    <w:p w14:paraId="1F084569">
      <w:pPr>
        <w:pStyle w:val="3"/>
        <w:spacing w:before="60" w:after="60" w:line="240" w:lineRule="auto"/>
        <w:ind w:left="420" w:hanging="420"/>
        <w:rPr>
          <w:rFonts w:hint="eastAsia" w:ascii="宋体" w:hAnsi="宋体" w:eastAsia="宋体" w:cs="宋体"/>
          <w:color w:val="auto"/>
          <w:sz w:val="28"/>
          <w:szCs w:val="28"/>
          <w:highlight w:val="none"/>
        </w:rPr>
      </w:pPr>
      <w:bookmarkStart w:id="457" w:name="_Toc2211"/>
      <w:r>
        <w:rPr>
          <w:rFonts w:hint="eastAsia" w:ascii="宋体" w:hAnsi="宋体" w:eastAsia="宋体" w:cs="宋体"/>
          <w:color w:val="auto"/>
          <w:sz w:val="28"/>
          <w:szCs w:val="28"/>
          <w:highlight w:val="none"/>
        </w:rPr>
        <w:t>二、资格审查要求</w:t>
      </w:r>
      <w:bookmarkEnd w:id="457"/>
      <w:r>
        <w:rPr>
          <w:rFonts w:hint="eastAsia" w:ascii="宋体" w:hAnsi="宋体" w:eastAsia="宋体" w:cs="宋体"/>
          <w:color w:val="auto"/>
          <w:sz w:val="28"/>
          <w:szCs w:val="28"/>
          <w:highlight w:val="none"/>
        </w:rPr>
        <w:t xml:space="preserve"> </w:t>
      </w:r>
    </w:p>
    <w:tbl>
      <w:tblPr>
        <w:tblStyle w:val="22"/>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57"/>
        <w:gridCol w:w="2045"/>
        <w:gridCol w:w="4260"/>
        <w:gridCol w:w="1716"/>
      </w:tblGrid>
      <w:tr w14:paraId="06C0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4" w:hRule="atLeast"/>
          <w:jc w:val="center"/>
        </w:trPr>
        <w:tc>
          <w:tcPr>
            <w:tcW w:w="267" w:type="pct"/>
            <w:shd w:val="clear" w:color="auto" w:fill="D8D8D8"/>
            <w:noWrap w:val="0"/>
            <w:vAlign w:val="center"/>
          </w:tcPr>
          <w:p w14:paraId="7572A009">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1207" w:type="pct"/>
            <w:shd w:val="clear" w:color="auto" w:fill="D8D8D8"/>
            <w:noWrap w:val="0"/>
            <w:vAlign w:val="center"/>
          </w:tcPr>
          <w:p w14:paraId="1E42411F">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512" w:type="pct"/>
            <w:shd w:val="clear" w:color="auto" w:fill="D8D8D8"/>
            <w:noWrap w:val="0"/>
            <w:vAlign w:val="center"/>
          </w:tcPr>
          <w:p w14:paraId="5A5E29A5">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noWrap w:val="0"/>
            <w:vAlign w:val="center"/>
          </w:tcPr>
          <w:p w14:paraId="7863E97C">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44E4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6A730E11">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w:t>
            </w:r>
          </w:p>
        </w:tc>
        <w:tc>
          <w:tcPr>
            <w:tcW w:w="1207" w:type="pct"/>
            <w:shd w:val="clear" w:color="auto" w:fill="FFFFFF"/>
            <w:noWrap w:val="0"/>
            <w:vAlign w:val="center"/>
          </w:tcPr>
          <w:p w14:paraId="521A1BD5">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512" w:type="pct"/>
            <w:shd w:val="clear" w:color="auto" w:fill="FFFFFF"/>
            <w:noWrap w:val="0"/>
            <w:vAlign w:val="center"/>
          </w:tcPr>
          <w:p w14:paraId="450830C5">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666098BF">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r w14:paraId="2AE6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1286B51B">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w:t>
            </w:r>
          </w:p>
        </w:tc>
        <w:tc>
          <w:tcPr>
            <w:tcW w:w="1207" w:type="pct"/>
            <w:shd w:val="clear" w:color="auto" w:fill="FFFFFF"/>
            <w:noWrap w:val="0"/>
            <w:vAlign w:val="center"/>
          </w:tcPr>
          <w:p w14:paraId="66884777">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512" w:type="pct"/>
            <w:shd w:val="clear" w:color="auto" w:fill="FFFFFF"/>
            <w:noWrap w:val="0"/>
            <w:vAlign w:val="center"/>
          </w:tcPr>
          <w:p w14:paraId="43D2A368">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30"/>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1FC3F49C">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3648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0BF2E062">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p>
        </w:tc>
        <w:tc>
          <w:tcPr>
            <w:tcW w:w="1207" w:type="pct"/>
            <w:shd w:val="clear" w:color="auto" w:fill="FFFFFF"/>
            <w:noWrap w:val="0"/>
            <w:vAlign w:val="center"/>
          </w:tcPr>
          <w:p w14:paraId="0BDD6719">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512" w:type="pct"/>
            <w:shd w:val="clear" w:color="auto" w:fill="FFFFFF"/>
            <w:noWrap w:val="0"/>
            <w:vAlign w:val="center"/>
          </w:tcPr>
          <w:p w14:paraId="25E2311A">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w:t>
            </w:r>
          </w:p>
        </w:tc>
        <w:tc>
          <w:tcPr>
            <w:tcW w:w="1012" w:type="pct"/>
            <w:shd w:val="clear" w:color="auto" w:fill="FFFFFF"/>
            <w:noWrap w:val="0"/>
            <w:vAlign w:val="center"/>
          </w:tcPr>
          <w:p w14:paraId="744E5FA1">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77B4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0F542D05">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w:t>
            </w:r>
          </w:p>
        </w:tc>
        <w:tc>
          <w:tcPr>
            <w:tcW w:w="1207" w:type="pct"/>
            <w:shd w:val="clear" w:color="auto" w:fill="FFFFFF"/>
            <w:noWrap w:val="0"/>
            <w:vAlign w:val="center"/>
          </w:tcPr>
          <w:p w14:paraId="73E40152">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512" w:type="pct"/>
            <w:shd w:val="clear" w:color="auto" w:fill="FFFFFF"/>
            <w:noWrap w:val="0"/>
            <w:vAlign w:val="center"/>
          </w:tcPr>
          <w:p w14:paraId="14C0D73A">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w:t>
            </w:r>
            <w:r>
              <w:rPr>
                <w:rStyle w:val="30"/>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2D183965">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3406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89" w:hRule="atLeast"/>
          <w:jc w:val="center"/>
        </w:trPr>
        <w:tc>
          <w:tcPr>
            <w:tcW w:w="267" w:type="pct"/>
            <w:shd w:val="clear" w:color="auto" w:fill="FFFFFF"/>
            <w:noWrap w:val="0"/>
            <w:vAlign w:val="center"/>
          </w:tcPr>
          <w:p w14:paraId="7A0DBC4F">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w:t>
            </w:r>
          </w:p>
        </w:tc>
        <w:tc>
          <w:tcPr>
            <w:tcW w:w="1207" w:type="pct"/>
            <w:shd w:val="clear" w:color="auto" w:fill="FFFFFF"/>
            <w:noWrap w:val="0"/>
            <w:vAlign w:val="center"/>
          </w:tcPr>
          <w:p w14:paraId="66456A3C">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512" w:type="pct"/>
            <w:shd w:val="clear" w:color="auto" w:fill="FFFFFF"/>
            <w:noWrap w:val="0"/>
            <w:vAlign w:val="center"/>
          </w:tcPr>
          <w:p w14:paraId="2B71A2EB">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2D9DD37D">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5AF5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8" w:hRule="atLeast"/>
          <w:jc w:val="center"/>
        </w:trPr>
        <w:tc>
          <w:tcPr>
            <w:tcW w:w="267" w:type="pct"/>
            <w:shd w:val="clear" w:color="auto" w:fill="FFFFFF"/>
            <w:noWrap w:val="0"/>
            <w:vAlign w:val="center"/>
          </w:tcPr>
          <w:p w14:paraId="7B79F7F9">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w:t>
            </w:r>
          </w:p>
        </w:tc>
        <w:tc>
          <w:tcPr>
            <w:tcW w:w="1207" w:type="pct"/>
            <w:shd w:val="clear" w:color="auto" w:fill="FFFFFF"/>
            <w:noWrap w:val="0"/>
            <w:vAlign w:val="center"/>
          </w:tcPr>
          <w:p w14:paraId="6913A22C">
            <w:pPr>
              <w:pStyle w:val="37"/>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特定资质要求</w:t>
            </w:r>
          </w:p>
        </w:tc>
        <w:tc>
          <w:tcPr>
            <w:tcW w:w="2512" w:type="pct"/>
            <w:shd w:val="clear" w:color="auto" w:fill="FFFFFF"/>
            <w:noWrap w:val="0"/>
            <w:vAlign w:val="center"/>
          </w:tcPr>
          <w:p w14:paraId="299F5653">
            <w:pPr>
              <w:pStyle w:val="37"/>
              <w:keepNext w:val="0"/>
              <w:keepLines w:val="0"/>
              <w:pageBreakBefore w:val="0"/>
              <w:shd w:val="clear" w:color="auto" w:fill="auto"/>
              <w:kinsoku/>
              <w:wordWrap/>
              <w:overflowPunct/>
              <w:topLinePunct w:val="0"/>
              <w:autoSpaceDE/>
              <w:autoSpaceDN/>
              <w:bidi w:val="0"/>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lang w:val="en-US" w:eastAsia="zh-CN"/>
              </w:rPr>
              <w:t>。</w:t>
            </w:r>
          </w:p>
        </w:tc>
        <w:tc>
          <w:tcPr>
            <w:tcW w:w="1012" w:type="pct"/>
            <w:shd w:val="clear" w:color="auto" w:fill="FFFFFF"/>
            <w:noWrap w:val="0"/>
            <w:vAlign w:val="center"/>
          </w:tcPr>
          <w:p w14:paraId="3114CC63">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599D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22" w:hRule="atLeast"/>
          <w:jc w:val="center"/>
        </w:trPr>
        <w:tc>
          <w:tcPr>
            <w:tcW w:w="267" w:type="pct"/>
            <w:shd w:val="clear" w:color="auto" w:fill="FFFFFF"/>
            <w:noWrap w:val="0"/>
            <w:vAlign w:val="center"/>
          </w:tcPr>
          <w:p w14:paraId="0EA840F8">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7</w:t>
            </w:r>
          </w:p>
        </w:tc>
        <w:tc>
          <w:tcPr>
            <w:tcW w:w="1207" w:type="pct"/>
            <w:shd w:val="clear" w:color="auto" w:fill="FFFFFF"/>
            <w:noWrap w:val="0"/>
            <w:vAlign w:val="center"/>
          </w:tcPr>
          <w:p w14:paraId="40C7BE5A">
            <w:pPr>
              <w:pStyle w:val="37"/>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z w:val="24"/>
                <w:szCs w:val="24"/>
                <w:highlight w:val="none"/>
                <w:lang w:val="en-US" w:eastAsia="zh-CN"/>
              </w:rPr>
              <w:t>投标人信用记录</w:t>
            </w:r>
          </w:p>
        </w:tc>
        <w:tc>
          <w:tcPr>
            <w:tcW w:w="2512" w:type="pct"/>
            <w:shd w:val="clear" w:color="auto" w:fill="FFFFFF"/>
            <w:noWrap w:val="0"/>
            <w:vAlign w:val="center"/>
          </w:tcPr>
          <w:p w14:paraId="65381217">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55EB1A86">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01872C6A">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51AE2A55">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7558EADC">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1012" w:type="pct"/>
            <w:shd w:val="clear" w:color="auto" w:fill="FFFFFF"/>
            <w:noWrap w:val="0"/>
            <w:vAlign w:val="center"/>
          </w:tcPr>
          <w:p w14:paraId="0912CA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5E1D1D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p>
        </w:tc>
      </w:tr>
      <w:tr w14:paraId="567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267" w:type="pct"/>
            <w:shd w:val="clear" w:color="auto" w:fill="FFFFFF"/>
            <w:noWrap w:val="0"/>
            <w:vAlign w:val="center"/>
          </w:tcPr>
          <w:p w14:paraId="648F5E91">
            <w:pPr>
              <w:pStyle w:val="37"/>
              <w:keepNext w:val="0"/>
              <w:keepLines w:val="0"/>
              <w:pageBreakBefore w:val="0"/>
              <w:shd w:val="clear" w:color="auto" w:fill="auto"/>
              <w:kinsoku/>
              <w:wordWrap/>
              <w:overflowPunct/>
              <w:topLinePunct w:val="0"/>
              <w:autoSpaceDE/>
              <w:autoSpaceDN/>
              <w:bidi w:val="0"/>
              <w:spacing w:line="240" w:lineRule="auto"/>
              <w:jc w:val="center"/>
              <w:rPr>
                <w:rFonts w:hint="default"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8</w:t>
            </w:r>
          </w:p>
        </w:tc>
        <w:tc>
          <w:tcPr>
            <w:tcW w:w="1207" w:type="pct"/>
            <w:shd w:val="clear" w:color="auto" w:fill="FFFFFF"/>
            <w:noWrap w:val="0"/>
            <w:vAlign w:val="center"/>
          </w:tcPr>
          <w:p w14:paraId="78C6FA08">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投标保证金</w:t>
            </w:r>
          </w:p>
        </w:tc>
        <w:tc>
          <w:tcPr>
            <w:tcW w:w="2512" w:type="pct"/>
            <w:shd w:val="clear" w:color="auto" w:fill="FFFFFF"/>
            <w:noWrap w:val="0"/>
            <w:vAlign w:val="center"/>
          </w:tcPr>
          <w:p w14:paraId="392E2A3B">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是否按要求缴纳投标保证金</w:t>
            </w:r>
          </w:p>
        </w:tc>
        <w:tc>
          <w:tcPr>
            <w:tcW w:w="1012" w:type="pct"/>
            <w:shd w:val="clear" w:color="auto" w:fill="FFFFFF"/>
            <w:noWrap w:val="0"/>
            <w:vAlign w:val="center"/>
          </w:tcPr>
          <w:p w14:paraId="6DDE0894">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须附缴纳保证金证明材料</w:t>
            </w:r>
          </w:p>
        </w:tc>
      </w:tr>
    </w:tbl>
    <w:p w14:paraId="63D4C97C">
      <w:pPr>
        <w:pStyle w:val="10"/>
        <w:rPr>
          <w:rFonts w:hint="eastAsia" w:ascii="宋体" w:hAnsi="宋体" w:eastAsia="宋体" w:cs="宋体"/>
          <w:color w:val="auto"/>
          <w:highlight w:val="none"/>
        </w:rPr>
      </w:pPr>
    </w:p>
    <w:p w14:paraId="6BDA85C0">
      <w:pPr>
        <w:rPr>
          <w:rFonts w:hint="eastAsia" w:ascii="宋体" w:hAnsi="宋体" w:eastAsia="宋体" w:cs="宋体"/>
          <w:color w:val="auto"/>
          <w:highlight w:val="none"/>
        </w:rPr>
      </w:pPr>
    </w:p>
    <w:p w14:paraId="7D6734FE">
      <w:pPr>
        <w:pStyle w:val="20"/>
        <w:rPr>
          <w:rFonts w:hint="eastAsia" w:ascii="宋体" w:hAnsi="宋体" w:eastAsia="宋体" w:cs="宋体"/>
          <w:color w:val="auto"/>
          <w:highlight w:val="none"/>
        </w:rPr>
      </w:pPr>
    </w:p>
    <w:p w14:paraId="29DFC16D">
      <w:pPr>
        <w:rPr>
          <w:rFonts w:hint="eastAsia" w:ascii="宋体" w:hAnsi="宋体" w:eastAsia="宋体" w:cs="宋体"/>
          <w:color w:val="auto"/>
          <w:highlight w:val="none"/>
        </w:rPr>
      </w:pPr>
    </w:p>
    <w:p w14:paraId="609D1567">
      <w:pPr>
        <w:pStyle w:val="20"/>
        <w:rPr>
          <w:rFonts w:hint="eastAsia" w:ascii="宋体" w:hAnsi="宋体" w:eastAsia="宋体" w:cs="宋体"/>
          <w:color w:val="auto"/>
          <w:highlight w:val="none"/>
        </w:rPr>
      </w:pPr>
    </w:p>
    <w:p w14:paraId="666B800D">
      <w:pPr>
        <w:rPr>
          <w:rFonts w:hint="eastAsia" w:ascii="宋体" w:hAnsi="宋体" w:eastAsia="宋体" w:cs="宋体"/>
          <w:color w:val="auto"/>
          <w:highlight w:val="none"/>
        </w:rPr>
      </w:pPr>
    </w:p>
    <w:p w14:paraId="232EDCE6">
      <w:pPr>
        <w:bidi w:val="0"/>
        <w:rPr>
          <w:rFonts w:hint="eastAsia"/>
          <w:color w:val="auto"/>
          <w:highlight w:val="none"/>
        </w:rPr>
      </w:pPr>
      <w:bookmarkStart w:id="458" w:name="_Toc155185903"/>
      <w:bookmarkStart w:id="459" w:name="_Toc22582"/>
      <w:bookmarkStart w:id="460" w:name="_Toc16715"/>
    </w:p>
    <w:p w14:paraId="50AD51D6">
      <w:pPr>
        <w:pStyle w:val="2"/>
        <w:spacing w:before="220" w:after="220" w:line="480" w:lineRule="auto"/>
        <w:ind w:left="420" w:hanging="42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第五章 评标方法</w:t>
      </w:r>
      <w:bookmarkEnd w:id="458"/>
      <w:r>
        <w:rPr>
          <w:rFonts w:hint="eastAsia" w:ascii="宋体" w:hAnsi="宋体" w:eastAsia="宋体" w:cs="宋体"/>
          <w:bCs/>
          <w:color w:val="auto"/>
          <w:sz w:val="36"/>
          <w:szCs w:val="36"/>
          <w:highlight w:val="none"/>
        </w:rPr>
        <w:t>及标准(综合评分法)</w:t>
      </w:r>
      <w:bookmarkEnd w:id="459"/>
      <w:bookmarkEnd w:id="460"/>
    </w:p>
    <w:p w14:paraId="351DE4AB">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根据《中华人民共和国政府采购法》及其实施条例、《政府采购货物和服务招标投标管理办法》</w:t>
      </w:r>
      <w:r>
        <w:rPr>
          <w:rFonts w:hint="eastAsia" w:ascii="宋体" w:hAnsi="宋体" w:eastAsia="宋体" w:cs="宋体"/>
          <w:color w:val="auto"/>
          <w:szCs w:val="24"/>
          <w:highlight w:val="none"/>
          <w:lang w:val="en-US"/>
        </w:rPr>
        <w:t>及</w:t>
      </w:r>
      <w:r>
        <w:rPr>
          <w:rFonts w:hint="eastAsia" w:ascii="宋体" w:hAnsi="宋体" w:eastAsia="宋体" w:cs="宋体"/>
          <w:color w:val="auto"/>
          <w:szCs w:val="24"/>
          <w:highlight w:val="none"/>
        </w:rPr>
        <w:t>相关法律法规确定以下评标</w:t>
      </w:r>
      <w:r>
        <w:rPr>
          <w:rFonts w:hint="eastAsia" w:ascii="宋体" w:hAnsi="宋体" w:eastAsia="宋体" w:cs="宋体"/>
          <w:color w:val="auto"/>
          <w:szCs w:val="24"/>
          <w:highlight w:val="none"/>
          <w:lang w:val="en-US"/>
        </w:rPr>
        <w:t>方</w:t>
      </w:r>
      <w:r>
        <w:rPr>
          <w:rFonts w:hint="eastAsia" w:ascii="宋体" w:hAnsi="宋体" w:eastAsia="宋体" w:cs="宋体"/>
          <w:color w:val="auto"/>
          <w:szCs w:val="24"/>
          <w:highlight w:val="none"/>
        </w:rPr>
        <w:t>法及标准。</w:t>
      </w:r>
    </w:p>
    <w:p w14:paraId="3DE3E2CB">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61" w:name="_Toc2878"/>
      <w:bookmarkStart w:id="462" w:name="_Toc109899484"/>
      <w:bookmarkStart w:id="463" w:name="_Toc61280402"/>
      <w:bookmarkStart w:id="464" w:name="_Toc272247709"/>
      <w:bookmarkStart w:id="465" w:name="_Toc511894518"/>
      <w:bookmarkStart w:id="466" w:name="_Toc140132826"/>
      <w:bookmarkStart w:id="467" w:name="_Toc278891606"/>
      <w:bookmarkStart w:id="468" w:name="_Toc109900322"/>
      <w:bookmarkStart w:id="469" w:name="_Toc155185905"/>
      <w:bookmarkStart w:id="470" w:name="_Toc494561962"/>
      <w:bookmarkStart w:id="471" w:name="_Toc109899903"/>
      <w:r>
        <w:rPr>
          <w:rFonts w:hint="eastAsia" w:ascii="宋体" w:hAnsi="宋体" w:eastAsia="宋体" w:cs="宋体"/>
          <w:color w:val="auto"/>
          <w:sz w:val="28"/>
          <w:szCs w:val="28"/>
          <w:highlight w:val="none"/>
          <w:lang w:val="zh-CN"/>
        </w:rPr>
        <w:t>一、评标</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zh-CN"/>
        </w:rPr>
        <w:t>法</w:t>
      </w:r>
      <w:bookmarkEnd w:id="461"/>
    </w:p>
    <w:p w14:paraId="7E2D7912">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7C090A1E">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72" w:name="_Toc264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、评标程序</w:t>
      </w:r>
      <w:bookmarkEnd w:id="472"/>
    </w:p>
    <w:p w14:paraId="6F92599A">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3" w:name="_Toc3127"/>
      <w:bookmarkStart w:id="474" w:name="_Toc9847"/>
      <w:r>
        <w:rPr>
          <w:rFonts w:hint="eastAsia" w:ascii="宋体" w:hAnsi="宋体" w:eastAsia="宋体" w:cs="宋体"/>
          <w:color w:val="auto"/>
          <w:sz w:val="24"/>
          <w:szCs w:val="24"/>
          <w:highlight w:val="none"/>
          <w:lang w:val="zh-CN"/>
        </w:rPr>
        <w:t>（一）符合性审查</w:t>
      </w:r>
      <w:bookmarkEnd w:id="473"/>
      <w:bookmarkEnd w:id="474"/>
    </w:p>
    <w:p w14:paraId="39C111B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评标委员会应当对</w:t>
      </w: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rPr>
        <w:t>审查</w:t>
      </w:r>
      <w:r>
        <w:rPr>
          <w:rFonts w:hint="eastAsia" w:ascii="宋体" w:hAnsi="宋体" w:eastAsia="宋体"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color w:val="auto"/>
          <w:szCs w:val="24"/>
          <w:highlight w:val="none"/>
          <w:lang w:val="en-US"/>
        </w:rPr>
        <w:t>其</w:t>
      </w:r>
      <w:r>
        <w:rPr>
          <w:rFonts w:hint="eastAsia" w:ascii="宋体" w:hAnsi="宋体" w:eastAsia="宋体" w:cs="宋体"/>
          <w:b/>
          <w:bCs/>
          <w:color w:val="auto"/>
          <w:szCs w:val="24"/>
          <w:highlight w:val="none"/>
        </w:rPr>
        <w:t>投标无效</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rPr>
        <w:t>具体内容详</w:t>
      </w:r>
      <w:r>
        <w:rPr>
          <w:rFonts w:hint="eastAsia" w:ascii="宋体" w:hAnsi="宋体" w:eastAsia="宋体" w:cs="宋体"/>
          <w:color w:val="auto"/>
          <w:szCs w:val="24"/>
          <w:highlight w:val="none"/>
        </w:rPr>
        <w:t>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、评标标准”中</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“（一）符合性审查”。</w:t>
      </w:r>
    </w:p>
    <w:p w14:paraId="2F56F20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符合性审查</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有效供应商不足3家的应当终止采购活动，发布项目终止公告并说明原因，重新开展采购活动。</w:t>
      </w:r>
    </w:p>
    <w:p w14:paraId="40266B70">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5" w:name="_Toc155185907"/>
      <w:bookmarkStart w:id="476" w:name="_Toc102057744"/>
      <w:bookmarkStart w:id="477" w:name="_Toc102114946"/>
      <w:bookmarkStart w:id="478" w:name="_Toc102116048"/>
      <w:bookmarkStart w:id="479" w:name="_Toc102116178"/>
      <w:bookmarkStart w:id="480" w:name="_Toc102056244"/>
      <w:bookmarkStart w:id="481" w:name="_Toc102119879"/>
      <w:bookmarkStart w:id="482" w:name="_Toc14312"/>
      <w:bookmarkStart w:id="483" w:name="_Toc29198"/>
      <w:bookmarkStart w:id="484" w:name="_Toc163492903"/>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）投标文件澄清</w:t>
      </w:r>
      <w:bookmarkEnd w:id="475"/>
      <w:bookmarkEnd w:id="476"/>
      <w:bookmarkEnd w:id="477"/>
      <w:bookmarkEnd w:id="478"/>
      <w:bookmarkEnd w:id="479"/>
      <w:bookmarkEnd w:id="480"/>
      <w:bookmarkEnd w:id="481"/>
      <w:r>
        <w:rPr>
          <w:rFonts w:hint="eastAsia" w:ascii="宋体" w:hAnsi="宋体" w:eastAsia="宋体" w:cs="宋体"/>
          <w:color w:val="auto"/>
          <w:sz w:val="24"/>
          <w:szCs w:val="24"/>
          <w:highlight w:val="none"/>
          <w:lang w:val="zh-CN"/>
        </w:rPr>
        <w:t>及修正</w:t>
      </w:r>
      <w:bookmarkEnd w:id="482"/>
      <w:bookmarkEnd w:id="483"/>
      <w:bookmarkEnd w:id="484"/>
    </w:p>
    <w:p w14:paraId="494B701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3</w:t>
      </w:r>
      <w:r>
        <w:rPr>
          <w:rFonts w:hint="eastAsia" w:ascii="宋体" w:hAnsi="宋体" w:eastAsia="宋体"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系统中以书面形式要求投标人作出必要的澄清、说明或者补正。</w:t>
      </w:r>
    </w:p>
    <w:p w14:paraId="18755A2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4</w:t>
      </w:r>
      <w:r>
        <w:rPr>
          <w:rFonts w:hint="eastAsia" w:ascii="宋体" w:hAnsi="宋体" w:eastAsia="宋体" w:cs="宋体"/>
          <w:color w:val="auto"/>
          <w:szCs w:val="24"/>
          <w:highlight w:val="none"/>
        </w:rPr>
        <w:t>.投标人应按照评标委员会要求在规定时间内作出澄清、说明或者补正，澄清、说明或者补正不得超出投标文件的范围或者改变投标文件的实质性内容。</w:t>
      </w:r>
    </w:p>
    <w:p w14:paraId="2575F1D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5</w:t>
      </w:r>
      <w:r>
        <w:rPr>
          <w:rFonts w:hint="eastAsia" w:ascii="宋体" w:hAnsi="宋体" w:eastAsia="宋体" w:cs="宋体"/>
          <w:color w:val="auto"/>
          <w:szCs w:val="24"/>
          <w:highlight w:val="none"/>
        </w:rPr>
        <w:t>.投标人的澄清、说明或者补正是其投标文件的有效组成部分，澄清、说明或者补正应当在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系统中加盖电子印章后提交。</w:t>
      </w:r>
    </w:p>
    <w:p w14:paraId="76EE655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6</w:t>
      </w:r>
      <w:r>
        <w:rPr>
          <w:rFonts w:hint="eastAsia" w:ascii="宋体" w:hAnsi="宋体" w:eastAsia="宋体" w:cs="宋体"/>
          <w:color w:val="auto"/>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Cs w:val="24"/>
          <w:highlight w:val="none"/>
          <w:lang w:val="en-US"/>
        </w:rPr>
        <w:t>货物</w:t>
      </w:r>
      <w:r>
        <w:rPr>
          <w:rFonts w:hint="eastAsia" w:ascii="宋体" w:hAnsi="宋体" w:eastAsia="宋体" w:cs="宋体"/>
          <w:color w:val="auto"/>
          <w:szCs w:val="24"/>
          <w:highlight w:val="none"/>
        </w:rPr>
        <w:t>质量或者不能诚信履约的，</w:t>
      </w:r>
      <w:r>
        <w:rPr>
          <w:rFonts w:hint="eastAsia" w:ascii="宋体" w:hAnsi="宋体" w:eastAsia="宋体" w:cs="宋体"/>
          <w:color w:val="auto"/>
          <w:szCs w:val="24"/>
          <w:highlight w:val="none"/>
          <w:lang w:val="en-US"/>
        </w:rPr>
        <w:t>应当</w:t>
      </w:r>
      <w:r>
        <w:rPr>
          <w:rFonts w:hint="eastAsia" w:ascii="宋体" w:hAnsi="宋体" w:eastAsia="宋体" w:cs="宋体"/>
          <w:color w:val="auto"/>
          <w:szCs w:val="24"/>
          <w:highlight w:val="none"/>
        </w:rPr>
        <w:t>要求</w:t>
      </w:r>
      <w:r>
        <w:rPr>
          <w:rFonts w:hint="eastAsia" w:ascii="宋体" w:hAnsi="宋体" w:eastAsia="宋体" w:cs="宋体"/>
          <w:color w:val="auto"/>
          <w:szCs w:val="24"/>
          <w:highlight w:val="none"/>
          <w:lang w:val="en-US"/>
        </w:rPr>
        <w:t>该投标人</w:t>
      </w:r>
      <w:r>
        <w:rPr>
          <w:rFonts w:hint="eastAsia" w:ascii="宋体" w:hAnsi="宋体" w:eastAsia="宋体" w:cs="宋体"/>
          <w:color w:val="auto"/>
          <w:szCs w:val="24"/>
          <w:highlight w:val="none"/>
        </w:rPr>
        <w:t>在合理的时间内提供说明，必要时提交相关证明材料；</w:t>
      </w:r>
      <w:r>
        <w:rPr>
          <w:rFonts w:hint="eastAsia" w:ascii="宋体" w:hAnsi="宋体" w:eastAsia="宋体" w:cs="宋体"/>
          <w:color w:val="auto"/>
          <w:szCs w:val="24"/>
          <w:highlight w:val="none"/>
          <w:lang w:val="en-US"/>
        </w:rPr>
        <w:t>若</w:t>
      </w:r>
      <w:r>
        <w:rPr>
          <w:rFonts w:hint="eastAsia" w:ascii="宋体" w:hAnsi="宋体" w:eastAsia="宋体" w:cs="宋体"/>
          <w:color w:val="auto"/>
          <w:szCs w:val="24"/>
          <w:highlight w:val="none"/>
        </w:rPr>
        <w:t>投标人不能证明其报价合理性的，评标委员</w:t>
      </w:r>
      <w:r>
        <w:rPr>
          <w:rFonts w:hint="eastAsia" w:ascii="宋体" w:hAnsi="宋体" w:eastAsia="宋体" w:cs="宋体"/>
          <w:color w:val="auto"/>
          <w:szCs w:val="24"/>
          <w:highlight w:val="none"/>
          <w:lang w:val="en-US"/>
        </w:rPr>
        <w:t>会应当</w:t>
      </w:r>
      <w:r>
        <w:rPr>
          <w:rFonts w:hint="eastAsia" w:ascii="宋体" w:hAnsi="宋体" w:eastAsia="宋体" w:cs="宋体"/>
          <w:color w:val="auto"/>
          <w:szCs w:val="24"/>
          <w:highlight w:val="none"/>
        </w:rPr>
        <w:t>将其作</w:t>
      </w:r>
      <w:r>
        <w:rPr>
          <w:rFonts w:hint="eastAsia" w:ascii="宋体" w:hAnsi="宋体" w:eastAsia="宋体" w:cs="宋体"/>
          <w:b/>
          <w:bCs/>
          <w:color w:val="auto"/>
          <w:szCs w:val="24"/>
          <w:highlight w:val="none"/>
        </w:rPr>
        <w:t>无效投标</w:t>
      </w:r>
      <w:r>
        <w:rPr>
          <w:rFonts w:hint="eastAsia" w:ascii="宋体" w:hAnsi="宋体" w:eastAsia="宋体" w:cs="宋体"/>
          <w:color w:val="auto"/>
          <w:szCs w:val="24"/>
          <w:highlight w:val="none"/>
        </w:rPr>
        <w:t>处理。</w:t>
      </w:r>
    </w:p>
    <w:p w14:paraId="62496E2D">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3C678159">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8.投标文件报价出现前后不一致的，除招标文件另有规定外，按照下列规定修正：</w:t>
      </w:r>
    </w:p>
    <w:p w14:paraId="5521126D">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8.1投标文件中开标一览表（报价表）内容与投标文件中相应内容不一致的，以开标一览表（报价表）为准；</w:t>
      </w:r>
    </w:p>
    <w:p w14:paraId="4F22A0A7">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8.2大写金额和小写金额不一致的，以大写金额为准；</w:t>
      </w:r>
    </w:p>
    <w:p w14:paraId="603C610E">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8.3单价金额小数点或者百分比有明显错位的，以开标一览表的总价为准，并修改单价；</w:t>
      </w:r>
    </w:p>
    <w:p w14:paraId="4B80379C">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8.4总价金额与按单价汇总金额不一致的，以单价金额计算结果为准。</w:t>
      </w:r>
    </w:p>
    <w:p w14:paraId="0A2567F7">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47178E9E">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5" w:name="_Toc26244"/>
      <w:bookmarkStart w:id="486" w:name="_Toc826"/>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）比较与评价</w:t>
      </w:r>
      <w:bookmarkEnd w:id="485"/>
      <w:bookmarkEnd w:id="486"/>
    </w:p>
    <w:p w14:paraId="41A040F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9.</w:t>
      </w:r>
      <w:r>
        <w:rPr>
          <w:rFonts w:hint="eastAsia" w:ascii="宋体" w:hAnsi="宋体" w:eastAsia="宋体" w:cs="宋体"/>
          <w:color w:val="auto"/>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Cs w:val="24"/>
          <w:highlight w:val="none"/>
          <w:lang w:val="en-US"/>
        </w:rPr>
        <w:t>估</w:t>
      </w:r>
      <w:r>
        <w:rPr>
          <w:rFonts w:hint="eastAsia" w:ascii="宋体" w:hAnsi="宋体" w:eastAsia="宋体" w:cs="宋体"/>
          <w:color w:val="auto"/>
          <w:szCs w:val="24"/>
          <w:highlight w:val="none"/>
        </w:rPr>
        <w:t>，综合比较与评价</w:t>
      </w:r>
      <w:r>
        <w:rPr>
          <w:rFonts w:hint="eastAsia" w:ascii="宋体" w:hAnsi="宋体" w:eastAsia="宋体" w:cs="宋体"/>
          <w:color w:val="auto"/>
          <w:szCs w:val="24"/>
          <w:highlight w:val="none"/>
          <w:lang w:val="en-US"/>
        </w:rPr>
        <w:t>；未通过符合性审查的投标文件不得进入比较与评价</w:t>
      </w:r>
      <w:r>
        <w:rPr>
          <w:rFonts w:hint="eastAsia" w:ascii="宋体" w:hAnsi="宋体" w:eastAsia="宋体" w:cs="宋体"/>
          <w:color w:val="auto"/>
          <w:szCs w:val="24"/>
          <w:highlight w:val="none"/>
        </w:rPr>
        <w:t>。评审因素包括投标报价、商务技术以及落实政府采购政策。评审因素及标准见本章“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5059D51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10.相同品牌处理原则</w:t>
      </w:r>
    </w:p>
    <w:p w14:paraId="10E472A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0AAA88D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0CF36B48">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.3有效投标品牌不足3家的应按</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处理。</w:t>
      </w:r>
    </w:p>
    <w:p w14:paraId="5187E3CB">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7" w:name="_Toc22424"/>
      <w:bookmarkStart w:id="488" w:name="_Toc1435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）报价评审</w:t>
      </w:r>
      <w:bookmarkEnd w:id="487"/>
      <w:bookmarkEnd w:id="488"/>
    </w:p>
    <w:p w14:paraId="44292E3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投标报价评审</w:t>
      </w:r>
    </w:p>
    <w:p w14:paraId="5BDDDD0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17F4260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投标报价得分=(评标基准价／投标报价)×价格分值</w:t>
      </w:r>
    </w:p>
    <w:p w14:paraId="125548A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评标过程中，不得去掉报价中的最高报价和最低报价。</w:t>
      </w:r>
    </w:p>
    <w:p w14:paraId="43E553C9">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除算术修正和落实政府采购政策的价格扣除外，不对投标报价进行调整；</w:t>
      </w:r>
    </w:p>
    <w:p w14:paraId="42012C4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3价格分值见本章“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7B8E23B2">
      <w:pPr>
        <w:pStyle w:val="36"/>
        <w:jc w:val="both"/>
        <w:rPr>
          <w:rFonts w:hint="default" w:ascii="宋体" w:hAnsi="宋体" w:eastAsia="宋体" w:cs="宋体"/>
          <w:b/>
          <w:bCs/>
          <w:color w:val="auto"/>
          <w:sz w:val="24"/>
          <w:szCs w:val="24"/>
          <w:highlight w:val="none"/>
          <w:lang w:val="en-US" w:eastAsia="zh-CN"/>
        </w:rPr>
      </w:pPr>
      <w:bookmarkStart w:id="489" w:name="_Toc3883"/>
      <w:bookmarkStart w:id="490" w:name="_Toc23703"/>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330BE5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0DB6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39F56C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F71A5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37D800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9C5C0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F98B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C795BE3">
      <w:pPr>
        <w:pStyle w:val="3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3F99FDDC">
      <w:pPr>
        <w:pStyle w:val="36"/>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5415B40">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4082E530">
      <w:pPr>
        <w:pStyle w:val="36"/>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028124A">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67AFC9D0">
      <w:pPr>
        <w:pStyle w:val="36"/>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color="auto" w:fill="FFFFFF"/>
          <w:lang w:val="en-US" w:eastAsia="zh-CN" w:bidi="ar-SA"/>
        </w:rPr>
        <w:t>1</w:t>
      </w:r>
      <w:r>
        <w:rPr>
          <w:rFonts w:hint="eastAsia" w:cs="宋体"/>
          <w:iCs/>
          <w:color w:val="auto"/>
          <w:kern w:val="2"/>
          <w:sz w:val="24"/>
          <w:szCs w:val="24"/>
          <w:highlight w:val="none"/>
          <w:shd w:val="clear" w:color="auto" w:fill="FFFFFF"/>
          <w:lang w:val="en-US" w:eastAsia="zh-CN" w:bidi="ar-SA"/>
        </w:rPr>
        <w:t>3</w:t>
      </w:r>
      <w:r>
        <w:rPr>
          <w:rFonts w:hint="eastAsia" w:ascii="宋体" w:hAnsi="宋体" w:eastAsia="宋体" w:cs="宋体"/>
          <w:iCs/>
          <w:color w:val="auto"/>
          <w:kern w:val="2"/>
          <w:sz w:val="24"/>
          <w:szCs w:val="24"/>
          <w:highlight w:val="none"/>
          <w:shd w:val="clear" w:color="auto" w:fill="FFFFFF"/>
          <w:lang w:val="en-US" w:eastAsia="zh-CN" w:bidi="ar-SA"/>
        </w:rPr>
        <w:t>.</w:t>
      </w:r>
      <w:r>
        <w:rPr>
          <w:rFonts w:hint="eastAsia" w:ascii="宋体" w:hAnsi="宋体" w:eastAsia="宋体" w:cs="宋体"/>
          <w:iCs/>
          <w:color w:val="auto"/>
          <w:kern w:val="2"/>
          <w:sz w:val="24"/>
          <w:szCs w:val="24"/>
          <w:highlight w:val="none"/>
          <w:shd w:val="clear" w:color="auto" w:fill="FFFFFF"/>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18908A2E">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0E8DC67">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117E2BF3">
      <w:pPr>
        <w:pStyle w:val="36"/>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3ACA710E">
      <w:pPr>
        <w:pStyle w:val="36"/>
        <w:keepNext w:val="0"/>
        <w:keepLines w:val="0"/>
        <w:pageBreakBefore w:val="0"/>
        <w:widowControl w:val="0"/>
        <w:kinsoku/>
        <w:overflowPunct/>
        <w:topLinePunct w:val="0"/>
        <w:autoSpaceDE/>
        <w:autoSpaceDN/>
        <w:bidi w:val="0"/>
        <w:adjustRightInd/>
        <w:jc w:val="both"/>
        <w:textAlignment w:val="auto"/>
        <w:rPr>
          <w:rFonts w:hint="eastAsia" w:eastAsia="宋体"/>
          <w:strike/>
          <w:dstrike w:val="0"/>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w:t>
      </w:r>
    </w:p>
    <w:p w14:paraId="0EA22E66">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DEBC3D5">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976FEFC">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8F01E46">
      <w:pPr>
        <w:pStyle w:val="4"/>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）评标得分及复核</w:t>
      </w:r>
      <w:bookmarkEnd w:id="489"/>
      <w:bookmarkEnd w:id="490"/>
    </w:p>
    <w:p w14:paraId="5A6EE09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13.</w:t>
      </w:r>
      <w:r>
        <w:rPr>
          <w:rFonts w:hint="eastAsia" w:ascii="宋体" w:hAnsi="宋体" w:eastAsia="宋体" w:cs="宋体"/>
          <w:color w:val="auto"/>
          <w:szCs w:val="24"/>
          <w:highlight w:val="none"/>
        </w:rPr>
        <w:t>评标过程中，各项分值一般精确到小数点后两位，评标得分应为商务评分、技术评分、报价评分之和。评标委员会各成员应汇总每个投标人的得分。</w:t>
      </w:r>
    </w:p>
    <w:p w14:paraId="423667D5">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w:t>
      </w:r>
      <w:r>
        <w:rPr>
          <w:rFonts w:hint="eastAsia" w:ascii="宋体" w:hAnsi="宋体" w:eastAsia="宋体"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08955FFE">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14.1</w:t>
      </w:r>
      <w:r>
        <w:rPr>
          <w:rFonts w:hint="eastAsia" w:ascii="宋体" w:hAnsi="宋体" w:eastAsia="宋体" w:cs="宋体"/>
          <w:color w:val="auto"/>
          <w:szCs w:val="24"/>
          <w:highlight w:val="none"/>
        </w:rPr>
        <w:t>分值汇总计算错误的；</w:t>
      </w:r>
    </w:p>
    <w:p w14:paraId="3DAEC95D">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14.2</w:t>
      </w:r>
      <w:r>
        <w:rPr>
          <w:rFonts w:hint="eastAsia" w:ascii="宋体" w:hAnsi="宋体" w:eastAsia="宋体" w:cs="宋体"/>
          <w:color w:val="auto"/>
          <w:szCs w:val="24"/>
          <w:highlight w:val="none"/>
        </w:rPr>
        <w:t>分项评分超出评分标准范围的；</w:t>
      </w:r>
    </w:p>
    <w:p w14:paraId="0225289A">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14.3</w:t>
      </w:r>
      <w:r>
        <w:rPr>
          <w:rFonts w:hint="eastAsia" w:ascii="宋体" w:hAnsi="宋体" w:eastAsia="宋体" w:cs="宋体"/>
          <w:color w:val="auto"/>
          <w:szCs w:val="24"/>
          <w:highlight w:val="none"/>
        </w:rPr>
        <w:t>评标委员会成员对客观评审因素评分不一致的；</w:t>
      </w:r>
    </w:p>
    <w:p w14:paraId="6FDE1F0B">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14.4</w:t>
      </w:r>
      <w:r>
        <w:rPr>
          <w:rFonts w:hint="eastAsia" w:ascii="宋体" w:hAnsi="宋体" w:eastAsia="宋体" w:cs="宋体"/>
          <w:color w:val="auto"/>
          <w:szCs w:val="24"/>
          <w:highlight w:val="none"/>
        </w:rPr>
        <w:t>经评标委员会认定评分畸高、畸低的。</w:t>
      </w:r>
    </w:p>
    <w:p w14:paraId="099FA9A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15.</w:t>
      </w:r>
      <w:r>
        <w:rPr>
          <w:rFonts w:hint="eastAsia" w:ascii="宋体" w:hAnsi="宋体" w:eastAsia="宋体" w:cs="宋体"/>
          <w:color w:val="auto"/>
          <w:szCs w:val="24"/>
          <w:highlight w:val="none"/>
        </w:rPr>
        <w:t>各投标人的最终得分为评标委员会所有成员对各投标人评标得分汇总后的算术平均值。</w:t>
      </w:r>
    </w:p>
    <w:p w14:paraId="73F41962">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05984023">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15.2采购人或者采购代理机构不得通过对样品进行检测、对投标人进行考察等方式改变评审结果。</w:t>
      </w:r>
    </w:p>
    <w:p w14:paraId="27BA91CD">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1" w:name="_Toc23798"/>
      <w:bookmarkStart w:id="492" w:name="_Toc616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）排序与推荐</w:t>
      </w:r>
      <w:bookmarkEnd w:id="491"/>
      <w:bookmarkEnd w:id="492"/>
    </w:p>
    <w:p w14:paraId="55473FE4">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3E628A4">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C7ECD09">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18.中标候选人推荐家数详见“投标人须知前附表”。</w:t>
      </w:r>
    </w:p>
    <w:p w14:paraId="256F6022">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3" w:name="_Toc7794"/>
      <w:bookmarkStart w:id="494" w:name="_Toc1959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）编写评标报告</w:t>
      </w:r>
      <w:bookmarkEnd w:id="493"/>
      <w:bookmarkEnd w:id="494"/>
    </w:p>
    <w:p w14:paraId="20C08F5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19.</w:t>
      </w:r>
      <w:r>
        <w:rPr>
          <w:rFonts w:hint="eastAsia" w:ascii="宋体" w:hAnsi="宋体" w:eastAsia="宋体"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16EF276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5" w:name="_Toc102056217"/>
      <w:bookmarkStart w:id="496" w:name="_Toc163492906"/>
      <w:bookmarkStart w:id="497" w:name="_Toc102114919"/>
      <w:bookmarkStart w:id="498" w:name="_Toc11477"/>
      <w:bookmarkStart w:id="499" w:name="_Toc102119852"/>
      <w:bookmarkStart w:id="500" w:name="_Toc102116021"/>
      <w:bookmarkStart w:id="501" w:name="_Toc102057717"/>
      <w:bookmarkStart w:id="502" w:name="_Toc102116151"/>
      <w:bookmarkStart w:id="503" w:name="_Toc26377"/>
      <w:bookmarkStart w:id="504" w:name="_Toc155185913"/>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投标无效及</w:t>
      </w:r>
      <w:r>
        <w:rPr>
          <w:rFonts w:hint="eastAsia" w:ascii="宋体" w:hAnsi="宋体" w:eastAsia="宋体" w:cs="宋体"/>
          <w:color w:val="auto"/>
          <w:sz w:val="24"/>
          <w:szCs w:val="24"/>
          <w:highlight w:val="none"/>
          <w:lang w:val="zh-CN"/>
        </w:rPr>
        <w:t>应予废标的情形</w:t>
      </w:r>
      <w:bookmarkEnd w:id="495"/>
      <w:bookmarkEnd w:id="496"/>
      <w:bookmarkEnd w:id="497"/>
      <w:bookmarkEnd w:id="498"/>
      <w:bookmarkEnd w:id="499"/>
      <w:bookmarkEnd w:id="500"/>
      <w:bookmarkEnd w:id="501"/>
      <w:bookmarkEnd w:id="502"/>
      <w:bookmarkEnd w:id="503"/>
      <w:bookmarkEnd w:id="504"/>
    </w:p>
    <w:p w14:paraId="7396E4E9">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20.投标人存在下列情形之一的，</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6E9D2B5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不具备《中华人民共和国政府采购法》第二十二条规定条件</w:t>
      </w:r>
      <w:r>
        <w:rPr>
          <w:rFonts w:hint="eastAsia" w:ascii="宋体" w:hAnsi="宋体" w:eastAsia="宋体" w:cs="宋体"/>
          <w:color w:val="auto"/>
          <w:szCs w:val="24"/>
          <w:highlight w:val="none"/>
          <w:lang w:val="en-US"/>
        </w:rPr>
        <w:t>；</w:t>
      </w:r>
    </w:p>
    <w:p w14:paraId="723ED9CD">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2投标文件未按招标文件要求签署、盖章的</w:t>
      </w:r>
      <w:r>
        <w:rPr>
          <w:rFonts w:hint="eastAsia" w:ascii="宋体" w:hAnsi="宋体" w:eastAsia="宋体" w:cs="宋体"/>
          <w:color w:val="auto"/>
          <w:szCs w:val="24"/>
          <w:highlight w:val="none"/>
          <w:lang w:val="en-US"/>
        </w:rPr>
        <w:t>；</w:t>
      </w:r>
    </w:p>
    <w:p w14:paraId="5C06DFC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rPr>
        <w:t>不具备招标文件中规定的资格要求的（投标人未提供有效资格文件的，视为投标人不具备招标文件中规定的资格要求）；</w:t>
      </w:r>
    </w:p>
    <w:p w14:paraId="5D08BFC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文件提供虚假材料的</w:t>
      </w:r>
      <w:r>
        <w:rPr>
          <w:rFonts w:hint="eastAsia" w:ascii="宋体" w:hAnsi="宋体" w:eastAsia="宋体" w:cs="宋体"/>
          <w:color w:val="auto"/>
          <w:szCs w:val="24"/>
          <w:highlight w:val="none"/>
          <w:lang w:val="en-US"/>
        </w:rPr>
        <w:t>；</w:t>
      </w:r>
    </w:p>
    <w:p w14:paraId="368A973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文件不满足</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文件中标注“★”号的实质性条款（或指标）要求的</w:t>
      </w:r>
      <w:r>
        <w:rPr>
          <w:rFonts w:hint="eastAsia" w:ascii="宋体" w:hAnsi="宋体" w:eastAsia="宋体" w:cs="宋体"/>
          <w:color w:val="auto"/>
          <w:szCs w:val="24"/>
          <w:highlight w:val="none"/>
          <w:lang w:val="en-US"/>
        </w:rPr>
        <w:t>；</w:t>
      </w:r>
    </w:p>
    <w:p w14:paraId="515BEA54">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报价超过招标文件中规定的最高限价或者预算金额的</w:t>
      </w:r>
      <w:r>
        <w:rPr>
          <w:rFonts w:hint="eastAsia" w:ascii="宋体" w:hAnsi="宋体" w:eastAsia="宋体" w:cs="宋体"/>
          <w:color w:val="auto"/>
          <w:szCs w:val="24"/>
          <w:highlight w:val="none"/>
          <w:lang w:val="en-US"/>
        </w:rPr>
        <w:t>；</w:t>
      </w:r>
    </w:p>
    <w:p w14:paraId="3C9FEE64">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7联合体的供应商未提交各方共同签署的</w:t>
      </w:r>
      <w:r>
        <w:rPr>
          <w:rFonts w:hint="eastAsia" w:ascii="宋体" w:hAnsi="宋体" w:eastAsia="宋体" w:cs="宋体"/>
          <w:color w:val="auto"/>
          <w:szCs w:val="24"/>
          <w:highlight w:val="none"/>
          <w:lang w:val="en-US"/>
        </w:rPr>
        <w:t>联合体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的；</w:t>
      </w:r>
    </w:p>
    <w:p w14:paraId="0F5CB0D8">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未按</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的规定</w:t>
      </w:r>
      <w:r>
        <w:rPr>
          <w:rFonts w:hint="eastAsia" w:ascii="宋体" w:hAnsi="宋体" w:eastAsia="宋体" w:cs="宋体"/>
          <w:color w:val="auto"/>
          <w:szCs w:val="24"/>
          <w:highlight w:val="none"/>
        </w:rPr>
        <w:t>交纳投标保证金</w:t>
      </w:r>
      <w:r>
        <w:rPr>
          <w:rFonts w:hint="eastAsia" w:ascii="宋体" w:hAnsi="宋体" w:eastAsia="宋体" w:cs="宋体"/>
          <w:color w:val="auto"/>
          <w:szCs w:val="24"/>
          <w:highlight w:val="none"/>
          <w:lang w:val="en-US"/>
        </w:rPr>
        <w:t>的；</w:t>
      </w:r>
    </w:p>
    <w:p w14:paraId="2CE91FE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9评审期间,</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没有按评标委员会的要求提交经授权代表签字的澄清、说明、补正或改变了</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文件的实质性内容</w:t>
      </w:r>
      <w:r>
        <w:rPr>
          <w:rFonts w:hint="eastAsia" w:ascii="宋体" w:hAnsi="宋体" w:eastAsia="宋体" w:cs="宋体"/>
          <w:color w:val="auto"/>
          <w:szCs w:val="24"/>
          <w:highlight w:val="none"/>
          <w:lang w:val="en-US"/>
        </w:rPr>
        <w:t>的；</w:t>
      </w:r>
    </w:p>
    <w:p w14:paraId="2146E3FD">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对采购人、采购代理机构、评标委员会及其工作人员施加影响,有碍公平、公正</w:t>
      </w:r>
      <w:r>
        <w:rPr>
          <w:rFonts w:hint="eastAsia" w:ascii="宋体" w:hAnsi="宋体" w:eastAsia="宋体" w:cs="宋体"/>
          <w:color w:val="auto"/>
          <w:szCs w:val="24"/>
          <w:highlight w:val="none"/>
          <w:lang w:val="en-US"/>
        </w:rPr>
        <w:t>的；</w:t>
      </w:r>
    </w:p>
    <w:p w14:paraId="253AA8D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20.11投标文件含有采购人不能接受的附加条件的；</w:t>
      </w:r>
    </w:p>
    <w:p w14:paraId="584552DE">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无效的其他情形。</w:t>
      </w:r>
    </w:p>
    <w:p w14:paraId="703CD48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21.有下列情形之一的，视为投标人串通投标，其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4573C102">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21.1不同投标人的投标文件由同一单位或者个人编制；</w:t>
      </w:r>
    </w:p>
    <w:p w14:paraId="033D7F45">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21.2不同投标人委托同一单位或者个人办理投标事宜；</w:t>
      </w:r>
    </w:p>
    <w:p w14:paraId="531BC44D">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21.3不同投标人的投标文件载明的项目管理成员或者联系人员为同一人；</w:t>
      </w:r>
    </w:p>
    <w:p w14:paraId="5034730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21.4不同投标人的投标文件异常一致或者投标报价呈规律性差异；</w:t>
      </w:r>
    </w:p>
    <w:p w14:paraId="7794BE5F">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21.5不同投标人的投标文件相互混装；</w:t>
      </w:r>
    </w:p>
    <w:p w14:paraId="4DE606A3">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21.6不同投标人的投标保证金从同一单位或者个人的账户转出；</w:t>
      </w:r>
    </w:p>
    <w:p w14:paraId="560EDF5D">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21.7</w:t>
      </w:r>
      <w:r>
        <w:rPr>
          <w:rFonts w:hint="eastAsia" w:ascii="宋体" w:hAnsi="宋体" w:eastAsia="宋体" w:cs="宋体"/>
          <w:color w:val="auto"/>
          <w:szCs w:val="24"/>
          <w:highlight w:val="none"/>
        </w:rPr>
        <w:t>不同投标人使用同一电脑（机器特征值一致：如MAC地址等）或使用同一电子密钥，编制或上传电子投标文件</w:t>
      </w:r>
      <w:r>
        <w:rPr>
          <w:rFonts w:hint="eastAsia" w:ascii="宋体" w:hAnsi="宋体" w:eastAsia="宋体" w:cs="宋体"/>
          <w:color w:val="auto"/>
          <w:szCs w:val="24"/>
          <w:highlight w:val="none"/>
          <w:lang w:val="en-US"/>
        </w:rPr>
        <w:t>；</w:t>
      </w:r>
    </w:p>
    <w:p w14:paraId="5C5C3F26">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21.8法律、法规、规章规定属于投标人串通投标的其他情形</w:t>
      </w:r>
      <w:r>
        <w:rPr>
          <w:rFonts w:hint="eastAsia" w:ascii="宋体" w:hAnsi="宋体" w:eastAsia="宋体" w:cs="宋体"/>
          <w:color w:val="auto"/>
          <w:szCs w:val="24"/>
          <w:highlight w:val="none"/>
        </w:rPr>
        <w:t>。</w:t>
      </w:r>
    </w:p>
    <w:p w14:paraId="05237A0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.根据《中华人民共和国政府采购法》第三十六条之规定，在招标采购过程中，出现下列情形之一的，应予</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w:t>
      </w:r>
    </w:p>
    <w:p w14:paraId="2B984FF9">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.1符合专业条件的供应商或者对招标文件作实质响应的供应商不足3家的；</w:t>
      </w:r>
    </w:p>
    <w:p w14:paraId="5C6EC7FB">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.2出现影响采购公正的违法、违规行为的；</w:t>
      </w:r>
    </w:p>
    <w:p w14:paraId="516C09E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.3投标人的报价均超过了采购预算，采购人不能支付的；</w:t>
      </w:r>
    </w:p>
    <w:p w14:paraId="1269637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.4因重大变故，采购任务取消的</w:t>
      </w:r>
      <w:r>
        <w:rPr>
          <w:rFonts w:hint="eastAsia" w:ascii="宋体" w:hAnsi="宋体" w:eastAsia="宋体" w:cs="宋体"/>
          <w:color w:val="auto"/>
          <w:szCs w:val="24"/>
          <w:highlight w:val="none"/>
          <w:lang w:val="en-US"/>
        </w:rPr>
        <w:t>；</w:t>
      </w:r>
    </w:p>
    <w:p w14:paraId="5BBA00B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22.5 </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废标</w:t>
      </w:r>
      <w:r>
        <w:rPr>
          <w:rFonts w:hint="eastAsia" w:ascii="宋体" w:hAnsi="宋体" w:eastAsia="宋体" w:cs="宋体"/>
          <w:color w:val="auto"/>
          <w:szCs w:val="24"/>
          <w:highlight w:val="none"/>
        </w:rPr>
        <w:t>的其他情形。</w:t>
      </w:r>
    </w:p>
    <w:p w14:paraId="6DD2BE9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23.</w:t>
      </w:r>
      <w:r>
        <w:rPr>
          <w:rFonts w:hint="eastAsia" w:ascii="宋体" w:hAnsi="宋体" w:eastAsia="宋体" w:cs="宋体"/>
          <w:color w:val="auto"/>
          <w:szCs w:val="24"/>
          <w:highlight w:val="none"/>
        </w:rPr>
        <w:t>废标后，采购人应当将废标理由通知所有投标人。</w:t>
      </w:r>
    </w:p>
    <w:p w14:paraId="7B1C2742">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05" w:name="_Toc102119853"/>
      <w:bookmarkStart w:id="506" w:name="_Toc102116022"/>
      <w:bookmarkStart w:id="507" w:name="_Toc155185914"/>
      <w:bookmarkStart w:id="508" w:name="_Toc102057718"/>
      <w:bookmarkStart w:id="509" w:name="_Toc163492907"/>
      <w:bookmarkStart w:id="510" w:name="_Toc20186"/>
      <w:bookmarkStart w:id="511" w:name="_Toc27130"/>
      <w:bookmarkStart w:id="512" w:name="_Toc102114920"/>
      <w:bookmarkStart w:id="513" w:name="_Toc102116152"/>
      <w:bookmarkStart w:id="514" w:name="_Toc10205621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）停止评标的情形</w:t>
      </w:r>
      <w:bookmarkEnd w:id="505"/>
      <w:bookmarkEnd w:id="506"/>
      <w:bookmarkEnd w:id="507"/>
      <w:bookmarkEnd w:id="508"/>
      <w:bookmarkEnd w:id="509"/>
      <w:bookmarkEnd w:id="510"/>
      <w:bookmarkEnd w:id="511"/>
      <w:bookmarkEnd w:id="512"/>
      <w:bookmarkEnd w:id="513"/>
      <w:bookmarkEnd w:id="514"/>
    </w:p>
    <w:p w14:paraId="6F4E4EE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91A91D8">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15" w:name="_Toc15371"/>
      <w:bookmarkStart w:id="516" w:name="_Toc28717"/>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）重新开展采购</w:t>
      </w:r>
      <w:bookmarkEnd w:id="515"/>
      <w:bookmarkEnd w:id="516"/>
    </w:p>
    <w:p w14:paraId="347E42A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有《中华人民共和国政府采购法》第七十一条、第七十二条规定的违法行为之一，影响或者可能影响中标结果的，依照下列规定处理：</w:t>
      </w:r>
    </w:p>
    <w:p w14:paraId="2AF5666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.1未确定中标供应商的，终止本次政府采购活动，重新开展政府采购活动。</w:t>
      </w:r>
    </w:p>
    <w:p w14:paraId="2E37099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01C9594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.3政府采购合同已签订但尚未履行的，撤销合同，从合格的中标候选人中另行确定中标供应商；没有合格的中标候选人的，重新开展政府采购活动。</w:t>
      </w:r>
    </w:p>
    <w:p w14:paraId="354BA51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.4政府采购合同已经履行，给采购人、供应商造成损失的，由责任人承担赔偿责任。</w:t>
      </w:r>
    </w:p>
    <w:p w14:paraId="08C50F09">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.4规定处理。</w:t>
      </w:r>
    </w:p>
    <w:bookmarkEnd w:id="462"/>
    <w:bookmarkEnd w:id="463"/>
    <w:bookmarkEnd w:id="464"/>
    <w:bookmarkEnd w:id="465"/>
    <w:bookmarkEnd w:id="466"/>
    <w:bookmarkEnd w:id="467"/>
    <w:bookmarkEnd w:id="468"/>
    <w:bookmarkEnd w:id="469"/>
    <w:bookmarkEnd w:id="470"/>
    <w:bookmarkEnd w:id="471"/>
    <w:p w14:paraId="3D19B82E">
      <w:pPr>
        <w:pStyle w:val="3"/>
        <w:spacing w:before="160" w:after="160" w:line="360" w:lineRule="auto"/>
        <w:ind w:left="420" w:hanging="420"/>
        <w:rPr>
          <w:rFonts w:hint="eastAsia" w:ascii="宋体" w:hAnsi="宋体" w:eastAsia="宋体" w:cs="宋体"/>
          <w:color w:val="auto"/>
          <w:sz w:val="28"/>
          <w:szCs w:val="28"/>
          <w:highlight w:val="none"/>
        </w:rPr>
      </w:pPr>
      <w:bookmarkStart w:id="517" w:name="_Toc26940"/>
      <w:r>
        <w:rPr>
          <w:rFonts w:hint="eastAsia" w:ascii="宋体" w:hAnsi="宋体" w:eastAsia="宋体" w:cs="宋体"/>
          <w:color w:val="auto"/>
          <w:sz w:val="28"/>
          <w:szCs w:val="28"/>
          <w:highlight w:val="none"/>
          <w:lang w:val="zh-CN"/>
        </w:rPr>
        <w:t>三、评标</w:t>
      </w:r>
      <w:r>
        <w:rPr>
          <w:rFonts w:hint="eastAsia" w:ascii="宋体" w:hAnsi="宋体" w:eastAsia="宋体" w:cs="宋体"/>
          <w:color w:val="auto"/>
          <w:sz w:val="28"/>
          <w:szCs w:val="28"/>
          <w:highlight w:val="none"/>
        </w:rPr>
        <w:t>其他要求</w:t>
      </w:r>
      <w:bookmarkEnd w:id="517"/>
    </w:p>
    <w:p w14:paraId="0A07783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w:t>
      </w:r>
      <w:bookmarkStart w:id="518" w:name="_Toc155185915"/>
    </w:p>
    <w:p w14:paraId="396598E1">
      <w:pPr>
        <w:pStyle w:val="3"/>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19" w:name="_Toc19817"/>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val="zh-CN"/>
        </w:rPr>
        <w:t>、评标标准</w:t>
      </w:r>
      <w:bookmarkEnd w:id="518"/>
      <w:bookmarkEnd w:id="519"/>
    </w:p>
    <w:p w14:paraId="4892A41E">
      <w:pPr>
        <w:pStyle w:val="4"/>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0" w:name="_Toc1043"/>
      <w:bookmarkStart w:id="521" w:name="_Toc16256"/>
      <w:bookmarkStart w:id="522" w:name="_Toc163492909"/>
      <w:r>
        <w:rPr>
          <w:rFonts w:hint="eastAsia" w:ascii="宋体" w:hAnsi="宋体" w:eastAsia="宋体" w:cs="宋体"/>
          <w:color w:val="auto"/>
          <w:sz w:val="28"/>
          <w:szCs w:val="28"/>
          <w:highlight w:val="none"/>
          <w:lang w:val="zh-CN"/>
        </w:rPr>
        <w:t>（一）符合性审查表</w:t>
      </w:r>
      <w:bookmarkEnd w:id="520"/>
      <w:bookmarkEnd w:id="521"/>
      <w:bookmarkEnd w:id="522"/>
    </w:p>
    <w:tbl>
      <w:tblPr>
        <w:tblStyle w:val="22"/>
        <w:tblW w:w="5114" w:type="pct"/>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0"/>
        <w:gridCol w:w="1203"/>
        <w:gridCol w:w="5240"/>
        <w:gridCol w:w="797"/>
        <w:gridCol w:w="1016"/>
      </w:tblGrid>
      <w:tr w14:paraId="4A52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restart"/>
            <w:shd w:val="clear" w:color="auto" w:fill="D8D8D8"/>
            <w:noWrap w:val="0"/>
            <w:vAlign w:val="center"/>
          </w:tcPr>
          <w:p w14:paraId="321D9515">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bookmarkStart w:id="523" w:name="_Toc163492910"/>
            <w:bookmarkStart w:id="524" w:name="_Toc10178"/>
            <w:bookmarkStart w:id="525" w:name="_Toc21870"/>
            <w:bookmarkStart w:id="526" w:name="_Toc155185917"/>
            <w:r>
              <w:rPr>
                <w:rFonts w:hint="eastAsia" w:ascii="宋体" w:hAnsi="宋体" w:eastAsia="宋体" w:cs="宋体"/>
                <w:b/>
                <w:bCs/>
                <w:color w:val="auto"/>
                <w:sz w:val="24"/>
                <w:szCs w:val="24"/>
                <w:highlight w:val="none"/>
                <w:lang w:val="zh-CN"/>
              </w:rPr>
              <w:t>序号</w:t>
            </w:r>
          </w:p>
        </w:tc>
        <w:tc>
          <w:tcPr>
            <w:tcW w:w="690" w:type="pct"/>
            <w:vMerge w:val="restart"/>
            <w:shd w:val="clear" w:color="auto" w:fill="D8D8D8"/>
            <w:noWrap w:val="0"/>
            <w:vAlign w:val="center"/>
          </w:tcPr>
          <w:p w14:paraId="01C4DADA">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3004" w:type="pct"/>
            <w:vMerge w:val="restart"/>
            <w:shd w:val="clear" w:color="auto" w:fill="D8D8D8"/>
            <w:noWrap w:val="0"/>
            <w:vAlign w:val="center"/>
          </w:tcPr>
          <w:p w14:paraId="0D358A2F">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39" w:type="pct"/>
            <w:gridSpan w:val="2"/>
            <w:shd w:val="clear" w:color="auto" w:fill="D8D8D8"/>
            <w:noWrap w:val="0"/>
            <w:vAlign w:val="center"/>
          </w:tcPr>
          <w:p w14:paraId="71640B5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审查结果</w:t>
            </w:r>
          </w:p>
        </w:tc>
      </w:tr>
      <w:tr w14:paraId="7368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continue"/>
            <w:shd w:val="clear" w:color="auto" w:fill="D8D8D8"/>
            <w:noWrap w:val="0"/>
            <w:vAlign w:val="center"/>
          </w:tcPr>
          <w:p w14:paraId="5A4D752E">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690" w:type="pct"/>
            <w:vMerge w:val="continue"/>
            <w:shd w:val="clear" w:color="auto" w:fill="D8D8D8"/>
            <w:noWrap w:val="0"/>
            <w:vAlign w:val="center"/>
          </w:tcPr>
          <w:p w14:paraId="6F5256A1">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3004" w:type="pct"/>
            <w:vMerge w:val="continue"/>
            <w:shd w:val="clear" w:color="auto" w:fill="D8D8D8"/>
            <w:noWrap w:val="0"/>
            <w:vAlign w:val="center"/>
          </w:tcPr>
          <w:p w14:paraId="773DA9B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457" w:type="pct"/>
            <w:shd w:val="clear" w:color="auto" w:fill="D8D8D8"/>
            <w:noWrap w:val="0"/>
            <w:vAlign w:val="center"/>
          </w:tcPr>
          <w:p w14:paraId="274E0BA2">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w:t>
            </w:r>
          </w:p>
        </w:tc>
        <w:tc>
          <w:tcPr>
            <w:tcW w:w="582" w:type="pct"/>
            <w:shd w:val="clear" w:color="auto" w:fill="D8D8D8"/>
            <w:noWrap w:val="0"/>
            <w:vAlign w:val="center"/>
          </w:tcPr>
          <w:p w14:paraId="225F0C1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p>
        </w:tc>
      </w:tr>
      <w:tr w14:paraId="3A95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10149C0D">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690" w:type="pct"/>
            <w:noWrap w:val="0"/>
            <w:vAlign w:val="center"/>
          </w:tcPr>
          <w:p w14:paraId="40C53258">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3004" w:type="pct"/>
            <w:noWrap w:val="0"/>
            <w:vAlign w:val="center"/>
          </w:tcPr>
          <w:p w14:paraId="5FE3B0B6">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投标文件按招标文件要求签署、盖章的</w:t>
            </w:r>
          </w:p>
        </w:tc>
        <w:tc>
          <w:tcPr>
            <w:tcW w:w="457" w:type="pct"/>
            <w:noWrap w:val="0"/>
            <w:vAlign w:val="center"/>
          </w:tcPr>
          <w:p w14:paraId="5CE0F06F">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2A5BFA79">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1765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4FA0BA7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0" w:type="pct"/>
            <w:noWrap w:val="0"/>
            <w:vAlign w:val="center"/>
          </w:tcPr>
          <w:p w14:paraId="5161E00E">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3004" w:type="pct"/>
            <w:noWrap w:val="0"/>
            <w:vAlign w:val="center"/>
          </w:tcPr>
          <w:p w14:paraId="0081A470">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文件中标注“★”号的实质性条款（或指标）要求的</w:t>
            </w:r>
            <w:r>
              <w:rPr>
                <w:rFonts w:hint="eastAsia" w:ascii="宋体" w:hAnsi="宋体" w:eastAsia="宋体" w:cs="宋体"/>
                <w:color w:val="auto"/>
                <w:sz w:val="24"/>
                <w:szCs w:val="24"/>
                <w:highlight w:val="none"/>
              </w:rPr>
              <w:t>，具体详见</w:t>
            </w:r>
            <w:r>
              <w:rPr>
                <w:rFonts w:hint="eastAsia" w:ascii="宋体" w:hAnsi="宋体" w:eastAsia="宋体" w:cs="宋体"/>
                <w:color w:val="auto"/>
                <w:sz w:val="24"/>
                <w:szCs w:val="24"/>
                <w:highlight w:val="none"/>
                <w:lang w:val="zh-CN"/>
              </w:rPr>
              <w:t>“实质性响应一览表”</w:t>
            </w:r>
          </w:p>
        </w:tc>
        <w:tc>
          <w:tcPr>
            <w:tcW w:w="457" w:type="pct"/>
            <w:noWrap w:val="0"/>
            <w:vAlign w:val="center"/>
          </w:tcPr>
          <w:p w14:paraId="19212AAF">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BBC521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E89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48205C89">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0" w:type="pct"/>
            <w:noWrap w:val="0"/>
            <w:vAlign w:val="center"/>
          </w:tcPr>
          <w:p w14:paraId="75F76D02">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投标报价</w:t>
            </w:r>
          </w:p>
        </w:tc>
        <w:tc>
          <w:tcPr>
            <w:tcW w:w="3004" w:type="pct"/>
            <w:noWrap w:val="0"/>
            <w:vAlign w:val="center"/>
          </w:tcPr>
          <w:p w14:paraId="665EA542">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投标人报价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单价及总价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未超过招标文件</w:t>
            </w:r>
            <w:r>
              <w:rPr>
                <w:rFonts w:hint="eastAsia" w:cs="宋体"/>
                <w:color w:val="auto"/>
                <w:sz w:val="24"/>
                <w:szCs w:val="24"/>
                <w:highlight w:val="none"/>
                <w:lang w:val="en-US" w:eastAsia="zh-CN"/>
              </w:rPr>
              <w:t>第三章采购需求中给</w:t>
            </w:r>
            <w:r>
              <w:rPr>
                <w:rFonts w:hint="eastAsia" w:ascii="宋体" w:hAnsi="宋体" w:eastAsia="宋体" w:cs="宋体"/>
                <w:color w:val="auto"/>
                <w:sz w:val="24"/>
                <w:szCs w:val="24"/>
                <w:highlight w:val="none"/>
              </w:rPr>
              <w:t>定的预算</w:t>
            </w:r>
            <w:r>
              <w:rPr>
                <w:rFonts w:hint="eastAsia" w:cs="宋体"/>
                <w:color w:val="auto"/>
                <w:sz w:val="24"/>
                <w:szCs w:val="24"/>
                <w:highlight w:val="none"/>
                <w:lang w:val="en-US" w:eastAsia="zh-CN"/>
              </w:rPr>
              <w:t>单价及总价</w:t>
            </w:r>
            <w:r>
              <w:rPr>
                <w:rFonts w:hint="eastAsia" w:ascii="宋体" w:hAnsi="宋体" w:eastAsia="宋体" w:cs="宋体"/>
                <w:color w:val="auto"/>
                <w:sz w:val="24"/>
                <w:szCs w:val="24"/>
                <w:highlight w:val="none"/>
              </w:rPr>
              <w:t>的</w:t>
            </w:r>
          </w:p>
        </w:tc>
        <w:tc>
          <w:tcPr>
            <w:tcW w:w="457" w:type="pct"/>
            <w:noWrap w:val="0"/>
            <w:vAlign w:val="center"/>
          </w:tcPr>
          <w:p w14:paraId="34BE2066">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5EBC6C4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441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430F0E2E">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p>
        </w:tc>
        <w:tc>
          <w:tcPr>
            <w:tcW w:w="690" w:type="pct"/>
            <w:noWrap w:val="0"/>
            <w:vAlign w:val="center"/>
          </w:tcPr>
          <w:p w14:paraId="1269C008">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采购清单</w:t>
            </w:r>
          </w:p>
        </w:tc>
        <w:tc>
          <w:tcPr>
            <w:tcW w:w="3004" w:type="pct"/>
            <w:noWrap w:val="0"/>
            <w:vAlign w:val="center"/>
          </w:tcPr>
          <w:p w14:paraId="36B56F21">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未改变招标文件提供的采购清单数量的</w:t>
            </w:r>
          </w:p>
        </w:tc>
        <w:tc>
          <w:tcPr>
            <w:tcW w:w="457" w:type="pct"/>
            <w:noWrap w:val="0"/>
            <w:vAlign w:val="center"/>
          </w:tcPr>
          <w:p w14:paraId="6AE0F927">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2CB90AA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288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2F17AF80">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90" w:type="pct"/>
            <w:noWrap w:val="0"/>
            <w:vAlign w:val="center"/>
          </w:tcPr>
          <w:p w14:paraId="2B1056BB">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虚假材料</w:t>
            </w:r>
          </w:p>
        </w:tc>
        <w:tc>
          <w:tcPr>
            <w:tcW w:w="3004" w:type="pct"/>
            <w:noWrap w:val="0"/>
            <w:vAlign w:val="center"/>
          </w:tcPr>
          <w:p w14:paraId="155FD97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提供虚假材料的</w:t>
            </w:r>
          </w:p>
        </w:tc>
        <w:tc>
          <w:tcPr>
            <w:tcW w:w="457" w:type="pct"/>
            <w:noWrap w:val="0"/>
            <w:vAlign w:val="center"/>
          </w:tcPr>
          <w:p w14:paraId="45DD1EB1">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CAA2083">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2B0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264" w:type="pct"/>
            <w:noWrap w:val="0"/>
            <w:vAlign w:val="center"/>
          </w:tcPr>
          <w:p w14:paraId="2818775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690" w:type="pct"/>
            <w:noWrap w:val="0"/>
            <w:vAlign w:val="center"/>
          </w:tcPr>
          <w:p w14:paraId="172BFCE4">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投标文件的澄清、说明、补正</w:t>
            </w:r>
          </w:p>
        </w:tc>
        <w:tc>
          <w:tcPr>
            <w:tcW w:w="3004" w:type="pct"/>
            <w:noWrap w:val="0"/>
            <w:vAlign w:val="center"/>
          </w:tcPr>
          <w:p w14:paraId="01DDCB82">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评审期间,</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按评标委员会的要求提交经授权代表签字的澄清、说明、补正或</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改变</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文件的实质性内容</w:t>
            </w:r>
          </w:p>
        </w:tc>
        <w:tc>
          <w:tcPr>
            <w:tcW w:w="457" w:type="pct"/>
            <w:noWrap w:val="0"/>
            <w:vAlign w:val="center"/>
          </w:tcPr>
          <w:p w14:paraId="40E0B5A3">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AB32702">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0DF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42BC1E2D">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p>
        </w:tc>
        <w:tc>
          <w:tcPr>
            <w:tcW w:w="690" w:type="pct"/>
            <w:noWrap w:val="0"/>
            <w:vAlign w:val="center"/>
          </w:tcPr>
          <w:p w14:paraId="71301A26">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投标人影响评标</w:t>
            </w:r>
          </w:p>
        </w:tc>
        <w:tc>
          <w:tcPr>
            <w:tcW w:w="3004" w:type="pct"/>
            <w:noWrap w:val="0"/>
            <w:vAlign w:val="center"/>
          </w:tcPr>
          <w:p w14:paraId="1579ACD8">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对采购人、采购代理机构、评标委员会及其工作人员</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施加影响,</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有碍公平、公正</w:t>
            </w:r>
            <w:r>
              <w:rPr>
                <w:rFonts w:hint="eastAsia" w:ascii="宋体" w:hAnsi="宋体" w:eastAsia="宋体" w:cs="宋体"/>
                <w:color w:val="auto"/>
                <w:sz w:val="24"/>
                <w:szCs w:val="24"/>
                <w:highlight w:val="none"/>
              </w:rPr>
              <w:t>的</w:t>
            </w:r>
          </w:p>
        </w:tc>
        <w:tc>
          <w:tcPr>
            <w:tcW w:w="457" w:type="pct"/>
            <w:noWrap w:val="0"/>
            <w:vAlign w:val="center"/>
          </w:tcPr>
          <w:p w14:paraId="24435D2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F9F7F9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3814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3DDD6E2C">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p>
        </w:tc>
        <w:tc>
          <w:tcPr>
            <w:tcW w:w="690" w:type="pct"/>
            <w:noWrap w:val="0"/>
            <w:vAlign w:val="center"/>
          </w:tcPr>
          <w:p w14:paraId="1F456ED9">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围标串标情形</w:t>
            </w:r>
          </w:p>
        </w:tc>
        <w:tc>
          <w:tcPr>
            <w:tcW w:w="3004" w:type="pct"/>
            <w:noWrap w:val="0"/>
            <w:vAlign w:val="center"/>
          </w:tcPr>
          <w:p w14:paraId="0CD843D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“第五章 评标方法及标准”</w:t>
            </w:r>
            <w:r>
              <w:rPr>
                <w:rFonts w:hint="eastAsia" w:ascii="宋体" w:hAnsi="宋体" w:eastAsia="宋体" w:cs="宋体"/>
                <w:color w:val="auto"/>
                <w:sz w:val="24"/>
                <w:szCs w:val="24"/>
                <w:highlight w:val="none"/>
              </w:rPr>
              <w:t>第21条情形之一的</w:t>
            </w:r>
          </w:p>
        </w:tc>
        <w:tc>
          <w:tcPr>
            <w:tcW w:w="457" w:type="pct"/>
            <w:noWrap w:val="0"/>
            <w:vAlign w:val="center"/>
          </w:tcPr>
          <w:p w14:paraId="574CE78E">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7F737DB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226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264" w:type="pct"/>
            <w:noWrap w:val="0"/>
            <w:vAlign w:val="center"/>
          </w:tcPr>
          <w:p w14:paraId="5BA167A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p>
        </w:tc>
        <w:tc>
          <w:tcPr>
            <w:tcW w:w="690" w:type="pct"/>
            <w:noWrap w:val="0"/>
            <w:vAlign w:val="center"/>
          </w:tcPr>
          <w:p w14:paraId="1FB7973C">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3004" w:type="pct"/>
            <w:noWrap w:val="0"/>
            <w:vAlign w:val="center"/>
          </w:tcPr>
          <w:p w14:paraId="3E7E5C1D">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投标文件没有采购人不能接受的附加条件的</w:t>
            </w:r>
          </w:p>
        </w:tc>
        <w:tc>
          <w:tcPr>
            <w:tcW w:w="457" w:type="pct"/>
            <w:noWrap w:val="0"/>
            <w:vAlign w:val="center"/>
          </w:tcPr>
          <w:p w14:paraId="2430789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7D29AF32">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640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264" w:type="pct"/>
            <w:noWrap w:val="0"/>
            <w:vAlign w:val="center"/>
          </w:tcPr>
          <w:p w14:paraId="123D6C0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690" w:type="pct"/>
            <w:noWrap w:val="0"/>
            <w:vAlign w:val="center"/>
          </w:tcPr>
          <w:p w14:paraId="0649B5B9">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3004" w:type="pct"/>
            <w:noWrap w:val="0"/>
            <w:vAlign w:val="center"/>
          </w:tcPr>
          <w:p w14:paraId="51182F1E">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法律、法规、规章规定属于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无效的其他情形。</w:t>
            </w:r>
          </w:p>
        </w:tc>
        <w:tc>
          <w:tcPr>
            <w:tcW w:w="457" w:type="pct"/>
            <w:noWrap w:val="0"/>
            <w:vAlign w:val="center"/>
          </w:tcPr>
          <w:p w14:paraId="17418B3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28DC42F">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bl>
    <w:p w14:paraId="723F05C1">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3E58641F">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138E716E">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23332A77">
      <w:pP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br w:type="page"/>
      </w:r>
    </w:p>
    <w:p w14:paraId="17E047F6">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sz w:val="28"/>
          <w:szCs w:val="24"/>
          <w:highlight w:val="none"/>
        </w:rPr>
      </w:pPr>
      <w:r>
        <w:rPr>
          <w:rFonts w:hint="eastAsia" w:ascii="宋体" w:hAnsi="宋体" w:eastAsia="宋体" w:cs="宋体"/>
          <w:b/>
          <w:color w:val="auto"/>
          <w:sz w:val="28"/>
          <w:szCs w:val="24"/>
          <w:highlight w:val="none"/>
        </w:rPr>
        <w:t>符合性审查表-附表</w:t>
      </w:r>
    </w:p>
    <w:p w14:paraId="3531CC74">
      <w:pPr>
        <w:jc w:val="center"/>
        <w:rPr>
          <w:rFonts w:hint="eastAsia" w:ascii="宋体" w:hAnsi="宋体" w:eastAsia="宋体" w:cs="宋体"/>
          <w:b/>
          <w:bCs/>
          <w:color w:val="auto"/>
          <w:sz w:val="28"/>
          <w:szCs w:val="24"/>
          <w:highlight w:val="none"/>
          <w:lang w:val="zh-CN"/>
        </w:rPr>
      </w:pPr>
      <w:bookmarkStart w:id="527" w:name="_Toc27345"/>
      <w:bookmarkStart w:id="528" w:name="_Toc1840"/>
      <w:r>
        <w:rPr>
          <w:rFonts w:hint="eastAsia" w:ascii="宋体" w:hAnsi="宋体" w:eastAsia="宋体" w:cs="宋体"/>
          <w:b/>
          <w:bCs/>
          <w:color w:val="auto"/>
          <w:sz w:val="28"/>
          <w:szCs w:val="24"/>
          <w:highlight w:val="none"/>
          <w:lang w:val="zh-CN"/>
        </w:rPr>
        <w:t>实质性响应一览表</w:t>
      </w:r>
      <w:bookmarkEnd w:id="527"/>
      <w:bookmarkEnd w:id="528"/>
    </w:p>
    <w:p w14:paraId="7B6C1063">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（投标人须对本附表所有内容逐条响应且无负偏离，否则其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57C8F6E7">
      <w:pPr>
        <w:pStyle w:val="16"/>
        <w:rPr>
          <w:rFonts w:hint="eastAsia" w:ascii="宋体" w:hAnsi="宋体" w:eastAsia="宋体" w:cs="宋体"/>
          <w:color w:val="auto"/>
          <w:highlight w:val="none"/>
        </w:rPr>
      </w:pPr>
    </w:p>
    <w:tbl>
      <w:tblPr>
        <w:tblStyle w:val="22"/>
        <w:tblW w:w="5430"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1"/>
        <w:gridCol w:w="4258"/>
        <w:gridCol w:w="1941"/>
        <w:gridCol w:w="659"/>
      </w:tblGrid>
      <w:tr w14:paraId="5E5E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restart"/>
            <w:noWrap w:val="0"/>
            <w:vAlign w:val="center"/>
          </w:tcPr>
          <w:p w14:paraId="24E03D7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6" w:type="pct"/>
            <w:gridSpan w:val="2"/>
            <w:noWrap w:val="0"/>
            <w:vAlign w:val="center"/>
          </w:tcPr>
          <w:p w14:paraId="77125B5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48" w:type="pct"/>
            <w:vMerge w:val="restart"/>
            <w:noWrap w:val="0"/>
            <w:vAlign w:val="center"/>
          </w:tcPr>
          <w:p w14:paraId="243E530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投标文件响应的具体内容</w:t>
            </w:r>
          </w:p>
        </w:tc>
        <w:tc>
          <w:tcPr>
            <w:tcW w:w="356" w:type="pct"/>
            <w:vMerge w:val="restart"/>
            <w:noWrap w:val="0"/>
            <w:vAlign w:val="center"/>
          </w:tcPr>
          <w:p w14:paraId="282D533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36A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continue"/>
            <w:noWrap w:val="0"/>
            <w:vAlign w:val="center"/>
          </w:tcPr>
          <w:p w14:paraId="611D830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075" w:type="pct"/>
            <w:noWrap w:val="0"/>
            <w:vAlign w:val="center"/>
          </w:tcPr>
          <w:p w14:paraId="33C288B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2300" w:type="pct"/>
            <w:noWrap w:val="0"/>
            <w:vAlign w:val="center"/>
          </w:tcPr>
          <w:p w14:paraId="49CCA7E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招标文件中的规定</w:t>
            </w:r>
          </w:p>
        </w:tc>
        <w:tc>
          <w:tcPr>
            <w:tcW w:w="1048" w:type="pct"/>
            <w:vMerge w:val="continue"/>
            <w:noWrap w:val="0"/>
            <w:vAlign w:val="center"/>
          </w:tcPr>
          <w:p w14:paraId="0F7BE96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356" w:type="pct"/>
            <w:vMerge w:val="continue"/>
            <w:noWrap w:val="0"/>
            <w:vAlign w:val="center"/>
          </w:tcPr>
          <w:p w14:paraId="658A18F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r>
      <w:tr w14:paraId="6132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565BE1B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noWrap w:val="0"/>
            <w:vAlign w:val="center"/>
          </w:tcPr>
          <w:p w14:paraId="49636FE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300" w:type="pct"/>
            <w:noWrap w:val="0"/>
            <w:vAlign w:val="center"/>
          </w:tcPr>
          <w:p w14:paraId="6E075AC6">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招标文件“第二章投标须知”关于投标有效期的规定</w:t>
            </w:r>
          </w:p>
        </w:tc>
        <w:tc>
          <w:tcPr>
            <w:tcW w:w="1048" w:type="pct"/>
            <w:noWrap w:val="0"/>
            <w:vAlign w:val="center"/>
          </w:tcPr>
          <w:p w14:paraId="46B496B4">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【投标人在此处填写投标文件的相关内容】</w:t>
            </w:r>
          </w:p>
        </w:tc>
        <w:tc>
          <w:tcPr>
            <w:tcW w:w="356" w:type="pct"/>
            <w:noWrap w:val="0"/>
            <w:vAlign w:val="center"/>
          </w:tcPr>
          <w:p w14:paraId="50F64F9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0017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5766129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75" w:type="pct"/>
            <w:noWrap w:val="0"/>
            <w:vAlign w:val="center"/>
          </w:tcPr>
          <w:p w14:paraId="4D02AFB4">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交付时间</w:t>
            </w:r>
          </w:p>
        </w:tc>
        <w:tc>
          <w:tcPr>
            <w:tcW w:w="2300" w:type="pct"/>
            <w:noWrap w:val="0"/>
            <w:vAlign w:val="center"/>
          </w:tcPr>
          <w:p w14:paraId="24D2DEB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2C64BF68">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6" w:type="pct"/>
            <w:noWrap w:val="0"/>
            <w:vAlign w:val="center"/>
          </w:tcPr>
          <w:p w14:paraId="1CB5D970">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79C6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6FFD626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75" w:type="pct"/>
            <w:noWrap w:val="0"/>
            <w:vAlign w:val="center"/>
          </w:tcPr>
          <w:p w14:paraId="31607FF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交货地点</w:t>
            </w:r>
          </w:p>
        </w:tc>
        <w:tc>
          <w:tcPr>
            <w:tcW w:w="2300" w:type="pct"/>
            <w:noWrap w:val="0"/>
            <w:vAlign w:val="center"/>
          </w:tcPr>
          <w:p w14:paraId="24B5208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7CE8D93E">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6" w:type="pct"/>
            <w:noWrap w:val="0"/>
            <w:vAlign w:val="center"/>
          </w:tcPr>
          <w:p w14:paraId="74CE3636">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34FE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01E8CBB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075" w:type="pct"/>
            <w:noWrap w:val="0"/>
            <w:vAlign w:val="center"/>
          </w:tcPr>
          <w:p w14:paraId="3582C64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2300" w:type="pct"/>
            <w:noWrap w:val="0"/>
            <w:vAlign w:val="center"/>
          </w:tcPr>
          <w:p w14:paraId="3BB477D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1ED6A465">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6" w:type="pct"/>
            <w:noWrap w:val="0"/>
            <w:vAlign w:val="center"/>
          </w:tcPr>
          <w:p w14:paraId="2E8EF2B8">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A5F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2E328B7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075" w:type="pct"/>
            <w:noWrap w:val="0"/>
            <w:vAlign w:val="center"/>
          </w:tcPr>
          <w:p w14:paraId="59380FD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质保期</w:t>
            </w:r>
          </w:p>
        </w:tc>
        <w:tc>
          <w:tcPr>
            <w:tcW w:w="2300" w:type="pct"/>
            <w:noWrap w:val="0"/>
            <w:vAlign w:val="center"/>
          </w:tcPr>
          <w:p w14:paraId="65A96B9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2A12842E">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6" w:type="pct"/>
            <w:noWrap w:val="0"/>
            <w:vAlign w:val="center"/>
          </w:tcPr>
          <w:p w14:paraId="0B5A6146">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5678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1DEF409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F40EF74">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eastAsia="zh-CN" w:bidi="ar-SA"/>
              </w:rPr>
              <w:t>产品注册（备案）情况</w:t>
            </w:r>
          </w:p>
        </w:tc>
        <w:tc>
          <w:tcPr>
            <w:tcW w:w="2300" w:type="pct"/>
            <w:noWrap w:val="0"/>
            <w:vAlign w:val="center"/>
          </w:tcPr>
          <w:p w14:paraId="409B1861">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1048" w:type="pct"/>
            <w:noWrap w:val="0"/>
            <w:vAlign w:val="center"/>
          </w:tcPr>
          <w:p w14:paraId="7BFB0B66">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6" w:type="pct"/>
            <w:noWrap w:val="0"/>
            <w:vAlign w:val="center"/>
          </w:tcPr>
          <w:p w14:paraId="0EEB76F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bl>
    <w:p w14:paraId="163E24E8">
      <w:pPr>
        <w:rPr>
          <w:rFonts w:hint="eastAsia" w:ascii="宋体" w:hAnsi="宋体" w:eastAsia="宋体" w:cs="宋体"/>
          <w:color w:val="auto"/>
          <w:highlight w:val="none"/>
          <w:lang w:val="zh-CN"/>
        </w:rPr>
      </w:pPr>
    </w:p>
    <w:p w14:paraId="396B335E">
      <w:pPr>
        <w:rPr>
          <w:rFonts w:hint="eastAsia" w:ascii="宋体" w:hAnsi="宋体" w:eastAsia="宋体" w:cs="宋体"/>
          <w:color w:val="auto"/>
          <w:sz w:val="24"/>
          <w:szCs w:val="24"/>
          <w:highlight w:val="none"/>
          <w:lang w:val="zh-CN"/>
        </w:rPr>
      </w:pPr>
    </w:p>
    <w:p w14:paraId="5C932427">
      <w:pPr>
        <w:rPr>
          <w:rFonts w:hint="eastAsia" w:ascii="宋体" w:hAnsi="宋体" w:eastAsia="宋体" w:cs="宋体"/>
          <w:color w:val="auto"/>
          <w:sz w:val="24"/>
          <w:szCs w:val="24"/>
          <w:highlight w:val="none"/>
          <w:lang w:val="zh-CN"/>
        </w:rPr>
      </w:pPr>
    </w:p>
    <w:p w14:paraId="6328D9C9">
      <w:pPr>
        <w:rPr>
          <w:rFonts w:hint="eastAsia" w:ascii="宋体" w:hAnsi="宋体" w:eastAsia="宋体" w:cs="宋体"/>
          <w:color w:val="auto"/>
          <w:sz w:val="24"/>
          <w:szCs w:val="24"/>
          <w:highlight w:val="none"/>
          <w:lang w:val="zh-CN"/>
        </w:rPr>
      </w:pPr>
    </w:p>
    <w:p w14:paraId="4C82EFBA">
      <w:pPr>
        <w:rPr>
          <w:rFonts w:hint="eastAsia" w:ascii="宋体" w:hAnsi="宋体" w:eastAsia="宋体" w:cs="宋体"/>
          <w:color w:val="auto"/>
          <w:sz w:val="24"/>
          <w:szCs w:val="24"/>
          <w:highlight w:val="none"/>
          <w:lang w:val="zh-CN"/>
        </w:rPr>
      </w:pPr>
    </w:p>
    <w:p w14:paraId="72452AF8">
      <w:pPr>
        <w:rPr>
          <w:rFonts w:hint="eastAsia" w:ascii="宋体" w:hAnsi="宋体" w:eastAsia="宋体" w:cs="宋体"/>
          <w:color w:val="auto"/>
          <w:sz w:val="24"/>
          <w:szCs w:val="24"/>
          <w:highlight w:val="none"/>
          <w:lang w:val="zh-CN"/>
        </w:rPr>
      </w:pPr>
    </w:p>
    <w:p w14:paraId="60E33D0C">
      <w:pPr>
        <w:rPr>
          <w:rFonts w:hint="eastAsia" w:ascii="宋体" w:hAnsi="宋体" w:eastAsia="宋体" w:cs="宋体"/>
          <w:color w:val="auto"/>
          <w:sz w:val="24"/>
          <w:szCs w:val="24"/>
          <w:highlight w:val="none"/>
          <w:lang w:val="zh-CN"/>
        </w:rPr>
      </w:pPr>
    </w:p>
    <w:p w14:paraId="16DC8948">
      <w:pPr>
        <w:rPr>
          <w:rFonts w:hint="eastAsia" w:ascii="宋体" w:hAnsi="宋体" w:eastAsia="宋体" w:cs="宋体"/>
          <w:color w:val="auto"/>
          <w:sz w:val="24"/>
          <w:szCs w:val="24"/>
          <w:highlight w:val="none"/>
          <w:lang w:val="zh-CN"/>
        </w:rPr>
      </w:pPr>
    </w:p>
    <w:p w14:paraId="59F7F97C">
      <w:pPr>
        <w:rPr>
          <w:rFonts w:hint="eastAsia" w:ascii="宋体" w:hAnsi="宋体" w:eastAsia="宋体" w:cs="宋体"/>
          <w:color w:val="auto"/>
          <w:sz w:val="24"/>
          <w:szCs w:val="24"/>
          <w:highlight w:val="none"/>
          <w:lang w:val="zh-CN"/>
        </w:rPr>
      </w:pPr>
    </w:p>
    <w:p w14:paraId="146E1A0D">
      <w:pPr>
        <w:rPr>
          <w:rFonts w:hint="eastAsia" w:ascii="宋体" w:hAnsi="宋体" w:eastAsia="宋体" w:cs="宋体"/>
          <w:color w:val="auto"/>
          <w:sz w:val="24"/>
          <w:szCs w:val="24"/>
          <w:highlight w:val="none"/>
          <w:lang w:val="zh-CN"/>
        </w:rPr>
      </w:pPr>
    </w:p>
    <w:p w14:paraId="2A3E02C5">
      <w:pPr>
        <w:rPr>
          <w:rFonts w:hint="eastAsia" w:ascii="宋体" w:hAnsi="宋体" w:eastAsia="宋体" w:cs="宋体"/>
          <w:color w:val="auto"/>
          <w:sz w:val="24"/>
          <w:szCs w:val="24"/>
          <w:highlight w:val="none"/>
          <w:lang w:val="zh-CN"/>
        </w:rPr>
      </w:pPr>
    </w:p>
    <w:p w14:paraId="0530EF9F">
      <w:pPr>
        <w:rPr>
          <w:rFonts w:hint="eastAsia" w:ascii="宋体" w:hAnsi="宋体" w:eastAsia="宋体" w:cs="宋体"/>
          <w:color w:val="auto"/>
          <w:sz w:val="24"/>
          <w:szCs w:val="24"/>
          <w:highlight w:val="none"/>
          <w:lang w:val="zh-CN"/>
        </w:rPr>
      </w:pPr>
    </w:p>
    <w:p w14:paraId="0E74F698">
      <w:pPr>
        <w:rPr>
          <w:rFonts w:hint="eastAsia" w:ascii="宋体" w:hAnsi="宋体" w:eastAsia="宋体" w:cs="宋体"/>
          <w:color w:val="auto"/>
          <w:sz w:val="24"/>
          <w:szCs w:val="24"/>
          <w:highlight w:val="none"/>
          <w:lang w:val="zh-CN"/>
        </w:rPr>
      </w:pPr>
    </w:p>
    <w:p w14:paraId="51D3730E">
      <w:pPr>
        <w:pStyle w:val="4"/>
        <w:keepNext w:val="0"/>
        <w:keepLines w:val="0"/>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bookmarkEnd w:id="523"/>
      <w:bookmarkEnd w:id="524"/>
      <w:bookmarkEnd w:id="525"/>
      <w:bookmarkEnd w:id="526"/>
      <w:r>
        <w:rPr>
          <w:rFonts w:hint="eastAsia" w:ascii="宋体" w:hAnsi="宋体" w:eastAsia="宋体" w:cs="宋体"/>
          <w:color w:val="auto"/>
          <w:sz w:val="24"/>
          <w:szCs w:val="24"/>
          <w:highlight w:val="none"/>
          <w:lang w:val="zh-CN"/>
        </w:rPr>
        <w:t>商务技术评审</w:t>
      </w:r>
    </w:p>
    <w:tbl>
      <w:tblPr>
        <w:tblStyle w:val="22"/>
        <w:tblW w:w="5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6"/>
        <w:gridCol w:w="576"/>
        <w:gridCol w:w="7528"/>
      </w:tblGrid>
      <w:tr w14:paraId="7464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7" w:type="pct"/>
            <w:shd w:val="clear" w:color="auto" w:fill="D8D8D8"/>
            <w:noWrap w:val="0"/>
            <w:vAlign w:val="center"/>
          </w:tcPr>
          <w:p w14:paraId="58F970B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评标项目</w:t>
            </w:r>
          </w:p>
        </w:tc>
        <w:tc>
          <w:tcPr>
            <w:tcW w:w="408" w:type="pct"/>
            <w:shd w:val="clear" w:color="auto" w:fill="D8D8D8"/>
            <w:noWrap w:val="0"/>
            <w:vAlign w:val="center"/>
          </w:tcPr>
          <w:p w14:paraId="1EBAE1CA">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评标分项</w:t>
            </w:r>
          </w:p>
        </w:tc>
        <w:tc>
          <w:tcPr>
            <w:tcW w:w="298" w:type="pct"/>
            <w:shd w:val="clear" w:color="auto" w:fill="D8D8D8"/>
            <w:noWrap w:val="0"/>
            <w:vAlign w:val="center"/>
          </w:tcPr>
          <w:p w14:paraId="5E626490">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分值</w:t>
            </w:r>
          </w:p>
        </w:tc>
        <w:tc>
          <w:tcPr>
            <w:tcW w:w="3905" w:type="pct"/>
            <w:shd w:val="clear" w:color="auto" w:fill="D8D8D8"/>
            <w:noWrap w:val="0"/>
            <w:vAlign w:val="center"/>
          </w:tcPr>
          <w:p w14:paraId="325F5661">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子项目及分值</w:t>
            </w:r>
          </w:p>
        </w:tc>
      </w:tr>
      <w:tr w14:paraId="425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noWrap w:val="0"/>
            <w:vAlign w:val="center"/>
          </w:tcPr>
          <w:p w14:paraId="024C1234">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价格部分（30分）</w:t>
            </w:r>
          </w:p>
        </w:tc>
        <w:tc>
          <w:tcPr>
            <w:tcW w:w="408" w:type="pct"/>
            <w:tcBorders>
              <w:bottom w:val="single" w:color="auto" w:sz="4" w:space="0"/>
            </w:tcBorders>
            <w:noWrap w:val="0"/>
            <w:vAlign w:val="center"/>
          </w:tcPr>
          <w:p w14:paraId="56FB3E2F">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298" w:type="pct"/>
            <w:noWrap w:val="0"/>
            <w:vAlign w:val="center"/>
          </w:tcPr>
          <w:p w14:paraId="593FB37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w:t>
            </w:r>
          </w:p>
        </w:tc>
        <w:tc>
          <w:tcPr>
            <w:tcW w:w="3905" w:type="pct"/>
            <w:noWrap w:val="0"/>
            <w:vAlign w:val="center"/>
          </w:tcPr>
          <w:p w14:paraId="61A2BEC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满足招标文件要求且投标价格最低的投标报价为评标基准价，其价格分为满分。其他投标人的价格分统一按照下列公式计算：投标报价得分=（评标基准价／投标报价)×价格分值</w:t>
            </w:r>
          </w:p>
          <w:p w14:paraId="5B688C02">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：符合“投标人须知前附表”中价格扣除规定的，在评审时予以价格扣除，用扣除后的价格参与评审。</w:t>
            </w:r>
          </w:p>
        </w:tc>
      </w:tr>
      <w:tr w14:paraId="18B3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387" w:type="pct"/>
            <w:vMerge w:val="restart"/>
            <w:noWrap w:val="0"/>
            <w:vAlign w:val="center"/>
          </w:tcPr>
          <w:p w14:paraId="134E5A13">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w:t>
            </w:r>
          </w:p>
          <w:p w14:paraId="30DC625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rPr>
              <w:t>（</w:t>
            </w:r>
            <w:r>
              <w:rPr>
                <w:rFonts w:hint="eastAsia" w:cs="宋体"/>
                <w:color w:val="auto"/>
                <w:szCs w:val="24"/>
                <w:highlight w:val="none"/>
                <w:lang w:val="en-US" w:eastAsia="zh-CN"/>
              </w:rPr>
              <w:t>70</w:t>
            </w:r>
            <w:r>
              <w:rPr>
                <w:rFonts w:hint="eastAsia" w:ascii="宋体" w:hAnsi="宋体" w:eastAsia="宋体" w:cs="宋体"/>
                <w:color w:val="auto"/>
                <w:szCs w:val="24"/>
                <w:highlight w:val="none"/>
              </w:rPr>
              <w:t>分）</w:t>
            </w:r>
          </w:p>
        </w:tc>
        <w:tc>
          <w:tcPr>
            <w:tcW w:w="408" w:type="pct"/>
            <w:tcBorders>
              <w:top w:val="single" w:color="auto" w:sz="4" w:space="0"/>
            </w:tcBorders>
            <w:noWrap w:val="0"/>
            <w:vAlign w:val="center"/>
          </w:tcPr>
          <w:p w14:paraId="6CB34C1E">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298" w:type="pct"/>
            <w:noWrap w:val="0"/>
            <w:vAlign w:val="center"/>
          </w:tcPr>
          <w:p w14:paraId="241C503B">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6</w:t>
            </w:r>
          </w:p>
        </w:tc>
        <w:tc>
          <w:tcPr>
            <w:tcW w:w="3905" w:type="pct"/>
            <w:noWrap w:val="0"/>
            <w:vAlign w:val="center"/>
          </w:tcPr>
          <w:p w14:paraId="5792004D">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根据投标文件</w:t>
            </w:r>
            <w:r>
              <w:rPr>
                <w:rFonts w:hint="eastAsia" w:cs="宋体"/>
                <w:color w:val="auto"/>
                <w:szCs w:val="24"/>
                <w:highlight w:val="none"/>
                <w:lang w:val="en-US" w:eastAsia="zh-CN"/>
              </w:rPr>
              <w:t>中</w:t>
            </w:r>
            <w:r>
              <w:rPr>
                <w:rFonts w:hint="eastAsia" w:ascii="宋体" w:hAnsi="宋体" w:eastAsia="宋体" w:cs="宋体"/>
                <w:color w:val="auto"/>
                <w:szCs w:val="24"/>
                <w:highlight w:val="none"/>
              </w:rPr>
              <w:t>所提供的</w:t>
            </w:r>
            <w:r>
              <w:rPr>
                <w:rFonts w:hint="eastAsia" w:cs="宋体"/>
                <w:color w:val="auto"/>
                <w:szCs w:val="24"/>
                <w:highlight w:val="none"/>
                <w:lang w:val="en-US" w:eastAsia="zh-CN"/>
              </w:rPr>
              <w:t>投标人</w:t>
            </w:r>
            <w:r>
              <w:rPr>
                <w:rFonts w:hint="eastAsia" w:ascii="宋体" w:hAnsi="宋体" w:eastAsia="宋体" w:cs="宋体"/>
                <w:color w:val="auto"/>
                <w:szCs w:val="24"/>
                <w:highlight w:val="none"/>
              </w:rPr>
              <w:t>投标截止日前三年内</w:t>
            </w:r>
            <w:r>
              <w:rPr>
                <w:rFonts w:hint="eastAsia" w:cs="宋体"/>
                <w:color w:val="auto"/>
                <w:szCs w:val="24"/>
                <w:highlight w:val="none"/>
                <w:lang w:val="en-US" w:eastAsia="zh-CN"/>
              </w:rPr>
              <w:t>承揽的所投产品业绩</w:t>
            </w:r>
            <w:r>
              <w:rPr>
                <w:rFonts w:hint="eastAsia" w:ascii="宋体" w:hAnsi="宋体" w:eastAsia="宋体" w:cs="宋体"/>
                <w:color w:val="auto"/>
                <w:szCs w:val="24"/>
                <w:highlight w:val="none"/>
              </w:rPr>
              <w:t>进行</w:t>
            </w:r>
            <w:r>
              <w:rPr>
                <w:rFonts w:hint="eastAsia" w:cs="宋体"/>
                <w:color w:val="auto"/>
                <w:szCs w:val="24"/>
                <w:highlight w:val="none"/>
                <w:lang w:val="en-US" w:eastAsia="zh-CN"/>
              </w:rPr>
              <w:t>评分</w:t>
            </w:r>
            <w:r>
              <w:rPr>
                <w:rFonts w:hint="eastAsia" w:ascii="宋体" w:hAnsi="宋体" w:eastAsia="宋体" w:cs="宋体"/>
                <w:color w:val="auto"/>
                <w:szCs w:val="24"/>
                <w:highlight w:val="none"/>
              </w:rPr>
              <w:t>：</w:t>
            </w:r>
          </w:p>
          <w:p w14:paraId="57A7885A">
            <w:pPr>
              <w:pStyle w:val="37"/>
              <w:keepNext w:val="0"/>
              <w:keepLines w:val="0"/>
              <w:pageBreakBefore w:val="0"/>
              <w:kinsoku/>
              <w:wordWrap/>
              <w:overflowPunct/>
              <w:topLinePunct w:val="0"/>
              <w:autoSpaceDE/>
              <w:autoSpaceDN/>
              <w:bidi w:val="0"/>
              <w:spacing w:line="440" w:lineRule="exact"/>
              <w:textAlignment w:val="auto"/>
              <w:rPr>
                <w:rFonts w:hint="eastAsia" w:cs="宋体"/>
                <w:color w:val="auto"/>
                <w:szCs w:val="24"/>
                <w:highlight w:val="none"/>
                <w:lang w:val="en-US" w:eastAsia="zh-CN"/>
              </w:rPr>
            </w:pPr>
            <w:r>
              <w:rPr>
                <w:rFonts w:hint="eastAsia" w:cs="宋体"/>
                <w:color w:val="auto"/>
                <w:szCs w:val="24"/>
                <w:highlight w:val="none"/>
                <w:lang w:val="en-US" w:eastAsia="zh-CN"/>
              </w:rPr>
              <w:t>每提供1份投标人所承揽的核心产品业绩的得2分，最多得4分；</w:t>
            </w:r>
          </w:p>
          <w:p w14:paraId="7D85FC6C">
            <w:pPr>
              <w:pStyle w:val="37"/>
              <w:keepNext w:val="0"/>
              <w:keepLines w:val="0"/>
              <w:pageBreakBefore w:val="0"/>
              <w:kinsoku/>
              <w:wordWrap/>
              <w:overflowPunct/>
              <w:topLinePunct w:val="0"/>
              <w:autoSpaceDE/>
              <w:autoSpaceDN/>
              <w:bidi w:val="0"/>
              <w:spacing w:line="440" w:lineRule="exact"/>
              <w:textAlignment w:val="auto"/>
              <w:rPr>
                <w:rFonts w:hint="eastAsia" w:cs="宋体"/>
                <w:color w:val="auto"/>
                <w:szCs w:val="24"/>
                <w:highlight w:val="none"/>
                <w:lang w:val="en-US" w:eastAsia="zh-CN"/>
              </w:rPr>
            </w:pPr>
            <w:r>
              <w:rPr>
                <w:rFonts w:hint="eastAsia" w:cs="宋体"/>
                <w:color w:val="auto"/>
                <w:szCs w:val="24"/>
                <w:highlight w:val="none"/>
                <w:lang w:val="en-US" w:eastAsia="zh-CN"/>
              </w:rPr>
              <w:t>每提供1份投标人所承揽的非核心产品业绩的得1分，最多得2分；</w:t>
            </w:r>
          </w:p>
          <w:p w14:paraId="6E1211EB">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（有效业绩需附合同或中标通知书复印件。未提供相关证明的该项为0分。</w:t>
            </w:r>
          </w:p>
        </w:tc>
      </w:tr>
      <w:tr w14:paraId="0CBB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23F3247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vMerge w:val="restart"/>
            <w:tcBorders>
              <w:top w:val="single" w:color="auto" w:sz="4" w:space="0"/>
            </w:tcBorders>
            <w:noWrap w:val="0"/>
            <w:vAlign w:val="center"/>
          </w:tcPr>
          <w:p w14:paraId="1355CE83">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售后服务方案</w:t>
            </w:r>
          </w:p>
        </w:tc>
        <w:tc>
          <w:tcPr>
            <w:tcW w:w="298" w:type="pct"/>
            <w:noWrap w:val="0"/>
            <w:vAlign w:val="center"/>
          </w:tcPr>
          <w:p w14:paraId="2CE372B4">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3</w:t>
            </w:r>
          </w:p>
        </w:tc>
        <w:tc>
          <w:tcPr>
            <w:tcW w:w="3905" w:type="pct"/>
            <w:noWrap w:val="0"/>
            <w:vAlign w:val="center"/>
          </w:tcPr>
          <w:p w14:paraId="18F3E458">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投标人针对本项目的售后服务方案，内容包括但不限于：</w:t>
            </w:r>
          </w:p>
          <w:p w14:paraId="765CCBFC">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①质量巡检计划（巡检时间、巡检流程）；</w:t>
            </w:r>
          </w:p>
          <w:p w14:paraId="7B5E2B17">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②拥有完善的售后服务保障体系；</w:t>
            </w:r>
          </w:p>
          <w:p w14:paraId="446482EC">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③响应时间；</w:t>
            </w:r>
          </w:p>
          <w:p w14:paraId="409E345F">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1"/>
                <w:highlight w:val="none"/>
              </w:rPr>
              <w:t>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最高得3分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每小项</w:t>
            </w:r>
            <w:r>
              <w:rPr>
                <w:rFonts w:hint="eastAsia" w:cs="宋体"/>
                <w:color w:val="auto"/>
                <w:sz w:val="24"/>
                <w:szCs w:val="24"/>
                <w:highlight w:val="none"/>
                <w:lang w:val="en-US" w:eastAsia="zh-CN"/>
              </w:rPr>
              <w:t>每</w:t>
            </w:r>
            <w:r>
              <w:rPr>
                <w:rFonts w:hint="eastAsia" w:ascii="宋体" w:hAnsi="宋体" w:eastAsia="宋体" w:cs="宋体"/>
                <w:color w:val="auto"/>
                <w:szCs w:val="21"/>
                <w:highlight w:val="none"/>
              </w:rPr>
              <w:t>有一处内容不完整、不具有合理性、不详尽或不能满足采购需求的扣1分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5F16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1015F9D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vMerge w:val="continue"/>
            <w:noWrap w:val="0"/>
            <w:vAlign w:val="center"/>
          </w:tcPr>
          <w:p w14:paraId="3A404A36">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298" w:type="pct"/>
            <w:noWrap w:val="0"/>
            <w:vAlign w:val="center"/>
          </w:tcPr>
          <w:p w14:paraId="45F1A430">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5</w:t>
            </w:r>
          </w:p>
        </w:tc>
        <w:tc>
          <w:tcPr>
            <w:tcW w:w="3905" w:type="pct"/>
            <w:noWrap w:val="0"/>
            <w:vAlign w:val="center"/>
          </w:tcPr>
          <w:p w14:paraId="79AF6EF7">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满足招标文件质保期要求的得3分，质保期每增加一年得1分，最多加2分，此项满分5分。</w:t>
            </w:r>
          </w:p>
        </w:tc>
      </w:tr>
      <w:tr w14:paraId="2A15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0A9E8D90">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0A1ECE4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售后服务人员</w:t>
            </w:r>
          </w:p>
        </w:tc>
        <w:tc>
          <w:tcPr>
            <w:tcW w:w="298" w:type="pct"/>
            <w:noWrap w:val="0"/>
            <w:vAlign w:val="center"/>
          </w:tcPr>
          <w:p w14:paraId="139DEEE1">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1</w:t>
            </w:r>
          </w:p>
        </w:tc>
        <w:tc>
          <w:tcPr>
            <w:tcW w:w="3905" w:type="pct"/>
            <w:noWrap w:val="0"/>
            <w:vAlign w:val="center"/>
          </w:tcPr>
          <w:p w14:paraId="5BCEE5C1">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投标人具备稳定的专业维护工程师，并具备相应的资格证明，得</w:t>
            </w:r>
            <w:r>
              <w:rPr>
                <w:rFonts w:hint="eastAsia" w:cs="宋体"/>
                <w:color w:val="auto"/>
                <w:szCs w:val="21"/>
                <w:highlight w:val="none"/>
                <w:lang w:val="en-US" w:eastAsia="zh-CN"/>
              </w:rPr>
              <w:t>1</w:t>
            </w:r>
            <w:r>
              <w:rPr>
                <w:rFonts w:hint="eastAsia" w:ascii="宋体" w:hAnsi="宋体" w:eastAsia="宋体" w:cs="宋体"/>
                <w:color w:val="auto"/>
                <w:szCs w:val="21"/>
                <w:highlight w:val="none"/>
              </w:rPr>
              <w:t>分（需提供证明材料）。</w:t>
            </w:r>
          </w:p>
        </w:tc>
      </w:tr>
      <w:tr w14:paraId="344C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jc w:val="center"/>
        </w:trPr>
        <w:tc>
          <w:tcPr>
            <w:tcW w:w="387" w:type="pct"/>
            <w:vMerge w:val="continue"/>
            <w:noWrap w:val="0"/>
            <w:vAlign w:val="center"/>
          </w:tcPr>
          <w:p w14:paraId="634ACD4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367E6B7D">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技术指标响应</w:t>
            </w:r>
          </w:p>
        </w:tc>
        <w:tc>
          <w:tcPr>
            <w:tcW w:w="298" w:type="pct"/>
            <w:noWrap w:val="0"/>
            <w:vAlign w:val="center"/>
          </w:tcPr>
          <w:p w14:paraId="292036F3">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48</w:t>
            </w:r>
          </w:p>
        </w:tc>
        <w:tc>
          <w:tcPr>
            <w:tcW w:w="3905" w:type="pct"/>
            <w:noWrap w:val="0"/>
            <w:vAlign w:val="center"/>
          </w:tcPr>
          <w:p w14:paraId="0D087957">
            <w:pPr>
              <w:pStyle w:val="37"/>
              <w:keepNext w:val="0"/>
              <w:keepLines w:val="0"/>
              <w:pageBreakBefore w:val="0"/>
              <w:kinsoku/>
              <w:wordWrap/>
              <w:overflowPunct/>
              <w:topLinePunct w:val="0"/>
              <w:autoSpaceDE/>
              <w:autoSpaceDN/>
              <w:bidi w:val="0"/>
              <w:spacing w:line="440" w:lineRule="exact"/>
              <w:textAlignment w:val="auto"/>
              <w:rPr>
                <w:rFonts w:hint="eastAsia" w:cs="宋体"/>
                <w:b/>
                <w:bCs/>
                <w:color w:val="auto"/>
                <w:szCs w:val="24"/>
                <w:highlight w:val="none"/>
                <w:lang w:val="en-US" w:eastAsia="zh-CN"/>
              </w:rPr>
            </w:pPr>
            <w:r>
              <w:rPr>
                <w:rFonts w:hint="eastAsia" w:cs="宋体"/>
                <w:b/>
                <w:bCs/>
                <w:color w:val="auto"/>
                <w:szCs w:val="24"/>
                <w:highlight w:val="none"/>
                <w:lang w:val="en-US" w:eastAsia="zh-CN"/>
              </w:rPr>
              <w:t>1、核心产品（25分）：</w:t>
            </w:r>
          </w:p>
          <w:p w14:paraId="0D29144A">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default" w:cs="宋体"/>
                <w:color w:val="auto"/>
                <w:szCs w:val="24"/>
                <w:highlight w:val="none"/>
                <w:lang w:val="en-US" w:eastAsia="zh-CN"/>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25</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最多扣15分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最多扣10分</w:t>
            </w:r>
            <w:r>
              <w:rPr>
                <w:rFonts w:hint="eastAsia" w:cs="宋体"/>
                <w:color w:val="auto"/>
                <w:szCs w:val="24"/>
                <w:highlight w:val="none"/>
                <w:lang w:eastAsia="zh-CN"/>
              </w:rPr>
              <w:t>；</w:t>
            </w:r>
            <w:r>
              <w:rPr>
                <w:rFonts w:hint="eastAsia" w:cs="宋体"/>
                <w:color w:val="auto"/>
                <w:szCs w:val="24"/>
                <w:highlight w:val="none"/>
                <w:lang w:val="en-US" w:eastAsia="zh-CN"/>
              </w:rPr>
              <w:t>扣完25分为止。</w:t>
            </w:r>
          </w:p>
          <w:p w14:paraId="244F1998">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2、非核心产品（23分）</w:t>
            </w:r>
          </w:p>
          <w:p w14:paraId="118DFBFE">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23</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最多扣9分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auto"/>
                <w:sz w:val="20"/>
                <w:szCs w:val="20"/>
                <w:highlight w:val="none"/>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最多扣14分</w:t>
            </w:r>
            <w:r>
              <w:rPr>
                <w:rFonts w:hint="eastAsia" w:cs="宋体"/>
                <w:color w:val="auto"/>
                <w:szCs w:val="24"/>
                <w:highlight w:val="none"/>
                <w:lang w:eastAsia="zh-CN"/>
              </w:rPr>
              <w:t>；</w:t>
            </w:r>
            <w:r>
              <w:rPr>
                <w:rFonts w:hint="eastAsia" w:cs="宋体"/>
                <w:color w:val="auto"/>
                <w:szCs w:val="24"/>
                <w:highlight w:val="none"/>
                <w:lang w:val="en-US" w:eastAsia="zh-CN"/>
              </w:rPr>
              <w:t>扣完23分为止。</w:t>
            </w:r>
          </w:p>
          <w:p w14:paraId="7855FAA2">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注：(1)技术参数中有具体数值参数要求的及有具体功能要求的，必须提供技术参数或功能实现的相关证明材料，相关证明材料包含但不限于提供响应产品彩页或检验检测报告或功能截图或证书或厂家使用说明书</w:t>
            </w:r>
            <w:r>
              <w:rPr>
                <w:rFonts w:hint="eastAsia" w:cs="宋体"/>
                <w:color w:val="auto"/>
                <w:szCs w:val="24"/>
                <w:highlight w:val="none"/>
                <w:lang w:val="en-US" w:eastAsia="zh-CN"/>
              </w:rPr>
              <w:t>或技术白皮书</w:t>
            </w:r>
            <w:r>
              <w:rPr>
                <w:rFonts w:hint="eastAsia" w:ascii="宋体" w:hAnsi="宋体" w:eastAsia="宋体" w:cs="宋体"/>
                <w:color w:val="auto"/>
                <w:szCs w:val="24"/>
                <w:highlight w:val="none"/>
              </w:rPr>
              <w:t>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2264F9B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（2）若投标文件中技术支持资料参数与技术规格偏离表应答</w:t>
            </w:r>
            <w:r>
              <w:rPr>
                <w:rFonts w:hint="eastAsia" w:cs="宋体"/>
                <w:color w:val="auto"/>
                <w:szCs w:val="24"/>
                <w:highlight w:val="none"/>
                <w:lang w:val="en-US" w:eastAsia="zh-CN"/>
              </w:rPr>
              <w:t>不一致</w:t>
            </w:r>
            <w:r>
              <w:rPr>
                <w:rFonts w:hint="eastAsia" w:ascii="宋体" w:hAnsi="宋体" w:eastAsia="宋体" w:cs="宋体"/>
                <w:color w:val="auto"/>
                <w:szCs w:val="24"/>
                <w:highlight w:val="none"/>
              </w:rPr>
              <w:t>，</w:t>
            </w:r>
            <w:r>
              <w:rPr>
                <w:rFonts w:hint="eastAsia" w:cs="宋体"/>
                <w:color w:val="auto"/>
                <w:szCs w:val="24"/>
                <w:highlight w:val="none"/>
                <w:lang w:val="en-US" w:eastAsia="zh-CN"/>
              </w:rPr>
              <w:t>且</w:t>
            </w:r>
            <w:r>
              <w:rPr>
                <w:rFonts w:hint="eastAsia" w:ascii="宋体" w:hAnsi="宋体" w:eastAsia="宋体" w:cs="宋体"/>
                <w:color w:val="auto"/>
                <w:szCs w:val="24"/>
                <w:highlight w:val="none"/>
              </w:rPr>
              <w:t>未在投标文件中作出说明和解释的，视为不响应该条技术参数要求。</w:t>
            </w:r>
          </w:p>
          <w:p w14:paraId="002DD4DF">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w:t>
            </w:r>
            <w:r>
              <w:rPr>
                <w:rFonts w:hint="eastAsia" w:cs="宋体"/>
                <w:color w:val="auto"/>
                <w:szCs w:val="24"/>
                <w:highlight w:val="none"/>
                <w:lang w:val="en-US" w:eastAsia="zh-CN"/>
              </w:rPr>
              <w:t>3</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tc>
      </w:tr>
      <w:tr w14:paraId="28C0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1D7DE4EA">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492526D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eastAsia="zh-CN" w:bidi="ar-SA"/>
              </w:rPr>
              <w:t>供货计划</w:t>
            </w:r>
          </w:p>
        </w:tc>
        <w:tc>
          <w:tcPr>
            <w:tcW w:w="298" w:type="pct"/>
            <w:noWrap w:val="0"/>
            <w:vAlign w:val="center"/>
          </w:tcPr>
          <w:p w14:paraId="6178E4D1">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p>
        </w:tc>
        <w:tc>
          <w:tcPr>
            <w:tcW w:w="3905" w:type="pct"/>
            <w:noWrap w:val="0"/>
            <w:vAlign w:val="center"/>
          </w:tcPr>
          <w:p w14:paraId="7AC0B9C6">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提供针对本项目的供货方案，包括：①供货计划及供货渠道；②供货流程安排及供货时间安排；③验收方案。每有一项内容得</w:t>
            </w:r>
            <w:r>
              <w:rPr>
                <w:rFonts w:hint="eastAsia" w:cs="宋体"/>
                <w:color w:val="auto"/>
                <w:spacing w:val="0"/>
                <w:kern w:val="0"/>
                <w:position w:val="0"/>
                <w:sz w:val="24"/>
                <w:szCs w:val="24"/>
                <w:highlight w:val="none"/>
                <w:lang w:val="en-US" w:eastAsia="zh-CN" w:bidi="ar-SA"/>
              </w:rPr>
              <w:t>1</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满分3分，</w:t>
            </w:r>
            <w:r>
              <w:rPr>
                <w:rFonts w:hint="eastAsia" w:ascii="宋体" w:hAnsi="宋体" w:eastAsia="宋体" w:cs="宋体"/>
                <w:color w:val="auto"/>
                <w:spacing w:val="0"/>
                <w:kern w:val="0"/>
                <w:position w:val="0"/>
                <w:sz w:val="24"/>
                <w:szCs w:val="24"/>
                <w:highlight w:val="none"/>
                <w:lang w:val="en-US" w:eastAsia="zh-CN" w:bidi="ar-SA"/>
              </w:rPr>
              <w:t>每小项内容存在缺陷的扣</w:t>
            </w:r>
            <w:r>
              <w:rPr>
                <w:rFonts w:hint="eastAsia" w:cs="宋体"/>
                <w:color w:val="auto"/>
                <w:spacing w:val="0"/>
                <w:kern w:val="0"/>
                <w:position w:val="0"/>
                <w:sz w:val="24"/>
                <w:szCs w:val="24"/>
                <w:highlight w:val="none"/>
                <w:lang w:val="en-US" w:eastAsia="zh-CN" w:bidi="ar-SA"/>
              </w:rPr>
              <w:t>0.5</w:t>
            </w:r>
            <w:r>
              <w:rPr>
                <w:rFonts w:hint="eastAsia" w:ascii="宋体" w:hAnsi="宋体" w:eastAsia="宋体" w:cs="宋体"/>
                <w:color w:val="auto"/>
                <w:spacing w:val="0"/>
                <w:kern w:val="0"/>
                <w:position w:val="0"/>
                <w:sz w:val="24"/>
                <w:szCs w:val="24"/>
                <w:highlight w:val="none"/>
                <w:lang w:val="en-US" w:eastAsia="zh-CN" w:bidi="ar-SA"/>
              </w:rPr>
              <w:t>分，扣完为止。（缺陷是指：与本项目采购标的无关、方案内容前后不一致、前后逻辑错误、涉及的相关规范及标准错误、地点区域错误、内容缺失、只有简单描述无实质性内容）</w:t>
            </w:r>
          </w:p>
        </w:tc>
      </w:tr>
      <w:tr w14:paraId="3EE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073F826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6620584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培训方案</w:t>
            </w:r>
          </w:p>
        </w:tc>
        <w:tc>
          <w:tcPr>
            <w:tcW w:w="298" w:type="pct"/>
            <w:noWrap w:val="0"/>
            <w:vAlign w:val="center"/>
          </w:tcPr>
          <w:p w14:paraId="5DD2963E">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zCs w:val="24"/>
                <w:highlight w:val="none"/>
                <w:lang w:val="en-US" w:eastAsia="zh-CN"/>
              </w:rPr>
            </w:pPr>
            <w:r>
              <w:rPr>
                <w:rFonts w:hint="eastAsia" w:cs="宋体"/>
                <w:color w:val="auto"/>
                <w:szCs w:val="24"/>
                <w:highlight w:val="none"/>
                <w:lang w:val="en-US" w:eastAsia="zh-CN"/>
              </w:rPr>
              <w:t>2</w:t>
            </w:r>
          </w:p>
        </w:tc>
        <w:tc>
          <w:tcPr>
            <w:tcW w:w="3905" w:type="pct"/>
            <w:noWrap w:val="0"/>
            <w:vAlign w:val="center"/>
          </w:tcPr>
          <w:p w14:paraId="38DDABEC">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投标人提供针对本项目的培训方案，包括但不限于培训方式、培训内容、培训计划、培训服务承诺等。</w:t>
            </w:r>
          </w:p>
          <w:p w14:paraId="3DB6157C">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提供的以上全部内容的培训方案且满足采购需求的得</w:t>
            </w:r>
            <w:r>
              <w:rPr>
                <w:rFonts w:hint="eastAsia" w:cs="宋体"/>
                <w:color w:val="auto"/>
                <w:szCs w:val="24"/>
                <w:highlight w:val="none"/>
                <w:lang w:val="en-US" w:eastAsia="zh-CN"/>
              </w:rPr>
              <w:t>2</w:t>
            </w:r>
            <w:r>
              <w:rPr>
                <w:rFonts w:hint="eastAsia" w:ascii="宋体" w:hAnsi="宋体" w:eastAsia="宋体" w:cs="宋体"/>
                <w:color w:val="auto"/>
                <w:szCs w:val="24"/>
                <w:highlight w:val="none"/>
              </w:rPr>
              <w:t>分；每缺少1项内容扣</w:t>
            </w:r>
            <w:r>
              <w:rPr>
                <w:rFonts w:hint="eastAsia" w:cs="宋体"/>
                <w:color w:val="auto"/>
                <w:szCs w:val="24"/>
                <w:highlight w:val="none"/>
                <w:lang w:val="en-US" w:eastAsia="zh-CN"/>
              </w:rPr>
              <w:t>0.5</w:t>
            </w:r>
            <w:r>
              <w:rPr>
                <w:rFonts w:hint="eastAsia" w:ascii="宋体" w:hAnsi="宋体" w:eastAsia="宋体" w:cs="宋体"/>
                <w:color w:val="auto"/>
                <w:szCs w:val="24"/>
                <w:highlight w:val="none"/>
              </w:rPr>
              <w:t>分，方案中每有一处缺陷或不完善的扣0.5分，扣完为止。“缺陷或瑕疵”指方案项目名称、项目编号与本项目要求不符；仅有标题；涉及的规范及技术标准错误；方案内容与本项目需求无关；前后内容矛盾、无连贯性，存在逻辑漏洞、常识错误。</w:t>
            </w:r>
          </w:p>
        </w:tc>
      </w:tr>
      <w:tr w14:paraId="6DFC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5395BBB6">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08" w:type="pct"/>
            <w:tcBorders>
              <w:top w:val="single" w:color="auto" w:sz="4" w:space="0"/>
            </w:tcBorders>
            <w:noWrap w:val="0"/>
            <w:vAlign w:val="center"/>
          </w:tcPr>
          <w:p w14:paraId="6EAE271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应急服务方案</w:t>
            </w:r>
          </w:p>
        </w:tc>
        <w:tc>
          <w:tcPr>
            <w:tcW w:w="298" w:type="pct"/>
            <w:noWrap w:val="0"/>
            <w:vAlign w:val="center"/>
          </w:tcPr>
          <w:p w14:paraId="4B8D398D">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bidi="ar-SA"/>
              </w:rPr>
              <w:t>2</w:t>
            </w:r>
          </w:p>
        </w:tc>
        <w:tc>
          <w:tcPr>
            <w:tcW w:w="3905" w:type="pct"/>
            <w:noWrap w:val="0"/>
            <w:vAlign w:val="center"/>
          </w:tcPr>
          <w:p w14:paraId="5A2ECA3D">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提供针对本项目的应急服务方案，包括：①故障处理；②应急程序。每有一项内容得</w:t>
            </w:r>
            <w:r>
              <w:rPr>
                <w:rFonts w:hint="eastAsia" w:cs="宋体"/>
                <w:color w:val="auto"/>
                <w:spacing w:val="0"/>
                <w:kern w:val="0"/>
                <w:position w:val="0"/>
                <w:sz w:val="24"/>
                <w:szCs w:val="24"/>
                <w:highlight w:val="none"/>
                <w:lang w:val="en-US" w:eastAsia="zh-CN" w:bidi="ar-SA"/>
              </w:rPr>
              <w:t>1</w:t>
            </w:r>
            <w:r>
              <w:rPr>
                <w:rFonts w:hint="eastAsia" w:ascii="宋体" w:hAnsi="宋体" w:eastAsia="宋体" w:cs="宋体"/>
                <w:color w:val="auto"/>
                <w:spacing w:val="0"/>
                <w:kern w:val="0"/>
                <w:position w:val="0"/>
                <w:sz w:val="24"/>
                <w:szCs w:val="24"/>
                <w:highlight w:val="none"/>
                <w:lang w:val="en-US" w:eastAsia="zh-CN" w:bidi="ar-SA"/>
              </w:rPr>
              <w:t>分，</w:t>
            </w:r>
            <w:r>
              <w:rPr>
                <w:rFonts w:hint="eastAsia" w:cs="宋体"/>
                <w:color w:val="auto"/>
                <w:spacing w:val="0"/>
                <w:kern w:val="0"/>
                <w:position w:val="0"/>
                <w:sz w:val="24"/>
                <w:szCs w:val="24"/>
                <w:highlight w:val="none"/>
                <w:lang w:val="en-US" w:eastAsia="zh-CN" w:bidi="ar-SA"/>
              </w:rPr>
              <w:t>满分2分，</w:t>
            </w:r>
            <w:r>
              <w:rPr>
                <w:rFonts w:hint="eastAsia" w:ascii="宋体" w:hAnsi="宋体" w:eastAsia="宋体" w:cs="宋体"/>
                <w:color w:val="auto"/>
                <w:spacing w:val="0"/>
                <w:kern w:val="0"/>
                <w:position w:val="0"/>
                <w:sz w:val="24"/>
                <w:szCs w:val="24"/>
                <w:highlight w:val="none"/>
                <w:lang w:val="en-US" w:eastAsia="zh-CN" w:bidi="ar-SA"/>
              </w:rPr>
              <w:t>每小项内容存在缺陷的扣0.5分，扣完为止。（缺陷是指：与本项目采购标的无关、方案内容前后不一致、前后逻辑错误、涉及的相关规范及标准错误、地点区域错误、内容缺失、只有简单描述无实质性内容）</w:t>
            </w:r>
          </w:p>
        </w:tc>
      </w:tr>
      <w:tr w14:paraId="0E31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pct"/>
            <w:gridSpan w:val="2"/>
            <w:noWrap w:val="0"/>
            <w:vAlign w:val="center"/>
          </w:tcPr>
          <w:p w14:paraId="30828A2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298" w:type="pct"/>
            <w:tcBorders>
              <w:bottom w:val="single" w:color="auto" w:sz="4" w:space="0"/>
            </w:tcBorders>
            <w:noWrap w:val="0"/>
            <w:vAlign w:val="center"/>
          </w:tcPr>
          <w:p w14:paraId="738F1CC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=SUM(ABOVE)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100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分</w:t>
            </w:r>
          </w:p>
        </w:tc>
        <w:tc>
          <w:tcPr>
            <w:tcW w:w="3905" w:type="pct"/>
            <w:tcBorders>
              <w:bottom w:val="single" w:color="auto" w:sz="4" w:space="0"/>
            </w:tcBorders>
            <w:noWrap w:val="0"/>
            <w:vAlign w:val="center"/>
          </w:tcPr>
          <w:p w14:paraId="675A0B0D">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p>
        </w:tc>
      </w:tr>
    </w:tbl>
    <w:p w14:paraId="61268774">
      <w:pPr>
        <w:pStyle w:val="36"/>
        <w:rPr>
          <w:rFonts w:hint="eastAsia" w:ascii="宋体" w:hAnsi="宋体" w:eastAsia="宋体" w:cs="宋体"/>
          <w:color w:val="auto"/>
          <w:highlight w:val="none"/>
        </w:rPr>
      </w:pPr>
    </w:p>
    <w:p w14:paraId="0ECAC4DD">
      <w:pPr>
        <w:pStyle w:val="36"/>
        <w:rPr>
          <w:rFonts w:hint="eastAsia" w:ascii="宋体" w:hAnsi="宋体" w:eastAsia="宋体" w:cs="宋体"/>
          <w:color w:val="auto"/>
          <w:highlight w:val="none"/>
        </w:rPr>
      </w:pPr>
    </w:p>
    <w:p w14:paraId="5FF515C9">
      <w:pPr>
        <w:pStyle w:val="36"/>
        <w:rPr>
          <w:rFonts w:hint="eastAsia" w:ascii="宋体" w:hAnsi="宋体" w:eastAsia="宋体" w:cs="宋体"/>
          <w:color w:val="auto"/>
          <w:highlight w:val="none"/>
        </w:rPr>
      </w:pPr>
    </w:p>
    <w:p w14:paraId="75AA2ED7">
      <w:pPr>
        <w:pStyle w:val="36"/>
        <w:ind w:left="0" w:leftChars="0" w:firstLine="0" w:firstLineChars="0"/>
        <w:rPr>
          <w:rFonts w:hint="eastAsia" w:ascii="宋体" w:hAnsi="宋体" w:eastAsia="宋体" w:cs="宋体"/>
          <w:color w:val="auto"/>
          <w:highlight w:val="none"/>
        </w:rPr>
      </w:pPr>
    </w:p>
    <w:p w14:paraId="46AA5AC0">
      <w:pPr>
        <w:pStyle w:val="36"/>
        <w:ind w:left="0" w:leftChars="0" w:firstLine="0" w:firstLineChars="0"/>
        <w:rPr>
          <w:rFonts w:hint="eastAsia" w:ascii="宋体" w:hAnsi="宋体" w:eastAsia="宋体" w:cs="宋体"/>
          <w:color w:val="auto"/>
          <w:highlight w:val="none"/>
        </w:rPr>
      </w:pPr>
    </w:p>
    <w:p w14:paraId="44EE700D">
      <w:pPr>
        <w:pStyle w:val="36"/>
        <w:ind w:left="0" w:leftChars="0" w:firstLine="0" w:firstLineChars="0"/>
        <w:rPr>
          <w:rFonts w:hint="eastAsia" w:ascii="宋体" w:hAnsi="宋体" w:eastAsia="宋体" w:cs="宋体"/>
          <w:color w:val="auto"/>
          <w:highlight w:val="none"/>
        </w:rPr>
      </w:pPr>
    </w:p>
    <w:p w14:paraId="1532AA22">
      <w:pPr>
        <w:pStyle w:val="36"/>
        <w:ind w:left="0" w:leftChars="0" w:firstLine="0" w:firstLineChars="0"/>
        <w:rPr>
          <w:rFonts w:hint="eastAsia" w:ascii="宋体" w:hAnsi="宋体" w:eastAsia="宋体" w:cs="宋体"/>
          <w:color w:val="auto"/>
          <w:highlight w:val="none"/>
        </w:rPr>
      </w:pPr>
    </w:p>
    <w:p w14:paraId="34A322A1">
      <w:pPr>
        <w:pStyle w:val="36"/>
        <w:ind w:left="0" w:leftChars="0" w:firstLine="0" w:firstLineChars="0"/>
        <w:rPr>
          <w:rFonts w:hint="eastAsia" w:ascii="宋体" w:hAnsi="宋体" w:eastAsia="宋体" w:cs="宋体"/>
          <w:color w:val="auto"/>
          <w:highlight w:val="none"/>
        </w:rPr>
      </w:pPr>
    </w:p>
    <w:p w14:paraId="32E1FADA">
      <w:pPr>
        <w:pStyle w:val="36"/>
        <w:ind w:left="0" w:leftChars="0" w:firstLine="0" w:firstLineChars="0"/>
        <w:rPr>
          <w:rFonts w:hint="eastAsia" w:ascii="宋体" w:hAnsi="宋体" w:eastAsia="宋体" w:cs="宋体"/>
          <w:color w:val="auto"/>
          <w:highlight w:val="none"/>
        </w:rPr>
      </w:pPr>
    </w:p>
    <w:p w14:paraId="68451873">
      <w:pPr>
        <w:pStyle w:val="36"/>
        <w:ind w:left="0" w:leftChars="0" w:firstLine="0" w:firstLineChars="0"/>
        <w:rPr>
          <w:rFonts w:hint="eastAsia" w:ascii="宋体" w:hAnsi="宋体" w:eastAsia="宋体" w:cs="宋体"/>
          <w:color w:val="auto"/>
          <w:highlight w:val="none"/>
        </w:rPr>
      </w:pPr>
    </w:p>
    <w:p w14:paraId="30699265">
      <w:pPr>
        <w:pStyle w:val="36"/>
        <w:ind w:left="0" w:leftChars="0" w:firstLine="0" w:firstLineChars="0"/>
        <w:rPr>
          <w:rFonts w:hint="eastAsia" w:ascii="宋体" w:hAnsi="宋体" w:eastAsia="宋体" w:cs="宋体"/>
          <w:color w:val="auto"/>
          <w:highlight w:val="none"/>
        </w:rPr>
      </w:pPr>
    </w:p>
    <w:p w14:paraId="540517C4">
      <w:pPr>
        <w:pStyle w:val="36"/>
        <w:ind w:left="0" w:leftChars="0" w:firstLine="0" w:firstLineChars="0"/>
        <w:rPr>
          <w:rFonts w:hint="eastAsia" w:ascii="宋体" w:hAnsi="宋体" w:eastAsia="宋体" w:cs="宋体"/>
          <w:color w:val="auto"/>
          <w:highlight w:val="none"/>
        </w:rPr>
      </w:pPr>
    </w:p>
    <w:p w14:paraId="10583989">
      <w:pPr>
        <w:pStyle w:val="36"/>
        <w:ind w:left="0" w:leftChars="0" w:firstLine="0" w:firstLineChars="0"/>
        <w:rPr>
          <w:rFonts w:hint="eastAsia" w:ascii="宋体" w:hAnsi="宋体" w:eastAsia="宋体" w:cs="宋体"/>
          <w:color w:val="auto"/>
          <w:highlight w:val="none"/>
        </w:rPr>
      </w:pPr>
    </w:p>
    <w:p w14:paraId="0F88DB1F">
      <w:pPr>
        <w:pStyle w:val="36"/>
        <w:ind w:left="0" w:leftChars="0" w:firstLine="0" w:firstLineChars="0"/>
        <w:rPr>
          <w:rFonts w:hint="eastAsia" w:ascii="宋体" w:hAnsi="宋体" w:eastAsia="宋体" w:cs="宋体"/>
          <w:color w:val="auto"/>
          <w:highlight w:val="none"/>
        </w:rPr>
      </w:pPr>
    </w:p>
    <w:p w14:paraId="14D61976">
      <w:pPr>
        <w:pStyle w:val="36"/>
        <w:ind w:left="0" w:leftChars="0" w:firstLine="0" w:firstLineChars="0"/>
        <w:rPr>
          <w:rFonts w:hint="eastAsia" w:ascii="宋体" w:hAnsi="宋体" w:eastAsia="宋体" w:cs="宋体"/>
          <w:color w:val="auto"/>
          <w:highlight w:val="none"/>
        </w:rPr>
      </w:pPr>
    </w:p>
    <w:p w14:paraId="2AE9FEAE">
      <w:pPr>
        <w:pStyle w:val="2"/>
        <w:spacing w:before="220" w:after="220" w:line="480" w:lineRule="auto"/>
        <w:ind w:left="420" w:hanging="420"/>
        <w:jc w:val="center"/>
        <w:rPr>
          <w:rFonts w:hint="eastAsia" w:ascii="宋体" w:hAnsi="宋体" w:eastAsia="宋体" w:cs="宋体"/>
          <w:color w:val="auto"/>
          <w:highlight w:val="none"/>
          <w:lang w:val="zh-CN"/>
        </w:rPr>
      </w:pPr>
      <w:bookmarkStart w:id="529" w:name="_Toc155185918"/>
      <w:bookmarkStart w:id="530" w:name="_Toc10751"/>
      <w:bookmarkStart w:id="531" w:name="_Toc24636"/>
      <w:r>
        <w:rPr>
          <w:rFonts w:hint="eastAsia" w:ascii="宋体" w:hAnsi="宋体" w:eastAsia="宋体" w:cs="宋体"/>
          <w:bCs/>
          <w:color w:val="auto"/>
          <w:sz w:val="36"/>
          <w:szCs w:val="36"/>
          <w:highlight w:val="none"/>
          <w:lang w:val="zh-CN"/>
        </w:rPr>
        <w:t>第六章 合同</w:t>
      </w:r>
      <w:bookmarkEnd w:id="529"/>
      <w:r>
        <w:rPr>
          <w:rFonts w:hint="eastAsia" w:ascii="宋体" w:hAnsi="宋体" w:eastAsia="宋体" w:cs="宋体"/>
          <w:bCs/>
          <w:color w:val="auto"/>
          <w:sz w:val="36"/>
          <w:szCs w:val="36"/>
          <w:highlight w:val="none"/>
          <w:lang w:val="zh-CN"/>
        </w:rPr>
        <w:t>草案</w:t>
      </w:r>
      <w:bookmarkEnd w:id="530"/>
      <w:bookmarkEnd w:id="531"/>
    </w:p>
    <w:p w14:paraId="2E4B4DAF">
      <w:pPr>
        <w:wordWrap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【此合同书仅作为签订正式合同时的参考，正式合同书应包括本参考格式的内容】</w:t>
      </w:r>
    </w:p>
    <w:p w14:paraId="132DFCE5">
      <w:pPr>
        <w:spacing w:before="312" w:beforeLines="100" w:after="468" w:afterLines="150"/>
        <w:jc w:val="center"/>
        <w:rPr>
          <w:rFonts w:hint="eastAsia" w:ascii="黑体" w:hAnsi="黑体" w:eastAsia="黑体" w:cs="黑体"/>
          <w:b/>
          <w:bCs/>
          <w:color w:val="auto"/>
          <w:sz w:val="72"/>
          <w:szCs w:val="72"/>
          <w:highlight w:val="none"/>
        </w:rPr>
      </w:pPr>
      <w:bookmarkStart w:id="532" w:name="_Toc5888"/>
      <w:bookmarkStart w:id="533" w:name="_Toc155185919"/>
      <w:r>
        <w:rPr>
          <w:rFonts w:hint="eastAsia" w:ascii="黑体" w:hAnsi="黑体" w:eastAsia="黑体" w:cs="黑体"/>
          <w:b/>
          <w:bCs/>
          <w:color w:val="auto"/>
          <w:sz w:val="72"/>
          <w:szCs w:val="72"/>
          <w:highlight w:val="none"/>
        </w:rPr>
        <w:t>政</w:t>
      </w:r>
    </w:p>
    <w:p w14:paraId="0F107993">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府</w:t>
      </w:r>
    </w:p>
    <w:p w14:paraId="77AB434C">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采</w:t>
      </w:r>
    </w:p>
    <w:p w14:paraId="2A531AB5">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购</w:t>
      </w:r>
    </w:p>
    <w:p w14:paraId="5A43B166">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合</w:t>
      </w:r>
    </w:p>
    <w:p w14:paraId="736712C6">
      <w:pPr>
        <w:spacing w:before="312" w:beforeLines="100" w:after="468" w:afterLines="15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rPr>
        <w:t>同</w:t>
      </w:r>
    </w:p>
    <w:p w14:paraId="30B56770">
      <w:pPr>
        <w:jc w:val="both"/>
        <w:rPr>
          <w:rFonts w:hint="default" w:hAnsi="宋体" w:eastAsia="宋体"/>
          <w:color w:val="auto"/>
          <w:sz w:val="30"/>
          <w:szCs w:val="30"/>
          <w:highlight w:val="none"/>
          <w:u w:val="single"/>
          <w:lang w:val="en-US" w:eastAsia="zh-CN"/>
        </w:rPr>
      </w:pPr>
      <w:r>
        <w:rPr>
          <w:rFonts w:hint="eastAsia" w:hAnsi="宋体" w:eastAsia="宋体"/>
          <w:color w:val="auto"/>
          <w:sz w:val="30"/>
          <w:szCs w:val="30"/>
          <w:highlight w:val="none"/>
        </w:rPr>
        <w:t>招标项目名称：</w:t>
      </w:r>
      <w:r>
        <w:rPr>
          <w:rFonts w:hint="eastAsia"/>
          <w:color w:val="auto"/>
          <w:sz w:val="30"/>
          <w:szCs w:val="30"/>
          <w:highlight w:val="none"/>
          <w:u w:val="single"/>
          <w:lang w:val="en-US" w:eastAsia="zh-CN"/>
        </w:rPr>
        <w:t xml:space="preserve">                      </w:t>
      </w:r>
    </w:p>
    <w:p w14:paraId="4A17D12E">
      <w:pPr>
        <w:jc w:val="center"/>
        <w:rPr>
          <w:rFonts w:hAnsi="宋体" w:eastAsia="宋体"/>
          <w:color w:val="auto"/>
          <w:spacing w:val="40"/>
          <w:sz w:val="32"/>
          <w:highlight w:val="none"/>
        </w:rPr>
      </w:pPr>
      <w:r>
        <w:rPr>
          <w:rFonts w:hint="eastAsia" w:hAnsi="宋体" w:eastAsia="宋体"/>
          <w:color w:val="auto"/>
          <w:spacing w:val="40"/>
          <w:sz w:val="32"/>
          <w:highlight w:val="none"/>
        </w:rPr>
        <w:t>20</w:t>
      </w:r>
      <w:r>
        <w:rPr>
          <w:rFonts w:hAnsi="宋体" w:eastAsia="宋体"/>
          <w:color w:val="auto"/>
          <w:spacing w:val="40"/>
          <w:sz w:val="32"/>
          <w:highlight w:val="none"/>
        </w:rPr>
        <w:t>2</w:t>
      </w:r>
      <w:r>
        <w:rPr>
          <w:rFonts w:hint="eastAsia" w:hAnsi="宋体" w:eastAsia="宋体"/>
          <w:color w:val="auto"/>
          <w:spacing w:val="40"/>
          <w:sz w:val="32"/>
          <w:highlight w:val="none"/>
          <w:lang w:val="en-US" w:eastAsia="zh-CN"/>
        </w:rPr>
        <w:t>6</w:t>
      </w:r>
      <w:r>
        <w:rPr>
          <w:rFonts w:hint="eastAsia" w:hAnsi="宋体" w:eastAsia="宋体"/>
          <w:color w:val="auto"/>
          <w:spacing w:val="40"/>
          <w:sz w:val="32"/>
          <w:highlight w:val="none"/>
        </w:rPr>
        <w:t>年</w:t>
      </w:r>
    </w:p>
    <w:p w14:paraId="64D87BB2">
      <w:pPr>
        <w:pStyle w:val="113"/>
        <w:ind w:firstLine="723"/>
        <w:jc w:val="center"/>
        <w:rPr>
          <w:rFonts w:hAnsi="宋体" w:eastAsia="宋体"/>
          <w:b/>
          <w:bCs/>
          <w:color w:val="auto"/>
          <w:sz w:val="36"/>
          <w:szCs w:val="36"/>
          <w:highlight w:val="none"/>
        </w:rPr>
      </w:pPr>
      <w:r>
        <w:rPr>
          <w:rFonts w:hint="eastAsia" w:hAnsi="宋体" w:eastAsia="宋体"/>
          <w:b/>
          <w:bCs/>
          <w:color w:val="auto"/>
          <w:sz w:val="36"/>
          <w:szCs w:val="36"/>
          <w:highlight w:val="none"/>
        </w:rPr>
        <w:t>政府采购</w:t>
      </w:r>
      <w:r>
        <w:rPr>
          <w:rFonts w:hAnsi="宋体" w:eastAsia="宋体"/>
          <w:b/>
          <w:bCs/>
          <w:color w:val="auto"/>
          <w:sz w:val="36"/>
          <w:szCs w:val="36"/>
          <w:highlight w:val="none"/>
        </w:rPr>
        <w:t>合同</w:t>
      </w:r>
    </w:p>
    <w:p w14:paraId="7B9F2374">
      <w:pPr>
        <w:pStyle w:val="113"/>
        <w:keepNext w:val="0"/>
        <w:keepLines w:val="0"/>
        <w:pageBreakBefore w:val="0"/>
        <w:widowControl w:val="0"/>
        <w:kinsoku/>
        <w:wordWrap/>
        <w:overflowPunct/>
        <w:topLinePunct w:val="0"/>
        <w:autoSpaceDE/>
        <w:autoSpaceDN/>
        <w:bidi w:val="0"/>
        <w:adjustRightInd w:val="0"/>
        <w:snapToGrid w:val="0"/>
        <w:spacing w:line="360" w:lineRule="auto"/>
        <w:ind w:firstLine="723"/>
        <w:jc w:val="center"/>
        <w:textAlignment w:val="auto"/>
        <w:rPr>
          <w:rFonts w:hint="eastAsia" w:ascii="宋体" w:hAnsi="宋体" w:eastAsia="宋体" w:cs="宋体"/>
          <w:b/>
          <w:bCs/>
          <w:color w:val="auto"/>
          <w:sz w:val="24"/>
          <w:szCs w:val="24"/>
          <w:highlight w:val="none"/>
        </w:rPr>
      </w:pPr>
    </w:p>
    <w:p w14:paraId="0196FE8A">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49FD01">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签订地点：青河县人民医院。   </w:t>
      </w:r>
    </w:p>
    <w:p w14:paraId="1E63015A">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采购人（甲方）：</w:t>
      </w:r>
      <w:r>
        <w:rPr>
          <w:rFonts w:hint="eastAsia" w:ascii="宋体" w:hAnsi="宋体" w:eastAsia="宋体" w:cs="宋体"/>
          <w:color w:val="auto"/>
          <w:sz w:val="24"/>
          <w:szCs w:val="24"/>
          <w:highlight w:val="none"/>
          <w:u w:val="single"/>
        </w:rPr>
        <w:t xml:space="preserve">    青河县人民医院    </w:t>
      </w:r>
    </w:p>
    <w:p w14:paraId="51FCAAC2">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公司   </w:t>
      </w:r>
    </w:p>
    <w:p w14:paraId="3F55D4CC">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》及青河县人民医院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7E81C5F9">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bookmarkStart w:id="534" w:name="_Toc472604518"/>
      <w:bookmarkStart w:id="535" w:name="_Toc472604661"/>
      <w:bookmarkStart w:id="536" w:name="_Toc217446107"/>
      <w:bookmarkStart w:id="537" w:name="_Toc471489617"/>
      <w:r>
        <w:rPr>
          <w:rFonts w:hint="eastAsia" w:ascii="宋体" w:hAnsi="宋体" w:eastAsia="宋体" w:cs="宋体"/>
          <w:b/>
          <w:bCs/>
          <w:color w:val="auto"/>
          <w:sz w:val="24"/>
          <w:szCs w:val="24"/>
          <w:highlight w:val="none"/>
        </w:rPr>
        <w:t>一、合同货物</w:t>
      </w:r>
      <w:bookmarkEnd w:id="534"/>
      <w:bookmarkEnd w:id="535"/>
      <w:bookmarkEnd w:id="536"/>
      <w:bookmarkEnd w:id="537"/>
    </w:p>
    <w:tbl>
      <w:tblPr>
        <w:tblStyle w:val="22"/>
        <w:tblW w:w="9335"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64"/>
        <w:gridCol w:w="1226"/>
        <w:gridCol w:w="680"/>
        <w:gridCol w:w="680"/>
        <w:gridCol w:w="1499"/>
        <w:gridCol w:w="1500"/>
        <w:gridCol w:w="1090"/>
        <w:gridCol w:w="1196"/>
      </w:tblGrid>
      <w:tr w14:paraId="6E108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64" w:type="dxa"/>
            <w:tcBorders>
              <w:top w:val="single" w:color="auto" w:sz="4" w:space="0"/>
              <w:left w:val="single" w:color="auto" w:sz="4" w:space="0"/>
              <w:bottom w:val="single" w:color="auto" w:sz="4" w:space="0"/>
              <w:right w:val="single" w:color="auto" w:sz="4" w:space="0"/>
            </w:tcBorders>
            <w:noWrap w:val="0"/>
            <w:vAlign w:val="center"/>
          </w:tcPr>
          <w:p w14:paraId="54A6D510">
            <w:pPr>
              <w:pStyle w:val="1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z w:val="24"/>
                <w:szCs w:val="24"/>
                <w:highlight w:val="none"/>
              </w:rPr>
            </w:pPr>
            <w:bookmarkStart w:id="538" w:name="_Toc217446108"/>
            <w:bookmarkStart w:id="539" w:name="_Toc472604519"/>
            <w:bookmarkStart w:id="540" w:name="_Toc471489618"/>
            <w:bookmarkStart w:id="541" w:name="_Toc472604662"/>
            <w:r>
              <w:rPr>
                <w:rFonts w:hint="eastAsia" w:ascii="宋体" w:hAnsi="宋体" w:eastAsia="宋体" w:cs="宋体"/>
                <w:color w:val="auto"/>
                <w:sz w:val="24"/>
                <w:szCs w:val="24"/>
                <w:highlight w:val="none"/>
              </w:rPr>
              <w:t>货物品名</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4CB0CD6">
            <w:pPr>
              <w:pStyle w:val="1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D1930DA">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AB413E4">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5F35039">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9293126">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C53A4CF">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FE2DC4C">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36A3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64" w:type="dxa"/>
            <w:tcBorders>
              <w:top w:val="single" w:color="auto" w:sz="4" w:space="0"/>
              <w:left w:val="single" w:color="auto" w:sz="4" w:space="0"/>
              <w:bottom w:val="single" w:color="auto" w:sz="4" w:space="0"/>
              <w:right w:val="single" w:color="auto" w:sz="4" w:space="0"/>
            </w:tcBorders>
            <w:noWrap w:val="0"/>
            <w:vAlign w:val="center"/>
          </w:tcPr>
          <w:p w14:paraId="1DABCD39">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D6FBFE">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412D7444">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7F6470DC">
            <w:pPr>
              <w:pStyle w:val="113"/>
              <w:keepNext w:val="0"/>
              <w:keepLines w:val="0"/>
              <w:pageBreakBefore w:val="0"/>
              <w:widowControl w:val="0"/>
              <w:kinsoku/>
              <w:wordWrap/>
              <w:overflowPunct/>
              <w:topLinePunct w:val="0"/>
              <w:autoSpaceDE/>
              <w:autoSpaceDN/>
              <w:bidi w:val="0"/>
              <w:adjustRightInd w:val="0"/>
              <w:snapToGrid w:val="0"/>
              <w:spacing w:line="240" w:lineRule="auto"/>
              <w:ind w:firstLine="199" w:firstLineChars="83"/>
              <w:jc w:val="left"/>
              <w:textAlignment w:val="auto"/>
              <w:rPr>
                <w:rFonts w:hint="eastAsia" w:ascii="宋体" w:hAnsi="宋体" w:eastAsia="宋体" w:cs="宋体"/>
                <w:color w:val="auto"/>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E84CED1">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262B480">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ED7F35E">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AA22536">
            <w:pPr>
              <w:pStyle w:val="1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生产厂家</w:t>
            </w:r>
          </w:p>
        </w:tc>
      </w:tr>
      <w:tr w14:paraId="3664D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64" w:type="dxa"/>
            <w:tcBorders>
              <w:top w:val="single" w:color="auto" w:sz="4" w:space="0"/>
              <w:left w:val="single" w:color="auto" w:sz="4" w:space="0"/>
              <w:bottom w:val="single" w:color="auto" w:sz="4" w:space="0"/>
              <w:right w:val="single" w:color="auto" w:sz="4" w:space="0"/>
            </w:tcBorders>
            <w:noWrap w:val="0"/>
            <w:vAlign w:val="center"/>
          </w:tcPr>
          <w:p w14:paraId="3EF865DB">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46EE7D6">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742E57A3">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0548A76F">
            <w:pPr>
              <w:pStyle w:val="113"/>
              <w:keepNext w:val="0"/>
              <w:keepLines w:val="0"/>
              <w:pageBreakBefore w:val="0"/>
              <w:widowControl w:val="0"/>
              <w:kinsoku/>
              <w:wordWrap/>
              <w:overflowPunct/>
              <w:topLinePunct w:val="0"/>
              <w:autoSpaceDE/>
              <w:autoSpaceDN/>
              <w:bidi w:val="0"/>
              <w:adjustRightInd w:val="0"/>
              <w:snapToGrid w:val="0"/>
              <w:spacing w:line="240" w:lineRule="auto"/>
              <w:ind w:firstLine="199" w:firstLineChars="83"/>
              <w:jc w:val="left"/>
              <w:textAlignment w:val="auto"/>
              <w:rPr>
                <w:rFonts w:hint="eastAsia" w:ascii="宋体" w:hAnsi="宋体" w:eastAsia="宋体" w:cs="宋体"/>
                <w:color w:val="auto"/>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8F1BD24">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C45395">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EDF6D48">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F321F5C">
            <w:pPr>
              <w:pStyle w:val="1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生产厂家</w:t>
            </w:r>
          </w:p>
        </w:tc>
      </w:tr>
      <w:tr w14:paraId="3B6DA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64" w:type="dxa"/>
            <w:tcBorders>
              <w:top w:val="single" w:color="auto" w:sz="4" w:space="0"/>
              <w:left w:val="single" w:color="auto" w:sz="4" w:space="0"/>
              <w:bottom w:val="single" w:color="auto" w:sz="4" w:space="0"/>
              <w:right w:val="single" w:color="auto" w:sz="4" w:space="0"/>
            </w:tcBorders>
            <w:noWrap w:val="0"/>
            <w:vAlign w:val="center"/>
          </w:tcPr>
          <w:p w14:paraId="27B063B8">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9E39817">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2E1A4A1D">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217FAFA9">
            <w:pPr>
              <w:pStyle w:val="113"/>
              <w:keepNext w:val="0"/>
              <w:keepLines w:val="0"/>
              <w:pageBreakBefore w:val="0"/>
              <w:widowControl w:val="0"/>
              <w:kinsoku/>
              <w:wordWrap/>
              <w:overflowPunct/>
              <w:topLinePunct w:val="0"/>
              <w:autoSpaceDE/>
              <w:autoSpaceDN/>
              <w:bidi w:val="0"/>
              <w:adjustRightInd w:val="0"/>
              <w:snapToGrid w:val="0"/>
              <w:spacing w:line="240" w:lineRule="auto"/>
              <w:ind w:firstLine="199" w:firstLineChars="83"/>
              <w:jc w:val="left"/>
              <w:textAlignment w:val="auto"/>
              <w:rPr>
                <w:rFonts w:hint="eastAsia" w:ascii="宋体" w:hAnsi="宋体" w:eastAsia="宋体" w:cs="宋体"/>
                <w:color w:val="auto"/>
                <w:sz w:val="24"/>
                <w:szCs w:val="24"/>
                <w:highlight w:val="none"/>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0F9F87D">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223C0A9">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F848FB7">
            <w:pPr>
              <w:pStyle w:val="11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78B40C9">
            <w:pPr>
              <w:pStyle w:val="1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生产厂家</w:t>
            </w:r>
          </w:p>
        </w:tc>
      </w:tr>
      <w:tr w14:paraId="2201E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464" w:type="dxa"/>
            <w:tcBorders>
              <w:top w:val="single" w:color="auto" w:sz="4" w:space="0"/>
              <w:left w:val="single" w:color="auto" w:sz="4" w:space="0"/>
              <w:bottom w:val="single" w:color="auto" w:sz="4" w:space="0"/>
              <w:right w:val="single" w:color="auto" w:sz="4" w:space="0"/>
            </w:tcBorders>
            <w:noWrap w:val="0"/>
            <w:vAlign w:val="center"/>
          </w:tcPr>
          <w:p w14:paraId="763E3085">
            <w:pPr>
              <w:pStyle w:val="113"/>
              <w:keepNext w:val="0"/>
              <w:keepLines w:val="0"/>
              <w:pageBreakBefore w:val="0"/>
              <w:widowControl w:val="0"/>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586" w:type="dxa"/>
            <w:gridSpan w:val="3"/>
            <w:tcBorders>
              <w:top w:val="single" w:color="auto" w:sz="4" w:space="0"/>
              <w:left w:val="single" w:color="auto" w:sz="4" w:space="0"/>
              <w:bottom w:val="single" w:color="auto" w:sz="4" w:space="0"/>
              <w:right w:val="single" w:color="auto" w:sz="4" w:space="0"/>
            </w:tcBorders>
            <w:noWrap w:val="0"/>
            <w:vAlign w:val="center"/>
          </w:tcPr>
          <w:p w14:paraId="72F56FCA">
            <w:pPr>
              <w:pStyle w:val="113"/>
              <w:keepNext w:val="0"/>
              <w:keepLines w:val="0"/>
              <w:pageBreakBefore w:val="0"/>
              <w:widowControl w:val="0"/>
              <w:kinsoku/>
              <w:wordWrap/>
              <w:overflowPunct/>
              <w:topLinePunct w:val="0"/>
              <w:autoSpaceDE/>
              <w:autoSpaceDN/>
              <w:bidi w:val="0"/>
              <w:adjustRightInd w:val="0"/>
              <w:snapToGrid w:val="0"/>
              <w:spacing w:line="240" w:lineRule="auto"/>
              <w:ind w:firstLine="1680" w:firstLineChars="7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元  </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0795BDA">
            <w:pPr>
              <w:pStyle w:val="113"/>
              <w:keepNext w:val="0"/>
              <w:keepLines w:val="0"/>
              <w:pageBreakBefore w:val="0"/>
              <w:widowControl w:val="0"/>
              <w:kinsoku/>
              <w:wordWrap/>
              <w:overflowPunct/>
              <w:topLinePunct w:val="0"/>
              <w:autoSpaceDE/>
              <w:autoSpaceDN/>
              <w:bidi w:val="0"/>
              <w:adjustRightInd w:val="0"/>
              <w:snapToGrid w:val="0"/>
              <w:spacing w:line="24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786" w:type="dxa"/>
            <w:gridSpan w:val="3"/>
            <w:tcBorders>
              <w:top w:val="single" w:color="auto" w:sz="4" w:space="0"/>
              <w:left w:val="single" w:color="auto" w:sz="4" w:space="0"/>
              <w:bottom w:val="single" w:color="auto" w:sz="4" w:space="0"/>
              <w:right w:val="single" w:color="auto" w:sz="4" w:space="0"/>
            </w:tcBorders>
            <w:noWrap w:val="0"/>
            <w:vAlign w:val="center"/>
          </w:tcPr>
          <w:p w14:paraId="78DA53A3">
            <w:pPr>
              <w:pStyle w:val="113"/>
              <w:keepNext w:val="0"/>
              <w:keepLines w:val="0"/>
              <w:pageBreakBefore w:val="0"/>
              <w:widowControl w:val="0"/>
              <w:kinsoku/>
              <w:wordWrap/>
              <w:overflowPunct/>
              <w:topLinePunct w:val="0"/>
              <w:autoSpaceDE/>
              <w:autoSpaceDN/>
              <w:bidi w:val="0"/>
              <w:adjustRightInd w:val="0"/>
              <w:snapToGrid w:val="0"/>
              <w:spacing w:line="240" w:lineRule="auto"/>
              <w:ind w:firstLine="2160" w:firstLineChars="900"/>
              <w:jc w:val="left"/>
              <w:textAlignment w:val="auto"/>
              <w:rPr>
                <w:rFonts w:hint="eastAsia" w:ascii="宋体" w:hAnsi="宋体" w:eastAsia="宋体" w:cs="宋体"/>
                <w:color w:val="auto"/>
                <w:sz w:val="24"/>
                <w:szCs w:val="24"/>
                <w:highlight w:val="none"/>
              </w:rPr>
            </w:pPr>
          </w:p>
        </w:tc>
      </w:tr>
    </w:tbl>
    <w:p w14:paraId="3F793B8D">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二、合同总价</w:t>
      </w:r>
      <w:bookmarkEnd w:id="538"/>
      <w:bookmarkEnd w:id="539"/>
      <w:bookmarkEnd w:id="540"/>
      <w:bookmarkEnd w:id="541"/>
    </w:p>
    <w:p w14:paraId="2823CB58">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合同总价为人民币大写：</w:t>
      </w:r>
      <w:r>
        <w:rPr>
          <w:rFonts w:hint="eastAsia" w:ascii="宋体" w:hAnsi="宋体" w:eastAsia="宋体" w:cs="宋体"/>
          <w:color w:val="auto"/>
          <w:sz w:val="24"/>
          <w:szCs w:val="24"/>
          <w:highlight w:val="none"/>
          <w:u w:val="single"/>
        </w:rPr>
        <w:t xml:space="preserve">              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含税价，税率为  %，税票类型为: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；该合同总价已包括货物设计、制造、材料、包装、运输、安装、调试、检测、检验、审验、年检、办证等，</w:t>
      </w:r>
      <w:r>
        <w:rPr>
          <w:rFonts w:hint="eastAsia" w:ascii="宋体" w:hAnsi="宋体" w:eastAsia="宋体" w:cs="宋体"/>
          <w:color w:val="auto"/>
          <w:sz w:val="24"/>
          <w:szCs w:val="24"/>
          <w:highlight w:val="none"/>
          <w:lang w:eastAsia="zh-CN"/>
        </w:rPr>
        <w:t>需符合国家检定标准，</w:t>
      </w:r>
      <w:r>
        <w:rPr>
          <w:rFonts w:hint="eastAsia" w:ascii="宋体" w:hAnsi="宋体" w:eastAsia="宋体" w:cs="宋体"/>
          <w:color w:val="auto"/>
          <w:sz w:val="24"/>
          <w:szCs w:val="24"/>
          <w:highlight w:val="none"/>
        </w:rPr>
        <w:t>验收合格后交付使用之前，保修期内保修服务与备用物件等所有费用及其他有关各项费用（包含税费）。本合同执行期间合同总价不变，甲方无须另向乙方支付本合同规定之外的其他任何费用。</w:t>
      </w:r>
    </w:p>
    <w:p w14:paraId="26375B95">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bookmarkStart w:id="542" w:name="_Toc217446109"/>
      <w:bookmarkStart w:id="543" w:name="_Toc471489619"/>
      <w:bookmarkStart w:id="544" w:name="_Toc472604520"/>
      <w:bookmarkStart w:id="545" w:name="_Toc472604663"/>
      <w:r>
        <w:rPr>
          <w:rFonts w:hint="eastAsia" w:ascii="宋体" w:hAnsi="宋体" w:eastAsia="宋体" w:cs="宋体"/>
          <w:b/>
          <w:bCs/>
          <w:color w:val="auto"/>
          <w:sz w:val="24"/>
          <w:szCs w:val="24"/>
          <w:highlight w:val="none"/>
        </w:rPr>
        <w:t>三、质量要求</w:t>
      </w:r>
      <w:bookmarkEnd w:id="542"/>
      <w:bookmarkEnd w:id="543"/>
      <w:bookmarkEnd w:id="544"/>
      <w:bookmarkEnd w:id="545"/>
    </w:p>
    <w:p w14:paraId="2D03B32A">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1、乙方必须提供全新的货物（含零部件、配件等），表面无划伤、无碰撞痕迹，且权属清楚，不得侵害他人的知识产权。</w:t>
      </w:r>
    </w:p>
    <w:p w14:paraId="259A4713">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2、货物必须符合或优于国家（行业）</w:t>
      </w:r>
      <w:r>
        <w:rPr>
          <w:rFonts w:hint="eastAsia" w:ascii="宋体" w:hAnsi="宋体" w:eastAsia="宋体" w:cs="宋体"/>
          <w:color w:val="auto"/>
          <w:sz w:val="24"/>
          <w:szCs w:val="24"/>
          <w:highlight w:val="none"/>
          <w:u w:val="single"/>
        </w:rPr>
        <w:t xml:space="preserve"> 质量 </w:t>
      </w:r>
      <w:r>
        <w:rPr>
          <w:rFonts w:hint="eastAsia" w:ascii="宋体" w:hAnsi="宋体" w:eastAsia="宋体" w:cs="宋体"/>
          <w:color w:val="auto"/>
          <w:sz w:val="24"/>
          <w:szCs w:val="24"/>
          <w:highlight w:val="none"/>
        </w:rPr>
        <w:t>标准，以及本项目招标文件的质量要求和技术指标与出厂标准。</w:t>
      </w:r>
    </w:p>
    <w:p w14:paraId="48222A42">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3、货物制造质量出现问题，乙方应负责三包（包修、包换、包退），费用由乙方负担，甲方有权到乙方生产场地检查货物质量和生产进度。</w:t>
      </w:r>
    </w:p>
    <w:p w14:paraId="3018BF09">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4、货到现场后由于甲方保管不当造成的质量问题，乙方亦应负责免费修理，产生的配件费用由甲方负担。</w:t>
      </w:r>
    </w:p>
    <w:p w14:paraId="64EA9CD8">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bookmarkStart w:id="546" w:name="_Toc472604521"/>
      <w:bookmarkStart w:id="547" w:name="_Toc471489620"/>
      <w:bookmarkStart w:id="548" w:name="_Toc472604664"/>
      <w:bookmarkStart w:id="549" w:name="_Toc217446110"/>
      <w:r>
        <w:rPr>
          <w:rFonts w:hint="eastAsia" w:ascii="宋体" w:hAnsi="宋体" w:eastAsia="宋体" w:cs="宋体"/>
          <w:b/>
          <w:bCs/>
          <w:color w:val="auto"/>
          <w:sz w:val="24"/>
          <w:szCs w:val="24"/>
          <w:highlight w:val="none"/>
        </w:rPr>
        <w:t>四、交货及验收</w:t>
      </w:r>
      <w:bookmarkEnd w:id="546"/>
      <w:bookmarkEnd w:id="547"/>
      <w:bookmarkEnd w:id="548"/>
      <w:bookmarkEnd w:id="549"/>
    </w:p>
    <w:p w14:paraId="2EA4736A">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1、乙方交货期限为合同签订生效后的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0日内，在合同签订生效之日起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0天内交货到甲方指定地点，随即在5日内全部完成旧设备的拆卸工作、新设备的安装，调试验收合格交付使用（期间乙方不得再向甲方追加任何费用）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乙方在货物</w:t>
      </w:r>
      <w:r>
        <w:rPr>
          <w:rFonts w:hint="eastAsia" w:ascii="宋体" w:hAnsi="宋体" w:eastAsia="宋体" w:cs="宋体"/>
          <w:color w:val="auto"/>
          <w:sz w:val="24"/>
          <w:szCs w:val="24"/>
          <w:highlight w:val="none"/>
          <w:lang w:val="en-US" w:eastAsia="zh-CN"/>
        </w:rPr>
        <w:t>运输</w:t>
      </w:r>
      <w:r>
        <w:rPr>
          <w:rFonts w:hint="eastAsia" w:ascii="宋体" w:hAnsi="宋体" w:eastAsia="宋体" w:cs="宋体"/>
          <w:color w:val="auto"/>
          <w:sz w:val="24"/>
          <w:szCs w:val="24"/>
          <w:highlight w:val="none"/>
        </w:rPr>
        <w:t xml:space="preserve">、货物安装中应保证人身安全和财产安全，如乙方在货物运输、安装、调试等履行合同义务期间造成人身或财产损害的，由乙方自行处理并承担赔偿责任。 </w:t>
      </w:r>
    </w:p>
    <w:p w14:paraId="15B131AD">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2、验收由甲方组织，乙方配合进行：</w:t>
      </w:r>
    </w:p>
    <w:p w14:paraId="50C599FD">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货物在乙方通知安装调试完毕后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日内完成验收。</w:t>
      </w:r>
    </w:p>
    <w:p w14:paraId="59DA1A59">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519614A3">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如质量验收合格，经厂家工程师培训使用后，双方签署质量验收报告。</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验收不免除乙方</w:t>
      </w:r>
      <w:r>
        <w:rPr>
          <w:rFonts w:hint="eastAsia" w:ascii="宋体" w:hAnsi="宋体" w:eastAsia="宋体" w:cs="宋体"/>
          <w:color w:val="auto"/>
          <w:sz w:val="24"/>
          <w:szCs w:val="24"/>
          <w:highlight w:val="none"/>
          <w:lang w:val="en-US" w:eastAsia="zh-CN"/>
        </w:rPr>
        <w:t>在质保期内</w:t>
      </w:r>
      <w:r>
        <w:rPr>
          <w:rFonts w:hint="eastAsia" w:ascii="宋体" w:hAnsi="宋体" w:eastAsia="宋体" w:cs="宋体"/>
          <w:color w:val="auto"/>
          <w:sz w:val="24"/>
          <w:szCs w:val="24"/>
          <w:highlight w:val="none"/>
        </w:rPr>
        <w:t>对货物质量依法应承担的责任。</w:t>
      </w:r>
    </w:p>
    <w:p w14:paraId="5AF8DA54">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3、乙方应将所提供货物的装箱清单、配件、随机工具、用户使用手册、原厂保修卡等资料交付给甲方；乙方不能完整交付货物及本款规定的单证和工具的，必须负责补齐，否则视为未按合同约定交货。</w:t>
      </w:r>
    </w:p>
    <w:p w14:paraId="481F3754">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bookmarkStart w:id="550" w:name="_Toc217446111"/>
      <w:bookmarkStart w:id="551" w:name="_Toc472604665"/>
      <w:bookmarkStart w:id="552" w:name="_Toc471489621"/>
      <w:bookmarkStart w:id="553" w:name="_Toc472604522"/>
      <w:r>
        <w:rPr>
          <w:rFonts w:hint="eastAsia" w:ascii="宋体" w:hAnsi="宋体" w:eastAsia="宋体" w:cs="宋体"/>
          <w:b/>
          <w:bCs/>
          <w:color w:val="auto"/>
          <w:sz w:val="24"/>
          <w:szCs w:val="24"/>
          <w:highlight w:val="none"/>
        </w:rPr>
        <w:t>五、付款方式</w:t>
      </w:r>
      <w:bookmarkEnd w:id="550"/>
      <w:bookmarkEnd w:id="551"/>
      <w:bookmarkEnd w:id="552"/>
      <w:bookmarkEnd w:id="553"/>
    </w:p>
    <w:p w14:paraId="11E4B7C7">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乙方中标后，取得中标通知书，并与甲方签订合同，甲方拨付给乙方合同全款的30%的货款，计人民币：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元）。货物到达甲方指定地点,验收货物与招标产品相符，无异议后拨付合同全款的50%的货款，计人民币：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元）。货物安装验收完毕，双方签署质量验收报告后,乙方向甲方提供银行出具的履约保函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履约保函</w:t>
      </w:r>
      <w:r>
        <w:rPr>
          <w:rFonts w:hint="eastAsia" w:ascii="宋体" w:hAnsi="宋体" w:eastAsia="宋体" w:cs="宋体"/>
          <w:color w:val="auto"/>
          <w:sz w:val="24"/>
          <w:szCs w:val="24"/>
          <w:highlight w:val="none"/>
          <w:lang w:val="en-US" w:eastAsia="zh-CN"/>
        </w:rPr>
        <w:t>为合同总价5%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，确认履约保函无误后甲方拨付给乙方合同全款的20%的货款，计人民币：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元），质保期过后无产品质量问题，经科室设备负责人签字确认，我院方可提供履约担保函到期证明。</w:t>
      </w:r>
      <w:r>
        <w:rPr>
          <w:rFonts w:hint="eastAsia" w:ascii="宋体" w:hAnsi="宋体" w:eastAsia="宋体" w:cs="宋体"/>
          <w:i w:val="0"/>
          <w:iCs w:val="0"/>
          <w:caps w:val="0"/>
          <w:color w:val="auto"/>
          <w:spacing w:val="0"/>
          <w:sz w:val="24"/>
          <w:szCs w:val="24"/>
          <w:highlight w:val="none"/>
          <w:shd w:val="clear" w:color="auto" w:fill="FFFFFF"/>
        </w:rPr>
        <w:t>其中确认“财政直接支付方式”的，向财政国库支付机构提出申请支付令、办理国库支付手续（不计入甲方付款期限），将货款支付给乙方；</w:t>
      </w:r>
    </w:p>
    <w:p w14:paraId="6116F725">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甲方每次付款前，乙方须向甲方提供相应金额合法有效的增值税发票，如乙方未一月提供，甲方有权延期支付货款，在此情形下，乙方须继续履行合同义务。</w:t>
      </w:r>
    </w:p>
    <w:p w14:paraId="4160FE66">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bookmarkStart w:id="554" w:name="_Toc471489622"/>
      <w:bookmarkStart w:id="555" w:name="_Toc217446112"/>
      <w:bookmarkStart w:id="556" w:name="_Toc472604666"/>
      <w:bookmarkStart w:id="557" w:name="_Toc472604523"/>
      <w:r>
        <w:rPr>
          <w:rFonts w:hint="eastAsia" w:ascii="宋体" w:hAnsi="宋体" w:eastAsia="宋体" w:cs="宋体"/>
          <w:b/>
          <w:bCs/>
          <w:color w:val="auto"/>
          <w:sz w:val="24"/>
          <w:szCs w:val="24"/>
          <w:highlight w:val="none"/>
        </w:rPr>
        <w:t>六、售后服务</w:t>
      </w:r>
      <w:bookmarkEnd w:id="554"/>
      <w:bookmarkEnd w:id="555"/>
      <w:bookmarkEnd w:id="556"/>
      <w:bookmarkEnd w:id="557"/>
    </w:p>
    <w:p w14:paraId="24B4E804">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年，起始日期为验收合格后，科室在验收单上签署日期开始计算质保期，（不以合同签订日期计算质保期）质保期内出现质量问题，乙方在接到通知后</w:t>
      </w:r>
      <w:r>
        <w:rPr>
          <w:rFonts w:hint="eastAsia" w:ascii="宋体" w:hAnsi="宋体" w:eastAsia="宋体" w:cs="宋体"/>
          <w:color w:val="auto"/>
          <w:sz w:val="24"/>
          <w:szCs w:val="24"/>
          <w:highlight w:val="none"/>
          <w:u w:val="single"/>
        </w:rPr>
        <w:t xml:space="preserve">  半  </w:t>
      </w:r>
      <w:r>
        <w:rPr>
          <w:rFonts w:hint="eastAsia" w:ascii="宋体" w:hAnsi="宋体" w:eastAsia="宋体" w:cs="宋体"/>
          <w:color w:val="auto"/>
          <w:sz w:val="24"/>
          <w:szCs w:val="24"/>
          <w:highlight w:val="none"/>
        </w:rPr>
        <w:t>小时内响应，48小时内服务人员到场组织维修；货到现场后由于甲方保管不当造成的问题，乙方亦应负责免费修理，产生的配件费用由甲方负担。</w:t>
      </w:r>
    </w:p>
    <w:p w14:paraId="0430183E">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2、乙方须指派专人负责与甲方联系售后服务事宜。</w:t>
      </w:r>
    </w:p>
    <w:p w14:paraId="556CD064">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bookmarkStart w:id="558" w:name="_Toc217446113"/>
      <w:bookmarkStart w:id="559" w:name="_Toc472604524"/>
      <w:bookmarkStart w:id="560" w:name="_Toc472604667"/>
      <w:bookmarkStart w:id="561" w:name="_Toc471489623"/>
      <w:r>
        <w:rPr>
          <w:rFonts w:hint="eastAsia" w:ascii="宋体" w:hAnsi="宋体" w:eastAsia="宋体" w:cs="宋体"/>
          <w:b/>
          <w:bCs/>
          <w:color w:val="auto"/>
          <w:sz w:val="24"/>
          <w:szCs w:val="24"/>
          <w:highlight w:val="none"/>
        </w:rPr>
        <w:t>七、违约责任</w:t>
      </w:r>
      <w:bookmarkEnd w:id="558"/>
      <w:bookmarkEnd w:id="559"/>
      <w:bookmarkEnd w:id="560"/>
      <w:bookmarkEnd w:id="561"/>
    </w:p>
    <w:p w14:paraId="74DD3346">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
          <w:bCs/>
          <w:color w:val="auto"/>
          <w:sz w:val="24"/>
          <w:szCs w:val="24"/>
          <w:highlight w:val="none"/>
        </w:rPr>
      </w:pPr>
      <w:bookmarkStart w:id="562" w:name="_Toc472604668"/>
      <w:bookmarkStart w:id="563" w:name="_Toc217446114"/>
      <w:bookmarkStart w:id="564" w:name="_Toc471489624"/>
      <w:bookmarkStart w:id="565" w:name="_Toc472604525"/>
      <w:r>
        <w:rPr>
          <w:rFonts w:hint="eastAsia" w:ascii="宋体" w:hAnsi="宋体" w:eastAsia="宋体" w:cs="宋体"/>
          <w:color w:val="auto"/>
          <w:sz w:val="24"/>
          <w:szCs w:val="24"/>
          <w:highlight w:val="none"/>
        </w:rPr>
        <w:t>1、甲乙双方必须遵守本合同并执行合同中的各项规定，保证本合同的正常履行。</w:t>
      </w:r>
    </w:p>
    <w:p w14:paraId="4E3F748B">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因乙方工作人员在履行职务过程中的的疏忽、失职、过错等故意或者过失原因给甲方造成损失或侵害，包括由此而导致的甲方对任何第三方的法律责任等（但不限于甲方本身已存在的财产损失），乙方对此均应承担全部的赔偿责任。</w:t>
      </w:r>
    </w:p>
    <w:p w14:paraId="743A7D96">
      <w:pPr>
        <w:pStyle w:val="11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履行期间，如乙方未按约定提供货物或未按约定提供质保服务的，甲方有权追究乙方违约责任，每逾期一日，乙方须按照合同总金额的3‰赔偿甲方违约金。同时，甲方由此产生的全部经济损失以及主张权利所产生的全部费用（包括但不限于律师费、诉讼费、保全费等）由乙方承担。”</w:t>
      </w:r>
    </w:p>
    <w:p w14:paraId="6F9D0FF8">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4、如甲方在货物供应有时间要求，或对货物安装、使用有特殊要求的，乙方在明知甲方需求的情况下，依然不履行合同制定的规定，甲方有权单方面终止合同。</w:t>
      </w:r>
    </w:p>
    <w:p w14:paraId="1D5CC878">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八、争议解决办法</w:t>
      </w:r>
      <w:bookmarkEnd w:id="562"/>
      <w:bookmarkEnd w:id="563"/>
      <w:bookmarkEnd w:id="564"/>
      <w:bookmarkEnd w:id="565"/>
    </w:p>
    <w:p w14:paraId="226AE9C4">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14:paraId="122CBBC9">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2、合同履行期间,若双方发生争议，可协商或由有关部门调解解决，协商或调解不成的，由</w:t>
      </w:r>
      <w:r>
        <w:rPr>
          <w:rFonts w:hint="eastAsia" w:ascii="宋体" w:hAnsi="宋体" w:eastAsia="宋体" w:cs="宋体"/>
          <w:color w:val="auto"/>
          <w:sz w:val="24"/>
          <w:szCs w:val="24"/>
          <w:highlight w:val="none"/>
          <w:lang w:val="en-US" w:eastAsia="zh-CN"/>
        </w:rPr>
        <w:t>青河县人民法院管辖</w:t>
      </w:r>
      <w:r>
        <w:rPr>
          <w:rFonts w:hint="eastAsia" w:ascii="宋体" w:hAnsi="宋体" w:eastAsia="宋体" w:cs="宋体"/>
          <w:color w:val="auto"/>
          <w:sz w:val="24"/>
          <w:szCs w:val="24"/>
          <w:highlight w:val="none"/>
        </w:rPr>
        <w:t>。</w:t>
      </w:r>
    </w:p>
    <w:p w14:paraId="25E1C8ED">
      <w:pPr>
        <w:pStyle w:val="113"/>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bookmarkStart w:id="566" w:name="_Toc217446115"/>
      <w:bookmarkStart w:id="567" w:name="_Toc472604669"/>
      <w:bookmarkStart w:id="568" w:name="_Toc471489625"/>
      <w:bookmarkStart w:id="569" w:name="_Toc472604526"/>
      <w:r>
        <w:rPr>
          <w:rFonts w:hint="eastAsia" w:ascii="宋体" w:hAnsi="宋体" w:eastAsia="宋体" w:cs="宋体"/>
          <w:b/>
          <w:bCs/>
          <w:color w:val="auto"/>
          <w:sz w:val="24"/>
          <w:szCs w:val="24"/>
          <w:highlight w:val="none"/>
        </w:rPr>
        <w:t>九、其他</w:t>
      </w:r>
      <w:bookmarkEnd w:id="566"/>
      <w:bookmarkEnd w:id="567"/>
      <w:bookmarkEnd w:id="568"/>
      <w:bookmarkEnd w:id="569"/>
    </w:p>
    <w:p w14:paraId="172E3C12">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1、合同经双方法定代表人或授权委托代理人签字并加盖单位公章后生效。</w:t>
      </w:r>
    </w:p>
    <w:p w14:paraId="38C54E8C">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2、合同执行中涉及采购资金和采购内容修改或补充的，须签书面补充协议，经甲乙双方同意，加盖公章，方可作为主合同不可分割的一部分（补充协议见附件一）。</w:t>
      </w:r>
    </w:p>
    <w:p w14:paraId="024FB5C9">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3、本合同一式5份，自双方签章之日起生效。甲方2份，乙方1份，政府采购代理机构1份，同级财政部门备案1份。</w:t>
      </w:r>
    </w:p>
    <w:p w14:paraId="786E4BFB">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4、本合同签订的补充协议及附件与本合同具有同等法律效力。</w:t>
      </w:r>
    </w:p>
    <w:p w14:paraId="47AD2C76">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协议中确定的地址及联系方式系履行本协议双方送达各类通知以及发生纠纷时相关文件及人民法院送达传票、民事起诉状等法律文书的有效送达地址；任何一方的送达地址变更的，应在变更当日书面通知对方，若因一方提供或者确认的送达地址不准确、送达地址变更后未及时依程序告知对方的，原联系地址仍视为有效送达地址。</w:t>
      </w:r>
    </w:p>
    <w:p w14:paraId="05287CA1">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乙 方：（盖章）           </w:t>
      </w:r>
    </w:p>
    <w:p w14:paraId="4788D493">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p>
    <w:p w14:paraId="1609C19E">
      <w:pPr>
        <w:pStyle w:val="11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14:paraId="317499EE">
      <w:pPr>
        <w:pStyle w:val="11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青河县</w:t>
      </w:r>
      <w:r>
        <w:rPr>
          <w:rFonts w:hint="eastAsia" w:ascii="宋体" w:hAnsi="宋体" w:eastAsia="宋体" w:cs="宋体"/>
          <w:color w:val="auto"/>
          <w:w w:val="90"/>
          <w:sz w:val="24"/>
          <w:szCs w:val="24"/>
          <w:highlight w:val="none"/>
        </w:rPr>
        <w:t xml:space="preserve">青河镇模范北路13号   </w:t>
      </w:r>
      <w:r>
        <w:rPr>
          <w:rFonts w:hint="eastAsia" w:ascii="宋体" w:hAnsi="宋体" w:eastAsia="宋体" w:cs="宋体"/>
          <w:color w:val="auto"/>
          <w:w w:val="90"/>
          <w:sz w:val="24"/>
          <w:szCs w:val="24"/>
          <w:highlight w:val="none"/>
          <w:lang w:val="en-US" w:eastAsia="zh-CN"/>
        </w:rPr>
        <w:t xml:space="preserve">  </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8BF87A0">
      <w:pPr>
        <w:pStyle w:val="113"/>
        <w:keepNext w:val="0"/>
        <w:keepLines w:val="0"/>
        <w:pageBreakBefore w:val="0"/>
        <w:widowControl w:val="0"/>
        <w:kinsoku/>
        <w:wordWrap/>
        <w:overflowPunct/>
        <w:topLinePunct w:val="0"/>
        <w:autoSpaceDE/>
        <w:autoSpaceDN/>
        <w:bidi w:val="0"/>
        <w:adjustRightInd w:val="0"/>
        <w:snapToGrid w:val="0"/>
        <w:spacing w:line="360" w:lineRule="auto"/>
        <w:ind w:left="336" w:leftChars="140" w:firstLine="0" w:firstLineChars="0"/>
        <w:textAlignment w:val="auto"/>
        <w:rPr>
          <w:rFonts w:hint="eastAsia" w:ascii="宋体" w:hAnsi="宋体" w:eastAsia="宋体" w:cs="宋体"/>
          <w:color w:val="auto"/>
          <w:sz w:val="24"/>
          <w:szCs w:val="24"/>
          <w:highlight w:val="none"/>
        </w:rPr>
      </w:pPr>
    </w:p>
    <w:p w14:paraId="50989270">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开户银行：青河县农村信用合作联社  开户银行</w:t>
      </w:r>
      <w:r>
        <w:rPr>
          <w:rFonts w:hint="eastAsia" w:ascii="宋体" w:hAnsi="宋体" w:eastAsia="宋体" w:cs="宋体"/>
          <w:color w:val="auto"/>
          <w:sz w:val="24"/>
          <w:szCs w:val="24"/>
          <w:highlight w:val="none"/>
          <w:lang w:eastAsia="zh-CN"/>
        </w:rPr>
        <w:t>及行号</w:t>
      </w:r>
      <w:r>
        <w:rPr>
          <w:rFonts w:hint="eastAsia" w:ascii="宋体" w:hAnsi="宋体" w:eastAsia="宋体" w:cs="宋体"/>
          <w:color w:val="auto"/>
          <w:sz w:val="24"/>
          <w:szCs w:val="24"/>
          <w:highlight w:val="none"/>
        </w:rPr>
        <w:t>：</w:t>
      </w:r>
    </w:p>
    <w:p w14:paraId="30431C5A">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p>
    <w:p w14:paraId="6309377F">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号：827010012010103138698   账  号：</w:t>
      </w:r>
    </w:p>
    <w:p w14:paraId="517308E5">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话：0906-8822274            电  话：</w:t>
      </w:r>
    </w:p>
    <w:p w14:paraId="09DBB271">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真：0906-8824734            传  真：</w:t>
      </w:r>
    </w:p>
    <w:p w14:paraId="49AD6042">
      <w:pPr>
        <w:pStyle w:val="11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年   月   日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签订日期：   年   月  日</w:t>
      </w:r>
    </w:p>
    <w:p w14:paraId="6DF1DAF5">
      <w:pPr>
        <w:pStyle w:val="113"/>
        <w:ind w:firstLine="480"/>
        <w:rPr>
          <w:rFonts w:hint="eastAsia" w:hAnsi="宋体" w:eastAsia="宋体"/>
          <w:color w:val="auto"/>
          <w:szCs w:val="24"/>
          <w:highlight w:val="none"/>
        </w:rPr>
      </w:pPr>
    </w:p>
    <w:p w14:paraId="73375BBA">
      <w:pPr>
        <w:pStyle w:val="113"/>
        <w:ind w:firstLine="480"/>
        <w:rPr>
          <w:rFonts w:hint="eastAsia" w:hAnsi="宋体" w:eastAsia="宋体"/>
          <w:color w:val="auto"/>
          <w:szCs w:val="24"/>
          <w:highlight w:val="none"/>
        </w:rPr>
      </w:pPr>
    </w:p>
    <w:p w14:paraId="074195AC">
      <w:pPr>
        <w:pStyle w:val="113"/>
        <w:ind w:firstLine="480"/>
        <w:rPr>
          <w:rFonts w:hint="eastAsia" w:hAnsi="宋体" w:eastAsia="宋体"/>
          <w:color w:val="auto"/>
          <w:szCs w:val="24"/>
          <w:highlight w:val="none"/>
        </w:rPr>
      </w:pPr>
    </w:p>
    <w:p w14:paraId="1F59BF4D">
      <w:pPr>
        <w:pStyle w:val="113"/>
        <w:ind w:firstLine="480"/>
        <w:rPr>
          <w:rFonts w:hint="eastAsia" w:hAnsi="宋体" w:eastAsia="宋体"/>
          <w:color w:val="auto"/>
          <w:szCs w:val="24"/>
          <w:highlight w:val="none"/>
        </w:rPr>
      </w:pPr>
    </w:p>
    <w:p w14:paraId="7ECB9B7B">
      <w:pPr>
        <w:pStyle w:val="113"/>
        <w:ind w:firstLine="480"/>
        <w:rPr>
          <w:rFonts w:hint="eastAsia" w:hAnsi="宋体" w:eastAsia="宋体"/>
          <w:color w:val="auto"/>
          <w:szCs w:val="24"/>
          <w:highlight w:val="none"/>
        </w:rPr>
      </w:pPr>
    </w:p>
    <w:p w14:paraId="02FA076B">
      <w:pPr>
        <w:pStyle w:val="113"/>
        <w:ind w:firstLine="0" w:firstLineChars="0"/>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附件一</w:t>
      </w:r>
    </w:p>
    <w:p w14:paraId="58202590">
      <w:pPr>
        <w:pStyle w:val="113"/>
        <w:ind w:firstLine="0" w:firstLineChars="0"/>
        <w:rPr>
          <w:rFonts w:hint="eastAsia" w:hAnsi="宋体" w:eastAsia="宋体" w:cs="华文仿宋"/>
          <w:b/>
          <w:bCs/>
          <w:color w:val="auto"/>
          <w:sz w:val="28"/>
          <w:szCs w:val="28"/>
          <w:highlight w:val="none"/>
        </w:rPr>
      </w:pPr>
    </w:p>
    <w:p w14:paraId="2D985934">
      <w:pPr>
        <w:pStyle w:val="113"/>
        <w:spacing w:line="700" w:lineRule="exact"/>
        <w:ind w:firstLine="0" w:firstLineChars="0"/>
        <w:jc w:val="center"/>
        <w:rPr>
          <w:rFonts w:hint="eastAsia" w:hAnsi="宋体" w:eastAsia="宋体" w:cs="华文仿宋"/>
          <w:b/>
          <w:bCs/>
          <w:color w:val="auto"/>
          <w:sz w:val="48"/>
          <w:szCs w:val="48"/>
          <w:highlight w:val="none"/>
        </w:rPr>
      </w:pPr>
      <w:r>
        <w:rPr>
          <w:rFonts w:hint="eastAsia" w:hAnsi="宋体" w:eastAsia="宋体" w:cs="华文仿宋"/>
          <w:b/>
          <w:bCs/>
          <w:color w:val="auto"/>
          <w:sz w:val="48"/>
          <w:szCs w:val="48"/>
          <w:highlight w:val="none"/>
        </w:rPr>
        <w:t>补充协议</w:t>
      </w:r>
    </w:p>
    <w:p w14:paraId="556F13EC">
      <w:pPr>
        <w:pStyle w:val="113"/>
        <w:ind w:firstLine="0" w:firstLineChars="0"/>
        <w:jc w:val="center"/>
        <w:rPr>
          <w:rFonts w:hint="eastAsia" w:hAnsi="宋体" w:eastAsia="宋体" w:cs="华文仿宋"/>
          <w:b/>
          <w:bCs/>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500"/>
        <w:gridCol w:w="2566"/>
        <w:gridCol w:w="2517"/>
      </w:tblGrid>
      <w:tr w14:paraId="6A1C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7" w:type="dxa"/>
            <w:noWrap w:val="0"/>
            <w:vAlign w:val="center"/>
          </w:tcPr>
          <w:p w14:paraId="1CEE5003">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序号</w:t>
            </w:r>
          </w:p>
        </w:tc>
        <w:tc>
          <w:tcPr>
            <w:tcW w:w="2500" w:type="dxa"/>
            <w:noWrap w:val="0"/>
            <w:vAlign w:val="center"/>
          </w:tcPr>
          <w:p w14:paraId="1D391A41">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补充内容</w:t>
            </w:r>
          </w:p>
        </w:tc>
        <w:tc>
          <w:tcPr>
            <w:tcW w:w="2566" w:type="dxa"/>
            <w:noWrap w:val="0"/>
            <w:vAlign w:val="center"/>
          </w:tcPr>
          <w:p w14:paraId="13480E65">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详细说明</w:t>
            </w:r>
          </w:p>
        </w:tc>
        <w:tc>
          <w:tcPr>
            <w:tcW w:w="2517" w:type="dxa"/>
            <w:noWrap w:val="0"/>
            <w:vAlign w:val="center"/>
          </w:tcPr>
          <w:p w14:paraId="4E8E076E">
            <w:pPr>
              <w:pStyle w:val="113"/>
              <w:ind w:firstLine="0" w:firstLineChars="0"/>
              <w:jc w:val="center"/>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备注</w:t>
            </w:r>
          </w:p>
        </w:tc>
      </w:tr>
      <w:tr w14:paraId="7412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837" w:type="dxa"/>
            <w:noWrap w:val="0"/>
            <w:vAlign w:val="top"/>
          </w:tcPr>
          <w:p w14:paraId="6B134F79">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1</w:t>
            </w:r>
          </w:p>
        </w:tc>
        <w:tc>
          <w:tcPr>
            <w:tcW w:w="2500" w:type="dxa"/>
            <w:noWrap w:val="0"/>
            <w:vAlign w:val="top"/>
          </w:tcPr>
          <w:p w14:paraId="5CA2DBA5">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57699074">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60A02A98">
            <w:pPr>
              <w:pStyle w:val="113"/>
              <w:ind w:firstLine="0" w:firstLineChars="0"/>
              <w:rPr>
                <w:rFonts w:hint="eastAsia" w:hAnsi="宋体" w:eastAsia="宋体" w:cs="华文仿宋"/>
                <w:b/>
                <w:bCs/>
                <w:color w:val="auto"/>
                <w:sz w:val="28"/>
                <w:szCs w:val="28"/>
                <w:highlight w:val="none"/>
              </w:rPr>
            </w:pPr>
          </w:p>
        </w:tc>
      </w:tr>
      <w:tr w14:paraId="565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37" w:type="dxa"/>
            <w:noWrap w:val="0"/>
            <w:vAlign w:val="top"/>
          </w:tcPr>
          <w:p w14:paraId="0EE01CC6">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2</w:t>
            </w:r>
          </w:p>
        </w:tc>
        <w:tc>
          <w:tcPr>
            <w:tcW w:w="2500" w:type="dxa"/>
            <w:noWrap w:val="0"/>
            <w:vAlign w:val="top"/>
          </w:tcPr>
          <w:p w14:paraId="683E38C0">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2017B7FB">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5837BF9A">
            <w:pPr>
              <w:pStyle w:val="113"/>
              <w:ind w:firstLine="0" w:firstLineChars="0"/>
              <w:rPr>
                <w:rFonts w:hint="eastAsia" w:hAnsi="宋体" w:eastAsia="宋体" w:cs="华文仿宋"/>
                <w:b/>
                <w:bCs/>
                <w:color w:val="auto"/>
                <w:sz w:val="28"/>
                <w:szCs w:val="28"/>
                <w:highlight w:val="none"/>
              </w:rPr>
            </w:pPr>
          </w:p>
        </w:tc>
      </w:tr>
      <w:tr w14:paraId="44A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37" w:type="dxa"/>
            <w:noWrap w:val="0"/>
            <w:vAlign w:val="top"/>
          </w:tcPr>
          <w:p w14:paraId="670EF585">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3</w:t>
            </w:r>
          </w:p>
        </w:tc>
        <w:tc>
          <w:tcPr>
            <w:tcW w:w="2500" w:type="dxa"/>
            <w:noWrap w:val="0"/>
            <w:vAlign w:val="top"/>
          </w:tcPr>
          <w:p w14:paraId="7CB1F49D">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32E79D29">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19752559">
            <w:pPr>
              <w:pStyle w:val="113"/>
              <w:ind w:firstLine="0" w:firstLineChars="0"/>
              <w:rPr>
                <w:rFonts w:hint="eastAsia" w:hAnsi="宋体" w:eastAsia="宋体" w:cs="华文仿宋"/>
                <w:b/>
                <w:bCs/>
                <w:color w:val="auto"/>
                <w:sz w:val="28"/>
                <w:szCs w:val="28"/>
                <w:highlight w:val="none"/>
              </w:rPr>
            </w:pPr>
          </w:p>
        </w:tc>
      </w:tr>
      <w:tr w14:paraId="3FBE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37" w:type="dxa"/>
            <w:noWrap w:val="0"/>
            <w:vAlign w:val="top"/>
          </w:tcPr>
          <w:p w14:paraId="5E4094C0">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4</w:t>
            </w:r>
          </w:p>
        </w:tc>
        <w:tc>
          <w:tcPr>
            <w:tcW w:w="2500" w:type="dxa"/>
            <w:noWrap w:val="0"/>
            <w:vAlign w:val="top"/>
          </w:tcPr>
          <w:p w14:paraId="57E73EEC">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213A7ACE">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12AB87BD">
            <w:pPr>
              <w:pStyle w:val="113"/>
              <w:ind w:firstLine="0" w:firstLineChars="0"/>
              <w:rPr>
                <w:rFonts w:hint="eastAsia" w:hAnsi="宋体" w:eastAsia="宋体" w:cs="华文仿宋"/>
                <w:b/>
                <w:bCs/>
                <w:color w:val="auto"/>
                <w:sz w:val="28"/>
                <w:szCs w:val="28"/>
                <w:highlight w:val="none"/>
              </w:rPr>
            </w:pPr>
          </w:p>
        </w:tc>
      </w:tr>
      <w:tr w14:paraId="7833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837" w:type="dxa"/>
            <w:noWrap w:val="0"/>
            <w:vAlign w:val="top"/>
          </w:tcPr>
          <w:p w14:paraId="36EA0303">
            <w:pPr>
              <w:pStyle w:val="113"/>
              <w:ind w:firstLine="0" w:firstLineChars="0"/>
              <w:jc w:val="center"/>
              <w:rPr>
                <w:rFonts w:hAnsi="宋体" w:eastAsia="宋体" w:cs="华文仿宋"/>
                <w:b/>
                <w:bCs/>
                <w:color w:val="auto"/>
                <w:sz w:val="28"/>
                <w:szCs w:val="28"/>
                <w:highlight w:val="none"/>
              </w:rPr>
            </w:pPr>
            <w:r>
              <w:rPr>
                <w:rFonts w:hint="eastAsia" w:hAnsi="宋体" w:eastAsia="宋体" w:cs="华文仿宋"/>
                <w:b/>
                <w:bCs/>
                <w:color w:val="auto"/>
                <w:sz w:val="28"/>
                <w:szCs w:val="28"/>
                <w:highlight w:val="none"/>
              </w:rPr>
              <w:t>5</w:t>
            </w:r>
          </w:p>
        </w:tc>
        <w:tc>
          <w:tcPr>
            <w:tcW w:w="2500" w:type="dxa"/>
            <w:noWrap w:val="0"/>
            <w:vAlign w:val="top"/>
          </w:tcPr>
          <w:p w14:paraId="0640AB38">
            <w:pPr>
              <w:pStyle w:val="113"/>
              <w:ind w:firstLine="0" w:firstLineChars="0"/>
              <w:rPr>
                <w:rFonts w:hint="eastAsia" w:hAnsi="宋体" w:eastAsia="宋体" w:cs="华文仿宋"/>
                <w:b/>
                <w:bCs/>
                <w:color w:val="auto"/>
                <w:sz w:val="28"/>
                <w:szCs w:val="28"/>
                <w:highlight w:val="none"/>
              </w:rPr>
            </w:pPr>
          </w:p>
        </w:tc>
        <w:tc>
          <w:tcPr>
            <w:tcW w:w="2566" w:type="dxa"/>
            <w:noWrap w:val="0"/>
            <w:vAlign w:val="top"/>
          </w:tcPr>
          <w:p w14:paraId="1740499E">
            <w:pPr>
              <w:pStyle w:val="113"/>
              <w:ind w:firstLine="0" w:firstLineChars="0"/>
              <w:rPr>
                <w:rFonts w:hint="eastAsia" w:hAnsi="宋体" w:eastAsia="宋体" w:cs="华文仿宋"/>
                <w:b/>
                <w:bCs/>
                <w:color w:val="auto"/>
                <w:sz w:val="28"/>
                <w:szCs w:val="28"/>
                <w:highlight w:val="none"/>
              </w:rPr>
            </w:pPr>
          </w:p>
        </w:tc>
        <w:tc>
          <w:tcPr>
            <w:tcW w:w="2517" w:type="dxa"/>
            <w:noWrap w:val="0"/>
            <w:vAlign w:val="top"/>
          </w:tcPr>
          <w:p w14:paraId="05ADEAB9">
            <w:pPr>
              <w:pStyle w:val="113"/>
              <w:ind w:firstLine="0" w:firstLineChars="0"/>
              <w:rPr>
                <w:rFonts w:hint="eastAsia" w:hAnsi="宋体" w:eastAsia="宋体" w:cs="华文仿宋"/>
                <w:b/>
                <w:bCs/>
                <w:color w:val="auto"/>
                <w:sz w:val="28"/>
                <w:szCs w:val="28"/>
                <w:highlight w:val="none"/>
              </w:rPr>
            </w:pPr>
          </w:p>
        </w:tc>
      </w:tr>
    </w:tbl>
    <w:p w14:paraId="44371D41">
      <w:pPr>
        <w:pStyle w:val="113"/>
        <w:ind w:firstLine="0" w:firstLineChars="0"/>
        <w:jc w:val="center"/>
        <w:rPr>
          <w:rFonts w:hint="eastAsia" w:hAnsi="宋体" w:eastAsia="宋体" w:cs="华文仿宋"/>
          <w:b/>
          <w:bCs/>
          <w:color w:val="auto"/>
          <w:sz w:val="28"/>
          <w:szCs w:val="28"/>
          <w:highlight w:val="none"/>
        </w:rPr>
      </w:pPr>
    </w:p>
    <w:p w14:paraId="5656587C">
      <w:pPr>
        <w:pStyle w:val="113"/>
        <w:ind w:firstLine="0" w:firstLineChars="0"/>
        <w:jc w:val="center"/>
        <w:rPr>
          <w:rFonts w:hint="eastAsia" w:hAnsi="宋体" w:eastAsia="宋体" w:cs="华文仿宋"/>
          <w:b/>
          <w:bCs/>
          <w:color w:val="auto"/>
          <w:sz w:val="28"/>
          <w:szCs w:val="28"/>
          <w:highlight w:val="none"/>
        </w:rPr>
      </w:pPr>
    </w:p>
    <w:p w14:paraId="3CDC8A01">
      <w:pPr>
        <w:pStyle w:val="113"/>
        <w:ind w:firstLine="0" w:firstLineChars="0"/>
        <w:rPr>
          <w:rFonts w:hint="eastAsia" w:hAnsi="宋体" w:eastAsia="宋体" w:cs="华文仿宋"/>
          <w:b/>
          <w:bCs/>
          <w:color w:val="auto"/>
          <w:sz w:val="28"/>
          <w:szCs w:val="28"/>
          <w:highlight w:val="none"/>
        </w:rPr>
      </w:pPr>
    </w:p>
    <w:p w14:paraId="0004172E">
      <w:pPr>
        <w:pStyle w:val="113"/>
        <w:ind w:firstLine="0" w:firstLineChars="0"/>
        <w:jc w:val="left"/>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 xml:space="preserve">甲方：（盖章）                    乙方：（盖章） </w:t>
      </w:r>
    </w:p>
    <w:p w14:paraId="3B83DECA">
      <w:pPr>
        <w:pStyle w:val="113"/>
        <w:ind w:firstLine="0" w:firstLineChars="0"/>
        <w:jc w:val="left"/>
        <w:rPr>
          <w:rFonts w:hint="eastAsia" w:hAnsi="宋体" w:eastAsia="宋体" w:cs="华文仿宋"/>
          <w:b/>
          <w:bCs/>
          <w:color w:val="auto"/>
          <w:sz w:val="28"/>
          <w:szCs w:val="28"/>
          <w:highlight w:val="none"/>
        </w:rPr>
      </w:pPr>
    </w:p>
    <w:p w14:paraId="198FD54B">
      <w:pPr>
        <w:pStyle w:val="113"/>
        <w:ind w:firstLine="0" w:firstLineChars="0"/>
        <w:jc w:val="left"/>
        <w:rPr>
          <w:rFonts w:hint="eastAsia" w:hAnsi="宋体" w:eastAsia="宋体" w:cs="华文仿宋"/>
          <w:b/>
          <w:bCs/>
          <w:color w:val="auto"/>
          <w:sz w:val="28"/>
          <w:szCs w:val="28"/>
          <w:highlight w:val="none"/>
        </w:rPr>
      </w:pPr>
      <w:r>
        <w:rPr>
          <w:rFonts w:hint="eastAsia" w:hAnsi="宋体" w:eastAsia="宋体" w:cs="华文仿宋"/>
          <w:b/>
          <w:bCs/>
          <w:color w:val="auto"/>
          <w:sz w:val="28"/>
          <w:szCs w:val="28"/>
          <w:highlight w:val="none"/>
        </w:rPr>
        <w:t>法定代表人（授权代表）：          法定代表人（授权代表）：</w:t>
      </w:r>
    </w:p>
    <w:p w14:paraId="231E0099">
      <w:pPr>
        <w:pStyle w:val="113"/>
        <w:ind w:firstLine="0" w:firstLineChars="0"/>
        <w:jc w:val="left"/>
        <w:rPr>
          <w:rFonts w:hAnsi="宋体" w:eastAsia="宋体" w:cs="华文仿宋"/>
          <w:b/>
          <w:bCs/>
          <w:color w:val="auto"/>
          <w:sz w:val="28"/>
          <w:szCs w:val="28"/>
          <w:highlight w:val="none"/>
        </w:rPr>
      </w:pPr>
    </w:p>
    <w:p w14:paraId="2FF322CB">
      <w:pPr>
        <w:adjustRightInd w:val="0"/>
        <w:snapToGrid w:val="0"/>
        <w:jc w:val="center"/>
        <w:rPr>
          <w:rFonts w:hint="eastAsia" w:ascii="黑体" w:hAnsi="华文中宋" w:eastAsia="黑体"/>
          <w:b w:val="0"/>
          <w:bCs w:val="0"/>
          <w:color w:val="auto"/>
          <w:sz w:val="28"/>
          <w:szCs w:val="28"/>
          <w:highlight w:val="none"/>
        </w:rPr>
      </w:pPr>
      <w:r>
        <w:rPr>
          <w:rFonts w:ascii="宋体" w:hAnsi="宋体"/>
          <w:color w:val="auto"/>
          <w:sz w:val="21"/>
          <w:szCs w:val="21"/>
          <w:highlight w:val="none"/>
          <w:u w:val="single"/>
        </w:rPr>
        <w:br w:type="page"/>
      </w:r>
      <w:bookmarkStart w:id="570" w:name="_Toc20313"/>
    </w:p>
    <w:bookmarkEnd w:id="570"/>
    <w:p w14:paraId="4351C55A">
      <w:pPr>
        <w:pStyle w:val="2"/>
        <w:keepNext/>
        <w:keepLines/>
        <w:pageBreakBefore w:val="0"/>
        <w:widowControl w:val="0"/>
        <w:kinsoku/>
        <w:wordWrap/>
        <w:overflowPunct/>
        <w:topLinePunct w:val="0"/>
        <w:autoSpaceDE/>
        <w:autoSpaceDN/>
        <w:bidi w:val="0"/>
        <w:adjustRightInd/>
        <w:snapToGrid/>
        <w:spacing w:before="220" w:after="220" w:line="480" w:lineRule="auto"/>
        <w:ind w:left="420" w:hanging="420"/>
        <w:jc w:val="center"/>
        <w:textAlignment w:val="auto"/>
        <w:rPr>
          <w:rFonts w:hint="eastAsia" w:ascii="宋体" w:hAnsi="宋体" w:eastAsia="宋体" w:cs="宋体"/>
          <w:color w:val="auto"/>
          <w:szCs w:val="24"/>
          <w:highlight w:val="none"/>
          <w:lang w:val="zh-CN"/>
        </w:rPr>
      </w:pPr>
      <w:bookmarkStart w:id="571" w:name="_Toc32301"/>
      <w:r>
        <w:rPr>
          <w:rFonts w:hint="eastAsia" w:ascii="宋体" w:hAnsi="宋体" w:eastAsia="宋体" w:cs="宋体"/>
          <w:bCs/>
          <w:color w:val="auto"/>
          <w:sz w:val="36"/>
          <w:szCs w:val="36"/>
          <w:highlight w:val="none"/>
        </w:rPr>
        <w:t>第七章 投标文件格式</w:t>
      </w:r>
      <w:bookmarkEnd w:id="532"/>
      <w:bookmarkEnd w:id="533"/>
      <w:bookmarkEnd w:id="571"/>
    </w:p>
    <w:p w14:paraId="13B763C1">
      <w:pPr>
        <w:ind w:firstLine="480" w:firstLineChars="200"/>
        <w:rPr>
          <w:rFonts w:hint="eastAsia" w:ascii="宋体" w:hAnsi="宋体" w:eastAsia="宋体" w:cs="宋体"/>
          <w:color w:val="auto"/>
          <w:szCs w:val="24"/>
          <w:highlight w:val="none"/>
          <w:lang w:val="zh-CN"/>
        </w:rPr>
      </w:pPr>
    </w:p>
    <w:p w14:paraId="751212AF">
      <w:pPr>
        <w:ind w:firstLine="480" w:firstLineChars="200"/>
        <w:rPr>
          <w:rFonts w:hint="eastAsia" w:ascii="宋体" w:hAnsi="宋体" w:eastAsia="宋体" w:cs="宋体"/>
          <w:color w:val="auto"/>
          <w:szCs w:val="24"/>
          <w:highlight w:val="none"/>
          <w:lang w:val="zh-CN"/>
        </w:rPr>
      </w:pPr>
    </w:p>
    <w:p w14:paraId="6C62BA6A">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0D98B48E">
      <w:pPr>
        <w:autoSpaceDE w:val="0"/>
        <w:autoSpaceDN w:val="0"/>
        <w:adjustRightInd w:val="0"/>
        <w:rPr>
          <w:rFonts w:hint="eastAsia" w:ascii="宋体" w:hAnsi="宋体" w:eastAsia="宋体" w:cs="宋体"/>
          <w:color w:val="auto"/>
          <w:sz w:val="21"/>
          <w:szCs w:val="24"/>
          <w:highlight w:val="none"/>
        </w:rPr>
      </w:pPr>
    </w:p>
    <w:p w14:paraId="1D620D41">
      <w:pPr>
        <w:autoSpaceDE w:val="0"/>
        <w:autoSpaceDN w:val="0"/>
        <w:adjustRightInd w:val="0"/>
        <w:rPr>
          <w:rFonts w:hint="eastAsia" w:ascii="宋体" w:hAnsi="宋体" w:eastAsia="宋体" w:cs="宋体"/>
          <w:color w:val="auto"/>
          <w:sz w:val="21"/>
          <w:szCs w:val="24"/>
          <w:highlight w:val="none"/>
        </w:rPr>
      </w:pPr>
    </w:p>
    <w:p w14:paraId="3AFFAC19">
      <w:pPr>
        <w:autoSpaceDE w:val="0"/>
        <w:autoSpaceDN w:val="0"/>
        <w:adjustRightInd w:val="0"/>
        <w:jc w:val="center"/>
        <w:rPr>
          <w:rFonts w:hint="eastAsia" w:ascii="宋体" w:hAnsi="宋体" w:eastAsia="宋体" w:cs="宋体"/>
          <w:color w:val="auto"/>
          <w:sz w:val="21"/>
          <w:szCs w:val="24"/>
          <w:highlight w:val="none"/>
        </w:rPr>
      </w:pPr>
    </w:p>
    <w:p w14:paraId="5DFE149D">
      <w:pPr>
        <w:jc w:val="center"/>
        <w:rPr>
          <w:rFonts w:hint="eastAsia" w:ascii="宋体" w:hAnsi="宋体" w:eastAsia="宋体" w:cs="宋体"/>
          <w:b/>
          <w:bCs/>
          <w:color w:val="auto"/>
          <w:sz w:val="112"/>
          <w:szCs w:val="96"/>
          <w:highlight w:val="none"/>
        </w:rPr>
      </w:pPr>
      <w:r>
        <w:rPr>
          <w:rFonts w:hint="eastAsia" w:ascii="宋体" w:hAnsi="宋体" w:eastAsia="宋体" w:cs="宋体"/>
          <w:b/>
          <w:bCs/>
          <w:color w:val="auto"/>
          <w:sz w:val="112"/>
          <w:szCs w:val="96"/>
          <w:highlight w:val="none"/>
          <w:lang w:eastAsia="zh-CN"/>
        </w:rPr>
        <w:t>投标</w:t>
      </w:r>
      <w:r>
        <w:rPr>
          <w:rFonts w:hint="eastAsia" w:ascii="宋体" w:hAnsi="宋体" w:eastAsia="宋体" w:cs="宋体"/>
          <w:b/>
          <w:bCs/>
          <w:color w:val="auto"/>
          <w:sz w:val="112"/>
          <w:szCs w:val="96"/>
          <w:highlight w:val="none"/>
        </w:rPr>
        <w:t>文件</w:t>
      </w:r>
    </w:p>
    <w:p w14:paraId="5A67E3F9">
      <w:pPr>
        <w:bidi w:val="0"/>
        <w:rPr>
          <w:rFonts w:hint="eastAsia" w:ascii="宋体" w:hAnsi="宋体" w:eastAsia="宋体" w:cs="宋体"/>
          <w:color w:val="auto"/>
          <w:highlight w:val="none"/>
        </w:rPr>
      </w:pPr>
    </w:p>
    <w:p w14:paraId="3C874B68">
      <w:pPr>
        <w:autoSpaceDE w:val="0"/>
        <w:autoSpaceDN w:val="0"/>
        <w:adjustRightInd w:val="0"/>
        <w:rPr>
          <w:rFonts w:hint="eastAsia" w:ascii="宋体" w:hAnsi="宋体" w:eastAsia="宋体" w:cs="宋体"/>
          <w:b/>
          <w:bCs/>
          <w:color w:val="auto"/>
          <w:sz w:val="22"/>
          <w:highlight w:val="none"/>
        </w:rPr>
      </w:pPr>
    </w:p>
    <w:p w14:paraId="25E96552">
      <w:pPr>
        <w:rPr>
          <w:rFonts w:hint="eastAsia" w:ascii="宋体" w:hAnsi="宋体" w:eastAsia="宋体" w:cs="宋体"/>
          <w:color w:val="auto"/>
          <w:highlight w:val="none"/>
        </w:rPr>
      </w:pPr>
    </w:p>
    <w:p w14:paraId="14F0AE43">
      <w:pPr>
        <w:autoSpaceDE w:val="0"/>
        <w:autoSpaceDN w:val="0"/>
        <w:adjustRightInd w:val="0"/>
        <w:rPr>
          <w:rFonts w:hint="eastAsia" w:ascii="宋体" w:hAnsi="宋体" w:eastAsia="宋体" w:cs="宋体"/>
          <w:color w:val="auto"/>
          <w:sz w:val="21"/>
          <w:szCs w:val="21"/>
          <w:highlight w:val="none"/>
        </w:rPr>
      </w:pPr>
    </w:p>
    <w:p w14:paraId="0AB2E2E7">
      <w:pPr>
        <w:autoSpaceDE w:val="0"/>
        <w:autoSpaceDN w:val="0"/>
        <w:adjustRightInd w:val="0"/>
        <w:rPr>
          <w:rFonts w:hint="eastAsia" w:ascii="宋体" w:hAnsi="宋体" w:eastAsia="宋体" w:cs="宋体"/>
          <w:color w:val="auto"/>
          <w:sz w:val="21"/>
          <w:szCs w:val="21"/>
          <w:highlight w:val="none"/>
        </w:rPr>
      </w:pPr>
    </w:p>
    <w:p w14:paraId="2F7E3FE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项目编号/包号：</w:t>
      </w:r>
      <w:r>
        <w:rPr>
          <w:rFonts w:hint="eastAsia" w:ascii="宋体" w:hAnsi="宋体" w:eastAsia="宋体" w:cs="宋体"/>
          <w:color w:val="auto"/>
          <w:sz w:val="36"/>
          <w:szCs w:val="36"/>
          <w:highlight w:val="none"/>
          <w:u w:val="single"/>
        </w:rPr>
        <w:t xml:space="preserve">                           </w:t>
      </w:r>
    </w:p>
    <w:p w14:paraId="16832F41">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p>
    <w:p w14:paraId="070F2954">
      <w:pPr>
        <w:ind w:left="420" w:leftChars="175"/>
        <w:rPr>
          <w:rFonts w:hint="default" w:ascii="宋体" w:hAnsi="宋体" w:eastAsia="宋体" w:cs="宋体"/>
          <w:color w:val="auto"/>
          <w:sz w:val="36"/>
          <w:szCs w:val="36"/>
          <w:highlight w:val="none"/>
          <w:u w:val="single"/>
          <w:lang w:val="en-US" w:eastAsia="zh-CN"/>
        </w:rPr>
      </w:pPr>
      <w:r>
        <w:rPr>
          <w:rFonts w:hint="eastAsia" w:cs="宋体"/>
          <w:b w:val="0"/>
          <w:bCs w:val="0"/>
          <w:color w:val="auto"/>
          <w:sz w:val="36"/>
          <w:szCs w:val="36"/>
          <w:highlight w:val="none"/>
          <w:u w:val="none"/>
          <w:lang w:val="en-US" w:eastAsia="zh-CN"/>
        </w:rPr>
        <w:t>标项名称：</w:t>
      </w:r>
      <w:r>
        <w:rPr>
          <w:rFonts w:hint="eastAsia" w:ascii="宋体" w:hAnsi="宋体" w:eastAsia="宋体" w:cs="宋体"/>
          <w:color w:val="auto"/>
          <w:sz w:val="36"/>
          <w:szCs w:val="36"/>
          <w:highlight w:val="none"/>
          <w:u w:val="single"/>
        </w:rPr>
        <w:t xml:space="preserve">                                </w:t>
      </w:r>
    </w:p>
    <w:p w14:paraId="34628FB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 标 人：</w:t>
      </w:r>
      <w:r>
        <w:rPr>
          <w:rFonts w:hint="eastAsia" w:ascii="宋体" w:hAnsi="宋体" w:eastAsia="宋体" w:cs="宋体"/>
          <w:color w:val="auto"/>
          <w:sz w:val="36"/>
          <w:szCs w:val="36"/>
          <w:highlight w:val="none"/>
          <w:u w:val="single"/>
        </w:rPr>
        <w:t xml:space="preserve">                                </w:t>
      </w:r>
    </w:p>
    <w:p w14:paraId="4AD283D1">
      <w:pPr>
        <w:ind w:left="840" w:firstLine="420"/>
        <w:rPr>
          <w:rFonts w:hint="eastAsia" w:ascii="宋体" w:hAnsi="宋体" w:eastAsia="宋体" w:cs="宋体"/>
          <w:b/>
          <w:bCs/>
          <w:color w:val="auto"/>
          <w:sz w:val="28"/>
          <w:szCs w:val="28"/>
          <w:highlight w:val="none"/>
        </w:rPr>
      </w:pPr>
    </w:p>
    <w:p w14:paraId="43695326">
      <w:pPr>
        <w:ind w:left="840" w:firstLine="420"/>
        <w:rPr>
          <w:rFonts w:hint="eastAsia" w:ascii="宋体" w:hAnsi="宋体" w:eastAsia="宋体" w:cs="宋体"/>
          <w:b/>
          <w:bCs/>
          <w:color w:val="auto"/>
          <w:sz w:val="28"/>
          <w:szCs w:val="28"/>
          <w:highlight w:val="none"/>
        </w:rPr>
      </w:pPr>
    </w:p>
    <w:p w14:paraId="4A51F67F">
      <w:pPr>
        <w:ind w:left="840" w:firstLine="420"/>
        <w:rPr>
          <w:rFonts w:hint="eastAsia" w:ascii="宋体" w:hAnsi="宋体" w:eastAsia="宋体" w:cs="宋体"/>
          <w:b/>
          <w:bCs/>
          <w:color w:val="auto"/>
          <w:sz w:val="28"/>
          <w:szCs w:val="28"/>
          <w:highlight w:val="none"/>
        </w:rPr>
      </w:pPr>
    </w:p>
    <w:p w14:paraId="5EBB3412">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D894FCD">
      <w:pPr>
        <w:pStyle w:val="15"/>
        <w:rPr>
          <w:rFonts w:hint="eastAsia" w:ascii="宋体" w:hAnsi="宋体" w:eastAsia="宋体" w:cs="宋体"/>
          <w:color w:val="auto"/>
          <w:highlight w:val="none"/>
        </w:rPr>
      </w:pPr>
    </w:p>
    <w:p w14:paraId="58B7B322">
      <w:pPr>
        <w:pStyle w:val="3"/>
        <w:bidi w:val="0"/>
        <w:jc w:val="both"/>
        <w:rPr>
          <w:rFonts w:hint="eastAsia" w:ascii="宋体" w:hAnsi="宋体" w:eastAsia="宋体" w:cs="宋体"/>
          <w:color w:val="auto"/>
          <w:highlight w:val="none"/>
          <w:lang w:val="en-US" w:eastAsia="zh-CN"/>
        </w:rPr>
      </w:pPr>
      <w:bookmarkStart w:id="572" w:name="_Toc3692"/>
      <w:bookmarkStart w:id="573" w:name="_Toc20541"/>
      <w:bookmarkStart w:id="574" w:name="_Toc155185927"/>
      <w:r>
        <w:rPr>
          <w:rFonts w:hint="eastAsia" w:ascii="宋体" w:hAnsi="宋体" w:eastAsia="宋体" w:cs="宋体"/>
          <w:color w:val="auto"/>
          <w:highlight w:val="none"/>
          <w:lang w:val="en-US" w:eastAsia="zh-CN"/>
        </w:rPr>
        <w:t>一、资格证明文件</w:t>
      </w:r>
    </w:p>
    <w:bookmarkEnd w:id="572"/>
    <w:bookmarkEnd w:id="573"/>
    <w:bookmarkEnd w:id="574"/>
    <w:p w14:paraId="6A00AB4A">
      <w:pPr>
        <w:pStyle w:val="3"/>
        <w:bidi w:val="0"/>
        <w:rPr>
          <w:rStyle w:val="30"/>
          <w:rFonts w:hint="eastAsia" w:ascii="宋体" w:hAnsi="宋体" w:eastAsia="宋体" w:cs="宋体"/>
          <w:b/>
          <w:i w:val="0"/>
          <w:caps w:val="0"/>
          <w:color w:val="auto"/>
          <w:spacing w:val="0"/>
          <w:w w:val="100"/>
          <w:kern w:val="0"/>
          <w:position w:val="0"/>
          <w:szCs w:val="24"/>
          <w:highlight w:val="none"/>
          <w:lang w:val="en-US" w:eastAsia="zh-CN" w:bidi="ar-SA"/>
        </w:rPr>
      </w:pPr>
      <w:bookmarkStart w:id="575" w:name="_Toc28741"/>
      <w:r>
        <w:rPr>
          <w:rStyle w:val="29"/>
          <w:rFonts w:hint="eastAsia" w:ascii="宋体" w:hAnsi="宋体" w:eastAsia="宋体" w:cs="宋体"/>
          <w:b/>
          <w:bCs/>
          <w:color w:val="auto"/>
          <w:highlight w:val="none"/>
          <w:lang w:val="en-US" w:eastAsia="zh-CN"/>
        </w:rPr>
        <w:t>1、《中华人民共和国政府采购法》第二十二条应当具备的</w:t>
      </w:r>
      <w:r>
        <w:rPr>
          <w:rStyle w:val="30"/>
          <w:rFonts w:hint="eastAsia" w:ascii="宋体" w:hAnsi="宋体" w:eastAsia="宋体" w:cs="宋体"/>
          <w:b/>
          <w:i w:val="0"/>
          <w:caps w:val="0"/>
          <w:color w:val="auto"/>
          <w:spacing w:val="0"/>
          <w:w w:val="100"/>
          <w:kern w:val="0"/>
          <w:position w:val="0"/>
          <w:szCs w:val="24"/>
          <w:highlight w:val="none"/>
          <w:lang w:val="en-US" w:eastAsia="zh-CN" w:bidi="ar-SA"/>
        </w:rPr>
        <w:t>条件；</w:t>
      </w:r>
      <w:bookmarkEnd w:id="575"/>
    </w:p>
    <w:p w14:paraId="78B7E0FB">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4947F062">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58581110">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0D6B6868">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4CBF0F13">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28E49980">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529F9FF1">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09AD3114">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3CE9C718">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307BCAAD">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5334A56E">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024A3803">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720C9AF7">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3335F26C">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11CE636B">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20A89832">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供应商是法人的，</w:t>
      </w: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须提供近两年度（任意一年）经审计的财务审计报告（报告中须包括资产负债表、利润表、现金流量表等），或银行在开标日期前三个月内开具的资信证明</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03319A5">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6BD0F814">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1C27E433">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3FAE95F">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01D59410">
      <w:pPr>
        <w:pStyle w:val="92"/>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3E312D22">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051B0EA4">
      <w:pPr>
        <w:pStyle w:val="72"/>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093093E2">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0535C979">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4782252D">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53FA714D">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12727659">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bCs/>
          <w:i w:val="0"/>
          <w:caps w:val="0"/>
          <w:color w:val="auto"/>
          <w:spacing w:val="0"/>
          <w:w w:val="10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依法缴纳税收和社会保障资金的证明材料，须提供开标前六个月内任意一个月的依法缴税和缴纳社会保险的证明材料（依法免税的应提供相应文件说明）；</w:t>
      </w:r>
    </w:p>
    <w:p w14:paraId="22485B4B">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388442F3">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380093C8">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4444DE31">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210BDEDD">
      <w:pPr>
        <w:pStyle w:val="73"/>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2343C44B">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1C308FC">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20E8014B">
      <w:pPr>
        <w:pStyle w:val="74"/>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08B20C7D">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073A67BA">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3B24692F">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5B71A59E">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726C741A">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576" w:name="_Toc3804"/>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p w14:paraId="54672ADA">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bookmarkEnd w:id="576"/>
    <w:p w14:paraId="77A206B8">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014A9E57">
      <w:pPr>
        <w:pStyle w:val="21"/>
        <w:shd w:val="clear" w:color="auto" w:fill="auto"/>
        <w:rPr>
          <w:rFonts w:hint="eastAsia" w:ascii="宋体" w:hAnsi="宋体" w:eastAsia="宋体" w:cs="宋体"/>
          <w:color w:val="auto"/>
          <w:highlight w:val="none"/>
          <w:lang w:val="en-US" w:eastAsia="zh-CN"/>
        </w:rPr>
      </w:pPr>
    </w:p>
    <w:p w14:paraId="4CFBFA53">
      <w:pPr>
        <w:pStyle w:val="21"/>
        <w:shd w:val="clear" w:color="auto" w:fill="auto"/>
        <w:rPr>
          <w:rFonts w:hint="eastAsia" w:ascii="宋体" w:hAnsi="宋体" w:eastAsia="宋体" w:cs="宋体"/>
          <w:color w:val="auto"/>
          <w:highlight w:val="none"/>
          <w:lang w:val="en-US" w:eastAsia="zh-CN"/>
        </w:rPr>
      </w:pPr>
    </w:p>
    <w:p w14:paraId="2657ACF5">
      <w:pPr>
        <w:pStyle w:val="21"/>
        <w:shd w:val="clear" w:color="auto" w:fill="auto"/>
        <w:rPr>
          <w:rFonts w:hint="eastAsia" w:ascii="宋体" w:hAnsi="宋体" w:eastAsia="宋体" w:cs="宋体"/>
          <w:color w:val="auto"/>
          <w:highlight w:val="none"/>
          <w:lang w:val="en-US" w:eastAsia="zh-CN"/>
        </w:rPr>
      </w:pPr>
    </w:p>
    <w:p w14:paraId="4899E8C4">
      <w:pPr>
        <w:pStyle w:val="3"/>
        <w:bidi w:val="0"/>
        <w:rPr>
          <w:rFonts w:hint="eastAsia" w:ascii="宋体" w:hAnsi="宋体" w:eastAsia="宋体" w:cs="宋体"/>
          <w:color w:val="auto"/>
          <w:highlight w:val="none"/>
          <w:lang w:val="en-US" w:eastAsia="zh-CN"/>
        </w:rPr>
      </w:pPr>
      <w:bookmarkStart w:id="577" w:name="_Toc2565"/>
      <w:r>
        <w:rPr>
          <w:rFonts w:hint="eastAsia" w:ascii="宋体" w:hAnsi="宋体" w:eastAsia="宋体" w:cs="宋体"/>
          <w:color w:val="auto"/>
          <w:highlight w:val="none"/>
          <w:lang w:val="en-US" w:eastAsia="zh-CN"/>
        </w:rPr>
        <w:t>2、本项目特定资格要求</w:t>
      </w:r>
      <w:bookmarkEnd w:id="577"/>
    </w:p>
    <w:p w14:paraId="258444CA">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6F2AF3DF">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r>
        <w:rPr>
          <w:rFonts w:hint="eastAsia" w:cs="宋体"/>
          <w:b/>
          <w:bCs/>
          <w:color w:val="auto"/>
          <w:spacing w:val="0"/>
          <w:position w:val="0"/>
          <w:sz w:val="24"/>
          <w:szCs w:val="24"/>
          <w:highlight w:val="none"/>
          <w:lang w:val="en-US" w:eastAsia="zh-CN"/>
        </w:rPr>
        <w:t>（投标人无需提供，有采购人或代理机构在资格审查现场查验）</w:t>
      </w:r>
    </w:p>
    <w:p w14:paraId="40FCC443">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0DF955CE">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649DC3D4">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37C06022">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3D67753A">
      <w:pPr>
        <w:pStyle w:val="21"/>
        <w:shd w:val="clear" w:color="auto" w:fill="auto"/>
        <w:rPr>
          <w:rFonts w:hint="eastAsia" w:ascii="宋体" w:hAnsi="宋体" w:eastAsia="宋体" w:cs="宋体"/>
          <w:color w:val="auto"/>
          <w:highlight w:val="none"/>
          <w:lang w:val="en-US" w:eastAsia="zh-CN"/>
        </w:rPr>
      </w:pPr>
    </w:p>
    <w:p w14:paraId="1EE89B0C">
      <w:pPr>
        <w:pStyle w:val="21"/>
        <w:shd w:val="clear" w:color="auto" w:fill="auto"/>
        <w:rPr>
          <w:rFonts w:hint="eastAsia" w:ascii="宋体" w:hAnsi="宋体" w:eastAsia="宋体" w:cs="宋体"/>
          <w:color w:val="auto"/>
          <w:highlight w:val="none"/>
          <w:lang w:val="en-US" w:eastAsia="zh-CN"/>
        </w:rPr>
      </w:pPr>
    </w:p>
    <w:p w14:paraId="45B178C7">
      <w:pPr>
        <w:pStyle w:val="21"/>
        <w:shd w:val="clear" w:color="auto" w:fill="auto"/>
        <w:rPr>
          <w:rFonts w:hint="eastAsia" w:ascii="宋体" w:hAnsi="宋体" w:eastAsia="宋体" w:cs="宋体"/>
          <w:color w:val="auto"/>
          <w:highlight w:val="none"/>
          <w:lang w:val="en-US" w:eastAsia="zh-CN"/>
        </w:rPr>
      </w:pPr>
    </w:p>
    <w:p w14:paraId="2AD26FBA">
      <w:pPr>
        <w:pStyle w:val="21"/>
        <w:shd w:val="clear" w:color="auto" w:fill="auto"/>
        <w:rPr>
          <w:rFonts w:hint="eastAsia" w:ascii="宋体" w:hAnsi="宋体" w:eastAsia="宋体" w:cs="宋体"/>
          <w:color w:val="auto"/>
          <w:highlight w:val="none"/>
          <w:lang w:val="en-US" w:eastAsia="zh-CN"/>
        </w:rPr>
      </w:pPr>
    </w:p>
    <w:p w14:paraId="3F0C5BEE">
      <w:pPr>
        <w:pStyle w:val="21"/>
        <w:shd w:val="clear" w:color="auto" w:fill="auto"/>
        <w:rPr>
          <w:rFonts w:hint="eastAsia" w:ascii="宋体" w:hAnsi="宋体" w:eastAsia="宋体" w:cs="宋体"/>
          <w:color w:val="auto"/>
          <w:highlight w:val="none"/>
          <w:lang w:val="en-US" w:eastAsia="zh-CN"/>
        </w:rPr>
      </w:pPr>
    </w:p>
    <w:p w14:paraId="51867FCD">
      <w:pPr>
        <w:pStyle w:val="21"/>
        <w:shd w:val="clear" w:color="auto" w:fill="auto"/>
        <w:rPr>
          <w:rFonts w:hint="eastAsia" w:ascii="宋体" w:hAnsi="宋体" w:eastAsia="宋体" w:cs="宋体"/>
          <w:color w:val="auto"/>
          <w:highlight w:val="none"/>
          <w:lang w:val="en-US" w:eastAsia="zh-CN"/>
        </w:rPr>
      </w:pPr>
    </w:p>
    <w:p w14:paraId="076D966D">
      <w:pPr>
        <w:pStyle w:val="3"/>
        <w:bidi w:val="0"/>
        <w:rPr>
          <w:rFonts w:hint="eastAsia" w:ascii="宋体" w:hAnsi="宋体" w:eastAsia="宋体" w:cs="宋体"/>
          <w:color w:val="auto"/>
          <w:highlight w:val="none"/>
          <w:lang w:val="en-US" w:eastAsia="zh-CN"/>
        </w:rPr>
      </w:pPr>
      <w:bookmarkStart w:id="578" w:name="_Toc12383"/>
      <w:r>
        <w:rPr>
          <w:rFonts w:hint="eastAsia" w:ascii="宋体" w:hAnsi="宋体" w:eastAsia="宋体" w:cs="宋体"/>
          <w:color w:val="auto"/>
          <w:highlight w:val="none"/>
          <w:lang w:val="en-US" w:eastAsia="zh-CN"/>
        </w:rPr>
        <w:t>3、投标保证金</w:t>
      </w:r>
      <w:bookmarkEnd w:id="578"/>
    </w:p>
    <w:p w14:paraId="1407741B">
      <w:pPr>
        <w:pStyle w:val="93"/>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w:t>
      </w:r>
      <w:r>
        <w:rPr>
          <w:rFonts w:hint="eastAsia" w:cs="宋体"/>
          <w:i w:val="0"/>
          <w:iCs w:val="0"/>
          <w:color w:val="auto"/>
          <w:highlight w:val="none"/>
          <w:lang w:val="en-US" w:eastAsia="zh-CN"/>
        </w:rPr>
        <w:t>投标</w:t>
      </w:r>
      <w:r>
        <w:rPr>
          <w:rFonts w:hint="eastAsia" w:ascii="宋体" w:hAnsi="宋体" w:eastAsia="宋体" w:cs="宋体"/>
          <w:i w:val="0"/>
          <w:iCs w:val="0"/>
          <w:color w:val="auto"/>
          <w:highlight w:val="none"/>
          <w:lang w:val="en-US" w:eastAsia="zh-CN"/>
        </w:rPr>
        <w:t>保证金缴纳凭证。</w:t>
      </w:r>
    </w:p>
    <w:p w14:paraId="4022A256">
      <w:pPr>
        <w:shd w:val="clear" w:color="auto" w:fill="auto"/>
        <w:bidi w:val="0"/>
        <w:rPr>
          <w:rFonts w:hint="eastAsia" w:ascii="宋体" w:hAnsi="宋体" w:eastAsia="宋体" w:cs="宋体"/>
          <w:color w:val="auto"/>
          <w:highlight w:val="none"/>
          <w:lang w:val="en-US" w:eastAsia="zh-CN"/>
        </w:rPr>
      </w:pPr>
    </w:p>
    <w:p w14:paraId="3B07B03D">
      <w:pPr>
        <w:pStyle w:val="21"/>
        <w:shd w:val="clear" w:color="auto" w:fill="auto"/>
        <w:rPr>
          <w:rFonts w:hint="eastAsia" w:ascii="宋体" w:hAnsi="宋体" w:eastAsia="宋体" w:cs="宋体"/>
          <w:color w:val="auto"/>
          <w:highlight w:val="none"/>
          <w:lang w:val="en-US" w:eastAsia="zh-CN"/>
        </w:rPr>
      </w:pPr>
    </w:p>
    <w:p w14:paraId="77C67A65">
      <w:pPr>
        <w:pStyle w:val="21"/>
        <w:shd w:val="clear" w:color="auto" w:fill="auto"/>
        <w:rPr>
          <w:rFonts w:hint="eastAsia" w:ascii="宋体" w:hAnsi="宋体" w:eastAsia="宋体" w:cs="宋体"/>
          <w:color w:val="auto"/>
          <w:highlight w:val="none"/>
          <w:lang w:val="en-US" w:eastAsia="zh-CN"/>
        </w:rPr>
      </w:pPr>
    </w:p>
    <w:p w14:paraId="37005C03">
      <w:pPr>
        <w:pStyle w:val="21"/>
        <w:shd w:val="clear" w:color="auto" w:fill="auto"/>
        <w:rPr>
          <w:rFonts w:hint="eastAsia" w:ascii="宋体" w:hAnsi="宋体" w:eastAsia="宋体" w:cs="宋体"/>
          <w:color w:val="auto"/>
          <w:highlight w:val="none"/>
          <w:lang w:val="en-US" w:eastAsia="zh-CN"/>
        </w:rPr>
      </w:pPr>
    </w:p>
    <w:p w14:paraId="0966FCB7">
      <w:pPr>
        <w:pStyle w:val="21"/>
        <w:shd w:val="clear" w:color="auto" w:fill="auto"/>
        <w:rPr>
          <w:rFonts w:hint="eastAsia" w:ascii="宋体" w:hAnsi="宋体" w:eastAsia="宋体" w:cs="宋体"/>
          <w:color w:val="auto"/>
          <w:highlight w:val="none"/>
          <w:lang w:val="en-US" w:eastAsia="zh-CN"/>
        </w:rPr>
      </w:pPr>
    </w:p>
    <w:p w14:paraId="6E2418B8">
      <w:pPr>
        <w:pStyle w:val="21"/>
        <w:shd w:val="clear" w:color="auto" w:fill="auto"/>
        <w:rPr>
          <w:rFonts w:hint="eastAsia" w:ascii="宋体" w:hAnsi="宋体" w:eastAsia="宋体" w:cs="宋体"/>
          <w:color w:val="auto"/>
          <w:highlight w:val="none"/>
          <w:lang w:val="en-US" w:eastAsia="zh-CN"/>
        </w:rPr>
      </w:pPr>
    </w:p>
    <w:p w14:paraId="45B0247D">
      <w:pPr>
        <w:pStyle w:val="21"/>
        <w:shd w:val="clear" w:color="auto" w:fill="auto"/>
        <w:rPr>
          <w:rFonts w:hint="eastAsia" w:ascii="宋体" w:hAnsi="宋体" w:eastAsia="宋体" w:cs="宋体"/>
          <w:color w:val="auto"/>
          <w:highlight w:val="none"/>
          <w:lang w:val="en-US" w:eastAsia="zh-CN"/>
        </w:rPr>
      </w:pPr>
    </w:p>
    <w:p w14:paraId="5F83840E">
      <w:pPr>
        <w:pStyle w:val="21"/>
        <w:shd w:val="clear" w:color="auto" w:fill="auto"/>
        <w:rPr>
          <w:rFonts w:hint="eastAsia" w:ascii="宋体" w:hAnsi="宋体" w:eastAsia="宋体" w:cs="宋体"/>
          <w:color w:val="auto"/>
          <w:highlight w:val="none"/>
          <w:lang w:val="en-US" w:eastAsia="zh-CN"/>
        </w:rPr>
      </w:pPr>
    </w:p>
    <w:p w14:paraId="57AACD78">
      <w:pPr>
        <w:pStyle w:val="21"/>
        <w:shd w:val="clear" w:color="auto" w:fill="auto"/>
        <w:rPr>
          <w:rFonts w:hint="eastAsia" w:ascii="宋体" w:hAnsi="宋体" w:eastAsia="宋体" w:cs="宋体"/>
          <w:color w:val="auto"/>
          <w:highlight w:val="none"/>
          <w:lang w:val="en-US" w:eastAsia="zh-CN"/>
        </w:rPr>
      </w:pPr>
    </w:p>
    <w:p w14:paraId="0B5827EE">
      <w:pPr>
        <w:pStyle w:val="21"/>
        <w:shd w:val="clear" w:color="auto" w:fill="auto"/>
        <w:rPr>
          <w:rFonts w:hint="eastAsia" w:ascii="宋体" w:hAnsi="宋体" w:eastAsia="宋体" w:cs="宋体"/>
          <w:color w:val="auto"/>
          <w:highlight w:val="none"/>
          <w:lang w:val="en-US" w:eastAsia="zh-CN"/>
        </w:rPr>
      </w:pPr>
    </w:p>
    <w:p w14:paraId="6851CDF0">
      <w:pPr>
        <w:pStyle w:val="21"/>
        <w:shd w:val="clear" w:color="auto" w:fill="auto"/>
        <w:rPr>
          <w:rFonts w:hint="eastAsia" w:ascii="宋体" w:hAnsi="宋体" w:eastAsia="宋体" w:cs="宋体"/>
          <w:color w:val="auto"/>
          <w:highlight w:val="none"/>
          <w:lang w:val="en-US" w:eastAsia="zh-CN"/>
        </w:rPr>
      </w:pPr>
    </w:p>
    <w:p w14:paraId="047DC29E">
      <w:pPr>
        <w:pStyle w:val="21"/>
        <w:shd w:val="clear" w:color="auto" w:fill="auto"/>
        <w:rPr>
          <w:rFonts w:hint="eastAsia" w:ascii="宋体" w:hAnsi="宋体" w:eastAsia="宋体" w:cs="宋体"/>
          <w:color w:val="auto"/>
          <w:highlight w:val="none"/>
          <w:lang w:val="en-US" w:eastAsia="zh-CN"/>
        </w:rPr>
      </w:pPr>
    </w:p>
    <w:p w14:paraId="5F4F117D">
      <w:pPr>
        <w:pStyle w:val="21"/>
        <w:shd w:val="clear" w:color="auto" w:fill="auto"/>
        <w:rPr>
          <w:rFonts w:hint="eastAsia" w:ascii="宋体" w:hAnsi="宋体" w:eastAsia="宋体" w:cs="宋体"/>
          <w:color w:val="auto"/>
          <w:highlight w:val="none"/>
          <w:lang w:val="en-US" w:eastAsia="zh-CN"/>
        </w:rPr>
      </w:pPr>
    </w:p>
    <w:p w14:paraId="417DB85A">
      <w:pPr>
        <w:pStyle w:val="21"/>
        <w:shd w:val="clear" w:color="auto" w:fill="auto"/>
        <w:rPr>
          <w:rFonts w:hint="eastAsia" w:ascii="宋体" w:hAnsi="宋体" w:eastAsia="宋体" w:cs="宋体"/>
          <w:color w:val="auto"/>
          <w:highlight w:val="none"/>
          <w:lang w:val="en-US" w:eastAsia="zh-CN"/>
        </w:rPr>
      </w:pPr>
    </w:p>
    <w:p w14:paraId="0D6A76DC">
      <w:pPr>
        <w:pStyle w:val="21"/>
        <w:shd w:val="clear" w:color="auto" w:fill="auto"/>
        <w:rPr>
          <w:rFonts w:hint="eastAsia" w:ascii="宋体" w:hAnsi="宋体" w:eastAsia="宋体" w:cs="宋体"/>
          <w:color w:val="auto"/>
          <w:highlight w:val="none"/>
          <w:lang w:val="en-US" w:eastAsia="zh-CN"/>
        </w:rPr>
      </w:pPr>
    </w:p>
    <w:p w14:paraId="69ED88F2">
      <w:pPr>
        <w:pStyle w:val="21"/>
        <w:shd w:val="clear" w:color="auto" w:fill="auto"/>
        <w:rPr>
          <w:rFonts w:hint="eastAsia" w:ascii="宋体" w:hAnsi="宋体" w:eastAsia="宋体" w:cs="宋体"/>
          <w:color w:val="auto"/>
          <w:highlight w:val="none"/>
          <w:lang w:val="en-US" w:eastAsia="zh-CN"/>
        </w:rPr>
      </w:pPr>
    </w:p>
    <w:p w14:paraId="02CA35C9">
      <w:pPr>
        <w:pStyle w:val="21"/>
        <w:shd w:val="clear" w:color="auto" w:fill="auto"/>
        <w:rPr>
          <w:rFonts w:hint="eastAsia" w:ascii="宋体" w:hAnsi="宋体" w:eastAsia="宋体" w:cs="宋体"/>
          <w:color w:val="auto"/>
          <w:highlight w:val="none"/>
          <w:lang w:val="en-US" w:eastAsia="zh-CN"/>
        </w:rPr>
      </w:pPr>
    </w:p>
    <w:p w14:paraId="555DA861">
      <w:pPr>
        <w:pStyle w:val="21"/>
        <w:shd w:val="clear" w:color="auto" w:fill="auto"/>
        <w:rPr>
          <w:rFonts w:hint="eastAsia" w:ascii="宋体" w:hAnsi="宋体" w:eastAsia="宋体" w:cs="宋体"/>
          <w:color w:val="auto"/>
          <w:highlight w:val="none"/>
          <w:lang w:val="en-US" w:eastAsia="zh-CN"/>
        </w:rPr>
      </w:pPr>
    </w:p>
    <w:p w14:paraId="2AD6E54A">
      <w:pPr>
        <w:pStyle w:val="21"/>
        <w:shd w:val="clear" w:color="auto" w:fill="auto"/>
        <w:rPr>
          <w:rFonts w:hint="eastAsia" w:ascii="宋体" w:hAnsi="宋体" w:eastAsia="宋体" w:cs="宋体"/>
          <w:color w:val="auto"/>
          <w:highlight w:val="none"/>
          <w:lang w:val="en-US" w:eastAsia="zh-CN"/>
        </w:rPr>
      </w:pPr>
    </w:p>
    <w:p w14:paraId="3ACC42DA">
      <w:pPr>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eastAsia="zh-CN"/>
        </w:rPr>
        <w:br w:type="page"/>
      </w:r>
    </w:p>
    <w:p w14:paraId="62524E26">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二、报价文件</w:t>
      </w:r>
    </w:p>
    <w:p w14:paraId="0138014A">
      <w:pPr>
        <w:rPr>
          <w:rFonts w:hint="eastAsia" w:ascii="宋体" w:hAnsi="宋体" w:eastAsia="宋体" w:cs="宋体"/>
          <w:color w:val="auto"/>
          <w:highlight w:val="none"/>
        </w:rPr>
      </w:pPr>
    </w:p>
    <w:p w14:paraId="0BECD93B">
      <w:pPr>
        <w:bidi w:val="0"/>
        <w:rPr>
          <w:rFonts w:hint="eastAsia"/>
          <w:color w:val="auto"/>
          <w:highlight w:val="none"/>
          <w:lang w:val="en-US" w:eastAsia="zh-CN"/>
        </w:rPr>
      </w:pPr>
    </w:p>
    <w:p w14:paraId="4956F45A">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79" w:name="_Toc4687"/>
      <w:r>
        <w:rPr>
          <w:rFonts w:hint="eastAsia" w:cs="Times New Roman"/>
          <w:b/>
          <w:bCs/>
          <w:color w:val="auto"/>
          <w:sz w:val="32"/>
          <w:szCs w:val="32"/>
          <w:highlight w:val="none"/>
          <w:lang w:val="en-US" w:eastAsia="zh-CN" w:bidi="ar-SA"/>
        </w:rPr>
        <w:t>1、开标一览表</w:t>
      </w:r>
      <w:bookmarkEnd w:id="579"/>
    </w:p>
    <w:p w14:paraId="0BD6CC72">
      <w:pPr>
        <w:spacing w:line="300" w:lineRule="auto"/>
        <w:rPr>
          <w:rFonts w:cs="仿宋_GB2312"/>
          <w:color w:val="auto"/>
          <w:szCs w:val="24"/>
          <w:highlight w:val="none"/>
        </w:rPr>
      </w:pPr>
    </w:p>
    <w:p w14:paraId="527E9942">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2DA9D0E3">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798"/>
        <w:gridCol w:w="1653"/>
        <w:gridCol w:w="1998"/>
        <w:gridCol w:w="1998"/>
      </w:tblGrid>
      <w:tr w14:paraId="1628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9" w:type="pct"/>
            <w:noWrap w:val="0"/>
            <w:vAlign w:val="center"/>
          </w:tcPr>
          <w:p w14:paraId="4451224D">
            <w:pPr>
              <w:widowControl/>
              <w:spacing w:line="240" w:lineRule="auto"/>
              <w:jc w:val="center"/>
              <w:rPr>
                <w:color w:val="auto"/>
                <w:sz w:val="24"/>
                <w:szCs w:val="24"/>
                <w:highlight w:val="none"/>
              </w:rPr>
            </w:pPr>
            <w:r>
              <w:rPr>
                <w:rFonts w:hint="eastAsia"/>
                <w:color w:val="auto"/>
                <w:sz w:val="24"/>
                <w:szCs w:val="24"/>
                <w:highlight w:val="none"/>
              </w:rPr>
              <w:t>序号</w:t>
            </w:r>
          </w:p>
        </w:tc>
        <w:tc>
          <w:tcPr>
            <w:tcW w:w="1055" w:type="pct"/>
            <w:noWrap w:val="0"/>
            <w:vAlign w:val="center"/>
          </w:tcPr>
          <w:p w14:paraId="11D382BC">
            <w:pPr>
              <w:widowControl/>
              <w:spacing w:line="240" w:lineRule="auto"/>
              <w:ind w:left="851" w:hanging="851"/>
              <w:jc w:val="center"/>
              <w:rPr>
                <w:color w:val="auto"/>
                <w:sz w:val="24"/>
                <w:szCs w:val="24"/>
                <w:highlight w:val="none"/>
              </w:rPr>
            </w:pPr>
            <w:r>
              <w:rPr>
                <w:rFonts w:hint="eastAsia"/>
                <w:color w:val="auto"/>
                <w:sz w:val="24"/>
                <w:szCs w:val="24"/>
                <w:highlight w:val="none"/>
              </w:rPr>
              <w:t>投标报价</w:t>
            </w:r>
          </w:p>
        </w:tc>
        <w:tc>
          <w:tcPr>
            <w:tcW w:w="970" w:type="pct"/>
            <w:noWrap w:val="0"/>
            <w:vAlign w:val="center"/>
          </w:tcPr>
          <w:p w14:paraId="32E4BA2E">
            <w:pPr>
              <w:widowControl/>
              <w:spacing w:line="240" w:lineRule="auto"/>
              <w:ind w:left="851" w:hanging="851"/>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交付时间</w:t>
            </w:r>
          </w:p>
        </w:tc>
        <w:tc>
          <w:tcPr>
            <w:tcW w:w="1172" w:type="pct"/>
            <w:noWrap w:val="0"/>
            <w:vAlign w:val="center"/>
          </w:tcPr>
          <w:p w14:paraId="399512F8">
            <w:pPr>
              <w:widowControl/>
              <w:spacing w:line="240" w:lineRule="auto"/>
              <w:ind w:left="851" w:hanging="851"/>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质保期</w:t>
            </w:r>
          </w:p>
        </w:tc>
        <w:tc>
          <w:tcPr>
            <w:tcW w:w="1172" w:type="pct"/>
            <w:noWrap w:val="0"/>
            <w:vAlign w:val="center"/>
          </w:tcPr>
          <w:p w14:paraId="6D474519">
            <w:pPr>
              <w:widowControl/>
              <w:spacing w:line="240" w:lineRule="auto"/>
              <w:jc w:val="center"/>
              <w:rPr>
                <w:color w:val="auto"/>
                <w:sz w:val="24"/>
                <w:szCs w:val="24"/>
                <w:highlight w:val="none"/>
              </w:rPr>
            </w:pPr>
            <w:r>
              <w:rPr>
                <w:rFonts w:hint="eastAsia"/>
                <w:color w:val="auto"/>
                <w:sz w:val="24"/>
                <w:szCs w:val="24"/>
                <w:highlight w:val="none"/>
              </w:rPr>
              <w:t>备注（如有）</w:t>
            </w:r>
          </w:p>
        </w:tc>
      </w:tr>
      <w:tr w14:paraId="539B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29" w:type="pct"/>
            <w:noWrap w:val="0"/>
            <w:vAlign w:val="center"/>
          </w:tcPr>
          <w:p w14:paraId="6705B4A0">
            <w:pPr>
              <w:widowControl/>
              <w:spacing w:line="240" w:lineRule="auto"/>
              <w:ind w:left="851" w:hanging="851"/>
              <w:jc w:val="center"/>
              <w:rPr>
                <w:rFonts w:hint="eastAsia"/>
                <w:color w:val="auto"/>
                <w:sz w:val="24"/>
                <w:szCs w:val="24"/>
                <w:highlight w:val="none"/>
              </w:rPr>
            </w:pPr>
          </w:p>
        </w:tc>
        <w:tc>
          <w:tcPr>
            <w:tcW w:w="1055" w:type="pct"/>
            <w:noWrap w:val="0"/>
            <w:vAlign w:val="center"/>
          </w:tcPr>
          <w:p w14:paraId="1187D7DA">
            <w:pPr>
              <w:widowControl/>
              <w:shd w:val="clear" w:color="auto" w:fill="auto"/>
              <w:spacing w:line="240" w:lineRule="auto"/>
              <w:ind w:left="851" w:hanging="851"/>
              <w:jc w:val="both"/>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37617751">
            <w:pPr>
              <w:widowControl/>
              <w:shd w:val="clear" w:color="auto" w:fill="auto"/>
              <w:spacing w:line="240" w:lineRule="auto"/>
              <w:ind w:left="851" w:hanging="851"/>
              <w:jc w:val="both"/>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970" w:type="pct"/>
            <w:noWrap w:val="0"/>
            <w:vAlign w:val="center"/>
          </w:tcPr>
          <w:p w14:paraId="4ED8AD72">
            <w:pPr>
              <w:widowControl/>
              <w:spacing w:line="240" w:lineRule="auto"/>
              <w:ind w:left="851" w:hanging="851"/>
              <w:jc w:val="center"/>
              <w:rPr>
                <w:rFonts w:hint="eastAsia"/>
                <w:color w:val="auto"/>
                <w:sz w:val="24"/>
                <w:szCs w:val="24"/>
                <w:highlight w:val="none"/>
              </w:rPr>
            </w:pPr>
          </w:p>
        </w:tc>
        <w:tc>
          <w:tcPr>
            <w:tcW w:w="1172" w:type="pct"/>
            <w:noWrap w:val="0"/>
            <w:vAlign w:val="center"/>
          </w:tcPr>
          <w:p w14:paraId="7867BDCB">
            <w:pPr>
              <w:widowControl/>
              <w:spacing w:line="240" w:lineRule="auto"/>
              <w:ind w:left="851" w:hanging="851"/>
              <w:jc w:val="center"/>
              <w:rPr>
                <w:rFonts w:hint="eastAsia"/>
                <w:color w:val="auto"/>
                <w:sz w:val="24"/>
                <w:szCs w:val="24"/>
                <w:highlight w:val="none"/>
              </w:rPr>
            </w:pPr>
          </w:p>
        </w:tc>
        <w:tc>
          <w:tcPr>
            <w:tcW w:w="1172" w:type="pct"/>
            <w:noWrap w:val="0"/>
            <w:vAlign w:val="center"/>
          </w:tcPr>
          <w:p w14:paraId="3D3F3883">
            <w:pPr>
              <w:widowControl/>
              <w:spacing w:line="240" w:lineRule="auto"/>
              <w:ind w:left="851" w:hanging="851"/>
              <w:jc w:val="center"/>
              <w:rPr>
                <w:rFonts w:hint="eastAsia"/>
                <w:color w:val="auto"/>
                <w:sz w:val="24"/>
                <w:szCs w:val="24"/>
                <w:highlight w:val="none"/>
              </w:rPr>
            </w:pPr>
          </w:p>
        </w:tc>
      </w:tr>
    </w:tbl>
    <w:p w14:paraId="4B0BDDD2">
      <w:pPr>
        <w:spacing w:line="300" w:lineRule="auto"/>
        <w:rPr>
          <w:rFonts w:ascii="Arial" w:hAnsi="Arial" w:cs="Arial"/>
          <w:color w:val="auto"/>
          <w:szCs w:val="21"/>
          <w:highlight w:val="none"/>
          <w:u w:val="single"/>
        </w:rPr>
      </w:pPr>
    </w:p>
    <w:p w14:paraId="5623BDA1">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546BA9AA">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753972C">
      <w:pPr>
        <w:rPr>
          <w:rFonts w:cs="Arial"/>
          <w:color w:val="auto"/>
          <w:szCs w:val="24"/>
          <w:highlight w:val="none"/>
        </w:rPr>
      </w:pPr>
    </w:p>
    <w:p w14:paraId="33FEB509">
      <w:pPr>
        <w:pStyle w:val="10"/>
        <w:rPr>
          <w:rFonts w:cs="Arial"/>
          <w:color w:val="auto"/>
          <w:szCs w:val="24"/>
          <w:highlight w:val="none"/>
        </w:rPr>
      </w:pPr>
    </w:p>
    <w:p w14:paraId="39AA70EA">
      <w:pPr>
        <w:pStyle w:val="10"/>
        <w:rPr>
          <w:rFonts w:cs="Arial"/>
          <w:color w:val="auto"/>
          <w:szCs w:val="24"/>
          <w:highlight w:val="none"/>
        </w:rPr>
      </w:pPr>
    </w:p>
    <w:p w14:paraId="121466EF">
      <w:pPr>
        <w:pStyle w:val="10"/>
        <w:rPr>
          <w:rFonts w:cs="Arial"/>
          <w:color w:val="auto"/>
          <w:szCs w:val="24"/>
          <w:highlight w:val="none"/>
        </w:rPr>
      </w:pPr>
    </w:p>
    <w:p w14:paraId="72664C7F">
      <w:pPr>
        <w:pStyle w:val="10"/>
        <w:rPr>
          <w:rFonts w:cs="Arial"/>
          <w:color w:val="auto"/>
          <w:szCs w:val="24"/>
          <w:highlight w:val="none"/>
        </w:rPr>
      </w:pPr>
    </w:p>
    <w:p w14:paraId="1428E25C">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66739226">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02D0DABA">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4A8CD785">
      <w:pPr>
        <w:pStyle w:val="1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5099EBF9">
      <w:pPr>
        <w:pStyle w:val="10"/>
        <w:ind w:firstLine="480"/>
        <w:rPr>
          <w:rFonts w:hint="eastAsia" w:ascii="宋体" w:hAnsi="宋体" w:eastAsia="宋体" w:cs="宋体"/>
          <w:color w:val="auto"/>
          <w:sz w:val="24"/>
          <w:szCs w:val="24"/>
          <w:highlight w:val="none"/>
        </w:rPr>
      </w:pPr>
    </w:p>
    <w:p w14:paraId="064F19D5">
      <w:pPr>
        <w:pStyle w:val="10"/>
        <w:ind w:firstLine="480"/>
        <w:rPr>
          <w:rFonts w:hint="eastAsia" w:ascii="宋体" w:hAnsi="宋体" w:eastAsia="宋体" w:cs="宋体"/>
          <w:color w:val="auto"/>
          <w:sz w:val="24"/>
          <w:szCs w:val="24"/>
          <w:highlight w:val="none"/>
        </w:rPr>
      </w:pPr>
    </w:p>
    <w:p w14:paraId="0A47BA3A">
      <w:pPr>
        <w:pStyle w:val="10"/>
        <w:ind w:firstLine="480"/>
        <w:rPr>
          <w:rFonts w:hint="eastAsia" w:ascii="宋体" w:hAnsi="宋体" w:eastAsia="宋体" w:cs="宋体"/>
          <w:color w:val="auto"/>
          <w:sz w:val="24"/>
          <w:szCs w:val="24"/>
          <w:highlight w:val="none"/>
        </w:rPr>
      </w:pPr>
    </w:p>
    <w:p w14:paraId="14649CB1">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sectPr>
          <w:headerReference r:id="rId5" w:type="default"/>
          <w:footerReference r:id="rId6" w:type="default"/>
          <w:pgSz w:w="11906" w:h="16838"/>
          <w:pgMar w:top="1440" w:right="1800" w:bottom="1440" w:left="1800" w:header="851" w:footer="992" w:gutter="0"/>
          <w:pgNumType w:fmt="decimal"/>
          <w:cols w:space="720" w:num="1"/>
        </w:sectPr>
      </w:pPr>
    </w:p>
    <w:p w14:paraId="2812C2A5">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0" w:name="_Toc20408"/>
      <w:r>
        <w:rPr>
          <w:rFonts w:hint="eastAsia" w:cs="Times New Roman"/>
          <w:b/>
          <w:bCs/>
          <w:color w:val="auto"/>
          <w:sz w:val="32"/>
          <w:szCs w:val="32"/>
          <w:highlight w:val="none"/>
          <w:lang w:val="en-US" w:eastAsia="zh-CN" w:bidi="ar-SA"/>
        </w:rPr>
        <w:t>2、分项报价表</w:t>
      </w:r>
      <w:bookmarkEnd w:id="580"/>
    </w:p>
    <w:p w14:paraId="1AABFCED">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306965F6">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000"/>
        <w:gridCol w:w="1001"/>
        <w:gridCol w:w="976"/>
        <w:gridCol w:w="1298"/>
        <w:gridCol w:w="946"/>
        <w:gridCol w:w="1374"/>
        <w:gridCol w:w="962"/>
        <w:gridCol w:w="810"/>
        <w:gridCol w:w="1243"/>
        <w:gridCol w:w="963"/>
        <w:gridCol w:w="866"/>
        <w:gridCol w:w="866"/>
        <w:gridCol w:w="1024"/>
      </w:tblGrid>
      <w:tr w14:paraId="0100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51C9CA5F">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序号</w:t>
            </w:r>
          </w:p>
        </w:tc>
        <w:tc>
          <w:tcPr>
            <w:tcW w:w="1000" w:type="dxa"/>
            <w:noWrap w:val="0"/>
            <w:vAlign w:val="center"/>
          </w:tcPr>
          <w:p w14:paraId="1BE118B4">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01" w:type="dxa"/>
            <w:noWrap w:val="0"/>
            <w:vAlign w:val="center"/>
          </w:tcPr>
          <w:p w14:paraId="4FDC4E73">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976" w:type="dxa"/>
            <w:noWrap w:val="0"/>
            <w:vAlign w:val="center"/>
          </w:tcPr>
          <w:p w14:paraId="53C896B5">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298" w:type="dxa"/>
            <w:noWrap w:val="0"/>
            <w:vAlign w:val="center"/>
          </w:tcPr>
          <w:p w14:paraId="09DAE0FF">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14DCD13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946" w:type="dxa"/>
            <w:noWrap w:val="0"/>
            <w:vAlign w:val="center"/>
          </w:tcPr>
          <w:p w14:paraId="3C642EC8">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374" w:type="dxa"/>
            <w:noWrap w:val="0"/>
            <w:vAlign w:val="center"/>
          </w:tcPr>
          <w:p w14:paraId="0F99BC18">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962" w:type="dxa"/>
            <w:noWrap w:val="0"/>
            <w:vAlign w:val="center"/>
          </w:tcPr>
          <w:p w14:paraId="22A47E37">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10" w:type="dxa"/>
            <w:noWrap w:val="0"/>
            <w:vAlign w:val="center"/>
          </w:tcPr>
          <w:p w14:paraId="01DC390C">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243" w:type="dxa"/>
            <w:noWrap w:val="0"/>
            <w:vAlign w:val="center"/>
          </w:tcPr>
          <w:p w14:paraId="7352039D">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963" w:type="dxa"/>
            <w:noWrap w:val="0"/>
            <w:vAlign w:val="center"/>
          </w:tcPr>
          <w:p w14:paraId="2D2E8B6E">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1A5DE67F">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866" w:type="dxa"/>
            <w:noWrap w:val="0"/>
            <w:vAlign w:val="center"/>
          </w:tcPr>
          <w:p w14:paraId="0B2A048F">
            <w:pPr>
              <w:keepNext w:val="0"/>
              <w:keepLines w:val="0"/>
              <w:pageBreakBefore w:val="0"/>
              <w:widowControl w:val="0"/>
              <w:bidi w:val="0"/>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单位</w:t>
            </w:r>
          </w:p>
        </w:tc>
        <w:tc>
          <w:tcPr>
            <w:tcW w:w="866" w:type="dxa"/>
            <w:noWrap w:val="0"/>
            <w:vAlign w:val="center"/>
          </w:tcPr>
          <w:p w14:paraId="48C9B67F">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24" w:type="dxa"/>
            <w:noWrap w:val="0"/>
            <w:vAlign w:val="center"/>
          </w:tcPr>
          <w:p w14:paraId="76B2915D">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244A8C4E">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4F59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7B51437A">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00" w:type="dxa"/>
            <w:noWrap w:val="0"/>
            <w:vAlign w:val="center"/>
          </w:tcPr>
          <w:p w14:paraId="3D1A59D2">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4BCC610A">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B78A9EE">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2609CEA2">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24206DCD">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9A25FB5">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1A9062E7">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1557F633">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378CCFFF">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180F5BBB">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5D3CFD9">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27B6388">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05E2D998">
            <w:pPr>
              <w:jc w:val="center"/>
              <w:rPr>
                <w:rFonts w:hint="eastAsia" w:ascii="宋体" w:hAnsi="宋体" w:eastAsia="宋体" w:cs="宋体"/>
                <w:b w:val="0"/>
                <w:bCs/>
                <w:color w:val="auto"/>
                <w:sz w:val="21"/>
                <w:szCs w:val="21"/>
                <w:highlight w:val="none"/>
                <w:u w:val="none"/>
                <w:vertAlign w:val="baseline"/>
                <w:lang w:val="zh-CN"/>
              </w:rPr>
            </w:pPr>
          </w:p>
        </w:tc>
      </w:tr>
      <w:tr w14:paraId="17B7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2F8F3B9">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00" w:type="dxa"/>
            <w:noWrap w:val="0"/>
            <w:vAlign w:val="center"/>
          </w:tcPr>
          <w:p w14:paraId="1F7F2465">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3ECE9DAF">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C7FC5D2">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7D43FF8C">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BB4748F">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282D83B6">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20F57AEB">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1DD70134">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5112C0DC">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52871A9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CF6CBF6">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464B0D0A">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7BAF50D4">
            <w:pPr>
              <w:jc w:val="center"/>
              <w:rPr>
                <w:rFonts w:hint="eastAsia" w:ascii="宋体" w:hAnsi="宋体" w:eastAsia="宋体" w:cs="宋体"/>
                <w:b w:val="0"/>
                <w:bCs/>
                <w:color w:val="auto"/>
                <w:sz w:val="21"/>
                <w:szCs w:val="21"/>
                <w:highlight w:val="none"/>
                <w:u w:val="none"/>
                <w:vertAlign w:val="baseline"/>
                <w:lang w:val="zh-CN"/>
              </w:rPr>
            </w:pPr>
          </w:p>
        </w:tc>
      </w:tr>
      <w:tr w14:paraId="3288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02A3C7D6">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00" w:type="dxa"/>
            <w:noWrap w:val="0"/>
            <w:vAlign w:val="center"/>
          </w:tcPr>
          <w:p w14:paraId="1410FF21">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05366F7">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25762592">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5219E7A6">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71E9547B">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1D6C62B5">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520C4861">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3EC64EFC">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522D66D9">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1FE2DE07">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54DA42F">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0BC87897">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2D82218F">
            <w:pPr>
              <w:jc w:val="center"/>
              <w:rPr>
                <w:rFonts w:hint="eastAsia" w:ascii="宋体" w:hAnsi="宋体" w:eastAsia="宋体" w:cs="宋体"/>
                <w:b w:val="0"/>
                <w:bCs/>
                <w:color w:val="auto"/>
                <w:sz w:val="21"/>
                <w:szCs w:val="21"/>
                <w:highlight w:val="none"/>
                <w:u w:val="none"/>
                <w:vertAlign w:val="baseline"/>
                <w:lang w:val="zh-CN"/>
              </w:rPr>
            </w:pPr>
          </w:p>
        </w:tc>
      </w:tr>
      <w:tr w14:paraId="45FB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D45D949">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00" w:type="dxa"/>
            <w:noWrap w:val="0"/>
            <w:vAlign w:val="center"/>
          </w:tcPr>
          <w:p w14:paraId="235BB58A">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ADE9803">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38D9F972">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74FBD73">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1D718B78">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E79AEE4">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C5C4145">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4605E331">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12909B2D">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21D67895">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5D6B4B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9A17B3C">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3F1A1B4E">
            <w:pPr>
              <w:jc w:val="center"/>
              <w:rPr>
                <w:rFonts w:hint="eastAsia" w:ascii="宋体" w:hAnsi="宋体" w:eastAsia="宋体" w:cs="宋体"/>
                <w:b w:val="0"/>
                <w:bCs/>
                <w:color w:val="auto"/>
                <w:sz w:val="21"/>
                <w:szCs w:val="21"/>
                <w:highlight w:val="none"/>
                <w:u w:val="none"/>
                <w:vertAlign w:val="baseline"/>
                <w:lang w:val="zh-CN"/>
              </w:rPr>
            </w:pPr>
          </w:p>
        </w:tc>
      </w:tr>
      <w:tr w14:paraId="405F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508B9EBB">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00" w:type="dxa"/>
            <w:noWrap w:val="0"/>
            <w:vAlign w:val="center"/>
          </w:tcPr>
          <w:p w14:paraId="4D2809C3">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74EFC658">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5AC87F5">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14BE1E05">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3733985F">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0E775156">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3404F54">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55DED104">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7D04E031">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66B40068">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769010D">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1FBF0B0">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5031DA5D">
            <w:pPr>
              <w:jc w:val="center"/>
              <w:rPr>
                <w:rFonts w:hint="eastAsia" w:ascii="宋体" w:hAnsi="宋体" w:eastAsia="宋体" w:cs="宋体"/>
                <w:b w:val="0"/>
                <w:bCs/>
                <w:color w:val="auto"/>
                <w:sz w:val="21"/>
                <w:szCs w:val="21"/>
                <w:highlight w:val="none"/>
                <w:u w:val="none"/>
                <w:vertAlign w:val="baseline"/>
                <w:lang w:val="zh-CN"/>
              </w:rPr>
            </w:pPr>
          </w:p>
        </w:tc>
      </w:tr>
      <w:tr w14:paraId="4C86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2845B3D">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00" w:type="dxa"/>
            <w:noWrap w:val="0"/>
            <w:vAlign w:val="center"/>
          </w:tcPr>
          <w:p w14:paraId="340E3BC1">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244BEAA">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51440E1">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7C67989">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15FADBFC">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67F7C52E">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27431138">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7BCDE532">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0C94880A">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24090D2F">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9184B32">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A2FD13D">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3137D824">
            <w:pPr>
              <w:jc w:val="center"/>
              <w:rPr>
                <w:rFonts w:hint="eastAsia" w:ascii="宋体" w:hAnsi="宋体" w:eastAsia="宋体" w:cs="宋体"/>
                <w:b w:val="0"/>
                <w:bCs/>
                <w:color w:val="auto"/>
                <w:sz w:val="21"/>
                <w:szCs w:val="21"/>
                <w:highlight w:val="none"/>
                <w:u w:val="none"/>
                <w:vertAlign w:val="baseline"/>
                <w:lang w:val="zh-CN"/>
              </w:rPr>
            </w:pPr>
          </w:p>
        </w:tc>
      </w:tr>
      <w:tr w14:paraId="0638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EFB80A">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00" w:type="dxa"/>
            <w:noWrap w:val="0"/>
            <w:vAlign w:val="center"/>
          </w:tcPr>
          <w:p w14:paraId="0397F976">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5176713">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151A44C0">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7B5CA86B">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142436DC">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AC886FE">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0A0E28C1">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770E2201">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090607CA">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276D0166">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F60B611">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CA9E1FE">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5FE41441">
            <w:pPr>
              <w:jc w:val="center"/>
              <w:rPr>
                <w:rFonts w:hint="eastAsia" w:ascii="宋体" w:hAnsi="宋体" w:eastAsia="宋体" w:cs="宋体"/>
                <w:b w:val="0"/>
                <w:bCs/>
                <w:color w:val="auto"/>
                <w:sz w:val="21"/>
                <w:szCs w:val="21"/>
                <w:highlight w:val="none"/>
                <w:u w:val="none"/>
                <w:vertAlign w:val="baseline"/>
                <w:lang w:val="zh-CN"/>
              </w:rPr>
            </w:pPr>
          </w:p>
        </w:tc>
      </w:tr>
      <w:tr w14:paraId="1DDB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9495707">
            <w:pPr>
              <w:jc w:val="center"/>
              <w:rPr>
                <w:rFonts w:hint="eastAsia" w:ascii="宋体" w:hAnsi="宋体" w:eastAsia="宋体" w:cs="宋体"/>
                <w:b w:val="0"/>
                <w:bCs/>
                <w:color w:val="auto"/>
                <w:sz w:val="21"/>
                <w:szCs w:val="21"/>
                <w:highlight w:val="none"/>
                <w:u w:val="none"/>
                <w:vertAlign w:val="baseline"/>
                <w:lang w:val="en-US" w:eastAsia="zh-CN"/>
              </w:rPr>
            </w:pPr>
          </w:p>
        </w:tc>
        <w:tc>
          <w:tcPr>
            <w:tcW w:w="12305" w:type="dxa"/>
            <w:gridSpan w:val="12"/>
            <w:noWrap w:val="0"/>
            <w:vAlign w:val="center"/>
          </w:tcPr>
          <w:p w14:paraId="0F601A1D">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24" w:type="dxa"/>
            <w:noWrap w:val="0"/>
            <w:vAlign w:val="center"/>
          </w:tcPr>
          <w:p w14:paraId="31E39A2F">
            <w:pPr>
              <w:jc w:val="center"/>
              <w:rPr>
                <w:rFonts w:hint="eastAsia" w:ascii="宋体" w:hAnsi="宋体" w:eastAsia="宋体" w:cs="宋体"/>
                <w:b w:val="0"/>
                <w:bCs/>
                <w:color w:val="auto"/>
                <w:sz w:val="21"/>
                <w:szCs w:val="21"/>
                <w:highlight w:val="none"/>
                <w:u w:val="none"/>
                <w:vertAlign w:val="baseline"/>
                <w:lang w:val="zh-CN"/>
              </w:rPr>
            </w:pPr>
          </w:p>
        </w:tc>
      </w:tr>
    </w:tbl>
    <w:p w14:paraId="47C57EF4">
      <w:pPr>
        <w:spacing w:line="300" w:lineRule="auto"/>
        <w:rPr>
          <w:rFonts w:ascii="Arial" w:hAnsi="Arial" w:cs="Arial"/>
          <w:color w:val="auto"/>
          <w:szCs w:val="21"/>
          <w:highlight w:val="none"/>
        </w:rPr>
      </w:pPr>
    </w:p>
    <w:p w14:paraId="6EBFE0DA">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1612B50E">
      <w:pPr>
        <w:spacing w:line="300" w:lineRule="auto"/>
        <w:rPr>
          <w:rFonts w:ascii="Arial" w:hAnsi="Arial" w:cs="Arial"/>
          <w:color w:val="auto"/>
          <w:szCs w:val="21"/>
          <w:highlight w:val="none"/>
        </w:rPr>
      </w:pPr>
      <w:r>
        <w:rPr>
          <w:rFonts w:ascii="Arial" w:hAnsi="Arial" w:cs="Arial"/>
          <w:color w:val="auto"/>
          <w:szCs w:val="21"/>
          <w:highlight w:val="none"/>
        </w:rPr>
        <w:t>日期：</w:t>
      </w:r>
    </w:p>
    <w:p w14:paraId="2FFFAB9E">
      <w:pPr>
        <w:spacing w:line="300" w:lineRule="auto"/>
        <w:rPr>
          <w:rFonts w:hint="eastAsia" w:ascii="宋体" w:hAnsi="宋体" w:eastAsia="宋体" w:cs="宋体"/>
          <w:color w:val="auto"/>
          <w:sz w:val="24"/>
          <w:szCs w:val="24"/>
          <w:highlight w:val="none"/>
        </w:rPr>
      </w:pPr>
    </w:p>
    <w:p w14:paraId="6CAD7220">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27E4C004">
      <w:pPr>
        <w:spacing w:line="360" w:lineRule="auto"/>
        <w:ind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31B5CD09">
      <w:pPr>
        <w:keepNext w:val="0"/>
        <w:keepLines w:val="0"/>
        <w:pageBreakBefore w:val="0"/>
        <w:widowControl w:val="0"/>
        <w:bidi w:val="0"/>
        <w:spacing w:line="360" w:lineRule="auto"/>
        <w:ind w:firstLine="420"/>
        <w:jc w:val="both"/>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5E51E4AE">
      <w:pPr>
        <w:keepNext w:val="0"/>
        <w:keepLines w:val="0"/>
        <w:widowControl/>
        <w:suppressLineNumbers w:val="0"/>
        <w:jc w:val="left"/>
        <w:rPr>
          <w:rFonts w:hint="eastAsia" w:ascii="宋体" w:hAnsi="宋体" w:eastAsia="宋体" w:cs="宋体"/>
          <w:b/>
          <w:bCs/>
          <w:i w:val="0"/>
          <w:iCs w:val="0"/>
          <w:color w:val="auto"/>
          <w:sz w:val="21"/>
          <w:szCs w:val="21"/>
          <w:highlight w:val="none"/>
          <w:lang w:val="en-US" w:eastAsia="zh-CN" w:bidi="ar"/>
        </w:rPr>
      </w:pPr>
    </w:p>
    <w:p w14:paraId="20BAECF2">
      <w:pPr>
        <w:keepNext w:val="0"/>
        <w:keepLines w:val="0"/>
        <w:widowControl/>
        <w:suppressLineNumbers w:val="0"/>
        <w:jc w:val="left"/>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bCs/>
          <w:i w:val="0"/>
          <w:iCs w:val="0"/>
          <w:color w:val="auto"/>
          <w:sz w:val="21"/>
          <w:szCs w:val="21"/>
          <w:highlight w:val="none"/>
          <w:lang w:val="en-US" w:eastAsia="zh-CN" w:bidi="ar"/>
        </w:rPr>
        <w:t>填写说明：</w:t>
      </w:r>
      <w:r>
        <w:rPr>
          <w:rFonts w:hint="eastAsia" w:ascii="宋体" w:hAnsi="宋体" w:eastAsia="宋体" w:cs="宋体"/>
          <w:b w:val="0"/>
          <w:bCs w:val="0"/>
          <w:i w:val="0"/>
          <w:iCs w:val="0"/>
          <w:color w:val="auto"/>
          <w:sz w:val="21"/>
          <w:szCs w:val="21"/>
          <w:highlight w:val="none"/>
          <w:lang w:val="en-US" w:eastAsia="zh-CN" w:bidi="ar"/>
        </w:rPr>
        <w:t>1、</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制造商规模</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请填写“大型”、“中型”、“小型”、“微型”或“其他”，且不应与《中小企业声明函》或《拟分包情况说明》中内容矛盾。</w:t>
      </w:r>
    </w:p>
    <w:p w14:paraId="2D8CB145">
      <w:pPr>
        <w:keepNext w:val="0"/>
        <w:keepLines w:val="0"/>
        <w:widowControl/>
        <w:suppressLineNumbers w:val="0"/>
        <w:ind w:firstLine="105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bidi="ar"/>
        </w:rPr>
        <w:t>2、</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按</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商实际控制人性别划分请填写“男”或“女”，指拥有</w:t>
      </w:r>
      <w:r>
        <w:rPr>
          <w:rFonts w:hint="eastAsia" w:cs="宋体"/>
          <w:b w:val="0"/>
          <w:bCs w:val="0"/>
          <w:i w:val="0"/>
          <w:iCs w:val="0"/>
          <w:color w:val="auto"/>
          <w:sz w:val="21"/>
          <w:szCs w:val="21"/>
          <w:highlight w:val="none"/>
          <w:lang w:val="en-US" w:eastAsia="zh-CN" w:bidi="ar"/>
        </w:rPr>
        <w:t>制造商</w:t>
      </w:r>
      <w:r>
        <w:rPr>
          <w:rFonts w:hint="eastAsia" w:ascii="宋体" w:hAnsi="宋体" w:eastAsia="宋体" w:cs="宋体"/>
          <w:b w:val="0"/>
          <w:bCs w:val="0"/>
          <w:i w:val="0"/>
          <w:iCs w:val="0"/>
          <w:color w:val="auto"/>
          <w:sz w:val="21"/>
          <w:szCs w:val="21"/>
          <w:highlight w:val="none"/>
          <w:lang w:val="en-US" w:eastAsia="zh-CN" w:bidi="ar"/>
        </w:rPr>
        <w:t xml:space="preserve"> 51%以上绝对所有权的性别；绝对所有权拥有者可以是一个人，也可以是多人合计计算。 </w:t>
      </w:r>
    </w:p>
    <w:p w14:paraId="2A305EA9">
      <w:pPr>
        <w:spacing w:line="300" w:lineRule="auto"/>
        <w:ind w:firstLine="1050"/>
        <w:rPr>
          <w:rFonts w:hint="eastAsia" w:ascii="宋体" w:hAnsi="宋体" w:eastAsia="宋体" w:cs="宋体"/>
          <w:b w:val="0"/>
          <w:bCs w:val="0"/>
          <w:i w:val="0"/>
          <w:iCs w:val="0"/>
          <w:color w:val="auto"/>
          <w:sz w:val="21"/>
          <w:szCs w:val="21"/>
          <w:highlight w:val="none"/>
          <w:lang w:val="en-US" w:eastAsia="zh-CN" w:bidi="ar"/>
        </w:rPr>
        <w:sectPr>
          <w:pgSz w:w="16838" w:h="11906" w:orient="landscape"/>
          <w:pgMar w:top="1803" w:right="1440" w:bottom="1803" w:left="1440" w:header="851" w:footer="992" w:gutter="0"/>
          <w:pgNumType w:fmt="decimal"/>
          <w:cols w:space="720" w:num="1"/>
        </w:sectPr>
      </w:pPr>
      <w:r>
        <w:rPr>
          <w:rFonts w:hint="eastAsia" w:ascii="宋体" w:hAnsi="宋体" w:eastAsia="宋体" w:cs="宋体"/>
          <w:b w:val="0"/>
          <w:bCs w:val="0"/>
          <w:i w:val="0"/>
          <w:iCs w:val="0"/>
          <w:color w:val="auto"/>
          <w:sz w:val="21"/>
          <w:szCs w:val="21"/>
          <w:highlight w:val="none"/>
          <w:lang w:val="en-US" w:eastAsia="zh-CN" w:bidi="ar"/>
        </w:rPr>
        <w:t>3、</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外商投资类型</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请填写“外商单独投资”、“外商部分投资”或“内资”。</w:t>
      </w:r>
    </w:p>
    <w:p w14:paraId="1FCE8915">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1" w:name="_Toc31878"/>
      <w:r>
        <w:rPr>
          <w:rFonts w:hint="eastAsia" w:cs="Times New Roman"/>
          <w:b/>
          <w:bCs/>
          <w:color w:val="auto"/>
          <w:sz w:val="32"/>
          <w:szCs w:val="32"/>
          <w:highlight w:val="none"/>
          <w:lang w:val="en-US" w:eastAsia="zh-CN" w:bidi="ar-SA"/>
        </w:rPr>
        <w:t>3、关于符合本国产品标准的声明函或财政部规定的其他</w:t>
      </w:r>
      <w:bookmarkEnd w:id="581"/>
      <w:bookmarkStart w:id="582" w:name="_Toc28398"/>
      <w:r>
        <w:rPr>
          <w:rFonts w:hint="eastAsia" w:cs="Times New Roman"/>
          <w:b/>
          <w:bCs/>
          <w:color w:val="auto"/>
          <w:sz w:val="32"/>
          <w:szCs w:val="32"/>
          <w:highlight w:val="none"/>
          <w:lang w:val="en-US" w:eastAsia="zh-CN" w:bidi="ar-SA"/>
        </w:rPr>
        <w:t>证明文件</w:t>
      </w:r>
      <w:bookmarkEnd w:id="582"/>
      <w:r>
        <w:rPr>
          <w:rFonts w:hint="eastAsia" w:cs="Times New Roman"/>
          <w:b/>
          <w:bCs/>
          <w:color w:val="auto"/>
          <w:sz w:val="32"/>
          <w:szCs w:val="32"/>
          <w:highlight w:val="none"/>
          <w:lang w:val="en-US" w:eastAsia="zh-CN" w:bidi="ar-SA"/>
        </w:rPr>
        <w:t>（如适用）</w:t>
      </w:r>
    </w:p>
    <w:p w14:paraId="3565C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1A24CEFA">
      <w:pPr>
        <w:keepNext w:val="0"/>
        <w:keepLines w:val="0"/>
        <w:widowControl/>
        <w:suppressLineNumbers w:val="0"/>
        <w:ind w:firstLine="482"/>
        <w:jc w:val="center"/>
        <w:rPr>
          <w:rFonts w:hint="eastAsia" w:ascii="宋体" w:hAnsi="宋体" w:eastAsia="宋体" w:cs="宋体"/>
          <w:color w:val="auto"/>
          <w:sz w:val="24"/>
          <w:szCs w:val="24"/>
          <w:highlight w:val="none"/>
          <w:lang w:val="en-US" w:eastAsia="zh-CN" w:bidi="ar"/>
        </w:rPr>
      </w:pPr>
      <w:r>
        <w:rPr>
          <w:rFonts w:hint="eastAsia" w:cs="宋体"/>
          <w:b/>
          <w:bCs/>
          <w:color w:val="auto"/>
          <w:sz w:val="24"/>
          <w:szCs w:val="24"/>
          <w:highlight w:val="none"/>
          <w:lang w:val="en-US" w:eastAsia="zh-CN" w:bidi="ar"/>
        </w:rPr>
        <w:t>（一）</w:t>
      </w:r>
      <w:r>
        <w:rPr>
          <w:rFonts w:hint="eastAsia" w:ascii="宋体" w:hAnsi="宋体" w:eastAsia="宋体" w:cs="宋体"/>
          <w:b/>
          <w:bCs/>
          <w:color w:val="auto"/>
          <w:sz w:val="24"/>
          <w:szCs w:val="24"/>
          <w:highlight w:val="none"/>
          <w:lang w:val="en-US" w:eastAsia="zh-CN" w:bidi="ar"/>
        </w:rPr>
        <w:t>关于符合本国产品标准的声明函</w:t>
      </w:r>
    </w:p>
    <w:p w14:paraId="74058C41">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C97CD11">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1，生产厂为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2，厂址为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4在中国境内生产。</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（关键工序）</w:t>
      </w:r>
      <w:r>
        <w:rPr>
          <w:rFonts w:hint="eastAsia" w:ascii="宋体" w:hAnsi="宋体" w:eastAsia="宋体" w:cs="宋体"/>
          <w:color w:val="auto"/>
          <w:sz w:val="21"/>
          <w:szCs w:val="21"/>
          <w:highlight w:val="none"/>
          <w:lang w:val="en-US" w:eastAsia="zh-CN" w:bidi="ar"/>
        </w:rPr>
        <w:t>5在中国境内完成。</w:t>
      </w:r>
    </w:p>
    <w:p w14:paraId="37B23268">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在中国境内生产。</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的（关键工序）在中国境内完成。</w:t>
      </w:r>
    </w:p>
    <w:p w14:paraId="1592B67B">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p>
    <w:p w14:paraId="7083E670">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本公司（单位）对上述声明内容的真实性负责。如有虚假，愿承担相应法律责任。</w:t>
      </w:r>
    </w:p>
    <w:p w14:paraId="3890A0C5">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p>
    <w:p w14:paraId="39D3212C">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公司（单位）名称（盖章）：　        </w:t>
      </w:r>
    </w:p>
    <w:p w14:paraId="4BFBFD97">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日期：　     年　  月　  日         </w:t>
      </w:r>
    </w:p>
    <w:p w14:paraId="0A2CE3AB">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p>
    <w:p w14:paraId="2D2BC11A">
      <w:pPr>
        <w:keepNext w:val="0"/>
        <w:keepLines w:val="0"/>
        <w:widowControl/>
        <w:suppressLineNumbers w:val="0"/>
        <w:jc w:val="left"/>
        <w:rPr>
          <w:rFonts w:hint="eastAsia" w:ascii="宋体" w:hAnsi="宋体" w:eastAsia="宋体" w:cs="宋体"/>
          <w:color w:val="auto"/>
          <w:sz w:val="21"/>
          <w:szCs w:val="21"/>
          <w:highlight w:val="none"/>
          <w:lang w:val="en-US" w:eastAsia="zh-CN" w:bidi="ar"/>
        </w:rPr>
      </w:pPr>
      <w:r>
        <w:rPr>
          <w:rFonts w:hint="eastAsia" w:cs="宋体"/>
          <w:b/>
          <w:bCs/>
          <w:color w:val="auto"/>
          <w:sz w:val="21"/>
          <w:szCs w:val="21"/>
          <w:highlight w:val="none"/>
          <w:lang w:val="en-US" w:eastAsia="zh-CN" w:bidi="ar"/>
        </w:rPr>
        <w:t>注：</w:t>
      </w:r>
      <w:r>
        <w:rPr>
          <w:rFonts w:hint="eastAsia" w:ascii="宋体" w:hAnsi="宋体" w:eastAsia="宋体" w:cs="宋体"/>
          <w:color w:val="auto"/>
          <w:sz w:val="21"/>
          <w:szCs w:val="21"/>
          <w:highlight w:val="none"/>
          <w:lang w:val="en-US" w:eastAsia="zh-CN" w:bidi="ar"/>
        </w:rPr>
        <w:t>1.产品如有型号，请在“产品名称”栏一并填写。</w:t>
      </w:r>
    </w:p>
    <w:p w14:paraId="3D9D5B7F">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2.生产厂名与厂址应与生产厂营业执照载明的相关信息保持一致。</w:t>
      </w:r>
    </w:p>
    <w:p w14:paraId="0B0513D6">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3.该产品的中国境内生产的组件成本占比相关要求实施前，“规定比例”栏可不填，下同。</w:t>
      </w:r>
    </w:p>
    <w:p w14:paraId="7BCBE708">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4.该产品的关键组件要求实施前，“关键组件”栏可不填，下同。</w:t>
      </w:r>
    </w:p>
    <w:p w14:paraId="7C98C5D5">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5.该产品的关键工序要求实施前，“关键工序”栏可不填，下同。</w:t>
      </w:r>
    </w:p>
    <w:p w14:paraId="7F527D40">
      <w:pPr>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val="0"/>
          <w:bCs w:val="0"/>
          <w:i w:val="0"/>
          <w:iCs w:val="0"/>
          <w:color w:val="auto"/>
          <w:sz w:val="21"/>
          <w:szCs w:val="21"/>
          <w:highlight w:val="none"/>
          <w:lang w:val="en-US" w:eastAsia="zh-CN" w:bidi="ar"/>
        </w:rPr>
        <w:br w:type="page" w:clear="all"/>
      </w:r>
    </w:p>
    <w:p w14:paraId="057D3E2B">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color w:val="auto"/>
          <w:highlight w:val="none"/>
          <w:lang w:val="en-US" w:eastAsia="zh-CN"/>
        </w:rPr>
      </w:pPr>
      <w:bookmarkStart w:id="583" w:name="_Toc30057"/>
      <w:r>
        <w:rPr>
          <w:rFonts w:hint="eastAsia" w:ascii="Times New Roman" w:hAnsi="Times New Roman" w:eastAsia="宋体" w:cs="Times New Roman"/>
          <w:color w:val="auto"/>
          <w:highlight w:val="none"/>
          <w:lang w:val="en-US" w:eastAsia="zh-CN"/>
        </w:rPr>
        <w:t>三、商务技术文件</w:t>
      </w:r>
      <w:bookmarkEnd w:id="583"/>
    </w:p>
    <w:p w14:paraId="60CE3989">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84" w:name="_Toc3577"/>
      <w:bookmarkStart w:id="585" w:name="_Toc140132831"/>
      <w:bookmarkStart w:id="586" w:name="_Toc163492915"/>
      <w:bookmarkStart w:id="587" w:name="_Toc109899489"/>
      <w:bookmarkStart w:id="588" w:name="_Toc12368"/>
      <w:bookmarkStart w:id="589" w:name="_Toc25402"/>
      <w:bookmarkStart w:id="590" w:name="_Toc109900327"/>
      <w:bookmarkStart w:id="591" w:name="_Toc155185921"/>
      <w:bookmarkStart w:id="592" w:name="_Toc109899908"/>
      <w:r>
        <w:rPr>
          <w:rFonts w:hint="eastAsia" w:ascii="Cambria" w:hAnsi="Cambria" w:eastAsia="宋体" w:cs="Times New Roman"/>
          <w:b/>
          <w:bCs/>
          <w:color w:val="auto"/>
          <w:sz w:val="32"/>
          <w:szCs w:val="32"/>
          <w:highlight w:val="none"/>
          <w:lang w:val="en-US" w:eastAsia="zh-CN" w:bidi="ar-SA"/>
        </w:rPr>
        <w:t>1、投标函</w:t>
      </w:r>
      <w:bookmarkEnd w:id="584"/>
      <w:bookmarkEnd w:id="585"/>
      <w:bookmarkEnd w:id="586"/>
      <w:bookmarkEnd w:id="587"/>
      <w:bookmarkEnd w:id="588"/>
      <w:bookmarkEnd w:id="589"/>
      <w:bookmarkEnd w:id="590"/>
      <w:bookmarkEnd w:id="591"/>
      <w:bookmarkEnd w:id="592"/>
    </w:p>
    <w:p w14:paraId="30827445">
      <w:pPr>
        <w:rPr>
          <w:color w:val="auto"/>
          <w:highlight w:val="none"/>
        </w:rPr>
      </w:pPr>
      <w:r>
        <w:rPr>
          <w:rFonts w:hint="eastAsia"/>
          <w:color w:val="auto"/>
          <w:highlight w:val="none"/>
        </w:rPr>
        <w:t>致：（采购人）</w:t>
      </w:r>
    </w:p>
    <w:p w14:paraId="2C9EC21D">
      <w:pPr>
        <w:ind w:firstLine="48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67424E4">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6E283E97">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6B5FD51F">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58C62C85">
      <w:pPr>
        <w:spacing w:line="324" w:lineRule="auto"/>
        <w:ind w:firstLine="480"/>
        <w:rPr>
          <w:rFonts w:cs="Arial"/>
          <w:color w:val="auto"/>
          <w:szCs w:val="24"/>
          <w:highlight w:val="none"/>
        </w:rPr>
      </w:pPr>
      <w:r>
        <w:rPr>
          <w:rFonts w:cs="Arial"/>
          <w:color w:val="auto"/>
          <w:szCs w:val="24"/>
          <w:highlight w:val="none"/>
        </w:rPr>
        <w:t>根据此函，签字代表宣布同意如下：</w:t>
      </w:r>
    </w:p>
    <w:p w14:paraId="5FA4B2B8">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0F872BCE">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05579E0A">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0A37B3DC">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428D9CF">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F6169B5">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4EAFAF5">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7.</w:t>
      </w:r>
      <w:r>
        <w:rPr>
          <w:rFonts w:hint="eastAsia" w:cs="Arial"/>
          <w:color w:val="auto"/>
          <w:szCs w:val="24"/>
          <w:highlight w:val="none"/>
        </w:rPr>
        <w:t>重要声明：</w:t>
      </w:r>
    </w:p>
    <w:p w14:paraId="478E56E5">
      <w:pPr>
        <w:spacing w:line="324" w:lineRule="auto"/>
        <w:ind w:firstLine="480"/>
        <w:rPr>
          <w:color w:val="auto"/>
          <w:szCs w:val="24"/>
          <w:highlight w:val="none"/>
        </w:rPr>
      </w:pPr>
      <w:r>
        <w:rPr>
          <w:rFonts w:hint="eastAsia"/>
          <w:color w:val="auto"/>
          <w:szCs w:val="24"/>
          <w:highlight w:val="none"/>
        </w:rPr>
        <w:t>1）与我方单位负责人为同一人的其他单位名称：</w:t>
      </w:r>
    </w:p>
    <w:p w14:paraId="5FA6452C">
      <w:pPr>
        <w:spacing w:line="324" w:lineRule="auto"/>
        <w:ind w:left="456" w:firstLine="355"/>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43168BF8">
      <w:pPr>
        <w:spacing w:line="324" w:lineRule="auto"/>
        <w:ind w:firstLine="480"/>
        <w:rPr>
          <w:i w:val="0"/>
          <w:iCs/>
          <w:color w:val="auto"/>
          <w:szCs w:val="24"/>
          <w:highlight w:val="none"/>
        </w:rPr>
      </w:pPr>
      <w:r>
        <w:rPr>
          <w:rFonts w:hint="eastAsia"/>
          <w:i w:val="0"/>
          <w:iCs/>
          <w:color w:val="auto"/>
          <w:szCs w:val="24"/>
          <w:highlight w:val="none"/>
        </w:rPr>
        <w:t>2）与我方存在控股、管理关系的其他单位的名称：</w:t>
      </w:r>
    </w:p>
    <w:p w14:paraId="44A534DA">
      <w:pPr>
        <w:spacing w:line="324" w:lineRule="auto"/>
        <w:ind w:left="456" w:firstLine="355"/>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40AA8F9F">
      <w:pPr>
        <w:spacing w:line="324" w:lineRule="auto"/>
        <w:ind w:firstLine="48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3EAD5C31">
      <w:pPr>
        <w:spacing w:line="324" w:lineRule="auto"/>
        <w:ind w:left="456" w:firstLine="355"/>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361D7BD3">
      <w:pPr>
        <w:spacing w:line="324" w:lineRule="auto"/>
        <w:ind w:firstLine="48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D6297DB">
      <w:pPr>
        <w:spacing w:line="324" w:lineRule="auto"/>
        <w:ind w:firstLine="48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751CD00">
      <w:pPr>
        <w:spacing w:line="324" w:lineRule="auto"/>
        <w:ind w:firstLine="480"/>
        <w:rPr>
          <w:color w:val="auto"/>
          <w:szCs w:val="24"/>
          <w:highlight w:val="none"/>
        </w:rPr>
      </w:pPr>
      <w:r>
        <w:rPr>
          <w:rFonts w:hint="eastAsia"/>
          <w:color w:val="auto"/>
          <w:szCs w:val="24"/>
          <w:highlight w:val="none"/>
        </w:rPr>
        <w:t>5）</w:t>
      </w:r>
      <w:bookmarkStart w:id="593" w:name="_Hlk161604053"/>
      <w:r>
        <w:rPr>
          <w:rFonts w:hint="eastAsia"/>
          <w:color w:val="auto"/>
          <w:szCs w:val="24"/>
          <w:highlight w:val="none"/>
        </w:rPr>
        <w:t>我方承诺本《投标函》的签章对本投标文件全部内容具有约束力并承担法律责任。</w:t>
      </w:r>
      <w:bookmarkEnd w:id="593"/>
    </w:p>
    <w:p w14:paraId="3B286FFF">
      <w:pPr>
        <w:spacing w:line="300" w:lineRule="auto"/>
        <w:rPr>
          <w:rFonts w:cs="Arial"/>
          <w:color w:val="auto"/>
          <w:szCs w:val="24"/>
          <w:highlight w:val="none"/>
        </w:rPr>
      </w:pPr>
    </w:p>
    <w:p w14:paraId="73EDD9E1">
      <w:pPr>
        <w:spacing w:line="300" w:lineRule="auto"/>
        <w:rPr>
          <w:rFonts w:cs="Arial"/>
          <w:color w:val="auto"/>
          <w:szCs w:val="24"/>
          <w:highlight w:val="none"/>
        </w:rPr>
      </w:pPr>
    </w:p>
    <w:p w14:paraId="61F76D3E">
      <w:pPr>
        <w:spacing w:line="300" w:lineRule="auto"/>
        <w:rPr>
          <w:rFonts w:cs="Arial"/>
          <w:color w:val="auto"/>
          <w:szCs w:val="24"/>
          <w:highlight w:val="none"/>
        </w:rPr>
      </w:pPr>
    </w:p>
    <w:p w14:paraId="48D13C40">
      <w:pPr>
        <w:ind w:firstLine="480"/>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highlight w:val="none"/>
          <w:lang w:val="zh-CN"/>
        </w:rPr>
        <w:t>：</w:t>
      </w:r>
    </w:p>
    <w:p w14:paraId="2D209FA1">
      <w:pPr>
        <w:ind w:firstLine="48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法定代表人或授权代表（签字或印章）：</w:t>
      </w:r>
    </w:p>
    <w:p w14:paraId="2A049E22">
      <w:pPr>
        <w:ind w:firstLine="480"/>
        <w:rPr>
          <w:rFonts w:cs="宋体"/>
          <w:color w:val="auto"/>
          <w:highlight w:val="none"/>
        </w:rPr>
      </w:pPr>
      <w:r>
        <w:rPr>
          <w:rFonts w:hint="eastAsia" w:cs="宋体"/>
          <w:color w:val="auto"/>
          <w:highlight w:val="none"/>
        </w:rPr>
        <w:t>通  讯  地  址：</w:t>
      </w:r>
    </w:p>
    <w:p w14:paraId="74F7EB1F">
      <w:pPr>
        <w:ind w:firstLine="48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48F32D12">
      <w:pPr>
        <w:ind w:firstLine="480"/>
        <w:rPr>
          <w:rFonts w:cs="宋体"/>
          <w:color w:val="auto"/>
          <w:highlight w:val="none"/>
        </w:rPr>
      </w:pPr>
      <w:r>
        <w:rPr>
          <w:rFonts w:hint="eastAsia" w:cs="宋体"/>
          <w:color w:val="auto"/>
          <w:highlight w:val="none"/>
        </w:rPr>
        <w:t>电          话：</w:t>
      </w:r>
    </w:p>
    <w:p w14:paraId="405A9FB9">
      <w:pPr>
        <w:ind w:firstLine="48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2F2E3C82">
      <w:pPr>
        <w:rPr>
          <w:rFonts w:cs="Arial"/>
          <w:color w:val="auto"/>
          <w:szCs w:val="24"/>
          <w:highlight w:val="none"/>
          <w:u w:val="single"/>
        </w:rPr>
      </w:pPr>
    </w:p>
    <w:p w14:paraId="732138FB">
      <w:pPr>
        <w:rPr>
          <w:rFonts w:cs="Arial"/>
          <w:color w:val="auto"/>
          <w:szCs w:val="24"/>
          <w:highlight w:val="none"/>
          <w:u w:val="single"/>
        </w:rPr>
      </w:pPr>
    </w:p>
    <w:p w14:paraId="1D14C804">
      <w:pPr>
        <w:rPr>
          <w:rFonts w:cs="Arial"/>
          <w:color w:val="auto"/>
          <w:szCs w:val="24"/>
          <w:highlight w:val="none"/>
          <w:u w:val="single"/>
        </w:rPr>
      </w:pPr>
    </w:p>
    <w:p w14:paraId="58AE59B0">
      <w:pPr>
        <w:rPr>
          <w:rFonts w:cs="Arial"/>
          <w:color w:val="auto"/>
          <w:szCs w:val="24"/>
          <w:highlight w:val="none"/>
          <w:u w:val="single"/>
        </w:rPr>
      </w:pPr>
    </w:p>
    <w:p w14:paraId="5DAAB8B1">
      <w:pPr>
        <w:rPr>
          <w:rFonts w:cs="Arial"/>
          <w:color w:val="auto"/>
          <w:szCs w:val="24"/>
          <w:highlight w:val="none"/>
          <w:u w:val="single"/>
        </w:rPr>
      </w:pPr>
    </w:p>
    <w:p w14:paraId="6EAFB13D">
      <w:pPr>
        <w:rPr>
          <w:rFonts w:cs="Arial"/>
          <w:color w:val="auto"/>
          <w:szCs w:val="24"/>
          <w:highlight w:val="none"/>
          <w:u w:val="single"/>
        </w:rPr>
      </w:pPr>
    </w:p>
    <w:p w14:paraId="27229456">
      <w:pPr>
        <w:rPr>
          <w:rFonts w:cs="Arial"/>
          <w:color w:val="auto"/>
          <w:szCs w:val="24"/>
          <w:highlight w:val="none"/>
          <w:u w:val="single"/>
        </w:rPr>
      </w:pPr>
    </w:p>
    <w:p w14:paraId="0E8DC8AA">
      <w:pPr>
        <w:rPr>
          <w:rFonts w:cs="Arial"/>
          <w:color w:val="auto"/>
          <w:szCs w:val="24"/>
          <w:highlight w:val="none"/>
          <w:u w:val="single"/>
        </w:rPr>
      </w:pPr>
    </w:p>
    <w:p w14:paraId="13CF53FF">
      <w:pPr>
        <w:rPr>
          <w:rFonts w:cs="Arial"/>
          <w:color w:val="auto"/>
          <w:szCs w:val="24"/>
          <w:highlight w:val="none"/>
          <w:u w:val="single"/>
        </w:rPr>
      </w:pPr>
    </w:p>
    <w:p w14:paraId="2AC4B205">
      <w:pPr>
        <w:rPr>
          <w:rFonts w:cs="Arial"/>
          <w:color w:val="auto"/>
          <w:szCs w:val="24"/>
          <w:highlight w:val="none"/>
          <w:u w:val="single"/>
        </w:rPr>
      </w:pPr>
    </w:p>
    <w:p w14:paraId="4299F6B3">
      <w:pPr>
        <w:rPr>
          <w:rFonts w:cs="Arial"/>
          <w:color w:val="auto"/>
          <w:szCs w:val="24"/>
          <w:highlight w:val="none"/>
          <w:u w:val="single"/>
        </w:rPr>
      </w:pPr>
    </w:p>
    <w:p w14:paraId="63EA112A">
      <w:pPr>
        <w:rPr>
          <w:rFonts w:cs="Arial"/>
          <w:color w:val="auto"/>
          <w:szCs w:val="24"/>
          <w:highlight w:val="none"/>
          <w:u w:val="single"/>
        </w:rPr>
      </w:pPr>
    </w:p>
    <w:p w14:paraId="596707FD">
      <w:pPr>
        <w:rPr>
          <w:rFonts w:cs="Arial"/>
          <w:color w:val="auto"/>
          <w:szCs w:val="24"/>
          <w:highlight w:val="none"/>
          <w:u w:val="single"/>
        </w:rPr>
      </w:pPr>
    </w:p>
    <w:p w14:paraId="7AD3861E">
      <w:pPr>
        <w:rPr>
          <w:rFonts w:cs="Arial"/>
          <w:color w:val="auto"/>
          <w:szCs w:val="24"/>
          <w:highlight w:val="none"/>
          <w:u w:val="single"/>
        </w:rPr>
      </w:pPr>
    </w:p>
    <w:p w14:paraId="201685EC">
      <w:pPr>
        <w:rPr>
          <w:rFonts w:cs="Arial"/>
          <w:color w:val="auto"/>
          <w:szCs w:val="24"/>
          <w:highlight w:val="none"/>
          <w:u w:val="single"/>
        </w:rPr>
      </w:pPr>
    </w:p>
    <w:p w14:paraId="4456A017">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4" w:name="_Toc163492918"/>
      <w:bookmarkStart w:id="595" w:name="_Toc155185924"/>
      <w:bookmarkStart w:id="596" w:name="_Toc7750"/>
      <w:r>
        <w:rPr>
          <w:rFonts w:hint="eastAsia" w:cs="Times New Roman"/>
          <w:b/>
          <w:bCs/>
          <w:color w:val="auto"/>
          <w:sz w:val="32"/>
          <w:szCs w:val="32"/>
          <w:highlight w:val="none"/>
          <w:lang w:val="en-US" w:eastAsia="zh-CN" w:bidi="ar-SA"/>
        </w:rPr>
        <w:t>2</w:t>
      </w:r>
      <w:r>
        <w:rPr>
          <w:rFonts w:hint="eastAsia" w:ascii="Cambria" w:hAnsi="Cambria" w:eastAsia="宋体" w:cs="Times New Roman"/>
          <w:b/>
          <w:bCs/>
          <w:color w:val="auto"/>
          <w:sz w:val="32"/>
          <w:szCs w:val="32"/>
          <w:highlight w:val="none"/>
          <w:lang w:val="en-US" w:eastAsia="zh-CN" w:bidi="ar-SA"/>
        </w:rPr>
        <w:t>、法定代表人（单位负责人）身份证明</w:t>
      </w:r>
      <w:bookmarkEnd w:id="594"/>
      <w:bookmarkEnd w:id="595"/>
      <w:bookmarkEnd w:id="596"/>
    </w:p>
    <w:p w14:paraId="70A77916">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5CBCA650">
      <w:pPr>
        <w:spacing w:line="480" w:lineRule="auto"/>
        <w:ind w:firstLine="96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4C733E79">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45DE08D1">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6099E2D3">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17397BC8">
      <w:pPr>
        <w:spacing w:line="480" w:lineRule="auto"/>
        <w:ind w:firstLine="480"/>
        <w:rPr>
          <w:rFonts w:cs="仿宋_GB2312"/>
          <w:color w:val="auto"/>
          <w:szCs w:val="24"/>
          <w:highlight w:val="none"/>
        </w:rPr>
      </w:pPr>
    </w:p>
    <w:p w14:paraId="43C5BF59">
      <w:pPr>
        <w:rPr>
          <w:rFonts w:cs="Arial"/>
          <w:color w:val="auto"/>
          <w:sz w:val="21"/>
          <w:szCs w:val="21"/>
          <w:highlight w:val="none"/>
        </w:rPr>
      </w:pP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D7B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noWrap w:val="0"/>
            <w:vAlign w:val="top"/>
          </w:tcPr>
          <w:p w14:paraId="1EF8D102">
            <w:pPr>
              <w:rPr>
                <w:rFonts w:cs="Arial"/>
                <w:color w:val="auto"/>
                <w:highlight w:val="none"/>
              </w:rPr>
            </w:pPr>
          </w:p>
        </w:tc>
      </w:tr>
    </w:tbl>
    <w:p w14:paraId="25C900C9">
      <w:pPr>
        <w:ind w:firstLine="840"/>
        <w:jc w:val="center"/>
        <w:rPr>
          <w:rFonts w:cs="Arial"/>
          <w:color w:val="auto"/>
          <w:highlight w:val="none"/>
        </w:rPr>
      </w:pPr>
    </w:p>
    <w:p w14:paraId="72B4C200">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59F3F4FB">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 </w:t>
      </w:r>
    </w:p>
    <w:p w14:paraId="7928E4AB">
      <w:pPr>
        <w:keepNext w:val="0"/>
        <w:keepLines w:val="0"/>
        <w:widowControl/>
        <w:suppressLineNumbers w:val="0"/>
        <w:jc w:val="left"/>
        <w:rPr>
          <w:rFonts w:hint="eastAsia" w:ascii="宋体" w:hAnsi="宋体" w:eastAsia="宋体" w:cs="宋体"/>
          <w:color w:val="auto"/>
          <w:sz w:val="24"/>
          <w:szCs w:val="24"/>
          <w:highlight w:val="none"/>
          <w:lang w:val="en-US" w:eastAsia="zh-CN" w:bidi="ar"/>
        </w:rPr>
      </w:pPr>
    </w:p>
    <w:p w14:paraId="6DE4B3F6">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日</w:t>
      </w:r>
    </w:p>
    <w:p w14:paraId="73DFAC7C">
      <w:pPr>
        <w:rPr>
          <w:b/>
          <w:color w:val="auto"/>
          <w:sz w:val="28"/>
          <w:szCs w:val="28"/>
          <w:highlight w:val="none"/>
        </w:rPr>
      </w:pPr>
    </w:p>
    <w:p w14:paraId="59E5AA97">
      <w:pPr>
        <w:rPr>
          <w:b/>
          <w:color w:val="auto"/>
          <w:sz w:val="28"/>
          <w:szCs w:val="28"/>
          <w:highlight w:val="none"/>
        </w:rPr>
      </w:pPr>
      <w:r>
        <w:rPr>
          <w:b/>
          <w:color w:val="auto"/>
          <w:sz w:val="28"/>
          <w:szCs w:val="28"/>
          <w:highlight w:val="none"/>
        </w:rPr>
        <w:br w:type="page" w:clear="all"/>
      </w:r>
    </w:p>
    <w:p w14:paraId="2CCCBE19">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7" w:name="_Toc6993"/>
      <w:bookmarkStart w:id="598" w:name="_Toc155185925"/>
      <w:bookmarkStart w:id="599" w:name="_Toc163492919"/>
      <w:r>
        <w:rPr>
          <w:rFonts w:hint="eastAsia" w:cs="Times New Roman"/>
          <w:b/>
          <w:bCs/>
          <w:color w:val="auto"/>
          <w:sz w:val="32"/>
          <w:szCs w:val="32"/>
          <w:highlight w:val="none"/>
          <w:lang w:val="en-US" w:eastAsia="zh-CN" w:bidi="ar-SA"/>
        </w:rPr>
        <w:t>3</w:t>
      </w:r>
      <w:r>
        <w:rPr>
          <w:rFonts w:hint="eastAsia" w:ascii="Cambria" w:hAnsi="Cambria" w:eastAsia="宋体" w:cs="Times New Roman"/>
          <w:b/>
          <w:bCs/>
          <w:color w:val="auto"/>
          <w:sz w:val="32"/>
          <w:szCs w:val="32"/>
          <w:highlight w:val="none"/>
          <w:lang w:val="en-US" w:eastAsia="zh-CN" w:bidi="ar-SA"/>
        </w:rPr>
        <w:t>、授权委托书</w:t>
      </w:r>
      <w:bookmarkEnd w:id="597"/>
      <w:bookmarkEnd w:id="598"/>
      <w:bookmarkEnd w:id="599"/>
    </w:p>
    <w:p w14:paraId="61D26FF3">
      <w:pPr>
        <w:ind w:firstLine="48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3174DCAC">
      <w:pPr>
        <w:ind w:firstLine="48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490FA805">
      <w:pPr>
        <w:ind w:firstLine="480"/>
        <w:rPr>
          <w:rFonts w:cs="仿宋_GB2312"/>
          <w:color w:val="auto"/>
          <w:szCs w:val="24"/>
          <w:highlight w:val="none"/>
        </w:rPr>
      </w:pPr>
      <w:r>
        <w:rPr>
          <w:rFonts w:hint="eastAsia" w:cs="仿宋_GB2312"/>
          <w:color w:val="auto"/>
          <w:szCs w:val="24"/>
          <w:highlight w:val="none"/>
        </w:rPr>
        <w:t>代理人无转委托权。</w:t>
      </w:r>
    </w:p>
    <w:p w14:paraId="45A30068">
      <w:pPr>
        <w:keepNext w:val="0"/>
        <w:keepLines w:val="0"/>
        <w:pageBreakBefore w:val="0"/>
        <w:widowControl w:val="0"/>
        <w:bidi w:val="0"/>
        <w:spacing w:line="240" w:lineRule="exact"/>
        <w:ind w:firstLine="480"/>
        <w:rPr>
          <w:rFonts w:hint="eastAsia" w:cs="仿宋_GB2312"/>
          <w:color w:val="auto"/>
          <w:szCs w:val="24"/>
          <w:highlight w:val="none"/>
        </w:rPr>
      </w:pPr>
    </w:p>
    <w:p w14:paraId="06812F37">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4DCD6E04">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p>
    <w:p w14:paraId="10798ED1">
      <w:pPr>
        <w:keepNext w:val="0"/>
        <w:keepLines w:val="0"/>
        <w:pageBreakBefore w:val="0"/>
        <w:widowControl/>
        <w:suppressLineNumbers w:val="0"/>
        <w:bidi w:val="0"/>
        <w:jc w:val="left"/>
        <w:rPr>
          <w:rFonts w:hint="default"/>
          <w:color w:val="auto"/>
          <w:highlight w:val="none"/>
          <w:lang w:val="en-US"/>
        </w:rPr>
      </w:pPr>
      <w:r>
        <w:rPr>
          <w:rFonts w:hint="eastAsia" w:ascii="宋体" w:hAnsi="宋体" w:eastAsia="宋体" w:cs="宋体"/>
          <w:color w:val="auto"/>
          <w:sz w:val="24"/>
          <w:szCs w:val="24"/>
          <w:highlight w:val="none"/>
          <w:lang w:val="en-US" w:eastAsia="zh-CN" w:bidi="ar"/>
        </w:rPr>
        <w:t>委托代理人（签字或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r>
        <w:rPr>
          <w:rFonts w:hint="eastAsia" w:ascii="DejaVuSans" w:hAnsi="DejaVuSans" w:eastAsia="DejaVuSans" w:cs="DejaVuSans"/>
          <w:color w:val="auto"/>
          <w:sz w:val="24"/>
          <w:szCs w:val="24"/>
          <w:highlight w:val="none"/>
          <w:lang w:val="en-US" w:eastAsia="zh-CN" w:bidi="ar"/>
        </w:rPr>
        <w:t xml:space="preserve">   联系电话：</w:t>
      </w:r>
      <w:r>
        <w:rPr>
          <w:rFonts w:hint="default" w:ascii="DejaVuSans" w:hAnsi="DejaVuSans" w:eastAsia="DejaVuSans" w:cs="DejaVuSans"/>
          <w:color w:val="auto"/>
          <w:sz w:val="24"/>
          <w:szCs w:val="24"/>
          <w:highlight w:val="none"/>
          <w:lang w:val="en-US" w:eastAsia="zh-CN" w:bidi="ar"/>
        </w:rPr>
        <w:t>________</w:t>
      </w:r>
    </w:p>
    <w:p w14:paraId="44195D81">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 xml:space="preserve">日 </w:t>
      </w:r>
    </w:p>
    <w:p w14:paraId="1E3C564A">
      <w:pPr>
        <w:keepNext w:val="0"/>
        <w:keepLines w:val="0"/>
        <w:pageBreakBefore w:val="0"/>
        <w:widowControl w:val="0"/>
        <w:bidi w:val="0"/>
        <w:spacing w:line="240" w:lineRule="exact"/>
        <w:ind w:firstLine="480"/>
        <w:rPr>
          <w:rFonts w:hint="eastAsia" w:cs="仿宋_GB2312"/>
          <w:color w:val="auto"/>
          <w:szCs w:val="24"/>
          <w:highlight w:val="none"/>
          <w:lang w:val="en-US" w:eastAsia="zh-CN"/>
        </w:rPr>
      </w:pPr>
    </w:p>
    <w:p w14:paraId="5CA02777">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 xml:space="preserve">附：法定代表人及委托代理人身份证明文件电子件：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3E5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noWrap w:val="0"/>
            <w:vAlign w:val="top"/>
          </w:tcPr>
          <w:p w14:paraId="3AF57806">
            <w:pPr>
              <w:rPr>
                <w:rFonts w:cs="Arial"/>
                <w:color w:val="auto"/>
                <w:highlight w:val="none"/>
              </w:rPr>
            </w:pPr>
          </w:p>
        </w:tc>
      </w:tr>
    </w:tbl>
    <w:p w14:paraId="00664C3E">
      <w:pPr>
        <w:ind w:firstLine="48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1883B93">
      <w:pPr>
        <w:ind w:firstLine="48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5EAB4F6F">
      <w:pPr>
        <w:ind w:firstLine="48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5A11A3B">
      <w:pPr>
        <w:ind w:firstLine="48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55945292">
      <w:pPr>
        <w:ind w:firstLine="48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5B80AD55">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0" w:name="_Toc155185934"/>
      <w:bookmarkStart w:id="601" w:name="_Toc163492928"/>
      <w:bookmarkStart w:id="602" w:name="_Toc9885"/>
      <w:r>
        <w:rPr>
          <w:rFonts w:hint="eastAsia" w:ascii="Cambria" w:hAnsi="Cambria" w:eastAsia="宋体" w:cs="Times New Roman"/>
          <w:b/>
          <w:bCs/>
          <w:color w:val="auto"/>
          <w:sz w:val="32"/>
          <w:szCs w:val="32"/>
          <w:highlight w:val="none"/>
          <w:lang w:val="en-US" w:eastAsia="zh-CN" w:bidi="ar-SA"/>
        </w:rPr>
        <w:t>4、</w:t>
      </w:r>
      <w:bookmarkEnd w:id="600"/>
      <w:bookmarkEnd w:id="601"/>
      <w:bookmarkStart w:id="603" w:name="_Toc163492929"/>
      <w:r>
        <w:rPr>
          <w:rFonts w:hint="eastAsia" w:ascii="Cambria" w:hAnsi="Cambria" w:eastAsia="宋体" w:cs="Times New Roman"/>
          <w:b/>
          <w:bCs/>
          <w:color w:val="auto"/>
          <w:sz w:val="32"/>
          <w:szCs w:val="32"/>
          <w:highlight w:val="none"/>
          <w:lang w:val="zh-CN" w:eastAsia="zh-CN" w:bidi="ar-SA"/>
        </w:rPr>
        <w:t>政府采购</w:t>
      </w:r>
      <w:r>
        <w:rPr>
          <w:rFonts w:hint="eastAsia" w:ascii="Cambria" w:hAnsi="Cambria" w:eastAsia="宋体" w:cs="Times New Roman"/>
          <w:b/>
          <w:bCs/>
          <w:color w:val="auto"/>
          <w:sz w:val="32"/>
          <w:szCs w:val="32"/>
          <w:highlight w:val="none"/>
          <w:lang w:val="en-US" w:eastAsia="zh-CN" w:bidi="ar-SA"/>
        </w:rPr>
        <w:t>投标人</w:t>
      </w:r>
      <w:r>
        <w:rPr>
          <w:rFonts w:hint="eastAsia" w:ascii="Cambria" w:hAnsi="Cambria" w:eastAsia="宋体" w:cs="Times New Roman"/>
          <w:b/>
          <w:bCs/>
          <w:color w:val="auto"/>
          <w:sz w:val="32"/>
          <w:szCs w:val="32"/>
          <w:highlight w:val="none"/>
          <w:lang w:val="zh-CN" w:eastAsia="zh-CN" w:bidi="ar-SA"/>
        </w:rPr>
        <w:t>廉洁自律承诺书</w:t>
      </w:r>
      <w:bookmarkEnd w:id="602"/>
    </w:p>
    <w:p w14:paraId="455EBDB8">
      <w:pPr>
        <w:pStyle w:val="10"/>
        <w:rPr>
          <w:color w:val="auto"/>
          <w:highlight w:val="none"/>
        </w:rPr>
      </w:pPr>
    </w:p>
    <w:p w14:paraId="102BC7F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sz w:val="24"/>
          <w:szCs w:val="24"/>
          <w:highlight w:val="none"/>
          <w:lang w:val="zh-CN"/>
        </w:rPr>
        <w:t>：</w:t>
      </w:r>
    </w:p>
    <w:p w14:paraId="2E598BFD">
      <w:pPr>
        <w:spacing w:line="360" w:lineRule="auto"/>
        <w:ind w:left="2" w:firstLine="48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sz w:val="24"/>
          <w:szCs w:val="24"/>
          <w:highlight w:val="none"/>
          <w:lang w:val="zh-CN"/>
        </w:rPr>
        <w:t>项目招标</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lang w:val="zh-CN"/>
        </w:rPr>
        <w:t>要求参加投标。在这次投标过程中和中标后，我们将严格遵守国家法律法规要求，并郑重承诺：</w:t>
      </w:r>
    </w:p>
    <w:p w14:paraId="7C2CF88F">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一、不向项目有关人员及部门赠送礼金礼物、有价证券、回扣以及中介费、介绍费、咨询费等好处费； </w:t>
      </w:r>
    </w:p>
    <w:p w14:paraId="559B00F5">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二、不为项目有关人员及部门报销应由你方单位或个人支付的费用； </w:t>
      </w:r>
    </w:p>
    <w:p w14:paraId="05D4FC6B">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三、不向项目有关人员及部门提供有可能影响公正的宴请和健身娱乐等活动；</w:t>
      </w:r>
    </w:p>
    <w:p w14:paraId="507F74BB">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四、不为项目有关人员及部门出国（境）、旅游等提供方便；</w:t>
      </w:r>
    </w:p>
    <w:p w14:paraId="2A5ADD91">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五、不为项目有关人员个人装修住房、婚丧嫁娶、配偶子女工作安排等提供好处；</w:t>
      </w:r>
    </w:p>
    <w:p w14:paraId="1B4C7CFC">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六、严格遵守《中华人民共和国政府采购法》《中华人民共和国政府采购法</w:t>
      </w:r>
      <w:r>
        <w:rPr>
          <w:rFonts w:hint="eastAsia" w:cs="宋体"/>
          <w:color w:val="auto"/>
          <w:sz w:val="24"/>
          <w:szCs w:val="24"/>
          <w:highlight w:val="none"/>
          <w:lang w:val="en-US" w:eastAsia="zh-CN"/>
        </w:rPr>
        <w:t>实施条例</w:t>
      </w:r>
      <w:r>
        <w:rPr>
          <w:rFonts w:hint="eastAsia" w:ascii="宋体" w:hAnsi="宋体" w:cs="宋体"/>
          <w:color w:val="auto"/>
          <w:sz w:val="24"/>
          <w:szCs w:val="24"/>
          <w:highlight w:val="none"/>
          <w:lang w:val="zh-CN"/>
        </w:rPr>
        <w:t xml:space="preserve">》《中华人民共和国民法典》等法律法规，诚实守信，合法经营，坚决抵制各种违法违纪行为。 </w:t>
      </w:r>
    </w:p>
    <w:p w14:paraId="6B1CE504">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sz w:val="24"/>
          <w:szCs w:val="24"/>
          <w:highlight w:val="none"/>
          <w:lang w:val="en-US" w:eastAsia="zh-CN"/>
        </w:rPr>
        <w:t>兵团</w:t>
      </w:r>
      <w:r>
        <w:rPr>
          <w:rFonts w:hint="eastAsia" w:ascii="宋体" w:hAnsi="宋体" w:cs="宋体"/>
          <w:color w:val="auto"/>
          <w:sz w:val="24"/>
          <w:szCs w:val="24"/>
          <w:highlight w:val="none"/>
          <w:lang w:val="zh-CN"/>
        </w:rPr>
        <w:t>财政局。由此引起的相应损失均由我单位承担。</w:t>
      </w:r>
    </w:p>
    <w:p w14:paraId="019D286F">
      <w:pPr>
        <w:spacing w:line="360" w:lineRule="auto"/>
        <w:ind w:left="2"/>
        <w:jc w:val="left"/>
        <w:rPr>
          <w:rFonts w:ascii="宋体" w:hAnsi="宋体" w:cs="宋体"/>
          <w:color w:val="auto"/>
          <w:sz w:val="24"/>
          <w:szCs w:val="24"/>
          <w:highlight w:val="none"/>
          <w:lang w:val="zh-CN"/>
        </w:rPr>
      </w:pPr>
    </w:p>
    <w:p w14:paraId="0D1A1AF6">
      <w:pPr>
        <w:spacing w:line="360" w:lineRule="auto"/>
        <w:ind w:left="2"/>
        <w:jc w:val="left"/>
        <w:rPr>
          <w:rFonts w:ascii="宋体" w:hAnsi="宋体" w:cs="宋体"/>
          <w:color w:val="auto"/>
          <w:sz w:val="24"/>
          <w:szCs w:val="24"/>
          <w:highlight w:val="none"/>
          <w:lang w:val="zh-CN"/>
        </w:rPr>
      </w:pPr>
    </w:p>
    <w:p w14:paraId="7E748C53">
      <w:pPr>
        <w:spacing w:line="360" w:lineRule="auto"/>
        <w:ind w:left="2"/>
        <w:jc w:val="left"/>
        <w:rPr>
          <w:rFonts w:ascii="宋体" w:hAnsi="宋体" w:cs="宋体"/>
          <w:color w:val="auto"/>
          <w:sz w:val="24"/>
          <w:szCs w:val="24"/>
          <w:highlight w:val="none"/>
          <w:lang w:val="zh-CN"/>
        </w:rPr>
      </w:pPr>
    </w:p>
    <w:p w14:paraId="65F1B12E">
      <w:pPr>
        <w:spacing w:line="360" w:lineRule="auto"/>
        <w:ind w:left="2" w:right="1120" w:firstLine="456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szCs w:val="24"/>
          <w:highlight w:val="none"/>
          <w:lang w:val="zh-CN"/>
        </w:rPr>
        <w:t xml:space="preserve">：                                                                                                                                                                                                               </w:t>
      </w:r>
    </w:p>
    <w:p w14:paraId="29D28766">
      <w:pPr>
        <w:ind w:firstLine="4560"/>
        <w:rPr>
          <w:rFonts w:hint="eastAsia" w:ascii="Cambria" w:hAnsi="Cambria" w:eastAsia="宋体" w:cs="Times New Roman"/>
          <w:b/>
          <w:bCs/>
          <w:color w:val="auto"/>
          <w:sz w:val="24"/>
          <w:szCs w:val="24"/>
          <w:highlight w:val="none"/>
          <w:lang w:val="en-US" w:eastAsia="zh-CN" w:bidi="ar-SA"/>
        </w:rPr>
      </w:pPr>
      <w:r>
        <w:rPr>
          <w:rFonts w:hint="eastAsia" w:ascii="宋体" w:hAnsi="宋体" w:cs="宋体"/>
          <w:color w:val="auto"/>
          <w:sz w:val="24"/>
          <w:szCs w:val="24"/>
          <w:highlight w:val="none"/>
          <w:lang w:val="zh-CN"/>
        </w:rPr>
        <w:t>日期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 xml:space="preserve">   年   月   日</w:t>
      </w:r>
    </w:p>
    <w:p w14:paraId="15155438">
      <w:pPr>
        <w:rPr>
          <w:rFonts w:hint="eastAsia" w:ascii="Cambria" w:hAnsi="Cambria" w:eastAsia="宋体" w:cs="Times New Roman"/>
          <w:b/>
          <w:bCs/>
          <w:color w:val="auto"/>
          <w:sz w:val="24"/>
          <w:szCs w:val="24"/>
          <w:highlight w:val="none"/>
          <w:lang w:val="en-US" w:eastAsia="zh-CN" w:bidi="ar-SA"/>
        </w:rPr>
      </w:pPr>
    </w:p>
    <w:p w14:paraId="1BC5FB9B">
      <w:pPr>
        <w:rPr>
          <w:rFonts w:hint="eastAsia" w:ascii="Cambria" w:hAnsi="Cambria" w:eastAsia="宋体" w:cs="Times New Roman"/>
          <w:b/>
          <w:bCs/>
          <w:color w:val="auto"/>
          <w:sz w:val="24"/>
          <w:szCs w:val="24"/>
          <w:highlight w:val="none"/>
          <w:lang w:val="en-US" w:eastAsia="zh-CN" w:bidi="ar-SA"/>
        </w:rPr>
      </w:pPr>
    </w:p>
    <w:p w14:paraId="5E155C40">
      <w:pPr>
        <w:rPr>
          <w:rFonts w:hint="eastAsia" w:ascii="Cambria" w:hAnsi="Cambria" w:eastAsia="宋体" w:cs="Times New Roman"/>
          <w:b/>
          <w:bCs/>
          <w:color w:val="auto"/>
          <w:sz w:val="24"/>
          <w:szCs w:val="24"/>
          <w:highlight w:val="none"/>
          <w:lang w:val="en-US" w:eastAsia="zh-CN" w:bidi="ar-SA"/>
        </w:rPr>
      </w:pPr>
    </w:p>
    <w:p w14:paraId="19E9526D">
      <w:pPr>
        <w:rPr>
          <w:rFonts w:hint="eastAsia" w:ascii="Cambria" w:hAnsi="Cambria" w:eastAsia="宋体" w:cs="Times New Roman"/>
          <w:b/>
          <w:bCs/>
          <w:color w:val="auto"/>
          <w:sz w:val="24"/>
          <w:szCs w:val="24"/>
          <w:highlight w:val="none"/>
          <w:lang w:val="en-US" w:eastAsia="zh-CN" w:bidi="ar-SA"/>
        </w:rPr>
      </w:pPr>
    </w:p>
    <w:p w14:paraId="48C58C49">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4" w:name="_Toc14309"/>
      <w:r>
        <w:rPr>
          <w:rFonts w:hint="eastAsia" w:ascii="Cambria" w:hAnsi="Cambria" w:eastAsia="宋体" w:cs="Times New Roman"/>
          <w:b/>
          <w:bCs/>
          <w:color w:val="auto"/>
          <w:sz w:val="32"/>
          <w:szCs w:val="32"/>
          <w:highlight w:val="none"/>
          <w:lang w:val="en-US" w:eastAsia="zh-CN" w:bidi="ar-SA"/>
        </w:rPr>
        <w:t>5、不参与围标串标承诺书</w:t>
      </w:r>
      <w:bookmarkEnd w:id="604"/>
    </w:p>
    <w:p w14:paraId="1668F499">
      <w:pPr>
        <w:bidi w:val="0"/>
        <w:rPr>
          <w:rFonts w:hint="eastAsia"/>
          <w:color w:val="auto"/>
          <w:highlight w:val="none"/>
          <w:lang w:val="en-US" w:eastAsia="zh-CN"/>
        </w:rPr>
      </w:pPr>
    </w:p>
    <w:p w14:paraId="2BCEE415">
      <w:pPr>
        <w:jc w:val="center"/>
        <w:rPr>
          <w:rFonts w:hint="eastAsia"/>
          <w:color w:val="auto"/>
          <w:highlight w:val="none"/>
          <w:lang w:val="en-US" w:eastAsia="zh-CN"/>
        </w:rPr>
      </w:pPr>
      <w:r>
        <w:rPr>
          <w:rFonts w:hint="eastAsia" w:cs="Times New Roman"/>
          <w:b/>
          <w:bCs/>
          <w:color w:val="auto"/>
          <w:sz w:val="32"/>
          <w:szCs w:val="32"/>
          <w:highlight w:val="none"/>
          <w:lang w:val="en-US" w:eastAsia="zh-CN" w:bidi="ar-SA"/>
        </w:rPr>
        <w:t>不参与围标串标承诺书</w:t>
      </w:r>
    </w:p>
    <w:p w14:paraId="71836927">
      <w:pPr>
        <w:rPr>
          <w:rFonts w:hint="eastAsia"/>
          <w:color w:val="auto"/>
          <w:highlight w:val="none"/>
          <w:lang w:val="en-US" w:eastAsia="zh-CN"/>
        </w:rPr>
      </w:pPr>
      <w:r>
        <w:rPr>
          <w:rFonts w:hint="eastAsia"/>
          <w:color w:val="auto"/>
          <w:highlight w:val="none"/>
          <w:lang w:val="en-US" w:eastAsia="zh-CN"/>
        </w:rPr>
        <w:t>  </w:t>
      </w:r>
    </w:p>
    <w:p w14:paraId="58B00A07">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0C407EBD">
      <w:pPr>
        <w:keepNext w:val="0"/>
        <w:keepLines w:val="0"/>
        <w:pageBreakBefore w:val="0"/>
        <w:widowControl w:val="0"/>
        <w:bidi w:val="0"/>
        <w:ind w:firstLine="480"/>
        <w:rPr>
          <w:rFonts w:hint="eastAsia"/>
          <w:color w:val="auto"/>
          <w:highlight w:val="none"/>
          <w:lang w:val="en-US" w:eastAsia="zh-CN"/>
        </w:rPr>
      </w:pPr>
    </w:p>
    <w:p w14:paraId="52B0BD70">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2B484815">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44A87396">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8FD6A36">
      <w:pPr>
        <w:pStyle w:val="10"/>
        <w:rPr>
          <w:rFonts w:hint="eastAsia"/>
          <w:color w:val="auto"/>
          <w:highlight w:val="none"/>
          <w:lang w:val="en-US" w:eastAsia="zh-CN"/>
        </w:rPr>
      </w:pPr>
    </w:p>
    <w:p w14:paraId="358A7D0D">
      <w:pPr>
        <w:spacing w:line="560" w:lineRule="exact"/>
        <w:rPr>
          <w:rFonts w:hint="eastAsia" w:ascii="宋体" w:hAnsi="宋体" w:eastAsia="宋体" w:cs="宋体"/>
          <w:color w:val="auto"/>
          <w:sz w:val="24"/>
          <w:szCs w:val="24"/>
          <w:highlight w:val="none"/>
        </w:rPr>
      </w:pPr>
    </w:p>
    <w:p w14:paraId="1F6CB6F1">
      <w:pPr>
        <w:spacing w:line="560" w:lineRule="exac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ascii="宋体" w:hAnsi="宋体" w:eastAsia="宋体" w:cs="宋体"/>
          <w:color w:val="auto"/>
          <w:sz w:val="24"/>
          <w:szCs w:val="24"/>
          <w:highlight w:val="none"/>
        </w:rPr>
        <w:t>：</w:t>
      </w:r>
    </w:p>
    <w:p w14:paraId="044DF2D5">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p>
    <w:p w14:paraId="2C9ECF62">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97B4A99">
      <w:pPr>
        <w:rPr>
          <w:rFonts w:hint="eastAsia" w:ascii="Cambria" w:hAnsi="Cambria" w:eastAsia="宋体" w:cs="Times New Roman"/>
          <w:b/>
          <w:bCs/>
          <w:color w:val="auto"/>
          <w:sz w:val="24"/>
          <w:szCs w:val="24"/>
          <w:highlight w:val="none"/>
          <w:lang w:val="en-US" w:eastAsia="zh-CN" w:bidi="ar-SA"/>
        </w:rPr>
      </w:pPr>
    </w:p>
    <w:p w14:paraId="2879FBCB">
      <w:pPr>
        <w:pStyle w:val="10"/>
        <w:rPr>
          <w:rFonts w:hint="eastAsia" w:ascii="Cambria" w:hAnsi="Cambria" w:eastAsia="宋体" w:cs="Times New Roman"/>
          <w:b/>
          <w:bCs/>
          <w:color w:val="auto"/>
          <w:sz w:val="24"/>
          <w:szCs w:val="24"/>
          <w:highlight w:val="none"/>
          <w:lang w:val="en-US" w:eastAsia="zh-CN" w:bidi="ar-SA"/>
        </w:rPr>
      </w:pPr>
    </w:p>
    <w:p w14:paraId="2C37FD24">
      <w:pPr>
        <w:pStyle w:val="10"/>
        <w:rPr>
          <w:rFonts w:hint="eastAsia" w:ascii="Cambria" w:hAnsi="Cambria" w:eastAsia="宋体" w:cs="Times New Roman"/>
          <w:b/>
          <w:bCs/>
          <w:color w:val="auto"/>
          <w:sz w:val="24"/>
          <w:szCs w:val="24"/>
          <w:highlight w:val="none"/>
          <w:lang w:val="en-US" w:eastAsia="zh-CN" w:bidi="ar-SA"/>
        </w:rPr>
      </w:pPr>
    </w:p>
    <w:p w14:paraId="52C42A31">
      <w:pPr>
        <w:pStyle w:val="10"/>
        <w:rPr>
          <w:rFonts w:hint="eastAsia" w:ascii="Cambria" w:hAnsi="Cambria" w:eastAsia="宋体" w:cs="Times New Roman"/>
          <w:b/>
          <w:bCs/>
          <w:color w:val="auto"/>
          <w:sz w:val="24"/>
          <w:szCs w:val="24"/>
          <w:highlight w:val="none"/>
          <w:lang w:val="en-US" w:eastAsia="zh-CN" w:bidi="ar-SA"/>
        </w:rPr>
      </w:pPr>
    </w:p>
    <w:p w14:paraId="2B7F4199">
      <w:pPr>
        <w:pStyle w:val="10"/>
        <w:rPr>
          <w:rFonts w:hint="eastAsia" w:ascii="Cambria" w:hAnsi="Cambria" w:eastAsia="宋体" w:cs="Times New Roman"/>
          <w:b/>
          <w:bCs/>
          <w:color w:val="auto"/>
          <w:sz w:val="24"/>
          <w:szCs w:val="24"/>
          <w:highlight w:val="none"/>
          <w:lang w:val="en-US" w:eastAsia="zh-CN" w:bidi="ar-SA"/>
        </w:rPr>
      </w:pPr>
    </w:p>
    <w:p w14:paraId="5E2D4EAD">
      <w:pPr>
        <w:pStyle w:val="10"/>
        <w:rPr>
          <w:rFonts w:hint="eastAsia" w:ascii="Cambria" w:hAnsi="Cambria" w:eastAsia="宋体" w:cs="Times New Roman"/>
          <w:b/>
          <w:bCs/>
          <w:color w:val="auto"/>
          <w:sz w:val="24"/>
          <w:szCs w:val="24"/>
          <w:highlight w:val="none"/>
          <w:lang w:val="en-US" w:eastAsia="zh-CN" w:bidi="ar-SA"/>
        </w:rPr>
      </w:pPr>
    </w:p>
    <w:p w14:paraId="3B8C868B">
      <w:pPr>
        <w:pStyle w:val="10"/>
        <w:rPr>
          <w:rFonts w:hint="eastAsia" w:ascii="Cambria" w:hAnsi="Cambria" w:eastAsia="宋体" w:cs="Times New Roman"/>
          <w:b/>
          <w:bCs/>
          <w:color w:val="auto"/>
          <w:sz w:val="24"/>
          <w:szCs w:val="24"/>
          <w:highlight w:val="none"/>
          <w:lang w:val="en-US" w:eastAsia="zh-CN" w:bidi="ar-SA"/>
        </w:rPr>
      </w:pPr>
    </w:p>
    <w:p w14:paraId="550BCB91">
      <w:pPr>
        <w:pStyle w:val="10"/>
        <w:rPr>
          <w:rFonts w:hint="eastAsia" w:ascii="Cambria" w:hAnsi="Cambria" w:eastAsia="宋体" w:cs="Times New Roman"/>
          <w:b/>
          <w:bCs/>
          <w:color w:val="auto"/>
          <w:sz w:val="24"/>
          <w:szCs w:val="24"/>
          <w:highlight w:val="none"/>
          <w:lang w:val="en-US" w:eastAsia="zh-CN" w:bidi="ar-SA"/>
        </w:rPr>
      </w:pPr>
    </w:p>
    <w:p w14:paraId="098F731F">
      <w:pPr>
        <w:pStyle w:val="10"/>
        <w:rPr>
          <w:rFonts w:hint="eastAsia" w:ascii="Cambria" w:hAnsi="Cambria" w:eastAsia="宋体" w:cs="Times New Roman"/>
          <w:b/>
          <w:bCs/>
          <w:color w:val="auto"/>
          <w:sz w:val="24"/>
          <w:szCs w:val="24"/>
          <w:highlight w:val="none"/>
          <w:lang w:val="en-US" w:eastAsia="zh-CN" w:bidi="ar-SA"/>
        </w:rPr>
      </w:pPr>
    </w:p>
    <w:p w14:paraId="4DD74071">
      <w:pPr>
        <w:bidi w:val="0"/>
        <w:rPr>
          <w:rFonts w:hint="eastAsia"/>
          <w:color w:val="auto"/>
          <w:highlight w:val="none"/>
          <w:lang w:val="en-US" w:eastAsia="zh-CN"/>
        </w:rPr>
      </w:pPr>
    </w:p>
    <w:p w14:paraId="236D73D0">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5" w:name="_Toc22959"/>
      <w:r>
        <w:rPr>
          <w:rFonts w:hint="eastAsia" w:cs="Times New Roman"/>
          <w:b/>
          <w:bCs/>
          <w:color w:val="auto"/>
          <w:sz w:val="32"/>
          <w:szCs w:val="32"/>
          <w:highlight w:val="none"/>
          <w:lang w:val="en-US" w:eastAsia="zh-CN" w:bidi="ar-SA"/>
        </w:rPr>
        <w:t>6</w:t>
      </w:r>
      <w:r>
        <w:rPr>
          <w:rFonts w:hint="eastAsia" w:ascii="Cambria" w:hAnsi="Cambria" w:eastAsia="宋体" w:cs="Times New Roman"/>
          <w:b/>
          <w:bCs/>
          <w:color w:val="auto"/>
          <w:sz w:val="32"/>
          <w:szCs w:val="32"/>
          <w:highlight w:val="none"/>
          <w:lang w:val="en-US" w:eastAsia="zh-CN" w:bidi="ar-SA"/>
        </w:rPr>
        <w:t>、商务响应偏离表</w:t>
      </w:r>
      <w:bookmarkEnd w:id="603"/>
      <w:bookmarkEnd w:id="605"/>
    </w:p>
    <w:p w14:paraId="41AF0752">
      <w:pPr>
        <w:rPr>
          <w:rFonts w:cs="仿宋_GB2312"/>
          <w:color w:val="auto"/>
          <w:szCs w:val="24"/>
          <w:highlight w:val="none"/>
        </w:rPr>
      </w:pPr>
      <w:r>
        <w:rPr>
          <w:rFonts w:hint="eastAsia" w:cs="仿宋_GB2312"/>
          <w:color w:val="auto"/>
          <w:szCs w:val="24"/>
          <w:highlight w:val="none"/>
        </w:rPr>
        <w:t xml:space="preserve">项目名称：                                         </w:t>
      </w:r>
    </w:p>
    <w:p w14:paraId="18D88BA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9D7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noWrap w:val="0"/>
            <w:vAlign w:val="center"/>
          </w:tcPr>
          <w:p w14:paraId="46ACDDD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noWrap w:val="0"/>
            <w:vAlign w:val="center"/>
          </w:tcPr>
          <w:p w14:paraId="3A21D46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noWrap w:val="0"/>
            <w:vAlign w:val="center"/>
          </w:tcPr>
          <w:p w14:paraId="2897AD7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noWrap w:val="0"/>
            <w:vAlign w:val="center"/>
          </w:tcPr>
          <w:p w14:paraId="62793CF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noWrap w:val="0"/>
            <w:vAlign w:val="center"/>
          </w:tcPr>
          <w:p w14:paraId="087F370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7D9C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3626BC8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noWrap w:val="0"/>
            <w:vAlign w:val="center"/>
          </w:tcPr>
          <w:p w14:paraId="108AF1B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0E280E6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4900280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noWrap w:val="0"/>
            <w:vAlign w:val="center"/>
          </w:tcPr>
          <w:p w14:paraId="59FECAB2">
            <w:pPr>
              <w:pStyle w:val="37"/>
              <w:jc w:val="center"/>
              <w:rPr>
                <w:rFonts w:hint="eastAsia" w:ascii="宋体" w:hAnsi="宋体" w:eastAsia="宋体" w:cs="宋体"/>
                <w:color w:val="auto"/>
                <w:sz w:val="21"/>
                <w:szCs w:val="21"/>
                <w:highlight w:val="none"/>
              </w:rPr>
            </w:pPr>
          </w:p>
        </w:tc>
      </w:tr>
      <w:tr w14:paraId="0BC3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528E2DF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noWrap w:val="0"/>
            <w:vAlign w:val="center"/>
          </w:tcPr>
          <w:p w14:paraId="42D9E4D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7C98228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39625568">
            <w:pPr>
              <w:pStyle w:val="37"/>
              <w:jc w:val="center"/>
              <w:rPr>
                <w:rFonts w:hint="eastAsia" w:ascii="宋体" w:hAnsi="宋体" w:eastAsia="宋体" w:cs="宋体"/>
                <w:color w:val="auto"/>
                <w:sz w:val="21"/>
                <w:szCs w:val="21"/>
                <w:highlight w:val="none"/>
              </w:rPr>
            </w:pPr>
          </w:p>
        </w:tc>
        <w:tc>
          <w:tcPr>
            <w:tcW w:w="1090" w:type="pct"/>
            <w:noWrap w:val="0"/>
            <w:vAlign w:val="center"/>
          </w:tcPr>
          <w:p w14:paraId="6BD37C1D">
            <w:pPr>
              <w:pStyle w:val="37"/>
              <w:jc w:val="center"/>
              <w:rPr>
                <w:rFonts w:hint="eastAsia" w:ascii="宋体" w:hAnsi="宋体" w:eastAsia="宋体" w:cs="宋体"/>
                <w:color w:val="auto"/>
                <w:sz w:val="21"/>
                <w:szCs w:val="21"/>
                <w:highlight w:val="none"/>
              </w:rPr>
            </w:pPr>
          </w:p>
        </w:tc>
      </w:tr>
      <w:tr w14:paraId="2F6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E32E41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noWrap w:val="0"/>
            <w:vAlign w:val="center"/>
          </w:tcPr>
          <w:p w14:paraId="1B4C2D1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1BC72CC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3825E05E">
            <w:pPr>
              <w:pStyle w:val="37"/>
              <w:jc w:val="center"/>
              <w:rPr>
                <w:rFonts w:hint="eastAsia" w:ascii="宋体" w:hAnsi="宋体" w:eastAsia="宋体" w:cs="宋体"/>
                <w:color w:val="auto"/>
                <w:sz w:val="21"/>
                <w:szCs w:val="21"/>
                <w:highlight w:val="none"/>
              </w:rPr>
            </w:pPr>
          </w:p>
        </w:tc>
        <w:tc>
          <w:tcPr>
            <w:tcW w:w="1090" w:type="pct"/>
            <w:noWrap w:val="0"/>
            <w:vAlign w:val="center"/>
          </w:tcPr>
          <w:p w14:paraId="404C34F1">
            <w:pPr>
              <w:pStyle w:val="37"/>
              <w:jc w:val="center"/>
              <w:rPr>
                <w:rFonts w:hint="eastAsia" w:ascii="宋体" w:hAnsi="宋体" w:eastAsia="宋体" w:cs="宋体"/>
                <w:color w:val="auto"/>
                <w:sz w:val="21"/>
                <w:szCs w:val="21"/>
                <w:highlight w:val="none"/>
              </w:rPr>
            </w:pPr>
          </w:p>
        </w:tc>
      </w:tr>
      <w:tr w14:paraId="209D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6DB23BAB">
            <w:pPr>
              <w:pStyle w:val="37"/>
              <w:jc w:val="center"/>
              <w:rPr>
                <w:rFonts w:hint="eastAsia" w:ascii="宋体" w:hAnsi="宋体" w:eastAsia="宋体" w:cs="宋体"/>
                <w:color w:val="auto"/>
                <w:sz w:val="21"/>
                <w:szCs w:val="21"/>
                <w:highlight w:val="none"/>
              </w:rPr>
            </w:pPr>
          </w:p>
        </w:tc>
        <w:tc>
          <w:tcPr>
            <w:tcW w:w="1395" w:type="pct"/>
            <w:noWrap w:val="0"/>
            <w:vAlign w:val="center"/>
          </w:tcPr>
          <w:p w14:paraId="632A5B3F">
            <w:pPr>
              <w:pStyle w:val="37"/>
              <w:jc w:val="center"/>
              <w:rPr>
                <w:rFonts w:hint="eastAsia" w:ascii="宋体" w:hAnsi="宋体" w:eastAsia="宋体" w:cs="宋体"/>
                <w:color w:val="auto"/>
                <w:sz w:val="21"/>
                <w:szCs w:val="21"/>
                <w:highlight w:val="none"/>
              </w:rPr>
            </w:pPr>
          </w:p>
        </w:tc>
        <w:tc>
          <w:tcPr>
            <w:tcW w:w="1002" w:type="pct"/>
            <w:noWrap w:val="0"/>
            <w:vAlign w:val="center"/>
          </w:tcPr>
          <w:p w14:paraId="1D79E993">
            <w:pPr>
              <w:pStyle w:val="37"/>
              <w:jc w:val="center"/>
              <w:rPr>
                <w:rFonts w:hint="eastAsia" w:ascii="宋体" w:hAnsi="宋体" w:eastAsia="宋体" w:cs="宋体"/>
                <w:color w:val="auto"/>
                <w:sz w:val="21"/>
                <w:szCs w:val="21"/>
                <w:highlight w:val="none"/>
              </w:rPr>
            </w:pPr>
          </w:p>
        </w:tc>
        <w:tc>
          <w:tcPr>
            <w:tcW w:w="1090" w:type="pct"/>
            <w:noWrap w:val="0"/>
            <w:vAlign w:val="center"/>
          </w:tcPr>
          <w:p w14:paraId="59A1CE43">
            <w:pPr>
              <w:pStyle w:val="37"/>
              <w:jc w:val="center"/>
              <w:rPr>
                <w:rFonts w:hint="eastAsia" w:ascii="宋体" w:hAnsi="宋体" w:eastAsia="宋体" w:cs="宋体"/>
                <w:color w:val="auto"/>
                <w:sz w:val="21"/>
                <w:szCs w:val="21"/>
                <w:highlight w:val="none"/>
              </w:rPr>
            </w:pPr>
          </w:p>
        </w:tc>
        <w:tc>
          <w:tcPr>
            <w:tcW w:w="1090" w:type="pct"/>
            <w:noWrap w:val="0"/>
            <w:vAlign w:val="center"/>
          </w:tcPr>
          <w:p w14:paraId="525BF8AB">
            <w:pPr>
              <w:pStyle w:val="37"/>
              <w:jc w:val="center"/>
              <w:rPr>
                <w:rFonts w:hint="eastAsia" w:ascii="宋体" w:hAnsi="宋体" w:eastAsia="宋体" w:cs="宋体"/>
                <w:color w:val="auto"/>
                <w:sz w:val="21"/>
                <w:szCs w:val="21"/>
                <w:highlight w:val="none"/>
              </w:rPr>
            </w:pPr>
          </w:p>
        </w:tc>
      </w:tr>
      <w:tr w14:paraId="4264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5770900D">
            <w:pPr>
              <w:pStyle w:val="37"/>
              <w:jc w:val="center"/>
              <w:rPr>
                <w:rFonts w:hint="eastAsia" w:ascii="宋体" w:hAnsi="宋体" w:eastAsia="宋体" w:cs="宋体"/>
                <w:color w:val="auto"/>
                <w:sz w:val="21"/>
                <w:szCs w:val="21"/>
                <w:highlight w:val="none"/>
              </w:rPr>
            </w:pPr>
          </w:p>
        </w:tc>
        <w:tc>
          <w:tcPr>
            <w:tcW w:w="1395" w:type="pct"/>
            <w:noWrap w:val="0"/>
            <w:vAlign w:val="center"/>
          </w:tcPr>
          <w:p w14:paraId="06CEF10D">
            <w:pPr>
              <w:pStyle w:val="37"/>
              <w:jc w:val="center"/>
              <w:rPr>
                <w:rFonts w:hint="eastAsia" w:ascii="宋体" w:hAnsi="宋体" w:eastAsia="宋体" w:cs="宋体"/>
                <w:color w:val="auto"/>
                <w:sz w:val="21"/>
                <w:szCs w:val="21"/>
                <w:highlight w:val="none"/>
              </w:rPr>
            </w:pPr>
          </w:p>
        </w:tc>
        <w:tc>
          <w:tcPr>
            <w:tcW w:w="1002" w:type="pct"/>
            <w:noWrap w:val="0"/>
            <w:vAlign w:val="center"/>
          </w:tcPr>
          <w:p w14:paraId="290149BF">
            <w:pPr>
              <w:pStyle w:val="37"/>
              <w:jc w:val="center"/>
              <w:rPr>
                <w:rFonts w:hint="eastAsia" w:ascii="宋体" w:hAnsi="宋体" w:eastAsia="宋体" w:cs="宋体"/>
                <w:color w:val="auto"/>
                <w:sz w:val="21"/>
                <w:szCs w:val="21"/>
                <w:highlight w:val="none"/>
              </w:rPr>
            </w:pPr>
          </w:p>
        </w:tc>
        <w:tc>
          <w:tcPr>
            <w:tcW w:w="1090" w:type="pct"/>
            <w:noWrap w:val="0"/>
            <w:vAlign w:val="center"/>
          </w:tcPr>
          <w:p w14:paraId="0665F1E4">
            <w:pPr>
              <w:pStyle w:val="37"/>
              <w:jc w:val="center"/>
              <w:rPr>
                <w:rFonts w:hint="eastAsia" w:ascii="宋体" w:hAnsi="宋体" w:eastAsia="宋体" w:cs="宋体"/>
                <w:color w:val="auto"/>
                <w:sz w:val="21"/>
                <w:szCs w:val="21"/>
                <w:highlight w:val="none"/>
              </w:rPr>
            </w:pPr>
          </w:p>
        </w:tc>
        <w:tc>
          <w:tcPr>
            <w:tcW w:w="1090" w:type="pct"/>
            <w:noWrap w:val="0"/>
            <w:vAlign w:val="center"/>
          </w:tcPr>
          <w:p w14:paraId="7B730CE9">
            <w:pPr>
              <w:pStyle w:val="37"/>
              <w:jc w:val="center"/>
              <w:rPr>
                <w:rFonts w:hint="eastAsia" w:ascii="宋体" w:hAnsi="宋体" w:eastAsia="宋体" w:cs="宋体"/>
                <w:color w:val="auto"/>
                <w:sz w:val="21"/>
                <w:szCs w:val="21"/>
                <w:highlight w:val="none"/>
              </w:rPr>
            </w:pPr>
          </w:p>
        </w:tc>
      </w:tr>
      <w:tr w14:paraId="0D07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616E24EE">
            <w:pPr>
              <w:pStyle w:val="37"/>
              <w:jc w:val="center"/>
              <w:rPr>
                <w:rFonts w:hint="eastAsia" w:ascii="宋体" w:hAnsi="宋体" w:eastAsia="宋体" w:cs="宋体"/>
                <w:color w:val="auto"/>
                <w:sz w:val="21"/>
                <w:szCs w:val="21"/>
                <w:highlight w:val="none"/>
              </w:rPr>
            </w:pPr>
          </w:p>
        </w:tc>
        <w:tc>
          <w:tcPr>
            <w:tcW w:w="1395" w:type="pct"/>
            <w:noWrap w:val="0"/>
            <w:vAlign w:val="center"/>
          </w:tcPr>
          <w:p w14:paraId="303FDF00">
            <w:pPr>
              <w:pStyle w:val="37"/>
              <w:jc w:val="center"/>
              <w:rPr>
                <w:rFonts w:hint="eastAsia" w:ascii="宋体" w:hAnsi="宋体" w:eastAsia="宋体" w:cs="宋体"/>
                <w:color w:val="auto"/>
                <w:sz w:val="21"/>
                <w:szCs w:val="21"/>
                <w:highlight w:val="none"/>
              </w:rPr>
            </w:pPr>
          </w:p>
        </w:tc>
        <w:tc>
          <w:tcPr>
            <w:tcW w:w="1002" w:type="pct"/>
            <w:noWrap w:val="0"/>
            <w:vAlign w:val="center"/>
          </w:tcPr>
          <w:p w14:paraId="2978ACF7">
            <w:pPr>
              <w:pStyle w:val="37"/>
              <w:jc w:val="center"/>
              <w:rPr>
                <w:rFonts w:hint="eastAsia" w:ascii="宋体" w:hAnsi="宋体" w:eastAsia="宋体" w:cs="宋体"/>
                <w:color w:val="auto"/>
                <w:sz w:val="21"/>
                <w:szCs w:val="21"/>
                <w:highlight w:val="none"/>
              </w:rPr>
            </w:pPr>
          </w:p>
        </w:tc>
        <w:tc>
          <w:tcPr>
            <w:tcW w:w="1090" w:type="pct"/>
            <w:noWrap w:val="0"/>
            <w:vAlign w:val="center"/>
          </w:tcPr>
          <w:p w14:paraId="72FB84F6">
            <w:pPr>
              <w:pStyle w:val="37"/>
              <w:jc w:val="center"/>
              <w:rPr>
                <w:rFonts w:hint="eastAsia" w:ascii="宋体" w:hAnsi="宋体" w:eastAsia="宋体" w:cs="宋体"/>
                <w:color w:val="auto"/>
                <w:sz w:val="21"/>
                <w:szCs w:val="21"/>
                <w:highlight w:val="none"/>
              </w:rPr>
            </w:pPr>
          </w:p>
        </w:tc>
        <w:tc>
          <w:tcPr>
            <w:tcW w:w="1090" w:type="pct"/>
            <w:noWrap w:val="0"/>
            <w:vAlign w:val="center"/>
          </w:tcPr>
          <w:p w14:paraId="771B094E">
            <w:pPr>
              <w:pStyle w:val="37"/>
              <w:jc w:val="center"/>
              <w:rPr>
                <w:rFonts w:hint="eastAsia" w:ascii="宋体" w:hAnsi="宋体" w:eastAsia="宋体" w:cs="宋体"/>
                <w:color w:val="auto"/>
                <w:sz w:val="21"/>
                <w:szCs w:val="21"/>
                <w:highlight w:val="none"/>
              </w:rPr>
            </w:pPr>
          </w:p>
        </w:tc>
      </w:tr>
      <w:tr w14:paraId="62A2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3356AB88">
            <w:pPr>
              <w:pStyle w:val="37"/>
              <w:jc w:val="center"/>
              <w:rPr>
                <w:rFonts w:hint="eastAsia" w:ascii="宋体" w:hAnsi="宋体" w:eastAsia="宋体" w:cs="宋体"/>
                <w:color w:val="auto"/>
                <w:sz w:val="21"/>
                <w:szCs w:val="21"/>
                <w:highlight w:val="none"/>
              </w:rPr>
            </w:pPr>
          </w:p>
        </w:tc>
        <w:tc>
          <w:tcPr>
            <w:tcW w:w="1395" w:type="pct"/>
            <w:noWrap w:val="0"/>
            <w:vAlign w:val="center"/>
          </w:tcPr>
          <w:p w14:paraId="23CD3E50">
            <w:pPr>
              <w:pStyle w:val="37"/>
              <w:jc w:val="center"/>
              <w:rPr>
                <w:rFonts w:hint="eastAsia" w:ascii="宋体" w:hAnsi="宋体" w:eastAsia="宋体" w:cs="宋体"/>
                <w:color w:val="auto"/>
                <w:sz w:val="21"/>
                <w:szCs w:val="21"/>
                <w:highlight w:val="none"/>
              </w:rPr>
            </w:pPr>
          </w:p>
        </w:tc>
        <w:tc>
          <w:tcPr>
            <w:tcW w:w="1002" w:type="pct"/>
            <w:noWrap w:val="0"/>
            <w:vAlign w:val="center"/>
          </w:tcPr>
          <w:p w14:paraId="41639177">
            <w:pPr>
              <w:pStyle w:val="37"/>
              <w:jc w:val="center"/>
              <w:rPr>
                <w:rFonts w:hint="eastAsia" w:ascii="宋体" w:hAnsi="宋体" w:eastAsia="宋体" w:cs="宋体"/>
                <w:color w:val="auto"/>
                <w:sz w:val="21"/>
                <w:szCs w:val="21"/>
                <w:highlight w:val="none"/>
              </w:rPr>
            </w:pPr>
          </w:p>
        </w:tc>
        <w:tc>
          <w:tcPr>
            <w:tcW w:w="1090" w:type="pct"/>
            <w:noWrap w:val="0"/>
            <w:vAlign w:val="center"/>
          </w:tcPr>
          <w:p w14:paraId="03A5CE9A">
            <w:pPr>
              <w:pStyle w:val="37"/>
              <w:jc w:val="center"/>
              <w:rPr>
                <w:rFonts w:hint="eastAsia" w:ascii="宋体" w:hAnsi="宋体" w:eastAsia="宋体" w:cs="宋体"/>
                <w:color w:val="auto"/>
                <w:sz w:val="21"/>
                <w:szCs w:val="21"/>
                <w:highlight w:val="none"/>
              </w:rPr>
            </w:pPr>
          </w:p>
        </w:tc>
        <w:tc>
          <w:tcPr>
            <w:tcW w:w="1090" w:type="pct"/>
            <w:noWrap w:val="0"/>
            <w:vAlign w:val="center"/>
          </w:tcPr>
          <w:p w14:paraId="381F2FDC">
            <w:pPr>
              <w:pStyle w:val="37"/>
              <w:jc w:val="center"/>
              <w:rPr>
                <w:rFonts w:hint="eastAsia" w:ascii="宋体" w:hAnsi="宋体" w:eastAsia="宋体" w:cs="宋体"/>
                <w:color w:val="auto"/>
                <w:sz w:val="21"/>
                <w:szCs w:val="21"/>
                <w:highlight w:val="none"/>
              </w:rPr>
            </w:pPr>
          </w:p>
        </w:tc>
      </w:tr>
      <w:tr w14:paraId="2112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7DF1572">
            <w:pPr>
              <w:pStyle w:val="37"/>
              <w:jc w:val="center"/>
              <w:rPr>
                <w:rFonts w:hint="eastAsia" w:ascii="宋体" w:hAnsi="宋体" w:eastAsia="宋体" w:cs="宋体"/>
                <w:color w:val="auto"/>
                <w:sz w:val="21"/>
                <w:szCs w:val="21"/>
                <w:highlight w:val="none"/>
              </w:rPr>
            </w:pPr>
          </w:p>
        </w:tc>
        <w:tc>
          <w:tcPr>
            <w:tcW w:w="1395" w:type="pct"/>
            <w:noWrap w:val="0"/>
            <w:vAlign w:val="center"/>
          </w:tcPr>
          <w:p w14:paraId="236C553E">
            <w:pPr>
              <w:pStyle w:val="37"/>
              <w:jc w:val="center"/>
              <w:rPr>
                <w:rFonts w:hint="eastAsia" w:ascii="宋体" w:hAnsi="宋体" w:eastAsia="宋体" w:cs="宋体"/>
                <w:color w:val="auto"/>
                <w:sz w:val="21"/>
                <w:szCs w:val="21"/>
                <w:highlight w:val="none"/>
              </w:rPr>
            </w:pPr>
          </w:p>
        </w:tc>
        <w:tc>
          <w:tcPr>
            <w:tcW w:w="1002" w:type="pct"/>
            <w:noWrap w:val="0"/>
            <w:vAlign w:val="center"/>
          </w:tcPr>
          <w:p w14:paraId="4C498165">
            <w:pPr>
              <w:pStyle w:val="37"/>
              <w:jc w:val="center"/>
              <w:rPr>
                <w:rFonts w:hint="eastAsia" w:ascii="宋体" w:hAnsi="宋体" w:eastAsia="宋体" w:cs="宋体"/>
                <w:color w:val="auto"/>
                <w:sz w:val="21"/>
                <w:szCs w:val="21"/>
                <w:highlight w:val="none"/>
              </w:rPr>
            </w:pPr>
          </w:p>
        </w:tc>
        <w:tc>
          <w:tcPr>
            <w:tcW w:w="1090" w:type="pct"/>
            <w:noWrap w:val="0"/>
            <w:vAlign w:val="center"/>
          </w:tcPr>
          <w:p w14:paraId="3B2970F6">
            <w:pPr>
              <w:pStyle w:val="37"/>
              <w:jc w:val="center"/>
              <w:rPr>
                <w:rFonts w:hint="eastAsia" w:ascii="宋体" w:hAnsi="宋体" w:eastAsia="宋体" w:cs="宋体"/>
                <w:color w:val="auto"/>
                <w:sz w:val="21"/>
                <w:szCs w:val="21"/>
                <w:highlight w:val="none"/>
              </w:rPr>
            </w:pPr>
          </w:p>
        </w:tc>
        <w:tc>
          <w:tcPr>
            <w:tcW w:w="1090" w:type="pct"/>
            <w:noWrap w:val="0"/>
            <w:vAlign w:val="center"/>
          </w:tcPr>
          <w:p w14:paraId="425AE712">
            <w:pPr>
              <w:pStyle w:val="37"/>
              <w:jc w:val="center"/>
              <w:rPr>
                <w:rFonts w:hint="eastAsia" w:ascii="宋体" w:hAnsi="宋体" w:eastAsia="宋体" w:cs="宋体"/>
                <w:color w:val="auto"/>
                <w:sz w:val="21"/>
                <w:szCs w:val="21"/>
                <w:highlight w:val="none"/>
              </w:rPr>
            </w:pPr>
          </w:p>
        </w:tc>
      </w:tr>
      <w:tr w14:paraId="50A2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2F0C6025">
            <w:pPr>
              <w:pStyle w:val="37"/>
              <w:jc w:val="center"/>
              <w:rPr>
                <w:rFonts w:hint="eastAsia" w:ascii="宋体" w:hAnsi="宋体" w:eastAsia="宋体" w:cs="宋体"/>
                <w:color w:val="auto"/>
                <w:sz w:val="21"/>
                <w:szCs w:val="21"/>
                <w:highlight w:val="none"/>
              </w:rPr>
            </w:pPr>
          </w:p>
        </w:tc>
        <w:tc>
          <w:tcPr>
            <w:tcW w:w="1395" w:type="pct"/>
            <w:noWrap w:val="0"/>
            <w:vAlign w:val="center"/>
          </w:tcPr>
          <w:p w14:paraId="520CEFB8">
            <w:pPr>
              <w:pStyle w:val="37"/>
              <w:jc w:val="center"/>
              <w:rPr>
                <w:rFonts w:hint="eastAsia" w:ascii="宋体" w:hAnsi="宋体" w:eastAsia="宋体" w:cs="宋体"/>
                <w:color w:val="auto"/>
                <w:sz w:val="21"/>
                <w:szCs w:val="21"/>
                <w:highlight w:val="none"/>
              </w:rPr>
            </w:pPr>
          </w:p>
        </w:tc>
        <w:tc>
          <w:tcPr>
            <w:tcW w:w="1002" w:type="pct"/>
            <w:noWrap w:val="0"/>
            <w:vAlign w:val="center"/>
          </w:tcPr>
          <w:p w14:paraId="79D47A8E">
            <w:pPr>
              <w:pStyle w:val="37"/>
              <w:jc w:val="center"/>
              <w:rPr>
                <w:rFonts w:hint="eastAsia" w:ascii="宋体" w:hAnsi="宋体" w:eastAsia="宋体" w:cs="宋体"/>
                <w:color w:val="auto"/>
                <w:sz w:val="21"/>
                <w:szCs w:val="21"/>
                <w:highlight w:val="none"/>
              </w:rPr>
            </w:pPr>
          </w:p>
        </w:tc>
        <w:tc>
          <w:tcPr>
            <w:tcW w:w="1090" w:type="pct"/>
            <w:noWrap w:val="0"/>
            <w:vAlign w:val="center"/>
          </w:tcPr>
          <w:p w14:paraId="407609E4">
            <w:pPr>
              <w:pStyle w:val="37"/>
              <w:jc w:val="center"/>
              <w:rPr>
                <w:rFonts w:hint="eastAsia" w:ascii="宋体" w:hAnsi="宋体" w:eastAsia="宋体" w:cs="宋体"/>
                <w:color w:val="auto"/>
                <w:sz w:val="21"/>
                <w:szCs w:val="21"/>
                <w:highlight w:val="none"/>
              </w:rPr>
            </w:pPr>
          </w:p>
        </w:tc>
        <w:tc>
          <w:tcPr>
            <w:tcW w:w="1090" w:type="pct"/>
            <w:noWrap w:val="0"/>
            <w:vAlign w:val="center"/>
          </w:tcPr>
          <w:p w14:paraId="1542D84F">
            <w:pPr>
              <w:pStyle w:val="37"/>
              <w:jc w:val="center"/>
              <w:rPr>
                <w:rFonts w:hint="eastAsia" w:ascii="宋体" w:hAnsi="宋体" w:eastAsia="宋体" w:cs="宋体"/>
                <w:color w:val="auto"/>
                <w:sz w:val="21"/>
                <w:szCs w:val="21"/>
                <w:highlight w:val="none"/>
              </w:rPr>
            </w:pPr>
          </w:p>
        </w:tc>
      </w:tr>
      <w:tr w14:paraId="3368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6BB9DCF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noWrap w:val="0"/>
            <w:vAlign w:val="center"/>
          </w:tcPr>
          <w:p w14:paraId="4DB2AB5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2759750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7CA0144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33C8A685">
            <w:pPr>
              <w:pStyle w:val="37"/>
              <w:jc w:val="center"/>
              <w:rPr>
                <w:rFonts w:hint="eastAsia" w:ascii="宋体" w:hAnsi="宋体" w:eastAsia="宋体" w:cs="宋体"/>
                <w:color w:val="auto"/>
                <w:sz w:val="21"/>
                <w:szCs w:val="21"/>
                <w:highlight w:val="none"/>
              </w:rPr>
            </w:pPr>
          </w:p>
        </w:tc>
      </w:tr>
    </w:tbl>
    <w:p w14:paraId="038BD826">
      <w:pPr>
        <w:ind w:firstLine="420"/>
        <w:rPr>
          <w:rFonts w:hint="eastAsia" w:cs="仿宋_GB2312"/>
          <w:color w:val="auto"/>
          <w:sz w:val="21"/>
          <w:szCs w:val="21"/>
          <w:highlight w:val="none"/>
        </w:rPr>
      </w:pPr>
    </w:p>
    <w:p w14:paraId="46825F52">
      <w:pPr>
        <w:ind w:firstLine="480"/>
        <w:rPr>
          <w:rFonts w:cs="仿宋_GB2312"/>
          <w:color w:val="auto"/>
          <w:szCs w:val="24"/>
          <w:highlight w:val="none"/>
        </w:rPr>
      </w:pPr>
    </w:p>
    <w:p w14:paraId="05699D60">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6F4C1A3F">
      <w:pPr>
        <w:ind w:firstLine="420"/>
        <w:rPr>
          <w:rFonts w:cs="仿宋_GB2312"/>
          <w:color w:val="auto"/>
          <w:szCs w:val="24"/>
          <w:highlight w:val="none"/>
        </w:rPr>
      </w:pPr>
      <w:r>
        <w:rPr>
          <w:rFonts w:hint="eastAsia" w:cs="仿宋_GB2312"/>
          <w:color w:val="auto"/>
          <w:szCs w:val="24"/>
          <w:highlight w:val="none"/>
        </w:rPr>
        <w:t>日      期：</w:t>
      </w:r>
    </w:p>
    <w:p w14:paraId="2F0A6175">
      <w:pPr>
        <w:ind w:firstLine="420"/>
        <w:rPr>
          <w:rFonts w:hint="eastAsia" w:cs="仿宋_GB2312"/>
          <w:color w:val="auto"/>
          <w:sz w:val="21"/>
          <w:szCs w:val="21"/>
          <w:highlight w:val="none"/>
        </w:rPr>
      </w:pPr>
    </w:p>
    <w:p w14:paraId="4F217401">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4687414F">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1627B94B">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356F11D2">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0A4E101">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04222B39">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F072B5E">
      <w:pPr>
        <w:ind w:firstLine="420"/>
        <w:rPr>
          <w:rFonts w:cs="仿宋_GB2312"/>
          <w:color w:val="auto"/>
          <w:szCs w:val="24"/>
          <w:highlight w:val="none"/>
        </w:rPr>
      </w:pPr>
      <w:r>
        <w:rPr>
          <w:rFonts w:cs="仿宋_GB2312"/>
          <w:color w:val="auto"/>
          <w:szCs w:val="24"/>
          <w:highlight w:val="none"/>
        </w:rPr>
        <w:br w:type="page" w:clear="all"/>
      </w:r>
    </w:p>
    <w:p w14:paraId="7750CF7F">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6" w:name="_Toc163492930"/>
      <w:bookmarkStart w:id="607" w:name="_Toc23338"/>
      <w:r>
        <w:rPr>
          <w:rFonts w:hint="eastAsia" w:cs="Times New Roman"/>
          <w:b/>
          <w:bCs/>
          <w:color w:val="auto"/>
          <w:sz w:val="32"/>
          <w:szCs w:val="32"/>
          <w:highlight w:val="none"/>
          <w:lang w:val="en-US" w:eastAsia="zh-CN" w:bidi="ar-SA"/>
        </w:rPr>
        <w:t>7</w:t>
      </w:r>
      <w:r>
        <w:rPr>
          <w:rFonts w:hint="eastAsia" w:ascii="Cambria" w:hAnsi="Cambria" w:eastAsia="宋体" w:cs="Times New Roman"/>
          <w:b/>
          <w:bCs/>
          <w:color w:val="auto"/>
          <w:sz w:val="32"/>
          <w:szCs w:val="32"/>
          <w:highlight w:val="none"/>
          <w:lang w:val="en-US" w:eastAsia="zh-CN" w:bidi="ar-SA"/>
        </w:rPr>
        <w:t>、业绩证明文件</w:t>
      </w:r>
      <w:bookmarkEnd w:id="606"/>
      <w:bookmarkEnd w:id="607"/>
    </w:p>
    <w:p w14:paraId="3CE666CE">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B40996">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C57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22250BEB">
            <w:pPr>
              <w:jc w:val="center"/>
              <w:rPr>
                <w:rFonts w:hint="eastAsia" w:ascii="宋体" w:hAnsi="宋体" w:eastAsia="宋体" w:cs="宋体"/>
                <w:color w:val="auto"/>
                <w:sz w:val="21"/>
                <w:szCs w:val="21"/>
                <w:highlight w:val="none"/>
              </w:rPr>
            </w:pPr>
            <w:bookmarkStart w:id="608" w:name="_Hlk46779239"/>
            <w:r>
              <w:rPr>
                <w:rFonts w:hint="eastAsia" w:ascii="宋体" w:hAnsi="宋体" w:eastAsia="宋体" w:cs="宋体"/>
                <w:color w:val="auto"/>
                <w:sz w:val="21"/>
                <w:szCs w:val="21"/>
                <w:highlight w:val="none"/>
              </w:rPr>
              <w:t>序号</w:t>
            </w:r>
          </w:p>
        </w:tc>
        <w:tc>
          <w:tcPr>
            <w:tcW w:w="1560" w:type="dxa"/>
            <w:noWrap w:val="0"/>
            <w:vAlign w:val="center"/>
          </w:tcPr>
          <w:p w14:paraId="562C4B48">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noWrap w:val="0"/>
            <w:vAlign w:val="center"/>
          </w:tcPr>
          <w:p w14:paraId="667AED05">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noWrap w:val="0"/>
            <w:vAlign w:val="center"/>
          </w:tcPr>
          <w:p w14:paraId="52E70A3C">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noWrap w:val="0"/>
            <w:vAlign w:val="center"/>
          </w:tcPr>
          <w:p w14:paraId="3E878CCC">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noWrap w:val="0"/>
            <w:vAlign w:val="center"/>
          </w:tcPr>
          <w:p w14:paraId="61919B31">
            <w:pPr>
              <w:spacing w:line="240" w:lineRule="auto"/>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采购合同签订时间</w:t>
            </w:r>
          </w:p>
        </w:tc>
        <w:tc>
          <w:tcPr>
            <w:tcW w:w="1091" w:type="dxa"/>
            <w:noWrap w:val="0"/>
            <w:vAlign w:val="center"/>
          </w:tcPr>
          <w:p w14:paraId="6AD7D31A">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1C49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5F2D3D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noWrap w:val="0"/>
            <w:vAlign w:val="center"/>
          </w:tcPr>
          <w:p w14:paraId="2E621785">
            <w:pPr>
              <w:rPr>
                <w:rFonts w:hint="eastAsia" w:ascii="宋体" w:hAnsi="宋体" w:eastAsia="宋体" w:cs="宋体"/>
                <w:color w:val="auto"/>
                <w:sz w:val="21"/>
                <w:szCs w:val="21"/>
                <w:highlight w:val="none"/>
              </w:rPr>
            </w:pPr>
          </w:p>
        </w:tc>
        <w:tc>
          <w:tcPr>
            <w:tcW w:w="1248" w:type="dxa"/>
            <w:noWrap w:val="0"/>
            <w:vAlign w:val="center"/>
          </w:tcPr>
          <w:p w14:paraId="398C1FDB">
            <w:pPr>
              <w:rPr>
                <w:rFonts w:hint="eastAsia" w:ascii="宋体" w:hAnsi="宋体" w:eastAsia="宋体" w:cs="宋体"/>
                <w:color w:val="auto"/>
                <w:sz w:val="21"/>
                <w:szCs w:val="21"/>
                <w:highlight w:val="none"/>
              </w:rPr>
            </w:pPr>
          </w:p>
        </w:tc>
        <w:tc>
          <w:tcPr>
            <w:tcW w:w="1560" w:type="dxa"/>
            <w:noWrap w:val="0"/>
            <w:vAlign w:val="center"/>
          </w:tcPr>
          <w:p w14:paraId="320EDB7C">
            <w:pPr>
              <w:rPr>
                <w:rFonts w:hint="eastAsia" w:ascii="宋体" w:hAnsi="宋体" w:eastAsia="宋体" w:cs="宋体"/>
                <w:color w:val="auto"/>
                <w:sz w:val="21"/>
                <w:szCs w:val="21"/>
                <w:highlight w:val="none"/>
              </w:rPr>
            </w:pPr>
          </w:p>
        </w:tc>
        <w:tc>
          <w:tcPr>
            <w:tcW w:w="1344" w:type="dxa"/>
            <w:noWrap w:val="0"/>
            <w:vAlign w:val="center"/>
          </w:tcPr>
          <w:p w14:paraId="15602767">
            <w:pPr>
              <w:rPr>
                <w:rFonts w:hint="eastAsia" w:ascii="宋体" w:hAnsi="宋体" w:eastAsia="宋体" w:cs="宋体"/>
                <w:color w:val="auto"/>
                <w:sz w:val="21"/>
                <w:szCs w:val="21"/>
                <w:highlight w:val="none"/>
              </w:rPr>
            </w:pPr>
          </w:p>
        </w:tc>
        <w:tc>
          <w:tcPr>
            <w:tcW w:w="1525" w:type="dxa"/>
            <w:noWrap w:val="0"/>
            <w:vAlign w:val="center"/>
          </w:tcPr>
          <w:p w14:paraId="144A9A2E">
            <w:pPr>
              <w:rPr>
                <w:rFonts w:hint="eastAsia" w:ascii="宋体" w:hAnsi="宋体" w:eastAsia="宋体" w:cs="宋体"/>
                <w:color w:val="auto"/>
                <w:sz w:val="21"/>
                <w:szCs w:val="21"/>
                <w:highlight w:val="none"/>
              </w:rPr>
            </w:pPr>
          </w:p>
        </w:tc>
        <w:tc>
          <w:tcPr>
            <w:tcW w:w="1091" w:type="dxa"/>
            <w:noWrap w:val="0"/>
            <w:vAlign w:val="center"/>
          </w:tcPr>
          <w:p w14:paraId="04349274">
            <w:pPr>
              <w:rPr>
                <w:rFonts w:hint="eastAsia" w:ascii="宋体" w:hAnsi="宋体" w:eastAsia="宋体" w:cs="宋体"/>
                <w:color w:val="auto"/>
                <w:sz w:val="21"/>
                <w:szCs w:val="21"/>
                <w:highlight w:val="none"/>
              </w:rPr>
            </w:pPr>
          </w:p>
        </w:tc>
      </w:tr>
      <w:tr w14:paraId="6FB7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6429B6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noWrap w:val="0"/>
            <w:vAlign w:val="center"/>
          </w:tcPr>
          <w:p w14:paraId="71190630">
            <w:pPr>
              <w:rPr>
                <w:rFonts w:hint="eastAsia" w:ascii="宋体" w:hAnsi="宋体" w:eastAsia="宋体" w:cs="宋体"/>
                <w:color w:val="auto"/>
                <w:sz w:val="21"/>
                <w:szCs w:val="21"/>
                <w:highlight w:val="none"/>
              </w:rPr>
            </w:pPr>
          </w:p>
        </w:tc>
        <w:tc>
          <w:tcPr>
            <w:tcW w:w="1248" w:type="dxa"/>
            <w:noWrap w:val="0"/>
            <w:vAlign w:val="center"/>
          </w:tcPr>
          <w:p w14:paraId="5B48CA11">
            <w:pPr>
              <w:rPr>
                <w:rFonts w:hint="eastAsia" w:ascii="宋体" w:hAnsi="宋体" w:eastAsia="宋体" w:cs="宋体"/>
                <w:color w:val="auto"/>
                <w:sz w:val="21"/>
                <w:szCs w:val="21"/>
                <w:highlight w:val="none"/>
              </w:rPr>
            </w:pPr>
          </w:p>
        </w:tc>
        <w:tc>
          <w:tcPr>
            <w:tcW w:w="1560" w:type="dxa"/>
            <w:noWrap w:val="0"/>
            <w:vAlign w:val="center"/>
          </w:tcPr>
          <w:p w14:paraId="2AE6A19E">
            <w:pPr>
              <w:rPr>
                <w:rFonts w:hint="eastAsia" w:ascii="宋体" w:hAnsi="宋体" w:eastAsia="宋体" w:cs="宋体"/>
                <w:color w:val="auto"/>
                <w:sz w:val="21"/>
                <w:szCs w:val="21"/>
                <w:highlight w:val="none"/>
              </w:rPr>
            </w:pPr>
          </w:p>
        </w:tc>
        <w:tc>
          <w:tcPr>
            <w:tcW w:w="1344" w:type="dxa"/>
            <w:noWrap w:val="0"/>
            <w:vAlign w:val="center"/>
          </w:tcPr>
          <w:p w14:paraId="74837DDA">
            <w:pPr>
              <w:rPr>
                <w:rFonts w:hint="eastAsia" w:ascii="宋体" w:hAnsi="宋体" w:eastAsia="宋体" w:cs="宋体"/>
                <w:color w:val="auto"/>
                <w:sz w:val="21"/>
                <w:szCs w:val="21"/>
                <w:highlight w:val="none"/>
              </w:rPr>
            </w:pPr>
          </w:p>
        </w:tc>
        <w:tc>
          <w:tcPr>
            <w:tcW w:w="1525" w:type="dxa"/>
            <w:noWrap w:val="0"/>
            <w:vAlign w:val="center"/>
          </w:tcPr>
          <w:p w14:paraId="7147A693">
            <w:pPr>
              <w:rPr>
                <w:rFonts w:hint="eastAsia" w:ascii="宋体" w:hAnsi="宋体" w:eastAsia="宋体" w:cs="宋体"/>
                <w:color w:val="auto"/>
                <w:sz w:val="21"/>
                <w:szCs w:val="21"/>
                <w:highlight w:val="none"/>
              </w:rPr>
            </w:pPr>
          </w:p>
        </w:tc>
        <w:tc>
          <w:tcPr>
            <w:tcW w:w="1091" w:type="dxa"/>
            <w:noWrap w:val="0"/>
            <w:vAlign w:val="center"/>
          </w:tcPr>
          <w:p w14:paraId="20049C7D">
            <w:pPr>
              <w:rPr>
                <w:rFonts w:hint="eastAsia" w:ascii="宋体" w:hAnsi="宋体" w:eastAsia="宋体" w:cs="宋体"/>
                <w:color w:val="auto"/>
                <w:sz w:val="21"/>
                <w:szCs w:val="21"/>
                <w:highlight w:val="none"/>
              </w:rPr>
            </w:pPr>
          </w:p>
        </w:tc>
      </w:tr>
      <w:tr w14:paraId="3BF2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63C62A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noWrap w:val="0"/>
            <w:vAlign w:val="center"/>
          </w:tcPr>
          <w:p w14:paraId="79644A98">
            <w:pPr>
              <w:rPr>
                <w:rFonts w:hint="eastAsia" w:ascii="宋体" w:hAnsi="宋体" w:eastAsia="宋体" w:cs="宋体"/>
                <w:color w:val="auto"/>
                <w:sz w:val="21"/>
                <w:szCs w:val="21"/>
                <w:highlight w:val="none"/>
              </w:rPr>
            </w:pPr>
          </w:p>
        </w:tc>
        <w:tc>
          <w:tcPr>
            <w:tcW w:w="1248" w:type="dxa"/>
            <w:noWrap w:val="0"/>
            <w:vAlign w:val="center"/>
          </w:tcPr>
          <w:p w14:paraId="6D4CFCE0">
            <w:pPr>
              <w:rPr>
                <w:rFonts w:hint="eastAsia" w:ascii="宋体" w:hAnsi="宋体" w:eastAsia="宋体" w:cs="宋体"/>
                <w:color w:val="auto"/>
                <w:sz w:val="21"/>
                <w:szCs w:val="21"/>
                <w:highlight w:val="none"/>
              </w:rPr>
            </w:pPr>
          </w:p>
        </w:tc>
        <w:tc>
          <w:tcPr>
            <w:tcW w:w="1560" w:type="dxa"/>
            <w:noWrap w:val="0"/>
            <w:vAlign w:val="center"/>
          </w:tcPr>
          <w:p w14:paraId="5534B45C">
            <w:pPr>
              <w:rPr>
                <w:rFonts w:hint="eastAsia" w:ascii="宋体" w:hAnsi="宋体" w:eastAsia="宋体" w:cs="宋体"/>
                <w:color w:val="auto"/>
                <w:sz w:val="21"/>
                <w:szCs w:val="21"/>
                <w:highlight w:val="none"/>
              </w:rPr>
            </w:pPr>
          </w:p>
        </w:tc>
        <w:tc>
          <w:tcPr>
            <w:tcW w:w="1344" w:type="dxa"/>
            <w:noWrap w:val="0"/>
            <w:vAlign w:val="center"/>
          </w:tcPr>
          <w:p w14:paraId="13759F7D">
            <w:pPr>
              <w:rPr>
                <w:rFonts w:hint="eastAsia" w:ascii="宋体" w:hAnsi="宋体" w:eastAsia="宋体" w:cs="宋体"/>
                <w:color w:val="auto"/>
                <w:sz w:val="21"/>
                <w:szCs w:val="21"/>
                <w:highlight w:val="none"/>
              </w:rPr>
            </w:pPr>
          </w:p>
        </w:tc>
        <w:tc>
          <w:tcPr>
            <w:tcW w:w="1525" w:type="dxa"/>
            <w:noWrap w:val="0"/>
            <w:vAlign w:val="center"/>
          </w:tcPr>
          <w:p w14:paraId="1FD55CC2">
            <w:pPr>
              <w:rPr>
                <w:rFonts w:hint="eastAsia" w:ascii="宋体" w:hAnsi="宋体" w:eastAsia="宋体" w:cs="宋体"/>
                <w:color w:val="auto"/>
                <w:sz w:val="21"/>
                <w:szCs w:val="21"/>
                <w:highlight w:val="none"/>
              </w:rPr>
            </w:pPr>
          </w:p>
        </w:tc>
        <w:tc>
          <w:tcPr>
            <w:tcW w:w="1091" w:type="dxa"/>
            <w:noWrap w:val="0"/>
            <w:vAlign w:val="center"/>
          </w:tcPr>
          <w:p w14:paraId="73A006E1">
            <w:pPr>
              <w:rPr>
                <w:rFonts w:hint="eastAsia" w:ascii="宋体" w:hAnsi="宋体" w:eastAsia="宋体" w:cs="宋体"/>
                <w:color w:val="auto"/>
                <w:sz w:val="21"/>
                <w:szCs w:val="21"/>
                <w:highlight w:val="none"/>
              </w:rPr>
            </w:pPr>
          </w:p>
        </w:tc>
      </w:tr>
      <w:tr w14:paraId="6C5A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03E5632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noWrap w:val="0"/>
            <w:vAlign w:val="center"/>
          </w:tcPr>
          <w:p w14:paraId="3D0C62A2">
            <w:pPr>
              <w:rPr>
                <w:rFonts w:hint="eastAsia" w:ascii="宋体" w:hAnsi="宋体" w:eastAsia="宋体" w:cs="宋体"/>
                <w:color w:val="auto"/>
                <w:sz w:val="21"/>
                <w:szCs w:val="21"/>
                <w:highlight w:val="none"/>
              </w:rPr>
            </w:pPr>
          </w:p>
        </w:tc>
        <w:tc>
          <w:tcPr>
            <w:tcW w:w="1248" w:type="dxa"/>
            <w:noWrap w:val="0"/>
            <w:vAlign w:val="center"/>
          </w:tcPr>
          <w:p w14:paraId="39A27473">
            <w:pPr>
              <w:rPr>
                <w:rFonts w:hint="eastAsia" w:ascii="宋体" w:hAnsi="宋体" w:eastAsia="宋体" w:cs="宋体"/>
                <w:color w:val="auto"/>
                <w:sz w:val="21"/>
                <w:szCs w:val="21"/>
                <w:highlight w:val="none"/>
              </w:rPr>
            </w:pPr>
          </w:p>
        </w:tc>
        <w:tc>
          <w:tcPr>
            <w:tcW w:w="1560" w:type="dxa"/>
            <w:noWrap w:val="0"/>
            <w:vAlign w:val="center"/>
          </w:tcPr>
          <w:p w14:paraId="44FFF51D">
            <w:pPr>
              <w:rPr>
                <w:rFonts w:hint="eastAsia" w:ascii="宋体" w:hAnsi="宋体" w:eastAsia="宋体" w:cs="宋体"/>
                <w:color w:val="auto"/>
                <w:sz w:val="21"/>
                <w:szCs w:val="21"/>
                <w:highlight w:val="none"/>
              </w:rPr>
            </w:pPr>
          </w:p>
        </w:tc>
        <w:tc>
          <w:tcPr>
            <w:tcW w:w="1344" w:type="dxa"/>
            <w:noWrap w:val="0"/>
            <w:vAlign w:val="center"/>
          </w:tcPr>
          <w:p w14:paraId="09E3DAF5">
            <w:pPr>
              <w:rPr>
                <w:rFonts w:hint="eastAsia" w:ascii="宋体" w:hAnsi="宋体" w:eastAsia="宋体" w:cs="宋体"/>
                <w:color w:val="auto"/>
                <w:sz w:val="21"/>
                <w:szCs w:val="21"/>
                <w:highlight w:val="none"/>
              </w:rPr>
            </w:pPr>
          </w:p>
        </w:tc>
        <w:tc>
          <w:tcPr>
            <w:tcW w:w="1525" w:type="dxa"/>
            <w:noWrap w:val="0"/>
            <w:vAlign w:val="center"/>
          </w:tcPr>
          <w:p w14:paraId="1B091E53">
            <w:pPr>
              <w:rPr>
                <w:rFonts w:hint="eastAsia" w:ascii="宋体" w:hAnsi="宋体" w:eastAsia="宋体" w:cs="宋体"/>
                <w:color w:val="auto"/>
                <w:sz w:val="21"/>
                <w:szCs w:val="21"/>
                <w:highlight w:val="none"/>
              </w:rPr>
            </w:pPr>
          </w:p>
        </w:tc>
        <w:tc>
          <w:tcPr>
            <w:tcW w:w="1091" w:type="dxa"/>
            <w:noWrap w:val="0"/>
            <w:vAlign w:val="center"/>
          </w:tcPr>
          <w:p w14:paraId="7F5AEC07">
            <w:pPr>
              <w:rPr>
                <w:rFonts w:hint="eastAsia" w:ascii="宋体" w:hAnsi="宋体" w:eastAsia="宋体" w:cs="宋体"/>
                <w:color w:val="auto"/>
                <w:sz w:val="21"/>
                <w:szCs w:val="21"/>
                <w:highlight w:val="none"/>
              </w:rPr>
            </w:pPr>
          </w:p>
        </w:tc>
      </w:tr>
      <w:tr w14:paraId="038E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450A0B7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noWrap w:val="0"/>
            <w:vAlign w:val="center"/>
          </w:tcPr>
          <w:p w14:paraId="3F235FD8">
            <w:pPr>
              <w:rPr>
                <w:rFonts w:hint="eastAsia" w:ascii="宋体" w:hAnsi="宋体" w:eastAsia="宋体" w:cs="宋体"/>
                <w:color w:val="auto"/>
                <w:sz w:val="21"/>
                <w:szCs w:val="21"/>
                <w:highlight w:val="none"/>
              </w:rPr>
            </w:pPr>
          </w:p>
        </w:tc>
        <w:tc>
          <w:tcPr>
            <w:tcW w:w="1248" w:type="dxa"/>
            <w:noWrap w:val="0"/>
            <w:vAlign w:val="center"/>
          </w:tcPr>
          <w:p w14:paraId="13D04C2B">
            <w:pPr>
              <w:rPr>
                <w:rFonts w:hint="eastAsia" w:ascii="宋体" w:hAnsi="宋体" w:eastAsia="宋体" w:cs="宋体"/>
                <w:color w:val="auto"/>
                <w:sz w:val="21"/>
                <w:szCs w:val="21"/>
                <w:highlight w:val="none"/>
              </w:rPr>
            </w:pPr>
          </w:p>
        </w:tc>
        <w:tc>
          <w:tcPr>
            <w:tcW w:w="1560" w:type="dxa"/>
            <w:noWrap w:val="0"/>
            <w:vAlign w:val="center"/>
          </w:tcPr>
          <w:p w14:paraId="30C173EC">
            <w:pPr>
              <w:rPr>
                <w:rFonts w:hint="eastAsia" w:ascii="宋体" w:hAnsi="宋体" w:eastAsia="宋体" w:cs="宋体"/>
                <w:color w:val="auto"/>
                <w:sz w:val="21"/>
                <w:szCs w:val="21"/>
                <w:highlight w:val="none"/>
              </w:rPr>
            </w:pPr>
          </w:p>
        </w:tc>
        <w:tc>
          <w:tcPr>
            <w:tcW w:w="1344" w:type="dxa"/>
            <w:noWrap w:val="0"/>
            <w:vAlign w:val="center"/>
          </w:tcPr>
          <w:p w14:paraId="5BB0ED2C">
            <w:pPr>
              <w:rPr>
                <w:rFonts w:hint="eastAsia" w:ascii="宋体" w:hAnsi="宋体" w:eastAsia="宋体" w:cs="宋体"/>
                <w:color w:val="auto"/>
                <w:sz w:val="21"/>
                <w:szCs w:val="21"/>
                <w:highlight w:val="none"/>
              </w:rPr>
            </w:pPr>
          </w:p>
        </w:tc>
        <w:tc>
          <w:tcPr>
            <w:tcW w:w="1525" w:type="dxa"/>
            <w:noWrap w:val="0"/>
            <w:vAlign w:val="center"/>
          </w:tcPr>
          <w:p w14:paraId="11DCE8CB">
            <w:pPr>
              <w:rPr>
                <w:rFonts w:hint="eastAsia" w:ascii="宋体" w:hAnsi="宋体" w:eastAsia="宋体" w:cs="宋体"/>
                <w:color w:val="auto"/>
                <w:sz w:val="21"/>
                <w:szCs w:val="21"/>
                <w:highlight w:val="none"/>
              </w:rPr>
            </w:pPr>
          </w:p>
        </w:tc>
        <w:tc>
          <w:tcPr>
            <w:tcW w:w="1091" w:type="dxa"/>
            <w:noWrap w:val="0"/>
            <w:vAlign w:val="center"/>
          </w:tcPr>
          <w:p w14:paraId="58654DE5">
            <w:pPr>
              <w:rPr>
                <w:rFonts w:hint="eastAsia" w:ascii="宋体" w:hAnsi="宋体" w:eastAsia="宋体" w:cs="宋体"/>
                <w:color w:val="auto"/>
                <w:sz w:val="21"/>
                <w:szCs w:val="21"/>
                <w:highlight w:val="none"/>
              </w:rPr>
            </w:pPr>
          </w:p>
        </w:tc>
      </w:tr>
      <w:tr w14:paraId="24A6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noWrap w:val="0"/>
            <w:vAlign w:val="center"/>
          </w:tcPr>
          <w:p w14:paraId="17D966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noWrap w:val="0"/>
            <w:vAlign w:val="center"/>
          </w:tcPr>
          <w:p w14:paraId="7FF868E1">
            <w:pPr>
              <w:rPr>
                <w:rFonts w:hint="eastAsia" w:ascii="宋体" w:hAnsi="宋体" w:eastAsia="宋体" w:cs="宋体"/>
                <w:color w:val="auto"/>
                <w:sz w:val="21"/>
                <w:szCs w:val="21"/>
                <w:highlight w:val="none"/>
              </w:rPr>
            </w:pPr>
          </w:p>
        </w:tc>
        <w:tc>
          <w:tcPr>
            <w:tcW w:w="1248" w:type="dxa"/>
            <w:noWrap w:val="0"/>
            <w:vAlign w:val="center"/>
          </w:tcPr>
          <w:p w14:paraId="0463634A">
            <w:pPr>
              <w:rPr>
                <w:rFonts w:hint="eastAsia" w:ascii="宋体" w:hAnsi="宋体" w:eastAsia="宋体" w:cs="宋体"/>
                <w:color w:val="auto"/>
                <w:sz w:val="21"/>
                <w:szCs w:val="21"/>
                <w:highlight w:val="none"/>
              </w:rPr>
            </w:pPr>
          </w:p>
        </w:tc>
        <w:tc>
          <w:tcPr>
            <w:tcW w:w="1560" w:type="dxa"/>
            <w:noWrap w:val="0"/>
            <w:vAlign w:val="center"/>
          </w:tcPr>
          <w:p w14:paraId="1BF0BBF2">
            <w:pPr>
              <w:rPr>
                <w:rFonts w:hint="eastAsia" w:ascii="宋体" w:hAnsi="宋体" w:eastAsia="宋体" w:cs="宋体"/>
                <w:color w:val="auto"/>
                <w:sz w:val="21"/>
                <w:szCs w:val="21"/>
                <w:highlight w:val="none"/>
              </w:rPr>
            </w:pPr>
          </w:p>
        </w:tc>
        <w:tc>
          <w:tcPr>
            <w:tcW w:w="1344" w:type="dxa"/>
            <w:noWrap w:val="0"/>
            <w:vAlign w:val="center"/>
          </w:tcPr>
          <w:p w14:paraId="4CBE2FE1">
            <w:pPr>
              <w:rPr>
                <w:rFonts w:hint="eastAsia" w:ascii="宋体" w:hAnsi="宋体" w:eastAsia="宋体" w:cs="宋体"/>
                <w:color w:val="auto"/>
                <w:sz w:val="21"/>
                <w:szCs w:val="21"/>
                <w:highlight w:val="none"/>
              </w:rPr>
            </w:pPr>
          </w:p>
        </w:tc>
        <w:tc>
          <w:tcPr>
            <w:tcW w:w="1525" w:type="dxa"/>
            <w:noWrap w:val="0"/>
            <w:vAlign w:val="center"/>
          </w:tcPr>
          <w:p w14:paraId="623092BD">
            <w:pPr>
              <w:rPr>
                <w:rFonts w:hint="eastAsia" w:ascii="宋体" w:hAnsi="宋体" w:eastAsia="宋体" w:cs="宋体"/>
                <w:color w:val="auto"/>
                <w:sz w:val="21"/>
                <w:szCs w:val="21"/>
                <w:highlight w:val="none"/>
              </w:rPr>
            </w:pPr>
          </w:p>
          <w:bookmarkEnd w:id="608"/>
        </w:tc>
        <w:tc>
          <w:tcPr>
            <w:tcW w:w="1091" w:type="dxa"/>
            <w:noWrap w:val="0"/>
            <w:vAlign w:val="center"/>
          </w:tcPr>
          <w:p w14:paraId="7C2BD2E2">
            <w:pPr>
              <w:rPr>
                <w:rFonts w:hint="eastAsia" w:ascii="宋体" w:hAnsi="宋体" w:eastAsia="宋体" w:cs="宋体"/>
                <w:color w:val="auto"/>
                <w:sz w:val="21"/>
                <w:szCs w:val="21"/>
                <w:highlight w:val="none"/>
              </w:rPr>
            </w:pPr>
          </w:p>
        </w:tc>
      </w:tr>
    </w:tbl>
    <w:p w14:paraId="7F77E520">
      <w:pPr>
        <w:rPr>
          <w:rFonts w:hint="eastAsia" w:cs="仿宋_GB2312"/>
          <w:color w:val="auto"/>
          <w:szCs w:val="24"/>
          <w:highlight w:val="none"/>
        </w:rPr>
      </w:pPr>
    </w:p>
    <w:p w14:paraId="50C3C179">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CA972A5">
      <w:pPr>
        <w:widowControl/>
        <w:spacing w:before="100" w:beforeAutospacing="1" w:after="100" w:afterAutospacing="1"/>
        <w:rPr>
          <w:rFonts w:cs="Arial"/>
          <w:color w:val="auto"/>
          <w:szCs w:val="21"/>
          <w:highlight w:val="none"/>
        </w:rPr>
      </w:pPr>
    </w:p>
    <w:p w14:paraId="57061F73">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440405AE">
      <w:pPr>
        <w:ind w:firstLine="420"/>
        <w:rPr>
          <w:rFonts w:cs="仿宋_GB2312"/>
          <w:color w:val="auto"/>
          <w:szCs w:val="24"/>
          <w:highlight w:val="none"/>
        </w:rPr>
      </w:pPr>
      <w:r>
        <w:rPr>
          <w:rFonts w:hint="eastAsia" w:cs="仿宋_GB2312"/>
          <w:color w:val="auto"/>
          <w:szCs w:val="24"/>
          <w:highlight w:val="none"/>
        </w:rPr>
        <w:t>日      期：</w:t>
      </w:r>
    </w:p>
    <w:p w14:paraId="6E6AD616">
      <w:pPr>
        <w:ind w:firstLine="420"/>
        <w:rPr>
          <w:rFonts w:cs="仿宋_GB2312"/>
          <w:color w:val="auto"/>
          <w:szCs w:val="24"/>
          <w:highlight w:val="none"/>
        </w:rPr>
      </w:pPr>
      <w:r>
        <w:rPr>
          <w:rFonts w:cs="仿宋_GB2312"/>
          <w:color w:val="auto"/>
          <w:szCs w:val="24"/>
          <w:highlight w:val="none"/>
        </w:rPr>
        <w:br w:type="page" w:clear="all"/>
      </w:r>
    </w:p>
    <w:p w14:paraId="6D5D188E">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9" w:name="_Toc163492931"/>
      <w:bookmarkStart w:id="610" w:name="_Toc32135"/>
      <w:r>
        <w:rPr>
          <w:rFonts w:hint="eastAsia" w:cs="Times New Roman"/>
          <w:b/>
          <w:bCs/>
          <w:color w:val="auto"/>
          <w:sz w:val="32"/>
          <w:szCs w:val="32"/>
          <w:highlight w:val="none"/>
          <w:lang w:val="en-US" w:eastAsia="zh-CN" w:bidi="ar-SA"/>
        </w:rPr>
        <w:t>8</w:t>
      </w:r>
      <w:r>
        <w:rPr>
          <w:rFonts w:hint="eastAsia" w:ascii="Cambria" w:hAnsi="Cambria" w:eastAsia="宋体" w:cs="Times New Roman"/>
          <w:b/>
          <w:bCs/>
          <w:color w:val="auto"/>
          <w:sz w:val="32"/>
          <w:szCs w:val="32"/>
          <w:highlight w:val="none"/>
          <w:lang w:val="en-US" w:eastAsia="zh-CN" w:bidi="ar-SA"/>
        </w:rPr>
        <w:t>、拟派项目团队</w:t>
      </w:r>
      <w:bookmarkEnd w:id="609"/>
      <w:bookmarkEnd w:id="610"/>
    </w:p>
    <w:tbl>
      <w:tblPr>
        <w:tblStyle w:val="2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27E79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4" w:hRule="atLeast"/>
        </w:trPr>
        <w:tc>
          <w:tcPr>
            <w:tcW w:w="773" w:type="dxa"/>
            <w:noWrap w:val="0"/>
            <w:vAlign w:val="center"/>
          </w:tcPr>
          <w:p w14:paraId="5084A2F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noWrap w:val="0"/>
            <w:vAlign w:val="center"/>
          </w:tcPr>
          <w:p w14:paraId="56E0E2A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604A229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noWrap w:val="0"/>
            <w:vAlign w:val="center"/>
          </w:tcPr>
          <w:p w14:paraId="52929A9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noWrap w:val="0"/>
            <w:vAlign w:val="center"/>
          </w:tcPr>
          <w:p w14:paraId="172095F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noWrap w:val="0"/>
            <w:vAlign w:val="center"/>
          </w:tcPr>
          <w:p w14:paraId="42C6488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noWrap w:val="0"/>
            <w:vAlign w:val="center"/>
          </w:tcPr>
          <w:p w14:paraId="4542D012">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noWrap w:val="0"/>
            <w:vAlign w:val="center"/>
          </w:tcPr>
          <w:p w14:paraId="0C26238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noWrap w:val="0"/>
            <w:vAlign w:val="center"/>
          </w:tcPr>
          <w:p w14:paraId="098679A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7F4D6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59EA5A51">
            <w:pPr>
              <w:pStyle w:val="37"/>
              <w:jc w:val="center"/>
              <w:rPr>
                <w:rFonts w:hint="eastAsia" w:ascii="宋体" w:hAnsi="宋体" w:eastAsia="宋体" w:cs="宋体"/>
                <w:color w:val="auto"/>
                <w:sz w:val="21"/>
                <w:szCs w:val="21"/>
                <w:highlight w:val="none"/>
              </w:rPr>
            </w:pPr>
            <w:bookmarkStart w:id="611" w:name="_Toc99533292"/>
            <w:bookmarkStart w:id="612" w:name="_Toc100090784"/>
            <w:r>
              <w:rPr>
                <w:rFonts w:hint="eastAsia" w:ascii="宋体" w:hAnsi="宋体" w:eastAsia="宋体" w:cs="宋体"/>
                <w:color w:val="auto"/>
                <w:sz w:val="21"/>
                <w:szCs w:val="21"/>
                <w:highlight w:val="none"/>
              </w:rPr>
              <w:t>1</w:t>
            </w:r>
            <w:bookmarkEnd w:id="611"/>
            <w:bookmarkEnd w:id="612"/>
          </w:p>
        </w:tc>
        <w:tc>
          <w:tcPr>
            <w:tcW w:w="1267" w:type="dxa"/>
            <w:noWrap w:val="0"/>
            <w:vAlign w:val="center"/>
          </w:tcPr>
          <w:p w14:paraId="59B6DD59">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3C2F8BB6">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95740DA">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5628B8E3">
            <w:pPr>
              <w:pStyle w:val="37"/>
              <w:jc w:val="center"/>
              <w:rPr>
                <w:rFonts w:hint="eastAsia" w:ascii="宋体" w:hAnsi="宋体" w:eastAsia="宋体" w:cs="宋体"/>
                <w:color w:val="auto"/>
                <w:sz w:val="21"/>
                <w:szCs w:val="21"/>
                <w:highlight w:val="none"/>
              </w:rPr>
            </w:pPr>
          </w:p>
        </w:tc>
        <w:tc>
          <w:tcPr>
            <w:tcW w:w="1860" w:type="dxa"/>
            <w:noWrap w:val="0"/>
            <w:vAlign w:val="center"/>
          </w:tcPr>
          <w:p w14:paraId="5B0FF113">
            <w:pPr>
              <w:pStyle w:val="37"/>
              <w:jc w:val="center"/>
              <w:rPr>
                <w:rFonts w:hint="eastAsia" w:ascii="宋体" w:hAnsi="宋体" w:eastAsia="宋体" w:cs="宋体"/>
                <w:color w:val="auto"/>
                <w:sz w:val="21"/>
                <w:szCs w:val="21"/>
                <w:highlight w:val="none"/>
              </w:rPr>
            </w:pPr>
          </w:p>
        </w:tc>
        <w:tc>
          <w:tcPr>
            <w:tcW w:w="1356" w:type="dxa"/>
            <w:noWrap w:val="0"/>
            <w:vAlign w:val="center"/>
          </w:tcPr>
          <w:p w14:paraId="7A6656BF">
            <w:pPr>
              <w:pStyle w:val="37"/>
              <w:jc w:val="center"/>
              <w:rPr>
                <w:rFonts w:hint="eastAsia" w:ascii="宋体" w:hAnsi="宋体" w:eastAsia="宋体" w:cs="宋体"/>
                <w:color w:val="auto"/>
                <w:sz w:val="21"/>
                <w:szCs w:val="21"/>
                <w:highlight w:val="none"/>
              </w:rPr>
            </w:pPr>
          </w:p>
        </w:tc>
        <w:tc>
          <w:tcPr>
            <w:tcW w:w="816" w:type="dxa"/>
            <w:noWrap w:val="0"/>
            <w:vAlign w:val="center"/>
          </w:tcPr>
          <w:p w14:paraId="3D114895">
            <w:pPr>
              <w:pStyle w:val="37"/>
              <w:jc w:val="center"/>
              <w:rPr>
                <w:rFonts w:hint="eastAsia" w:ascii="宋体" w:hAnsi="宋体" w:eastAsia="宋体" w:cs="宋体"/>
                <w:color w:val="auto"/>
                <w:sz w:val="21"/>
                <w:szCs w:val="21"/>
                <w:highlight w:val="none"/>
              </w:rPr>
            </w:pPr>
          </w:p>
        </w:tc>
      </w:tr>
      <w:tr w14:paraId="2B6E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5BE73B1E">
            <w:pPr>
              <w:pStyle w:val="37"/>
              <w:jc w:val="center"/>
              <w:rPr>
                <w:rFonts w:hint="eastAsia" w:ascii="宋体" w:hAnsi="宋体" w:eastAsia="宋体" w:cs="宋体"/>
                <w:color w:val="auto"/>
                <w:sz w:val="21"/>
                <w:szCs w:val="21"/>
                <w:highlight w:val="none"/>
              </w:rPr>
            </w:pPr>
            <w:bookmarkStart w:id="613" w:name="_Toc100090785"/>
            <w:bookmarkStart w:id="614" w:name="_Toc99533293"/>
            <w:r>
              <w:rPr>
                <w:rFonts w:hint="eastAsia" w:ascii="宋体" w:hAnsi="宋体" w:eastAsia="宋体" w:cs="宋体"/>
                <w:color w:val="auto"/>
                <w:sz w:val="21"/>
                <w:szCs w:val="21"/>
                <w:highlight w:val="none"/>
              </w:rPr>
              <w:t>2</w:t>
            </w:r>
            <w:bookmarkEnd w:id="613"/>
            <w:bookmarkEnd w:id="614"/>
          </w:p>
        </w:tc>
        <w:tc>
          <w:tcPr>
            <w:tcW w:w="1267" w:type="dxa"/>
            <w:noWrap w:val="0"/>
            <w:vAlign w:val="center"/>
          </w:tcPr>
          <w:p w14:paraId="2CCC0C02">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7AF9D4A7">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1392A365">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06F4F351">
            <w:pPr>
              <w:pStyle w:val="37"/>
              <w:jc w:val="center"/>
              <w:rPr>
                <w:rFonts w:hint="eastAsia" w:ascii="宋体" w:hAnsi="宋体" w:eastAsia="宋体" w:cs="宋体"/>
                <w:color w:val="auto"/>
                <w:sz w:val="21"/>
                <w:szCs w:val="21"/>
                <w:highlight w:val="none"/>
              </w:rPr>
            </w:pPr>
          </w:p>
        </w:tc>
        <w:tc>
          <w:tcPr>
            <w:tcW w:w="1860" w:type="dxa"/>
            <w:noWrap w:val="0"/>
            <w:vAlign w:val="center"/>
          </w:tcPr>
          <w:p w14:paraId="5D782CAE">
            <w:pPr>
              <w:pStyle w:val="37"/>
              <w:jc w:val="center"/>
              <w:rPr>
                <w:rFonts w:hint="eastAsia" w:ascii="宋体" w:hAnsi="宋体" w:eastAsia="宋体" w:cs="宋体"/>
                <w:color w:val="auto"/>
                <w:sz w:val="21"/>
                <w:szCs w:val="21"/>
                <w:highlight w:val="none"/>
              </w:rPr>
            </w:pPr>
          </w:p>
        </w:tc>
        <w:tc>
          <w:tcPr>
            <w:tcW w:w="1356" w:type="dxa"/>
            <w:noWrap w:val="0"/>
            <w:vAlign w:val="center"/>
          </w:tcPr>
          <w:p w14:paraId="27F438BC">
            <w:pPr>
              <w:pStyle w:val="37"/>
              <w:jc w:val="center"/>
              <w:rPr>
                <w:rFonts w:hint="eastAsia" w:ascii="宋体" w:hAnsi="宋体" w:eastAsia="宋体" w:cs="宋体"/>
                <w:color w:val="auto"/>
                <w:sz w:val="21"/>
                <w:szCs w:val="21"/>
                <w:highlight w:val="none"/>
              </w:rPr>
            </w:pPr>
          </w:p>
        </w:tc>
        <w:tc>
          <w:tcPr>
            <w:tcW w:w="816" w:type="dxa"/>
            <w:noWrap w:val="0"/>
            <w:vAlign w:val="center"/>
          </w:tcPr>
          <w:p w14:paraId="3B52C8D1">
            <w:pPr>
              <w:pStyle w:val="37"/>
              <w:jc w:val="center"/>
              <w:rPr>
                <w:rFonts w:hint="eastAsia" w:ascii="宋体" w:hAnsi="宋体" w:eastAsia="宋体" w:cs="宋体"/>
                <w:color w:val="auto"/>
                <w:sz w:val="21"/>
                <w:szCs w:val="21"/>
                <w:highlight w:val="none"/>
              </w:rPr>
            </w:pPr>
          </w:p>
        </w:tc>
      </w:tr>
      <w:tr w14:paraId="43F1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5B3BCEB7">
            <w:pPr>
              <w:pStyle w:val="37"/>
              <w:jc w:val="center"/>
              <w:rPr>
                <w:rFonts w:hint="eastAsia" w:ascii="宋体" w:hAnsi="宋体" w:eastAsia="宋体" w:cs="宋体"/>
                <w:color w:val="auto"/>
                <w:sz w:val="21"/>
                <w:szCs w:val="21"/>
                <w:highlight w:val="none"/>
              </w:rPr>
            </w:pPr>
            <w:bookmarkStart w:id="615" w:name="_Toc100090786"/>
            <w:bookmarkStart w:id="616" w:name="_Toc99533294"/>
            <w:r>
              <w:rPr>
                <w:rFonts w:hint="eastAsia" w:ascii="宋体" w:hAnsi="宋体" w:eastAsia="宋体" w:cs="宋体"/>
                <w:color w:val="auto"/>
                <w:sz w:val="21"/>
                <w:szCs w:val="21"/>
                <w:highlight w:val="none"/>
              </w:rPr>
              <w:t>3</w:t>
            </w:r>
            <w:bookmarkEnd w:id="615"/>
            <w:bookmarkEnd w:id="616"/>
          </w:p>
        </w:tc>
        <w:tc>
          <w:tcPr>
            <w:tcW w:w="1267" w:type="dxa"/>
            <w:noWrap w:val="0"/>
            <w:vAlign w:val="center"/>
          </w:tcPr>
          <w:p w14:paraId="79A8F3E9">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2854C891">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011E13C5">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CE46BF1">
            <w:pPr>
              <w:pStyle w:val="37"/>
              <w:jc w:val="center"/>
              <w:rPr>
                <w:rFonts w:hint="eastAsia" w:ascii="宋体" w:hAnsi="宋体" w:eastAsia="宋体" w:cs="宋体"/>
                <w:color w:val="auto"/>
                <w:sz w:val="21"/>
                <w:szCs w:val="21"/>
                <w:highlight w:val="none"/>
              </w:rPr>
            </w:pPr>
          </w:p>
        </w:tc>
        <w:tc>
          <w:tcPr>
            <w:tcW w:w="1860" w:type="dxa"/>
            <w:noWrap w:val="0"/>
            <w:vAlign w:val="center"/>
          </w:tcPr>
          <w:p w14:paraId="6CB3AE42">
            <w:pPr>
              <w:pStyle w:val="37"/>
              <w:jc w:val="center"/>
              <w:rPr>
                <w:rFonts w:hint="eastAsia" w:ascii="宋体" w:hAnsi="宋体" w:eastAsia="宋体" w:cs="宋体"/>
                <w:color w:val="auto"/>
                <w:sz w:val="21"/>
                <w:szCs w:val="21"/>
                <w:highlight w:val="none"/>
              </w:rPr>
            </w:pPr>
          </w:p>
        </w:tc>
        <w:tc>
          <w:tcPr>
            <w:tcW w:w="1356" w:type="dxa"/>
            <w:noWrap w:val="0"/>
            <w:vAlign w:val="center"/>
          </w:tcPr>
          <w:p w14:paraId="5AFBF103">
            <w:pPr>
              <w:pStyle w:val="37"/>
              <w:jc w:val="center"/>
              <w:rPr>
                <w:rFonts w:hint="eastAsia" w:ascii="宋体" w:hAnsi="宋体" w:eastAsia="宋体" w:cs="宋体"/>
                <w:color w:val="auto"/>
                <w:sz w:val="21"/>
                <w:szCs w:val="21"/>
                <w:highlight w:val="none"/>
              </w:rPr>
            </w:pPr>
          </w:p>
        </w:tc>
        <w:tc>
          <w:tcPr>
            <w:tcW w:w="816" w:type="dxa"/>
            <w:noWrap w:val="0"/>
            <w:vAlign w:val="center"/>
          </w:tcPr>
          <w:p w14:paraId="6DD0D2ED">
            <w:pPr>
              <w:pStyle w:val="37"/>
              <w:jc w:val="center"/>
              <w:rPr>
                <w:rFonts w:hint="eastAsia" w:ascii="宋体" w:hAnsi="宋体" w:eastAsia="宋体" w:cs="宋体"/>
                <w:color w:val="auto"/>
                <w:sz w:val="21"/>
                <w:szCs w:val="21"/>
                <w:highlight w:val="none"/>
              </w:rPr>
            </w:pPr>
          </w:p>
        </w:tc>
      </w:tr>
      <w:tr w14:paraId="6291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24C7E755">
            <w:pPr>
              <w:pStyle w:val="37"/>
              <w:jc w:val="center"/>
              <w:rPr>
                <w:rFonts w:hint="eastAsia" w:ascii="宋体" w:hAnsi="宋体" w:eastAsia="宋体" w:cs="宋体"/>
                <w:color w:val="auto"/>
                <w:sz w:val="21"/>
                <w:szCs w:val="21"/>
                <w:highlight w:val="none"/>
              </w:rPr>
            </w:pPr>
            <w:bookmarkStart w:id="617" w:name="_Toc100090787"/>
            <w:bookmarkStart w:id="618" w:name="_Toc99533295"/>
            <w:r>
              <w:rPr>
                <w:rFonts w:hint="eastAsia" w:ascii="宋体" w:hAnsi="宋体" w:eastAsia="宋体" w:cs="宋体"/>
                <w:color w:val="auto"/>
                <w:sz w:val="21"/>
                <w:szCs w:val="21"/>
                <w:highlight w:val="none"/>
              </w:rPr>
              <w:t>4</w:t>
            </w:r>
            <w:bookmarkEnd w:id="617"/>
            <w:bookmarkEnd w:id="618"/>
          </w:p>
        </w:tc>
        <w:tc>
          <w:tcPr>
            <w:tcW w:w="1267" w:type="dxa"/>
            <w:noWrap w:val="0"/>
            <w:vAlign w:val="center"/>
          </w:tcPr>
          <w:p w14:paraId="0C0CD4C2">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D46EB70">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18794D6">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61452FC">
            <w:pPr>
              <w:pStyle w:val="37"/>
              <w:jc w:val="center"/>
              <w:rPr>
                <w:rFonts w:hint="eastAsia" w:ascii="宋体" w:hAnsi="宋体" w:eastAsia="宋体" w:cs="宋体"/>
                <w:color w:val="auto"/>
                <w:sz w:val="21"/>
                <w:szCs w:val="21"/>
                <w:highlight w:val="none"/>
              </w:rPr>
            </w:pPr>
          </w:p>
        </w:tc>
        <w:tc>
          <w:tcPr>
            <w:tcW w:w="1860" w:type="dxa"/>
            <w:noWrap w:val="0"/>
            <w:vAlign w:val="center"/>
          </w:tcPr>
          <w:p w14:paraId="5ABCDEEA">
            <w:pPr>
              <w:pStyle w:val="37"/>
              <w:jc w:val="center"/>
              <w:rPr>
                <w:rFonts w:hint="eastAsia" w:ascii="宋体" w:hAnsi="宋体" w:eastAsia="宋体" w:cs="宋体"/>
                <w:color w:val="auto"/>
                <w:sz w:val="21"/>
                <w:szCs w:val="21"/>
                <w:highlight w:val="none"/>
              </w:rPr>
            </w:pPr>
          </w:p>
        </w:tc>
        <w:tc>
          <w:tcPr>
            <w:tcW w:w="1356" w:type="dxa"/>
            <w:noWrap w:val="0"/>
            <w:vAlign w:val="center"/>
          </w:tcPr>
          <w:p w14:paraId="47B7878A">
            <w:pPr>
              <w:pStyle w:val="37"/>
              <w:jc w:val="center"/>
              <w:rPr>
                <w:rFonts w:hint="eastAsia" w:ascii="宋体" w:hAnsi="宋体" w:eastAsia="宋体" w:cs="宋体"/>
                <w:color w:val="auto"/>
                <w:sz w:val="21"/>
                <w:szCs w:val="21"/>
                <w:highlight w:val="none"/>
              </w:rPr>
            </w:pPr>
          </w:p>
        </w:tc>
        <w:tc>
          <w:tcPr>
            <w:tcW w:w="816" w:type="dxa"/>
            <w:noWrap w:val="0"/>
            <w:vAlign w:val="center"/>
          </w:tcPr>
          <w:p w14:paraId="62FE8283">
            <w:pPr>
              <w:pStyle w:val="37"/>
              <w:jc w:val="center"/>
              <w:rPr>
                <w:rFonts w:hint="eastAsia" w:ascii="宋体" w:hAnsi="宋体" w:eastAsia="宋体" w:cs="宋体"/>
                <w:color w:val="auto"/>
                <w:sz w:val="21"/>
                <w:szCs w:val="21"/>
                <w:highlight w:val="none"/>
              </w:rPr>
            </w:pPr>
          </w:p>
        </w:tc>
      </w:tr>
      <w:tr w14:paraId="35CDD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0B873A74">
            <w:pPr>
              <w:pStyle w:val="37"/>
              <w:jc w:val="center"/>
              <w:rPr>
                <w:rFonts w:hint="eastAsia" w:ascii="宋体" w:hAnsi="宋体" w:eastAsia="宋体" w:cs="宋体"/>
                <w:color w:val="auto"/>
                <w:sz w:val="21"/>
                <w:szCs w:val="21"/>
                <w:highlight w:val="none"/>
              </w:rPr>
            </w:pPr>
            <w:bookmarkStart w:id="619" w:name="_Toc99533296"/>
            <w:bookmarkStart w:id="620" w:name="_Toc100090788"/>
            <w:r>
              <w:rPr>
                <w:rFonts w:hint="eastAsia" w:ascii="宋体" w:hAnsi="宋体" w:eastAsia="宋体" w:cs="宋体"/>
                <w:color w:val="auto"/>
                <w:sz w:val="21"/>
                <w:szCs w:val="21"/>
                <w:highlight w:val="none"/>
              </w:rPr>
              <w:t>5</w:t>
            </w:r>
            <w:bookmarkEnd w:id="619"/>
            <w:bookmarkEnd w:id="620"/>
          </w:p>
        </w:tc>
        <w:tc>
          <w:tcPr>
            <w:tcW w:w="1267" w:type="dxa"/>
            <w:noWrap w:val="0"/>
            <w:vAlign w:val="center"/>
          </w:tcPr>
          <w:p w14:paraId="06A28217">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231BDB5C">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1D1C8193">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B091584">
            <w:pPr>
              <w:pStyle w:val="37"/>
              <w:jc w:val="center"/>
              <w:rPr>
                <w:rFonts w:hint="eastAsia" w:ascii="宋体" w:hAnsi="宋体" w:eastAsia="宋体" w:cs="宋体"/>
                <w:color w:val="auto"/>
                <w:sz w:val="21"/>
                <w:szCs w:val="21"/>
                <w:highlight w:val="none"/>
              </w:rPr>
            </w:pPr>
          </w:p>
        </w:tc>
        <w:tc>
          <w:tcPr>
            <w:tcW w:w="1860" w:type="dxa"/>
            <w:noWrap w:val="0"/>
            <w:vAlign w:val="center"/>
          </w:tcPr>
          <w:p w14:paraId="421D3A49">
            <w:pPr>
              <w:pStyle w:val="37"/>
              <w:jc w:val="center"/>
              <w:rPr>
                <w:rFonts w:hint="eastAsia" w:ascii="宋体" w:hAnsi="宋体" w:eastAsia="宋体" w:cs="宋体"/>
                <w:color w:val="auto"/>
                <w:sz w:val="21"/>
                <w:szCs w:val="21"/>
                <w:highlight w:val="none"/>
              </w:rPr>
            </w:pPr>
          </w:p>
        </w:tc>
        <w:tc>
          <w:tcPr>
            <w:tcW w:w="1356" w:type="dxa"/>
            <w:noWrap w:val="0"/>
            <w:vAlign w:val="center"/>
          </w:tcPr>
          <w:p w14:paraId="06537922">
            <w:pPr>
              <w:pStyle w:val="37"/>
              <w:jc w:val="center"/>
              <w:rPr>
                <w:rFonts w:hint="eastAsia" w:ascii="宋体" w:hAnsi="宋体" w:eastAsia="宋体" w:cs="宋体"/>
                <w:color w:val="auto"/>
                <w:sz w:val="21"/>
                <w:szCs w:val="21"/>
                <w:highlight w:val="none"/>
              </w:rPr>
            </w:pPr>
          </w:p>
        </w:tc>
        <w:tc>
          <w:tcPr>
            <w:tcW w:w="816" w:type="dxa"/>
            <w:noWrap w:val="0"/>
            <w:vAlign w:val="center"/>
          </w:tcPr>
          <w:p w14:paraId="04C20514">
            <w:pPr>
              <w:pStyle w:val="37"/>
              <w:jc w:val="center"/>
              <w:rPr>
                <w:rFonts w:hint="eastAsia" w:ascii="宋体" w:hAnsi="宋体" w:eastAsia="宋体" w:cs="宋体"/>
                <w:color w:val="auto"/>
                <w:sz w:val="21"/>
                <w:szCs w:val="21"/>
                <w:highlight w:val="none"/>
              </w:rPr>
            </w:pPr>
          </w:p>
        </w:tc>
      </w:tr>
      <w:tr w14:paraId="1E99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3608F31">
            <w:pPr>
              <w:pStyle w:val="37"/>
              <w:jc w:val="center"/>
              <w:rPr>
                <w:rFonts w:hint="eastAsia" w:ascii="宋体" w:hAnsi="宋体" w:eastAsia="宋体" w:cs="宋体"/>
                <w:color w:val="auto"/>
                <w:sz w:val="21"/>
                <w:szCs w:val="21"/>
                <w:highlight w:val="none"/>
              </w:rPr>
            </w:pPr>
            <w:bookmarkStart w:id="621" w:name="_Toc99533297"/>
            <w:bookmarkStart w:id="622" w:name="_Toc100090789"/>
            <w:r>
              <w:rPr>
                <w:rFonts w:hint="eastAsia" w:ascii="宋体" w:hAnsi="宋体" w:eastAsia="宋体" w:cs="宋体"/>
                <w:color w:val="auto"/>
                <w:sz w:val="21"/>
                <w:szCs w:val="21"/>
                <w:highlight w:val="none"/>
              </w:rPr>
              <w:t>6</w:t>
            </w:r>
            <w:bookmarkEnd w:id="621"/>
            <w:bookmarkEnd w:id="622"/>
          </w:p>
        </w:tc>
        <w:tc>
          <w:tcPr>
            <w:tcW w:w="1267" w:type="dxa"/>
            <w:noWrap w:val="0"/>
            <w:vAlign w:val="center"/>
          </w:tcPr>
          <w:p w14:paraId="7F98D13D">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B572529">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C9D132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29F6A864">
            <w:pPr>
              <w:pStyle w:val="37"/>
              <w:jc w:val="center"/>
              <w:rPr>
                <w:rFonts w:hint="eastAsia" w:ascii="宋体" w:hAnsi="宋体" w:eastAsia="宋体" w:cs="宋体"/>
                <w:color w:val="auto"/>
                <w:sz w:val="21"/>
                <w:szCs w:val="21"/>
                <w:highlight w:val="none"/>
              </w:rPr>
            </w:pPr>
          </w:p>
        </w:tc>
        <w:tc>
          <w:tcPr>
            <w:tcW w:w="1860" w:type="dxa"/>
            <w:noWrap w:val="0"/>
            <w:vAlign w:val="center"/>
          </w:tcPr>
          <w:p w14:paraId="17EB29F0">
            <w:pPr>
              <w:pStyle w:val="37"/>
              <w:jc w:val="center"/>
              <w:rPr>
                <w:rFonts w:hint="eastAsia" w:ascii="宋体" w:hAnsi="宋体" w:eastAsia="宋体" w:cs="宋体"/>
                <w:color w:val="auto"/>
                <w:sz w:val="21"/>
                <w:szCs w:val="21"/>
                <w:highlight w:val="none"/>
              </w:rPr>
            </w:pPr>
          </w:p>
        </w:tc>
        <w:tc>
          <w:tcPr>
            <w:tcW w:w="1356" w:type="dxa"/>
            <w:noWrap w:val="0"/>
            <w:vAlign w:val="center"/>
          </w:tcPr>
          <w:p w14:paraId="75DE2C35">
            <w:pPr>
              <w:pStyle w:val="37"/>
              <w:jc w:val="center"/>
              <w:rPr>
                <w:rFonts w:hint="eastAsia" w:ascii="宋体" w:hAnsi="宋体" w:eastAsia="宋体" w:cs="宋体"/>
                <w:color w:val="auto"/>
                <w:sz w:val="21"/>
                <w:szCs w:val="21"/>
                <w:highlight w:val="none"/>
              </w:rPr>
            </w:pPr>
          </w:p>
        </w:tc>
        <w:tc>
          <w:tcPr>
            <w:tcW w:w="816" w:type="dxa"/>
            <w:noWrap w:val="0"/>
            <w:vAlign w:val="center"/>
          </w:tcPr>
          <w:p w14:paraId="219EDB0E">
            <w:pPr>
              <w:pStyle w:val="37"/>
              <w:jc w:val="center"/>
              <w:rPr>
                <w:rFonts w:hint="eastAsia" w:ascii="宋体" w:hAnsi="宋体" w:eastAsia="宋体" w:cs="宋体"/>
                <w:color w:val="auto"/>
                <w:sz w:val="21"/>
                <w:szCs w:val="21"/>
                <w:highlight w:val="none"/>
              </w:rPr>
            </w:pPr>
          </w:p>
        </w:tc>
      </w:tr>
      <w:tr w14:paraId="4910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2E6C8A8A">
            <w:pPr>
              <w:pStyle w:val="37"/>
              <w:jc w:val="center"/>
              <w:rPr>
                <w:rFonts w:hint="eastAsia" w:ascii="宋体" w:hAnsi="宋体" w:eastAsia="宋体" w:cs="宋体"/>
                <w:color w:val="auto"/>
                <w:sz w:val="21"/>
                <w:szCs w:val="21"/>
                <w:highlight w:val="none"/>
              </w:rPr>
            </w:pPr>
            <w:bookmarkStart w:id="623" w:name="_Toc100090790"/>
            <w:bookmarkStart w:id="624" w:name="_Toc99533298"/>
            <w:r>
              <w:rPr>
                <w:rFonts w:hint="eastAsia" w:ascii="宋体" w:hAnsi="宋体" w:eastAsia="宋体" w:cs="宋体"/>
                <w:color w:val="auto"/>
                <w:sz w:val="21"/>
                <w:szCs w:val="21"/>
                <w:highlight w:val="none"/>
              </w:rPr>
              <w:t>7</w:t>
            </w:r>
            <w:bookmarkEnd w:id="623"/>
            <w:bookmarkEnd w:id="624"/>
          </w:p>
        </w:tc>
        <w:tc>
          <w:tcPr>
            <w:tcW w:w="1267" w:type="dxa"/>
            <w:noWrap w:val="0"/>
            <w:vAlign w:val="center"/>
          </w:tcPr>
          <w:p w14:paraId="125D5B1A">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6954F861">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A37A9FD">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4DE2B880">
            <w:pPr>
              <w:pStyle w:val="37"/>
              <w:jc w:val="center"/>
              <w:rPr>
                <w:rFonts w:hint="eastAsia" w:ascii="宋体" w:hAnsi="宋体" w:eastAsia="宋体" w:cs="宋体"/>
                <w:color w:val="auto"/>
                <w:sz w:val="21"/>
                <w:szCs w:val="21"/>
                <w:highlight w:val="none"/>
              </w:rPr>
            </w:pPr>
          </w:p>
        </w:tc>
        <w:tc>
          <w:tcPr>
            <w:tcW w:w="1860" w:type="dxa"/>
            <w:noWrap w:val="0"/>
            <w:vAlign w:val="center"/>
          </w:tcPr>
          <w:p w14:paraId="013A04CF">
            <w:pPr>
              <w:pStyle w:val="37"/>
              <w:jc w:val="center"/>
              <w:rPr>
                <w:rFonts w:hint="eastAsia" w:ascii="宋体" w:hAnsi="宋体" w:eastAsia="宋体" w:cs="宋体"/>
                <w:color w:val="auto"/>
                <w:sz w:val="21"/>
                <w:szCs w:val="21"/>
                <w:highlight w:val="none"/>
              </w:rPr>
            </w:pPr>
          </w:p>
        </w:tc>
        <w:tc>
          <w:tcPr>
            <w:tcW w:w="1356" w:type="dxa"/>
            <w:noWrap w:val="0"/>
            <w:vAlign w:val="center"/>
          </w:tcPr>
          <w:p w14:paraId="0DEB871A">
            <w:pPr>
              <w:pStyle w:val="37"/>
              <w:jc w:val="center"/>
              <w:rPr>
                <w:rFonts w:hint="eastAsia" w:ascii="宋体" w:hAnsi="宋体" w:eastAsia="宋体" w:cs="宋体"/>
                <w:color w:val="auto"/>
                <w:sz w:val="21"/>
                <w:szCs w:val="21"/>
                <w:highlight w:val="none"/>
              </w:rPr>
            </w:pPr>
          </w:p>
        </w:tc>
        <w:tc>
          <w:tcPr>
            <w:tcW w:w="816" w:type="dxa"/>
            <w:noWrap w:val="0"/>
            <w:vAlign w:val="center"/>
          </w:tcPr>
          <w:p w14:paraId="6F70BCCE">
            <w:pPr>
              <w:pStyle w:val="37"/>
              <w:jc w:val="center"/>
              <w:rPr>
                <w:rFonts w:hint="eastAsia" w:ascii="宋体" w:hAnsi="宋体" w:eastAsia="宋体" w:cs="宋体"/>
                <w:color w:val="auto"/>
                <w:sz w:val="21"/>
                <w:szCs w:val="21"/>
                <w:highlight w:val="none"/>
              </w:rPr>
            </w:pPr>
          </w:p>
        </w:tc>
      </w:tr>
      <w:tr w14:paraId="38091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25ED05C3">
            <w:pPr>
              <w:pStyle w:val="37"/>
              <w:jc w:val="center"/>
              <w:rPr>
                <w:rFonts w:hint="eastAsia" w:ascii="宋体" w:hAnsi="宋体" w:eastAsia="宋体" w:cs="宋体"/>
                <w:color w:val="auto"/>
                <w:sz w:val="21"/>
                <w:szCs w:val="21"/>
                <w:highlight w:val="none"/>
              </w:rPr>
            </w:pPr>
            <w:bookmarkStart w:id="625" w:name="_Toc99533299"/>
            <w:bookmarkStart w:id="626" w:name="_Toc100090791"/>
            <w:r>
              <w:rPr>
                <w:rFonts w:hint="eastAsia" w:ascii="宋体" w:hAnsi="宋体" w:eastAsia="宋体" w:cs="宋体"/>
                <w:color w:val="auto"/>
                <w:sz w:val="21"/>
                <w:szCs w:val="21"/>
                <w:highlight w:val="none"/>
              </w:rPr>
              <w:t>8</w:t>
            </w:r>
            <w:bookmarkEnd w:id="625"/>
            <w:bookmarkEnd w:id="626"/>
          </w:p>
        </w:tc>
        <w:tc>
          <w:tcPr>
            <w:tcW w:w="1267" w:type="dxa"/>
            <w:noWrap w:val="0"/>
            <w:vAlign w:val="center"/>
          </w:tcPr>
          <w:p w14:paraId="33BF2FC0">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4FA22731">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4EF0A945">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58FA922E">
            <w:pPr>
              <w:pStyle w:val="37"/>
              <w:jc w:val="center"/>
              <w:rPr>
                <w:rFonts w:hint="eastAsia" w:ascii="宋体" w:hAnsi="宋体" w:eastAsia="宋体" w:cs="宋体"/>
                <w:color w:val="auto"/>
                <w:sz w:val="21"/>
                <w:szCs w:val="21"/>
                <w:highlight w:val="none"/>
              </w:rPr>
            </w:pPr>
          </w:p>
        </w:tc>
        <w:tc>
          <w:tcPr>
            <w:tcW w:w="1860" w:type="dxa"/>
            <w:noWrap w:val="0"/>
            <w:vAlign w:val="center"/>
          </w:tcPr>
          <w:p w14:paraId="0C7BFEE7">
            <w:pPr>
              <w:pStyle w:val="37"/>
              <w:jc w:val="center"/>
              <w:rPr>
                <w:rFonts w:hint="eastAsia" w:ascii="宋体" w:hAnsi="宋体" w:eastAsia="宋体" w:cs="宋体"/>
                <w:color w:val="auto"/>
                <w:sz w:val="21"/>
                <w:szCs w:val="21"/>
                <w:highlight w:val="none"/>
              </w:rPr>
            </w:pPr>
          </w:p>
        </w:tc>
        <w:tc>
          <w:tcPr>
            <w:tcW w:w="1356" w:type="dxa"/>
            <w:noWrap w:val="0"/>
            <w:vAlign w:val="center"/>
          </w:tcPr>
          <w:p w14:paraId="0C8F3FFF">
            <w:pPr>
              <w:pStyle w:val="37"/>
              <w:jc w:val="center"/>
              <w:rPr>
                <w:rFonts w:hint="eastAsia" w:ascii="宋体" w:hAnsi="宋体" w:eastAsia="宋体" w:cs="宋体"/>
                <w:color w:val="auto"/>
                <w:sz w:val="21"/>
                <w:szCs w:val="21"/>
                <w:highlight w:val="none"/>
              </w:rPr>
            </w:pPr>
          </w:p>
        </w:tc>
        <w:tc>
          <w:tcPr>
            <w:tcW w:w="816" w:type="dxa"/>
            <w:noWrap w:val="0"/>
            <w:vAlign w:val="center"/>
          </w:tcPr>
          <w:p w14:paraId="10759207">
            <w:pPr>
              <w:pStyle w:val="37"/>
              <w:jc w:val="center"/>
              <w:rPr>
                <w:rFonts w:hint="eastAsia" w:ascii="宋体" w:hAnsi="宋体" w:eastAsia="宋体" w:cs="宋体"/>
                <w:color w:val="auto"/>
                <w:sz w:val="21"/>
                <w:szCs w:val="21"/>
                <w:highlight w:val="none"/>
              </w:rPr>
            </w:pPr>
          </w:p>
        </w:tc>
      </w:tr>
      <w:tr w14:paraId="0A50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2608C48C">
            <w:pPr>
              <w:pStyle w:val="37"/>
              <w:jc w:val="center"/>
              <w:rPr>
                <w:rFonts w:hint="eastAsia" w:ascii="宋体" w:hAnsi="宋体" w:eastAsia="宋体" w:cs="宋体"/>
                <w:color w:val="auto"/>
                <w:sz w:val="21"/>
                <w:szCs w:val="21"/>
                <w:highlight w:val="none"/>
              </w:rPr>
            </w:pPr>
            <w:bookmarkStart w:id="627" w:name="_Toc99533300"/>
            <w:bookmarkStart w:id="628" w:name="_Toc100090792"/>
            <w:r>
              <w:rPr>
                <w:rFonts w:hint="eastAsia" w:ascii="宋体" w:hAnsi="宋体" w:eastAsia="宋体" w:cs="宋体"/>
                <w:color w:val="auto"/>
                <w:sz w:val="21"/>
                <w:szCs w:val="21"/>
                <w:highlight w:val="none"/>
              </w:rPr>
              <w:t>9</w:t>
            </w:r>
            <w:bookmarkEnd w:id="627"/>
            <w:bookmarkEnd w:id="628"/>
          </w:p>
        </w:tc>
        <w:tc>
          <w:tcPr>
            <w:tcW w:w="1267" w:type="dxa"/>
            <w:noWrap w:val="0"/>
            <w:vAlign w:val="center"/>
          </w:tcPr>
          <w:p w14:paraId="2D4CF506">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464FF60E">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121F34B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71D8AA6">
            <w:pPr>
              <w:pStyle w:val="37"/>
              <w:jc w:val="center"/>
              <w:rPr>
                <w:rFonts w:hint="eastAsia" w:ascii="宋体" w:hAnsi="宋体" w:eastAsia="宋体" w:cs="宋体"/>
                <w:color w:val="auto"/>
                <w:sz w:val="21"/>
                <w:szCs w:val="21"/>
                <w:highlight w:val="none"/>
              </w:rPr>
            </w:pPr>
          </w:p>
        </w:tc>
        <w:tc>
          <w:tcPr>
            <w:tcW w:w="1860" w:type="dxa"/>
            <w:noWrap w:val="0"/>
            <w:vAlign w:val="center"/>
          </w:tcPr>
          <w:p w14:paraId="4B0B7B8E">
            <w:pPr>
              <w:pStyle w:val="37"/>
              <w:jc w:val="center"/>
              <w:rPr>
                <w:rFonts w:hint="eastAsia" w:ascii="宋体" w:hAnsi="宋体" w:eastAsia="宋体" w:cs="宋体"/>
                <w:color w:val="auto"/>
                <w:sz w:val="21"/>
                <w:szCs w:val="21"/>
                <w:highlight w:val="none"/>
              </w:rPr>
            </w:pPr>
          </w:p>
        </w:tc>
        <w:tc>
          <w:tcPr>
            <w:tcW w:w="1356" w:type="dxa"/>
            <w:noWrap w:val="0"/>
            <w:vAlign w:val="center"/>
          </w:tcPr>
          <w:p w14:paraId="36EB5C31">
            <w:pPr>
              <w:pStyle w:val="37"/>
              <w:jc w:val="center"/>
              <w:rPr>
                <w:rFonts w:hint="eastAsia" w:ascii="宋体" w:hAnsi="宋体" w:eastAsia="宋体" w:cs="宋体"/>
                <w:color w:val="auto"/>
                <w:sz w:val="21"/>
                <w:szCs w:val="21"/>
                <w:highlight w:val="none"/>
              </w:rPr>
            </w:pPr>
          </w:p>
        </w:tc>
        <w:tc>
          <w:tcPr>
            <w:tcW w:w="816" w:type="dxa"/>
            <w:noWrap w:val="0"/>
            <w:vAlign w:val="center"/>
          </w:tcPr>
          <w:p w14:paraId="303DBB50">
            <w:pPr>
              <w:pStyle w:val="37"/>
              <w:jc w:val="center"/>
              <w:rPr>
                <w:rFonts w:hint="eastAsia" w:ascii="宋体" w:hAnsi="宋体" w:eastAsia="宋体" w:cs="宋体"/>
                <w:color w:val="auto"/>
                <w:sz w:val="21"/>
                <w:szCs w:val="21"/>
                <w:highlight w:val="none"/>
              </w:rPr>
            </w:pPr>
          </w:p>
        </w:tc>
      </w:tr>
      <w:tr w14:paraId="5FC8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noWrap w:val="0"/>
            <w:vAlign w:val="center"/>
          </w:tcPr>
          <w:p w14:paraId="2C945DF8">
            <w:pPr>
              <w:pStyle w:val="37"/>
              <w:jc w:val="center"/>
              <w:rPr>
                <w:rFonts w:hint="eastAsia" w:ascii="宋体" w:hAnsi="宋体" w:eastAsia="宋体" w:cs="宋体"/>
                <w:color w:val="auto"/>
                <w:sz w:val="21"/>
                <w:szCs w:val="21"/>
                <w:highlight w:val="none"/>
              </w:rPr>
            </w:pPr>
            <w:bookmarkStart w:id="629" w:name="_Toc99533301"/>
            <w:bookmarkStart w:id="630" w:name="_Toc100090793"/>
            <w:r>
              <w:rPr>
                <w:rFonts w:hint="eastAsia" w:ascii="宋体" w:hAnsi="宋体" w:eastAsia="宋体" w:cs="宋体"/>
                <w:color w:val="auto"/>
                <w:sz w:val="21"/>
                <w:szCs w:val="21"/>
                <w:highlight w:val="none"/>
              </w:rPr>
              <w:t>10</w:t>
            </w:r>
            <w:bookmarkEnd w:id="629"/>
            <w:bookmarkEnd w:id="630"/>
          </w:p>
        </w:tc>
        <w:tc>
          <w:tcPr>
            <w:tcW w:w="1267" w:type="dxa"/>
            <w:noWrap w:val="0"/>
            <w:vAlign w:val="center"/>
          </w:tcPr>
          <w:p w14:paraId="18F248FF">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60286B3E">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6BF6C7D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47454A62">
            <w:pPr>
              <w:pStyle w:val="37"/>
              <w:jc w:val="center"/>
              <w:rPr>
                <w:rFonts w:hint="eastAsia" w:ascii="宋体" w:hAnsi="宋体" w:eastAsia="宋体" w:cs="宋体"/>
                <w:color w:val="auto"/>
                <w:sz w:val="21"/>
                <w:szCs w:val="21"/>
                <w:highlight w:val="none"/>
              </w:rPr>
            </w:pPr>
          </w:p>
        </w:tc>
        <w:tc>
          <w:tcPr>
            <w:tcW w:w="1860" w:type="dxa"/>
            <w:noWrap w:val="0"/>
            <w:vAlign w:val="center"/>
          </w:tcPr>
          <w:p w14:paraId="29F98B3D">
            <w:pPr>
              <w:pStyle w:val="37"/>
              <w:jc w:val="center"/>
              <w:rPr>
                <w:rFonts w:hint="eastAsia" w:ascii="宋体" w:hAnsi="宋体" w:eastAsia="宋体" w:cs="宋体"/>
                <w:color w:val="auto"/>
                <w:sz w:val="21"/>
                <w:szCs w:val="21"/>
                <w:highlight w:val="none"/>
              </w:rPr>
            </w:pPr>
          </w:p>
        </w:tc>
        <w:tc>
          <w:tcPr>
            <w:tcW w:w="1356" w:type="dxa"/>
            <w:noWrap w:val="0"/>
            <w:vAlign w:val="center"/>
          </w:tcPr>
          <w:p w14:paraId="3CF85834">
            <w:pPr>
              <w:pStyle w:val="37"/>
              <w:jc w:val="center"/>
              <w:rPr>
                <w:rFonts w:hint="eastAsia" w:ascii="宋体" w:hAnsi="宋体" w:eastAsia="宋体" w:cs="宋体"/>
                <w:color w:val="auto"/>
                <w:sz w:val="21"/>
                <w:szCs w:val="21"/>
                <w:highlight w:val="none"/>
              </w:rPr>
            </w:pPr>
          </w:p>
        </w:tc>
        <w:tc>
          <w:tcPr>
            <w:tcW w:w="816" w:type="dxa"/>
            <w:noWrap w:val="0"/>
            <w:vAlign w:val="center"/>
          </w:tcPr>
          <w:p w14:paraId="3F5AA16F">
            <w:pPr>
              <w:pStyle w:val="37"/>
              <w:jc w:val="center"/>
              <w:rPr>
                <w:rFonts w:hint="eastAsia" w:ascii="宋体" w:hAnsi="宋体" w:eastAsia="宋体" w:cs="宋体"/>
                <w:color w:val="auto"/>
                <w:sz w:val="21"/>
                <w:szCs w:val="21"/>
                <w:highlight w:val="none"/>
              </w:rPr>
            </w:pPr>
          </w:p>
        </w:tc>
      </w:tr>
    </w:tbl>
    <w:p w14:paraId="67ED8A96">
      <w:pPr>
        <w:rPr>
          <w:rFonts w:hint="eastAsia" w:cs="仿宋_GB2312"/>
          <w:color w:val="auto"/>
          <w:sz w:val="21"/>
          <w:szCs w:val="21"/>
          <w:highlight w:val="none"/>
          <w:lang w:val="en-US" w:eastAsia="zh-CN"/>
        </w:rPr>
      </w:pPr>
    </w:p>
    <w:p w14:paraId="5221F480">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6535A38B">
      <w:pPr>
        <w:ind w:firstLine="420"/>
        <w:rPr>
          <w:rFonts w:hint="eastAsia" w:cs="仿宋_GB2312"/>
          <w:color w:val="auto"/>
          <w:sz w:val="21"/>
          <w:szCs w:val="21"/>
          <w:highlight w:val="none"/>
          <w:lang w:val="en-US" w:eastAsia="zh-CN"/>
        </w:rPr>
      </w:pPr>
    </w:p>
    <w:p w14:paraId="76490358">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6A944856">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6C74A4AE">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5C7F48A1">
      <w:pPr>
        <w:rPr>
          <w:color w:val="auto"/>
          <w:highlight w:val="none"/>
        </w:rPr>
      </w:pPr>
    </w:p>
    <w:p w14:paraId="5D37263C">
      <w:pPr>
        <w:rPr>
          <w:color w:val="auto"/>
          <w:highlight w:val="none"/>
        </w:rPr>
      </w:pPr>
      <w:r>
        <w:rPr>
          <w:color w:val="auto"/>
          <w:highlight w:val="none"/>
        </w:rPr>
        <w:br w:type="page" w:clear="all"/>
      </w:r>
    </w:p>
    <w:p w14:paraId="6897E773">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1" w:name="_Toc163492934"/>
      <w:bookmarkStart w:id="632" w:name="_Toc27062"/>
      <w:r>
        <w:rPr>
          <w:rFonts w:hint="eastAsia" w:cs="Times New Roman"/>
          <w:b/>
          <w:bCs/>
          <w:color w:val="auto"/>
          <w:sz w:val="32"/>
          <w:szCs w:val="32"/>
          <w:highlight w:val="none"/>
          <w:lang w:val="en-US" w:eastAsia="zh-CN" w:bidi="ar-SA"/>
        </w:rPr>
        <w:t>9</w:t>
      </w:r>
      <w:r>
        <w:rPr>
          <w:rFonts w:hint="eastAsia" w:ascii="Cambria" w:hAnsi="Cambria" w:eastAsia="宋体" w:cs="Times New Roman"/>
          <w:b/>
          <w:bCs/>
          <w:color w:val="auto"/>
          <w:sz w:val="32"/>
          <w:szCs w:val="32"/>
          <w:highlight w:val="none"/>
          <w:lang w:val="en-US" w:eastAsia="zh-CN" w:bidi="ar-SA"/>
        </w:rPr>
        <w:t>、技术响应偏离表</w:t>
      </w:r>
      <w:bookmarkEnd w:id="631"/>
      <w:bookmarkEnd w:id="632"/>
    </w:p>
    <w:p w14:paraId="38D89E9E">
      <w:pPr>
        <w:rPr>
          <w:rFonts w:cs="仿宋_GB2312"/>
          <w:color w:val="auto"/>
          <w:szCs w:val="24"/>
          <w:highlight w:val="none"/>
        </w:rPr>
      </w:pPr>
      <w:r>
        <w:rPr>
          <w:rFonts w:hint="eastAsia" w:cs="仿宋_GB2312"/>
          <w:color w:val="auto"/>
          <w:szCs w:val="24"/>
          <w:highlight w:val="none"/>
        </w:rPr>
        <w:t xml:space="preserve">项目名称：                                         </w:t>
      </w:r>
    </w:p>
    <w:p w14:paraId="562A1A2E">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1D19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645CA0C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noWrap w:val="0"/>
            <w:vAlign w:val="center"/>
          </w:tcPr>
          <w:p w14:paraId="1DAB9D8C">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988955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noWrap w:val="0"/>
            <w:vAlign w:val="center"/>
          </w:tcPr>
          <w:p w14:paraId="5C3C939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7EC0F39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noWrap w:val="0"/>
            <w:vAlign w:val="center"/>
          </w:tcPr>
          <w:p w14:paraId="6F354D3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noWrap w:val="0"/>
            <w:vAlign w:val="center"/>
          </w:tcPr>
          <w:p w14:paraId="7BC7CE0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4F6B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2C32F54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noWrap w:val="0"/>
            <w:vAlign w:val="center"/>
          </w:tcPr>
          <w:p w14:paraId="52A7CB3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3178E45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033B6F1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1C0A6CAF">
            <w:pPr>
              <w:pStyle w:val="37"/>
              <w:jc w:val="center"/>
              <w:rPr>
                <w:rFonts w:hint="eastAsia" w:ascii="宋体" w:hAnsi="宋体" w:eastAsia="宋体" w:cs="宋体"/>
                <w:color w:val="auto"/>
                <w:sz w:val="21"/>
                <w:szCs w:val="21"/>
                <w:highlight w:val="none"/>
              </w:rPr>
            </w:pPr>
          </w:p>
        </w:tc>
      </w:tr>
      <w:tr w14:paraId="2B81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590CE96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noWrap w:val="0"/>
            <w:vAlign w:val="center"/>
          </w:tcPr>
          <w:p w14:paraId="129F349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3279566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620F88B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6D2F3F7A">
            <w:pPr>
              <w:pStyle w:val="37"/>
              <w:jc w:val="center"/>
              <w:rPr>
                <w:rFonts w:hint="eastAsia" w:ascii="宋体" w:hAnsi="宋体" w:eastAsia="宋体" w:cs="宋体"/>
                <w:color w:val="auto"/>
                <w:sz w:val="21"/>
                <w:szCs w:val="21"/>
                <w:highlight w:val="none"/>
              </w:rPr>
            </w:pPr>
          </w:p>
        </w:tc>
      </w:tr>
      <w:tr w14:paraId="2E60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05793494">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noWrap w:val="0"/>
            <w:vAlign w:val="center"/>
          </w:tcPr>
          <w:p w14:paraId="3FD43466">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noWrap w:val="0"/>
            <w:vAlign w:val="center"/>
          </w:tcPr>
          <w:p w14:paraId="0A66C56A">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noWrap w:val="0"/>
            <w:vAlign w:val="center"/>
          </w:tcPr>
          <w:p w14:paraId="1D019612">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noWrap w:val="0"/>
            <w:vAlign w:val="center"/>
          </w:tcPr>
          <w:p w14:paraId="7181DB34">
            <w:pPr>
              <w:pStyle w:val="37"/>
              <w:jc w:val="center"/>
              <w:rPr>
                <w:rFonts w:hint="eastAsia" w:ascii="宋体" w:hAnsi="宋体" w:eastAsia="宋体" w:cs="宋体"/>
                <w:color w:val="auto"/>
                <w:sz w:val="21"/>
                <w:szCs w:val="21"/>
                <w:highlight w:val="none"/>
              </w:rPr>
            </w:pPr>
          </w:p>
        </w:tc>
      </w:tr>
      <w:tr w14:paraId="01C1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7F17F77A">
            <w:pPr>
              <w:pStyle w:val="37"/>
              <w:jc w:val="center"/>
              <w:rPr>
                <w:rFonts w:hint="eastAsia" w:ascii="宋体" w:hAnsi="宋体" w:eastAsia="宋体" w:cs="宋体"/>
                <w:color w:val="auto"/>
                <w:sz w:val="21"/>
                <w:szCs w:val="21"/>
                <w:highlight w:val="none"/>
              </w:rPr>
            </w:pPr>
          </w:p>
        </w:tc>
        <w:tc>
          <w:tcPr>
            <w:tcW w:w="1159" w:type="pct"/>
            <w:noWrap w:val="0"/>
            <w:vAlign w:val="center"/>
          </w:tcPr>
          <w:p w14:paraId="0B3A858C">
            <w:pPr>
              <w:pStyle w:val="37"/>
              <w:jc w:val="center"/>
              <w:rPr>
                <w:rFonts w:hint="eastAsia" w:ascii="宋体" w:hAnsi="宋体" w:eastAsia="宋体" w:cs="宋体"/>
                <w:color w:val="auto"/>
                <w:sz w:val="21"/>
                <w:szCs w:val="21"/>
                <w:highlight w:val="none"/>
              </w:rPr>
            </w:pPr>
          </w:p>
        </w:tc>
        <w:tc>
          <w:tcPr>
            <w:tcW w:w="1031" w:type="pct"/>
            <w:noWrap w:val="0"/>
            <w:vAlign w:val="center"/>
          </w:tcPr>
          <w:p w14:paraId="13577614">
            <w:pPr>
              <w:pStyle w:val="37"/>
              <w:jc w:val="center"/>
              <w:rPr>
                <w:rFonts w:hint="eastAsia" w:ascii="宋体" w:hAnsi="宋体" w:eastAsia="宋体" w:cs="宋体"/>
                <w:color w:val="auto"/>
                <w:sz w:val="21"/>
                <w:szCs w:val="21"/>
                <w:highlight w:val="none"/>
              </w:rPr>
            </w:pPr>
          </w:p>
        </w:tc>
        <w:tc>
          <w:tcPr>
            <w:tcW w:w="1265" w:type="pct"/>
            <w:noWrap w:val="0"/>
            <w:vAlign w:val="center"/>
          </w:tcPr>
          <w:p w14:paraId="78317692">
            <w:pPr>
              <w:pStyle w:val="37"/>
              <w:jc w:val="center"/>
              <w:rPr>
                <w:rFonts w:hint="eastAsia" w:ascii="宋体" w:hAnsi="宋体" w:eastAsia="宋体" w:cs="宋体"/>
                <w:color w:val="auto"/>
                <w:sz w:val="21"/>
                <w:szCs w:val="21"/>
                <w:highlight w:val="none"/>
              </w:rPr>
            </w:pPr>
          </w:p>
        </w:tc>
        <w:tc>
          <w:tcPr>
            <w:tcW w:w="1136" w:type="pct"/>
            <w:noWrap w:val="0"/>
            <w:vAlign w:val="center"/>
          </w:tcPr>
          <w:p w14:paraId="7E6C8D2B">
            <w:pPr>
              <w:pStyle w:val="37"/>
              <w:jc w:val="center"/>
              <w:rPr>
                <w:rFonts w:hint="eastAsia" w:ascii="宋体" w:hAnsi="宋体" w:eastAsia="宋体" w:cs="宋体"/>
                <w:color w:val="auto"/>
                <w:sz w:val="21"/>
                <w:szCs w:val="21"/>
                <w:highlight w:val="none"/>
              </w:rPr>
            </w:pPr>
          </w:p>
        </w:tc>
      </w:tr>
      <w:tr w14:paraId="3566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4D8A9260">
            <w:pPr>
              <w:pStyle w:val="37"/>
              <w:jc w:val="center"/>
              <w:rPr>
                <w:rFonts w:hint="eastAsia" w:ascii="宋体" w:hAnsi="宋体" w:eastAsia="宋体" w:cs="宋体"/>
                <w:color w:val="auto"/>
                <w:sz w:val="21"/>
                <w:szCs w:val="21"/>
                <w:highlight w:val="none"/>
              </w:rPr>
            </w:pPr>
          </w:p>
        </w:tc>
        <w:tc>
          <w:tcPr>
            <w:tcW w:w="1159" w:type="pct"/>
            <w:noWrap w:val="0"/>
            <w:vAlign w:val="center"/>
          </w:tcPr>
          <w:p w14:paraId="69EB43BF">
            <w:pPr>
              <w:pStyle w:val="37"/>
              <w:jc w:val="center"/>
              <w:rPr>
                <w:rFonts w:hint="eastAsia" w:ascii="宋体" w:hAnsi="宋体" w:eastAsia="宋体" w:cs="宋体"/>
                <w:color w:val="auto"/>
                <w:sz w:val="21"/>
                <w:szCs w:val="21"/>
                <w:highlight w:val="none"/>
              </w:rPr>
            </w:pPr>
          </w:p>
        </w:tc>
        <w:tc>
          <w:tcPr>
            <w:tcW w:w="1031" w:type="pct"/>
            <w:noWrap w:val="0"/>
            <w:vAlign w:val="center"/>
          </w:tcPr>
          <w:p w14:paraId="7AE21D6E">
            <w:pPr>
              <w:pStyle w:val="37"/>
              <w:jc w:val="center"/>
              <w:rPr>
                <w:rFonts w:hint="eastAsia" w:ascii="宋体" w:hAnsi="宋体" w:eastAsia="宋体" w:cs="宋体"/>
                <w:color w:val="auto"/>
                <w:sz w:val="21"/>
                <w:szCs w:val="21"/>
                <w:highlight w:val="none"/>
              </w:rPr>
            </w:pPr>
          </w:p>
        </w:tc>
        <w:tc>
          <w:tcPr>
            <w:tcW w:w="1265" w:type="pct"/>
            <w:noWrap w:val="0"/>
            <w:vAlign w:val="center"/>
          </w:tcPr>
          <w:p w14:paraId="5BE14F82">
            <w:pPr>
              <w:pStyle w:val="37"/>
              <w:jc w:val="center"/>
              <w:rPr>
                <w:rFonts w:hint="eastAsia" w:ascii="宋体" w:hAnsi="宋体" w:eastAsia="宋体" w:cs="宋体"/>
                <w:color w:val="auto"/>
                <w:sz w:val="21"/>
                <w:szCs w:val="21"/>
                <w:highlight w:val="none"/>
              </w:rPr>
            </w:pPr>
          </w:p>
        </w:tc>
        <w:tc>
          <w:tcPr>
            <w:tcW w:w="1136" w:type="pct"/>
            <w:noWrap w:val="0"/>
            <w:vAlign w:val="center"/>
          </w:tcPr>
          <w:p w14:paraId="77C95CAB">
            <w:pPr>
              <w:pStyle w:val="37"/>
              <w:jc w:val="center"/>
              <w:rPr>
                <w:rFonts w:hint="eastAsia" w:ascii="宋体" w:hAnsi="宋体" w:eastAsia="宋体" w:cs="宋体"/>
                <w:color w:val="auto"/>
                <w:sz w:val="21"/>
                <w:szCs w:val="21"/>
                <w:highlight w:val="none"/>
              </w:rPr>
            </w:pPr>
          </w:p>
        </w:tc>
      </w:tr>
      <w:tr w14:paraId="5BB6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01D36EAE">
            <w:pPr>
              <w:pStyle w:val="37"/>
              <w:jc w:val="center"/>
              <w:rPr>
                <w:rFonts w:hint="eastAsia" w:ascii="宋体" w:hAnsi="宋体" w:eastAsia="宋体" w:cs="宋体"/>
                <w:color w:val="auto"/>
                <w:sz w:val="21"/>
                <w:szCs w:val="21"/>
                <w:highlight w:val="none"/>
              </w:rPr>
            </w:pPr>
          </w:p>
        </w:tc>
        <w:tc>
          <w:tcPr>
            <w:tcW w:w="1159" w:type="pct"/>
            <w:noWrap w:val="0"/>
            <w:vAlign w:val="center"/>
          </w:tcPr>
          <w:p w14:paraId="50AC3971">
            <w:pPr>
              <w:pStyle w:val="37"/>
              <w:jc w:val="center"/>
              <w:rPr>
                <w:rFonts w:hint="eastAsia" w:ascii="宋体" w:hAnsi="宋体" w:eastAsia="宋体" w:cs="宋体"/>
                <w:color w:val="auto"/>
                <w:sz w:val="21"/>
                <w:szCs w:val="21"/>
                <w:highlight w:val="none"/>
              </w:rPr>
            </w:pPr>
          </w:p>
        </w:tc>
        <w:tc>
          <w:tcPr>
            <w:tcW w:w="1031" w:type="pct"/>
            <w:noWrap w:val="0"/>
            <w:vAlign w:val="center"/>
          </w:tcPr>
          <w:p w14:paraId="3ACBC1F2">
            <w:pPr>
              <w:pStyle w:val="37"/>
              <w:jc w:val="center"/>
              <w:rPr>
                <w:rFonts w:hint="eastAsia" w:ascii="宋体" w:hAnsi="宋体" w:eastAsia="宋体" w:cs="宋体"/>
                <w:color w:val="auto"/>
                <w:sz w:val="21"/>
                <w:szCs w:val="21"/>
                <w:highlight w:val="none"/>
              </w:rPr>
            </w:pPr>
          </w:p>
        </w:tc>
        <w:tc>
          <w:tcPr>
            <w:tcW w:w="1265" w:type="pct"/>
            <w:noWrap w:val="0"/>
            <w:vAlign w:val="center"/>
          </w:tcPr>
          <w:p w14:paraId="64012806">
            <w:pPr>
              <w:pStyle w:val="37"/>
              <w:jc w:val="center"/>
              <w:rPr>
                <w:rFonts w:hint="eastAsia" w:ascii="宋体" w:hAnsi="宋体" w:eastAsia="宋体" w:cs="宋体"/>
                <w:color w:val="auto"/>
                <w:sz w:val="21"/>
                <w:szCs w:val="21"/>
                <w:highlight w:val="none"/>
              </w:rPr>
            </w:pPr>
          </w:p>
        </w:tc>
        <w:tc>
          <w:tcPr>
            <w:tcW w:w="1136" w:type="pct"/>
            <w:noWrap w:val="0"/>
            <w:vAlign w:val="center"/>
          </w:tcPr>
          <w:p w14:paraId="7B6636D3">
            <w:pPr>
              <w:pStyle w:val="37"/>
              <w:jc w:val="center"/>
              <w:rPr>
                <w:rFonts w:hint="eastAsia" w:ascii="宋体" w:hAnsi="宋体" w:eastAsia="宋体" w:cs="宋体"/>
                <w:color w:val="auto"/>
                <w:sz w:val="21"/>
                <w:szCs w:val="21"/>
                <w:highlight w:val="none"/>
              </w:rPr>
            </w:pPr>
          </w:p>
        </w:tc>
      </w:tr>
      <w:tr w14:paraId="572E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6D945773">
            <w:pPr>
              <w:pStyle w:val="37"/>
              <w:jc w:val="center"/>
              <w:rPr>
                <w:rFonts w:hint="eastAsia" w:ascii="宋体" w:hAnsi="宋体" w:eastAsia="宋体" w:cs="宋体"/>
                <w:color w:val="auto"/>
                <w:sz w:val="21"/>
                <w:szCs w:val="21"/>
                <w:highlight w:val="none"/>
              </w:rPr>
            </w:pPr>
          </w:p>
        </w:tc>
        <w:tc>
          <w:tcPr>
            <w:tcW w:w="1159" w:type="pct"/>
            <w:noWrap w:val="0"/>
            <w:vAlign w:val="center"/>
          </w:tcPr>
          <w:p w14:paraId="53035FAD">
            <w:pPr>
              <w:pStyle w:val="37"/>
              <w:jc w:val="center"/>
              <w:rPr>
                <w:rFonts w:hint="eastAsia" w:ascii="宋体" w:hAnsi="宋体" w:eastAsia="宋体" w:cs="宋体"/>
                <w:color w:val="auto"/>
                <w:sz w:val="21"/>
                <w:szCs w:val="21"/>
                <w:highlight w:val="none"/>
              </w:rPr>
            </w:pPr>
          </w:p>
        </w:tc>
        <w:tc>
          <w:tcPr>
            <w:tcW w:w="1031" w:type="pct"/>
            <w:noWrap w:val="0"/>
            <w:vAlign w:val="center"/>
          </w:tcPr>
          <w:p w14:paraId="694CB492">
            <w:pPr>
              <w:pStyle w:val="37"/>
              <w:jc w:val="center"/>
              <w:rPr>
                <w:rFonts w:hint="eastAsia" w:ascii="宋体" w:hAnsi="宋体" w:eastAsia="宋体" w:cs="宋体"/>
                <w:color w:val="auto"/>
                <w:sz w:val="21"/>
                <w:szCs w:val="21"/>
                <w:highlight w:val="none"/>
              </w:rPr>
            </w:pPr>
          </w:p>
        </w:tc>
        <w:tc>
          <w:tcPr>
            <w:tcW w:w="1265" w:type="pct"/>
            <w:noWrap w:val="0"/>
            <w:vAlign w:val="center"/>
          </w:tcPr>
          <w:p w14:paraId="44B75685">
            <w:pPr>
              <w:pStyle w:val="37"/>
              <w:jc w:val="center"/>
              <w:rPr>
                <w:rFonts w:hint="eastAsia" w:ascii="宋体" w:hAnsi="宋体" w:eastAsia="宋体" w:cs="宋体"/>
                <w:color w:val="auto"/>
                <w:sz w:val="21"/>
                <w:szCs w:val="21"/>
                <w:highlight w:val="none"/>
              </w:rPr>
            </w:pPr>
          </w:p>
        </w:tc>
        <w:tc>
          <w:tcPr>
            <w:tcW w:w="1136" w:type="pct"/>
            <w:noWrap w:val="0"/>
            <w:vAlign w:val="center"/>
          </w:tcPr>
          <w:p w14:paraId="18FD02E7">
            <w:pPr>
              <w:pStyle w:val="37"/>
              <w:jc w:val="center"/>
              <w:rPr>
                <w:rFonts w:hint="eastAsia" w:ascii="宋体" w:hAnsi="宋体" w:eastAsia="宋体" w:cs="宋体"/>
                <w:color w:val="auto"/>
                <w:sz w:val="21"/>
                <w:szCs w:val="21"/>
                <w:highlight w:val="none"/>
              </w:rPr>
            </w:pPr>
          </w:p>
        </w:tc>
      </w:tr>
      <w:tr w14:paraId="5852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noWrap w:val="0"/>
            <w:vAlign w:val="center"/>
          </w:tcPr>
          <w:p w14:paraId="765AB51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noWrap w:val="0"/>
            <w:vAlign w:val="center"/>
          </w:tcPr>
          <w:p w14:paraId="65E067F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152D2B1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285DDAA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noWrap w:val="0"/>
            <w:vAlign w:val="center"/>
          </w:tcPr>
          <w:p w14:paraId="45CFA854">
            <w:pPr>
              <w:pStyle w:val="37"/>
              <w:jc w:val="center"/>
              <w:rPr>
                <w:rFonts w:hint="eastAsia" w:ascii="宋体" w:hAnsi="宋体" w:eastAsia="宋体" w:cs="宋体"/>
                <w:color w:val="auto"/>
                <w:sz w:val="21"/>
                <w:szCs w:val="21"/>
                <w:highlight w:val="none"/>
              </w:rPr>
            </w:pPr>
          </w:p>
        </w:tc>
      </w:tr>
    </w:tbl>
    <w:p w14:paraId="5F47D0E6">
      <w:pPr>
        <w:ind w:firstLine="480"/>
        <w:rPr>
          <w:rFonts w:cs="仿宋_GB2312"/>
          <w:color w:val="auto"/>
          <w:szCs w:val="24"/>
          <w:highlight w:val="none"/>
        </w:rPr>
      </w:pPr>
    </w:p>
    <w:p w14:paraId="39ED4F5C">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p>
    <w:p w14:paraId="6F9F1737">
      <w:pPr>
        <w:ind w:firstLine="420"/>
        <w:rPr>
          <w:rFonts w:cs="仿宋_GB2312"/>
          <w:color w:val="auto"/>
          <w:szCs w:val="24"/>
          <w:highlight w:val="none"/>
        </w:rPr>
      </w:pPr>
      <w:r>
        <w:rPr>
          <w:rFonts w:hint="eastAsia" w:cs="仿宋_GB2312"/>
          <w:color w:val="auto"/>
          <w:szCs w:val="24"/>
          <w:highlight w:val="none"/>
        </w:rPr>
        <w:t>日      期：</w:t>
      </w:r>
    </w:p>
    <w:p w14:paraId="43640595">
      <w:pPr>
        <w:ind w:firstLine="420"/>
        <w:rPr>
          <w:rFonts w:hint="eastAsia" w:cs="仿宋_GB2312"/>
          <w:color w:val="auto"/>
          <w:sz w:val="21"/>
          <w:szCs w:val="21"/>
          <w:highlight w:val="none"/>
          <w:lang w:val="en-US" w:eastAsia="zh-CN"/>
        </w:rPr>
      </w:pPr>
    </w:p>
    <w:p w14:paraId="6492756C">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763A68D8">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01A7CFB">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7972CA3C">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6B29C7A">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590BB07E">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7DA9E644">
      <w:pPr>
        <w:ind w:firstLine="420"/>
        <w:rPr>
          <w:rFonts w:hint="eastAsia" w:cs="仿宋_GB2312"/>
          <w:color w:val="auto"/>
          <w:sz w:val="21"/>
          <w:szCs w:val="21"/>
          <w:highlight w:val="none"/>
          <w:lang w:val="en-US" w:eastAsia="zh-CN"/>
        </w:rPr>
      </w:pPr>
    </w:p>
    <w:p w14:paraId="4AA1BA3B">
      <w:pPr>
        <w:ind w:firstLine="420"/>
        <w:rPr>
          <w:rFonts w:hint="eastAsia" w:cs="仿宋_GB2312"/>
          <w:color w:val="auto"/>
          <w:sz w:val="21"/>
          <w:szCs w:val="21"/>
          <w:highlight w:val="none"/>
          <w:lang w:val="en-US" w:eastAsia="zh-CN"/>
        </w:rPr>
      </w:pPr>
    </w:p>
    <w:p w14:paraId="68BAFC8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3" w:name="_Toc5192"/>
      <w:bookmarkStart w:id="634" w:name="_Toc163492935"/>
      <w:r>
        <w:rPr>
          <w:rFonts w:hint="eastAsia" w:cs="Times New Roman"/>
          <w:b/>
          <w:bCs/>
          <w:color w:val="auto"/>
          <w:sz w:val="32"/>
          <w:szCs w:val="32"/>
          <w:highlight w:val="none"/>
          <w:lang w:val="en-US" w:eastAsia="zh-CN" w:bidi="ar-SA"/>
        </w:rPr>
        <w:t>10</w:t>
      </w:r>
      <w:r>
        <w:rPr>
          <w:rFonts w:hint="eastAsia" w:ascii="Cambria" w:hAnsi="Cambria" w:eastAsia="宋体" w:cs="Times New Roman"/>
          <w:b/>
          <w:bCs/>
          <w:color w:val="auto"/>
          <w:sz w:val="32"/>
          <w:szCs w:val="32"/>
          <w:highlight w:val="none"/>
          <w:lang w:val="en-US" w:eastAsia="zh-CN" w:bidi="ar-SA"/>
        </w:rPr>
        <w:t>、技术方案</w:t>
      </w:r>
      <w:bookmarkEnd w:id="633"/>
      <w:bookmarkEnd w:id="634"/>
    </w:p>
    <w:p w14:paraId="0A03E207">
      <w:pPr>
        <w:pStyle w:val="36"/>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5FF792DA">
      <w:pPr>
        <w:pStyle w:val="36"/>
        <w:rPr>
          <w:rFonts w:hint="eastAsia" w:cs="仿宋_GB2312"/>
          <w:color w:val="auto"/>
          <w:sz w:val="21"/>
          <w:szCs w:val="21"/>
          <w:highlight w:val="none"/>
          <w:lang w:val="en-US" w:eastAsia="zh-CN"/>
        </w:rPr>
      </w:pPr>
      <w:r>
        <w:rPr>
          <w:color w:val="auto"/>
          <w:highlight w:val="none"/>
        </w:rPr>
        <w:br w:type="page" w:clear="all"/>
      </w:r>
      <w:bookmarkStart w:id="635" w:name="_Toc163492936"/>
    </w:p>
    <w:p w14:paraId="7515C4E7">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6" w:name="_Toc19556"/>
      <w:r>
        <w:rPr>
          <w:rFonts w:hint="eastAsia" w:ascii="Cambria" w:hAnsi="Cambria" w:eastAsia="宋体" w:cs="Times New Roman"/>
          <w:b/>
          <w:bCs/>
          <w:color w:val="auto"/>
          <w:sz w:val="32"/>
          <w:szCs w:val="32"/>
          <w:highlight w:val="none"/>
          <w:lang w:val="en-US" w:eastAsia="zh-CN" w:bidi="ar-SA"/>
        </w:rPr>
        <w:t>11、其他文件</w:t>
      </w:r>
      <w:bookmarkEnd w:id="635"/>
      <w:bookmarkEnd w:id="636"/>
    </w:p>
    <w:p w14:paraId="4702B4E8">
      <w:pPr>
        <w:pStyle w:val="36"/>
        <w:ind w:left="0" w:firstLine="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CB395">
      <w:pPr>
        <w:pStyle w:val="36"/>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2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C38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noWrap w:val="0"/>
            <w:vAlign w:val="center"/>
          </w:tcPr>
          <w:p w14:paraId="676CA4E5">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供应商名称</w:t>
            </w:r>
          </w:p>
        </w:tc>
        <w:tc>
          <w:tcPr>
            <w:tcW w:w="2841" w:type="dxa"/>
            <w:noWrap w:val="0"/>
            <w:vAlign w:val="center"/>
          </w:tcPr>
          <w:p w14:paraId="19E34BE1">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供应商实际控制人性别</w:t>
            </w:r>
          </w:p>
        </w:tc>
        <w:tc>
          <w:tcPr>
            <w:tcW w:w="2743" w:type="dxa"/>
            <w:noWrap w:val="0"/>
            <w:vAlign w:val="center"/>
          </w:tcPr>
          <w:p w14:paraId="1748291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外商投资类型</w:t>
            </w:r>
          </w:p>
        </w:tc>
      </w:tr>
      <w:tr w14:paraId="4B25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2D9E6950">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4253C785">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383F0524">
            <w:pPr>
              <w:pStyle w:val="36"/>
              <w:rPr>
                <w:rFonts w:hint="eastAsia" w:ascii="宋体" w:hAnsi="宋体" w:eastAsia="宋体" w:cs="宋体"/>
                <w:color w:val="auto"/>
                <w:sz w:val="24"/>
                <w:szCs w:val="24"/>
                <w:highlight w:val="none"/>
                <w:vertAlign w:val="baseline"/>
                <w:lang w:val="en-US" w:eastAsia="zh-CN"/>
              </w:rPr>
            </w:pPr>
          </w:p>
        </w:tc>
      </w:tr>
      <w:tr w14:paraId="685A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24661777">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2BF3BFDE">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54AA1D34">
            <w:pPr>
              <w:pStyle w:val="36"/>
              <w:rPr>
                <w:rFonts w:hint="eastAsia" w:ascii="宋体" w:hAnsi="宋体" w:eastAsia="宋体" w:cs="宋体"/>
                <w:color w:val="auto"/>
                <w:sz w:val="24"/>
                <w:szCs w:val="24"/>
                <w:highlight w:val="none"/>
                <w:vertAlign w:val="baseline"/>
                <w:lang w:val="en-US" w:eastAsia="zh-CN"/>
              </w:rPr>
            </w:pPr>
          </w:p>
        </w:tc>
      </w:tr>
      <w:tr w14:paraId="45D5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BA22750">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5E57E975">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11F2DD2F">
            <w:pPr>
              <w:pStyle w:val="36"/>
              <w:rPr>
                <w:rFonts w:hint="eastAsia" w:ascii="宋体" w:hAnsi="宋体" w:eastAsia="宋体" w:cs="宋体"/>
                <w:color w:val="auto"/>
                <w:sz w:val="24"/>
                <w:szCs w:val="24"/>
                <w:highlight w:val="none"/>
                <w:vertAlign w:val="baseline"/>
                <w:lang w:val="en-US" w:eastAsia="zh-CN"/>
              </w:rPr>
            </w:pPr>
          </w:p>
        </w:tc>
      </w:tr>
      <w:tr w14:paraId="5ADB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0AFF2B51">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5B22B9B4">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026C2A74">
            <w:pPr>
              <w:pStyle w:val="36"/>
              <w:rPr>
                <w:rFonts w:hint="eastAsia" w:ascii="宋体" w:hAnsi="宋体" w:eastAsia="宋体" w:cs="宋体"/>
                <w:color w:val="auto"/>
                <w:sz w:val="24"/>
                <w:szCs w:val="24"/>
                <w:highlight w:val="none"/>
                <w:vertAlign w:val="baseline"/>
                <w:lang w:val="en-US" w:eastAsia="zh-CN"/>
              </w:rPr>
            </w:pPr>
          </w:p>
        </w:tc>
      </w:tr>
    </w:tbl>
    <w:p w14:paraId="6D9940B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 xml:space="preserve">注：1.供应商如为联合体，则应填写联合体各成员信息。 </w:t>
      </w:r>
    </w:p>
    <w:p w14:paraId="016CDD1A">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cs="宋体"/>
          <w:color w:val="auto"/>
          <w:sz w:val="21"/>
          <w:szCs w:val="21"/>
          <w:highlight w:val="none"/>
          <w:lang w:val="en-US" w:eastAsia="zh-CN" w:bidi="ar"/>
        </w:rPr>
        <w:t>“供应商实际控制人性别”</w:t>
      </w:r>
      <w:r>
        <w:rPr>
          <w:rFonts w:hint="eastAsia" w:ascii="宋体" w:hAnsi="宋体" w:eastAsia="宋体" w:cs="宋体"/>
          <w:color w:val="auto"/>
          <w:sz w:val="21"/>
          <w:szCs w:val="21"/>
          <w:highlight w:val="none"/>
          <w:lang w:val="en-US" w:eastAsia="zh-CN" w:bidi="ar"/>
        </w:rPr>
        <w:t>按供应商实际控制人性别划分请填写“男”或“女”，指拥有供应商 51%以上绝对所有权的性</w:t>
      </w:r>
      <w:r>
        <w:rPr>
          <w:rFonts w:hint="eastAsia" w:cs="宋体"/>
          <w:color w:val="auto"/>
          <w:sz w:val="21"/>
          <w:szCs w:val="21"/>
          <w:highlight w:val="none"/>
          <w:lang w:val="en-US" w:eastAsia="zh-CN" w:bidi="ar"/>
        </w:rPr>
        <w:t>别</w:t>
      </w:r>
      <w:r>
        <w:rPr>
          <w:rFonts w:hint="eastAsia" w:ascii="宋体" w:hAnsi="宋体" w:eastAsia="宋体" w:cs="宋体"/>
          <w:color w:val="auto"/>
          <w:sz w:val="21"/>
          <w:szCs w:val="21"/>
          <w:highlight w:val="none"/>
          <w:lang w:val="en-US" w:eastAsia="zh-CN" w:bidi="ar"/>
        </w:rPr>
        <w:t>；绝对所有权拥有者可以是一个人，也可以是多人合计计算。</w:t>
      </w:r>
    </w:p>
    <w:p w14:paraId="52FBBBC2">
      <w:pPr>
        <w:pStyle w:val="36"/>
        <w:ind w:left="0" w:firstLine="420"/>
        <w:rPr>
          <w:rFonts w:hint="eastAsia"/>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外商投资类型</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请填写“外商单独投资”、“外商部分投资”或“内资”。</w:t>
      </w:r>
    </w:p>
    <w:p w14:paraId="5141473E">
      <w:pPr>
        <w:rPr>
          <w:rFonts w:hint="eastAsia" w:ascii="宋体" w:hAnsi="宋体" w:eastAsia="宋体" w:cs="宋体"/>
          <w:color w:val="auto"/>
          <w:szCs w:val="24"/>
          <w:highlight w:val="none"/>
          <w:lang w:val="en-US"/>
        </w:rPr>
      </w:pPr>
    </w:p>
    <w:p w14:paraId="10A1DC2D">
      <w:pPr>
        <w:ind w:firstLine="480"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1.2其它商务、技术资料和证明材料</w:t>
      </w:r>
    </w:p>
    <w:p w14:paraId="0079F22E">
      <w:pPr>
        <w:rPr>
          <w:rFonts w:hint="eastAsia" w:ascii="宋体" w:hAnsi="宋体" w:eastAsia="宋体" w:cs="宋体"/>
          <w:color w:val="auto"/>
          <w:szCs w:val="24"/>
          <w:highlight w:val="none"/>
          <w:lang w:val="en-US"/>
        </w:rPr>
      </w:pPr>
    </w:p>
    <w:p w14:paraId="5BAF716D">
      <w:pPr>
        <w:rPr>
          <w:rFonts w:hint="eastAsia" w:ascii="宋体" w:hAnsi="宋体" w:eastAsia="宋体" w:cs="宋体"/>
          <w:color w:val="auto"/>
          <w:szCs w:val="24"/>
          <w:highlight w:val="none"/>
          <w:lang w:val="en-US"/>
        </w:rPr>
      </w:pPr>
    </w:p>
    <w:p w14:paraId="76F67B83">
      <w:pPr>
        <w:rPr>
          <w:rFonts w:hint="eastAsia" w:ascii="宋体" w:hAnsi="宋体" w:eastAsia="宋体" w:cs="宋体"/>
          <w:color w:val="auto"/>
          <w:szCs w:val="24"/>
          <w:highlight w:val="none"/>
          <w:lang w:val="en-US"/>
        </w:rPr>
      </w:pPr>
    </w:p>
    <w:p w14:paraId="3EC637C6">
      <w:pPr>
        <w:rPr>
          <w:rFonts w:hint="eastAsia" w:ascii="宋体" w:hAnsi="宋体" w:eastAsia="宋体" w:cs="宋体"/>
          <w:color w:val="auto"/>
          <w:szCs w:val="24"/>
          <w:highlight w:val="none"/>
          <w:lang w:val="en-US"/>
        </w:rPr>
      </w:pPr>
    </w:p>
    <w:p w14:paraId="746CE16A">
      <w:pPr>
        <w:rPr>
          <w:rFonts w:hint="eastAsia" w:ascii="宋体" w:hAnsi="宋体" w:eastAsia="宋体" w:cs="宋体"/>
          <w:color w:val="auto"/>
          <w:szCs w:val="24"/>
          <w:highlight w:val="none"/>
          <w:lang w:val="en-US"/>
        </w:rPr>
      </w:pPr>
    </w:p>
    <w:p w14:paraId="3F2B8942">
      <w:pPr>
        <w:rPr>
          <w:rFonts w:hint="eastAsia" w:ascii="宋体" w:hAnsi="宋体" w:eastAsia="宋体" w:cs="宋体"/>
          <w:color w:val="auto"/>
          <w:szCs w:val="24"/>
          <w:highlight w:val="none"/>
          <w:lang w:val="en-US"/>
        </w:rPr>
      </w:pPr>
    </w:p>
    <w:p w14:paraId="3950BE4D">
      <w:pPr>
        <w:rPr>
          <w:rFonts w:hint="eastAsia" w:ascii="宋体" w:hAnsi="宋体" w:eastAsia="宋体" w:cs="宋体"/>
          <w:color w:val="auto"/>
          <w:szCs w:val="24"/>
          <w:highlight w:val="none"/>
          <w:lang w:val="en-US"/>
        </w:rPr>
      </w:pPr>
    </w:p>
    <w:p w14:paraId="67749557">
      <w:pPr>
        <w:rPr>
          <w:rFonts w:hint="eastAsia" w:ascii="宋体" w:hAnsi="宋体" w:eastAsia="宋体" w:cs="宋体"/>
          <w:color w:val="auto"/>
          <w:szCs w:val="24"/>
          <w:highlight w:val="none"/>
          <w:lang w:val="en-US"/>
        </w:rPr>
      </w:pPr>
    </w:p>
    <w:p w14:paraId="733B3DC1">
      <w:pPr>
        <w:rPr>
          <w:rFonts w:hint="eastAsia" w:ascii="宋体" w:hAnsi="宋体" w:eastAsia="宋体" w:cs="宋体"/>
          <w:color w:val="auto"/>
          <w:szCs w:val="24"/>
          <w:highlight w:val="none"/>
          <w:lang w:val="en-US"/>
        </w:rPr>
      </w:pPr>
    </w:p>
    <w:p w14:paraId="0FA0719D">
      <w:pPr>
        <w:rPr>
          <w:rFonts w:hint="eastAsia" w:ascii="宋体" w:hAnsi="宋体" w:eastAsia="宋体" w:cs="宋体"/>
          <w:color w:val="auto"/>
          <w:szCs w:val="24"/>
          <w:highlight w:val="none"/>
          <w:lang w:val="en-US"/>
        </w:rPr>
      </w:pPr>
    </w:p>
    <w:p w14:paraId="1EB8AC6B">
      <w:pPr>
        <w:rPr>
          <w:rFonts w:hint="eastAsia" w:ascii="宋体" w:hAnsi="宋体" w:eastAsia="宋体" w:cs="宋体"/>
          <w:color w:val="auto"/>
          <w:szCs w:val="24"/>
          <w:highlight w:val="none"/>
          <w:lang w:val="en-US"/>
        </w:rPr>
      </w:pPr>
    </w:p>
    <w:p w14:paraId="7475559D">
      <w:pPr>
        <w:rPr>
          <w:rFonts w:hint="eastAsia" w:ascii="宋体" w:hAnsi="宋体" w:eastAsia="宋体" w:cs="宋体"/>
          <w:color w:val="auto"/>
          <w:szCs w:val="24"/>
          <w:highlight w:val="none"/>
          <w:lang w:val="en-US"/>
        </w:rPr>
      </w:pPr>
    </w:p>
    <w:p w14:paraId="65653177">
      <w:pPr>
        <w:rPr>
          <w:rFonts w:hint="eastAsia" w:ascii="宋体" w:hAnsi="宋体" w:eastAsia="宋体" w:cs="宋体"/>
          <w:color w:val="auto"/>
          <w:szCs w:val="24"/>
          <w:highlight w:val="none"/>
          <w:lang w:val="en-US"/>
        </w:rPr>
      </w:pPr>
    </w:p>
    <w:p w14:paraId="55475F44">
      <w:pPr>
        <w:pStyle w:val="36"/>
        <w:ind w:left="0" w:firstLine="0"/>
        <w:rPr>
          <w:rFonts w:hint="eastAsia"/>
          <w:b/>
          <w:bCs/>
          <w:color w:val="auto"/>
          <w:sz w:val="24"/>
          <w:szCs w:val="24"/>
          <w:highlight w:val="none"/>
          <w:lang w:val="en-US" w:eastAsia="zh-CN"/>
        </w:rPr>
      </w:pPr>
      <w:bookmarkStart w:id="637" w:name="_Toc19761"/>
      <w:r>
        <w:rPr>
          <w:rFonts w:hint="eastAsia"/>
          <w:b/>
          <w:bCs/>
          <w:color w:val="auto"/>
          <w:sz w:val="24"/>
          <w:szCs w:val="24"/>
          <w:highlight w:val="none"/>
          <w:lang w:val="en-US" w:eastAsia="zh-CN"/>
        </w:rPr>
        <w:t>（二）中小企业声明函</w:t>
      </w:r>
      <w:bookmarkEnd w:id="637"/>
      <w:r>
        <w:rPr>
          <w:rFonts w:hint="eastAsia"/>
          <w:b/>
          <w:bCs/>
          <w:color w:val="auto"/>
          <w:sz w:val="24"/>
          <w:szCs w:val="24"/>
          <w:highlight w:val="none"/>
          <w:lang w:val="en-US" w:eastAsia="zh-CN"/>
        </w:rPr>
        <w:t>（如适用）</w:t>
      </w:r>
    </w:p>
    <w:p w14:paraId="37A9471B">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lang w:eastAsia="zh-CN"/>
        </w:rPr>
        <w:t>（</w:t>
      </w:r>
      <w:r>
        <w:rPr>
          <w:rFonts w:hint="eastAsia"/>
          <w:b/>
          <w:bCs/>
          <w:color w:val="auto"/>
          <w:sz w:val="32"/>
          <w:szCs w:val="32"/>
          <w:highlight w:val="none"/>
          <w:lang w:val="en-US" w:eastAsia="zh-CN"/>
        </w:rPr>
        <w:t>1</w:t>
      </w:r>
      <w:r>
        <w:rPr>
          <w:rFonts w:hint="eastAsia"/>
          <w:b/>
          <w:bCs/>
          <w:color w:val="auto"/>
          <w:sz w:val="32"/>
          <w:szCs w:val="32"/>
          <w:highlight w:val="none"/>
          <w:lang w:eastAsia="zh-CN"/>
        </w:rPr>
        <w:t>）</w:t>
      </w:r>
      <w:r>
        <w:rPr>
          <w:rFonts w:hint="eastAsia"/>
          <w:b/>
          <w:bCs/>
          <w:color w:val="auto"/>
          <w:sz w:val="32"/>
          <w:szCs w:val="32"/>
          <w:highlight w:val="none"/>
        </w:rPr>
        <w:t>中小企业声明函</w:t>
      </w:r>
    </w:p>
    <w:p w14:paraId="6DA3D8A4">
      <w:pPr>
        <w:ind w:firstLine="504"/>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295FE22D">
      <w:pPr>
        <w:ind w:firstLine="504"/>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4CC5333C">
      <w:pPr>
        <w:ind w:firstLine="504"/>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6364ACC">
      <w:pPr>
        <w:ind w:firstLine="504"/>
        <w:rPr>
          <w:rFonts w:cs="宋体"/>
          <w:color w:val="auto"/>
          <w:spacing w:val="6"/>
          <w:szCs w:val="24"/>
          <w:highlight w:val="none"/>
        </w:rPr>
      </w:pPr>
      <w:r>
        <w:rPr>
          <w:rFonts w:hint="eastAsia" w:cs="宋体"/>
          <w:color w:val="auto"/>
          <w:spacing w:val="6"/>
          <w:szCs w:val="24"/>
          <w:highlight w:val="none"/>
        </w:rPr>
        <w:t>……</w:t>
      </w:r>
    </w:p>
    <w:p w14:paraId="36F081B9">
      <w:pPr>
        <w:ind w:firstLine="504"/>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74F63A1">
      <w:pPr>
        <w:ind w:firstLine="504"/>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29CF6BE8">
      <w:pPr>
        <w:ind w:right="1008" w:firstLine="4788"/>
        <w:rPr>
          <w:rFonts w:cs="宋体"/>
          <w:color w:val="auto"/>
          <w:spacing w:val="6"/>
          <w:szCs w:val="24"/>
          <w:highlight w:val="none"/>
        </w:rPr>
      </w:pPr>
    </w:p>
    <w:p w14:paraId="3E377091">
      <w:pPr>
        <w:ind w:right="1008" w:firstLine="4284"/>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宋体"/>
          <w:color w:val="auto"/>
          <w:spacing w:val="6"/>
          <w:szCs w:val="24"/>
          <w:highlight w:val="none"/>
        </w:rPr>
        <w:t>：</w:t>
      </w:r>
    </w:p>
    <w:p w14:paraId="711F2309">
      <w:pPr>
        <w:ind w:right="1008" w:firstLine="4284"/>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36CF035B">
      <w:pPr>
        <w:ind w:firstLine="504"/>
        <w:rPr>
          <w:rFonts w:cs="宋体"/>
          <w:color w:val="auto"/>
          <w:spacing w:val="6"/>
          <w:szCs w:val="24"/>
          <w:highlight w:val="none"/>
        </w:rPr>
      </w:pPr>
    </w:p>
    <w:p w14:paraId="0857CFB9">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50D9A764">
      <w:pPr>
        <w:ind w:firstLine="668"/>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C9AC714">
      <w:pPr>
        <w:keepNext w:val="0"/>
        <w:keepLines w:val="0"/>
        <w:pageBreakBefore w:val="0"/>
        <w:widowControl w:val="0"/>
        <w:bidi w:val="0"/>
        <w:spacing w:line="360" w:lineRule="exact"/>
        <w:rPr>
          <w:rFonts w:hint="eastAsia"/>
          <w:b/>
          <w:bCs/>
          <w:color w:val="auto"/>
          <w:highlight w:val="none"/>
          <w:lang w:val="en-US" w:eastAsia="zh-CN"/>
        </w:rPr>
      </w:pPr>
    </w:p>
    <w:p w14:paraId="76B68C80">
      <w:pPr>
        <w:keepNext w:val="0"/>
        <w:keepLines w:val="0"/>
        <w:pageBreakBefore w:val="0"/>
        <w:widowControl w:val="0"/>
        <w:bidi w:val="0"/>
        <w:spacing w:line="360" w:lineRule="exact"/>
        <w:rPr>
          <w:rFonts w:hint="eastAsia"/>
          <w:b/>
          <w:bCs/>
          <w:color w:val="auto"/>
          <w:highlight w:val="none"/>
          <w:lang w:val="en-US" w:eastAsia="zh-CN"/>
        </w:rPr>
      </w:pPr>
    </w:p>
    <w:p w14:paraId="3919C2E4">
      <w:pPr>
        <w:keepNext w:val="0"/>
        <w:keepLines w:val="0"/>
        <w:pageBreakBefore w:val="0"/>
        <w:widowControl w:val="0"/>
        <w:bidi w:val="0"/>
        <w:spacing w:line="360" w:lineRule="exact"/>
        <w:rPr>
          <w:rFonts w:hint="eastAsia"/>
          <w:b/>
          <w:bCs/>
          <w:color w:val="auto"/>
          <w:highlight w:val="none"/>
          <w:lang w:val="en-US" w:eastAsia="zh-CN"/>
        </w:rPr>
      </w:pPr>
    </w:p>
    <w:p w14:paraId="72846029">
      <w:pPr>
        <w:keepNext w:val="0"/>
        <w:keepLines w:val="0"/>
        <w:pageBreakBefore w:val="0"/>
        <w:widowControl w:val="0"/>
        <w:bidi w:val="0"/>
        <w:spacing w:line="360" w:lineRule="exact"/>
        <w:rPr>
          <w:rFonts w:hint="eastAsia"/>
          <w:b/>
          <w:bCs/>
          <w:color w:val="auto"/>
          <w:highlight w:val="none"/>
          <w:lang w:val="en-US" w:eastAsia="zh-CN"/>
        </w:rPr>
      </w:pPr>
    </w:p>
    <w:p w14:paraId="34593615">
      <w:pPr>
        <w:keepNext w:val="0"/>
        <w:keepLines w:val="0"/>
        <w:pageBreakBefore w:val="0"/>
        <w:widowControl w:val="0"/>
        <w:bidi w:val="0"/>
        <w:spacing w:line="360" w:lineRule="exact"/>
        <w:rPr>
          <w:rFonts w:hint="eastAsia"/>
          <w:b/>
          <w:bCs/>
          <w:color w:val="auto"/>
          <w:highlight w:val="none"/>
          <w:lang w:val="en-US" w:eastAsia="zh-CN"/>
        </w:rPr>
      </w:pPr>
    </w:p>
    <w:p w14:paraId="10EE1396">
      <w:pPr>
        <w:keepNext w:val="0"/>
        <w:keepLines w:val="0"/>
        <w:pageBreakBefore w:val="0"/>
        <w:widowControl w:val="0"/>
        <w:bidi w:val="0"/>
        <w:spacing w:line="360" w:lineRule="exact"/>
        <w:rPr>
          <w:rFonts w:hint="default"/>
          <w:b/>
          <w:bCs/>
          <w:color w:val="auto"/>
          <w:highlight w:val="none"/>
          <w:lang w:val="en-US" w:eastAsia="zh-CN"/>
        </w:rPr>
      </w:pPr>
      <w:r>
        <w:rPr>
          <w:rFonts w:hint="eastAsia"/>
          <w:b/>
          <w:bCs/>
          <w:color w:val="auto"/>
          <w:highlight w:val="none"/>
          <w:lang w:val="en-US" w:eastAsia="zh-CN"/>
        </w:rPr>
        <w:t xml:space="preserve">附件1 </w:t>
      </w:r>
    </w:p>
    <w:p w14:paraId="25227E7F">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（一）关于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的填写要求</w:t>
      </w:r>
    </w:p>
    <w:p w14:paraId="74AB021A">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具体填写要求如下：</w:t>
      </w:r>
    </w:p>
    <w:p w14:paraId="4A85FA95">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1.“单位名称”应填写采购人名称。</w:t>
      </w:r>
    </w:p>
    <w:p w14:paraId="63872AFE">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999486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6356D4E">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03A100D0">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086CBD8">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7A9E4D1">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5.“企业名称”应填写投标（响应）的货物制造商/服务承接商/工程承建商（根据项目属性确定）。</w:t>
      </w:r>
    </w:p>
    <w:p w14:paraId="313AEB5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09F3AC9A">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7181D5E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6.从业人员、资产总额指标以上年度末数据为依据，营业收入指标以上年度累计数据为依据。无上年度数据的新成立企业可不填报。</w:t>
      </w:r>
    </w:p>
    <w:p w14:paraId="7B192AA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载明的货物制造商/服务承接商/工程承建商（根据项目属性确定）是否属于采购文件所属行业的中型企业/小型企业/微型企业。</w:t>
      </w:r>
    </w:p>
    <w:p w14:paraId="6D67561A">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D002573">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（二）关于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的提交要求</w:t>
      </w:r>
    </w:p>
    <w:p w14:paraId="109D2272">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1.投标（响应）供应商对</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w:t>
      </w:r>
    </w:p>
    <w:p w14:paraId="4774BCE9">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2.鼓励供应商在投标（响应）时一并提供对货物制造商、服务承接商、工程承建商相关信息的核实核验情况以及其他佐证材料。</w:t>
      </w:r>
    </w:p>
    <w:p w14:paraId="070203EC">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3.如供应商提供的</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14F9C5F">
      <w:pPr>
        <w:rPr>
          <w:rFonts w:hint="eastAsia"/>
          <w:b/>
          <w:bCs/>
          <w:color w:val="auto"/>
          <w:highlight w:val="none"/>
          <w:lang w:val="en-US" w:eastAsia="zh-CN"/>
        </w:rPr>
      </w:pPr>
      <w:r>
        <w:rPr>
          <w:rFonts w:hint="eastAsia"/>
          <w:b/>
          <w:bCs/>
          <w:color w:val="auto"/>
          <w:highlight w:val="none"/>
          <w:lang w:val="en-US" w:eastAsia="zh-CN"/>
        </w:rPr>
        <w:br w:type="page" w:clear="all"/>
      </w:r>
    </w:p>
    <w:p w14:paraId="230C24DC">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附件2：</w:t>
      </w:r>
    </w:p>
    <w:p w14:paraId="08C3F18C">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1CB3560">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工信部联企业〔2011〕300号</w:t>
      </w:r>
    </w:p>
    <w:p w14:paraId="27B5066B">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p>
    <w:p w14:paraId="743183DA">
      <w:pPr>
        <w:keepNext w:val="0"/>
        <w:keepLines w:val="0"/>
        <w:pageBreakBefore w:val="0"/>
        <w:widowControl w:val="0"/>
        <w:bidi w:val="0"/>
        <w:spacing w:line="360" w:lineRule="exact"/>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各省、自治区、直辖市人民政府，国务院各部委、各直属机构及有关单位：</w:t>
      </w:r>
    </w:p>
    <w:p w14:paraId="75B13D1C">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51FCA19">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工业和信息化部　国家统计局</w:t>
      </w:r>
    </w:p>
    <w:p w14:paraId="6E01B8D1">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国家发展和改革委员会　财政部</w:t>
      </w:r>
    </w:p>
    <w:p w14:paraId="374B7966">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二○一一年六月十八日</w:t>
      </w:r>
    </w:p>
    <w:p w14:paraId="4CE08511">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xml:space="preserve"> </w:t>
      </w:r>
    </w:p>
    <w:p w14:paraId="492C533F">
      <w:pPr>
        <w:keepNext w:val="0"/>
        <w:keepLines w:val="0"/>
        <w:pageBreakBefore w:val="0"/>
        <w:widowControl w:val="0"/>
        <w:bidi w:val="0"/>
        <w:spacing w:line="400" w:lineRule="exact"/>
        <w:jc w:val="center"/>
        <w:rPr>
          <w:rStyle w:val="25"/>
          <w:rFonts w:hint="eastAsia" w:ascii="宋体" w:hAnsi="宋体" w:eastAsia="宋体" w:cs="宋体"/>
          <w:b/>
          <w:bCs w:val="0"/>
          <w:color w:val="auto"/>
          <w:sz w:val="28"/>
          <w:szCs w:val="28"/>
          <w:highlight w:val="none"/>
        </w:rPr>
      </w:pPr>
      <w:r>
        <w:rPr>
          <w:rStyle w:val="25"/>
          <w:rFonts w:hint="eastAsia" w:ascii="宋体" w:hAnsi="宋体" w:eastAsia="宋体" w:cs="宋体"/>
          <w:b/>
          <w:bCs w:val="0"/>
          <w:color w:val="auto"/>
          <w:sz w:val="28"/>
          <w:szCs w:val="28"/>
          <w:highlight w:val="none"/>
        </w:rPr>
        <w:t>中小企业划型标准规定</w:t>
      </w:r>
    </w:p>
    <w:p w14:paraId="13C09383">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179E1C3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6BE6A1F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3BA3DD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四、各行业划型标准为：</w:t>
      </w:r>
    </w:p>
    <w:p w14:paraId="65F8199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FC77B56">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0B415C8">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8AE5D9">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8083196">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FE775C">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809657">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645E57">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58FC93">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C9B73C">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35730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0813175">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6AD8E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6E9F23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D8D728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AD3EB6">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7CE2C361">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五、企业类型的划分以统计部门的统计数据为依据。</w:t>
      </w:r>
    </w:p>
    <w:p w14:paraId="5A74322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16F50AF8">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618771C">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0BD19CE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九、本规定由工业和信息化部、国家统计局会同有关部门负责解释。</w:t>
      </w:r>
    </w:p>
    <w:p w14:paraId="6E6AEB65">
      <w:pPr>
        <w:keepNext w:val="0"/>
        <w:keepLines w:val="0"/>
        <w:pageBreakBefore w:val="0"/>
        <w:widowControl w:val="0"/>
        <w:bidi w:val="0"/>
        <w:spacing w:line="400" w:lineRule="exact"/>
        <w:rPr>
          <w:rFonts w:cs="宋体"/>
          <w:color w:val="auto"/>
          <w:spacing w:val="6"/>
          <w:sz w:val="21"/>
          <w:szCs w:val="21"/>
          <w:highlight w:val="none"/>
        </w:rPr>
      </w:pPr>
      <w:r>
        <w:rPr>
          <w:rStyle w:val="2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0BF895D9">
      <w:pPr>
        <w:rPr>
          <w:rFonts w:cs="宋体"/>
          <w:color w:val="auto"/>
          <w:spacing w:val="6"/>
          <w:sz w:val="21"/>
          <w:szCs w:val="21"/>
          <w:highlight w:val="none"/>
        </w:rPr>
      </w:pPr>
    </w:p>
    <w:p w14:paraId="669E1D85">
      <w:pPr>
        <w:rPr>
          <w:rFonts w:cs="宋体"/>
          <w:color w:val="auto"/>
          <w:spacing w:val="6"/>
          <w:sz w:val="21"/>
          <w:szCs w:val="21"/>
          <w:highlight w:val="none"/>
        </w:rPr>
      </w:pPr>
    </w:p>
    <w:p w14:paraId="08962333">
      <w:pPr>
        <w:rPr>
          <w:rFonts w:cs="宋体"/>
          <w:color w:val="auto"/>
          <w:spacing w:val="6"/>
          <w:sz w:val="21"/>
          <w:szCs w:val="21"/>
          <w:highlight w:val="none"/>
        </w:rPr>
      </w:pPr>
    </w:p>
    <w:p w14:paraId="4296EF40">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附件3：</w:t>
      </w:r>
    </w:p>
    <w:p w14:paraId="4C5621CB">
      <w:pPr>
        <w:rPr>
          <w:rFonts w:hint="eastAsia" w:cs="宋体"/>
          <w:color w:val="auto"/>
          <w:spacing w:val="6"/>
          <w:sz w:val="21"/>
          <w:szCs w:val="21"/>
          <w:highlight w:val="none"/>
        </w:rPr>
      </w:pPr>
    </w:p>
    <w:p w14:paraId="21EE3DA3">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60A122CD">
      <w:pPr>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银发〔2015〕309号</w:t>
      </w:r>
    </w:p>
    <w:p w14:paraId="7E080F07">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E731F18">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632A366">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p>
    <w:p w14:paraId="79CB34DD">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附件：金融业企业划型标准规定</w:t>
      </w:r>
    </w:p>
    <w:p w14:paraId="0301F6DC">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中国人民银行</w:t>
      </w:r>
    </w:p>
    <w:p w14:paraId="4E7995E9">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中国银行业监督管理委员会</w:t>
      </w:r>
    </w:p>
    <w:p w14:paraId="041FB014">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中国证券监督管理委员会</w:t>
      </w:r>
    </w:p>
    <w:p w14:paraId="7649FEBD">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中国保险监督管理委员会</w:t>
      </w:r>
    </w:p>
    <w:p w14:paraId="5DE19F90">
      <w:pPr>
        <w:keepNext w:val="0"/>
        <w:keepLines w:val="0"/>
        <w:pageBreakBefore w:val="0"/>
        <w:widowControl w:val="0"/>
        <w:bidi w:val="0"/>
        <w:spacing w:line="460" w:lineRule="exact"/>
        <w:ind w:firstLine="216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中华人民共和国国家统计局</w:t>
      </w:r>
    </w:p>
    <w:p w14:paraId="7CB735A9">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2015年9月28日</w:t>
      </w:r>
    </w:p>
    <w:p w14:paraId="3D050FBE">
      <w:pPr>
        <w:rPr>
          <w:rFonts w:hint="eastAsia" w:cs="宋体"/>
          <w:color w:val="auto"/>
          <w:spacing w:val="6"/>
          <w:sz w:val="21"/>
          <w:szCs w:val="21"/>
          <w:highlight w:val="none"/>
        </w:rPr>
      </w:pPr>
    </w:p>
    <w:p w14:paraId="67EA5B01">
      <w:pPr>
        <w:rPr>
          <w:rFonts w:hint="eastAsia" w:cs="宋体"/>
          <w:color w:val="auto"/>
          <w:spacing w:val="6"/>
          <w:sz w:val="21"/>
          <w:szCs w:val="21"/>
          <w:highlight w:val="none"/>
          <w:lang w:val="en-US" w:eastAsia="zh-CN"/>
        </w:rPr>
      </w:pPr>
    </w:p>
    <w:p w14:paraId="69D2FFBE">
      <w:pPr>
        <w:rPr>
          <w:rFonts w:hint="eastAsia" w:cs="宋体"/>
          <w:color w:val="auto"/>
          <w:spacing w:val="6"/>
          <w:sz w:val="21"/>
          <w:szCs w:val="21"/>
          <w:highlight w:val="none"/>
          <w:lang w:val="en-US" w:eastAsia="zh-CN"/>
        </w:rPr>
      </w:pPr>
    </w:p>
    <w:p w14:paraId="339454BF">
      <w:pPr>
        <w:rPr>
          <w:rFonts w:hint="eastAsia" w:cs="宋体"/>
          <w:color w:val="auto"/>
          <w:spacing w:val="6"/>
          <w:sz w:val="21"/>
          <w:szCs w:val="21"/>
          <w:highlight w:val="none"/>
          <w:lang w:val="en-US" w:eastAsia="zh-CN"/>
        </w:rPr>
      </w:pPr>
    </w:p>
    <w:p w14:paraId="27A77FB8">
      <w:pPr>
        <w:rPr>
          <w:rFonts w:hint="eastAsia" w:cs="宋体"/>
          <w:color w:val="auto"/>
          <w:spacing w:val="6"/>
          <w:sz w:val="21"/>
          <w:szCs w:val="21"/>
          <w:highlight w:val="none"/>
          <w:lang w:val="en-US" w:eastAsia="zh-CN"/>
        </w:rPr>
      </w:pPr>
    </w:p>
    <w:p w14:paraId="4C378C4E">
      <w:pPr>
        <w:rPr>
          <w:rFonts w:hint="eastAsia" w:cs="宋体"/>
          <w:color w:val="auto"/>
          <w:spacing w:val="6"/>
          <w:sz w:val="21"/>
          <w:szCs w:val="21"/>
          <w:highlight w:val="none"/>
          <w:lang w:val="en-US" w:eastAsia="zh-CN"/>
        </w:rPr>
      </w:pPr>
    </w:p>
    <w:p w14:paraId="2923B173">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clear="all"/>
      </w:r>
    </w:p>
    <w:p w14:paraId="5D633B72">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7CECEB71">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6CA01AE2">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7298C1D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9A74F6F">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75CD783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8F0E26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118C335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154BBC4">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38622D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9CE1AD6">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6482837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53788ED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E824CD4">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2EBFA17">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cs="宋体"/>
          <w:b w:val="0"/>
          <w:bCs w:val="0"/>
          <w:color w:val="auto"/>
          <w:sz w:val="24"/>
          <w:szCs w:val="24"/>
          <w:highlight w:val="none"/>
          <w:lang w:eastAsia="zh-CN"/>
        </w:rPr>
        <w:t>（八）</w:t>
      </w:r>
      <w:r>
        <w:rPr>
          <w:rStyle w:val="2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5"/>
          <w:rFonts w:hint="eastAsia" w:cs="宋体"/>
          <w:b w:val="0"/>
          <w:bCs w:val="0"/>
          <w:color w:val="auto"/>
          <w:sz w:val="24"/>
          <w:szCs w:val="24"/>
          <w:highlight w:val="none"/>
          <w:lang w:eastAsia="zh-CN"/>
        </w:rPr>
        <w:t>。</w:t>
      </w:r>
    </w:p>
    <w:p w14:paraId="6838A4E6">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方便政府部门和社会各界查询使用。</w:t>
      </w:r>
    </w:p>
    <w:p w14:paraId="0FC1AFBB">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5816FE1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5"/>
          <w:rFonts w:hint="eastAsia" w:cs="宋体"/>
          <w:b w:val="0"/>
          <w:bCs w:val="0"/>
          <w:color w:val="auto"/>
          <w:sz w:val="24"/>
          <w:szCs w:val="24"/>
          <w:highlight w:val="none"/>
          <w:lang w:eastAsia="zh-CN"/>
        </w:rPr>
        <w:t>。</w:t>
      </w:r>
    </w:p>
    <w:p w14:paraId="012D1A3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25"/>
          <w:rFonts w:hint="eastAsia" w:cs="宋体"/>
          <w:b w:val="0"/>
          <w:bCs w:val="0"/>
          <w:color w:val="auto"/>
          <w:sz w:val="24"/>
          <w:szCs w:val="24"/>
          <w:highlight w:val="none"/>
          <w:lang w:eastAsia="zh-CN"/>
        </w:rPr>
        <w:t>。</w:t>
      </w:r>
    </w:p>
    <w:p w14:paraId="421E16F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十、本规定由人民银行会同银监会、证监会、保监会和统计局负责解释。</w:t>
      </w:r>
    </w:p>
    <w:p w14:paraId="37CCCAA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十一、本规定自发布之日起实施</w:t>
      </w:r>
      <w:r>
        <w:rPr>
          <w:rStyle w:val="25"/>
          <w:rFonts w:hint="eastAsia" w:cs="宋体"/>
          <w:b w:val="0"/>
          <w:bCs w:val="0"/>
          <w:color w:val="auto"/>
          <w:sz w:val="24"/>
          <w:szCs w:val="24"/>
          <w:highlight w:val="none"/>
          <w:lang w:eastAsia="zh-CN"/>
        </w:rPr>
        <w:t>。</w:t>
      </w:r>
    </w:p>
    <w:p w14:paraId="1C802EB4">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p>
    <w:p w14:paraId="19B2EA7D">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金融业企业划型标准</w:t>
      </w:r>
    </w:p>
    <w:p w14:paraId="2DF49789">
      <w:pPr>
        <w:rPr>
          <w:rFonts w:cs="宋体"/>
          <w:color w:val="auto"/>
          <w:spacing w:val="6"/>
          <w:sz w:val="21"/>
          <w:szCs w:val="21"/>
          <w:highlight w:val="none"/>
        </w:rPr>
      </w:pPr>
    </w:p>
    <w:p w14:paraId="21189B57">
      <w:pPr>
        <w:rPr>
          <w:rFonts w:hint="eastAsia" w:cs="宋体"/>
          <w:color w:val="auto"/>
          <w:spacing w:val="6"/>
          <w:sz w:val="24"/>
          <w:szCs w:val="24"/>
          <w:highlight w:val="none"/>
          <w:lang w:val="en-US" w:eastAsia="zh-CN"/>
        </w:rPr>
      </w:pPr>
    </w:p>
    <w:p w14:paraId="3E9A3D79">
      <w:pPr>
        <w:rPr>
          <w:rFonts w:hint="eastAsia" w:cs="宋体"/>
          <w:color w:val="auto"/>
          <w:spacing w:val="6"/>
          <w:sz w:val="24"/>
          <w:szCs w:val="24"/>
          <w:highlight w:val="none"/>
          <w:lang w:val="en-US" w:eastAsia="zh-CN"/>
        </w:rPr>
      </w:pPr>
    </w:p>
    <w:p w14:paraId="3BB0CEBC">
      <w:pPr>
        <w:rPr>
          <w:rFonts w:hint="eastAsia" w:cs="宋体"/>
          <w:color w:val="auto"/>
          <w:spacing w:val="6"/>
          <w:sz w:val="24"/>
          <w:szCs w:val="24"/>
          <w:highlight w:val="none"/>
          <w:lang w:val="en-US" w:eastAsia="zh-CN"/>
        </w:rPr>
      </w:pPr>
    </w:p>
    <w:p w14:paraId="4CA14459">
      <w:pPr>
        <w:rPr>
          <w:rFonts w:hint="eastAsia" w:cs="宋体"/>
          <w:color w:val="auto"/>
          <w:spacing w:val="6"/>
          <w:sz w:val="24"/>
          <w:szCs w:val="24"/>
          <w:highlight w:val="none"/>
          <w:lang w:val="en-US" w:eastAsia="zh-CN"/>
        </w:rPr>
      </w:pPr>
    </w:p>
    <w:p w14:paraId="0560015B">
      <w:pPr>
        <w:rPr>
          <w:rFonts w:hint="eastAsia" w:cs="宋体"/>
          <w:color w:val="auto"/>
          <w:spacing w:val="6"/>
          <w:sz w:val="24"/>
          <w:szCs w:val="24"/>
          <w:highlight w:val="none"/>
          <w:lang w:val="en-US" w:eastAsia="zh-CN"/>
        </w:rPr>
      </w:pPr>
    </w:p>
    <w:p w14:paraId="454C5830">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31EA88EE">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2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30A3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noWrap w:val="0"/>
            <w:vAlign w:val="center"/>
          </w:tcPr>
          <w:p w14:paraId="72D4B18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noWrap w:val="0"/>
            <w:vAlign w:val="center"/>
          </w:tcPr>
          <w:p w14:paraId="5C1F70F9">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noWrap w:val="0"/>
            <w:vAlign w:val="center"/>
          </w:tcPr>
          <w:p w14:paraId="5580365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noWrap w:val="0"/>
            <w:vAlign w:val="center"/>
          </w:tcPr>
          <w:p w14:paraId="4338A219">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39A6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1D3DCC9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noWrap w:val="0"/>
            <w:vAlign w:val="center"/>
          </w:tcPr>
          <w:p w14:paraId="31FC0D5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noWrap w:val="0"/>
            <w:vAlign w:val="center"/>
          </w:tcPr>
          <w:p w14:paraId="6769D9D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noWrap w:val="0"/>
            <w:vAlign w:val="center"/>
          </w:tcPr>
          <w:p w14:paraId="4309BBFC">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6D1E35BA">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286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E4AD2D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7560367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CB0CB4E">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E26AF5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2F4A20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0B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1548DE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28661EE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ED0966E">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B0DF55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3D7D30D0">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750D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2654343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0509CF6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noWrap w:val="0"/>
            <w:vAlign w:val="center"/>
          </w:tcPr>
          <w:p w14:paraId="0C89C7A0">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noWrap w:val="0"/>
            <w:vAlign w:val="center"/>
          </w:tcPr>
          <w:p w14:paraId="46B7FB3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6957BB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8F8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5ECA24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7817C46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CF98320">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8D8EDD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09FC8BD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1DE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DA9931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D21307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27C27FBB">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5BFF67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5B93142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3D09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25EC61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2A49CF7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noWrap w:val="0"/>
            <w:vAlign w:val="center"/>
          </w:tcPr>
          <w:p w14:paraId="5B09464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noWrap w:val="0"/>
            <w:vAlign w:val="center"/>
          </w:tcPr>
          <w:p w14:paraId="254EA5F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2AF3F4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451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E278B2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354671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AE6A7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10ADDED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190A96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4FC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C0300E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97F900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024208F">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FF15AF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0958484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6EFC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391D03C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noWrap w:val="0"/>
            <w:vAlign w:val="center"/>
          </w:tcPr>
          <w:p w14:paraId="6E67293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noWrap w:val="0"/>
            <w:vAlign w:val="center"/>
          </w:tcPr>
          <w:p w14:paraId="142BD7E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1F874DA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1503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A4C341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DD0633E">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F74415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7F3DA0A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54C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52DB829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3ABCFE1C">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EB980C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5A83CF7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02C2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3CBCA1A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noWrap w:val="0"/>
            <w:vAlign w:val="center"/>
          </w:tcPr>
          <w:p w14:paraId="24C72C8E">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noWrap w:val="0"/>
            <w:vAlign w:val="center"/>
          </w:tcPr>
          <w:p w14:paraId="7FD6EED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5B0F8E1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7DF6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39DCD50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9188E60">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24FBEF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54ED2AB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553C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64AACC2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C6689B6">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525974D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E00B63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447E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5B17535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noWrap w:val="0"/>
            <w:vAlign w:val="center"/>
          </w:tcPr>
          <w:p w14:paraId="429B048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noWrap w:val="0"/>
            <w:vAlign w:val="center"/>
          </w:tcPr>
          <w:p w14:paraId="527BDC1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noWrap w:val="0"/>
            <w:vAlign w:val="center"/>
          </w:tcPr>
          <w:p w14:paraId="3CAA11E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526B630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5DA5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0F4862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70D7F7D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2DE7ECB">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AA0843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195DC64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400E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1071C5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9D838A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2867315">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DD9AF3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22464B8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2A4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C5E81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0EDDE79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noWrap w:val="0"/>
            <w:vAlign w:val="center"/>
          </w:tcPr>
          <w:p w14:paraId="4279B50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noWrap w:val="0"/>
            <w:vAlign w:val="center"/>
          </w:tcPr>
          <w:p w14:paraId="0829F64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BFD4F9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1370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3B88AB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7C4A771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0FBE85B9">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4A658A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397BCBA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43E2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48124B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281EF17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2F82DBD8">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7A76E65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013449F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2071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63B2D35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505C8D6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noWrap w:val="0"/>
            <w:vAlign w:val="center"/>
          </w:tcPr>
          <w:p w14:paraId="6F20636A">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noWrap w:val="0"/>
            <w:vAlign w:val="center"/>
          </w:tcPr>
          <w:p w14:paraId="4D89D367">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62A7F05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5207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2DDCCF2E">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215A3928">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52C5C6D3">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5F97BA8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8E55FC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14B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0FD3D067">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554A4A45">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6614A921">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316BB7C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2EEEACE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89D31E9">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clear="all"/>
      </w:r>
      <w:bookmarkStart w:id="638" w:name="_Toc163492940"/>
    </w:p>
    <w:p w14:paraId="33FBAE3C">
      <w:pPr>
        <w:pStyle w:val="76"/>
        <w:numPr>
          <w:ilvl w:val="0"/>
          <w:numId w:val="0"/>
        </w:numPr>
        <w:ind w:left="420" w:hanging="42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（2）监狱企业证明文件【如适用】</w:t>
      </w:r>
      <w:bookmarkEnd w:id="638"/>
    </w:p>
    <w:p w14:paraId="3DFCA1C7">
      <w:pPr>
        <w:rPr>
          <w:rFonts w:cs="仿宋_GB2312"/>
          <w:b/>
          <w:color w:val="auto"/>
          <w:sz w:val="28"/>
          <w:szCs w:val="28"/>
          <w:highlight w:val="none"/>
        </w:rPr>
      </w:pPr>
    </w:p>
    <w:p w14:paraId="66BA9FE1">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055465A8">
      <w:pPr>
        <w:pStyle w:val="12"/>
        <w:spacing w:line="360" w:lineRule="auto"/>
        <w:jc w:val="center"/>
        <w:rPr>
          <w:rFonts w:hint="eastAsia" w:ascii="宋体" w:hAnsi="宋体" w:eastAsia="宋体" w:cs="宋体"/>
          <w:b/>
          <w:bCs w:val="0"/>
          <w:color w:val="auto"/>
          <w:sz w:val="32"/>
          <w:szCs w:val="32"/>
          <w:highlight w:val="none"/>
        </w:rPr>
      </w:pPr>
    </w:p>
    <w:p w14:paraId="46247094">
      <w:pPr>
        <w:pStyle w:val="1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31FBBB92">
      <w:pPr>
        <w:spacing w:line="360" w:lineRule="auto"/>
        <w:rPr>
          <w:rFonts w:hint="eastAsia" w:ascii="仿宋_GB2312" w:hAnsi="仿宋_GB2312" w:eastAsia="仿宋_GB2312" w:cs="仿宋_GB2312"/>
          <w:color w:val="auto"/>
          <w:sz w:val="32"/>
          <w:szCs w:val="32"/>
          <w:highlight w:val="none"/>
        </w:rPr>
      </w:pPr>
    </w:p>
    <w:p w14:paraId="4CB3E4DA">
      <w:pPr>
        <w:ind w:firstLine="504"/>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1578EAB2">
      <w:pPr>
        <w:spacing w:line="360" w:lineRule="auto"/>
        <w:rPr>
          <w:rFonts w:hint="eastAsia" w:ascii="宋体" w:hAnsi="宋体" w:eastAsia="宋体" w:cs="宋体"/>
          <w:color w:val="auto"/>
          <w:sz w:val="24"/>
          <w:szCs w:val="24"/>
          <w:highlight w:val="none"/>
        </w:rPr>
      </w:pPr>
    </w:p>
    <w:p w14:paraId="053BA374">
      <w:pPr>
        <w:ind w:firstLine="4440"/>
        <w:rPr>
          <w:rFonts w:hint="eastAsia" w:ascii="宋体" w:hAnsi="宋体" w:eastAsia="宋体" w:cs="宋体"/>
          <w:color w:val="auto"/>
          <w:sz w:val="24"/>
          <w:szCs w:val="24"/>
          <w:highlight w:val="none"/>
        </w:rPr>
      </w:pPr>
    </w:p>
    <w:p w14:paraId="2F6BFD34">
      <w:pPr>
        <w:ind w:firstLine="4440"/>
        <w:rPr>
          <w:rFonts w:hint="eastAsia" w:ascii="宋体" w:hAnsi="宋体" w:eastAsia="宋体" w:cs="宋体"/>
          <w:color w:val="auto"/>
          <w:sz w:val="24"/>
          <w:szCs w:val="24"/>
          <w:highlight w:val="none"/>
        </w:rPr>
      </w:pPr>
    </w:p>
    <w:p w14:paraId="280E8AC7">
      <w:pPr>
        <w:ind w:right="1008" w:firstLine="42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pacing w:val="6"/>
          <w:sz w:val="24"/>
          <w:szCs w:val="24"/>
          <w:highlight w:val="none"/>
        </w:rPr>
        <w:t>：</w:t>
      </w:r>
    </w:p>
    <w:p w14:paraId="5D672EBC">
      <w:pPr>
        <w:ind w:right="1008" w:firstLine="4284"/>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375F611A">
      <w:pPr>
        <w:spacing w:line="360" w:lineRule="auto"/>
        <w:ind w:firstLine="240"/>
        <w:rPr>
          <w:rFonts w:hint="eastAsia" w:ascii="宋体" w:hAnsi="宋体" w:eastAsia="宋体" w:cs="宋体"/>
          <w:color w:val="auto"/>
          <w:sz w:val="24"/>
          <w:szCs w:val="24"/>
          <w:highlight w:val="none"/>
        </w:rPr>
      </w:pPr>
    </w:p>
    <w:p w14:paraId="5AD0C42D">
      <w:pPr>
        <w:spacing w:line="360" w:lineRule="auto"/>
        <w:ind w:firstLine="240"/>
        <w:rPr>
          <w:rFonts w:hint="eastAsia" w:ascii="宋体" w:hAnsi="宋体" w:eastAsia="宋体" w:cs="宋体"/>
          <w:color w:val="auto"/>
          <w:sz w:val="24"/>
          <w:szCs w:val="24"/>
          <w:highlight w:val="none"/>
        </w:rPr>
      </w:pPr>
    </w:p>
    <w:p w14:paraId="5BBA2B10">
      <w:pPr>
        <w:spacing w:line="360" w:lineRule="auto"/>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4355A53A">
      <w:pPr>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盖章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AE106AE">
      <w:pPr>
        <w:ind w:firstLine="4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90FFC99">
      <w:pPr>
        <w:spacing w:line="360" w:lineRule="auto"/>
        <w:ind w:firstLine="240"/>
        <w:rPr>
          <w:rFonts w:hint="eastAsia" w:ascii="宋体" w:hAnsi="宋体" w:eastAsia="宋体" w:cs="宋体"/>
          <w:color w:val="auto"/>
          <w:sz w:val="24"/>
          <w:szCs w:val="24"/>
          <w:highlight w:val="none"/>
        </w:rPr>
      </w:pPr>
    </w:p>
    <w:p w14:paraId="24E0681C">
      <w:pPr>
        <w:spacing w:line="360" w:lineRule="auto"/>
        <w:ind w:firstLine="4000"/>
        <w:rPr>
          <w:rFonts w:hint="eastAsia" w:ascii="仿宋_GB2312" w:hAnsi="仿宋_GB2312" w:eastAsia="仿宋_GB2312" w:cs="仿宋_GB2312"/>
          <w:color w:val="auto"/>
          <w:sz w:val="32"/>
          <w:szCs w:val="32"/>
          <w:highlight w:val="none"/>
        </w:rPr>
      </w:pPr>
    </w:p>
    <w:p w14:paraId="7CA7CE29">
      <w:pPr>
        <w:spacing w:line="360" w:lineRule="auto"/>
        <w:rPr>
          <w:rFonts w:hint="eastAsia" w:ascii="仿宋_GB2312" w:hAnsi="仿宋_GB2312" w:eastAsia="仿宋_GB2312" w:cs="仿宋_GB2312"/>
          <w:color w:val="auto"/>
          <w:sz w:val="32"/>
          <w:szCs w:val="32"/>
          <w:highlight w:val="none"/>
        </w:rPr>
      </w:pPr>
    </w:p>
    <w:p w14:paraId="021406E4">
      <w:pPr>
        <w:spacing w:line="360" w:lineRule="auto"/>
        <w:rPr>
          <w:rFonts w:hint="eastAsia" w:ascii="仿宋_GB2312" w:hAnsi="仿宋_GB2312" w:eastAsia="仿宋_GB2312" w:cs="仿宋_GB2312"/>
          <w:color w:val="auto"/>
          <w:sz w:val="32"/>
          <w:szCs w:val="32"/>
          <w:highlight w:val="none"/>
        </w:rPr>
      </w:pPr>
    </w:p>
    <w:p w14:paraId="5347FF93">
      <w:pPr>
        <w:spacing w:line="360" w:lineRule="auto"/>
        <w:rPr>
          <w:rFonts w:hint="eastAsia" w:ascii="仿宋_GB2312" w:hAnsi="仿宋_GB2312" w:eastAsia="仿宋_GB2312" w:cs="仿宋_GB2312"/>
          <w:color w:val="auto"/>
          <w:sz w:val="32"/>
          <w:szCs w:val="32"/>
          <w:highlight w:val="none"/>
        </w:rPr>
      </w:pPr>
    </w:p>
    <w:p w14:paraId="27BA492D">
      <w:pPr>
        <w:widowControl/>
        <w:spacing w:before="100" w:beforeAutospacing="1" w:after="100" w:afterAutospacing="1"/>
        <w:rPr>
          <w:rFonts w:ascii="Arial" w:hAnsi="Arial" w:cs="Arial"/>
          <w:color w:val="auto"/>
          <w:sz w:val="21"/>
          <w:szCs w:val="21"/>
          <w:highlight w:val="none"/>
        </w:rPr>
      </w:pPr>
    </w:p>
    <w:p w14:paraId="318A7C91">
      <w:pPr>
        <w:pStyle w:val="36"/>
        <w:rPr>
          <w:rFonts w:hint="eastAsia"/>
          <w:b/>
          <w:bCs/>
          <w:color w:val="auto"/>
          <w:sz w:val="24"/>
          <w:szCs w:val="24"/>
          <w:highlight w:val="none"/>
          <w:lang w:val="en-US" w:eastAsia="zh-CN"/>
        </w:rPr>
      </w:pPr>
      <w:bookmarkStart w:id="639" w:name="_Toc163492941"/>
      <w:r>
        <w:rPr>
          <w:rFonts w:hint="eastAsia" w:ascii="宋体" w:hAnsi="宋体" w:eastAsia="宋体" w:cs="Times New Roman"/>
          <w:b/>
          <w:bCs/>
          <w:iCs w:val="0"/>
          <w:color w:val="auto"/>
          <w:sz w:val="32"/>
          <w:szCs w:val="32"/>
          <w:highlight w:val="none"/>
          <w:shd w:val="clear" w:color="auto" w:fill="auto"/>
          <w:lang w:val="en-US" w:eastAsia="zh-CN" w:bidi="ar-SA"/>
        </w:rPr>
        <w:t>（</w:t>
      </w:r>
      <w:r>
        <w:rPr>
          <w:rFonts w:hint="eastAsia" w:cs="Times New Roman"/>
          <w:b/>
          <w:bCs/>
          <w:iCs w:val="0"/>
          <w:color w:val="auto"/>
          <w:sz w:val="32"/>
          <w:szCs w:val="32"/>
          <w:highlight w:val="none"/>
          <w:shd w:val="clear" w:color="auto" w:fill="auto"/>
          <w:lang w:val="en-US" w:eastAsia="zh-CN" w:bidi="ar-SA"/>
        </w:rPr>
        <w:t>3</w:t>
      </w:r>
      <w:r>
        <w:rPr>
          <w:rFonts w:hint="eastAsia" w:ascii="宋体" w:hAnsi="宋体" w:eastAsia="宋体" w:cs="Times New Roman"/>
          <w:b/>
          <w:bCs/>
          <w:iCs w:val="0"/>
          <w:color w:val="auto"/>
          <w:sz w:val="32"/>
          <w:szCs w:val="32"/>
          <w:highlight w:val="none"/>
          <w:shd w:val="clear" w:color="auto" w:fill="auto"/>
          <w:lang w:val="en-US" w:eastAsia="zh-CN" w:bidi="ar-SA"/>
        </w:rPr>
        <w:t>）残疾人福利性单位声明函【如适用】</w:t>
      </w:r>
      <w:bookmarkEnd w:id="639"/>
    </w:p>
    <w:p w14:paraId="3825FAD7">
      <w:pPr>
        <w:pStyle w:val="76"/>
        <w:numPr>
          <w:ilvl w:val="0"/>
          <w:numId w:val="0"/>
        </w:numPr>
        <w:ind w:left="420" w:hanging="420"/>
        <w:jc w:val="center"/>
        <w:rPr>
          <w:rFonts w:hint="eastAsia"/>
          <w:b/>
          <w:bCs/>
          <w:color w:val="auto"/>
          <w:sz w:val="32"/>
          <w:szCs w:val="32"/>
          <w:highlight w:val="none"/>
        </w:rPr>
      </w:pPr>
    </w:p>
    <w:p w14:paraId="662BCB53">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rPr>
        <w:t>残疾人福利性单位声明函</w:t>
      </w:r>
    </w:p>
    <w:p w14:paraId="655B810F">
      <w:pPr>
        <w:ind w:firstLine="480"/>
        <w:rPr>
          <w:rFonts w:hint="eastAsia"/>
          <w:color w:val="auto"/>
          <w:szCs w:val="24"/>
          <w:highlight w:val="none"/>
        </w:rPr>
      </w:pPr>
    </w:p>
    <w:p w14:paraId="1BBF1380">
      <w:pPr>
        <w:ind w:firstLine="48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7CFEE63F">
      <w:pPr>
        <w:ind w:firstLine="48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FE0C15B">
      <w:pPr>
        <w:ind w:firstLine="48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2F48BFA">
      <w:pPr>
        <w:ind w:firstLine="480"/>
        <w:rPr>
          <w:i w:val="0"/>
          <w:iCs w:val="0"/>
          <w:color w:val="auto"/>
          <w:szCs w:val="24"/>
          <w:highlight w:val="none"/>
        </w:rPr>
      </w:pPr>
      <w:r>
        <w:rPr>
          <w:rFonts w:hint="eastAsia"/>
          <w:i w:val="0"/>
          <w:iCs w:val="0"/>
          <w:color w:val="auto"/>
          <w:szCs w:val="24"/>
          <w:highlight w:val="none"/>
        </w:rPr>
        <w:t>……</w:t>
      </w:r>
    </w:p>
    <w:p w14:paraId="51EAD419">
      <w:pPr>
        <w:ind w:firstLine="48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4A7B60FE">
      <w:pPr>
        <w:ind w:left="1087" w:hanging="607"/>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6B6CC32B">
      <w:pPr>
        <w:ind w:left="1091" w:hanging="1091"/>
        <w:rPr>
          <w:b/>
          <w:bCs/>
          <w:i w:val="0"/>
          <w:iCs w:val="0"/>
          <w:color w:val="auto"/>
          <w:szCs w:val="24"/>
          <w:highlight w:val="none"/>
        </w:rPr>
      </w:pPr>
    </w:p>
    <w:p w14:paraId="47E41530">
      <w:pPr>
        <w:ind w:left="1091" w:hanging="1091"/>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6522BB2B">
      <w:pPr>
        <w:ind w:left="1087" w:hanging="1087"/>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0F683333">
      <w:pPr>
        <w:spacing w:before="100" w:beforeAutospacing="1" w:after="100" w:afterAutospacing="1"/>
        <w:ind w:firstLine="3316"/>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67E99F9F">
      <w:pPr>
        <w:spacing w:before="100" w:beforeAutospacing="1" w:after="100" w:afterAutospacing="1"/>
        <w:ind w:firstLine="3316"/>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57D5119">
      <w:pPr>
        <w:rPr>
          <w:rFonts w:hint="eastAsia" w:ascii="宋体" w:hAnsi="宋体" w:eastAsia="宋体" w:cs="宋体"/>
          <w:color w:val="auto"/>
          <w:highlight w:val="none"/>
        </w:rPr>
      </w:pPr>
    </w:p>
    <w:p w14:paraId="4B0239F4">
      <w:pPr>
        <w:rPr>
          <w:rFonts w:hint="eastAsia" w:ascii="宋体" w:hAnsi="宋体" w:eastAsia="宋体" w:cs="宋体"/>
          <w:color w:val="auto"/>
          <w:highlight w:val="none"/>
        </w:rP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DB57F6-BBBF-4FE6-AC5E-FC42E10982FA}"/>
  </w:font>
  <w:font w:name="Arial">
    <w:panose1 w:val="020B0604020202020204"/>
    <w:charset w:val="01"/>
    <w:family w:val="swiss"/>
    <w:pitch w:val="default"/>
    <w:sig w:usb0="E0002EFF" w:usb1="C000785B" w:usb2="00000009" w:usb3="00000000" w:csb0="400001FF" w:csb1="FFFF0000"/>
    <w:embedRegular r:id="rId2" w:fontKey="{9C75FCF5-D54F-4016-92EF-E28B6F780BF8}"/>
  </w:font>
  <w:font w:name="黑体">
    <w:panose1 w:val="02010609060101010101"/>
    <w:charset w:val="86"/>
    <w:family w:val="auto"/>
    <w:pitch w:val="default"/>
    <w:sig w:usb0="800002BF" w:usb1="38CF7CFA" w:usb2="00000016" w:usb3="00000000" w:csb0="00040001" w:csb1="00000000"/>
    <w:embedRegular r:id="rId3" w:fontKey="{6D685D09-8366-4340-944B-5A8F9243625E}"/>
  </w:font>
  <w:font w:name="Courier New">
    <w:panose1 w:val="02070309020205020404"/>
    <w:charset w:val="01"/>
    <w:family w:val="modern"/>
    <w:pitch w:val="default"/>
    <w:sig w:usb0="E0002EFF" w:usb1="C0007843" w:usb2="00000009" w:usb3="00000000" w:csb0="400001FF" w:csb1="FFFF0000"/>
    <w:embedRegular r:id="rId4" w:fontKey="{52AF8EEE-F955-47A8-BE5C-2F4DAC38E57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5" w:fontKey="{ADD927EF-6DD2-4C18-9AAB-3FFE2D4AC26F}"/>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D6F686C1-6F1C-4AC5-AECF-DD8F4FDFFDEC}"/>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dobe 仿宋 Std R">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7" w:fontKey="{0B2775D6-EBA7-43F4-8106-43BA2148C7E7}"/>
  </w:font>
  <w:font w:name="华文中宋">
    <w:altName w:val="华文中宋"/>
    <w:panose1 w:val="02010600040101010101"/>
    <w:charset w:val="86"/>
    <w:family w:val="auto"/>
    <w:pitch w:val="default"/>
    <w:sig w:usb0="00000287" w:usb1="080F0000" w:usb2="00000000" w:usb3="00000000" w:csb0="0004009F" w:csb1="DFD70000"/>
    <w:embedRegular r:id="rId8" w:fontKey="{D1BA1FC3-915A-4146-9890-767EF3C7BF2C}"/>
  </w:font>
  <w:font w:name="DejaVuSans">
    <w:altName w:val="Segoe Print"/>
    <w:panose1 w:val="05050102010205020202"/>
    <w:charset w:val="00"/>
    <w:family w:val="auto"/>
    <w:pitch w:val="default"/>
    <w:sig w:usb0="00000000" w:usb1="00000000" w:usb2="00000000" w:usb3="00000000" w:csb0="00040001" w:csb1="00000000"/>
    <w:embedRegular r:id="rId9" w:fontKey="{AB07E1AD-15D8-4EAF-A80C-09B01CAF2ECC}"/>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10" w:fontKey="{E0D9B57C-40B9-4927-91D8-CB3F867DFA90}"/>
  </w:font>
  <w:font w:name="Tahoma">
    <w:panose1 w:val="020B0604030504040204"/>
    <w:charset w:val="00"/>
    <w:family w:val="auto"/>
    <w:pitch w:val="default"/>
    <w:sig w:usb0="E1002EFF" w:usb1="C000605B" w:usb2="00000029" w:usb3="00000000" w:csb0="200101FF" w:csb1="2028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AD22">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271586">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74D49327"/>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14:paraId="0C271586">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74D49327"/>
                </w:txbxContent>
              </v:textbox>
            </v:shape>
          </w:pict>
        </mc:Fallback>
      </mc:AlternateContent>
    </w:r>
  </w:p>
  <w:p w14:paraId="12A3B3E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BB221">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1F22572">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42BF3B77"/>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X+bejOEBAADFAwAADgAA&#10;AAAAAAABACAAAAAfAQAAZHJzL2Uyb0RvYy54bWxQSwUGAAAAAAYABgBZAQAAcgUAAAAA&#10;">
              <v:fill on="f" focussize="0,0"/>
              <v:stroke on="f"/>
              <v:imagedata o:title=""/>
              <o:lock v:ext="edit" aspectratio="f"/>
              <v:textbox inset="0mm,0mm,0mm,0mm" style="mso-fit-shape-to-text:t;">
                <w:txbxContent>
                  <w:p w14:paraId="31F22572">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42BF3B77"/>
                </w:txbxContent>
              </v:textbox>
            </v:rect>
          </w:pict>
        </mc:Fallback>
      </mc:AlternateContent>
    </w:r>
  </w:p>
  <w:p w14:paraId="34B1179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3139E">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1C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891AF"/>
    <w:multiLevelType w:val="singleLevel"/>
    <w:tmpl w:val="858891AF"/>
    <w:lvl w:ilvl="0" w:tentative="0">
      <w:start w:val="1"/>
      <w:numFmt w:val="decimal"/>
      <w:suff w:val="nothing"/>
      <w:lvlText w:val="(%1)"/>
      <w:lvlJc w:val="left"/>
      <w:pPr>
        <w:ind w:left="425" w:hanging="425"/>
      </w:pPr>
      <w:rPr>
        <w:rFonts w:hint="default"/>
      </w:rPr>
    </w:lvl>
  </w:abstractNum>
  <w:abstractNum w:abstractNumId="1">
    <w:nsid w:val="FCBEB25E"/>
    <w:multiLevelType w:val="singleLevel"/>
    <w:tmpl w:val="FCBEB25E"/>
    <w:lvl w:ilvl="0" w:tentative="0">
      <w:start w:val="2"/>
      <w:numFmt w:val="decimal"/>
      <w:suff w:val="nothing"/>
      <w:lvlText w:val="%1、"/>
      <w:lvlJc w:val="left"/>
    </w:lvl>
  </w:abstractNum>
  <w:abstractNum w:abstractNumId="2">
    <w:nsid w:val="00000006"/>
    <w:multiLevelType w:val="multilevel"/>
    <w:tmpl w:val="00000006"/>
    <w:lvl w:ilvl="0" w:tentative="0">
      <w:start w:val="1"/>
      <w:numFmt w:val="decimal"/>
      <w:pStyle w:val="76"/>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B1AD7B"/>
    <w:multiLevelType w:val="singleLevel"/>
    <w:tmpl w:val="0FB1AD7B"/>
    <w:lvl w:ilvl="0" w:tentative="0">
      <w:start w:val="1"/>
      <w:numFmt w:val="decimal"/>
      <w:suff w:val="nothing"/>
      <w:lvlText w:val="(%1)"/>
      <w:lvlJc w:val="left"/>
      <w:pPr>
        <w:ind w:left="425" w:hanging="425"/>
      </w:pPr>
      <w:rPr>
        <w:rFonts w:hint="default"/>
      </w:rPr>
    </w:lvl>
  </w:abstractNum>
  <w:abstractNum w:abstractNumId="4">
    <w:nsid w:val="153B11D8"/>
    <w:multiLevelType w:val="singleLevel"/>
    <w:tmpl w:val="153B11D8"/>
    <w:lvl w:ilvl="0" w:tentative="0">
      <w:start w:val="3"/>
      <w:numFmt w:val="decimal"/>
      <w:suff w:val="nothing"/>
      <w:lvlText w:val="(%1)"/>
      <w:lvlJc w:val="left"/>
      <w:pPr>
        <w:ind w:left="425" w:hanging="425"/>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285085"/>
    <w:rsid w:val="002B13FD"/>
    <w:rsid w:val="00F9432B"/>
    <w:rsid w:val="01022B7F"/>
    <w:rsid w:val="018D0FD6"/>
    <w:rsid w:val="01B97F5E"/>
    <w:rsid w:val="0293255D"/>
    <w:rsid w:val="04916DDB"/>
    <w:rsid w:val="04941C0A"/>
    <w:rsid w:val="05112631"/>
    <w:rsid w:val="05161AA8"/>
    <w:rsid w:val="051E3E30"/>
    <w:rsid w:val="052B4445"/>
    <w:rsid w:val="05883ED0"/>
    <w:rsid w:val="059F5420"/>
    <w:rsid w:val="07644C3D"/>
    <w:rsid w:val="07DA3499"/>
    <w:rsid w:val="080C703A"/>
    <w:rsid w:val="08974D9F"/>
    <w:rsid w:val="08AF6714"/>
    <w:rsid w:val="0BE12940"/>
    <w:rsid w:val="0C412780"/>
    <w:rsid w:val="0C50326D"/>
    <w:rsid w:val="0CA03970"/>
    <w:rsid w:val="0D8E229F"/>
    <w:rsid w:val="0E4868F2"/>
    <w:rsid w:val="0E9E5BFC"/>
    <w:rsid w:val="0EDC10C2"/>
    <w:rsid w:val="0F19203C"/>
    <w:rsid w:val="0F2F1860"/>
    <w:rsid w:val="0F485307"/>
    <w:rsid w:val="0FB215E0"/>
    <w:rsid w:val="11C61392"/>
    <w:rsid w:val="122907E8"/>
    <w:rsid w:val="123F1DBA"/>
    <w:rsid w:val="125C53EA"/>
    <w:rsid w:val="12BD6CF7"/>
    <w:rsid w:val="133248CB"/>
    <w:rsid w:val="13B95D7C"/>
    <w:rsid w:val="152E59E6"/>
    <w:rsid w:val="15D9268B"/>
    <w:rsid w:val="16873D30"/>
    <w:rsid w:val="16D6755F"/>
    <w:rsid w:val="17190E2C"/>
    <w:rsid w:val="17233C4D"/>
    <w:rsid w:val="183028D1"/>
    <w:rsid w:val="185833A4"/>
    <w:rsid w:val="186407CC"/>
    <w:rsid w:val="191464E4"/>
    <w:rsid w:val="1A5D3BAA"/>
    <w:rsid w:val="1AA3045E"/>
    <w:rsid w:val="1ACA065C"/>
    <w:rsid w:val="1AE37DAC"/>
    <w:rsid w:val="1B0B10F0"/>
    <w:rsid w:val="1B852F33"/>
    <w:rsid w:val="1B9413C8"/>
    <w:rsid w:val="1CDD25B2"/>
    <w:rsid w:val="1D2D5C60"/>
    <w:rsid w:val="1EB3600A"/>
    <w:rsid w:val="1EDB1107"/>
    <w:rsid w:val="1FCB2EDF"/>
    <w:rsid w:val="20076483"/>
    <w:rsid w:val="206661A3"/>
    <w:rsid w:val="20745325"/>
    <w:rsid w:val="228A7081"/>
    <w:rsid w:val="230412D3"/>
    <w:rsid w:val="23076924"/>
    <w:rsid w:val="23C62E0D"/>
    <w:rsid w:val="24B962D2"/>
    <w:rsid w:val="24E2746B"/>
    <w:rsid w:val="24E96F2A"/>
    <w:rsid w:val="252A68FA"/>
    <w:rsid w:val="252C0F6A"/>
    <w:rsid w:val="255F1702"/>
    <w:rsid w:val="25BC78F7"/>
    <w:rsid w:val="25DF58E9"/>
    <w:rsid w:val="26793695"/>
    <w:rsid w:val="26F85C43"/>
    <w:rsid w:val="27720693"/>
    <w:rsid w:val="28B61AF9"/>
    <w:rsid w:val="29A561DA"/>
    <w:rsid w:val="2AF02F18"/>
    <w:rsid w:val="2BF4166E"/>
    <w:rsid w:val="2C7072E8"/>
    <w:rsid w:val="2CA86A82"/>
    <w:rsid w:val="2CD95E24"/>
    <w:rsid w:val="2ED56B63"/>
    <w:rsid w:val="2EE61AE3"/>
    <w:rsid w:val="2F543915"/>
    <w:rsid w:val="32594A1C"/>
    <w:rsid w:val="32DF6F75"/>
    <w:rsid w:val="33105381"/>
    <w:rsid w:val="34087CF0"/>
    <w:rsid w:val="341D7BBB"/>
    <w:rsid w:val="3426434C"/>
    <w:rsid w:val="35155D67"/>
    <w:rsid w:val="35415CC5"/>
    <w:rsid w:val="354B08F2"/>
    <w:rsid w:val="37064EA2"/>
    <w:rsid w:val="3748158D"/>
    <w:rsid w:val="386E44F6"/>
    <w:rsid w:val="38B44595"/>
    <w:rsid w:val="38E84D15"/>
    <w:rsid w:val="393A3157"/>
    <w:rsid w:val="39BE045B"/>
    <w:rsid w:val="3A2161EF"/>
    <w:rsid w:val="3AC32575"/>
    <w:rsid w:val="3B516536"/>
    <w:rsid w:val="3BD333EF"/>
    <w:rsid w:val="3C93406B"/>
    <w:rsid w:val="3D3561A5"/>
    <w:rsid w:val="3D9077EA"/>
    <w:rsid w:val="3DA037A5"/>
    <w:rsid w:val="3E615B19"/>
    <w:rsid w:val="3E941185"/>
    <w:rsid w:val="3EA451FF"/>
    <w:rsid w:val="3FF74C02"/>
    <w:rsid w:val="40844C19"/>
    <w:rsid w:val="40C15F0C"/>
    <w:rsid w:val="40D92C20"/>
    <w:rsid w:val="41032081"/>
    <w:rsid w:val="424A42B3"/>
    <w:rsid w:val="42736D45"/>
    <w:rsid w:val="42BA2C13"/>
    <w:rsid w:val="42F33C25"/>
    <w:rsid w:val="430D3C5F"/>
    <w:rsid w:val="443609BF"/>
    <w:rsid w:val="44B43AF5"/>
    <w:rsid w:val="459B5914"/>
    <w:rsid w:val="49180694"/>
    <w:rsid w:val="499A554C"/>
    <w:rsid w:val="4AE56E9A"/>
    <w:rsid w:val="4B223A4B"/>
    <w:rsid w:val="4BF74FD7"/>
    <w:rsid w:val="4C804AF3"/>
    <w:rsid w:val="4CA22351"/>
    <w:rsid w:val="4CB61C72"/>
    <w:rsid w:val="4CC44899"/>
    <w:rsid w:val="4D1D612A"/>
    <w:rsid w:val="4D930C30"/>
    <w:rsid w:val="4DFF04B8"/>
    <w:rsid w:val="4E8830AE"/>
    <w:rsid w:val="4E8A3DE2"/>
    <w:rsid w:val="4F7F7917"/>
    <w:rsid w:val="508639BE"/>
    <w:rsid w:val="51A100B8"/>
    <w:rsid w:val="52831274"/>
    <w:rsid w:val="534045C0"/>
    <w:rsid w:val="55F1773F"/>
    <w:rsid w:val="5821512A"/>
    <w:rsid w:val="58A43CF2"/>
    <w:rsid w:val="5C2F1704"/>
    <w:rsid w:val="5C6C4B26"/>
    <w:rsid w:val="5CA81F5F"/>
    <w:rsid w:val="5D283143"/>
    <w:rsid w:val="5DE27796"/>
    <w:rsid w:val="6061324D"/>
    <w:rsid w:val="61052538"/>
    <w:rsid w:val="617C5E4E"/>
    <w:rsid w:val="628250A4"/>
    <w:rsid w:val="62AA63A9"/>
    <w:rsid w:val="6324615B"/>
    <w:rsid w:val="640404F9"/>
    <w:rsid w:val="64790545"/>
    <w:rsid w:val="65757142"/>
    <w:rsid w:val="66240220"/>
    <w:rsid w:val="66FF54A9"/>
    <w:rsid w:val="68832117"/>
    <w:rsid w:val="689773CF"/>
    <w:rsid w:val="6922138F"/>
    <w:rsid w:val="69434E61"/>
    <w:rsid w:val="69564B94"/>
    <w:rsid w:val="69A00505"/>
    <w:rsid w:val="69CF0760"/>
    <w:rsid w:val="69FA40C4"/>
    <w:rsid w:val="6ADB7A47"/>
    <w:rsid w:val="6AF428B7"/>
    <w:rsid w:val="6C010B97"/>
    <w:rsid w:val="6C3A254B"/>
    <w:rsid w:val="6C6900C3"/>
    <w:rsid w:val="6CD45CEB"/>
    <w:rsid w:val="6D1816BA"/>
    <w:rsid w:val="6E1C0341"/>
    <w:rsid w:val="6E7361E8"/>
    <w:rsid w:val="6F4B2CEA"/>
    <w:rsid w:val="6FAE4D74"/>
    <w:rsid w:val="70827613"/>
    <w:rsid w:val="720A0C12"/>
    <w:rsid w:val="736D3206"/>
    <w:rsid w:val="73B9644B"/>
    <w:rsid w:val="74EE283F"/>
    <w:rsid w:val="74FD2086"/>
    <w:rsid w:val="75AD222A"/>
    <w:rsid w:val="75AF3FAA"/>
    <w:rsid w:val="76B86E8E"/>
    <w:rsid w:val="76BF103B"/>
    <w:rsid w:val="77A558B9"/>
    <w:rsid w:val="78F46178"/>
    <w:rsid w:val="79A4194C"/>
    <w:rsid w:val="7AB2360D"/>
    <w:rsid w:val="7BF30E30"/>
    <w:rsid w:val="7CEF1130"/>
    <w:rsid w:val="7E0B4D9D"/>
    <w:rsid w:val="7F8525F4"/>
    <w:rsid w:val="7FDF723A"/>
    <w:rsid w:val="7FF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b/>
      <w:kern w:val="44"/>
      <w:sz w:val="32"/>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24">
    <w:name w:val="Default Paragraph Font"/>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rPr>
      <w:rFonts w:ascii="Calibri" w:hAnsi="Calibri" w:eastAsia="宋体" w:cs="Times New Roman"/>
    </w:rPr>
  </w:style>
  <w:style w:type="paragraph" w:styleId="10">
    <w:name w:val="Body Text"/>
    <w:basedOn w:val="1"/>
    <w:qFormat/>
    <w:uiPriority w:val="99"/>
    <w:pPr>
      <w:spacing w:after="120" w:line="240" w:lineRule="auto"/>
      <w:jc w:val="both"/>
    </w:pPr>
    <w:rPr>
      <w:rFonts w:eastAsia="等线"/>
      <w:sz w:val="21"/>
      <w:szCs w:val="24"/>
    </w:rPr>
  </w:style>
  <w:style w:type="paragraph" w:styleId="11">
    <w:name w:val="Body Text Indent"/>
    <w:basedOn w:val="1"/>
    <w:qFormat/>
    <w:uiPriority w:val="0"/>
    <w:pPr>
      <w:ind w:firstLine="630"/>
    </w:pPr>
    <w:rPr>
      <w:rFonts w:eastAsia="仿宋_GB2312"/>
      <w:kern w:val="0"/>
      <w:sz w:val="32"/>
      <w:szCs w:val="20"/>
    </w:rPr>
  </w:style>
  <w:style w:type="paragraph" w:styleId="12">
    <w:name w:val="Plain Text"/>
    <w:basedOn w:val="1"/>
    <w:qFormat/>
    <w:uiPriority w:val="0"/>
    <w:rPr>
      <w:rFonts w:ascii="宋体" w:hAnsi="Courier New"/>
      <w:kern w:val="0"/>
      <w:sz w:val="20"/>
      <w:szCs w:val="20"/>
    </w:rPr>
  </w:style>
  <w:style w:type="paragraph" w:styleId="13">
    <w:name w:val="footer"/>
    <w:basedOn w:val="1"/>
    <w:qFormat/>
    <w:uiPriority w:val="99"/>
    <w:pPr>
      <w:tabs>
        <w:tab w:val="center" w:pos="4153"/>
        <w:tab w:val="right" w:pos="8306"/>
      </w:tabs>
      <w:snapToGrid w:val="0"/>
      <w:spacing w:line="240" w:lineRule="auto"/>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pPr>
    <w:rPr>
      <w:rFonts w:ascii="等线" w:eastAsia="等线"/>
      <w:b/>
      <w:bCs/>
      <w:caps/>
      <w:sz w:val="20"/>
      <w:szCs w:val="20"/>
    </w:rPr>
  </w:style>
  <w:style w:type="paragraph" w:styleId="16">
    <w:name w:val="footnote text"/>
    <w:basedOn w:val="1"/>
    <w:qFormat/>
    <w:uiPriority w:val="0"/>
    <w:pPr>
      <w:widowControl/>
      <w:jc w:val="left"/>
    </w:pPr>
    <w:rPr>
      <w:kern w:val="0"/>
      <w:sz w:val="20"/>
      <w:szCs w:val="20"/>
      <w:lang w:val="de-DE"/>
    </w:rPr>
  </w:style>
  <w:style w:type="paragraph" w:styleId="17">
    <w:name w:val="toc 6"/>
    <w:basedOn w:val="1"/>
    <w:next w:val="1"/>
    <w:qFormat/>
    <w:uiPriority w:val="0"/>
    <w:pPr>
      <w:ind w:left="1000" w:leftChars="1000"/>
    </w:pPr>
  </w:style>
  <w:style w:type="paragraph" w:styleId="18">
    <w:name w:val="toc 2"/>
    <w:basedOn w:val="1"/>
    <w:next w:val="1"/>
    <w:qFormat/>
    <w:uiPriority w:val="39"/>
    <w:pPr>
      <w:ind w:left="240"/>
    </w:pPr>
    <w:rPr>
      <w:rFonts w:ascii="等线" w:eastAsia="等线"/>
      <w:smallCaps/>
      <w:sz w:val="20"/>
      <w:szCs w:val="20"/>
    </w:rPr>
  </w:style>
  <w:style w:type="paragraph" w:styleId="19">
    <w:name w:val="Normal (Web)"/>
    <w:basedOn w:val="1"/>
    <w:qFormat/>
    <w:uiPriority w:val="99"/>
    <w:pPr>
      <w:widowControl/>
      <w:spacing w:before="100" w:beforeAutospacing="1" w:after="100" w:afterAutospacing="1"/>
    </w:pPr>
    <w:rPr>
      <w:rFonts w:cs="宋体"/>
      <w:color w:val="000000"/>
      <w:kern w:val="0"/>
      <w:szCs w:val="24"/>
    </w:rPr>
  </w:style>
  <w:style w:type="paragraph" w:styleId="20">
    <w:name w:val="Body Text First Indent"/>
    <w:basedOn w:val="10"/>
    <w:next w:val="1"/>
    <w:qFormat/>
    <w:uiPriority w:val="0"/>
    <w:pPr>
      <w:ind w:firstLine="420" w:firstLineChars="100"/>
    </w:pPr>
    <w:rPr>
      <w:rFonts w:ascii="Times New Roman" w:hAnsi="Times New Roman"/>
      <w:szCs w:val="24"/>
    </w:rPr>
  </w:style>
  <w:style w:type="paragraph" w:styleId="21">
    <w:name w:val="Body Text First Indent 2"/>
    <w:basedOn w:val="11"/>
    <w:qFormat/>
    <w:uiPriority w:val="0"/>
    <w:pPr>
      <w:spacing w:after="0"/>
      <w:ind w:firstLine="420" w:firstLineChars="200"/>
    </w:pPr>
    <w:rPr>
      <w:rFonts w:ascii="Calibri" w:hAnsi="Calibri" w:eastAsia="宋体"/>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Cs/>
    </w:rPr>
  </w:style>
  <w:style w:type="character" w:styleId="26">
    <w:name w:val="Hyperlink"/>
    <w:basedOn w:val="24"/>
    <w:qFormat/>
    <w:uiPriority w:val="0"/>
    <w:rPr>
      <w:color w:val="0000FF"/>
      <w:u w:val="single"/>
    </w:rPr>
  </w:style>
  <w:style w:type="character" w:styleId="27">
    <w:name w:val="HTML Sample"/>
    <w:basedOn w:val="24"/>
    <w:qFormat/>
    <w:uiPriority w:val="0"/>
    <w:rPr>
      <w:rFonts w:ascii="Courier New" w:hAnsi="Courier New"/>
    </w:rPr>
  </w:style>
  <w:style w:type="character" w:customStyle="1" w:styleId="28">
    <w:name w:val="标题 2 字符"/>
    <w:basedOn w:val="24"/>
    <w:link w:val="3"/>
    <w:qFormat/>
    <w:uiPriority w:val="0"/>
    <w:rPr>
      <w:rFonts w:ascii="等线 Light" w:hAnsi="等线 Light" w:cs="Times New Roman"/>
      <w:b/>
      <w:bCs/>
      <w:sz w:val="32"/>
      <w:szCs w:val="32"/>
    </w:rPr>
  </w:style>
  <w:style w:type="character" w:customStyle="1" w:styleId="29">
    <w:name w:val="标题 3 Char"/>
    <w:link w:val="4"/>
    <w:qFormat/>
    <w:uiPriority w:val="9"/>
    <w:rPr>
      <w:b/>
      <w:bCs/>
      <w:sz w:val="30"/>
      <w:szCs w:val="32"/>
    </w:rPr>
  </w:style>
  <w:style w:type="character" w:customStyle="1" w:styleId="30">
    <w:name w:val="NormalCharacter"/>
    <w:link w:val="31"/>
    <w:qFormat/>
    <w:uiPriority w:val="0"/>
    <w:rPr>
      <w:rFonts w:ascii="仿宋_GB2312" w:hAnsi="Calibri" w:eastAsia="仿宋_GB2312" w:cs="Times New Roman"/>
      <w:b/>
      <w:sz w:val="32"/>
      <w:szCs w:val="32"/>
    </w:rPr>
  </w:style>
  <w:style w:type="paragraph" w:customStyle="1" w:styleId="31">
    <w:name w:val="UserStyle_5"/>
    <w:basedOn w:val="1"/>
    <w:link w:val="30"/>
    <w:qFormat/>
    <w:uiPriority w:val="0"/>
    <w:pPr>
      <w:widowControl/>
      <w:spacing w:after="160" w:line="240" w:lineRule="exact"/>
      <w:jc w:val="left"/>
      <w:textAlignment w:val="baseline"/>
    </w:pPr>
  </w:style>
  <w:style w:type="paragraph" w:customStyle="1" w:styleId="32">
    <w:name w:val="UserStyle_461"/>
    <w:basedOn w:val="1"/>
    <w:link w:val="30"/>
    <w:qFormat/>
    <w:uiPriority w:val="0"/>
    <w:pPr>
      <w:widowControl/>
      <w:textAlignment w:val="baseline"/>
    </w:pPr>
    <w:rPr>
      <w:rFonts w:ascii="仿宋_GB2312" w:hAnsi="Calibri" w:eastAsia="仿宋_GB2312" w:cs="Times New Roman"/>
      <w:b/>
      <w:sz w:val="32"/>
      <w:szCs w:val="32"/>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正文缩进2"/>
    <w:basedOn w:val="1"/>
    <w:qFormat/>
    <w:uiPriority w:val="0"/>
    <w:pPr>
      <w:wordWrap w:val="0"/>
      <w:ind w:firstLine="480"/>
    </w:pPr>
    <w:rPr>
      <w:iCs/>
      <w:shd w:val="clear" w:color="auto" w:fill="FFFFFF"/>
      <w:lang w:val="zh-CN"/>
    </w:rPr>
  </w:style>
  <w:style w:type="paragraph" w:styleId="37">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38">
    <w:name w:val="正文_2"/>
    <w:basedOn w:val="39"/>
    <w:qFormat/>
    <w:uiPriority w:val="0"/>
    <w:pPr>
      <w:widowControl w:val="0"/>
      <w:jc w:val="both"/>
    </w:pPr>
    <w:rPr>
      <w:rFonts w:ascii="Calibri" w:hAnsi="Calibri" w:eastAsia="宋体" w:cs="Times New Roman"/>
      <w:lang w:val="en-US" w:eastAsia="zh-CN" w:bidi="ar-SA"/>
    </w:rPr>
  </w:style>
  <w:style w:type="paragraph" w:customStyle="1" w:styleId="39">
    <w:name w:val="正文_3"/>
    <w:basedOn w:val="40"/>
    <w:qFormat/>
    <w:uiPriority w:val="0"/>
    <w:pPr>
      <w:widowControl w:val="0"/>
      <w:jc w:val="both"/>
    </w:pPr>
    <w:rPr>
      <w:rFonts w:ascii="Calibri" w:hAnsi="Calibri"/>
      <w:kern w:val="2"/>
      <w:sz w:val="21"/>
      <w:szCs w:val="22"/>
      <w:lang w:val="en-US" w:eastAsia="zh-CN" w:bidi="ar-SA"/>
    </w:rPr>
  </w:style>
  <w:style w:type="paragraph" w:customStyle="1" w:styleId="40">
    <w:name w:val="Normal_0"/>
    <w:basedOn w:val="41"/>
    <w:qFormat/>
    <w:uiPriority w:val="0"/>
    <w:rPr>
      <w:rFonts w:eastAsia="Times New Roman"/>
      <w:sz w:val="24"/>
      <w:szCs w:val="24"/>
      <w:lang w:bidi="ar-SA"/>
    </w:rPr>
  </w:style>
  <w:style w:type="paragraph" w:customStyle="1" w:styleId="41">
    <w:name w:val="正文1"/>
    <w:basedOn w:val="42"/>
    <w:qFormat/>
    <w:uiPriority w:val="0"/>
    <w:pPr>
      <w:widowControl w:val="0"/>
      <w:jc w:val="both"/>
    </w:pPr>
    <w:rPr>
      <w:rFonts w:ascii="Calibri" w:hAnsi="Calibri" w:eastAsia="宋体" w:cs="Times New Roman"/>
      <w:lang w:val="en-US" w:eastAsia="zh-CN" w:bidi="ar-SA"/>
    </w:rPr>
  </w:style>
  <w:style w:type="paragraph" w:customStyle="1" w:styleId="42">
    <w:name w:val="正文_5"/>
    <w:basedOn w:val="43"/>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列表_1"/>
    <w:basedOn w:val="43"/>
    <w:qFormat/>
    <w:uiPriority w:val="0"/>
    <w:pPr>
      <w:ind w:left="200" w:hanging="200" w:hangingChars="200"/>
    </w:pPr>
  </w:style>
  <w:style w:type="paragraph" w:customStyle="1" w:styleId="45">
    <w:name w:val="段_0"/>
    <w:next w:val="4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6">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
    <w:name w:val="脚注文本_0"/>
    <w:basedOn w:val="48"/>
    <w:next w:val="38"/>
    <w:qFormat/>
    <w:uiPriority w:val="99"/>
    <w:pPr>
      <w:snapToGrid w:val="0"/>
      <w:jc w:val="left"/>
    </w:pPr>
    <w:rPr>
      <w:rFonts w:ascii="Calibri" w:hAnsi="Calibri" w:eastAsia="Calibri"/>
      <w:sz w:val="18"/>
    </w:rPr>
  </w:style>
  <w:style w:type="paragraph" w:customStyle="1" w:styleId="48">
    <w:name w:val="正文_0_2"/>
    <w:basedOn w:val="49"/>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2_1"/>
    <w:basedOn w:val="50"/>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_0"/>
    <w:basedOn w:val="51"/>
    <w:next w:val="53"/>
    <w:qFormat/>
    <w:uiPriority w:val="0"/>
    <w:pPr>
      <w:widowControl w:val="0"/>
      <w:jc w:val="both"/>
    </w:pPr>
    <w:rPr>
      <w:rFonts w:ascii="Calibri" w:hAnsi="Calibri"/>
      <w:kern w:val="2"/>
      <w:sz w:val="21"/>
      <w:szCs w:val="22"/>
      <w:lang w:val="en-US" w:eastAsia="zh-CN" w:bidi="ar-SA"/>
    </w:rPr>
  </w:style>
  <w:style w:type="paragraph" w:customStyle="1" w:styleId="51">
    <w:name w:val="Normal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Body Text_0"/>
    <w:basedOn w:val="51"/>
    <w:qFormat/>
    <w:uiPriority w:val="0"/>
    <w:pPr>
      <w:spacing w:after="120"/>
    </w:pPr>
    <w:rPr>
      <w:rFonts w:ascii="Calibri" w:hAnsi="Calibri"/>
    </w:rPr>
  </w:style>
  <w:style w:type="paragraph" w:customStyle="1" w:styleId="53">
    <w:name w:val="正文缩进_0_0_1"/>
    <w:basedOn w:val="54"/>
    <w:qFormat/>
    <w:uiPriority w:val="0"/>
    <w:pPr>
      <w:ind w:firstLine="420" w:firstLineChars="200"/>
    </w:pPr>
    <w:rPr>
      <w:rFonts w:ascii="Calibri" w:hAnsi="Calibri"/>
      <w:szCs w:val="22"/>
    </w:rPr>
  </w:style>
  <w:style w:type="paragraph" w:customStyle="1" w:styleId="54">
    <w:name w:val="正文_0_1_1"/>
    <w:basedOn w:val="55"/>
    <w:next w:val="59"/>
    <w:qFormat/>
    <w:uiPriority w:val="0"/>
    <w:pPr>
      <w:widowControl w:val="0"/>
      <w:jc w:val="both"/>
    </w:pPr>
    <w:rPr>
      <w:rFonts w:ascii="Calibri" w:hAnsi="Calibri" w:eastAsia="Calibri"/>
      <w:kern w:val="2"/>
      <w:sz w:val="21"/>
      <w:szCs w:val="22"/>
      <w:lang w:val="en-US" w:eastAsia="zh-CN" w:bidi="ar-SA"/>
    </w:rPr>
  </w:style>
  <w:style w:type="paragraph" w:customStyle="1" w:styleId="55">
    <w:name w:val="正文_3_1"/>
    <w:basedOn w:val="56"/>
    <w:next w:val="57"/>
    <w:qFormat/>
    <w:uiPriority w:val="0"/>
    <w:rPr>
      <w:szCs w:val="21"/>
    </w:rPr>
  </w:style>
  <w:style w:type="paragraph" w:customStyle="1" w:styleId="56">
    <w:name w:val="Normal_0_1"/>
    <w:qFormat/>
    <w:uiPriority w:val="0"/>
    <w:rPr>
      <w:rFonts w:ascii="黑体" w:hAnsi="黑体" w:eastAsia="黑体" w:cs="Times New Roman"/>
      <w:b/>
      <w:sz w:val="32"/>
      <w:szCs w:val="24"/>
      <w:lang w:val="en-US" w:eastAsia="zh-CN" w:bidi="ar-SA"/>
    </w:rPr>
  </w:style>
  <w:style w:type="paragraph" w:customStyle="1" w:styleId="57">
    <w:name w:val="正文缩进_0_0_0"/>
    <w:basedOn w:val="58"/>
    <w:qFormat/>
    <w:uiPriority w:val="0"/>
    <w:pPr>
      <w:ind w:firstLine="420" w:firstLineChars="200"/>
    </w:pPr>
  </w:style>
  <w:style w:type="paragraph" w:customStyle="1" w:styleId="58">
    <w:name w:val="正文_0_1_0"/>
    <w:basedOn w:val="46"/>
    <w:next w:val="47"/>
    <w:qFormat/>
    <w:uiPriority w:val="0"/>
    <w:rPr>
      <w:rFonts w:cs="宋体"/>
      <w:szCs w:val="21"/>
    </w:rPr>
  </w:style>
  <w:style w:type="paragraph" w:customStyle="1" w:styleId="59">
    <w:name w:val="脚注文本1"/>
    <w:basedOn w:val="60"/>
    <w:next w:val="61"/>
    <w:qFormat/>
    <w:uiPriority w:val="0"/>
    <w:pPr>
      <w:snapToGrid w:val="0"/>
      <w:jc w:val="left"/>
    </w:pPr>
    <w:rPr>
      <w:rFonts w:eastAsia="宋体"/>
      <w:kern w:val="0"/>
      <w:sz w:val="18"/>
      <w:szCs w:val="18"/>
    </w:rPr>
  </w:style>
  <w:style w:type="paragraph" w:customStyle="1" w:styleId="60">
    <w:name w:val="正文_1_0"/>
    <w:next w:val="59"/>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索引 51"/>
    <w:basedOn w:val="60"/>
    <w:next w:val="60"/>
    <w:qFormat/>
    <w:uiPriority w:val="99"/>
    <w:pPr>
      <w:ind w:left="1680"/>
    </w:pPr>
  </w:style>
  <w:style w:type="paragraph" w:customStyle="1" w:styleId="62">
    <w:name w:val="No Spacing_0"/>
    <w:basedOn w:val="42"/>
    <w:qFormat/>
    <w:uiPriority w:val="1"/>
  </w:style>
  <w:style w:type="paragraph" w:customStyle="1" w:styleId="63">
    <w:name w:val="页脚_0_0"/>
    <w:basedOn w:val="48"/>
    <w:qFormat/>
    <w:uiPriority w:val="99"/>
    <w:pPr>
      <w:tabs>
        <w:tab w:val="center" w:pos="4153"/>
        <w:tab w:val="right" w:pos="8306"/>
      </w:tabs>
      <w:snapToGrid w:val="0"/>
      <w:jc w:val="left"/>
    </w:pPr>
    <w:rPr>
      <w:sz w:val="18"/>
      <w:szCs w:val="18"/>
    </w:rPr>
  </w:style>
  <w:style w:type="paragraph" w:customStyle="1" w:styleId="64">
    <w:name w:val="正文文本缩进_1"/>
    <w:basedOn w:val="60"/>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5">
    <w:name w:val="xl31"/>
    <w:basedOn w:val="1"/>
    <w:qFormat/>
    <w:uiPriority w:val="0"/>
    <w:pPr>
      <w:widowControl/>
      <w:spacing w:before="100" w:beforeAutospacing="1" w:after="100" w:afterAutospacing="1"/>
      <w:jc w:val="center"/>
    </w:pPr>
    <w:rPr>
      <w:b/>
      <w:bCs/>
      <w:kern w:val="0"/>
      <w:sz w:val="28"/>
      <w:szCs w:val="28"/>
    </w:rPr>
  </w:style>
  <w:style w:type="paragraph" w:customStyle="1" w:styleId="66">
    <w:name w:val="Normal_8af62e99-d75a-4f4a-830b-9c1a4dc67adb"/>
    <w:qFormat/>
    <w:uiPriority w:val="0"/>
    <w:pPr>
      <w:widowControl w:val="0"/>
      <w:jc w:val="both"/>
    </w:pPr>
    <w:rPr>
      <w:rFonts w:ascii="Times New Roman" w:hAnsi="Times New Roman" w:eastAsia="Times New Roman" w:cs="Times New Roman"/>
      <w:lang w:val="en-US" w:eastAsia="zh-CN" w:bidi="ar-SA"/>
    </w:rPr>
  </w:style>
  <w:style w:type="paragraph" w:customStyle="1" w:styleId="67">
    <w:name w:val="UserStyle_32"/>
    <w:qFormat/>
    <w:uiPriority w:val="0"/>
    <w:pPr>
      <w:textAlignment w:val="baseline"/>
    </w:pPr>
    <w:rPr>
      <w:rFonts w:ascii="黑体" w:hAnsi="黑体" w:eastAsia="黑体" w:cs="宋体"/>
      <w:b/>
      <w:sz w:val="32"/>
      <w:szCs w:val="24"/>
      <w:lang w:val="en-US" w:eastAsia="zh-CN" w:bidi="ar-SA"/>
    </w:rPr>
  </w:style>
  <w:style w:type="paragraph" w:customStyle="1" w:styleId="68">
    <w:name w:val="列出段落1"/>
    <w:basedOn w:val="1"/>
    <w:qFormat/>
    <w:uiPriority w:val="0"/>
    <w:pPr>
      <w:ind w:firstLine="420" w:firstLineChars="200"/>
    </w:pPr>
    <w:rPr>
      <w:szCs w:val="21"/>
    </w:rPr>
  </w:style>
  <w:style w:type="paragraph" w:customStyle="1" w:styleId="69">
    <w:name w:val="Normal_22"/>
    <w:qFormat/>
    <w:uiPriority w:val="0"/>
    <w:rPr>
      <w:rFonts w:ascii="Times New Roman" w:hAnsi="Times New Roman" w:eastAsia="Times New Roman" w:cs="Times New Roman"/>
      <w:sz w:val="24"/>
      <w:szCs w:val="24"/>
      <w:lang w:val="en-US" w:eastAsia="zh-CN" w:bidi="ar-SA"/>
    </w:rPr>
  </w:style>
  <w:style w:type="paragraph" w:customStyle="1" w:styleId="70">
    <w:name w:val="UserStyle_66"/>
    <w:basedOn w:val="71"/>
    <w:qFormat/>
    <w:uiPriority w:val="0"/>
    <w:pPr>
      <w:jc w:val="both"/>
      <w:textAlignment w:val="baseline"/>
    </w:pPr>
    <w:rPr>
      <w:rFonts w:ascii="Calibri" w:hAnsi="Calibri" w:eastAsia="宋体"/>
      <w:kern w:val="2"/>
      <w:sz w:val="21"/>
      <w:szCs w:val="22"/>
      <w:lang w:val="en-US" w:eastAsia="zh-CN" w:bidi="ar-SA"/>
    </w:rPr>
  </w:style>
  <w:style w:type="paragraph" w:customStyle="1" w:styleId="71">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2">
    <w:name w:val="UserStyle_122"/>
    <w:basedOn w:val="71"/>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3">
    <w:name w:val="UserStyle_123"/>
    <w:basedOn w:val="71"/>
    <w:next w:val="74"/>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4">
    <w:name w:val="UserStyle_124"/>
    <w:basedOn w:val="73"/>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75">
    <w:name w:val="UserStyle_125"/>
    <w:basedOn w:val="71"/>
    <w:qFormat/>
    <w:uiPriority w:val="0"/>
    <w:pPr>
      <w:jc w:val="both"/>
      <w:textAlignment w:val="baseline"/>
    </w:pPr>
    <w:rPr>
      <w:rFonts w:ascii="Times New Roman" w:hAnsi="Times New Roman" w:eastAsia="宋体"/>
      <w:kern w:val="2"/>
      <w:sz w:val="21"/>
      <w:szCs w:val="21"/>
      <w:lang w:val="en-US" w:eastAsia="zh-CN" w:bidi="ar-SA"/>
    </w:rPr>
  </w:style>
  <w:style w:type="paragraph" w:styleId="76">
    <w:name w:val="List Paragraph"/>
    <w:basedOn w:val="1"/>
    <w:qFormat/>
    <w:uiPriority w:val="34"/>
    <w:pPr>
      <w:numPr>
        <w:ilvl w:val="0"/>
        <w:numId w:val="1"/>
      </w:numPr>
    </w:pPr>
  </w:style>
  <w:style w:type="paragraph" w:customStyle="1" w:styleId="7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8">
    <w:name w:val="Table Text"/>
    <w:basedOn w:val="1"/>
    <w:qFormat/>
    <w:uiPriority w:val="0"/>
    <w:rPr>
      <w:rFonts w:ascii="微软雅黑" w:hAnsi="微软雅黑" w:eastAsia="微软雅黑" w:cs="微软雅黑"/>
      <w:sz w:val="24"/>
      <w:szCs w:val="24"/>
      <w:lang w:val="en-US" w:eastAsia="en-US" w:bidi="ar-SA"/>
    </w:rPr>
  </w:style>
  <w:style w:type="table" w:customStyle="1" w:styleId="79">
    <w:name w:val="Table Normal"/>
    <w:qFormat/>
    <w:uiPriority w:val="0"/>
    <w:rPr>
      <w:lang w:val="en-US" w:eastAsia="zh-CN" w:bidi="ar-SA"/>
    </w:rPr>
    <w:tblPr>
      <w:tblCellMar>
        <w:top w:w="0" w:type="dxa"/>
        <w:left w:w="0" w:type="dxa"/>
        <w:bottom w:w="0" w:type="dxa"/>
        <w:right w:w="0" w:type="dxa"/>
      </w:tblCellMar>
    </w:tblPr>
  </w:style>
  <w:style w:type="paragraph" w:customStyle="1" w:styleId="80">
    <w:name w:val="正"/>
    <w:basedOn w:val="81"/>
    <w:qFormat/>
    <w:uiPriority w:val="0"/>
    <w:pPr>
      <w:ind w:firstLine="525"/>
    </w:pPr>
    <w:rPr>
      <w:spacing w:val="20"/>
      <w:szCs w:val="20"/>
    </w:rPr>
  </w:style>
  <w:style w:type="paragraph" w:customStyle="1" w:styleId="81">
    <w:name w:val="正文_1"/>
    <w:basedOn w:val="38"/>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13_0"/>
    <w:basedOn w:val="83"/>
    <w:next w:val="84"/>
    <w:qFormat/>
    <w:uiPriority w:val="0"/>
    <w:pPr>
      <w:widowControl w:val="0"/>
      <w:jc w:val="both"/>
    </w:pPr>
    <w:rPr>
      <w:kern w:val="2"/>
      <w:sz w:val="21"/>
      <w:szCs w:val="22"/>
      <w:lang w:val="en-US" w:eastAsia="zh-CN" w:bidi="ar-SA"/>
    </w:rPr>
  </w:style>
  <w:style w:type="paragraph" w:customStyle="1" w:styleId="83">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文本_2_0"/>
    <w:basedOn w:val="85"/>
    <w:qFormat/>
    <w:uiPriority w:val="0"/>
    <w:pPr>
      <w:spacing w:after="120"/>
    </w:pPr>
  </w:style>
  <w:style w:type="paragraph" w:customStyle="1" w:styleId="85">
    <w:name w:val="正文_4_0"/>
    <w:basedOn w:val="86"/>
    <w:next w:val="84"/>
    <w:qFormat/>
    <w:uiPriority w:val="0"/>
    <w:rPr>
      <w:rFonts w:ascii="Calibri" w:hAnsi="Calibri"/>
      <w:szCs w:val="22"/>
    </w:rPr>
  </w:style>
  <w:style w:type="paragraph" w:customStyle="1" w:styleId="86">
    <w:name w:val="正文_4_1"/>
    <w:basedOn w:val="55"/>
    <w:qFormat/>
    <w:uiPriority w:val="0"/>
    <w:rPr>
      <w:rFonts w:ascii="Times New Roman" w:hAnsi="Times New Roman" w:cs="Times New Roman"/>
      <w:szCs w:val="24"/>
    </w:rPr>
  </w:style>
  <w:style w:type="paragraph" w:customStyle="1" w:styleId="8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9">
    <w:name w:val="1"/>
    <w:basedOn w:val="1"/>
    <w:next w:val="76"/>
    <w:qFormat/>
    <w:uiPriority w:val="34"/>
    <w:pPr>
      <w:ind w:firstLine="420" w:firstLineChars="200"/>
    </w:pPr>
    <w:rPr>
      <w:rFonts w:ascii="Calibri" w:hAnsi="Calibri"/>
      <w:szCs w:val="22"/>
    </w:rPr>
  </w:style>
  <w:style w:type="paragraph" w:customStyle="1" w:styleId="90">
    <w:name w:val="_Style 19"/>
    <w:basedOn w:val="1"/>
    <w:next w:val="76"/>
    <w:qFormat/>
    <w:uiPriority w:val="34"/>
    <w:pPr>
      <w:ind w:firstLine="420" w:firstLineChars="200"/>
    </w:pPr>
    <w:rPr>
      <w:rFonts w:ascii="Calibri" w:hAnsi="Calibri"/>
      <w:szCs w:val="22"/>
    </w:rPr>
  </w:style>
  <w:style w:type="paragraph" w:customStyle="1" w:styleId="9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2">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3">
    <w:name w:val="无间隔1"/>
    <w:basedOn w:val="1"/>
    <w:qFormat/>
    <w:uiPriority w:val="1"/>
  </w:style>
  <w:style w:type="paragraph" w:customStyle="1" w:styleId="94">
    <w:name w:val="正文缩进_0_0"/>
    <w:basedOn w:val="95"/>
    <w:qFormat/>
    <w:uiPriority w:val="0"/>
    <w:pPr>
      <w:ind w:firstLine="420" w:firstLineChars="200"/>
    </w:pPr>
  </w:style>
  <w:style w:type="paragraph" w:customStyle="1" w:styleId="95">
    <w:name w:val="正文_0_1"/>
    <w:basedOn w:val="48"/>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页脚_0"/>
    <w:basedOn w:val="81"/>
    <w:qFormat/>
    <w:uiPriority w:val="99"/>
    <w:pPr>
      <w:tabs>
        <w:tab w:val="center" w:pos="4153"/>
        <w:tab w:val="right" w:pos="8306"/>
      </w:tabs>
      <w:snapToGrid w:val="0"/>
      <w:jc w:val="left"/>
    </w:pPr>
    <w:rPr>
      <w:sz w:val="18"/>
      <w:szCs w:val="18"/>
    </w:rPr>
  </w:style>
  <w:style w:type="paragraph" w:customStyle="1" w:styleId="97">
    <w:name w:val="正文文本_0"/>
    <w:basedOn w:val="87"/>
    <w:qFormat/>
    <w:uiPriority w:val="0"/>
    <w:rPr>
      <w:rFonts w:ascii="Calibri" w:hAnsi="Calibri" w:eastAsia="黑体"/>
      <w:sz w:val="36"/>
      <w:szCs w:val="24"/>
    </w:rPr>
  </w:style>
  <w:style w:type="paragraph" w:customStyle="1" w:styleId="98">
    <w:name w:val="正文1_0"/>
    <w:basedOn w:val="39"/>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9">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0">
    <w:name w:val="Heading #5|1"/>
    <w:basedOn w:val="1"/>
    <w:qFormat/>
    <w:uiPriority w:val="0"/>
    <w:pPr>
      <w:widowControl w:val="0"/>
      <w:shd w:val="clear" w:color="auto" w:fill="auto"/>
      <w:spacing w:line="391" w:lineRule="auto"/>
      <w:ind w:firstLine="440"/>
      <w:outlineLvl w:val="4"/>
    </w:pPr>
    <w:rPr>
      <w:rFonts w:ascii="宋体" w:hAnsi="宋体" w:eastAsia="宋体" w:cs="宋体"/>
      <w:b/>
      <w:bCs/>
      <w:sz w:val="22"/>
      <w:szCs w:val="22"/>
      <w:u w:val="none"/>
      <w:shd w:val="clear" w:color="auto" w:fill="auto"/>
      <w:lang w:val="zh-TW" w:eastAsia="zh-TW" w:bidi="zh-TW"/>
    </w:rPr>
  </w:style>
  <w:style w:type="paragraph" w:customStyle="1" w:styleId="101">
    <w:name w:val="Body text|1"/>
    <w:basedOn w:val="1"/>
    <w:qFormat/>
    <w:uiPriority w:val="0"/>
    <w:pPr>
      <w:widowControl w:val="0"/>
      <w:shd w:val="clear" w:color="auto" w:fill="auto"/>
      <w:spacing w:line="394" w:lineRule="auto"/>
      <w:ind w:firstLine="400"/>
    </w:pPr>
    <w:rPr>
      <w:rFonts w:ascii="宋体" w:hAnsi="宋体" w:eastAsia="宋体" w:cs="宋体"/>
      <w:sz w:val="22"/>
      <w:szCs w:val="22"/>
      <w:u w:val="none"/>
      <w:shd w:val="clear" w:color="auto" w:fill="auto"/>
      <w:lang w:val="zh-TW" w:eastAsia="zh-TW" w:bidi="zh-TW"/>
    </w:rPr>
  </w:style>
  <w:style w:type="paragraph" w:customStyle="1" w:styleId="102">
    <w:name w:val="Body text|2"/>
    <w:basedOn w:val="1"/>
    <w:qFormat/>
    <w:uiPriority w:val="0"/>
    <w:pPr>
      <w:widowControl w:val="0"/>
      <w:shd w:val="clear" w:color="auto" w:fill="auto"/>
      <w:spacing w:after="500"/>
      <w:ind w:left="800"/>
    </w:pPr>
    <w:rPr>
      <w:rFonts w:ascii="宋体" w:hAnsi="宋体" w:eastAsia="宋体" w:cs="宋体"/>
      <w:sz w:val="26"/>
      <w:szCs w:val="26"/>
      <w:u w:val="none"/>
      <w:shd w:val="clear" w:color="auto" w:fill="auto"/>
      <w:lang w:val="zh-TW" w:eastAsia="zh-TW" w:bidi="zh-TW"/>
    </w:rPr>
  </w:style>
  <w:style w:type="paragraph" w:customStyle="1" w:styleId="103">
    <w:name w:val="列出段落2"/>
    <w:basedOn w:val="1"/>
    <w:qFormat/>
    <w:uiPriority w:val="99"/>
    <w:pPr>
      <w:ind w:firstLine="420" w:firstLineChars="200"/>
    </w:pPr>
    <w:rPr>
      <w:rFonts w:ascii="Calibri" w:hAnsi="Calibri"/>
      <w:szCs w:val="22"/>
    </w:rPr>
  </w:style>
  <w:style w:type="paragraph" w:customStyle="1" w:styleId="104">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05">
    <w:name w:val="表格正文文字"/>
    <w:basedOn w:val="1"/>
    <w:qFormat/>
    <w:uiPriority w:val="0"/>
    <w:pPr>
      <w:autoSpaceDE w:val="0"/>
      <w:autoSpaceDN w:val="0"/>
      <w:adjustRightInd w:val="0"/>
      <w:snapToGrid w:val="0"/>
      <w:spacing w:after="0" w:line="240" w:lineRule="auto"/>
      <w:ind w:left="105" w:leftChars="50" w:firstLine="0" w:firstLineChars="0"/>
      <w:jc w:val="left"/>
    </w:pPr>
    <w:rPr>
      <w:rFonts w:hint="eastAsia" w:ascii="微软雅黑" w:hAnsi="微软雅黑" w:eastAsia="微软雅黑" w:cs="Arial"/>
      <w:szCs w:val="21"/>
    </w:rPr>
  </w:style>
  <w:style w:type="character" w:customStyle="1" w:styleId="106">
    <w:name w:val="font11"/>
    <w:basedOn w:val="24"/>
    <w:qFormat/>
    <w:uiPriority w:val="0"/>
    <w:rPr>
      <w:rFonts w:hint="eastAsia" w:ascii="宋体" w:hAnsi="宋体" w:eastAsia="宋体" w:cs="宋体"/>
      <w:color w:val="000000"/>
      <w:sz w:val="21"/>
      <w:szCs w:val="21"/>
      <w:u w:val="none"/>
    </w:rPr>
  </w:style>
  <w:style w:type="character" w:customStyle="1" w:styleId="107">
    <w:name w:val="font21"/>
    <w:basedOn w:val="24"/>
    <w:qFormat/>
    <w:uiPriority w:val="0"/>
    <w:rPr>
      <w:rFonts w:hint="eastAsia" w:ascii="宋体" w:hAnsi="宋体" w:eastAsia="宋体" w:cs="宋体"/>
      <w:color w:val="FF0000"/>
      <w:sz w:val="21"/>
      <w:szCs w:val="21"/>
      <w:u w:val="none"/>
    </w:rPr>
  </w:style>
  <w:style w:type="character" w:customStyle="1" w:styleId="108">
    <w:name w:val="font31"/>
    <w:basedOn w:val="24"/>
    <w:qFormat/>
    <w:uiPriority w:val="0"/>
    <w:rPr>
      <w:rFonts w:hint="eastAsia" w:ascii="仿宋" w:hAnsi="仿宋" w:eastAsia="仿宋" w:cs="仿宋"/>
      <w:color w:val="000000"/>
      <w:sz w:val="24"/>
      <w:szCs w:val="24"/>
      <w:u w:val="none"/>
    </w:rPr>
  </w:style>
  <w:style w:type="character" w:customStyle="1" w:styleId="109">
    <w:name w:val="font41"/>
    <w:basedOn w:val="24"/>
    <w:qFormat/>
    <w:uiPriority w:val="0"/>
    <w:rPr>
      <w:rFonts w:hint="eastAsia" w:ascii="仿宋" w:hAnsi="仿宋" w:eastAsia="仿宋" w:cs="仿宋"/>
      <w:color w:val="000000"/>
      <w:sz w:val="20"/>
      <w:szCs w:val="20"/>
      <w:u w:val="none"/>
    </w:rPr>
  </w:style>
  <w:style w:type="paragraph" w:customStyle="1" w:styleId="110">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11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13">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35736</Words>
  <Characters>38600</Characters>
  <Paragraphs>3491</Paragraphs>
  <TotalTime>5</TotalTime>
  <ScaleCrop>false</ScaleCrop>
  <LinksUpToDate>false</LinksUpToDate>
  <CharactersWithSpaces>39488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2024-04-11T05:01:00Z</dcterms:created>
  <dc:creator>Administrator</dc:creator>
  <cp:lastModifiedBy>马琴琴琴琴琴</cp:lastModifiedBy>
  <cp:lastPrinted>2025-08-05T04:27:00Z</cp:lastPrinted>
  <dcterms:modified xsi:type="dcterms:W3CDTF">2026-05-09T09:18:20Z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98474F0A7C2D494D87DA1F5024E47A44_13</vt:lpwstr>
  </property>
  <property fmtid="{D5CDD505-2E9C-101B-9397-08002B2CF9AE}" pid="4" name="KSOTemplateDocerSaveRecord">
    <vt:lpwstr>eyJoZGlkIjoiNGIyNjIzOTAxZWMyN2Y5YzVhNGJlODQ3YjIwZjk2YmYiLCJ1c2VySWQiOiIyNDIzOTU1MjAifQ==</vt:lpwstr>
  </property>
</Properties>
</file>