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B4ED">
      <w:pPr>
        <w:jc w:val="center"/>
        <w:rPr>
          <w:rFonts w:hint="default" w:ascii="宋体" w:hAnsi="宋体" w:eastAsia="宋体" w:cs="Times New Roman"/>
          <w:b/>
          <w:color w:val="auto"/>
          <w:spacing w:val="20"/>
          <w:kern w:val="2"/>
          <w:sz w:val="44"/>
          <w:szCs w:val="44"/>
          <w:highlight w:val="none"/>
          <w:lang w:val="en-US" w:eastAsia="zh-CN" w:bidi="ar-SA"/>
        </w:rPr>
      </w:pPr>
      <w:bookmarkStart w:id="0" w:name="_Toc8107_WPSOffice_Type1"/>
      <w:r>
        <w:rPr>
          <w:rFonts w:hint="eastAsia" w:ascii="宋体" w:hAnsi="宋体" w:cs="Times New Roman"/>
          <w:b/>
          <w:color w:val="auto"/>
          <w:spacing w:val="20"/>
          <w:kern w:val="2"/>
          <w:sz w:val="44"/>
          <w:szCs w:val="44"/>
          <w:highlight w:val="none"/>
          <w:lang w:val="en-US" w:eastAsia="zh-CN" w:bidi="ar-SA"/>
        </w:rPr>
        <w:t>瑞丽市人民医院肾内科血液净化中心改造项目</w:t>
      </w:r>
    </w:p>
    <w:p w14:paraId="5338B7C6">
      <w:pPr>
        <w:pStyle w:val="13"/>
        <w:rPr>
          <w:rFonts w:hint="eastAsia"/>
          <w:color w:val="auto"/>
          <w:highlight w:val="none"/>
          <w:lang w:val="en-US" w:eastAsia="zh-CN"/>
        </w:rPr>
      </w:pPr>
    </w:p>
    <w:p w14:paraId="1E8A32F3">
      <w:pPr>
        <w:rPr>
          <w:color w:val="auto"/>
        </w:rPr>
      </w:pPr>
    </w:p>
    <w:p w14:paraId="34367161">
      <w:pPr>
        <w:rPr>
          <w:color w:val="auto"/>
          <w:highlight w:val="none"/>
        </w:rPr>
      </w:pPr>
    </w:p>
    <w:p w14:paraId="281CED01">
      <w:pPr>
        <w:pStyle w:val="13"/>
        <w:rPr>
          <w:rFonts w:hint="eastAsia"/>
          <w:color w:val="auto"/>
          <w:highlight w:val="none"/>
          <w:lang w:val="en-US" w:eastAsia="zh-CN"/>
        </w:rPr>
      </w:pPr>
    </w:p>
    <w:p w14:paraId="0D3D5002">
      <w:pPr>
        <w:rPr>
          <w:color w:val="auto"/>
        </w:rPr>
      </w:pPr>
    </w:p>
    <w:p w14:paraId="6237FFF2">
      <w:pPr>
        <w:rPr>
          <w:color w:val="auto"/>
        </w:rPr>
      </w:pPr>
    </w:p>
    <w:p w14:paraId="58391EC6">
      <w:pPr>
        <w:rPr>
          <w:color w:val="auto"/>
        </w:rPr>
      </w:pPr>
    </w:p>
    <w:p w14:paraId="5681481F">
      <w:pPr>
        <w:rPr>
          <w:color w:val="auto"/>
        </w:rPr>
      </w:pPr>
    </w:p>
    <w:p w14:paraId="0DB53210">
      <w:pPr>
        <w:pStyle w:val="11"/>
        <w:rPr>
          <w:color w:val="auto"/>
        </w:rPr>
      </w:pPr>
    </w:p>
    <w:p w14:paraId="1F287F75">
      <w:pPr>
        <w:rPr>
          <w:color w:val="auto"/>
        </w:rPr>
      </w:pPr>
    </w:p>
    <w:p w14:paraId="50C34767">
      <w:pPr>
        <w:rPr>
          <w:color w:val="auto"/>
          <w:highlight w:val="none"/>
        </w:rPr>
      </w:pPr>
    </w:p>
    <w:p w14:paraId="5109462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ascii="宋体" w:hAnsi="宋体" w:eastAsia="宋体" w:cs="宋体"/>
          <w:color w:val="auto"/>
          <w:sz w:val="72"/>
          <w:szCs w:val="72"/>
          <w:highlight w:val="none"/>
        </w:rPr>
      </w:pPr>
      <w:r>
        <w:rPr>
          <w:rFonts w:hint="eastAsia" w:ascii="宋体" w:hAnsi="宋体"/>
          <w:b/>
          <w:color w:val="auto"/>
          <w:spacing w:val="20"/>
          <w:sz w:val="72"/>
          <w:szCs w:val="72"/>
          <w:highlight w:val="none"/>
        </w:rPr>
        <w:t>竞争性磋商文件</w:t>
      </w:r>
    </w:p>
    <w:p w14:paraId="605F6D04">
      <w:pPr>
        <w:pStyle w:val="13"/>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jc w:val="center"/>
        <w:textAlignment w:val="auto"/>
        <w:rPr>
          <w:rFonts w:hint="default" w:ascii="宋体" w:hAnsi="宋体" w:eastAsia="宋体" w:cs="宋体"/>
          <w:b/>
          <w:bCs/>
          <w:color w:val="auto"/>
          <w:sz w:val="32"/>
          <w:highlight w:val="none"/>
          <w:lang w:val="en-US" w:eastAsia="zh-CN"/>
        </w:rPr>
      </w:pPr>
      <w:r>
        <w:rPr>
          <w:rFonts w:hint="eastAsia" w:ascii="宋体" w:hAnsi="宋体" w:eastAsia="宋体" w:cs="宋体"/>
          <w:b/>
          <w:bCs/>
          <w:color w:val="auto"/>
          <w:sz w:val="28"/>
          <w:szCs w:val="28"/>
          <w:highlight w:val="none"/>
        </w:rPr>
        <w:t>招标编号：</w:t>
      </w:r>
      <w:r>
        <w:rPr>
          <w:rFonts w:hint="eastAsia" w:ascii="宋体" w:hAnsi="宋体" w:cs="宋体"/>
          <w:b/>
          <w:bCs/>
          <w:color w:val="auto"/>
          <w:sz w:val="28"/>
          <w:szCs w:val="28"/>
          <w:highlight w:val="none"/>
          <w:lang w:eastAsia="zh-CN"/>
        </w:rPr>
        <w:t>YNHYRL2026-1</w:t>
      </w:r>
      <w:r>
        <w:rPr>
          <w:rFonts w:hint="eastAsia" w:ascii="宋体" w:hAnsi="宋体" w:cs="宋体"/>
          <w:b/>
          <w:bCs/>
          <w:color w:val="auto"/>
          <w:sz w:val="28"/>
          <w:szCs w:val="28"/>
          <w:highlight w:val="none"/>
          <w:lang w:val="en-US" w:eastAsia="zh-CN"/>
        </w:rPr>
        <w:t>6</w:t>
      </w:r>
      <w:r>
        <w:rPr>
          <w:rFonts w:hint="eastAsia" w:ascii="宋体" w:hAnsi="宋体" w:cs="宋体"/>
          <w:b/>
          <w:bCs/>
          <w:color w:val="auto"/>
          <w:sz w:val="28"/>
          <w:szCs w:val="28"/>
          <w:highlight w:val="none"/>
          <w:lang w:eastAsia="zh-CN"/>
        </w:rPr>
        <w:t>（磋）</w:t>
      </w:r>
    </w:p>
    <w:p w14:paraId="007BF5C5">
      <w:pPr>
        <w:snapToGrid w:val="0"/>
        <w:spacing w:line="360" w:lineRule="auto"/>
        <w:ind w:right="560"/>
        <w:rPr>
          <w:color w:val="auto"/>
          <w:highlight w:val="none"/>
        </w:rPr>
      </w:pPr>
      <w:r>
        <w:rPr>
          <w:rFonts w:hint="eastAsia" w:ascii="宋体" w:hAnsi="宋体" w:cs="宋体-18030"/>
          <w:color w:val="auto"/>
          <w:sz w:val="28"/>
          <w:szCs w:val="28"/>
          <w:highlight w:val="none"/>
        </w:rPr>
        <w:t xml:space="preserve">  </w:t>
      </w:r>
    </w:p>
    <w:p w14:paraId="61310123">
      <w:pPr>
        <w:pStyle w:val="13"/>
        <w:rPr>
          <w:rFonts w:hint="eastAsia"/>
          <w:color w:val="auto"/>
          <w:highlight w:val="none"/>
          <w:lang w:val="en-US" w:eastAsia="zh-CN"/>
        </w:rPr>
      </w:pPr>
    </w:p>
    <w:p w14:paraId="6DABB345">
      <w:pPr>
        <w:pStyle w:val="13"/>
        <w:rPr>
          <w:rFonts w:hint="eastAsia"/>
          <w:color w:val="auto"/>
          <w:highlight w:val="none"/>
          <w:lang w:val="en-US" w:eastAsia="zh-CN"/>
        </w:rPr>
      </w:pPr>
    </w:p>
    <w:p w14:paraId="3AC90376">
      <w:pPr>
        <w:pStyle w:val="13"/>
        <w:rPr>
          <w:rFonts w:hint="eastAsia"/>
          <w:color w:val="auto"/>
          <w:highlight w:val="none"/>
          <w:lang w:val="en-US" w:eastAsia="zh-CN"/>
        </w:rPr>
      </w:pPr>
    </w:p>
    <w:p w14:paraId="69D2CDF7">
      <w:pPr>
        <w:pStyle w:val="24"/>
        <w:rPr>
          <w:rFonts w:hint="eastAsia"/>
          <w:color w:val="auto"/>
          <w:lang w:val="en-US" w:eastAsia="zh-CN"/>
        </w:rPr>
      </w:pPr>
    </w:p>
    <w:p w14:paraId="2ABBD747">
      <w:pPr>
        <w:pStyle w:val="13"/>
        <w:rPr>
          <w:rFonts w:hint="eastAsia"/>
          <w:color w:val="auto"/>
          <w:highlight w:val="none"/>
          <w:lang w:val="en-US" w:eastAsia="zh-CN"/>
        </w:rPr>
      </w:pPr>
    </w:p>
    <w:p w14:paraId="527379E7">
      <w:pPr>
        <w:pStyle w:val="13"/>
        <w:rPr>
          <w:rFonts w:hint="eastAsia"/>
          <w:color w:val="auto"/>
          <w:highlight w:val="none"/>
          <w:lang w:val="en-US" w:eastAsia="zh-CN"/>
        </w:rPr>
      </w:pPr>
    </w:p>
    <w:p w14:paraId="2ECC99C7">
      <w:pPr>
        <w:pStyle w:val="13"/>
        <w:keepNext w:val="0"/>
        <w:keepLines w:val="0"/>
        <w:pageBreakBefore w:val="0"/>
        <w:widowControl w:val="0"/>
        <w:kinsoku/>
        <w:wordWrap/>
        <w:overflowPunct/>
        <w:topLinePunct w:val="0"/>
        <w:autoSpaceDE/>
        <w:autoSpaceDN/>
        <w:bidi w:val="0"/>
        <w:adjustRightInd/>
        <w:snapToGrid/>
        <w:spacing w:after="0" w:line="1120" w:lineRule="exact"/>
        <w:ind w:left="0" w:leftChars="0" w:firstLine="1205" w:firstLineChars="400"/>
        <w:textAlignment w:val="auto"/>
        <w:rPr>
          <w:rFonts w:hint="default"/>
          <w:b/>
          <w:color w:val="auto"/>
          <w:sz w:val="30"/>
          <w:szCs w:val="30"/>
          <w:highlight w:val="none"/>
          <w:lang w:val="en-US"/>
        </w:rPr>
      </w:pPr>
      <w:r>
        <w:rPr>
          <w:rFonts w:hint="eastAsia"/>
          <w:b/>
          <w:color w:val="auto"/>
          <w:sz w:val="30"/>
          <w:szCs w:val="30"/>
          <w:highlight w:val="none"/>
        </w:rPr>
        <w:t>采</w:t>
      </w:r>
      <w:r>
        <w:rPr>
          <w:rFonts w:hint="eastAsia"/>
          <w:b/>
          <w:color w:val="auto"/>
          <w:sz w:val="30"/>
          <w:szCs w:val="30"/>
          <w:highlight w:val="none"/>
          <w:lang w:val="en-US" w:eastAsia="zh-CN"/>
        </w:rPr>
        <w:t xml:space="preserve">   </w:t>
      </w:r>
      <w:r>
        <w:rPr>
          <w:rFonts w:hint="eastAsia"/>
          <w:b/>
          <w:color w:val="auto"/>
          <w:sz w:val="30"/>
          <w:szCs w:val="30"/>
          <w:highlight w:val="none"/>
        </w:rPr>
        <w:t>购</w:t>
      </w:r>
      <w:r>
        <w:rPr>
          <w:rFonts w:hint="eastAsia"/>
          <w:b/>
          <w:color w:val="auto"/>
          <w:sz w:val="30"/>
          <w:szCs w:val="30"/>
          <w:highlight w:val="none"/>
          <w:lang w:val="en-US" w:eastAsia="zh-CN"/>
        </w:rPr>
        <w:t xml:space="preserve">   </w:t>
      </w:r>
      <w:r>
        <w:rPr>
          <w:rFonts w:hint="eastAsia"/>
          <w:b/>
          <w:color w:val="auto"/>
          <w:sz w:val="30"/>
          <w:szCs w:val="30"/>
          <w:highlight w:val="none"/>
        </w:rPr>
        <w:t>人：</w:t>
      </w:r>
      <w:r>
        <w:rPr>
          <w:rFonts w:hint="eastAsia"/>
          <w:b/>
          <w:color w:val="auto"/>
          <w:sz w:val="30"/>
          <w:szCs w:val="30"/>
          <w:highlight w:val="none"/>
          <w:lang w:val="en-US" w:eastAsia="zh-CN"/>
        </w:rPr>
        <w:t>瑞丽市人民医院</w:t>
      </w:r>
      <w:r>
        <w:rPr>
          <w:rFonts w:hint="default"/>
          <w:b/>
          <w:color w:val="auto"/>
          <w:sz w:val="30"/>
          <w:szCs w:val="30"/>
          <w:highlight w:val="none"/>
          <w:lang w:val="en-US" w:eastAsia="zh-CN"/>
        </w:rPr>
        <w:t xml:space="preserve">    </w:t>
      </w:r>
      <w:r>
        <w:rPr>
          <w:rFonts w:hint="eastAsia"/>
          <w:b/>
          <w:color w:val="auto"/>
          <w:sz w:val="30"/>
          <w:szCs w:val="30"/>
          <w:highlight w:val="none"/>
          <w:lang w:val="en-US" w:eastAsia="zh-CN"/>
        </w:rPr>
        <w:t xml:space="preserve"> </w:t>
      </w:r>
      <w:r>
        <w:rPr>
          <w:rFonts w:hint="default"/>
          <w:b/>
          <w:color w:val="auto"/>
          <w:sz w:val="30"/>
          <w:szCs w:val="30"/>
          <w:highlight w:val="none"/>
          <w:lang w:val="en-US" w:eastAsia="zh-CN"/>
        </w:rPr>
        <w:t xml:space="preserve">      </w:t>
      </w:r>
      <w:r>
        <w:rPr>
          <w:rFonts w:hint="eastAsia"/>
          <w:b/>
          <w:color w:val="auto"/>
          <w:sz w:val="30"/>
          <w:szCs w:val="30"/>
          <w:highlight w:val="none"/>
          <w:lang w:val="en-US" w:eastAsia="zh-CN"/>
        </w:rPr>
        <w:t xml:space="preserve"> </w:t>
      </w:r>
      <w:r>
        <w:rPr>
          <w:rFonts w:hint="default"/>
          <w:b/>
          <w:color w:val="auto"/>
          <w:sz w:val="30"/>
          <w:szCs w:val="30"/>
          <w:highlight w:val="none"/>
          <w:lang w:val="en-US" w:eastAsia="zh-CN"/>
        </w:rPr>
        <w:t xml:space="preserve">  </w:t>
      </w:r>
    </w:p>
    <w:p w14:paraId="57517701">
      <w:pPr>
        <w:pStyle w:val="13"/>
        <w:keepNext w:val="0"/>
        <w:keepLines w:val="0"/>
        <w:pageBreakBefore w:val="0"/>
        <w:widowControl w:val="0"/>
        <w:kinsoku/>
        <w:wordWrap/>
        <w:overflowPunct/>
        <w:topLinePunct w:val="0"/>
        <w:autoSpaceDE/>
        <w:autoSpaceDN/>
        <w:bidi w:val="0"/>
        <w:adjustRightInd/>
        <w:snapToGrid/>
        <w:spacing w:after="0" w:line="1120" w:lineRule="exact"/>
        <w:ind w:left="0" w:leftChars="0" w:firstLine="1205" w:firstLineChars="400"/>
        <w:textAlignment w:val="auto"/>
        <w:rPr>
          <w:rFonts w:hint="eastAsia"/>
          <w:b/>
          <w:color w:val="auto"/>
          <w:sz w:val="30"/>
          <w:szCs w:val="30"/>
          <w:highlight w:val="none"/>
          <w:lang w:eastAsia="zh-CN"/>
        </w:rPr>
      </w:pPr>
      <w:r>
        <w:rPr>
          <w:rFonts w:hint="eastAsia"/>
          <w:b/>
          <w:color w:val="auto"/>
          <w:sz w:val="30"/>
          <w:szCs w:val="30"/>
          <w:highlight w:val="none"/>
          <w:lang w:eastAsia="zh-CN"/>
        </w:rPr>
        <w:t>采购代理机构</w:t>
      </w:r>
      <w:r>
        <w:rPr>
          <w:rFonts w:hint="eastAsia"/>
          <w:b/>
          <w:color w:val="auto"/>
          <w:sz w:val="30"/>
          <w:szCs w:val="30"/>
          <w:highlight w:val="none"/>
        </w:rPr>
        <w:t>：</w:t>
      </w:r>
      <w:r>
        <w:rPr>
          <w:rFonts w:hint="eastAsia"/>
          <w:b/>
          <w:color w:val="auto"/>
          <w:sz w:val="30"/>
          <w:szCs w:val="30"/>
          <w:highlight w:val="none"/>
          <w:lang w:eastAsia="zh-CN"/>
        </w:rPr>
        <w:t>云南宏业招标咨询有限责任公司</w:t>
      </w:r>
    </w:p>
    <w:p w14:paraId="6508C595">
      <w:pPr>
        <w:pStyle w:val="13"/>
        <w:keepNext w:val="0"/>
        <w:keepLines w:val="0"/>
        <w:pageBreakBefore w:val="0"/>
        <w:widowControl w:val="0"/>
        <w:kinsoku/>
        <w:wordWrap/>
        <w:overflowPunct/>
        <w:topLinePunct w:val="0"/>
        <w:autoSpaceDE/>
        <w:autoSpaceDN/>
        <w:bidi w:val="0"/>
        <w:adjustRightInd/>
        <w:snapToGrid/>
        <w:spacing w:after="0" w:line="1120" w:lineRule="exact"/>
        <w:ind w:left="0" w:leftChars="0" w:firstLine="1205" w:firstLineChars="400"/>
        <w:textAlignment w:val="auto"/>
        <w:rPr>
          <w:rFonts w:hint="eastAsia"/>
          <w:b/>
          <w:color w:val="auto"/>
          <w:sz w:val="30"/>
          <w:szCs w:val="30"/>
          <w:highlight w:val="none"/>
        </w:rPr>
      </w:pPr>
      <w:r>
        <w:rPr>
          <w:rFonts w:hint="eastAsia"/>
          <w:b/>
          <w:color w:val="auto"/>
          <w:sz w:val="30"/>
          <w:szCs w:val="30"/>
          <w:highlight w:val="none"/>
        </w:rPr>
        <w:t xml:space="preserve">日    </w:t>
      </w:r>
      <w:r>
        <w:rPr>
          <w:rFonts w:hint="eastAsia"/>
          <w:b/>
          <w:color w:val="auto"/>
          <w:sz w:val="30"/>
          <w:szCs w:val="30"/>
          <w:highlight w:val="none"/>
          <w:lang w:val="en-US" w:eastAsia="zh-CN"/>
        </w:rPr>
        <w:t xml:space="preserve">    </w:t>
      </w:r>
      <w:r>
        <w:rPr>
          <w:rFonts w:hint="eastAsia"/>
          <w:b/>
          <w:color w:val="auto"/>
          <w:sz w:val="30"/>
          <w:szCs w:val="30"/>
          <w:highlight w:val="none"/>
        </w:rPr>
        <w:t>期：</w:t>
      </w:r>
      <w:r>
        <w:rPr>
          <w:rFonts w:hint="eastAsia"/>
          <w:b/>
          <w:color w:val="auto"/>
          <w:sz w:val="30"/>
          <w:szCs w:val="30"/>
          <w:highlight w:val="none"/>
          <w:lang w:val="en-US" w:eastAsia="zh-CN"/>
        </w:rPr>
        <w:t>2026</w:t>
      </w:r>
      <w:r>
        <w:rPr>
          <w:rFonts w:hint="eastAsia"/>
          <w:b/>
          <w:color w:val="auto"/>
          <w:sz w:val="30"/>
          <w:szCs w:val="30"/>
          <w:highlight w:val="none"/>
        </w:rPr>
        <w:t>年</w:t>
      </w:r>
      <w:r>
        <w:rPr>
          <w:rFonts w:hint="eastAsia"/>
          <w:b/>
          <w:color w:val="auto"/>
          <w:sz w:val="30"/>
          <w:szCs w:val="30"/>
          <w:highlight w:val="none"/>
          <w:lang w:val="en-US" w:eastAsia="zh-CN"/>
        </w:rPr>
        <w:t>5</w:t>
      </w:r>
      <w:r>
        <w:rPr>
          <w:rFonts w:hint="eastAsia"/>
          <w:b/>
          <w:color w:val="auto"/>
          <w:sz w:val="30"/>
          <w:szCs w:val="30"/>
          <w:highlight w:val="none"/>
        </w:rPr>
        <w:t>月</w:t>
      </w:r>
    </w:p>
    <w:p w14:paraId="683F0F02">
      <w:pPr>
        <w:pStyle w:val="24"/>
        <w:ind w:left="0" w:leftChars="0" w:firstLine="0" w:firstLineChars="0"/>
        <w:rPr>
          <w:rFonts w:hint="eastAsia"/>
          <w:color w:val="auto"/>
          <w:highlight w:val="none"/>
        </w:rPr>
        <w:sectPr>
          <w:headerReference r:id="rId3" w:type="default"/>
          <w:footerReference r:id="rId4" w:type="default"/>
          <w:pgSz w:w="11906" w:h="16838"/>
          <w:pgMar w:top="1440" w:right="1080" w:bottom="1440" w:left="1080" w:header="851" w:footer="992" w:gutter="0"/>
          <w:pgNumType w:start="1"/>
          <w:cols w:space="720" w:num="1"/>
          <w:titlePg/>
          <w:docGrid w:type="lines" w:linePitch="312" w:charSpace="0"/>
        </w:sectPr>
      </w:pPr>
    </w:p>
    <w:p w14:paraId="2FAD0798">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ascii="宋体" w:hAnsi="宋体" w:cs="宋体"/>
          <w:b/>
          <w:bCs/>
          <w:color w:val="auto"/>
          <w:sz w:val="44"/>
          <w:szCs w:val="44"/>
          <w:highlight w:val="none"/>
        </w:rPr>
      </w:pPr>
      <w:r>
        <w:rPr>
          <w:rFonts w:hint="eastAsia" w:ascii="宋体" w:hAnsi="宋体" w:cs="宋体"/>
          <w:b/>
          <w:bCs/>
          <w:color w:val="auto"/>
          <w:sz w:val="44"/>
          <w:szCs w:val="44"/>
          <w:highlight w:val="none"/>
        </w:rPr>
        <w:t>目   录</w:t>
      </w:r>
    </w:p>
    <w:bookmarkEnd w:id="0"/>
    <w:p w14:paraId="025D53AD">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fldChar w:fldCharType="begin"/>
      </w:r>
      <w:r>
        <w:rPr>
          <w:rFonts w:hint="eastAsia" w:asciiTheme="minorEastAsia" w:hAnsiTheme="minorEastAsia" w:eastAsiaTheme="minorEastAsia" w:cstheme="minorEastAsia"/>
          <w:b/>
          <w:bCs/>
          <w:color w:val="auto"/>
          <w:sz w:val="24"/>
          <w:szCs w:val="24"/>
          <w:highlight w:val="none"/>
        </w:rPr>
        <w:instrText xml:space="preserve"> HYPERLINK \l _Toc11939 </w:instrText>
      </w:r>
      <w:r>
        <w:rPr>
          <w:rFonts w:hint="eastAsia" w:asciiTheme="minorEastAsia" w:hAnsiTheme="minorEastAsia" w:eastAsiaTheme="minorEastAsia" w:cstheme="minorEastAsia"/>
          <w:b/>
          <w:bCs/>
          <w:color w:val="auto"/>
          <w:sz w:val="24"/>
          <w:szCs w:val="24"/>
          <w:highlight w:val="none"/>
        </w:rPr>
        <w:fldChar w:fldCharType="separate"/>
      </w:r>
      <w:r>
        <w:rPr>
          <w:rFonts w:hint="eastAsia" w:asciiTheme="minorEastAsia" w:hAnsiTheme="minorEastAsia" w:eastAsiaTheme="minorEastAsia" w:cstheme="minorEastAsia"/>
          <w:b/>
          <w:bCs/>
          <w:color w:val="auto"/>
          <w:sz w:val="24"/>
          <w:szCs w:val="24"/>
          <w:highlight w:val="none"/>
        </w:rPr>
        <w:t>第一章 竞争性磋商公告</w:t>
      </w:r>
      <w:r>
        <w:rPr>
          <w:rFonts w:hint="eastAsia" w:asciiTheme="minorEastAsia" w:hAnsiTheme="minorEastAsia" w:eastAsiaTheme="minorEastAsia" w:cstheme="minorEastAsia"/>
          <w:b/>
          <w:bCs/>
          <w:color w:val="auto"/>
          <w:sz w:val="24"/>
          <w:szCs w:val="24"/>
          <w:highlight w:val="none"/>
        </w:rPr>
        <w:fldChar w:fldCharType="end"/>
      </w:r>
      <w:r>
        <w:rPr>
          <w:rFonts w:hint="eastAsia" w:asciiTheme="minorEastAsia" w:hAnsiTheme="minorEastAsia" w:eastAsiaTheme="minorEastAsia" w:cstheme="minorEastAsia"/>
          <w:b/>
          <w:bCs/>
          <w:color w:val="auto"/>
          <w:sz w:val="24"/>
          <w:szCs w:val="24"/>
          <w:highlight w:val="none"/>
          <w:lang w:val="en-US" w:eastAsia="zh-CN"/>
        </w:rPr>
        <w:t>.....................................................1</w:t>
      </w:r>
    </w:p>
    <w:p w14:paraId="5C45B0AD">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第二章 供应商须知.........................................................6</w:t>
      </w:r>
    </w:p>
    <w:p w14:paraId="15CF311F">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第三章 采购需求..........................................................26</w:t>
      </w:r>
    </w:p>
    <w:p w14:paraId="1E8574E0">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第四章 评审办法..........................................................29</w:t>
      </w:r>
    </w:p>
    <w:p w14:paraId="3945FC9F">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第五章 合同条款及格式....................................................39</w:t>
      </w:r>
    </w:p>
    <w:p w14:paraId="1C9A4B96">
      <w:pPr>
        <w:pStyle w:val="20"/>
        <w:keepNext w:val="0"/>
        <w:keepLines w:val="0"/>
        <w:pageBreakBefore w:val="0"/>
        <w:widowControl w:val="0"/>
        <w:tabs>
          <w:tab w:val="right" w:leader="dot" w:pos="9746"/>
        </w:tabs>
        <w:kinsoku/>
        <w:wordWrap/>
        <w:overflowPunct/>
        <w:topLinePunct w:val="0"/>
        <w:autoSpaceDE/>
        <w:autoSpaceDN/>
        <w:bidi w:val="0"/>
        <w:adjustRightInd/>
        <w:snapToGrid/>
        <w:spacing w:line="480" w:lineRule="auto"/>
        <w:ind w:firstLine="241" w:firstLineChars="100"/>
        <w:jc w:val="center"/>
        <w:textAlignment w:val="auto"/>
        <w:rPr>
          <w:rFonts w:hint="default"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第六章 竞争性磋商响应文件格式............................................65</w:t>
      </w:r>
    </w:p>
    <w:p w14:paraId="58193CE5">
      <w:pPr>
        <w:outlineLvl w:val="0"/>
        <w:rPr>
          <w:rFonts w:ascii="宋体" w:hAnsi="宋体" w:cs="宋体"/>
          <w:color w:val="auto"/>
          <w:sz w:val="48"/>
          <w:szCs w:val="56"/>
          <w:highlight w:val="none"/>
        </w:rPr>
      </w:pPr>
    </w:p>
    <w:p w14:paraId="5A2974F4">
      <w:pPr>
        <w:rPr>
          <w:rFonts w:ascii="宋体" w:hAnsi="宋体" w:cs="宋体"/>
          <w:color w:val="auto"/>
          <w:sz w:val="48"/>
          <w:szCs w:val="56"/>
          <w:highlight w:val="none"/>
        </w:rPr>
      </w:pPr>
    </w:p>
    <w:p w14:paraId="0CAD9626">
      <w:pPr>
        <w:rPr>
          <w:rFonts w:ascii="宋体" w:hAnsi="宋体" w:cs="宋体"/>
          <w:color w:val="auto"/>
          <w:sz w:val="28"/>
          <w:szCs w:val="36"/>
          <w:highlight w:val="none"/>
        </w:rPr>
      </w:pPr>
    </w:p>
    <w:p w14:paraId="3B3CC654">
      <w:pPr>
        <w:rPr>
          <w:rFonts w:ascii="宋体" w:hAnsi="宋体" w:cs="宋体"/>
          <w:color w:val="auto"/>
          <w:sz w:val="28"/>
          <w:szCs w:val="36"/>
          <w:highlight w:val="none"/>
        </w:rPr>
      </w:pPr>
    </w:p>
    <w:p w14:paraId="26ECF0A7">
      <w:pPr>
        <w:rPr>
          <w:rFonts w:ascii="宋体" w:hAnsi="宋体" w:cs="宋体"/>
          <w:color w:val="auto"/>
          <w:sz w:val="28"/>
          <w:szCs w:val="36"/>
          <w:highlight w:val="none"/>
        </w:rPr>
      </w:pPr>
    </w:p>
    <w:p w14:paraId="743D7867">
      <w:pPr>
        <w:rPr>
          <w:rFonts w:ascii="宋体" w:hAnsi="宋体" w:cs="宋体"/>
          <w:color w:val="auto"/>
          <w:sz w:val="28"/>
          <w:szCs w:val="36"/>
          <w:highlight w:val="none"/>
        </w:rPr>
      </w:pPr>
    </w:p>
    <w:p w14:paraId="3F1037D5">
      <w:pPr>
        <w:rPr>
          <w:rFonts w:ascii="宋体" w:hAnsi="宋体" w:cs="宋体"/>
          <w:color w:val="auto"/>
          <w:sz w:val="28"/>
          <w:szCs w:val="36"/>
          <w:highlight w:val="none"/>
        </w:rPr>
      </w:pPr>
    </w:p>
    <w:p w14:paraId="1E08D1E4">
      <w:pPr>
        <w:rPr>
          <w:rFonts w:ascii="宋体" w:hAnsi="宋体" w:cs="宋体"/>
          <w:color w:val="auto"/>
          <w:sz w:val="28"/>
          <w:szCs w:val="36"/>
          <w:highlight w:val="none"/>
        </w:rPr>
      </w:pPr>
    </w:p>
    <w:p w14:paraId="77299F91">
      <w:pPr>
        <w:rPr>
          <w:rFonts w:ascii="宋体" w:hAnsi="宋体" w:cs="宋体"/>
          <w:color w:val="auto"/>
          <w:sz w:val="28"/>
          <w:szCs w:val="36"/>
          <w:highlight w:val="none"/>
        </w:rPr>
      </w:pPr>
    </w:p>
    <w:p w14:paraId="63EB7CDE">
      <w:pPr>
        <w:pStyle w:val="13"/>
        <w:rPr>
          <w:rFonts w:ascii="宋体" w:hAnsi="宋体" w:cs="宋体"/>
          <w:color w:val="auto"/>
          <w:sz w:val="28"/>
          <w:szCs w:val="36"/>
          <w:highlight w:val="none"/>
        </w:rPr>
      </w:pPr>
    </w:p>
    <w:p w14:paraId="06467A70">
      <w:pPr>
        <w:rPr>
          <w:color w:val="auto"/>
          <w:highlight w:val="none"/>
        </w:rPr>
      </w:pPr>
    </w:p>
    <w:p w14:paraId="078C0C91">
      <w:pPr>
        <w:pStyle w:val="41"/>
        <w:rPr>
          <w:rFonts w:ascii="宋体" w:hAnsi="宋体" w:cs="宋体"/>
          <w:b/>
          <w:bCs/>
          <w:color w:val="auto"/>
          <w:sz w:val="32"/>
          <w:szCs w:val="40"/>
          <w:highlight w:val="none"/>
        </w:rPr>
        <w:sectPr>
          <w:footerReference r:id="rId6" w:type="first"/>
          <w:footerReference r:id="rId5" w:type="default"/>
          <w:pgSz w:w="11906" w:h="16838"/>
          <w:pgMar w:top="1440" w:right="1080" w:bottom="1440" w:left="1080" w:header="851" w:footer="992" w:gutter="0"/>
          <w:pgNumType w:fmt="decimal" w:start="1"/>
          <w:cols w:space="720" w:num="1"/>
          <w:titlePg/>
          <w:docGrid w:type="lines" w:linePitch="312" w:charSpace="0"/>
        </w:sectPr>
      </w:pPr>
      <w:bookmarkStart w:id="1" w:name="_Toc3891_WPSOffice_Level1"/>
    </w:p>
    <w:bookmarkEnd w:id="1"/>
    <w:p w14:paraId="06A7A7BE">
      <w:pPr>
        <w:pStyle w:val="2"/>
        <w:keepNext/>
        <w:keepLines/>
        <w:pageBreakBefore w:val="0"/>
        <w:widowControl w:val="0"/>
        <w:tabs>
          <w:tab w:val="left" w:pos="0"/>
        </w:tabs>
        <w:kinsoku/>
        <w:wordWrap/>
        <w:overflowPunct/>
        <w:topLinePunct w:val="0"/>
        <w:autoSpaceDE w:val="0"/>
        <w:autoSpaceDN w:val="0"/>
        <w:bidi w:val="0"/>
        <w:adjustRightInd w:val="0"/>
        <w:snapToGrid/>
        <w:spacing w:before="0" w:after="157" w:afterLines="50" w:line="520" w:lineRule="exact"/>
        <w:jc w:val="center"/>
        <w:textAlignment w:val="auto"/>
        <w:rPr>
          <w:rFonts w:hint="eastAsia" w:ascii="宋体" w:hAnsi="宋体" w:eastAsia="宋体"/>
          <w:color w:val="auto"/>
          <w:highlight w:val="none"/>
        </w:rPr>
      </w:pPr>
      <w:r>
        <w:rPr>
          <w:rFonts w:hint="eastAsia" w:ascii="宋体" w:hAnsi="宋体" w:eastAsia="宋体"/>
          <w:color w:val="auto"/>
          <w:highlight w:val="none"/>
        </w:rPr>
        <w:t>第一章</w:t>
      </w:r>
      <w:bookmarkStart w:id="2" w:name="_Toc28359011"/>
      <w:bookmarkStart w:id="3" w:name="_Toc35393797"/>
      <w:r>
        <w:rPr>
          <w:rFonts w:hint="eastAsia" w:ascii="宋体" w:hAnsi="宋体"/>
          <w:color w:val="auto"/>
          <w:highlight w:val="none"/>
          <w:lang w:val="en-US" w:eastAsia="zh-CN"/>
        </w:rPr>
        <w:t xml:space="preserve"> </w:t>
      </w:r>
      <w:r>
        <w:rPr>
          <w:rFonts w:hint="eastAsia" w:ascii="宋体" w:hAnsi="宋体" w:eastAsia="宋体"/>
          <w:color w:val="auto"/>
          <w:highlight w:val="none"/>
        </w:rPr>
        <w:t>竞争性磋商公告</w:t>
      </w:r>
      <w:bookmarkEnd w:id="2"/>
      <w:bookmarkEnd w:id="3"/>
    </w:p>
    <w:p w14:paraId="64D459E6">
      <w:pPr>
        <w:pStyle w:val="2"/>
        <w:keepNext/>
        <w:keepLines/>
        <w:pageBreakBefore w:val="0"/>
        <w:widowControl w:val="0"/>
        <w:tabs>
          <w:tab w:val="left" w:pos="0"/>
        </w:tabs>
        <w:kinsoku/>
        <w:wordWrap/>
        <w:overflowPunct/>
        <w:topLinePunct w:val="0"/>
        <w:autoSpaceDE w:val="0"/>
        <w:autoSpaceDN w:val="0"/>
        <w:bidi w:val="0"/>
        <w:adjustRightInd w:val="0"/>
        <w:snapToGrid/>
        <w:spacing w:before="0" w:after="0" w:line="400" w:lineRule="exact"/>
        <w:jc w:val="center"/>
        <w:textAlignment w:val="auto"/>
        <w:rPr>
          <w:rFonts w:hint="eastAsia" w:ascii="宋体" w:hAnsi="宋体" w:eastAsia="宋体"/>
          <w:color w:val="auto"/>
          <w:sz w:val="28"/>
          <w:szCs w:val="28"/>
          <w:highlight w:val="none"/>
          <w:lang w:eastAsia="zh-CN"/>
        </w:rPr>
      </w:pPr>
      <w:r>
        <w:rPr>
          <w:rFonts w:hint="eastAsia" w:ascii="宋体" w:hAnsi="宋体"/>
          <w:color w:val="auto"/>
          <w:sz w:val="28"/>
          <w:szCs w:val="28"/>
          <w:highlight w:val="none"/>
          <w:lang w:eastAsia="zh-CN"/>
        </w:rPr>
        <w:t>瑞丽市人民医院肾内科血液净化中心改造项目</w:t>
      </w:r>
    </w:p>
    <w:p w14:paraId="0BBC09F2">
      <w:pPr>
        <w:keepNext w:val="0"/>
        <w:keepLines w:val="0"/>
        <w:pageBreakBefore w:val="0"/>
        <w:widowControl w:val="0"/>
        <w:kinsoku/>
        <w:wordWrap/>
        <w:overflowPunct/>
        <w:topLinePunct w:val="0"/>
        <w:autoSpaceDE/>
        <w:autoSpaceDN/>
        <w:bidi w:val="0"/>
        <w:adjustRightInd/>
        <w:snapToGrid/>
        <w:spacing w:after="157" w:afterLines="50" w:line="400" w:lineRule="exact"/>
        <w:jc w:val="center"/>
        <w:textAlignment w:val="auto"/>
        <w:rPr>
          <w:rFonts w:hint="default" w:ascii="宋体" w:hAnsi="宋体" w:eastAsia="宋体" w:cs="Times New Roman"/>
          <w:b/>
          <w:color w:val="auto"/>
          <w:kern w:val="44"/>
          <w:sz w:val="28"/>
          <w:szCs w:val="28"/>
          <w:highlight w:val="none"/>
          <w:lang w:val="en-US" w:eastAsia="zh-CN" w:bidi="ar-SA"/>
        </w:rPr>
      </w:pPr>
      <w:r>
        <w:rPr>
          <w:rFonts w:hint="eastAsia" w:ascii="宋体" w:hAnsi="宋体" w:eastAsia="宋体" w:cs="Times New Roman"/>
          <w:b/>
          <w:color w:val="auto"/>
          <w:kern w:val="44"/>
          <w:sz w:val="28"/>
          <w:szCs w:val="28"/>
          <w:highlight w:val="none"/>
          <w:lang w:val="en-US" w:eastAsia="zh-CN" w:bidi="ar-SA"/>
        </w:rPr>
        <w:t>竞争性磋商公告</w:t>
      </w:r>
    </w:p>
    <w:p w14:paraId="788E5ED3">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lang w:eastAsia="zh-CN"/>
        </w:rPr>
      </w:pPr>
      <w:bookmarkStart w:id="4" w:name="_Toc35393629"/>
      <w:bookmarkStart w:id="5" w:name="_Toc28359089"/>
      <w:bookmarkStart w:id="6" w:name="_Toc35393798"/>
      <w:bookmarkStart w:id="7" w:name="_Toc28359012"/>
      <w:r>
        <w:rPr>
          <w:rFonts w:hint="eastAsia" w:ascii="宋体" w:hAnsi="宋体" w:eastAsia="宋体" w:cs="宋体"/>
          <w:color w:val="auto"/>
          <w:sz w:val="21"/>
          <w:szCs w:val="21"/>
          <w:highlight w:val="none"/>
        </w:rPr>
        <w:t>项目概况</w:t>
      </w:r>
      <w:r>
        <w:rPr>
          <w:rFonts w:hint="eastAsia" w:ascii="宋体" w:hAnsi="宋体" w:cs="宋体"/>
          <w:color w:val="auto"/>
          <w:sz w:val="21"/>
          <w:szCs w:val="21"/>
          <w:highlight w:val="none"/>
          <w:lang w:eastAsia="zh-CN"/>
        </w:rPr>
        <w:t>：</w:t>
      </w:r>
    </w:p>
    <w:p w14:paraId="7E1C3500">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spacing w:line="360" w:lineRule="auto"/>
        <w:ind w:firstLine="420" w:firstLineChars="200"/>
        <w:textAlignment w:val="auto"/>
        <w:rPr>
          <w:rFonts w:ascii="宋体" w:hAnsi="宋体" w:eastAsia="宋体" w:cs="宋体"/>
          <w:color w:val="auto"/>
          <w:sz w:val="21"/>
          <w:szCs w:val="21"/>
          <w:highlight w:val="none"/>
        </w:rPr>
      </w:pPr>
      <w:r>
        <w:rPr>
          <w:rFonts w:hint="eastAsia" w:ascii="宋体" w:hAnsi="宋体" w:cs="宋体"/>
          <w:color w:val="auto"/>
          <w:sz w:val="21"/>
          <w:szCs w:val="21"/>
          <w:highlight w:val="none"/>
          <w:u w:val="single"/>
          <w:lang w:eastAsia="zh-CN"/>
        </w:rPr>
        <w:t>瑞丽市人民医院肾内科血液净化中心改造项目</w:t>
      </w:r>
      <w:r>
        <w:rPr>
          <w:rFonts w:hint="eastAsia" w:ascii="宋体" w:hAnsi="宋体" w:eastAsia="宋体" w:cs="宋体"/>
          <w:color w:val="auto"/>
          <w:sz w:val="21"/>
          <w:szCs w:val="21"/>
          <w:highlight w:val="none"/>
        </w:rPr>
        <w:t>的潜在供应商应在</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“政府采购云平台”（https://www.zcygov.cn/)</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获取采购文件</w:t>
      </w:r>
      <w:r>
        <w:rPr>
          <w:rFonts w:hint="eastAsia" w:ascii="宋体" w:hAnsi="宋体" w:eastAsia="宋体" w:cs="宋体"/>
          <w:color w:val="auto"/>
          <w:sz w:val="21"/>
          <w:szCs w:val="21"/>
          <w:highlight w:val="none"/>
        </w:rPr>
        <w:t>，并于</w:t>
      </w:r>
      <w:r>
        <w:rPr>
          <w:rFonts w:hint="eastAsia" w:ascii="宋体" w:hAnsi="宋体" w:cs="宋体"/>
          <w:bCs/>
          <w:color w:val="auto"/>
          <w:sz w:val="21"/>
          <w:szCs w:val="21"/>
          <w:highlight w:val="none"/>
          <w:u w:val="single"/>
          <w:lang w:val="en-US" w:eastAsia="zh-CN"/>
        </w:rPr>
        <w:t>2</w:t>
      </w:r>
      <w:r>
        <w:rPr>
          <w:rFonts w:hint="eastAsia" w:ascii="宋体" w:hAnsi="宋体" w:cs="宋体"/>
          <w:color w:val="auto"/>
          <w:kern w:val="0"/>
          <w:sz w:val="21"/>
          <w:szCs w:val="21"/>
          <w:highlight w:val="none"/>
          <w:u w:val="single"/>
          <w:lang w:val="en-US" w:eastAsia="zh-CN"/>
        </w:rPr>
        <w:t>026年5月18日15时00分</w:t>
      </w:r>
      <w:r>
        <w:rPr>
          <w:rFonts w:hint="eastAsia" w:ascii="宋体" w:hAnsi="宋体" w:eastAsia="宋体" w:cs="宋体"/>
          <w:bCs/>
          <w:color w:val="auto"/>
          <w:sz w:val="21"/>
          <w:szCs w:val="21"/>
          <w:highlight w:val="none"/>
        </w:rPr>
        <w:t>（北京时间）前</w:t>
      </w:r>
      <w:r>
        <w:rPr>
          <w:rFonts w:hint="eastAsia" w:ascii="宋体" w:hAnsi="宋体" w:cs="宋体"/>
          <w:bCs/>
          <w:color w:val="auto"/>
          <w:sz w:val="21"/>
          <w:szCs w:val="21"/>
          <w:highlight w:val="none"/>
          <w:lang w:val="en-US" w:eastAsia="zh-CN"/>
        </w:rPr>
        <w:t>提交响应</w:t>
      </w:r>
      <w:r>
        <w:rPr>
          <w:rFonts w:hint="eastAsia" w:ascii="宋体" w:hAnsi="宋体" w:eastAsia="宋体" w:cs="宋体"/>
          <w:bCs/>
          <w:color w:val="auto"/>
          <w:sz w:val="21"/>
          <w:szCs w:val="21"/>
          <w:highlight w:val="none"/>
        </w:rPr>
        <w:t>文件</w:t>
      </w:r>
      <w:r>
        <w:rPr>
          <w:rFonts w:hint="eastAsia" w:ascii="宋体" w:hAnsi="宋体" w:eastAsia="宋体" w:cs="宋体"/>
          <w:color w:val="auto"/>
          <w:sz w:val="21"/>
          <w:szCs w:val="21"/>
          <w:highlight w:val="none"/>
        </w:rPr>
        <w:t>。</w:t>
      </w:r>
    </w:p>
    <w:p w14:paraId="6789F04D">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一、项目基本情况</w:t>
      </w:r>
      <w:bookmarkEnd w:id="4"/>
      <w:bookmarkEnd w:id="5"/>
      <w:bookmarkEnd w:id="6"/>
      <w:bookmarkEnd w:id="7"/>
    </w:p>
    <w:p w14:paraId="587B1F84">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eastAsia="zh-CN"/>
        </w:rPr>
      </w:pPr>
      <w:bookmarkStart w:id="8" w:name="_Toc28359013"/>
      <w:bookmarkStart w:id="9" w:name="_Toc35393630"/>
      <w:bookmarkStart w:id="10" w:name="_Toc28359090"/>
      <w:bookmarkStart w:id="11" w:name="_Toc35393799"/>
      <w:r>
        <w:rPr>
          <w:rFonts w:hint="eastAsia" w:ascii="宋体" w:hAnsi="宋体" w:cs="宋体"/>
          <w:color w:val="auto"/>
          <w:sz w:val="21"/>
          <w:szCs w:val="21"/>
          <w:highlight w:val="none"/>
          <w:lang w:val="en-US" w:eastAsia="zh-CN"/>
        </w:rPr>
        <w:t>1.采购计划编号：4533102JH202600421；</w:t>
      </w:r>
    </w:p>
    <w:p w14:paraId="40985A4E">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招标编号：</w:t>
      </w:r>
      <w:r>
        <w:rPr>
          <w:rFonts w:hint="eastAsia" w:ascii="宋体" w:hAnsi="宋体" w:cs="宋体"/>
          <w:color w:val="auto"/>
          <w:sz w:val="21"/>
          <w:szCs w:val="21"/>
          <w:highlight w:val="none"/>
          <w:lang w:eastAsia="zh-CN"/>
        </w:rPr>
        <w:t>YNHYRL2026-1</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eastAsia="zh-CN"/>
        </w:rPr>
        <w:t>（磋）；</w:t>
      </w:r>
    </w:p>
    <w:p w14:paraId="0736D771">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瑞丽市人民医院肾内科血液净化中心改造项目</w:t>
      </w:r>
      <w:r>
        <w:rPr>
          <w:rFonts w:hint="eastAsia" w:ascii="宋体" w:hAnsi="宋体" w:eastAsia="宋体" w:cs="宋体"/>
          <w:color w:val="auto"/>
          <w:sz w:val="21"/>
          <w:szCs w:val="21"/>
          <w:highlight w:val="none"/>
          <w:lang w:eastAsia="zh-CN"/>
        </w:rPr>
        <w:t>；</w:t>
      </w:r>
    </w:p>
    <w:p w14:paraId="34604BDD">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采购方式：竞争性磋商</w:t>
      </w:r>
      <w:r>
        <w:rPr>
          <w:rFonts w:hint="eastAsia" w:ascii="宋体" w:hAnsi="宋体" w:eastAsia="宋体" w:cs="宋体"/>
          <w:color w:val="auto"/>
          <w:sz w:val="21"/>
          <w:szCs w:val="21"/>
          <w:highlight w:val="none"/>
          <w:lang w:eastAsia="zh-CN"/>
        </w:rPr>
        <w:t>；</w:t>
      </w:r>
    </w:p>
    <w:p w14:paraId="00F89E9A">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3080000.00</w:t>
      </w:r>
      <w:r>
        <w:rPr>
          <w:rFonts w:hint="eastAsia" w:ascii="宋体" w:hAnsi="宋体" w:eastAsia="宋体" w:cs="宋体"/>
          <w:color w:val="auto"/>
          <w:sz w:val="21"/>
          <w:szCs w:val="21"/>
          <w:highlight w:val="none"/>
          <w:lang w:val="en-US" w:eastAsia="zh-CN"/>
        </w:rPr>
        <w:t>元</w:t>
      </w:r>
      <w:r>
        <w:rPr>
          <w:rFonts w:hint="eastAsia" w:ascii="宋体" w:hAnsi="宋体" w:eastAsia="宋体" w:cs="宋体"/>
          <w:color w:val="auto"/>
          <w:sz w:val="21"/>
          <w:szCs w:val="21"/>
          <w:highlight w:val="none"/>
          <w:lang w:eastAsia="zh-CN"/>
        </w:rPr>
        <w:t>；</w:t>
      </w:r>
    </w:p>
    <w:p w14:paraId="0E9666E2">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6.最高限价：</w:t>
      </w:r>
      <w:r>
        <w:rPr>
          <w:rFonts w:hint="eastAsia" w:ascii="宋体" w:hAnsi="宋体" w:cs="宋体"/>
          <w:color w:val="auto"/>
          <w:sz w:val="21"/>
          <w:szCs w:val="21"/>
          <w:highlight w:val="none"/>
          <w:lang w:val="en-US" w:eastAsia="zh-CN"/>
        </w:rPr>
        <w:t>3079065.38</w:t>
      </w:r>
      <w:r>
        <w:rPr>
          <w:rFonts w:hint="eastAsia" w:ascii="宋体" w:hAnsi="宋体" w:eastAsia="宋体" w:cs="宋体"/>
          <w:color w:val="auto"/>
          <w:sz w:val="21"/>
          <w:szCs w:val="21"/>
          <w:highlight w:val="none"/>
          <w:lang w:val="en-US" w:eastAsia="zh-CN"/>
        </w:rPr>
        <w:t>元（即招标控制价）</w:t>
      </w:r>
      <w:r>
        <w:rPr>
          <w:rFonts w:hint="eastAsia" w:ascii="宋体" w:hAnsi="宋体" w:eastAsia="宋体" w:cs="宋体"/>
          <w:color w:val="auto"/>
          <w:sz w:val="21"/>
          <w:szCs w:val="21"/>
          <w:highlight w:val="none"/>
        </w:rPr>
        <w:t>；</w:t>
      </w:r>
    </w:p>
    <w:p w14:paraId="37CF0875">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改造面积为1079.57平方米，改造层数为七楼，层高4.5米，改造内容主要包含拆除原有墙体、地砖、吊顶、钢质门、卫生洁具等，新建50mm厚白色金属面中空玻镁净化隔墙、成品钢质门、铝扣板吊顶及石膏板吊顶、2mm厚同质透心PVC地胶地面等装修工程，以及设计图范围内的给排水工程、电气工程、暖通工程、医用气体工程等内容；（具体内容详见招标工程量清单）</w:t>
      </w:r>
    </w:p>
    <w:p w14:paraId="267F2D20">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质量标准：</w:t>
      </w:r>
      <w:r>
        <w:rPr>
          <w:rFonts w:hint="eastAsia" w:ascii="宋体" w:hAnsi="宋体" w:eastAsia="宋体" w:cs="宋体"/>
          <w:color w:val="auto"/>
          <w:sz w:val="21"/>
          <w:szCs w:val="21"/>
          <w:highlight w:val="none"/>
          <w:lang w:val="en-US" w:eastAsia="zh-CN"/>
        </w:rPr>
        <w:t>符合质量监督部门现行验收标准，一次性验收合格；</w:t>
      </w:r>
    </w:p>
    <w:p w14:paraId="5D92D3A0">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9.工期要求：</w:t>
      </w:r>
      <w:r>
        <w:rPr>
          <w:rFonts w:hint="eastAsia" w:ascii="宋体" w:hAnsi="宋体" w:cs="宋体"/>
          <w:color w:val="auto"/>
          <w:sz w:val="21"/>
          <w:szCs w:val="21"/>
          <w:highlight w:val="none"/>
          <w:lang w:val="en-US" w:eastAsia="zh-CN"/>
        </w:rPr>
        <w:t>90日历天</w:t>
      </w:r>
      <w:r>
        <w:rPr>
          <w:rFonts w:hint="eastAsia" w:ascii="宋体" w:hAnsi="宋体" w:eastAsia="宋体" w:cs="宋体"/>
          <w:color w:val="auto"/>
          <w:sz w:val="21"/>
          <w:szCs w:val="21"/>
          <w:highlight w:val="none"/>
          <w:lang w:val="en-US" w:eastAsia="zh-CN"/>
        </w:rPr>
        <w:t>；</w:t>
      </w:r>
    </w:p>
    <w:p w14:paraId="0A2FCFCE">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0</w:t>
      </w:r>
      <w:r>
        <w:rPr>
          <w:rFonts w:hint="eastAsia" w:ascii="宋体" w:hAnsi="宋体" w:eastAsia="宋体" w:cs="宋体"/>
          <w:color w:val="auto"/>
          <w:sz w:val="21"/>
          <w:szCs w:val="21"/>
          <w:highlight w:val="none"/>
          <w:lang w:val="en-US" w:eastAsia="zh-CN"/>
        </w:rPr>
        <w:t>.本项目不接受联合体。</w:t>
      </w:r>
    </w:p>
    <w:p w14:paraId="7AF053F7">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二、申请人的资格要求：</w:t>
      </w:r>
      <w:bookmarkEnd w:id="8"/>
      <w:bookmarkEnd w:id="9"/>
      <w:bookmarkEnd w:id="10"/>
      <w:bookmarkEnd w:id="11"/>
    </w:p>
    <w:p w14:paraId="16416C9D">
      <w:pPr>
        <w:keepNext w:val="0"/>
        <w:keepLines w:val="0"/>
        <w:pageBreakBefore w:val="0"/>
        <w:kinsoku/>
        <w:wordWrap/>
        <w:topLinePunct w:val="0"/>
        <w:bidi w:val="0"/>
        <w:snapToGrid/>
        <w:spacing w:line="480" w:lineRule="exact"/>
        <w:ind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1.满足《中华人民共和国政府采购法》第二十二条规定</w:t>
      </w:r>
      <w:bookmarkStart w:id="12" w:name="_Toc28359014"/>
      <w:bookmarkStart w:id="13" w:name="_Toc35393631"/>
      <w:bookmarkStart w:id="14" w:name="_Toc35393800"/>
      <w:bookmarkStart w:id="15" w:name="_Toc28359091"/>
      <w:r>
        <w:rPr>
          <w:rFonts w:hint="eastAsia" w:ascii="宋体" w:hAnsi="宋体" w:cs="宋体"/>
          <w:bCs/>
          <w:color w:val="auto"/>
          <w:kern w:val="0"/>
          <w:sz w:val="21"/>
          <w:szCs w:val="21"/>
          <w:highlight w:val="none"/>
          <w:lang w:eastAsia="zh-CN"/>
        </w:rPr>
        <w:t>：</w:t>
      </w:r>
    </w:p>
    <w:p w14:paraId="053A91FC">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具有独立承担民事责任的能力：</w:t>
      </w:r>
      <w:r>
        <w:rPr>
          <w:rFonts w:hint="eastAsia" w:ascii="宋体" w:hAnsi="宋体" w:cs="宋体"/>
          <w:color w:val="auto"/>
          <w:sz w:val="21"/>
          <w:szCs w:val="21"/>
          <w:highlight w:val="none"/>
          <w:lang w:val="en-US" w:eastAsia="zh-CN"/>
        </w:rPr>
        <w:t>提供法人或者其他组织的营业执照等证明文件，自然人的身份证明；</w:t>
      </w:r>
    </w:p>
    <w:p w14:paraId="2F97D362">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具有良好的商业信誉和健全的财务会计制度：</w:t>
      </w:r>
    </w:p>
    <w:p w14:paraId="390C2CEC">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良好的商业信誉：①供应商应在“信用中国”（https://www.creditchina.gov.cn/）中未被列入重大税收违法失信主体。②供应商应在“中国政府采购网”（http://www.ccgp.gov.cn/）中未被列入政府采购严重违法失信行为记录名单。③供应商应在“中国执行信息公开网”（http://zxgk.court.gov.cn/）中未被列入失信被执行人（备注：以上网站均由磋商小组在资格审查时查询，若供应商有失信行为，则不满足资格要求）</w:t>
      </w:r>
      <w:r>
        <w:rPr>
          <w:rFonts w:hint="eastAsia" w:ascii="宋体" w:hAnsi="宋体" w:eastAsia="宋体" w:cs="宋体"/>
          <w:color w:val="auto"/>
          <w:sz w:val="21"/>
          <w:szCs w:val="21"/>
          <w:highlight w:val="none"/>
          <w:lang w:val="en-US" w:eastAsia="zh-CN"/>
        </w:rPr>
        <w:t>；</w:t>
      </w:r>
    </w:p>
    <w:p w14:paraId="19039EE1">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健全的财务会计制度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内容可为以下</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者之一</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①提供2023年至今任意年度经第三方审计机构审计的财务状况报告（包括资产负债表、利润表、现金流量表），成立不满1年的供应商提供自行编制的自成立至今的财务报表(包括资产负债表、利润表、现金流量表)；②提供基本开户银行出具的资信证明；</w:t>
      </w:r>
    </w:p>
    <w:p w14:paraId="7135BA95">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cs="宋体"/>
          <w:color w:val="auto"/>
          <w:sz w:val="21"/>
          <w:szCs w:val="21"/>
          <w:highlight w:val="none"/>
          <w:lang w:val="en-US" w:eastAsia="zh-CN"/>
        </w:rPr>
        <w:t>提供供应商具有履行合同所必需的设备和专业技术能力证明材料</w:t>
      </w:r>
      <w:r>
        <w:rPr>
          <w:rFonts w:hint="eastAsia" w:ascii="宋体" w:hAnsi="宋体" w:eastAsia="宋体" w:cs="宋体"/>
          <w:color w:val="auto"/>
          <w:sz w:val="21"/>
          <w:szCs w:val="21"/>
          <w:highlight w:val="none"/>
        </w:rPr>
        <w:t>；</w:t>
      </w:r>
    </w:p>
    <w:p w14:paraId="4387C752">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具有依法纳税和社会保障资金的良好记录：</w:t>
      </w:r>
      <w:r>
        <w:rPr>
          <w:rFonts w:hint="eastAsia" w:ascii="宋体" w:hAnsi="宋体" w:cs="宋体"/>
          <w:color w:val="auto"/>
          <w:sz w:val="21"/>
          <w:szCs w:val="21"/>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eastAsia="宋体" w:cs="宋体"/>
          <w:color w:val="auto"/>
          <w:sz w:val="21"/>
          <w:szCs w:val="21"/>
          <w:highlight w:val="none"/>
        </w:rPr>
        <w:t>；</w:t>
      </w:r>
    </w:p>
    <w:p w14:paraId="38F6C116">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1"/>
          <w:szCs w:val="21"/>
          <w:highlight w:val="none"/>
        </w:rPr>
        <w:t>；</w:t>
      </w:r>
    </w:p>
    <w:p w14:paraId="5C2EE923">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法律、行政法规规定的其他条件</w:t>
      </w:r>
      <w:r>
        <w:rPr>
          <w:rFonts w:hint="eastAsia" w:ascii="宋体" w:hAnsi="宋体" w:cs="宋体"/>
          <w:color w:val="auto"/>
          <w:sz w:val="21"/>
          <w:szCs w:val="21"/>
          <w:highlight w:val="none"/>
          <w:lang w:val="en-US" w:eastAsia="zh-CN"/>
        </w:rPr>
        <w:t>：</w:t>
      </w:r>
    </w:p>
    <w:p w14:paraId="3A46558B">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p>
    <w:p w14:paraId="726E96DA">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p>
    <w:p w14:paraId="067313CC">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0E95BF5D">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（1）本项目不属于专门面向中小企业采购的项目；</w:t>
      </w:r>
    </w:p>
    <w:p w14:paraId="7E347BFF">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3A7626EB">
      <w:pPr>
        <w:pStyle w:val="39"/>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3.本项目的特定资格要求：</w:t>
      </w:r>
    </w:p>
    <w:p w14:paraId="780F7F22">
      <w:pPr>
        <w:pStyle w:val="13"/>
        <w:keepNext w:val="0"/>
        <w:keepLines w:val="0"/>
        <w:pageBreakBefore w:val="0"/>
        <w:kinsoku/>
        <w:wordWrap/>
        <w:topLinePunct w:val="0"/>
        <w:bidi w:val="0"/>
        <w:snapToGrid/>
        <w:spacing w:after="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企业资质：</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lang w:eastAsia="zh-CN"/>
        </w:rPr>
        <w:t>具备</w:t>
      </w:r>
      <w:r>
        <w:rPr>
          <w:rFonts w:hint="eastAsia" w:ascii="宋体" w:hAnsi="宋体" w:cs="宋体"/>
          <w:color w:val="auto"/>
          <w:sz w:val="21"/>
          <w:szCs w:val="21"/>
          <w:highlight w:val="none"/>
          <w:lang w:val="en-US" w:eastAsia="zh-CN"/>
        </w:rPr>
        <w:t>建设行政主管部门颁发的</w:t>
      </w:r>
      <w:r>
        <w:rPr>
          <w:rFonts w:hint="eastAsia" w:ascii="宋体" w:hAnsi="宋体" w:cs="宋体"/>
          <w:color w:val="auto"/>
          <w:sz w:val="21"/>
          <w:szCs w:val="21"/>
          <w:highlight w:val="none"/>
          <w:lang w:eastAsia="zh-CN"/>
        </w:rPr>
        <w:t>建筑工程施工总承包叁级</w:t>
      </w:r>
      <w:r>
        <w:rPr>
          <w:rFonts w:hint="eastAsia" w:ascii="宋体" w:hAnsi="宋体" w:cs="宋体"/>
          <w:color w:val="auto"/>
          <w:sz w:val="21"/>
          <w:szCs w:val="21"/>
          <w:highlight w:val="none"/>
          <w:lang w:val="en-US" w:eastAsia="zh-CN"/>
        </w:rPr>
        <w:t>及</w:t>
      </w:r>
      <w:r>
        <w:rPr>
          <w:rFonts w:hint="eastAsia" w:ascii="宋体" w:hAnsi="宋体" w:cs="宋体"/>
          <w:color w:val="auto"/>
          <w:sz w:val="21"/>
          <w:szCs w:val="21"/>
          <w:highlight w:val="none"/>
          <w:lang w:eastAsia="zh-CN"/>
        </w:rPr>
        <w:t>以上资质</w:t>
      </w:r>
      <w:r>
        <w:rPr>
          <w:rFonts w:hint="eastAsia" w:ascii="宋体" w:hAnsi="宋体" w:cs="宋体"/>
          <w:color w:val="auto"/>
          <w:sz w:val="21"/>
          <w:szCs w:val="21"/>
          <w:highlight w:val="none"/>
          <w:lang w:val="en-US" w:eastAsia="zh-CN"/>
        </w:rPr>
        <w:t>；</w:t>
      </w:r>
    </w:p>
    <w:p w14:paraId="0F6D3BEE">
      <w:pPr>
        <w:pStyle w:val="13"/>
        <w:keepNext w:val="0"/>
        <w:keepLines w:val="0"/>
        <w:pageBreakBefore w:val="0"/>
        <w:kinsoku/>
        <w:wordWrap/>
        <w:topLinePunct w:val="0"/>
        <w:bidi w:val="0"/>
        <w:snapToGrid/>
        <w:spacing w:after="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（2）安全生产许可证：具备有效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p>
    <w:p w14:paraId="1F7D647C">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拟派项目经理资格：拟派的建造师（项目经理）必须具有建筑工程专业贰级（含贰级）以上注册建造师资格，具备合格有效的安全生产考核合格证书，承诺无在建工程，且是本单位的在职人员。</w:t>
      </w:r>
    </w:p>
    <w:p w14:paraId="2D57EA2A">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三、获取采购文件</w:t>
      </w:r>
      <w:bookmarkEnd w:id="12"/>
      <w:bookmarkEnd w:id="13"/>
      <w:bookmarkEnd w:id="14"/>
      <w:bookmarkEnd w:id="15"/>
    </w:p>
    <w:p w14:paraId="702C1B15">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kern w:val="0"/>
          <w:sz w:val="21"/>
          <w:szCs w:val="21"/>
          <w:highlight w:val="none"/>
          <w:lang w:eastAsia="zh-CN"/>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时间：</w:t>
      </w:r>
      <w:r>
        <w:rPr>
          <w:rFonts w:hint="eastAsia" w:ascii="宋体" w:hAnsi="宋体" w:eastAsia="宋体" w:cs="宋体"/>
          <w:color w:val="auto"/>
          <w:kern w:val="0"/>
          <w:sz w:val="21"/>
          <w:szCs w:val="21"/>
          <w:highlight w:val="none"/>
          <w:u w:val="none"/>
          <w:lang w:val="en-US" w:eastAsia="zh-CN"/>
        </w:rPr>
        <w:t>202</w:t>
      </w:r>
      <w:r>
        <w:rPr>
          <w:rFonts w:hint="eastAsia" w:ascii="宋体" w:hAnsi="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lang w:val="en-US" w:eastAsia="zh-CN"/>
        </w:rPr>
        <w:t>年</w:t>
      </w:r>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lang w:val="en-US" w:eastAsia="zh-CN"/>
        </w:rPr>
        <w:t>月</w:t>
      </w:r>
      <w:r>
        <w:rPr>
          <w:rFonts w:hint="eastAsia" w:ascii="宋体" w:hAnsi="宋体" w:cs="宋体"/>
          <w:color w:val="auto"/>
          <w:kern w:val="0"/>
          <w:sz w:val="21"/>
          <w:szCs w:val="21"/>
          <w:highlight w:val="none"/>
          <w:u w:val="none"/>
          <w:lang w:val="en-US" w:eastAsia="zh-CN"/>
        </w:rPr>
        <w:t>8</w:t>
      </w:r>
      <w:r>
        <w:rPr>
          <w:rFonts w:hint="eastAsia" w:ascii="宋体" w:hAnsi="宋体" w:eastAsia="宋体" w:cs="宋体"/>
          <w:color w:val="auto"/>
          <w:kern w:val="0"/>
          <w:sz w:val="21"/>
          <w:szCs w:val="21"/>
          <w:highlight w:val="none"/>
          <w:u w:val="none"/>
          <w:lang w:val="en-US" w:eastAsia="zh-CN"/>
        </w:rPr>
        <w:t>日0</w:t>
      </w:r>
      <w:r>
        <w:rPr>
          <w:rFonts w:hint="eastAsia" w:ascii="宋体" w:hAnsi="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lang w:val="en-US" w:eastAsia="zh-CN"/>
        </w:rPr>
        <w:t>:</w:t>
      </w:r>
      <w:r>
        <w:rPr>
          <w:rFonts w:hint="eastAsia" w:ascii="宋体" w:hAnsi="宋体" w:cs="宋体"/>
          <w:color w:val="auto"/>
          <w:kern w:val="0"/>
          <w:sz w:val="21"/>
          <w:szCs w:val="21"/>
          <w:highlight w:val="none"/>
          <w:u w:val="none"/>
          <w:lang w:val="en-US" w:eastAsia="zh-CN"/>
        </w:rPr>
        <w:t>0</w:t>
      </w:r>
      <w:r>
        <w:rPr>
          <w:rFonts w:hint="eastAsia" w:ascii="宋体" w:hAnsi="宋体" w:eastAsia="宋体" w:cs="宋体"/>
          <w:color w:val="auto"/>
          <w:kern w:val="0"/>
          <w:sz w:val="21"/>
          <w:szCs w:val="21"/>
          <w:highlight w:val="none"/>
          <w:u w:val="none"/>
          <w:lang w:val="en-US" w:eastAsia="zh-CN"/>
        </w:rPr>
        <w:t>0</w:t>
      </w:r>
      <w:r>
        <w:rPr>
          <w:rFonts w:hint="eastAsia" w:ascii="宋体" w:hAnsi="宋体" w:cs="宋体"/>
          <w:color w:val="auto"/>
          <w:kern w:val="0"/>
          <w:sz w:val="21"/>
          <w:szCs w:val="21"/>
          <w:highlight w:val="none"/>
          <w:u w:val="none"/>
          <w:lang w:val="en-US" w:eastAsia="zh-CN"/>
        </w:rPr>
        <w:t>分</w:t>
      </w:r>
      <w:r>
        <w:rPr>
          <w:rFonts w:hint="eastAsia" w:ascii="宋体" w:hAnsi="宋体" w:eastAsia="宋体" w:cs="宋体"/>
          <w:color w:val="auto"/>
          <w:kern w:val="0"/>
          <w:sz w:val="21"/>
          <w:szCs w:val="21"/>
          <w:highlight w:val="none"/>
          <w:u w:val="none"/>
          <w:lang w:val="en-US" w:eastAsia="zh-CN"/>
        </w:rPr>
        <w:t>至202</w:t>
      </w:r>
      <w:r>
        <w:rPr>
          <w:rFonts w:hint="eastAsia" w:ascii="宋体" w:hAnsi="宋体" w:cs="宋体"/>
          <w:color w:val="auto"/>
          <w:kern w:val="0"/>
          <w:sz w:val="21"/>
          <w:szCs w:val="21"/>
          <w:highlight w:val="none"/>
          <w:u w:val="none"/>
          <w:lang w:val="en-US" w:eastAsia="zh-CN"/>
        </w:rPr>
        <w:t>6</w:t>
      </w:r>
      <w:r>
        <w:rPr>
          <w:rFonts w:hint="eastAsia" w:ascii="宋体" w:hAnsi="宋体" w:eastAsia="宋体" w:cs="宋体"/>
          <w:color w:val="auto"/>
          <w:kern w:val="0"/>
          <w:sz w:val="21"/>
          <w:szCs w:val="21"/>
          <w:highlight w:val="none"/>
          <w:u w:val="none"/>
          <w:lang w:val="en-US" w:eastAsia="zh-CN"/>
        </w:rPr>
        <w:t>年</w:t>
      </w:r>
      <w:r>
        <w:rPr>
          <w:rFonts w:hint="eastAsia" w:ascii="宋体" w:hAnsi="宋体" w:cs="宋体"/>
          <w:color w:val="auto"/>
          <w:kern w:val="0"/>
          <w:sz w:val="21"/>
          <w:szCs w:val="21"/>
          <w:highlight w:val="none"/>
          <w:u w:val="none"/>
          <w:lang w:val="en-US" w:eastAsia="zh-CN"/>
        </w:rPr>
        <w:t>5</w:t>
      </w:r>
      <w:r>
        <w:rPr>
          <w:rFonts w:hint="eastAsia" w:ascii="宋体" w:hAnsi="宋体" w:eastAsia="宋体" w:cs="宋体"/>
          <w:color w:val="auto"/>
          <w:kern w:val="0"/>
          <w:sz w:val="21"/>
          <w:szCs w:val="21"/>
          <w:highlight w:val="none"/>
          <w:u w:val="none"/>
          <w:lang w:val="en-US" w:eastAsia="zh-CN"/>
        </w:rPr>
        <w:t>月</w:t>
      </w:r>
      <w:r>
        <w:rPr>
          <w:rFonts w:hint="eastAsia" w:ascii="宋体" w:hAnsi="宋体" w:cs="宋体"/>
          <w:color w:val="auto"/>
          <w:kern w:val="0"/>
          <w:sz w:val="21"/>
          <w:szCs w:val="21"/>
          <w:highlight w:val="none"/>
          <w:u w:val="none"/>
          <w:lang w:val="en-US" w:eastAsia="zh-CN"/>
        </w:rPr>
        <w:t>14</w:t>
      </w:r>
      <w:r>
        <w:rPr>
          <w:rFonts w:hint="eastAsia" w:ascii="宋体" w:hAnsi="宋体" w:eastAsia="宋体" w:cs="宋体"/>
          <w:color w:val="auto"/>
          <w:kern w:val="0"/>
          <w:sz w:val="21"/>
          <w:szCs w:val="21"/>
          <w:highlight w:val="none"/>
          <w:u w:val="none"/>
          <w:lang w:val="en-US" w:eastAsia="zh-CN"/>
        </w:rPr>
        <w:t>日</w:t>
      </w:r>
      <w:r>
        <w:rPr>
          <w:rFonts w:hint="eastAsia" w:ascii="宋体" w:hAnsi="宋体" w:cs="宋体"/>
          <w:color w:val="auto"/>
          <w:kern w:val="0"/>
          <w:sz w:val="21"/>
          <w:szCs w:val="21"/>
          <w:highlight w:val="none"/>
          <w:u w:val="none"/>
          <w:lang w:val="en-US" w:eastAsia="zh-CN"/>
        </w:rPr>
        <w:t>23:59分</w:t>
      </w:r>
      <w:r>
        <w:rPr>
          <w:rFonts w:hint="eastAsia" w:ascii="宋体" w:hAnsi="宋体" w:eastAsia="宋体" w:cs="宋体"/>
          <w:bCs/>
          <w:color w:val="auto"/>
          <w:kern w:val="0"/>
          <w:sz w:val="21"/>
          <w:szCs w:val="21"/>
          <w:highlight w:val="none"/>
          <w:lang w:eastAsia="zh-CN"/>
        </w:rPr>
        <w:t>；</w:t>
      </w:r>
    </w:p>
    <w:p w14:paraId="798B7ECD">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color w:val="auto"/>
          <w:kern w:val="0"/>
          <w:sz w:val="21"/>
          <w:szCs w:val="21"/>
          <w:highlight w:val="none"/>
          <w:lang w:eastAsia="zh-CN"/>
        </w:rPr>
      </w:pP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地点：</w:t>
      </w:r>
      <w:r>
        <w:rPr>
          <w:rFonts w:hint="eastAsia" w:ascii="宋体" w:hAnsi="宋体" w:eastAsia="宋体" w:cs="宋体"/>
          <w:b w:val="0"/>
          <w:bCs/>
          <w:color w:val="auto"/>
          <w:kern w:val="0"/>
          <w:sz w:val="21"/>
          <w:szCs w:val="21"/>
          <w:highlight w:val="none"/>
          <w:lang w:val="en-US" w:eastAsia="zh-CN"/>
        </w:rPr>
        <w:t>政府采购云平台</w:t>
      </w:r>
      <w:r>
        <w:rPr>
          <w:rFonts w:hint="eastAsia" w:ascii="宋体" w:hAnsi="宋体" w:eastAsia="宋体" w:cs="宋体"/>
          <w:b w:val="0"/>
          <w:bCs/>
          <w:color w:val="auto"/>
          <w:kern w:val="0"/>
          <w:sz w:val="21"/>
          <w:szCs w:val="21"/>
          <w:highlight w:val="none"/>
          <w:lang w:eastAsia="zh-CN"/>
        </w:rPr>
        <w:t>（https://www.zcygov.cn/）</w:t>
      </w:r>
      <w:r>
        <w:rPr>
          <w:rFonts w:hint="eastAsia" w:ascii="宋体" w:hAnsi="宋体" w:eastAsia="宋体" w:cs="宋体"/>
          <w:b w:val="0"/>
          <w:bCs/>
          <w:color w:val="auto"/>
          <w:kern w:val="0"/>
          <w:sz w:val="21"/>
          <w:szCs w:val="21"/>
          <w:highlight w:val="none"/>
          <w:lang w:val="en-US" w:eastAsia="zh-CN"/>
        </w:rPr>
        <w:t>，操作路径：登录“政采云”平台-项目采购-获取采购文件-找到本项目-点击“申请获取采购文件”及其他采购资料</w:t>
      </w:r>
      <w:r>
        <w:rPr>
          <w:rFonts w:hint="eastAsia" w:ascii="宋体" w:hAnsi="宋体" w:eastAsia="宋体" w:cs="宋体"/>
          <w:b w:val="0"/>
          <w:bCs/>
          <w:color w:val="auto"/>
          <w:kern w:val="0"/>
          <w:sz w:val="21"/>
          <w:szCs w:val="21"/>
          <w:highlight w:val="none"/>
          <w:lang w:eastAsia="zh-CN"/>
        </w:rPr>
        <w:t>；</w:t>
      </w:r>
    </w:p>
    <w:p w14:paraId="61486E08">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3.</w:t>
      </w:r>
      <w:r>
        <w:rPr>
          <w:rFonts w:hint="eastAsia" w:ascii="宋体" w:hAnsi="宋体" w:cs="宋体"/>
          <w:bCs/>
          <w:color w:val="auto"/>
          <w:sz w:val="21"/>
          <w:szCs w:val="21"/>
          <w:highlight w:val="none"/>
          <w:lang w:eastAsia="zh-CN"/>
        </w:rPr>
        <w:t>方式：网上获取</w:t>
      </w:r>
    </w:p>
    <w:p w14:paraId="60FF50D0">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cs="宋体"/>
          <w:b/>
          <w:bCs w:val="0"/>
          <w:color w:val="auto"/>
          <w:sz w:val="21"/>
          <w:szCs w:val="21"/>
          <w:highlight w:val="none"/>
          <w:lang w:val="en-US" w:eastAsia="zh-CN"/>
        </w:rPr>
      </w:pPr>
      <w:r>
        <w:rPr>
          <w:rFonts w:hint="eastAsia" w:ascii="宋体" w:hAnsi="宋体" w:cs="宋体"/>
          <w:bCs/>
          <w:color w:val="auto"/>
          <w:sz w:val="21"/>
          <w:szCs w:val="21"/>
          <w:highlight w:val="none"/>
          <w:lang w:val="en-US" w:eastAsia="zh-CN"/>
        </w:rPr>
        <w:t>（1）凡有意参加投标者，须在政采云平台办理数字证书（CA），并在政采云绑定数字证书（CA）后线上获取采购文件及其它采购资料。若供应商未办理数字证书（CA）的，可选择办理云南壹证通CA。CA申领链接：http://yzt.ynsmartcert.cn/cms/ca0035.html，</w:t>
      </w:r>
      <w:r>
        <w:rPr>
          <w:rFonts w:hint="eastAsia" w:ascii="宋体" w:hAnsi="宋体" w:cs="宋体"/>
          <w:bCs/>
          <w:color w:val="auto"/>
          <w:sz w:val="21"/>
          <w:szCs w:val="21"/>
          <w:highlight w:val="none"/>
          <w:lang w:val="en-US" w:eastAsia="zh-CN"/>
        </w:rPr>
        <w:fldChar w:fldCharType="begin"/>
      </w:r>
      <w:r>
        <w:rPr>
          <w:rFonts w:hint="eastAsia" w:ascii="宋体" w:hAnsi="宋体" w:cs="宋体"/>
          <w:bCs/>
          <w:color w:val="auto"/>
          <w:sz w:val="21"/>
          <w:szCs w:val="21"/>
          <w:highlight w:val="none"/>
          <w:lang w:val="en-US" w:eastAsia="zh-CN"/>
        </w:rPr>
        <w:instrText xml:space="preserve"> HYPERLINK "http://yzt.ynsmartcert.cn/cms/yztbnxj16.html" </w:instrText>
      </w:r>
      <w:r>
        <w:rPr>
          <w:rFonts w:hint="eastAsia" w:ascii="宋体" w:hAnsi="宋体" w:cs="宋体"/>
          <w:bCs/>
          <w:color w:val="auto"/>
          <w:sz w:val="21"/>
          <w:szCs w:val="21"/>
          <w:highlight w:val="none"/>
          <w:lang w:val="en-US" w:eastAsia="zh-CN"/>
        </w:rPr>
        <w:fldChar w:fldCharType="separate"/>
      </w:r>
      <w:r>
        <w:rPr>
          <w:rFonts w:hint="eastAsia" w:ascii="宋体" w:hAnsi="宋体" w:cs="宋体"/>
          <w:bCs/>
          <w:color w:val="auto"/>
          <w:sz w:val="21"/>
          <w:szCs w:val="21"/>
          <w:highlight w:val="none"/>
          <w:lang w:val="en-US" w:eastAsia="zh-CN"/>
        </w:rPr>
        <w:fldChar w:fldCharType="end"/>
      </w:r>
      <w:r>
        <w:rPr>
          <w:rFonts w:hint="eastAsia" w:ascii="宋体" w:hAnsi="宋体" w:cs="宋体"/>
          <w:bCs/>
          <w:color w:val="auto"/>
          <w:sz w:val="21"/>
          <w:szCs w:val="21"/>
          <w:highlight w:val="none"/>
          <w:lang w:val="en-US" w:eastAsia="zh-CN"/>
        </w:rPr>
        <w:t>云南壹证通CA可支持线上、线下两种办理方式，并提供7*24小时全天候客户服务支持，客服热线400-004-0628（紧急CA办理电话：19988166369）。政府采购云平台支持多家CA服务商，供应商可自行选择办理，如有问题可拨打政采云客户服务热线95763进行咨询。（注：供应商如之前已办理过云南CA数字证书的，直接在政采云平台绑定即可，无需重复办理（2022年1月1日前办理的云南CA数字证书需到云南CA办理处进行升级），云南省外供应商在政采云平台办理的其他CA可直接使用，无需重复办理。）</w:t>
      </w:r>
    </w:p>
    <w:p w14:paraId="4DF67F61">
      <w:pPr>
        <w:keepNext w:val="0"/>
        <w:keepLines w:val="0"/>
        <w:pageBreakBefore w:val="0"/>
        <w:widowControl w:val="0"/>
        <w:kinsoku/>
        <w:wordWrap w:val="0"/>
        <w:overflowPunct/>
        <w:topLinePunct w:val="0"/>
        <w:autoSpaceDE/>
        <w:autoSpaceDN/>
        <w:bidi w:val="0"/>
        <w:adjustRightInd/>
        <w:snapToGrid/>
        <w:spacing w:line="480" w:lineRule="exact"/>
        <w:ind w:firstLine="420" w:firstLineChars="200"/>
        <w:jc w:val="left"/>
        <w:textAlignment w:val="auto"/>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数字证书（CA）申领完成之后进入政府采购云平台，企业账号与数字证书（CA）进行绑定，凭企业数字证书（CA）进行项目报名及免费下载招标文件（操作路径：登录政采云平台-我的工作台-项目采购-获取采购文件-找到本项目-点击“申请获取采购文件”），电子响应文件制作需要基于“政府采购云平台”（https://www.zcygov.cn/）获取的采购文件编制。</w:t>
      </w:r>
    </w:p>
    <w:p w14:paraId="5500D5C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bCs/>
          <w:color w:val="auto"/>
          <w:sz w:val="21"/>
          <w:szCs w:val="21"/>
          <w:highlight w:val="none"/>
          <w:lang w:eastAsia="zh-CN"/>
        </w:rPr>
      </w:pPr>
      <w:r>
        <w:rPr>
          <w:rFonts w:hint="eastAsia" w:ascii="宋体" w:hAnsi="宋体" w:cs="宋体"/>
          <w:bCs/>
          <w:color w:val="auto"/>
          <w:sz w:val="21"/>
          <w:szCs w:val="21"/>
          <w:highlight w:val="none"/>
          <w:lang w:val="en-US" w:eastAsia="zh-CN"/>
        </w:rPr>
        <w:t>4.</w:t>
      </w:r>
      <w:r>
        <w:rPr>
          <w:rFonts w:hint="eastAsia" w:ascii="宋体" w:hAnsi="宋体" w:cs="宋体"/>
          <w:bCs/>
          <w:color w:val="auto"/>
          <w:sz w:val="21"/>
          <w:szCs w:val="21"/>
          <w:highlight w:val="none"/>
          <w:lang w:eastAsia="zh-CN"/>
        </w:rPr>
        <w:t>文件售价：</w:t>
      </w:r>
      <w:r>
        <w:rPr>
          <w:rFonts w:hint="eastAsia" w:ascii="宋体" w:hAnsi="宋体" w:cs="宋体"/>
          <w:bCs/>
          <w:color w:val="auto"/>
          <w:sz w:val="21"/>
          <w:szCs w:val="21"/>
          <w:highlight w:val="none"/>
          <w:lang w:val="en-US" w:eastAsia="zh-CN"/>
        </w:rPr>
        <w:t>0.00元</w:t>
      </w:r>
      <w:r>
        <w:rPr>
          <w:rFonts w:hint="eastAsia" w:ascii="宋体" w:hAnsi="宋体" w:cs="宋体"/>
          <w:bCs/>
          <w:color w:val="auto"/>
          <w:sz w:val="21"/>
          <w:szCs w:val="21"/>
          <w:highlight w:val="none"/>
          <w:lang w:eastAsia="zh-CN"/>
        </w:rPr>
        <w:t>。</w:t>
      </w:r>
    </w:p>
    <w:p w14:paraId="606B7768">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bookmarkStart w:id="16" w:name="_Toc35393632"/>
      <w:bookmarkStart w:id="17" w:name="_Toc28359015"/>
      <w:bookmarkStart w:id="18" w:name="_Toc28359092"/>
      <w:bookmarkStart w:id="19" w:name="_Toc35393801"/>
      <w:r>
        <w:rPr>
          <w:rFonts w:hint="eastAsia" w:ascii="宋体" w:hAnsi="宋体" w:eastAsia="宋体" w:cs="宋体"/>
          <w:bCs w:val="0"/>
          <w:color w:val="auto"/>
          <w:sz w:val="21"/>
          <w:szCs w:val="21"/>
          <w:highlight w:val="none"/>
        </w:rPr>
        <w:t>四、响应文件提交</w:t>
      </w:r>
      <w:bookmarkEnd w:id="16"/>
      <w:bookmarkEnd w:id="17"/>
      <w:bookmarkEnd w:id="18"/>
      <w:bookmarkEnd w:id="19"/>
    </w:p>
    <w:p w14:paraId="4841ACF7">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截止时间：</w:t>
      </w:r>
      <w:r>
        <w:rPr>
          <w:rFonts w:hint="eastAsia" w:ascii="宋体" w:hAnsi="宋体" w:cs="宋体"/>
          <w:bCs/>
          <w:color w:val="auto"/>
          <w:sz w:val="21"/>
          <w:szCs w:val="21"/>
          <w:highlight w:val="none"/>
          <w:lang w:val="en-US" w:eastAsia="zh-CN"/>
        </w:rPr>
        <w:t>2</w:t>
      </w:r>
      <w:r>
        <w:rPr>
          <w:rFonts w:hint="eastAsia" w:ascii="宋体" w:hAnsi="宋体" w:cs="宋体"/>
          <w:color w:val="auto"/>
          <w:kern w:val="0"/>
          <w:sz w:val="21"/>
          <w:szCs w:val="21"/>
          <w:highlight w:val="none"/>
          <w:u w:val="none"/>
          <w:lang w:val="en-US" w:eastAsia="zh-CN"/>
        </w:rPr>
        <w:t>026年5月18日15时00分</w:t>
      </w:r>
      <w:r>
        <w:rPr>
          <w:rFonts w:hint="eastAsia" w:ascii="宋体" w:hAnsi="宋体" w:eastAsia="宋体" w:cs="宋体"/>
          <w:bCs/>
          <w:color w:val="auto"/>
          <w:sz w:val="21"/>
          <w:szCs w:val="21"/>
          <w:highlight w:val="none"/>
          <w:lang w:val="en-US" w:eastAsia="zh-CN"/>
        </w:rPr>
        <w:t>；</w:t>
      </w:r>
    </w:p>
    <w:p w14:paraId="39983728">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
          <w:bCs w:val="0"/>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地点：政府采购云平台（https://www.zcygov.cn/），供应商登录政采云投标客户端，应按照本项目采购文件和“政采云”平台的要求编制、加密后在</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提交截止时间前上传至“政采云”平台，</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提交截止时间前未完成</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上传的，视为撤回</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。供应商在“政采云”平台提交电子版</w:t>
      </w:r>
      <w:r>
        <w:rPr>
          <w:rFonts w:hint="eastAsia" w:ascii="宋体" w:hAnsi="宋体" w:cs="宋体"/>
          <w:bCs/>
          <w:color w:val="auto"/>
          <w:sz w:val="21"/>
          <w:szCs w:val="21"/>
          <w:highlight w:val="none"/>
          <w:lang w:val="en-US" w:eastAsia="zh-CN"/>
        </w:rPr>
        <w:t>响应文件</w:t>
      </w:r>
      <w:r>
        <w:rPr>
          <w:rFonts w:hint="eastAsia" w:ascii="宋体" w:hAnsi="宋体" w:eastAsia="宋体" w:cs="宋体"/>
          <w:bCs/>
          <w:color w:val="auto"/>
          <w:sz w:val="21"/>
          <w:szCs w:val="21"/>
          <w:highlight w:val="none"/>
          <w:lang w:val="en-US" w:eastAsia="zh-CN"/>
        </w:rPr>
        <w:t>时，请填写参加远程采购活动经办人联系方式，请于开标当日在系统上等待磋商小组发起磋商及最后报价。</w:t>
      </w:r>
    </w:p>
    <w:p w14:paraId="7F8AB373">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如遇平台相关问题，请及时联系政府采购云平台客服进行咨询，咨询电话：95763。</w:t>
      </w:r>
    </w:p>
    <w:p w14:paraId="3C1B4A91">
      <w:pPr>
        <w:keepNext w:val="0"/>
        <w:keepLines w:val="0"/>
        <w:pageBreakBefore w:val="0"/>
        <w:widowControl w:val="0"/>
        <w:kinsoku/>
        <w:wordWrap w:val="0"/>
        <w:overflowPunct/>
        <w:topLinePunct w:val="0"/>
        <w:autoSpaceDE/>
        <w:autoSpaceDN/>
        <w:bidi w:val="0"/>
        <w:adjustRightInd/>
        <w:snapToGrid/>
        <w:spacing w:line="460" w:lineRule="exact"/>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操作指南：https://edu.zcygov.cn/luban/yunnan-dzjy-gys?utm=luban.luban-PC-</w:t>
      </w:r>
      <w:r>
        <w:rPr>
          <w:rFonts w:hint="eastAsia" w:ascii="宋体" w:hAnsi="宋体" w:eastAsia="宋体" w:cs="宋体"/>
          <w:bCs/>
          <w:color w:val="auto"/>
          <w:sz w:val="21"/>
          <w:szCs w:val="21"/>
          <w:highlight w:val="none"/>
          <w:lang w:val="en-US" w:eastAsia="zh-CN"/>
        </w:rPr>
        <mc:AlternateContent>
          <mc:Choice Requires="wps">
            <w:drawing>
              <wp:anchor distT="0" distB="0" distL="114300" distR="114300" simplePos="0" relativeHeight="251659264" behindDoc="0" locked="0" layoutInCell="1" hidden="1" allowOverlap="1">
                <wp:simplePos x="0" y="0"/>
                <wp:positionH relativeFrom="column">
                  <wp:posOffset>-847090</wp:posOffset>
                </wp:positionH>
                <wp:positionV relativeFrom="paragraph">
                  <wp:posOffset>-593090</wp:posOffset>
                </wp:positionV>
                <wp:extent cx="63500" cy="63500"/>
                <wp:effectExtent l="0" t="0" r="0" b="0"/>
                <wp:wrapNone/>
                <wp:docPr id="3" name="矩形 3" descr="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a:effectLst/>
                      </wps:spPr>
                      <wps:bodyPr upright="1"/>
                    </wps:wsp>
                  </a:graphicData>
                </a:graphic>
              </wp:anchor>
            </w:drawing>
          </mc:Choice>
          <mc:Fallback>
            <w:pict>
              <v:rect id="_x0000_s1026" o:spid="_x0000_s1026" o:spt="1" alt="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" style="position:absolute;left:0pt;margin-left:-66.7pt;margin-top:-46.7pt;height:5pt;width:5pt;visibility:hidden;z-index:251659264;mso-width-relative:page;mso-height-relative:page;" fillcolor="#FFFFFF" filled="t" stroked="t" coordsize="21600,21600" o:gfxdata="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">
                <v:fill on="t" focussize="0,0"/>
                <v:stroke color="#000000" joinstyle="miter"/>
                <v:imagedata o:title=""/>
                <o:lock v:ext="edit" aspectratio="f"/>
              </v:rect>
            </w:pict>
          </mc:Fallback>
        </mc:AlternateContent>
      </w:r>
      <w:r>
        <w:rPr>
          <w:rFonts w:hint="eastAsia" w:ascii="宋体" w:hAnsi="宋体" w:eastAsia="宋体" w:cs="宋体"/>
          <w:bCs/>
          <w:color w:val="auto"/>
          <w:sz w:val="21"/>
          <w:szCs w:val="21"/>
          <w:highlight w:val="none"/>
          <w:lang w:val="en-US" w:eastAsia="zh-CN"/>
        </w:rPr>
        <w:t>1514.161-market-menubar-pc.20.d37010404f7811edb5ec8fd9c5fe1d40。</w:t>
      </w:r>
    </w:p>
    <w:p w14:paraId="5C9052A3">
      <w:pPr>
        <w:pStyle w:val="3"/>
        <w:keepNext/>
        <w:keepLines/>
        <w:pageBreakBefore w:val="0"/>
        <w:widowControl w:val="0"/>
        <w:kinsoku/>
        <w:wordWrap/>
        <w:overflowPunct/>
        <w:topLinePunct w:val="0"/>
        <w:autoSpaceDE/>
        <w:autoSpaceDN/>
        <w:bidi w:val="0"/>
        <w:adjustRightInd/>
        <w:snapToGrid/>
        <w:spacing w:after="0" w:line="460" w:lineRule="exact"/>
        <w:jc w:val="left"/>
        <w:textAlignment w:val="auto"/>
        <w:rPr>
          <w:rFonts w:hint="eastAsia" w:ascii="宋体" w:hAnsi="宋体" w:eastAsia="宋体" w:cs="宋体"/>
          <w:bCs w:val="0"/>
          <w:color w:val="auto"/>
          <w:sz w:val="21"/>
          <w:szCs w:val="21"/>
          <w:highlight w:val="none"/>
        </w:rPr>
      </w:pPr>
      <w:bookmarkStart w:id="20" w:name="_Toc28359016"/>
      <w:bookmarkStart w:id="21" w:name="_Toc35393633"/>
      <w:bookmarkStart w:id="22" w:name="_Toc28359093"/>
      <w:bookmarkStart w:id="23" w:name="_Toc35393802"/>
      <w:r>
        <w:rPr>
          <w:rFonts w:hint="eastAsia" w:ascii="宋体" w:hAnsi="宋体" w:eastAsia="宋体" w:cs="宋体"/>
          <w:bCs w:val="0"/>
          <w:color w:val="auto"/>
          <w:sz w:val="21"/>
          <w:szCs w:val="21"/>
          <w:highlight w:val="none"/>
        </w:rPr>
        <w:t>五、开启</w:t>
      </w:r>
      <w:bookmarkEnd w:id="20"/>
      <w:bookmarkEnd w:id="21"/>
      <w:bookmarkEnd w:id="22"/>
      <w:bookmarkEnd w:id="23"/>
    </w:p>
    <w:p w14:paraId="4C60B49E">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Cs/>
          <w:color w:val="auto"/>
          <w:kern w:val="0"/>
          <w:sz w:val="21"/>
          <w:szCs w:val="21"/>
          <w:highlight w:val="none"/>
        </w:rPr>
      </w:pPr>
      <w:r>
        <w:rPr>
          <w:rFonts w:hint="eastAsia" w:ascii="宋体" w:hAnsi="宋体" w:cs="宋体"/>
          <w:bCs/>
          <w:color w:val="auto"/>
          <w:kern w:val="0"/>
          <w:sz w:val="21"/>
          <w:szCs w:val="21"/>
          <w:highlight w:val="none"/>
          <w:lang w:val="en-US" w:eastAsia="zh-CN"/>
        </w:rPr>
        <w:t>1.</w:t>
      </w:r>
      <w:r>
        <w:rPr>
          <w:rFonts w:hint="eastAsia" w:ascii="宋体" w:hAnsi="宋体" w:eastAsia="宋体" w:cs="宋体"/>
          <w:bCs/>
          <w:color w:val="auto"/>
          <w:kern w:val="0"/>
          <w:sz w:val="21"/>
          <w:szCs w:val="21"/>
          <w:highlight w:val="none"/>
        </w:rPr>
        <w:t>时间</w:t>
      </w:r>
      <w:r>
        <w:rPr>
          <w:rFonts w:hint="eastAsia" w:ascii="宋体" w:hAnsi="宋体" w:cs="宋体"/>
          <w:bCs/>
          <w:color w:val="auto"/>
          <w:kern w:val="0"/>
          <w:sz w:val="21"/>
          <w:szCs w:val="21"/>
          <w:highlight w:val="none"/>
          <w:lang w:eastAsia="zh-CN"/>
        </w:rPr>
        <w:t>：</w:t>
      </w:r>
      <w:r>
        <w:rPr>
          <w:rFonts w:hint="eastAsia" w:ascii="宋体" w:hAnsi="宋体" w:cs="宋体"/>
          <w:bCs/>
          <w:color w:val="auto"/>
          <w:sz w:val="21"/>
          <w:szCs w:val="21"/>
          <w:highlight w:val="none"/>
          <w:lang w:val="en-US" w:eastAsia="zh-CN"/>
        </w:rPr>
        <w:t>2</w:t>
      </w:r>
      <w:r>
        <w:rPr>
          <w:rFonts w:hint="eastAsia" w:ascii="宋体" w:hAnsi="宋体" w:cs="宋体"/>
          <w:color w:val="auto"/>
          <w:kern w:val="0"/>
          <w:sz w:val="21"/>
          <w:szCs w:val="21"/>
          <w:highlight w:val="none"/>
          <w:u w:val="none"/>
          <w:lang w:val="en-US" w:eastAsia="zh-CN"/>
        </w:rPr>
        <w:t>026年5月18日15时00分</w:t>
      </w:r>
      <w:r>
        <w:rPr>
          <w:rFonts w:hint="eastAsia" w:ascii="宋体" w:hAnsi="宋体" w:eastAsia="宋体" w:cs="宋体"/>
          <w:bCs/>
          <w:color w:val="auto"/>
          <w:kern w:val="0"/>
          <w:sz w:val="21"/>
          <w:szCs w:val="21"/>
          <w:highlight w:val="none"/>
        </w:rPr>
        <w:t>；</w:t>
      </w:r>
    </w:p>
    <w:p w14:paraId="524A0EF9">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2.</w:t>
      </w:r>
      <w:r>
        <w:rPr>
          <w:rFonts w:hint="eastAsia" w:ascii="宋体" w:hAnsi="宋体" w:eastAsia="宋体" w:cs="宋体"/>
          <w:b w:val="0"/>
          <w:bCs/>
          <w:color w:val="auto"/>
          <w:kern w:val="0"/>
          <w:sz w:val="21"/>
          <w:szCs w:val="21"/>
          <w:highlight w:val="none"/>
        </w:rPr>
        <w:t>地点：“政采云”平台开标大厅，会议地点</w:t>
      </w:r>
      <w:r>
        <w:rPr>
          <w:rFonts w:hint="eastAsia" w:ascii="宋体" w:hAnsi="宋体" w:cs="宋体"/>
          <w:b w:val="0"/>
          <w:bCs/>
          <w:color w:val="auto"/>
          <w:kern w:val="0"/>
          <w:sz w:val="21"/>
          <w:szCs w:val="21"/>
          <w:highlight w:val="none"/>
          <w:lang w:eastAsia="zh-CN"/>
        </w:rPr>
        <w:t>：</w:t>
      </w:r>
      <w:r>
        <w:rPr>
          <w:rFonts w:hint="eastAsia" w:ascii="宋体" w:hAnsi="宋体" w:cs="宋体"/>
          <w:b w:val="0"/>
          <w:bCs/>
          <w:color w:val="auto"/>
          <w:kern w:val="0"/>
          <w:sz w:val="21"/>
          <w:szCs w:val="21"/>
          <w:highlight w:val="none"/>
          <w:lang w:val="en-US" w:eastAsia="zh-CN"/>
        </w:rPr>
        <w:t>云南宏业招标咨询有限责任公司瑞丽开标室（</w:t>
      </w:r>
      <w:r>
        <w:rPr>
          <w:rFonts w:hint="eastAsia" w:ascii="宋体" w:hAnsi="宋体" w:cs="宋体"/>
          <w:b w:val="0"/>
          <w:bCs/>
          <w:color w:val="auto"/>
          <w:kern w:val="0"/>
          <w:sz w:val="21"/>
          <w:szCs w:val="21"/>
          <w:highlight w:val="none"/>
          <w:lang w:eastAsia="zh-CN"/>
        </w:rPr>
        <w:t>云南省德宏州瑞丽市瑞京路94号2栋1-101号</w:t>
      </w:r>
      <w:r>
        <w:rPr>
          <w:rFonts w:hint="eastAsia" w:ascii="宋体" w:hAnsi="宋体" w:cs="宋体"/>
          <w:b w:val="0"/>
          <w:bCs/>
          <w:color w:val="auto"/>
          <w:kern w:val="0"/>
          <w:sz w:val="21"/>
          <w:szCs w:val="21"/>
          <w:highlight w:val="none"/>
          <w:lang w:val="en-US" w:eastAsia="zh-CN"/>
        </w:rPr>
        <w:t>）</w:t>
      </w:r>
      <w:r>
        <w:rPr>
          <w:rFonts w:hint="eastAsia" w:ascii="宋体" w:hAnsi="宋体" w:eastAsia="宋体" w:cs="宋体"/>
          <w:b w:val="0"/>
          <w:bCs/>
          <w:color w:val="auto"/>
          <w:kern w:val="0"/>
          <w:sz w:val="21"/>
          <w:szCs w:val="21"/>
          <w:highlight w:val="none"/>
        </w:rPr>
        <w:t>。</w:t>
      </w:r>
    </w:p>
    <w:p w14:paraId="7C345A9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color w:val="auto"/>
          <w:kern w:val="0"/>
          <w:sz w:val="21"/>
          <w:szCs w:val="21"/>
          <w:highlight w:val="none"/>
        </w:rPr>
      </w:pPr>
      <w:r>
        <w:rPr>
          <w:rFonts w:hint="eastAsia" w:ascii="宋体" w:hAnsi="宋体" w:cs="宋体"/>
          <w:b w:val="0"/>
          <w:bCs/>
          <w:color w:val="auto"/>
          <w:kern w:val="0"/>
          <w:sz w:val="21"/>
          <w:szCs w:val="21"/>
          <w:highlight w:val="none"/>
          <w:lang w:val="en-US" w:eastAsia="zh-CN"/>
        </w:rPr>
        <w:t>3.</w:t>
      </w:r>
      <w:r>
        <w:rPr>
          <w:rFonts w:hint="eastAsia" w:ascii="宋体" w:hAnsi="宋体" w:eastAsia="宋体" w:cs="宋体"/>
          <w:b w:val="0"/>
          <w:bCs/>
          <w:color w:val="auto"/>
          <w:kern w:val="0"/>
          <w:sz w:val="21"/>
          <w:szCs w:val="21"/>
          <w:highlight w:val="none"/>
          <w:lang w:val="en-US" w:eastAsia="zh-CN"/>
        </w:rPr>
        <w:t>开启方式：网上开标，供应商必须在规定的时间内完成解密，提交响应文件时请填写参加远程采购活动的经办人联系方式，响应文件提交截止时间前未完成文件上传的，视为撤回响应文件</w:t>
      </w:r>
      <w:r>
        <w:rPr>
          <w:rFonts w:hint="eastAsia" w:ascii="宋体" w:hAnsi="宋体" w:cs="宋体"/>
          <w:b w:val="0"/>
          <w:bCs/>
          <w:color w:val="auto"/>
          <w:kern w:val="0"/>
          <w:sz w:val="21"/>
          <w:szCs w:val="21"/>
          <w:highlight w:val="none"/>
          <w:lang w:val="en-US" w:eastAsia="zh-CN"/>
        </w:rPr>
        <w:t>。</w:t>
      </w:r>
    </w:p>
    <w:p w14:paraId="3A44E8D3">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bookmarkStart w:id="24" w:name="_Toc35393634"/>
      <w:bookmarkStart w:id="25" w:name="_Toc35393803"/>
      <w:bookmarkStart w:id="26" w:name="_Toc28359094"/>
      <w:bookmarkStart w:id="27" w:name="_Toc28359017"/>
      <w:r>
        <w:rPr>
          <w:rFonts w:hint="eastAsia" w:ascii="宋体" w:hAnsi="宋体" w:eastAsia="宋体" w:cs="宋体"/>
          <w:bCs w:val="0"/>
          <w:color w:val="auto"/>
          <w:sz w:val="21"/>
          <w:szCs w:val="21"/>
          <w:highlight w:val="none"/>
        </w:rPr>
        <w:t>六、公告期限</w:t>
      </w:r>
      <w:bookmarkEnd w:id="24"/>
      <w:bookmarkEnd w:id="25"/>
      <w:bookmarkEnd w:id="26"/>
      <w:bookmarkEnd w:id="27"/>
    </w:p>
    <w:p w14:paraId="05A487B6">
      <w:pPr>
        <w:keepNext w:val="0"/>
        <w:keepLines w:val="0"/>
        <w:pageBreakBefore w:val="0"/>
        <w:widowControl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bCs/>
          <w:color w:val="auto"/>
          <w:kern w:val="0"/>
          <w:sz w:val="21"/>
          <w:szCs w:val="21"/>
          <w:highlight w:val="none"/>
        </w:rPr>
        <w:t>自本公告发布之日起</w:t>
      </w:r>
      <w:r>
        <w:rPr>
          <w:rFonts w:hint="eastAsia" w:ascii="宋体" w:hAnsi="宋体" w:cs="宋体"/>
          <w:bCs/>
          <w:color w:val="auto"/>
          <w:kern w:val="0"/>
          <w:sz w:val="21"/>
          <w:szCs w:val="21"/>
          <w:highlight w:val="none"/>
          <w:lang w:val="en-US" w:eastAsia="zh-CN"/>
        </w:rPr>
        <w:t>3</w:t>
      </w:r>
      <w:r>
        <w:rPr>
          <w:rFonts w:hint="eastAsia" w:ascii="宋体" w:hAnsi="宋体" w:eastAsia="宋体" w:cs="宋体"/>
          <w:bCs/>
          <w:color w:val="auto"/>
          <w:kern w:val="0"/>
          <w:sz w:val="21"/>
          <w:szCs w:val="21"/>
          <w:highlight w:val="none"/>
        </w:rPr>
        <w:t>个工作日</w:t>
      </w:r>
      <w:r>
        <w:rPr>
          <w:rFonts w:hint="eastAsia" w:ascii="宋体" w:hAnsi="宋体" w:eastAsia="宋体" w:cs="宋体"/>
          <w:color w:val="auto"/>
          <w:kern w:val="0"/>
          <w:sz w:val="21"/>
          <w:szCs w:val="21"/>
          <w:highlight w:val="none"/>
        </w:rPr>
        <w:t>。</w:t>
      </w:r>
    </w:p>
    <w:p w14:paraId="18ED1280">
      <w:pPr>
        <w:pStyle w:val="3"/>
        <w:keepNext/>
        <w:keepLines/>
        <w:pageBreakBefore w:val="0"/>
        <w:widowControl w:val="0"/>
        <w:kinsoku/>
        <w:wordWrap/>
        <w:overflowPunct/>
        <w:topLinePunct w:val="0"/>
        <w:autoSpaceDE/>
        <w:autoSpaceDN/>
        <w:bidi w:val="0"/>
        <w:adjustRightInd/>
        <w:snapToGrid/>
        <w:spacing w:after="0" w:line="470" w:lineRule="exact"/>
        <w:jc w:val="left"/>
        <w:textAlignment w:val="auto"/>
        <w:rPr>
          <w:rFonts w:hint="eastAsia" w:ascii="宋体" w:hAnsi="宋体" w:eastAsia="宋体" w:cs="宋体"/>
          <w:bCs w:val="0"/>
          <w:color w:val="auto"/>
          <w:sz w:val="21"/>
          <w:szCs w:val="21"/>
          <w:highlight w:val="none"/>
        </w:rPr>
      </w:pPr>
      <w:bookmarkStart w:id="28" w:name="_Toc35393804"/>
      <w:bookmarkStart w:id="29" w:name="_Toc35393635"/>
      <w:r>
        <w:rPr>
          <w:rFonts w:hint="eastAsia" w:ascii="宋体" w:hAnsi="宋体" w:eastAsia="宋体" w:cs="宋体"/>
          <w:bCs w:val="0"/>
          <w:color w:val="auto"/>
          <w:sz w:val="21"/>
          <w:szCs w:val="21"/>
          <w:highlight w:val="none"/>
        </w:rPr>
        <w:t>七、其他补充事宜</w:t>
      </w:r>
      <w:bookmarkEnd w:id="28"/>
      <w:bookmarkEnd w:id="29"/>
    </w:p>
    <w:p w14:paraId="2D3D368B">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1.相关费用：中标服务费</w:t>
      </w:r>
      <w:r>
        <w:rPr>
          <w:rFonts w:hint="eastAsia" w:ascii="宋体" w:hAnsi="宋体" w:eastAsia="宋体" w:cs="宋体"/>
          <w:b w:val="0"/>
          <w:bCs w:val="0"/>
          <w:color w:val="auto"/>
          <w:sz w:val="21"/>
          <w:szCs w:val="21"/>
          <w:highlight w:val="none"/>
          <w:lang w:val="en-US" w:eastAsia="zh-CN"/>
        </w:rPr>
        <w:t>以单个项目（或标段）</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通知书的</w:t>
      </w:r>
      <w:r>
        <w:rPr>
          <w:rFonts w:hint="eastAsia" w:ascii="宋体" w:hAnsi="宋体" w:cs="宋体"/>
          <w:b w:val="0"/>
          <w:bCs w:val="0"/>
          <w:color w:val="auto"/>
          <w:sz w:val="21"/>
          <w:szCs w:val="21"/>
          <w:highlight w:val="none"/>
          <w:lang w:val="en-US" w:eastAsia="zh-CN"/>
        </w:rPr>
        <w:t>成交</w:t>
      </w:r>
      <w:r>
        <w:rPr>
          <w:rFonts w:hint="eastAsia" w:ascii="宋体" w:hAnsi="宋体" w:eastAsia="宋体" w:cs="宋体"/>
          <w:b w:val="0"/>
          <w:bCs w:val="0"/>
          <w:color w:val="auto"/>
          <w:sz w:val="21"/>
          <w:szCs w:val="21"/>
          <w:highlight w:val="none"/>
          <w:lang w:val="en-US" w:eastAsia="zh-CN"/>
        </w:rPr>
        <w:t>金额为计费基数，按关于印发《云南省建设工程招标代理服务收费参考意见》的通知（云建招协〔2024〕58号）收费标准下浮20%收取，由</w:t>
      </w:r>
      <w:r>
        <w:rPr>
          <w:rFonts w:hint="eastAsia" w:ascii="宋体" w:hAnsi="宋体" w:cs="宋体"/>
          <w:b w:val="0"/>
          <w:bCs w:val="0"/>
          <w:color w:val="auto"/>
          <w:sz w:val="21"/>
          <w:szCs w:val="21"/>
          <w:highlight w:val="none"/>
          <w:lang w:val="en-US" w:eastAsia="zh-CN"/>
        </w:rPr>
        <w:t>中标人</w:t>
      </w:r>
      <w:r>
        <w:rPr>
          <w:rFonts w:hint="eastAsia" w:ascii="宋体" w:hAnsi="宋体" w:cs="宋体"/>
          <w:bCs/>
          <w:color w:val="auto"/>
          <w:szCs w:val="21"/>
        </w:rPr>
        <w:t>向</w:t>
      </w:r>
      <w:r>
        <w:rPr>
          <w:rFonts w:hint="eastAsia" w:ascii="宋体" w:hAnsi="宋体" w:cs="宋体"/>
          <w:bCs/>
          <w:color w:val="auto"/>
          <w:szCs w:val="21"/>
          <w:lang w:val="en-US" w:eastAsia="zh-CN"/>
        </w:rPr>
        <w:t>采购</w:t>
      </w:r>
      <w:r>
        <w:rPr>
          <w:rFonts w:hint="eastAsia" w:ascii="宋体" w:hAnsi="宋体" w:cs="宋体"/>
          <w:bCs/>
          <w:color w:val="auto"/>
          <w:szCs w:val="21"/>
        </w:rPr>
        <w:t>代理机构支付</w:t>
      </w:r>
      <w:r>
        <w:rPr>
          <w:rFonts w:hint="eastAsia" w:ascii="宋体" w:hAnsi="宋体" w:eastAsia="宋体" w:cs="宋体"/>
          <w:b w:val="0"/>
          <w:bCs w:val="0"/>
          <w:color w:val="auto"/>
          <w:sz w:val="21"/>
          <w:szCs w:val="21"/>
          <w:highlight w:val="none"/>
        </w:rPr>
        <w:t>。</w:t>
      </w:r>
    </w:p>
    <w:p w14:paraId="469F167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保证金</w:t>
      </w:r>
    </w:p>
    <w:p w14:paraId="79E5566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）供应商须</w:t>
      </w:r>
      <w:r>
        <w:rPr>
          <w:rFonts w:hint="eastAsia" w:ascii="宋体" w:hAnsi="宋体" w:cs="宋体"/>
          <w:color w:val="auto"/>
          <w:sz w:val="21"/>
          <w:szCs w:val="21"/>
          <w:highlight w:val="none"/>
          <w:lang w:val="en-US" w:eastAsia="zh-CN"/>
        </w:rPr>
        <w:t>缴纳磋商</w:t>
      </w:r>
      <w:r>
        <w:rPr>
          <w:rFonts w:hint="eastAsia" w:ascii="宋体" w:hAnsi="宋体" w:eastAsia="宋体" w:cs="宋体"/>
          <w:color w:val="auto"/>
          <w:sz w:val="21"/>
          <w:szCs w:val="21"/>
          <w:highlight w:val="none"/>
          <w:lang w:eastAsia="zh-CN"/>
        </w:rPr>
        <w:t>保证金人民币：</w:t>
      </w:r>
      <w:r>
        <w:rPr>
          <w:rFonts w:hint="eastAsia" w:ascii="宋体" w:hAnsi="宋体" w:cs="宋体"/>
          <w:color w:val="auto"/>
          <w:sz w:val="21"/>
          <w:szCs w:val="21"/>
          <w:highlight w:val="none"/>
          <w:lang w:val="en-US" w:eastAsia="zh-CN"/>
        </w:rPr>
        <w:t>叁万元整（30000.00元）</w:t>
      </w:r>
      <w:r>
        <w:rPr>
          <w:rFonts w:hint="eastAsia" w:ascii="宋体" w:hAnsi="宋体" w:eastAsia="宋体" w:cs="宋体"/>
          <w:color w:val="auto"/>
          <w:sz w:val="21"/>
          <w:szCs w:val="21"/>
          <w:highlight w:val="none"/>
          <w:lang w:eastAsia="zh-CN"/>
        </w:rPr>
        <w:t>；</w:t>
      </w:r>
    </w:p>
    <w:p w14:paraId="619B0D13">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（2）截止时间：</w:t>
      </w:r>
      <w:r>
        <w:rPr>
          <w:rFonts w:hint="eastAsia" w:ascii="宋体" w:hAnsi="宋体" w:eastAsia="宋体" w:cs="宋体"/>
          <w:color w:val="auto"/>
          <w:sz w:val="21"/>
          <w:szCs w:val="21"/>
          <w:highlight w:val="none"/>
          <w:lang w:val="en-US" w:eastAsia="zh-CN"/>
        </w:rPr>
        <w:t>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lang w:eastAsia="zh-CN"/>
        </w:rPr>
        <w:t>截止时间；</w:t>
      </w:r>
    </w:p>
    <w:p w14:paraId="54B2770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缴纳</w:t>
      </w:r>
      <w:r>
        <w:rPr>
          <w:rFonts w:hint="eastAsia" w:ascii="宋体" w:hAnsi="宋体" w:eastAsia="宋体" w:cs="宋体"/>
          <w:color w:val="auto"/>
          <w:sz w:val="21"/>
          <w:szCs w:val="21"/>
          <w:highlight w:val="none"/>
          <w:lang w:val="en-US" w:eastAsia="zh-CN"/>
        </w:rPr>
        <w:t>方式</w:t>
      </w:r>
      <w:r>
        <w:rPr>
          <w:rFonts w:hint="eastAsia" w:ascii="宋体" w:hAnsi="宋体" w:eastAsia="宋体" w:cs="宋体"/>
          <w:color w:val="auto"/>
          <w:sz w:val="21"/>
          <w:szCs w:val="21"/>
          <w:highlight w:val="none"/>
          <w:lang w:eastAsia="zh-CN"/>
        </w:rPr>
        <w:t>：可以采用“银行转账”“银行保函”“保证保险”任一方式，其中采用“银行转账”方式的，供应商以支票、汇票、本票、网上银行支付等非现金形式汇入指定账户：</w:t>
      </w:r>
    </w:p>
    <w:p w14:paraId="574C9987">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开户名称：云南宏业招标咨询有限责任公司</w:t>
      </w:r>
    </w:p>
    <w:p w14:paraId="17CC6FC0">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开户行行号：102754011029</w:t>
      </w:r>
    </w:p>
    <w:p w14:paraId="037E825D">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开户银行：中国工商银行股份有限公司德宏芒市支行</w:t>
      </w:r>
    </w:p>
    <w:p w14:paraId="6C0FB102">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账号：2511023339201002745</w:t>
      </w:r>
    </w:p>
    <w:p w14:paraId="6AD56B15">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财务室联系电话：0692-2211363</w:t>
      </w:r>
    </w:p>
    <w:p w14:paraId="5CE530CC">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kern w:val="0"/>
          <w:sz w:val="21"/>
          <w:szCs w:val="21"/>
          <w:highlight w:val="none"/>
        </w:rPr>
        <w:t>公告发布媒体</w:t>
      </w:r>
    </w:p>
    <w:p w14:paraId="4D06E6FC">
      <w:pPr>
        <w:keepNext w:val="0"/>
        <w:keepLines w:val="0"/>
        <w:pageBreakBefore w:val="0"/>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color w:val="auto"/>
          <w:sz w:val="21"/>
          <w:szCs w:val="21"/>
          <w:highlight w:val="none"/>
        </w:rPr>
      </w:pPr>
      <w:bookmarkStart w:id="30" w:name="_Toc28359018"/>
      <w:bookmarkStart w:id="31" w:name="_Toc35393805"/>
      <w:bookmarkStart w:id="32" w:name="_Toc28359095"/>
      <w:bookmarkStart w:id="33" w:name="_Toc35393636"/>
      <w:r>
        <w:rPr>
          <w:rFonts w:hint="eastAsia" w:ascii="宋体" w:hAnsi="宋体" w:cs="宋体"/>
          <w:color w:val="auto"/>
          <w:highlight w:val="none"/>
          <w:lang w:val="en-US" w:eastAsia="zh-CN"/>
        </w:rPr>
        <w:t>本公告在云南省政府采购网（http://www.yngp.com/）、政府采购云平台（https://www.zcygov.cn/）、瑞丽市人民医院微信公众号上同时发布，我公司对其他网站或媒体转载的公告及公告内容不承担任何责任。</w:t>
      </w:r>
    </w:p>
    <w:p w14:paraId="2E72293F">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本项目执行政府采购促进中小企业发展、支持监狱企业、促进残疾人就业、扶持不发达地区、少数民族地区和优先采购节能、环保产品等政府采购政策。</w:t>
      </w:r>
    </w:p>
    <w:p w14:paraId="42E5DB22">
      <w:pPr>
        <w:keepNext w:val="0"/>
        <w:keepLines w:val="0"/>
        <w:pageBreakBefore w:val="0"/>
        <w:widowControl/>
        <w:numPr>
          <w:ilvl w:val="0"/>
          <w:numId w:val="0"/>
        </w:numPr>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kern w:val="0"/>
          <w:sz w:val="21"/>
          <w:szCs w:val="21"/>
          <w:highlight w:val="none"/>
        </w:rPr>
      </w:pP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.监督部门及联系电话</w:t>
      </w:r>
    </w:p>
    <w:p w14:paraId="5A985925">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纪检监督电话</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0692-</w:t>
      </w:r>
      <w:r>
        <w:rPr>
          <w:rFonts w:hint="eastAsia" w:ascii="宋体" w:hAnsi="宋体" w:eastAsia="宋体" w:cs="宋体"/>
          <w:b w:val="0"/>
          <w:bCs w:val="0"/>
          <w:color w:val="auto"/>
          <w:sz w:val="21"/>
          <w:szCs w:val="21"/>
          <w:highlight w:val="none"/>
          <w:lang w:val="en-US" w:eastAsia="zh-CN"/>
        </w:rPr>
        <w:t>12388</w:t>
      </w:r>
    </w:p>
    <w:p w14:paraId="1002851E">
      <w:pPr>
        <w:keepNext w:val="0"/>
        <w:keepLines w:val="0"/>
        <w:pageBreakBefore w:val="0"/>
        <w:widowControl/>
        <w:kinsoku/>
        <w:wordWrap/>
        <w:overflowPunct/>
        <w:topLinePunct w:val="0"/>
        <w:autoSpaceDE/>
        <w:autoSpaceDN/>
        <w:bidi w:val="0"/>
        <w:adjustRightInd/>
        <w:snapToGrid/>
        <w:spacing w:line="480" w:lineRule="exact"/>
        <w:ind w:firstLine="420" w:firstLineChars="200"/>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行业监督部门及联系电话：瑞丽市财政局</w:t>
      </w:r>
      <w:r>
        <w:rPr>
          <w:rFonts w:hint="eastAsia" w:ascii="宋体" w:hAnsi="宋体" w:eastAsia="宋体" w:cs="宋体"/>
          <w:b w:val="0"/>
          <w:bCs w:val="0"/>
          <w:color w:val="auto"/>
          <w:sz w:val="21"/>
          <w:szCs w:val="21"/>
          <w:highlight w:val="none"/>
          <w:lang w:val="en-US" w:eastAsia="zh-CN"/>
        </w:rPr>
        <w:t xml:space="preserve"> 0692-4129739</w:t>
      </w:r>
    </w:p>
    <w:p w14:paraId="10A990CF">
      <w:pPr>
        <w:pStyle w:val="3"/>
        <w:keepNext/>
        <w:keepLines/>
        <w:pageBreakBefore w:val="0"/>
        <w:widowControl w:val="0"/>
        <w:kinsoku/>
        <w:wordWrap/>
        <w:overflowPunct/>
        <w:topLinePunct w:val="0"/>
        <w:autoSpaceDE/>
        <w:autoSpaceDN/>
        <w:bidi w:val="0"/>
        <w:adjustRightInd/>
        <w:snapToGrid/>
        <w:spacing w:after="157" w:afterLines="50" w:line="470" w:lineRule="exact"/>
        <w:jc w:val="left"/>
        <w:textAlignment w:val="auto"/>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八、凡对本次采购提出询问，请按以下方式联系。</w:t>
      </w:r>
      <w:bookmarkEnd w:id="30"/>
      <w:bookmarkEnd w:id="31"/>
      <w:bookmarkEnd w:id="32"/>
      <w:bookmarkEnd w:id="33"/>
    </w:p>
    <w:p w14:paraId="064FC2D9">
      <w:pPr>
        <w:pStyle w:val="3"/>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bookmarkStart w:id="34" w:name="_Toc28359019"/>
      <w:bookmarkStart w:id="35" w:name="_Toc35393637"/>
      <w:bookmarkStart w:id="36" w:name="_Toc28359096"/>
      <w:bookmarkStart w:id="37" w:name="_Toc35393806"/>
      <w:bookmarkStart w:id="38" w:name="_Toc28359020"/>
      <w:bookmarkStart w:id="39" w:name="_Toc35393807"/>
      <w:bookmarkStart w:id="40" w:name="_Toc35393638"/>
      <w:bookmarkStart w:id="41" w:name="_Toc28359097"/>
      <w:r>
        <w:rPr>
          <w:rFonts w:hint="eastAsia" w:ascii="宋体" w:hAnsi="宋体" w:eastAsia="宋体" w:cs="宋体"/>
          <w:b w:val="0"/>
          <w:color w:val="auto"/>
          <w:sz w:val="21"/>
          <w:szCs w:val="21"/>
          <w:highlight w:val="none"/>
        </w:rPr>
        <w:t>1.采购人信息</w:t>
      </w:r>
      <w:bookmarkEnd w:id="34"/>
      <w:bookmarkEnd w:id="35"/>
      <w:bookmarkEnd w:id="36"/>
      <w:bookmarkEnd w:id="37"/>
    </w:p>
    <w:p w14:paraId="3C7893E5">
      <w:pPr>
        <w:pageBreakBefore w:val="0"/>
        <w:widowControl w:val="0"/>
        <w:kinsoku/>
        <w:wordWrap/>
        <w:overflowPunct/>
        <w:topLinePunct w:val="0"/>
        <w:autoSpaceDE/>
        <w:autoSpaceDN/>
        <w:bidi w:val="0"/>
        <w:adjustRightInd/>
        <w:snapToGrid/>
        <w:spacing w:line="470" w:lineRule="exact"/>
        <w:ind w:firstLine="840" w:firstLineChars="400"/>
        <w:jc w:val="left"/>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val="en-US" w:eastAsia="zh-CN"/>
        </w:rPr>
        <w:t>瑞丽市人民医院</w:t>
      </w:r>
    </w:p>
    <w:p w14:paraId="6C5106CB">
      <w:pPr>
        <w:pageBreakBefore w:val="0"/>
        <w:widowControl w:val="0"/>
        <w:kinsoku/>
        <w:wordWrap/>
        <w:overflowPunct/>
        <w:topLinePunct w:val="0"/>
        <w:autoSpaceDE/>
        <w:autoSpaceDN/>
        <w:bidi w:val="0"/>
        <w:adjustRightInd/>
        <w:snapToGrid/>
        <w:spacing w:line="470" w:lineRule="exact"/>
        <w:ind w:firstLine="840" w:firstLineChars="4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瑞丽市人民路17号</w:t>
      </w:r>
    </w:p>
    <w:p w14:paraId="42728FD7">
      <w:pPr>
        <w:keepNext w:val="0"/>
        <w:keepLines w:val="0"/>
        <w:pageBreakBefore w:val="0"/>
        <w:widowControl w:val="0"/>
        <w:kinsoku/>
        <w:wordWrap/>
        <w:overflowPunct/>
        <w:topLinePunct w:val="0"/>
        <w:autoSpaceDE/>
        <w:autoSpaceDN/>
        <w:bidi w:val="0"/>
        <w:adjustRightInd/>
        <w:snapToGrid/>
        <w:spacing w:after="157" w:afterLines="50" w:line="470" w:lineRule="exact"/>
        <w:ind w:firstLine="840" w:firstLineChars="400"/>
        <w:jc w:val="left"/>
        <w:textAlignment w:val="auto"/>
        <w:rPr>
          <w:rFonts w:hint="default" w:ascii="宋体" w:hAnsi="宋体" w:eastAsia="宋体" w:cs="宋体"/>
          <w:b w:val="0"/>
          <w:bCs/>
          <w:color w:val="auto"/>
          <w:kern w:val="0"/>
          <w:sz w:val="21"/>
          <w:szCs w:val="21"/>
          <w:highlight w:val="none"/>
          <w:lang w:val="en-US" w:eastAsia="zh-CN" w:bidi="ar-SA"/>
        </w:rPr>
      </w:pPr>
      <w:r>
        <w:rPr>
          <w:rFonts w:hint="eastAsia" w:ascii="宋体" w:hAnsi="宋体" w:eastAsia="宋体" w:cs="宋体"/>
          <w:b w:val="0"/>
          <w:bCs/>
          <w:color w:val="auto"/>
          <w:kern w:val="0"/>
          <w:sz w:val="21"/>
          <w:szCs w:val="21"/>
          <w:highlight w:val="none"/>
          <w:lang w:val="en-US" w:eastAsia="zh-CN" w:bidi="ar-SA"/>
        </w:rPr>
        <w:t>联系方式</w:t>
      </w:r>
      <w:r>
        <w:rPr>
          <w:rFonts w:hint="eastAsia" w:ascii="宋体" w:hAnsi="宋体" w:cs="宋体"/>
          <w:color w:val="auto"/>
          <w:sz w:val="21"/>
          <w:szCs w:val="21"/>
          <w:highlight w:val="none"/>
          <w:lang w:val="en-US" w:eastAsia="zh-CN"/>
        </w:rPr>
        <w:t>：0692-4119792</w:t>
      </w:r>
    </w:p>
    <w:p w14:paraId="445955F3">
      <w:pPr>
        <w:pStyle w:val="3"/>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2.采购代理机构信息</w:t>
      </w:r>
    </w:p>
    <w:p w14:paraId="4E12172F">
      <w:pPr>
        <w:pageBreakBefore w:val="0"/>
        <w:widowControl w:val="0"/>
        <w:kinsoku/>
        <w:wordWrap/>
        <w:overflowPunct/>
        <w:topLinePunct w:val="0"/>
        <w:autoSpaceDE/>
        <w:autoSpaceDN/>
        <w:bidi w:val="0"/>
        <w:adjustRightInd/>
        <w:snapToGrid/>
        <w:spacing w:line="470" w:lineRule="exact"/>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云南宏业招标咨询有限责任公司</w:t>
      </w:r>
    </w:p>
    <w:p w14:paraId="54C688BA">
      <w:pPr>
        <w:pageBreakBefore w:val="0"/>
        <w:widowControl w:val="0"/>
        <w:kinsoku/>
        <w:wordWrap/>
        <w:overflowPunct/>
        <w:topLinePunct w:val="0"/>
        <w:autoSpaceDE/>
        <w:autoSpaceDN/>
        <w:bidi w:val="0"/>
        <w:adjustRightInd/>
        <w:snapToGrid/>
        <w:spacing w:line="470" w:lineRule="exact"/>
        <w:ind w:firstLine="840" w:firstLineChars="4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云南省德宏州芒市阿露窝罗路13号</w:t>
      </w:r>
    </w:p>
    <w:p w14:paraId="13DCE6BA">
      <w:pPr>
        <w:keepNext w:val="0"/>
        <w:keepLines w:val="0"/>
        <w:pageBreakBefore w:val="0"/>
        <w:widowControl w:val="0"/>
        <w:kinsoku/>
        <w:wordWrap/>
        <w:overflowPunct/>
        <w:topLinePunct w:val="0"/>
        <w:autoSpaceDE/>
        <w:autoSpaceDN/>
        <w:bidi w:val="0"/>
        <w:adjustRightInd/>
        <w:snapToGrid/>
        <w:spacing w:after="157" w:afterLines="50" w:line="470" w:lineRule="exact"/>
        <w:ind w:firstLine="840" w:firstLineChars="400"/>
        <w:textAlignment w:val="auto"/>
        <w:rPr>
          <w:rFonts w:hint="default" w:ascii="宋体" w:hAnsi="宋体" w:eastAsia="宋体" w:cs="宋体"/>
          <w:color w:val="auto"/>
          <w:sz w:val="21"/>
          <w:szCs w:val="21"/>
          <w:highlight w:val="none"/>
          <w:u w:val="single"/>
          <w:lang w:val="en-US"/>
        </w:rPr>
      </w:pPr>
      <w:r>
        <w:rPr>
          <w:rFonts w:hint="eastAsia" w:ascii="宋体" w:hAnsi="宋体" w:eastAsia="宋体" w:cs="宋体"/>
          <w:color w:val="auto"/>
          <w:sz w:val="21"/>
          <w:szCs w:val="21"/>
          <w:highlight w:val="none"/>
        </w:rPr>
        <w:t>联系方式：</w:t>
      </w:r>
      <w:r>
        <w:rPr>
          <w:rFonts w:hint="eastAsia" w:ascii="宋体" w:hAnsi="宋体" w:cs="宋体"/>
          <w:color w:val="auto"/>
          <w:sz w:val="21"/>
          <w:szCs w:val="21"/>
          <w:highlight w:val="none"/>
          <w:lang w:val="en-US" w:eastAsia="zh-CN"/>
        </w:rPr>
        <w:t>0692-6990386</w:t>
      </w:r>
    </w:p>
    <w:p w14:paraId="3C63222B">
      <w:pPr>
        <w:pStyle w:val="3"/>
        <w:pageBreakBefore w:val="0"/>
        <w:widowControl w:val="0"/>
        <w:kinsoku/>
        <w:wordWrap/>
        <w:overflowPunct/>
        <w:topLinePunct w:val="0"/>
        <w:autoSpaceDE/>
        <w:autoSpaceDN/>
        <w:bidi w:val="0"/>
        <w:adjustRightInd/>
        <w:snapToGrid/>
        <w:spacing w:before="0" w:after="0" w:line="470" w:lineRule="exact"/>
        <w:ind w:firstLine="630" w:firstLineChars="300"/>
        <w:jc w:val="both"/>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3.项目联系方式</w:t>
      </w:r>
    </w:p>
    <w:p w14:paraId="414765BE">
      <w:pPr>
        <w:pStyle w:val="16"/>
        <w:pageBreakBefore w:val="0"/>
        <w:widowControl w:val="0"/>
        <w:kinsoku/>
        <w:wordWrap/>
        <w:overflowPunct/>
        <w:topLinePunct w:val="0"/>
        <w:autoSpaceDE/>
        <w:autoSpaceDN/>
        <w:bidi w:val="0"/>
        <w:adjustRightInd/>
        <w:snapToGrid/>
        <w:spacing w:line="470" w:lineRule="exact"/>
        <w:ind w:firstLine="840" w:firstLineChars="4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hAnsi="宋体" w:cs="宋体"/>
          <w:color w:val="auto"/>
          <w:sz w:val="21"/>
          <w:szCs w:val="21"/>
          <w:highlight w:val="none"/>
          <w:lang w:val="en-US" w:eastAsia="zh-CN"/>
        </w:rPr>
        <w:t>罗保荣（采购人）、罗华（采购代理机构）</w:t>
      </w:r>
    </w:p>
    <w:p w14:paraId="6B0BF1C3">
      <w:pPr>
        <w:pageBreakBefore w:val="0"/>
        <w:widowControl w:val="0"/>
        <w:kinsoku/>
        <w:wordWrap/>
        <w:overflowPunct/>
        <w:topLinePunct w:val="0"/>
        <w:autoSpaceDE/>
        <w:autoSpaceDN/>
        <w:bidi w:val="0"/>
        <w:adjustRightInd/>
        <w:snapToGrid/>
        <w:spacing w:line="470" w:lineRule="exact"/>
        <w:ind w:firstLine="840" w:firstLineChars="400"/>
        <w:jc w:val="left"/>
        <w:textAlignment w:val="auto"/>
        <w:rPr>
          <w:rFonts w:hint="eastAsia" w:ascii="宋体" w:hAnsi="宋体" w:cs="宋体"/>
          <w:color w:val="auto"/>
          <w:sz w:val="21"/>
          <w:szCs w:val="21"/>
          <w:highlight w:val="none"/>
          <w:lang w:val="en-US" w:eastAsia="zh-CN"/>
        </w:rPr>
        <w:sectPr>
          <w:footerReference r:id="rId8" w:type="first"/>
          <w:footerReference r:id="rId7" w:type="default"/>
          <w:pgSz w:w="11906" w:h="16838"/>
          <w:pgMar w:top="1440" w:right="1080" w:bottom="1440" w:left="1080" w:header="851" w:footer="992" w:gutter="0"/>
          <w:pgNumType w:fmt="decimal" w:start="1"/>
          <w:cols w:space="720" w:num="1"/>
          <w:titlePg/>
          <w:docGrid w:type="lines" w:linePitch="312" w:charSpace="0"/>
        </w:sectPr>
      </w:pPr>
      <w:r>
        <w:rPr>
          <w:rFonts w:hint="eastAsia" w:ascii="宋体" w:hAnsi="宋体" w:eastAsia="宋体" w:cs="宋体"/>
          <w:color w:val="auto"/>
          <w:sz w:val="21"/>
          <w:szCs w:val="21"/>
          <w:highlight w:val="none"/>
        </w:rPr>
        <w:t>电</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话：</w:t>
      </w:r>
      <w:bookmarkEnd w:id="38"/>
      <w:bookmarkEnd w:id="39"/>
      <w:bookmarkEnd w:id="40"/>
      <w:bookmarkEnd w:id="41"/>
      <w:r>
        <w:rPr>
          <w:rFonts w:hint="eastAsia" w:ascii="宋体" w:hAnsi="宋体" w:cs="宋体"/>
          <w:color w:val="auto"/>
          <w:sz w:val="21"/>
          <w:szCs w:val="21"/>
          <w:highlight w:val="none"/>
          <w:lang w:val="en-US" w:eastAsia="zh-CN"/>
        </w:rPr>
        <w:t>0692-4119792</w:t>
      </w:r>
      <w:r>
        <w:rPr>
          <w:rFonts w:hint="eastAsia" w:hAnsi="宋体" w:cs="宋体"/>
          <w:color w:val="auto"/>
          <w:sz w:val="21"/>
          <w:szCs w:val="21"/>
          <w:highlight w:val="none"/>
          <w:lang w:val="en-US" w:eastAsia="zh-CN"/>
        </w:rPr>
        <w:t>（采购人）</w:t>
      </w:r>
      <w:r>
        <w:rPr>
          <w:rFonts w:hint="eastAsia" w:ascii="宋体" w:hAnsi="宋体" w:cs="宋体"/>
          <w:color w:val="auto"/>
          <w:sz w:val="21"/>
          <w:szCs w:val="21"/>
          <w:highlight w:val="none"/>
          <w:lang w:val="en-US" w:eastAsia="zh-CN"/>
        </w:rPr>
        <w:t>、0692-6990386、13988282058（采购代理机构）</w:t>
      </w:r>
    </w:p>
    <w:p w14:paraId="64D6A2ED">
      <w:pPr>
        <w:numPr>
          <w:ilvl w:val="0"/>
          <w:numId w:val="0"/>
        </w:numPr>
        <w:jc w:val="center"/>
        <w:outlineLvl w:val="0"/>
        <w:rPr>
          <w:rFonts w:hint="eastAsia" w:ascii="宋体" w:hAnsi="宋体" w:eastAsia="宋体" w:cs="Times New Roman"/>
          <w:b/>
          <w:color w:val="auto"/>
          <w:kern w:val="44"/>
          <w:sz w:val="44"/>
          <w:szCs w:val="24"/>
          <w:highlight w:val="none"/>
          <w:lang w:val="en-US" w:eastAsia="zh-CN" w:bidi="ar-SA"/>
        </w:rPr>
      </w:pPr>
      <w:bookmarkStart w:id="42" w:name="_Toc4129_WPSOffice_Level1"/>
      <w:r>
        <w:rPr>
          <w:rFonts w:hint="eastAsia" w:ascii="宋体" w:hAnsi="宋体" w:eastAsia="宋体" w:cs="Times New Roman"/>
          <w:b/>
          <w:color w:val="auto"/>
          <w:kern w:val="44"/>
          <w:sz w:val="44"/>
          <w:szCs w:val="24"/>
          <w:highlight w:val="none"/>
          <w:lang w:val="en-US" w:eastAsia="zh-CN" w:bidi="ar-SA"/>
        </w:rPr>
        <w:t>第二章 供应商须知</w:t>
      </w:r>
    </w:p>
    <w:p w14:paraId="4BC58B31">
      <w:pPr>
        <w:keepNext w:val="0"/>
        <w:keepLines w:val="0"/>
        <w:pageBreakBefore w:val="0"/>
        <w:widowControl w:val="0"/>
        <w:kinsoku/>
        <w:wordWrap/>
        <w:overflowPunct/>
        <w:topLinePunct w:val="0"/>
        <w:autoSpaceDE/>
        <w:autoSpaceDN/>
        <w:bidi w:val="0"/>
        <w:adjustRightInd/>
        <w:snapToGrid/>
        <w:spacing w:before="157" w:beforeLines="50"/>
        <w:jc w:val="center"/>
        <w:textAlignment w:val="auto"/>
        <w:outlineLvl w:val="0"/>
        <w:rPr>
          <w:rFonts w:hint="eastAsia" w:asciiTheme="majorEastAsia" w:hAnsiTheme="majorEastAsia" w:eastAsiaTheme="majorEastAsia" w:cstheme="majorEastAsia"/>
          <w:b/>
          <w:color w:val="auto"/>
          <w:kern w:val="44"/>
          <w:sz w:val="30"/>
          <w:szCs w:val="30"/>
          <w:highlight w:val="none"/>
        </w:rPr>
      </w:pPr>
      <w:r>
        <w:rPr>
          <w:rFonts w:hint="eastAsia" w:asciiTheme="majorEastAsia" w:hAnsiTheme="majorEastAsia" w:eastAsiaTheme="majorEastAsia" w:cstheme="majorEastAsia"/>
          <w:b/>
          <w:color w:val="auto"/>
          <w:kern w:val="44"/>
          <w:sz w:val="30"/>
          <w:szCs w:val="30"/>
          <w:highlight w:val="none"/>
        </w:rPr>
        <w:t>供应商须知前附表</w:t>
      </w:r>
      <w:bookmarkEnd w:id="42"/>
    </w:p>
    <w:tbl>
      <w:tblPr>
        <w:tblStyle w:val="25"/>
        <w:tblW w:w="10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1746"/>
        <w:gridCol w:w="7535"/>
      </w:tblGrid>
      <w:tr w14:paraId="2143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884" w:type="dxa"/>
            <w:vAlign w:val="center"/>
          </w:tcPr>
          <w:p w14:paraId="667CDB00">
            <w:pPr>
              <w:jc w:val="center"/>
              <w:rPr>
                <w:rFonts w:ascii="宋体" w:hAnsi="宋体" w:cs="宋体"/>
                <w:b/>
                <w:bCs w:val="0"/>
                <w:color w:val="auto"/>
                <w:szCs w:val="21"/>
                <w:highlight w:val="none"/>
              </w:rPr>
            </w:pPr>
            <w:r>
              <w:rPr>
                <w:rFonts w:hint="eastAsia" w:ascii="宋体" w:hAnsi="宋体" w:cs="宋体"/>
                <w:b/>
                <w:bCs w:val="0"/>
                <w:color w:val="auto"/>
                <w:szCs w:val="21"/>
                <w:highlight w:val="none"/>
              </w:rPr>
              <w:t>序号</w:t>
            </w:r>
          </w:p>
        </w:tc>
        <w:tc>
          <w:tcPr>
            <w:tcW w:w="1746" w:type="dxa"/>
            <w:vAlign w:val="center"/>
          </w:tcPr>
          <w:p w14:paraId="3AECF0FA">
            <w:pPr>
              <w:jc w:val="center"/>
              <w:rPr>
                <w:rFonts w:ascii="宋体" w:hAnsi="宋体" w:cs="宋体"/>
                <w:b/>
                <w:bCs w:val="0"/>
                <w:color w:val="auto"/>
                <w:szCs w:val="21"/>
                <w:highlight w:val="none"/>
              </w:rPr>
            </w:pPr>
            <w:r>
              <w:rPr>
                <w:rFonts w:hint="eastAsia" w:ascii="宋体" w:hAnsi="宋体" w:cs="宋体"/>
                <w:b/>
                <w:bCs w:val="0"/>
                <w:color w:val="auto"/>
                <w:szCs w:val="21"/>
                <w:highlight w:val="none"/>
              </w:rPr>
              <w:t>条款名称</w:t>
            </w:r>
          </w:p>
        </w:tc>
        <w:tc>
          <w:tcPr>
            <w:tcW w:w="7535" w:type="dxa"/>
            <w:vAlign w:val="center"/>
          </w:tcPr>
          <w:p w14:paraId="68EA4468">
            <w:pPr>
              <w:jc w:val="center"/>
              <w:rPr>
                <w:rFonts w:ascii="宋体" w:hAnsi="宋体" w:cs="宋体"/>
                <w:b/>
                <w:bCs w:val="0"/>
                <w:color w:val="auto"/>
                <w:szCs w:val="21"/>
                <w:highlight w:val="none"/>
              </w:rPr>
            </w:pPr>
            <w:r>
              <w:rPr>
                <w:rFonts w:hint="eastAsia" w:ascii="宋体" w:hAnsi="宋体" w:cs="宋体"/>
                <w:b/>
                <w:bCs w:val="0"/>
                <w:color w:val="auto"/>
                <w:szCs w:val="21"/>
                <w:highlight w:val="none"/>
              </w:rPr>
              <w:t>编列内容</w:t>
            </w:r>
          </w:p>
        </w:tc>
      </w:tr>
      <w:tr w14:paraId="65684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84" w:type="dxa"/>
            <w:vAlign w:val="center"/>
          </w:tcPr>
          <w:p w14:paraId="33959383">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1746" w:type="dxa"/>
            <w:vAlign w:val="center"/>
          </w:tcPr>
          <w:p w14:paraId="0DD43001">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7535" w:type="dxa"/>
            <w:vAlign w:val="center"/>
          </w:tcPr>
          <w:p w14:paraId="50A3EEA3">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称：</w:t>
            </w:r>
            <w:r>
              <w:rPr>
                <w:rFonts w:hint="eastAsia" w:ascii="宋体" w:hAnsi="宋体" w:cs="宋体"/>
                <w:color w:val="auto"/>
                <w:szCs w:val="21"/>
                <w:highlight w:val="none"/>
                <w:lang w:val="en-US" w:eastAsia="zh-CN"/>
              </w:rPr>
              <w:t>瑞丽市人民医院</w:t>
            </w:r>
          </w:p>
          <w:p w14:paraId="54FB22C9">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lang w:eastAsia="zh-CN"/>
              </w:rPr>
              <w:t>址：瑞丽市人民路17号</w:t>
            </w:r>
          </w:p>
          <w:p w14:paraId="754923F7">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联系人：罗保荣</w:t>
            </w:r>
          </w:p>
          <w:p w14:paraId="13EF6A56">
            <w:pPr>
              <w:keepNext w:val="0"/>
              <w:keepLines w:val="0"/>
              <w:pageBreakBefore w:val="0"/>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szCs w:val="21"/>
                <w:highlight w:val="none"/>
                <w:lang w:val="en-US" w:eastAsia="zh-CN"/>
              </w:rPr>
              <w:t>电  话：</w:t>
            </w:r>
            <w:r>
              <w:rPr>
                <w:rFonts w:hint="eastAsia" w:ascii="宋体" w:hAnsi="宋体" w:cs="宋体"/>
                <w:color w:val="auto"/>
                <w:sz w:val="21"/>
                <w:szCs w:val="21"/>
                <w:highlight w:val="none"/>
                <w:lang w:val="en-US" w:eastAsia="zh-CN"/>
              </w:rPr>
              <w:t>0692-4119792</w:t>
            </w:r>
          </w:p>
          <w:p w14:paraId="76BDA7AA">
            <w:pPr>
              <w:widowControl/>
              <w:pBdr>
                <w:top w:val="none" w:color="FFFFFF" w:sz="0" w:space="0"/>
                <w:left w:val="none" w:color="FFFFFF" w:sz="0" w:space="0"/>
                <w:bottom w:val="none" w:color="FFFFFF" w:sz="0" w:space="0"/>
                <w:right w:val="none" w:color="FFFFFF" w:sz="0" w:space="0"/>
              </w:pBdr>
              <w:spacing w:line="440" w:lineRule="exact"/>
              <w:jc w:val="left"/>
              <w:rPr>
                <w:rFonts w:hint="default" w:ascii="宋体" w:hAnsi="宋体" w:cs="宋体"/>
                <w:bCs/>
                <w:color w:val="auto"/>
                <w:szCs w:val="21"/>
                <w:highlight w:val="none"/>
                <w:lang w:val="en-US"/>
              </w:rPr>
            </w:pPr>
          </w:p>
        </w:tc>
      </w:tr>
      <w:tr w14:paraId="1EC49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jc w:val="center"/>
        </w:trPr>
        <w:tc>
          <w:tcPr>
            <w:tcW w:w="884" w:type="dxa"/>
            <w:vAlign w:val="center"/>
          </w:tcPr>
          <w:p w14:paraId="792D658E">
            <w:pPr>
              <w:jc w:val="center"/>
              <w:rPr>
                <w:rFonts w:ascii="宋体" w:hAnsi="宋体" w:cs="宋体"/>
                <w:bCs/>
                <w:color w:val="auto"/>
                <w:szCs w:val="21"/>
                <w:highlight w:val="none"/>
              </w:rPr>
            </w:pPr>
            <w:r>
              <w:rPr>
                <w:rFonts w:hint="eastAsia" w:ascii="宋体" w:hAnsi="宋体" w:cs="宋体"/>
                <w:bCs/>
                <w:color w:val="auto"/>
                <w:szCs w:val="21"/>
                <w:highlight w:val="none"/>
              </w:rPr>
              <w:t>1.1.3</w:t>
            </w:r>
          </w:p>
        </w:tc>
        <w:tc>
          <w:tcPr>
            <w:tcW w:w="1746" w:type="dxa"/>
            <w:vAlign w:val="center"/>
          </w:tcPr>
          <w:p w14:paraId="4FFF80EA">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采购代理机构</w:t>
            </w:r>
          </w:p>
        </w:tc>
        <w:tc>
          <w:tcPr>
            <w:tcW w:w="7535" w:type="dxa"/>
            <w:vAlign w:val="center"/>
          </w:tcPr>
          <w:p w14:paraId="7CD1245C">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名</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称：</w:t>
            </w:r>
            <w:r>
              <w:rPr>
                <w:rFonts w:hint="eastAsia" w:ascii="宋体" w:hAnsi="宋体" w:cs="宋体"/>
                <w:color w:val="auto"/>
                <w:szCs w:val="21"/>
                <w:highlight w:val="none"/>
                <w:lang w:eastAsia="zh-CN"/>
              </w:rPr>
              <w:t>云南宏业招标咨询有限责任公司</w:t>
            </w:r>
          </w:p>
          <w:p w14:paraId="68165A1F">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地</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址：</w:t>
            </w:r>
            <w:r>
              <w:rPr>
                <w:rFonts w:hint="eastAsia" w:ascii="宋体" w:hAnsi="宋体" w:cs="宋体"/>
                <w:color w:val="auto"/>
                <w:szCs w:val="21"/>
                <w:highlight w:val="none"/>
                <w:lang w:eastAsia="zh-CN"/>
              </w:rPr>
              <w:t>云南省德宏州芒市阿露窝罗路13号</w:t>
            </w:r>
          </w:p>
          <w:p w14:paraId="6673F4FD">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联系人：</w:t>
            </w:r>
            <w:r>
              <w:rPr>
                <w:rFonts w:hint="eastAsia" w:ascii="宋体" w:hAnsi="宋体" w:cs="宋体"/>
                <w:color w:val="auto"/>
                <w:szCs w:val="21"/>
                <w:highlight w:val="none"/>
                <w:lang w:val="en-US" w:eastAsia="zh-CN"/>
              </w:rPr>
              <w:t>罗华</w:t>
            </w:r>
          </w:p>
          <w:p w14:paraId="6ABFBC6B">
            <w:pPr>
              <w:keepNext w:val="0"/>
              <w:keepLines w:val="0"/>
              <w:pageBreakBefore w:val="0"/>
              <w:widowControl/>
              <w:pBdr>
                <w:top w:val="none" w:color="FFFFFF" w:sz="0" w:space="0"/>
                <w:left w:val="none" w:color="FFFFFF" w:sz="0" w:space="0"/>
                <w:bottom w:val="none" w:color="FFFFFF" w:sz="0" w:space="0"/>
                <w:right w:val="none" w:color="FFFFFF" w:sz="0" w:space="0"/>
              </w:pBd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电</w:t>
            </w:r>
            <w:r>
              <w:rPr>
                <w:rFonts w:hint="eastAsia" w:ascii="宋体" w:hAnsi="宋体" w:eastAsia="宋体" w:cs="宋体"/>
                <w:color w:val="auto"/>
                <w:szCs w:val="21"/>
                <w:highlight w:val="none"/>
                <w:lang w:val="en-US" w:eastAsia="zh-CN"/>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话：</w:t>
            </w:r>
            <w:r>
              <w:rPr>
                <w:rFonts w:hint="eastAsia" w:ascii="宋体" w:hAnsi="宋体" w:cs="宋体"/>
                <w:color w:val="auto"/>
                <w:sz w:val="21"/>
                <w:szCs w:val="21"/>
                <w:highlight w:val="none"/>
                <w:lang w:val="en-US" w:eastAsia="zh-CN"/>
              </w:rPr>
              <w:t>0692-6990386、13988282058</w:t>
            </w:r>
          </w:p>
        </w:tc>
      </w:tr>
      <w:tr w14:paraId="79DD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jc w:val="center"/>
        </w:trPr>
        <w:tc>
          <w:tcPr>
            <w:tcW w:w="884" w:type="dxa"/>
            <w:vAlign w:val="center"/>
          </w:tcPr>
          <w:p w14:paraId="06EBCFD0">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1.1.4</w:t>
            </w:r>
          </w:p>
        </w:tc>
        <w:tc>
          <w:tcPr>
            <w:tcW w:w="1746" w:type="dxa"/>
            <w:vAlign w:val="center"/>
          </w:tcPr>
          <w:p w14:paraId="301D9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项目名称</w:t>
            </w:r>
          </w:p>
        </w:tc>
        <w:tc>
          <w:tcPr>
            <w:tcW w:w="7535" w:type="dxa"/>
            <w:vAlign w:val="center"/>
          </w:tcPr>
          <w:p w14:paraId="48B79B13">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瑞丽市人民医院肾内科血液净化中心改造项目</w:t>
            </w:r>
          </w:p>
        </w:tc>
      </w:tr>
      <w:tr w14:paraId="4167A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033535E4">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1.1.5</w:t>
            </w:r>
          </w:p>
        </w:tc>
        <w:tc>
          <w:tcPr>
            <w:tcW w:w="1746" w:type="dxa"/>
            <w:vAlign w:val="center"/>
          </w:tcPr>
          <w:p w14:paraId="010E936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建设地点</w:t>
            </w:r>
          </w:p>
        </w:tc>
        <w:tc>
          <w:tcPr>
            <w:tcW w:w="7535" w:type="dxa"/>
            <w:vAlign w:val="center"/>
          </w:tcPr>
          <w:p w14:paraId="52518AF2">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瑞丽市</w:t>
            </w:r>
          </w:p>
        </w:tc>
      </w:tr>
      <w:tr w14:paraId="4896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jc w:val="center"/>
        </w:trPr>
        <w:tc>
          <w:tcPr>
            <w:tcW w:w="884" w:type="dxa"/>
            <w:vAlign w:val="center"/>
          </w:tcPr>
          <w:p w14:paraId="62B4277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1.2.1</w:t>
            </w:r>
          </w:p>
        </w:tc>
        <w:tc>
          <w:tcPr>
            <w:tcW w:w="1746" w:type="dxa"/>
            <w:vAlign w:val="center"/>
          </w:tcPr>
          <w:p w14:paraId="35864FCD">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7535" w:type="dxa"/>
            <w:vAlign w:val="center"/>
          </w:tcPr>
          <w:p w14:paraId="1DA60209">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财政资金</w:t>
            </w:r>
          </w:p>
        </w:tc>
      </w:tr>
      <w:tr w14:paraId="1258A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2F67F3CE">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1.2.2</w:t>
            </w:r>
          </w:p>
        </w:tc>
        <w:tc>
          <w:tcPr>
            <w:tcW w:w="1746" w:type="dxa"/>
            <w:vAlign w:val="center"/>
          </w:tcPr>
          <w:p w14:paraId="54DF3FB8">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出资比例</w:t>
            </w:r>
          </w:p>
        </w:tc>
        <w:tc>
          <w:tcPr>
            <w:tcW w:w="7535" w:type="dxa"/>
            <w:vAlign w:val="center"/>
          </w:tcPr>
          <w:p w14:paraId="41E04F63">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100%</w:t>
            </w:r>
          </w:p>
        </w:tc>
      </w:tr>
      <w:tr w14:paraId="418FA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884" w:type="dxa"/>
            <w:vAlign w:val="center"/>
          </w:tcPr>
          <w:p w14:paraId="2D5F2DA6">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1.2.3</w:t>
            </w:r>
          </w:p>
        </w:tc>
        <w:tc>
          <w:tcPr>
            <w:tcW w:w="1746" w:type="dxa"/>
            <w:vAlign w:val="center"/>
          </w:tcPr>
          <w:p w14:paraId="7255CAB7">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资金落实情况</w:t>
            </w:r>
          </w:p>
        </w:tc>
        <w:tc>
          <w:tcPr>
            <w:tcW w:w="7535" w:type="dxa"/>
            <w:vAlign w:val="center"/>
          </w:tcPr>
          <w:p w14:paraId="5E9FF8F4">
            <w:pPr>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已落实</w:t>
            </w:r>
          </w:p>
        </w:tc>
      </w:tr>
      <w:tr w14:paraId="3C60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84" w:type="dxa"/>
            <w:vAlign w:val="center"/>
          </w:tcPr>
          <w:p w14:paraId="03073C8B">
            <w:pPr>
              <w:autoSpaceDE w:val="0"/>
              <w:autoSpaceDN w:val="0"/>
              <w:jc w:val="center"/>
              <w:rPr>
                <w:rFonts w:ascii="宋体" w:hAnsi="宋体" w:cs="宋体"/>
                <w:color w:val="auto"/>
                <w:szCs w:val="21"/>
                <w:highlight w:val="none"/>
              </w:rPr>
            </w:pPr>
            <w:r>
              <w:rPr>
                <w:rFonts w:hint="eastAsia" w:ascii="宋体" w:hAnsi="宋体" w:cs="宋体"/>
                <w:color w:val="auto"/>
                <w:szCs w:val="21"/>
                <w:highlight w:val="none"/>
              </w:rPr>
              <w:t>1.3.1</w:t>
            </w:r>
          </w:p>
        </w:tc>
        <w:tc>
          <w:tcPr>
            <w:tcW w:w="1746" w:type="dxa"/>
            <w:vAlign w:val="center"/>
          </w:tcPr>
          <w:p w14:paraId="18F9A60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采购</w:t>
            </w:r>
            <w:r>
              <w:rPr>
                <w:rFonts w:hint="eastAsia" w:ascii="宋体" w:hAnsi="宋体" w:cs="宋体"/>
                <w:color w:val="auto"/>
                <w:szCs w:val="21"/>
                <w:highlight w:val="none"/>
                <w:lang w:val="en-US" w:eastAsia="zh-CN"/>
              </w:rPr>
              <w:t>范围</w:t>
            </w:r>
          </w:p>
        </w:tc>
        <w:tc>
          <w:tcPr>
            <w:tcW w:w="7535" w:type="dxa"/>
            <w:vAlign w:val="center"/>
          </w:tcPr>
          <w:p w14:paraId="0BA2BDAC">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eastAsia="宋体"/>
                <w:color w:val="auto"/>
                <w:highlight w:val="none"/>
                <w:lang w:eastAsia="zh-CN"/>
              </w:rPr>
            </w:pPr>
            <w:r>
              <w:rPr>
                <w:rFonts w:hint="eastAsia" w:ascii="宋体" w:hAnsi="宋体" w:eastAsia="宋体" w:cs="宋体"/>
                <w:color w:val="auto"/>
                <w:sz w:val="21"/>
                <w:szCs w:val="21"/>
                <w:highlight w:val="none"/>
                <w:lang w:val="en-US" w:eastAsia="zh-CN"/>
              </w:rPr>
              <w:t>改造面积为1079.57平方米，改造层数为七楼，层高4.5米，改造内容主要包含拆除原有墙体、地砖、吊顶、钢质门、卫生洁具等，新建50mm厚白色金属面中空玻镁净化隔墙、成品钢质门、铝扣板吊顶及石膏板吊顶、2mm厚同质透心PVC地胶地面等装修工程，以及设计图范围内的给排水工程、电气工程、暖通工程、医用气体工程等内容；（具体内容详见招标工程量清单）</w:t>
            </w:r>
          </w:p>
        </w:tc>
      </w:tr>
      <w:tr w14:paraId="0557C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84" w:type="dxa"/>
            <w:vAlign w:val="center"/>
          </w:tcPr>
          <w:p w14:paraId="36772C59">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1.3.2</w:t>
            </w:r>
          </w:p>
        </w:tc>
        <w:tc>
          <w:tcPr>
            <w:tcW w:w="1746" w:type="dxa"/>
            <w:vAlign w:val="center"/>
          </w:tcPr>
          <w:p w14:paraId="6D866A91">
            <w:pPr>
              <w:spacing w:line="360" w:lineRule="auto"/>
              <w:jc w:val="center"/>
              <w:rPr>
                <w:rFonts w:hint="default" w:ascii="宋体" w:hAnsi="宋体" w:eastAsia="宋体" w:cs="宋体"/>
                <w:i w:val="0"/>
                <w:iCs w:val="0"/>
                <w:color w:val="auto"/>
                <w:sz w:val="21"/>
                <w:szCs w:val="21"/>
                <w:highlight w:val="none"/>
                <w:lang w:val="en-US" w:eastAsia="zh-CN"/>
              </w:rPr>
            </w:pPr>
            <w:r>
              <w:rPr>
                <w:rFonts w:hint="eastAsia" w:ascii="宋体" w:hAnsi="宋体" w:eastAsia="宋体" w:cs="宋体"/>
                <w:i w:val="0"/>
                <w:iCs w:val="0"/>
                <w:color w:val="auto"/>
                <w:sz w:val="21"/>
                <w:szCs w:val="21"/>
                <w:highlight w:val="none"/>
                <w:lang w:val="en-US" w:eastAsia="zh-CN"/>
              </w:rPr>
              <w:t>工期</w:t>
            </w:r>
            <w:r>
              <w:rPr>
                <w:rFonts w:hint="eastAsia" w:ascii="宋体" w:hAnsi="宋体" w:cs="宋体"/>
                <w:i w:val="0"/>
                <w:iCs w:val="0"/>
                <w:color w:val="auto"/>
                <w:sz w:val="21"/>
                <w:szCs w:val="21"/>
                <w:highlight w:val="none"/>
                <w:lang w:val="en-US" w:eastAsia="zh-CN"/>
              </w:rPr>
              <w:t>要求</w:t>
            </w:r>
          </w:p>
        </w:tc>
        <w:tc>
          <w:tcPr>
            <w:tcW w:w="7535" w:type="dxa"/>
            <w:vAlign w:val="center"/>
          </w:tcPr>
          <w:p w14:paraId="3D8CBFEE">
            <w:pPr>
              <w:spacing w:line="360" w:lineRule="auto"/>
              <w:rPr>
                <w:rFonts w:hint="default" w:ascii="宋体" w:hAnsi="宋体" w:eastAsia="宋体" w:cs="宋体"/>
                <w:i w:val="0"/>
                <w:iCs w:val="0"/>
                <w:color w:val="auto"/>
                <w:sz w:val="21"/>
                <w:szCs w:val="21"/>
                <w:highlight w:val="none"/>
                <w:lang w:val="en-US" w:eastAsia="zh-CN"/>
              </w:rPr>
            </w:pPr>
            <w:r>
              <w:rPr>
                <w:rFonts w:hint="eastAsia" w:ascii="宋体" w:hAnsi="宋体" w:cs="宋体"/>
                <w:i w:val="0"/>
                <w:iCs w:val="0"/>
                <w:color w:val="auto"/>
                <w:sz w:val="21"/>
                <w:szCs w:val="21"/>
                <w:highlight w:val="none"/>
                <w:lang w:val="en-US" w:eastAsia="zh-CN"/>
              </w:rPr>
              <w:t>90日历天</w:t>
            </w:r>
          </w:p>
        </w:tc>
      </w:tr>
      <w:tr w14:paraId="70F7B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4D4D90CC">
            <w:pPr>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r>
              <w:rPr>
                <w:rFonts w:hint="eastAsia" w:ascii="宋体" w:hAnsi="宋体" w:cs="宋体"/>
                <w:color w:val="auto"/>
                <w:sz w:val="21"/>
                <w:szCs w:val="21"/>
                <w:highlight w:val="none"/>
                <w:lang w:val="en-US" w:eastAsia="zh-CN"/>
              </w:rPr>
              <w:t>3</w:t>
            </w:r>
          </w:p>
        </w:tc>
        <w:tc>
          <w:tcPr>
            <w:tcW w:w="1746" w:type="dxa"/>
            <w:vAlign w:val="center"/>
          </w:tcPr>
          <w:p w14:paraId="6771E2DB">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质量标准</w:t>
            </w:r>
          </w:p>
        </w:tc>
        <w:tc>
          <w:tcPr>
            <w:tcW w:w="7535" w:type="dxa"/>
            <w:vAlign w:val="center"/>
          </w:tcPr>
          <w:p w14:paraId="036F55CB">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Cs w:val="21"/>
                <w:highlight w:val="none"/>
                <w:lang w:val="en-US" w:eastAsia="zh-CN"/>
              </w:rPr>
              <w:t>符合国家和行业相关技术标准、规范及要求，一次性验收合格。</w:t>
            </w:r>
          </w:p>
        </w:tc>
      </w:tr>
      <w:tr w14:paraId="4C7B4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vAlign w:val="center"/>
          </w:tcPr>
          <w:p w14:paraId="585AC5D8">
            <w:pPr>
              <w:autoSpaceDE w:val="0"/>
              <w:autoSpaceDN w:val="0"/>
              <w:jc w:val="center"/>
              <w:rPr>
                <w:rFonts w:ascii="宋体" w:hAnsi="宋体" w:cs="宋体"/>
                <w:bCs/>
                <w:color w:val="auto"/>
                <w:szCs w:val="21"/>
                <w:highlight w:val="none"/>
              </w:rPr>
            </w:pPr>
            <w:r>
              <w:rPr>
                <w:rFonts w:hint="eastAsia" w:ascii="宋体" w:hAnsi="宋体" w:cs="宋体"/>
                <w:bCs/>
                <w:color w:val="auto"/>
                <w:szCs w:val="21"/>
                <w:highlight w:val="none"/>
              </w:rPr>
              <w:t>1.4.1</w:t>
            </w:r>
          </w:p>
        </w:tc>
        <w:tc>
          <w:tcPr>
            <w:tcW w:w="1746" w:type="dxa"/>
            <w:vAlign w:val="center"/>
          </w:tcPr>
          <w:p w14:paraId="605737C1">
            <w:pPr>
              <w:autoSpaceDE w:val="0"/>
              <w:autoSpaceDN w:val="0"/>
              <w:jc w:val="center"/>
              <w:rPr>
                <w:rFonts w:ascii="宋体" w:hAnsi="宋体" w:cs="宋体"/>
                <w:bCs/>
                <w:color w:val="auto"/>
                <w:szCs w:val="21"/>
                <w:highlight w:val="none"/>
              </w:rPr>
            </w:pPr>
            <w:r>
              <w:rPr>
                <w:rFonts w:hint="eastAsia" w:ascii="宋体" w:hAnsi="宋体" w:cs="宋体"/>
                <w:color w:val="auto"/>
                <w:szCs w:val="21"/>
                <w:highlight w:val="none"/>
              </w:rPr>
              <w:t>供应商资质条件、能力和信誉</w:t>
            </w:r>
          </w:p>
        </w:tc>
        <w:tc>
          <w:tcPr>
            <w:tcW w:w="7535" w:type="dxa"/>
            <w:vAlign w:val="center"/>
          </w:tcPr>
          <w:p w14:paraId="5600D0CC">
            <w:pPr>
              <w:keepNext w:val="0"/>
              <w:keepLines w:val="0"/>
              <w:pageBreakBefore w:val="0"/>
              <w:kinsoku/>
              <w:wordWrap/>
              <w:topLinePunct w:val="0"/>
              <w:bidi w:val="0"/>
              <w:snapToGrid/>
              <w:spacing w:line="480" w:lineRule="exact"/>
              <w:ind w:firstLine="420" w:firstLineChars="200"/>
              <w:jc w:val="left"/>
              <w:rPr>
                <w:rFonts w:hint="eastAsia" w:ascii="宋体" w:hAnsi="宋体" w:eastAsia="宋体" w:cs="宋体"/>
                <w:bCs/>
                <w:color w:val="auto"/>
                <w:kern w:val="0"/>
                <w:sz w:val="21"/>
                <w:szCs w:val="21"/>
                <w:highlight w:val="none"/>
                <w:lang w:eastAsia="zh-CN"/>
              </w:rPr>
            </w:pPr>
            <w:r>
              <w:rPr>
                <w:rFonts w:hint="eastAsia" w:ascii="宋体" w:hAnsi="宋体" w:eastAsia="宋体" w:cs="宋体"/>
                <w:bCs/>
                <w:color w:val="auto"/>
                <w:kern w:val="0"/>
                <w:sz w:val="21"/>
                <w:szCs w:val="21"/>
                <w:highlight w:val="none"/>
              </w:rPr>
              <w:t>1.满足《中华人民共和国政府采购法》第二十二条规定</w:t>
            </w:r>
            <w:r>
              <w:rPr>
                <w:rFonts w:hint="eastAsia" w:ascii="宋体" w:hAnsi="宋体" w:cs="宋体"/>
                <w:bCs/>
                <w:color w:val="auto"/>
                <w:kern w:val="0"/>
                <w:sz w:val="21"/>
                <w:szCs w:val="21"/>
                <w:highlight w:val="none"/>
                <w:lang w:eastAsia="zh-CN"/>
              </w:rPr>
              <w:t>：</w:t>
            </w:r>
          </w:p>
          <w:p w14:paraId="3FC30C18">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具有独立承担民事责任的能力：</w:t>
            </w:r>
            <w:r>
              <w:rPr>
                <w:rFonts w:hint="eastAsia" w:ascii="宋体" w:hAnsi="宋体" w:cs="宋体"/>
                <w:color w:val="auto"/>
                <w:sz w:val="21"/>
                <w:szCs w:val="21"/>
                <w:highlight w:val="none"/>
                <w:lang w:val="en-US" w:eastAsia="zh-CN"/>
              </w:rPr>
              <w:t>提供法人或者其他组织的营业执照等证明文件，自然人的身份证明；</w:t>
            </w:r>
          </w:p>
          <w:p w14:paraId="2A463D1E">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具有良好的商业信誉和健全的财务会计制度：</w:t>
            </w:r>
          </w:p>
          <w:p w14:paraId="56160BDA">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良好的商业信誉：①供应商应在“信用中国”（https://www.creditchina.gov.cn/）中未被列入重大税收违法失信主体。②供应商应在“中国政府采购网”（http://www.ccgp.gov.cn/）中未被列入政府采购严重违法失信行为记录名单。③供应商应在“中国执行信息公开网”（http://zxgk.court.gov.cn/）中未被列入失信被执行人（备注：以上网站均由磋商小组在资格审查时查询，若供应商有失信行为，则不满足资格要求）</w:t>
            </w:r>
            <w:r>
              <w:rPr>
                <w:rFonts w:hint="eastAsia" w:ascii="宋体" w:hAnsi="宋体" w:eastAsia="宋体" w:cs="宋体"/>
                <w:color w:val="auto"/>
                <w:sz w:val="21"/>
                <w:szCs w:val="21"/>
                <w:highlight w:val="none"/>
                <w:lang w:val="en-US" w:eastAsia="zh-CN"/>
              </w:rPr>
              <w:t>；</w:t>
            </w:r>
          </w:p>
          <w:p w14:paraId="3C39D673">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健全的财务会计制度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内容可为以下</w:t>
            </w:r>
            <w:r>
              <w:rPr>
                <w:rFonts w:hint="eastAsia" w:ascii="宋体" w:hAnsi="宋体" w:cs="宋体"/>
                <w:color w:val="auto"/>
                <w:sz w:val="21"/>
                <w:szCs w:val="21"/>
                <w:highlight w:val="none"/>
                <w:lang w:val="en-US" w:eastAsia="zh-CN"/>
              </w:rPr>
              <w:t>二</w:t>
            </w:r>
            <w:r>
              <w:rPr>
                <w:rFonts w:hint="eastAsia" w:ascii="宋体" w:hAnsi="宋体" w:eastAsia="宋体" w:cs="宋体"/>
                <w:color w:val="auto"/>
                <w:sz w:val="21"/>
                <w:szCs w:val="21"/>
                <w:highlight w:val="none"/>
                <w:lang w:val="en-US" w:eastAsia="zh-CN"/>
              </w:rPr>
              <w:t>者之一</w:t>
            </w:r>
            <w:r>
              <w:rPr>
                <w:rFonts w:hint="eastAsia" w:ascii="宋体" w:hAnsi="宋体" w:eastAsia="宋体" w:cs="宋体"/>
                <w:color w:val="auto"/>
                <w:sz w:val="21"/>
                <w:szCs w:val="21"/>
                <w:highlight w:val="none"/>
                <w:lang w:eastAsia="zh-CN"/>
              </w:rPr>
              <w:t>）：</w:t>
            </w:r>
            <w:r>
              <w:rPr>
                <w:rFonts w:hint="eastAsia" w:ascii="宋体" w:hAnsi="宋体" w:cs="宋体"/>
                <w:color w:val="auto"/>
                <w:sz w:val="21"/>
                <w:szCs w:val="21"/>
                <w:highlight w:val="none"/>
                <w:lang w:eastAsia="zh-CN"/>
              </w:rPr>
              <w:t>①提供2023年至今任意年度经第三方审计机构审计的财务状况报告（包括资产负债表、利润表、现金流量表），成立不满1年的供应商提供自行编制的自成立至今的财务报表(包括资产负债表、利润表、现金流量表)；②提供基本开户银行出具的资信证明；</w:t>
            </w:r>
          </w:p>
          <w:p w14:paraId="4E7719FF">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具有履行合同所必需的设备和专业技术能力：</w:t>
            </w:r>
            <w:r>
              <w:rPr>
                <w:rFonts w:hint="eastAsia" w:ascii="宋体" w:hAnsi="宋体" w:cs="宋体"/>
                <w:color w:val="auto"/>
                <w:sz w:val="21"/>
                <w:szCs w:val="21"/>
                <w:highlight w:val="none"/>
                <w:lang w:val="en-US" w:eastAsia="zh-CN"/>
              </w:rPr>
              <w:t>提供供应商具有履行合同所必需的设备和专业技术能力证明材料</w:t>
            </w:r>
            <w:r>
              <w:rPr>
                <w:rFonts w:hint="eastAsia" w:ascii="宋体" w:hAnsi="宋体" w:eastAsia="宋体" w:cs="宋体"/>
                <w:color w:val="auto"/>
                <w:sz w:val="21"/>
                <w:szCs w:val="21"/>
                <w:highlight w:val="none"/>
              </w:rPr>
              <w:t>；</w:t>
            </w:r>
          </w:p>
          <w:p w14:paraId="661B81AC">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具有依法纳税和社会保障资金的良好记录：</w:t>
            </w:r>
            <w:r>
              <w:rPr>
                <w:rFonts w:hint="eastAsia" w:ascii="宋体" w:hAnsi="宋体" w:cs="宋体"/>
                <w:color w:val="auto"/>
                <w:sz w:val="21"/>
                <w:szCs w:val="21"/>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r>
              <w:rPr>
                <w:rFonts w:hint="eastAsia" w:ascii="宋体" w:hAnsi="宋体" w:eastAsia="宋体" w:cs="宋体"/>
                <w:color w:val="auto"/>
                <w:sz w:val="21"/>
                <w:szCs w:val="21"/>
                <w:highlight w:val="none"/>
              </w:rPr>
              <w:t>；</w:t>
            </w:r>
          </w:p>
          <w:p w14:paraId="5073EB97">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val="en-US" w:eastAsia="zh-CN"/>
              </w:rPr>
              <w:t>参与本次政府采购活动前三年内，在经营活动中没有重大违法记录：提供参加本次政府采购活动前三年内在经营活动中没有重大违法记录的书面声明</w:t>
            </w:r>
            <w:r>
              <w:rPr>
                <w:rFonts w:hint="eastAsia" w:ascii="宋体" w:hAnsi="宋体" w:eastAsia="宋体" w:cs="宋体"/>
                <w:color w:val="auto"/>
                <w:sz w:val="21"/>
                <w:szCs w:val="21"/>
                <w:highlight w:val="none"/>
              </w:rPr>
              <w:t>；</w:t>
            </w:r>
          </w:p>
          <w:p w14:paraId="7363BA3F">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val="en-US" w:eastAsia="zh-CN"/>
              </w:rPr>
              <w:t>法律、行政法规规定的其他条件</w:t>
            </w:r>
            <w:r>
              <w:rPr>
                <w:rFonts w:hint="eastAsia" w:ascii="宋体" w:hAnsi="宋体" w:cs="宋体"/>
                <w:color w:val="auto"/>
                <w:sz w:val="21"/>
                <w:szCs w:val="21"/>
                <w:highlight w:val="none"/>
                <w:lang w:val="en-US" w:eastAsia="zh-CN"/>
              </w:rPr>
              <w:t>：</w:t>
            </w:r>
          </w:p>
          <w:p w14:paraId="0E6886A5">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p>
          <w:p w14:paraId="584B7A86">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p>
          <w:p w14:paraId="57E601F8">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1D84394">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（1）本项目不属于专门面向中小企业采购的项目；</w:t>
            </w:r>
          </w:p>
          <w:p w14:paraId="26621013">
            <w:pPr>
              <w:pStyle w:val="13"/>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财库〔2014〕68号)、《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p>
          <w:p w14:paraId="53DF81B9">
            <w:pPr>
              <w:pStyle w:val="39"/>
              <w:keepNext w:val="0"/>
              <w:keepLines w:val="0"/>
              <w:pageBreakBefore w:val="0"/>
              <w:kinsoku/>
              <w:wordWrap/>
              <w:topLinePunct w:val="0"/>
              <w:bidi w:val="0"/>
              <w:snapToGrid/>
              <w:spacing w:after="0" w:line="480" w:lineRule="exact"/>
              <w:ind w:left="0" w:leftChars="0" w:firstLine="420" w:firstLineChars="200"/>
              <w:rPr>
                <w:rFonts w:hint="eastAsia" w:ascii="宋体" w:hAnsi="宋体" w:eastAsia="宋体" w:cs="宋体"/>
                <w:color w:val="auto"/>
                <w:spacing w:val="0"/>
                <w:kern w:val="2"/>
                <w:sz w:val="21"/>
                <w:szCs w:val="21"/>
                <w:highlight w:val="none"/>
                <w:lang w:val="en-US" w:eastAsia="zh-CN" w:bidi="ar-SA"/>
              </w:rPr>
            </w:pPr>
            <w:r>
              <w:rPr>
                <w:rFonts w:hint="eastAsia" w:ascii="宋体" w:hAnsi="宋体" w:eastAsia="宋体" w:cs="宋体"/>
                <w:color w:val="auto"/>
                <w:spacing w:val="0"/>
                <w:kern w:val="2"/>
                <w:sz w:val="21"/>
                <w:szCs w:val="21"/>
                <w:highlight w:val="none"/>
                <w:lang w:val="en-US" w:eastAsia="zh-CN" w:bidi="ar-SA"/>
              </w:rPr>
              <w:t>3.本项目的特定资格要求：</w:t>
            </w:r>
          </w:p>
          <w:p w14:paraId="3FE7D964">
            <w:pPr>
              <w:pStyle w:val="13"/>
              <w:keepNext w:val="0"/>
              <w:keepLines w:val="0"/>
              <w:pageBreakBefore w:val="0"/>
              <w:kinsoku/>
              <w:wordWrap/>
              <w:topLinePunct w:val="0"/>
              <w:bidi w:val="0"/>
              <w:snapToGrid/>
              <w:spacing w:after="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企业资质：</w:t>
            </w:r>
            <w:r>
              <w:rPr>
                <w:rFonts w:hint="eastAsia" w:ascii="宋体" w:hAnsi="宋体" w:cs="宋体"/>
                <w:color w:val="auto"/>
                <w:sz w:val="21"/>
                <w:szCs w:val="21"/>
                <w:highlight w:val="none"/>
                <w:lang w:val="en-US" w:eastAsia="zh-CN"/>
              </w:rPr>
              <w:t>供应商须</w:t>
            </w:r>
            <w:r>
              <w:rPr>
                <w:rFonts w:hint="eastAsia" w:ascii="宋体" w:hAnsi="宋体" w:cs="宋体"/>
                <w:color w:val="auto"/>
                <w:sz w:val="21"/>
                <w:szCs w:val="21"/>
                <w:highlight w:val="none"/>
                <w:lang w:eastAsia="zh-CN"/>
              </w:rPr>
              <w:t>具备</w:t>
            </w:r>
            <w:r>
              <w:rPr>
                <w:rFonts w:hint="eastAsia" w:ascii="宋体" w:hAnsi="宋体" w:cs="宋体"/>
                <w:color w:val="auto"/>
                <w:sz w:val="21"/>
                <w:szCs w:val="21"/>
                <w:highlight w:val="none"/>
                <w:lang w:val="en-US" w:eastAsia="zh-CN"/>
              </w:rPr>
              <w:t>建设行政主管部门颁发的</w:t>
            </w:r>
            <w:r>
              <w:rPr>
                <w:rFonts w:hint="eastAsia" w:ascii="宋体" w:hAnsi="宋体" w:cs="宋体"/>
                <w:color w:val="auto"/>
                <w:sz w:val="21"/>
                <w:szCs w:val="21"/>
                <w:highlight w:val="none"/>
                <w:lang w:eastAsia="zh-CN"/>
              </w:rPr>
              <w:t>建筑工程施工总承包叁级</w:t>
            </w:r>
            <w:r>
              <w:rPr>
                <w:rFonts w:hint="eastAsia" w:ascii="宋体" w:hAnsi="宋体" w:cs="宋体"/>
                <w:color w:val="auto"/>
                <w:sz w:val="21"/>
                <w:szCs w:val="21"/>
                <w:highlight w:val="none"/>
                <w:lang w:val="en-US" w:eastAsia="zh-CN"/>
              </w:rPr>
              <w:t>及</w:t>
            </w:r>
            <w:r>
              <w:rPr>
                <w:rFonts w:hint="eastAsia" w:ascii="宋体" w:hAnsi="宋体" w:cs="宋体"/>
                <w:color w:val="auto"/>
                <w:sz w:val="21"/>
                <w:szCs w:val="21"/>
                <w:highlight w:val="none"/>
                <w:lang w:eastAsia="zh-CN"/>
              </w:rPr>
              <w:t>以上资质</w:t>
            </w:r>
            <w:r>
              <w:rPr>
                <w:rFonts w:hint="eastAsia" w:ascii="宋体" w:hAnsi="宋体" w:cs="宋体"/>
                <w:color w:val="auto"/>
                <w:sz w:val="21"/>
                <w:szCs w:val="21"/>
                <w:highlight w:val="none"/>
                <w:lang w:val="en-US" w:eastAsia="zh-CN"/>
              </w:rPr>
              <w:t>；</w:t>
            </w:r>
          </w:p>
          <w:p w14:paraId="08462A2D">
            <w:pPr>
              <w:pStyle w:val="13"/>
              <w:keepNext w:val="0"/>
              <w:keepLines w:val="0"/>
              <w:pageBreakBefore w:val="0"/>
              <w:kinsoku/>
              <w:wordWrap/>
              <w:topLinePunct w:val="0"/>
              <w:bidi w:val="0"/>
              <w:snapToGrid/>
              <w:spacing w:after="0" w:line="460" w:lineRule="exact"/>
              <w:ind w:left="0" w:lef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（2）安全生产许可证：具备有效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p>
          <w:p w14:paraId="24B4A397">
            <w:pPr>
              <w:pStyle w:val="13"/>
              <w:keepNext w:val="0"/>
              <w:keepLines w:val="0"/>
              <w:pageBreakBefore w:val="0"/>
              <w:kinsoku/>
              <w:wordWrap/>
              <w:topLinePunct w:val="0"/>
              <w:bidi w:val="0"/>
              <w:snapToGrid/>
              <w:spacing w:after="0" w:line="480" w:lineRule="exact"/>
              <w:ind w:left="0" w:leftChars="0" w:firstLine="420" w:firstLineChars="200"/>
              <w:rPr>
                <w:rFonts w:hint="eastAsia"/>
                <w:color w:val="auto"/>
                <w:highlight w:val="none"/>
                <w:lang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拟派项目经理资格：拟派的建造师（项目经理）必须具有建筑工程专业贰级（含贰级）以上注册建造师资格，具备合格有效的安全生产考核合格证书，承诺无在建工程，且是本单位的在职人员。</w:t>
            </w:r>
          </w:p>
        </w:tc>
      </w:tr>
      <w:tr w14:paraId="2BA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47F4DF23">
            <w:pPr>
              <w:pStyle w:val="13"/>
              <w:spacing w:line="44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1.4.2</w:t>
            </w:r>
          </w:p>
        </w:tc>
        <w:tc>
          <w:tcPr>
            <w:tcW w:w="1746" w:type="dxa"/>
            <w:vAlign w:val="center"/>
          </w:tcPr>
          <w:p w14:paraId="2F873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是否接受联合体</w:t>
            </w:r>
          </w:p>
        </w:tc>
        <w:tc>
          <w:tcPr>
            <w:tcW w:w="7535" w:type="dxa"/>
            <w:vAlign w:val="center"/>
          </w:tcPr>
          <w:p w14:paraId="1D5C7AC5">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 xml:space="preserve">否             </w:t>
            </w: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是</w:t>
            </w:r>
          </w:p>
        </w:tc>
      </w:tr>
      <w:tr w14:paraId="0185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45ABB335">
            <w:pPr>
              <w:pStyle w:val="13"/>
              <w:spacing w:line="44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1.9.1</w:t>
            </w:r>
          </w:p>
        </w:tc>
        <w:tc>
          <w:tcPr>
            <w:tcW w:w="1746" w:type="dxa"/>
            <w:vAlign w:val="center"/>
          </w:tcPr>
          <w:p w14:paraId="318034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踏勘现场</w:t>
            </w:r>
          </w:p>
        </w:tc>
        <w:tc>
          <w:tcPr>
            <w:tcW w:w="7535" w:type="dxa"/>
            <w:vAlign w:val="center"/>
          </w:tcPr>
          <w:p w14:paraId="12814A55">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 xml:space="preserve">不组织         </w:t>
            </w: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 xml:space="preserve">组织  </w:t>
            </w:r>
          </w:p>
        </w:tc>
      </w:tr>
      <w:tr w14:paraId="02F37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785E5641">
            <w:pPr>
              <w:pStyle w:val="13"/>
              <w:spacing w:line="44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1.10</w:t>
            </w:r>
          </w:p>
        </w:tc>
        <w:tc>
          <w:tcPr>
            <w:tcW w:w="1746" w:type="dxa"/>
            <w:vAlign w:val="center"/>
          </w:tcPr>
          <w:p w14:paraId="1B633F1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磋商预备会</w:t>
            </w:r>
          </w:p>
        </w:tc>
        <w:tc>
          <w:tcPr>
            <w:tcW w:w="7535" w:type="dxa"/>
            <w:vAlign w:val="center"/>
          </w:tcPr>
          <w:p w14:paraId="5D85C703">
            <w:pPr>
              <w:pStyle w:val="3"/>
              <w:keepNext/>
              <w:keepLines/>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 xml:space="preserve">不召开         </w:t>
            </w:r>
            <w:r>
              <w:rPr>
                <w:rFonts w:hint="eastAsia" w:ascii="宋体" w:hAnsi="宋体" w:eastAsia="宋体" w:cs="宋体"/>
                <w:b w:val="0"/>
                <w:bCs w:val="0"/>
                <w:color w:val="auto"/>
                <w:kern w:val="2"/>
                <w:sz w:val="21"/>
                <w:szCs w:val="21"/>
                <w:highlight w:val="none"/>
                <w:lang w:val="en-US" w:eastAsia="zh-CN"/>
              </w:rPr>
              <w:fldChar w:fldCharType="begin"/>
            </w:r>
            <w:r>
              <w:rPr>
                <w:rFonts w:hint="eastAsia" w:ascii="宋体" w:hAnsi="宋体" w:eastAsia="宋体" w:cs="宋体"/>
                <w:b w:val="0"/>
                <w:bCs w:val="0"/>
                <w:color w:val="auto"/>
                <w:kern w:val="2"/>
                <w:sz w:val="21"/>
                <w:szCs w:val="21"/>
                <w:highlight w:val="none"/>
                <w:lang w:val="en-US" w:eastAsia="zh-CN"/>
              </w:rPr>
              <w:instrText xml:space="preserve"> eq \o\ac(</w:instrText>
            </w:r>
            <w:r>
              <w:rPr>
                <w:rFonts w:hint="eastAsia" w:ascii="宋体" w:hAnsi="宋体" w:eastAsia="宋体" w:cs="宋体"/>
                <w:b w:val="0"/>
                <w:bCs w:val="0"/>
                <w:color w:val="auto"/>
                <w:kern w:val="2"/>
                <w:position w:val="-4"/>
                <w:sz w:val="31"/>
                <w:szCs w:val="21"/>
                <w:highlight w:val="none"/>
                <w:lang w:val="en-US" w:eastAsia="zh-CN"/>
              </w:rPr>
              <w:instrText xml:space="preserve">□</w:instrText>
            </w:r>
            <w:r>
              <w:rPr>
                <w:rFonts w:hint="eastAsia" w:ascii="宋体" w:hAnsi="宋体" w:eastAsia="宋体" w:cs="宋体"/>
                <w:b w:val="0"/>
                <w:bCs w:val="0"/>
                <w:color w:val="auto"/>
                <w:kern w:val="2"/>
                <w:position w:val="0"/>
                <w:sz w:val="21"/>
                <w:szCs w:val="21"/>
                <w:highlight w:val="none"/>
                <w:lang w:val="en-US" w:eastAsia="zh-CN"/>
              </w:rPr>
              <w:instrText xml:space="preserve">)</w:instrText>
            </w:r>
            <w:r>
              <w:rPr>
                <w:rFonts w:hint="eastAsia" w:ascii="宋体" w:hAnsi="宋体" w:eastAsia="宋体" w:cs="宋体"/>
                <w:b w:val="0"/>
                <w:bCs w:val="0"/>
                <w:color w:val="auto"/>
                <w:kern w:val="2"/>
                <w:sz w:val="21"/>
                <w:szCs w:val="21"/>
                <w:highlight w:val="none"/>
                <w:lang w:val="en-US" w:eastAsia="zh-CN"/>
              </w:rPr>
              <w:fldChar w:fldCharType="end"/>
            </w:r>
            <w:r>
              <w:rPr>
                <w:rFonts w:hint="eastAsia" w:ascii="宋体" w:hAnsi="宋体" w:eastAsia="宋体" w:cs="宋体"/>
                <w:b w:val="0"/>
                <w:bCs w:val="0"/>
                <w:color w:val="auto"/>
                <w:kern w:val="2"/>
                <w:sz w:val="21"/>
                <w:szCs w:val="21"/>
                <w:highlight w:val="none"/>
                <w:lang w:val="en-US" w:eastAsia="zh-CN"/>
              </w:rPr>
              <w:t>召开</w:t>
            </w:r>
          </w:p>
        </w:tc>
      </w:tr>
      <w:tr w14:paraId="7B03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08469CCB">
            <w:pPr>
              <w:pStyle w:val="13"/>
              <w:spacing w:line="44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1.11</w:t>
            </w:r>
          </w:p>
        </w:tc>
        <w:tc>
          <w:tcPr>
            <w:tcW w:w="1746" w:type="dxa"/>
            <w:vAlign w:val="center"/>
          </w:tcPr>
          <w:p w14:paraId="24B065A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分包</w:t>
            </w:r>
          </w:p>
        </w:tc>
        <w:tc>
          <w:tcPr>
            <w:tcW w:w="7535" w:type="dxa"/>
            <w:vAlign w:val="center"/>
          </w:tcPr>
          <w:p w14:paraId="62D3BC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cs="宋体"/>
                <w:bCs/>
                <w:color w:val="auto"/>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position w:val="-4"/>
                <w:sz w:val="31"/>
                <w:szCs w:val="21"/>
                <w:highlight w:val="none"/>
                <w:lang w:eastAsia="zh-CN"/>
              </w:rPr>
              <w:instrText xml:space="preserve">,</w:instrText>
            </w:r>
            <w:r>
              <w:rPr>
                <w:rFonts w:hint="eastAsia" w:ascii="宋体" w:hAnsi="宋体" w:cs="宋体"/>
                <w:color w:val="auto"/>
                <w:position w:val="0"/>
                <w:sz w:val="21"/>
                <w:szCs w:val="21"/>
                <w:highlight w:val="none"/>
                <w:lang w:eastAsia="zh-CN"/>
              </w:rPr>
              <w:instrText xml:space="preserve">√</w:instrText>
            </w:r>
            <w:r>
              <w:rPr>
                <w:rFonts w:hint="eastAsia" w:ascii="宋体" w:hAnsi="宋体" w:cs="宋体"/>
                <w:color w:val="auto"/>
                <w:position w:val="0"/>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cs="宋体"/>
                <w:bCs/>
                <w:color w:val="auto"/>
                <w:sz w:val="21"/>
                <w:szCs w:val="21"/>
                <w:highlight w:val="none"/>
                <w:lang w:val="en-US" w:eastAsia="zh-CN"/>
              </w:rPr>
              <w:t>不允许</w:t>
            </w:r>
            <w:r>
              <w:rPr>
                <w:rFonts w:hint="eastAsia" w:ascii="宋体" w:hAnsi="宋体" w:cs="宋体"/>
                <w:bCs/>
                <w:color w:val="auto"/>
                <w:szCs w:val="21"/>
                <w:highlight w:val="none"/>
              </w:rPr>
              <w:t xml:space="preserve"> </w:t>
            </w:r>
          </w:p>
          <w:p w14:paraId="1FF270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bCs/>
                <w:color w:val="auto"/>
                <w:szCs w:val="21"/>
                <w:highlight w:val="none"/>
                <w:lang w:val="en-US" w:eastAsia="zh-CN"/>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position w:val="0"/>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cs="宋体"/>
                <w:bCs/>
                <w:color w:val="auto"/>
                <w:sz w:val="21"/>
                <w:szCs w:val="21"/>
                <w:highlight w:val="none"/>
                <w:lang w:val="en-US" w:eastAsia="zh-CN"/>
              </w:rPr>
              <w:t>允许：</w:t>
            </w:r>
            <w:r>
              <w:rPr>
                <w:rFonts w:hint="eastAsia" w:ascii="宋体" w:hAnsi="宋体" w:cs="宋体"/>
                <w:color w:val="auto"/>
                <w:szCs w:val="21"/>
                <w:highlight w:val="none"/>
              </w:rPr>
              <w:t>分包内容要求：</w:t>
            </w:r>
            <w:r>
              <w:rPr>
                <w:rFonts w:hint="eastAsia" w:ascii="宋体" w:hAnsi="宋体" w:cs="宋体"/>
                <w:color w:val="auto"/>
                <w:szCs w:val="21"/>
                <w:highlight w:val="none"/>
                <w:lang w:val="en-US" w:eastAsia="zh-CN"/>
              </w:rPr>
              <w:t>/</w:t>
            </w:r>
          </w:p>
        </w:tc>
      </w:tr>
      <w:tr w14:paraId="4CD22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FCFA93D">
            <w:pPr>
              <w:pStyle w:val="13"/>
              <w:spacing w:line="440" w:lineRule="exact"/>
              <w:ind w:left="0" w:leftChars="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1.12</w:t>
            </w:r>
          </w:p>
        </w:tc>
        <w:tc>
          <w:tcPr>
            <w:tcW w:w="1746" w:type="dxa"/>
            <w:vAlign w:val="center"/>
          </w:tcPr>
          <w:p w14:paraId="5363E49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偏离</w:t>
            </w:r>
          </w:p>
        </w:tc>
        <w:tc>
          <w:tcPr>
            <w:tcW w:w="7535" w:type="dxa"/>
            <w:vAlign w:val="center"/>
          </w:tcPr>
          <w:p w14:paraId="48B823E9">
            <w:pPr>
              <w:pStyle w:val="13"/>
              <w:spacing w:line="440" w:lineRule="exact"/>
              <w:ind w:left="0" w:leftChars="0" w:firstLine="0" w:firstLineChars="0"/>
              <w:jc w:val="both"/>
              <w:rPr>
                <w:rFonts w:ascii="宋体" w:hAnsi="宋体" w:cs="宋体"/>
                <w:bCs/>
                <w:color w:val="auto"/>
                <w:szCs w:val="21"/>
                <w:highlight w:val="none"/>
              </w:rPr>
            </w:pP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position w:val="0"/>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eastAsia="宋体" w:cs="宋体"/>
                <w:color w:val="auto"/>
                <w:kern w:val="2"/>
                <w:sz w:val="21"/>
                <w:szCs w:val="21"/>
                <w:highlight w:val="none"/>
                <w:lang w:val="en-US" w:eastAsia="zh-CN" w:bidi="ar-SA"/>
              </w:rPr>
              <w:t xml:space="preserve">不允许     </w:t>
            </w:r>
            <w:r>
              <w:rPr>
                <w:rFonts w:hint="eastAsia" w:ascii="宋体" w:hAnsi="宋体" w:cs="宋体"/>
                <w:color w:val="auto"/>
                <w:sz w:val="21"/>
                <w:szCs w:val="21"/>
                <w:highlight w:val="none"/>
              </w:rPr>
              <w:fldChar w:fldCharType="begin"/>
            </w:r>
            <w:r>
              <w:rPr>
                <w:rFonts w:hint="eastAsia" w:ascii="宋体" w:hAnsi="宋体" w:cs="宋体"/>
                <w:color w:val="auto"/>
                <w:sz w:val="21"/>
                <w:szCs w:val="21"/>
                <w:highlight w:val="none"/>
              </w:rPr>
              <w:instrText xml:space="preserve"> eq \o\ac(</w:instrText>
            </w:r>
            <w:r>
              <w:rPr>
                <w:rFonts w:hint="eastAsia" w:ascii="宋体" w:hAnsi="宋体" w:cs="宋体"/>
                <w:color w:val="auto"/>
                <w:position w:val="-4"/>
                <w:sz w:val="31"/>
                <w:szCs w:val="21"/>
                <w:highlight w:val="none"/>
              </w:rPr>
              <w:instrText xml:space="preserve">□</w:instrText>
            </w:r>
            <w:r>
              <w:rPr>
                <w:rFonts w:hint="eastAsia" w:ascii="宋体" w:hAnsi="宋体" w:cs="宋体"/>
                <w:color w:val="auto"/>
                <w:position w:val="-4"/>
                <w:sz w:val="31"/>
                <w:szCs w:val="21"/>
                <w:highlight w:val="none"/>
                <w:lang w:eastAsia="zh-CN"/>
              </w:rPr>
              <w:instrText xml:space="preserve">,</w:instrText>
            </w:r>
            <w:r>
              <w:rPr>
                <w:rFonts w:hint="eastAsia" w:ascii="宋体" w:hAnsi="宋体" w:cs="宋体"/>
                <w:color w:val="auto"/>
                <w:position w:val="0"/>
                <w:sz w:val="21"/>
                <w:szCs w:val="21"/>
                <w:highlight w:val="none"/>
                <w:lang w:eastAsia="zh-CN"/>
              </w:rPr>
              <w:instrText xml:space="preserve">√</w:instrText>
            </w:r>
            <w:r>
              <w:rPr>
                <w:rFonts w:hint="eastAsia" w:ascii="宋体" w:hAnsi="宋体" w:cs="宋体"/>
                <w:color w:val="auto"/>
                <w:position w:val="0"/>
                <w:sz w:val="21"/>
                <w:szCs w:val="21"/>
                <w:highlight w:val="none"/>
              </w:rPr>
              <w:instrText xml:space="preserve">)</w:instrText>
            </w:r>
            <w:r>
              <w:rPr>
                <w:rFonts w:hint="eastAsia" w:ascii="宋体" w:hAnsi="宋体" w:cs="宋体"/>
                <w:color w:val="auto"/>
                <w:sz w:val="21"/>
                <w:szCs w:val="21"/>
                <w:highlight w:val="none"/>
              </w:rPr>
              <w:fldChar w:fldCharType="end"/>
            </w:r>
            <w:r>
              <w:rPr>
                <w:rFonts w:hint="eastAsia" w:ascii="宋体" w:hAnsi="宋体" w:eastAsia="宋体" w:cs="宋体"/>
                <w:color w:val="auto"/>
                <w:kern w:val="2"/>
                <w:sz w:val="21"/>
                <w:szCs w:val="21"/>
                <w:highlight w:val="none"/>
                <w:lang w:val="en-US" w:eastAsia="zh-CN" w:bidi="ar-SA"/>
              </w:rPr>
              <w:t>允许：允许正偏离</w:t>
            </w:r>
          </w:p>
        </w:tc>
      </w:tr>
      <w:tr w14:paraId="2AD3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5B57AFF">
            <w:pPr>
              <w:pStyle w:val="13"/>
              <w:spacing w:line="440" w:lineRule="exact"/>
              <w:ind w:left="0" w:leftChars="0" w:firstLine="0" w:firstLineChars="0"/>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2.2.1</w:t>
            </w:r>
          </w:p>
        </w:tc>
        <w:tc>
          <w:tcPr>
            <w:tcW w:w="1746" w:type="dxa"/>
            <w:vAlign w:val="center"/>
          </w:tcPr>
          <w:p w14:paraId="3A19813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磋商文件的澄清</w:t>
            </w:r>
          </w:p>
        </w:tc>
        <w:tc>
          <w:tcPr>
            <w:tcW w:w="7535" w:type="dxa"/>
            <w:vAlign w:val="center"/>
          </w:tcPr>
          <w:p w14:paraId="0B29C96A">
            <w:pPr>
              <w:spacing w:line="470" w:lineRule="exact"/>
              <w:jc w:val="left"/>
              <w:rPr>
                <w:rFonts w:hint="eastAsia" w:ascii="宋体" w:hAnsi="宋体" w:cs="宋体"/>
                <w:color w:val="auto"/>
                <w:szCs w:val="21"/>
              </w:rPr>
            </w:pPr>
            <w:r>
              <w:rPr>
                <w:rFonts w:hint="eastAsia" w:ascii="宋体" w:hAnsi="宋体" w:cs="宋体"/>
                <w:color w:val="auto"/>
                <w:szCs w:val="21"/>
                <w:lang w:eastAsia="zh-CN"/>
              </w:rPr>
              <w:t>供应商</w:t>
            </w:r>
            <w:r>
              <w:rPr>
                <w:rFonts w:hint="eastAsia" w:ascii="宋体" w:hAnsi="宋体" w:cs="宋体"/>
                <w:color w:val="auto"/>
                <w:szCs w:val="21"/>
              </w:rPr>
              <w:t>应仔细阅读和检查磋商文件的全部内容，如发现磋商文件缺页或附件不全或工程量清单漏算少算，应及时向采购人提出，以便补齐。</w:t>
            </w:r>
            <w:r>
              <w:rPr>
                <w:rFonts w:hint="eastAsia" w:ascii="宋体" w:hAnsi="宋体" w:cs="宋体"/>
                <w:color w:val="auto"/>
                <w:szCs w:val="21"/>
                <w:highlight w:val="none"/>
              </w:rPr>
              <w:t>如有疑问，应在供应商须知前附表规定的时间前凭企业数字证书（CA）登录“政采云”平台（网址：https://www.zcygov.cn/)中提出澄清申请，要求采购人对竞争性磋商文件予以澄清。</w:t>
            </w:r>
          </w:p>
          <w:p w14:paraId="174FE294">
            <w:pPr>
              <w:pStyle w:val="13"/>
              <w:spacing w:line="440" w:lineRule="exact"/>
              <w:ind w:left="0" w:leftChars="0" w:firstLine="0" w:firstLineChars="0"/>
              <w:jc w:val="both"/>
              <w:rPr>
                <w:rFonts w:hint="eastAsia" w:ascii="宋体" w:hAnsi="宋体" w:cs="宋体"/>
                <w:color w:val="auto"/>
                <w:sz w:val="21"/>
                <w:szCs w:val="21"/>
                <w:highlight w:val="none"/>
              </w:rPr>
            </w:pP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澄清内容，</w:t>
            </w:r>
            <w:r>
              <w:rPr>
                <w:rFonts w:hint="eastAsia" w:ascii="宋体" w:hAnsi="宋体" w:cs="宋体"/>
                <w:color w:val="auto"/>
                <w:szCs w:val="21"/>
              </w:rPr>
              <w:t>竞争性磋商文件的</w:t>
            </w:r>
            <w:r>
              <w:rPr>
                <w:rFonts w:hint="eastAsia" w:ascii="宋体" w:hAnsi="宋体" w:cs="宋体"/>
                <w:color w:val="auto"/>
                <w:szCs w:val="21"/>
                <w:lang w:eastAsia="zh-CN"/>
              </w:rPr>
              <w:t>澄清</w:t>
            </w:r>
            <w:r>
              <w:rPr>
                <w:rFonts w:hint="eastAsia" w:ascii="宋体" w:hAnsi="宋体" w:cs="宋体"/>
                <w:color w:val="auto"/>
                <w:szCs w:val="21"/>
              </w:rPr>
              <w:t>作为竞争性磋商文件的组成部分，并具有约束力。如果澄清发出的时间距磋商截止时间不足5天，并且澄清内容影响磋商响应文件编制的，应相应延长磋商截止时间</w:t>
            </w:r>
            <w:r>
              <w:rPr>
                <w:rFonts w:hint="eastAsia" w:ascii="宋体" w:hAnsi="宋体" w:cs="宋体"/>
                <w:color w:val="auto"/>
                <w:szCs w:val="21"/>
                <w:lang w:eastAsia="zh-CN"/>
              </w:rPr>
              <w:t>）</w:t>
            </w:r>
            <w:r>
              <w:rPr>
                <w:rFonts w:hint="eastAsia" w:ascii="宋体" w:hAnsi="宋体" w:cs="宋体"/>
                <w:color w:val="auto"/>
                <w:szCs w:val="21"/>
                <w:highlight w:val="none"/>
              </w:rPr>
              <w:t>。</w:t>
            </w:r>
          </w:p>
        </w:tc>
      </w:tr>
      <w:tr w14:paraId="7F6D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22E3AFA6">
            <w:pPr>
              <w:pStyle w:val="13"/>
              <w:spacing w:line="440" w:lineRule="exact"/>
              <w:ind w:left="0" w:leftChars="0" w:firstLine="0" w:firstLineChars="0"/>
              <w:jc w:val="center"/>
              <w:rPr>
                <w:rFonts w:hint="default" w:ascii="宋体" w:hAnsi="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2.2.2</w:t>
            </w:r>
          </w:p>
        </w:tc>
        <w:tc>
          <w:tcPr>
            <w:tcW w:w="1746" w:type="dxa"/>
            <w:vAlign w:val="center"/>
          </w:tcPr>
          <w:p w14:paraId="3D35F63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磋商截止时间</w:t>
            </w:r>
          </w:p>
        </w:tc>
        <w:tc>
          <w:tcPr>
            <w:tcW w:w="7535" w:type="dxa"/>
            <w:vAlign w:val="center"/>
          </w:tcPr>
          <w:p w14:paraId="7A3569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b w:val="0"/>
                <w:bCs w:val="0"/>
                <w:color w:val="auto"/>
                <w:szCs w:val="21"/>
              </w:rPr>
            </w:pPr>
            <w:r>
              <w:rPr>
                <w:rFonts w:hint="eastAsia" w:ascii="宋体" w:hAnsi="宋体" w:cs="宋体"/>
                <w:b w:val="0"/>
                <w:bCs w:val="0"/>
                <w:color w:val="auto"/>
                <w:szCs w:val="21"/>
                <w:lang w:val="en-US" w:eastAsia="zh-CN"/>
              </w:rPr>
              <w:t>2026年5月18日15时00分</w:t>
            </w:r>
          </w:p>
        </w:tc>
      </w:tr>
      <w:tr w14:paraId="778B8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499849D5">
            <w:pPr>
              <w:pStyle w:val="13"/>
              <w:spacing w:line="440" w:lineRule="exact"/>
              <w:ind w:left="0" w:leftChars="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2.2.3</w:t>
            </w:r>
          </w:p>
        </w:tc>
        <w:tc>
          <w:tcPr>
            <w:tcW w:w="1746" w:type="dxa"/>
            <w:vAlign w:val="center"/>
          </w:tcPr>
          <w:p w14:paraId="038C51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供应商确认收到招标文件澄清的时间</w:t>
            </w:r>
          </w:p>
        </w:tc>
        <w:tc>
          <w:tcPr>
            <w:tcW w:w="7535" w:type="dxa"/>
            <w:vAlign w:val="center"/>
          </w:tcPr>
          <w:p w14:paraId="327D5E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澄清，</w:t>
            </w:r>
            <w:r>
              <w:rPr>
                <w:rFonts w:hint="eastAsia" w:ascii="宋体" w:hAnsi="宋体" w:cs="宋体"/>
                <w:color w:val="auto"/>
                <w:szCs w:val="21"/>
              </w:rPr>
              <w:t>供应商应在</w:t>
            </w:r>
            <w:r>
              <w:rPr>
                <w:rFonts w:hint="eastAsia" w:ascii="宋体" w:hAnsi="宋体" w:cs="宋体"/>
                <w:color w:val="auto"/>
                <w:szCs w:val="21"/>
                <w:lang w:val="en-US" w:eastAsia="zh-CN"/>
              </w:rPr>
              <w:t>响应文件提交</w:t>
            </w:r>
            <w:r>
              <w:rPr>
                <w:rFonts w:hint="eastAsia" w:ascii="宋体" w:hAnsi="宋体" w:cs="宋体"/>
                <w:color w:val="auto"/>
                <w:szCs w:val="21"/>
              </w:rPr>
              <w:t>截止时间前自行登录“政采云”平台（网址：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"https://www.zcygov.cn/）获取，不需向采购人回复确认。" </w:instrText>
            </w:r>
            <w:r>
              <w:rPr>
                <w:rFonts w:hint="eastAsia" w:ascii="宋体" w:hAnsi="宋体" w:cs="宋体"/>
                <w:color w:val="auto"/>
                <w:szCs w:val="21"/>
              </w:rPr>
              <w:fldChar w:fldCharType="separate"/>
            </w:r>
            <w:r>
              <w:rPr>
                <w:rFonts w:hint="eastAsia" w:ascii="宋体" w:hAnsi="宋体" w:cs="宋体"/>
                <w:color w:val="auto"/>
                <w:szCs w:val="21"/>
              </w:rPr>
              <w:t>https://www.zcygov.cn/）获取</w:t>
            </w:r>
            <w:r>
              <w:rPr>
                <w:rFonts w:hint="eastAsia" w:ascii="宋体" w:hAnsi="宋体" w:cs="宋体"/>
                <w:color w:val="auto"/>
                <w:szCs w:val="21"/>
                <w:lang w:eastAsia="zh-CN"/>
              </w:rPr>
              <w:t>，不需向采购人回复确认。</w:t>
            </w:r>
            <w:r>
              <w:rPr>
                <w:rFonts w:hint="eastAsia" w:ascii="宋体" w:hAnsi="宋体" w:cs="宋体"/>
                <w:color w:val="auto"/>
                <w:szCs w:val="21"/>
              </w:rPr>
              <w:fldChar w:fldCharType="end"/>
            </w:r>
          </w:p>
        </w:tc>
      </w:tr>
      <w:tr w14:paraId="55656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61715BD">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lang w:val="en-US" w:eastAsia="zh-CN"/>
              </w:rPr>
              <w:t>2.3.1</w:t>
            </w:r>
          </w:p>
        </w:tc>
        <w:tc>
          <w:tcPr>
            <w:tcW w:w="1746" w:type="dxa"/>
            <w:vAlign w:val="center"/>
          </w:tcPr>
          <w:p w14:paraId="0EDB9477">
            <w:pPr>
              <w:spacing w:line="470" w:lineRule="exact"/>
              <w:jc w:val="center"/>
              <w:rPr>
                <w:rFonts w:hint="eastAsia" w:ascii="宋体" w:hAnsi="宋体" w:eastAsia="宋体" w:cs="宋体"/>
                <w:color w:val="auto"/>
                <w:sz w:val="21"/>
                <w:szCs w:val="21"/>
                <w:highlight w:val="none"/>
                <w:lang w:val="en-US" w:eastAsia="zh-CN"/>
              </w:rPr>
            </w:pPr>
            <w:r>
              <w:rPr>
                <w:rFonts w:hint="eastAsia" w:ascii="宋体" w:hAnsi="宋体" w:cs="宋体"/>
                <w:color w:val="auto"/>
                <w:szCs w:val="21"/>
              </w:rPr>
              <w:t>磋商文件的修</w:t>
            </w:r>
            <w:r>
              <w:rPr>
                <w:rFonts w:hint="eastAsia" w:ascii="宋体" w:hAnsi="宋体" w:cs="宋体"/>
                <w:color w:val="auto"/>
                <w:szCs w:val="21"/>
                <w:highlight w:val="none"/>
              </w:rPr>
              <w:t>改</w:t>
            </w:r>
          </w:p>
        </w:tc>
        <w:tc>
          <w:tcPr>
            <w:tcW w:w="7535" w:type="dxa"/>
            <w:vAlign w:val="center"/>
          </w:tcPr>
          <w:p w14:paraId="1EBA2D32">
            <w:pPr>
              <w:spacing w:line="470" w:lineRule="exact"/>
              <w:jc w:val="left"/>
              <w:rPr>
                <w:rFonts w:hint="eastAsia" w:ascii="宋体" w:hAnsi="宋体" w:cs="宋体"/>
                <w:color w:val="auto"/>
                <w:szCs w:val="21"/>
              </w:rPr>
            </w:pP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修改内容</w:t>
            </w:r>
            <w:r>
              <w:rPr>
                <w:rFonts w:hint="eastAsia" w:ascii="宋体" w:hAnsi="宋体" w:cs="宋体"/>
                <w:color w:val="auto"/>
                <w:szCs w:val="21"/>
              </w:rPr>
              <w:t>，竞争性磋商文件的</w:t>
            </w:r>
            <w:r>
              <w:rPr>
                <w:rFonts w:hint="eastAsia" w:ascii="宋体" w:hAnsi="宋体" w:cs="宋体"/>
                <w:color w:val="auto"/>
                <w:szCs w:val="21"/>
                <w:lang w:eastAsia="zh-CN"/>
              </w:rPr>
              <w:t>修改</w:t>
            </w:r>
            <w:r>
              <w:rPr>
                <w:rFonts w:hint="eastAsia" w:ascii="宋体" w:hAnsi="宋体" w:cs="宋体"/>
                <w:color w:val="auto"/>
                <w:szCs w:val="21"/>
              </w:rPr>
              <w:t>作为竞争性磋商文件的组成部分，并具有约束力。如果</w:t>
            </w:r>
            <w:r>
              <w:rPr>
                <w:rFonts w:hint="eastAsia" w:ascii="宋体" w:hAnsi="宋体" w:cs="宋体"/>
                <w:color w:val="auto"/>
                <w:szCs w:val="21"/>
                <w:lang w:eastAsia="zh-CN"/>
              </w:rPr>
              <w:t>修改</w:t>
            </w:r>
            <w:r>
              <w:rPr>
                <w:rFonts w:hint="eastAsia" w:ascii="宋体" w:hAnsi="宋体" w:cs="宋体"/>
                <w:color w:val="auto"/>
                <w:szCs w:val="21"/>
              </w:rPr>
              <w:t>竞争性磋商文件的时间距磋商截止时间不足5天，并且</w:t>
            </w:r>
            <w:r>
              <w:rPr>
                <w:rFonts w:hint="eastAsia" w:ascii="宋体" w:hAnsi="宋体" w:cs="宋体"/>
                <w:color w:val="auto"/>
                <w:szCs w:val="21"/>
                <w:lang w:eastAsia="zh-CN"/>
              </w:rPr>
              <w:t>修改</w:t>
            </w:r>
            <w:r>
              <w:rPr>
                <w:rFonts w:hint="eastAsia" w:ascii="宋体" w:hAnsi="宋体" w:cs="宋体"/>
                <w:color w:val="auto"/>
                <w:szCs w:val="21"/>
              </w:rPr>
              <w:t>内容影响</w:t>
            </w:r>
            <w:r>
              <w:rPr>
                <w:rFonts w:hint="eastAsia" w:ascii="宋体" w:hAnsi="宋体" w:cs="宋体"/>
                <w:color w:val="auto"/>
                <w:szCs w:val="21"/>
                <w:lang w:eastAsia="zh-CN"/>
              </w:rPr>
              <w:t>磋商</w:t>
            </w:r>
            <w:r>
              <w:rPr>
                <w:rFonts w:hint="eastAsia" w:ascii="宋体" w:hAnsi="宋体" w:cs="宋体"/>
                <w:color w:val="auto"/>
                <w:szCs w:val="21"/>
              </w:rPr>
              <w:t>响应文件编制的，应相应延长磋商截止时间</w:t>
            </w:r>
            <w:r>
              <w:rPr>
                <w:rFonts w:hint="eastAsia" w:ascii="宋体" w:hAnsi="宋体" w:cs="宋体"/>
                <w:color w:val="auto"/>
                <w:szCs w:val="21"/>
                <w:highlight w:val="none"/>
              </w:rPr>
              <w:t>。</w:t>
            </w:r>
          </w:p>
        </w:tc>
      </w:tr>
      <w:tr w14:paraId="273C9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52F8DD6A">
            <w:pPr>
              <w:pStyle w:val="3"/>
              <w:jc w:val="center"/>
              <w:rPr>
                <w:rFonts w:hint="eastAsia" w:ascii="宋体" w:hAnsi="宋体" w:cs="宋体"/>
                <w:color w:val="auto"/>
                <w:szCs w:val="21"/>
                <w:lang w:val="en-US" w:eastAsia="zh-CN"/>
              </w:rPr>
            </w:pPr>
            <w:r>
              <w:rPr>
                <w:rFonts w:hint="eastAsia" w:ascii="宋体" w:hAnsi="宋体" w:eastAsia="宋体" w:cs="宋体"/>
                <w:b w:val="0"/>
                <w:bCs w:val="0"/>
                <w:color w:val="auto"/>
                <w:kern w:val="2"/>
                <w:sz w:val="21"/>
                <w:szCs w:val="21"/>
                <w:highlight w:val="none"/>
                <w:lang w:val="en-US" w:eastAsia="zh-CN"/>
              </w:rPr>
              <w:t>2.3.2</w:t>
            </w:r>
          </w:p>
        </w:tc>
        <w:tc>
          <w:tcPr>
            <w:tcW w:w="1746" w:type="dxa"/>
            <w:vAlign w:val="center"/>
          </w:tcPr>
          <w:p w14:paraId="71C6F0F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rPr>
            </w:pPr>
            <w:r>
              <w:rPr>
                <w:rFonts w:hint="eastAsia" w:ascii="宋体" w:hAnsi="宋体" w:eastAsia="宋体" w:cs="宋体"/>
                <w:color w:val="auto"/>
                <w:sz w:val="21"/>
                <w:szCs w:val="21"/>
                <w:highlight w:val="none"/>
                <w:lang w:val="en-US" w:eastAsia="zh-CN"/>
              </w:rPr>
              <w:t>供应商确认收到招标文件修改的时间</w:t>
            </w:r>
          </w:p>
        </w:tc>
        <w:tc>
          <w:tcPr>
            <w:tcW w:w="7535" w:type="dxa"/>
            <w:vAlign w:val="center"/>
          </w:tcPr>
          <w:p w14:paraId="2AE174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修改内容，</w:t>
            </w:r>
            <w:r>
              <w:rPr>
                <w:rFonts w:hint="eastAsia" w:ascii="宋体" w:hAnsi="宋体" w:cs="宋体"/>
                <w:color w:val="auto"/>
                <w:szCs w:val="21"/>
              </w:rPr>
              <w:t>供应商应在磋商截止时间前自行登录“政采云”平台（网址：https://www.zcygov.cn/）获取</w:t>
            </w:r>
            <w:r>
              <w:rPr>
                <w:rFonts w:hint="eastAsia" w:ascii="宋体" w:hAnsi="宋体" w:cs="宋体"/>
                <w:color w:val="auto"/>
                <w:szCs w:val="21"/>
                <w:lang w:eastAsia="zh-CN"/>
              </w:rPr>
              <w:t>，不需向采购人回复确认</w:t>
            </w:r>
            <w:r>
              <w:rPr>
                <w:rFonts w:hint="eastAsia" w:ascii="宋体" w:hAnsi="宋体" w:cs="宋体"/>
                <w:color w:val="auto"/>
                <w:szCs w:val="21"/>
              </w:rPr>
              <w:t>。</w:t>
            </w:r>
          </w:p>
        </w:tc>
      </w:tr>
      <w:tr w14:paraId="4B480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0894C114">
            <w:pPr>
              <w:pStyle w:val="3"/>
              <w:jc w:val="center"/>
              <w:rPr>
                <w:rFonts w:hint="eastAsia" w:ascii="宋体" w:hAnsi="宋体" w:cs="宋体"/>
                <w:color w:val="auto"/>
                <w:szCs w:val="21"/>
                <w:lang w:val="en-US" w:eastAsia="zh-CN"/>
              </w:rPr>
            </w:pPr>
            <w:r>
              <w:rPr>
                <w:rFonts w:hint="eastAsia" w:ascii="宋体" w:hAnsi="宋体" w:eastAsia="宋体" w:cs="宋体"/>
                <w:b w:val="0"/>
                <w:bCs w:val="0"/>
                <w:color w:val="auto"/>
                <w:kern w:val="2"/>
                <w:sz w:val="21"/>
                <w:szCs w:val="21"/>
                <w:highlight w:val="none"/>
                <w:lang w:val="en-US" w:eastAsia="zh-CN"/>
              </w:rPr>
              <w:t>3.1.1</w:t>
            </w:r>
          </w:p>
        </w:tc>
        <w:tc>
          <w:tcPr>
            <w:tcW w:w="1746" w:type="dxa"/>
            <w:vAlign w:val="center"/>
          </w:tcPr>
          <w:p w14:paraId="23130B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color w:val="auto"/>
                <w:szCs w:val="21"/>
              </w:rPr>
            </w:pPr>
            <w:r>
              <w:rPr>
                <w:rFonts w:hint="eastAsia" w:ascii="宋体" w:hAnsi="宋体" w:eastAsia="宋体" w:cs="宋体"/>
                <w:b w:val="0"/>
                <w:bCs w:val="0"/>
                <w:color w:val="auto"/>
                <w:kern w:val="2"/>
                <w:sz w:val="21"/>
                <w:szCs w:val="21"/>
                <w:highlight w:val="none"/>
                <w:lang w:val="en-US" w:eastAsia="zh-CN"/>
              </w:rPr>
              <w:t>构成磋商响应文件的其他材料</w:t>
            </w:r>
          </w:p>
        </w:tc>
        <w:tc>
          <w:tcPr>
            <w:tcW w:w="7535" w:type="dxa"/>
            <w:vAlign w:val="center"/>
          </w:tcPr>
          <w:p w14:paraId="5E222B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r>
              <w:rPr>
                <w:rFonts w:hint="eastAsia" w:ascii="宋体" w:hAnsi="宋体" w:eastAsia="宋体" w:cs="宋体"/>
                <w:b w:val="0"/>
                <w:bCs w:val="0"/>
                <w:color w:val="auto"/>
                <w:kern w:val="2"/>
                <w:sz w:val="21"/>
                <w:szCs w:val="21"/>
                <w:highlight w:val="none"/>
                <w:lang w:val="en-US" w:eastAsia="zh-CN"/>
              </w:rPr>
              <w:t>响应文件的澄清、补充、修改、答疑及供应商</w:t>
            </w:r>
            <w:r>
              <w:rPr>
                <w:rFonts w:hint="eastAsia" w:ascii="宋体" w:hAnsi="宋体" w:cs="宋体"/>
                <w:b w:val="0"/>
                <w:bCs w:val="0"/>
                <w:color w:val="auto"/>
                <w:kern w:val="2"/>
                <w:sz w:val="21"/>
                <w:szCs w:val="21"/>
                <w:highlight w:val="none"/>
                <w:lang w:val="zh-CN" w:eastAsia="zh-CN"/>
              </w:rPr>
              <w:t>最后</w:t>
            </w:r>
            <w:r>
              <w:rPr>
                <w:rFonts w:hint="eastAsia" w:ascii="宋体" w:hAnsi="宋体" w:eastAsia="宋体" w:cs="宋体"/>
                <w:b w:val="0"/>
                <w:bCs w:val="0"/>
                <w:color w:val="auto"/>
                <w:kern w:val="2"/>
                <w:sz w:val="21"/>
                <w:szCs w:val="21"/>
                <w:highlight w:val="none"/>
                <w:lang w:val="zh-CN" w:eastAsia="zh-CN"/>
              </w:rPr>
              <w:t>磋商报价</w:t>
            </w:r>
            <w:r>
              <w:rPr>
                <w:rFonts w:hint="eastAsia" w:ascii="宋体" w:hAnsi="宋体" w:eastAsia="宋体" w:cs="宋体"/>
                <w:b w:val="0"/>
                <w:bCs w:val="0"/>
                <w:color w:val="auto"/>
                <w:kern w:val="2"/>
                <w:sz w:val="21"/>
                <w:szCs w:val="21"/>
                <w:highlight w:val="none"/>
                <w:lang w:val="en-US" w:eastAsia="zh-CN"/>
              </w:rPr>
              <w:t>、承诺等。</w:t>
            </w:r>
          </w:p>
        </w:tc>
      </w:tr>
      <w:tr w14:paraId="6BCF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60B9BBA2">
            <w:pPr>
              <w:adjustRightInd w:val="0"/>
              <w:snapToGrid w:val="0"/>
              <w:spacing w:line="360" w:lineRule="auto"/>
              <w:jc w:val="center"/>
              <w:rPr>
                <w:rFonts w:hint="eastAsia" w:ascii="宋体" w:hAnsi="宋体" w:cs="宋体"/>
                <w:color w:val="auto"/>
                <w:szCs w:val="21"/>
                <w:lang w:val="en-US" w:eastAsia="zh-CN"/>
              </w:rPr>
            </w:pPr>
            <w:r>
              <w:rPr>
                <w:rFonts w:hint="eastAsia" w:ascii="宋体" w:hAnsi="宋体"/>
                <w:color w:val="auto"/>
                <w:kern w:val="0"/>
                <w:szCs w:val="21"/>
                <w:highlight w:val="none"/>
              </w:rPr>
              <w:t>3.2</w:t>
            </w:r>
          </w:p>
        </w:tc>
        <w:tc>
          <w:tcPr>
            <w:tcW w:w="1746" w:type="dxa"/>
            <w:vAlign w:val="center"/>
          </w:tcPr>
          <w:p w14:paraId="1CC1E503">
            <w:pPr>
              <w:spacing w:line="360" w:lineRule="exact"/>
              <w:jc w:val="center"/>
              <w:rPr>
                <w:rFonts w:hint="eastAsia" w:ascii="宋体" w:hAnsi="宋体" w:cs="宋体"/>
                <w:color w:val="auto"/>
                <w:szCs w:val="21"/>
              </w:rPr>
            </w:pPr>
            <w:r>
              <w:rPr>
                <w:rFonts w:hint="eastAsia" w:ascii="宋体" w:hAnsi="宋体" w:cs="宋体"/>
                <w:color w:val="auto"/>
                <w:szCs w:val="21"/>
                <w:highlight w:val="none"/>
              </w:rPr>
              <w:t>磋商报价</w:t>
            </w:r>
          </w:p>
        </w:tc>
        <w:tc>
          <w:tcPr>
            <w:tcW w:w="7535" w:type="dxa"/>
            <w:vAlign w:val="top"/>
          </w:tcPr>
          <w:p w14:paraId="015A2811">
            <w:pPr>
              <w:pStyle w:val="3"/>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（1）磋商报价不得超过招标控制价。</w:t>
            </w:r>
          </w:p>
          <w:p w14:paraId="005596B2">
            <w:pPr>
              <w:pStyle w:val="3"/>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（2）供应商的报价必须包含工程量清单要求、图纸所示范围。</w:t>
            </w:r>
          </w:p>
          <w:p w14:paraId="7B7215CC">
            <w:pPr>
              <w:pStyle w:val="3"/>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（3）供应商应承担所有与参加磋商有关的自身的所有费用，不论采购的结果如何，采购代理机构和采购人在任何情况下均无义务和责任承担这些费用。</w:t>
            </w:r>
          </w:p>
          <w:p w14:paraId="36561BC5">
            <w:pPr>
              <w:pStyle w:val="3"/>
              <w:pageBreakBefore w:val="0"/>
              <w:widowControl w:val="0"/>
              <w:kinsoku/>
              <w:wordWrap/>
              <w:overflowPunct/>
              <w:topLinePunct w:val="0"/>
              <w:autoSpaceDE/>
              <w:autoSpaceDN/>
              <w:bidi w:val="0"/>
              <w:adjustRightInd/>
              <w:snapToGrid/>
              <w:spacing w:before="0" w:after="0" w:line="440" w:lineRule="exact"/>
              <w:jc w:val="left"/>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（4）供应商的最后报价在一次报价的基础上“浮动比例”将作为工程量清单每项单价在第一次报价基础上的浮动比例，并作为工程结算价依据。</w:t>
            </w:r>
          </w:p>
          <w:p w14:paraId="4E1C2628">
            <w:pPr>
              <w:pageBreakBefore w:val="0"/>
              <w:widowControl w:val="0"/>
              <w:kinsoku/>
              <w:wordWrap/>
              <w:overflowPunct/>
              <w:topLinePunct w:val="0"/>
              <w:autoSpaceDE/>
              <w:autoSpaceDN/>
              <w:bidi w:val="0"/>
              <w:adjustRightInd/>
              <w:snapToGrid/>
              <w:spacing w:line="440" w:lineRule="exact"/>
              <w:textAlignment w:val="auto"/>
              <w:rPr>
                <w:rFonts w:hint="eastAsia" w:ascii="宋体" w:hAnsi="宋体" w:cs="宋体"/>
                <w:color w:val="auto"/>
                <w:szCs w:val="21"/>
              </w:rPr>
            </w:pP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5</w:t>
            </w:r>
            <w:r>
              <w:rPr>
                <w:rFonts w:hint="eastAsia" w:ascii="宋体" w:hAnsi="宋体" w:eastAsia="宋体" w:cs="宋体"/>
                <w:b w:val="0"/>
                <w:bCs w:val="0"/>
                <w:color w:val="auto"/>
                <w:kern w:val="2"/>
                <w:sz w:val="21"/>
                <w:szCs w:val="21"/>
                <w:highlight w:val="none"/>
                <w:lang w:val="en-US" w:eastAsia="zh-CN"/>
              </w:rPr>
              <w:t>）</w:t>
            </w:r>
            <w:r>
              <w:rPr>
                <w:rFonts w:hint="eastAsia" w:ascii="宋体" w:hAnsi="宋体" w:cs="宋体"/>
                <w:b w:val="0"/>
                <w:bCs w:val="0"/>
                <w:color w:val="auto"/>
                <w:kern w:val="2"/>
                <w:sz w:val="21"/>
                <w:szCs w:val="21"/>
                <w:highlight w:val="none"/>
                <w:lang w:val="en-US" w:eastAsia="zh-CN"/>
              </w:rPr>
              <w:t>供应商应</w:t>
            </w:r>
            <w:r>
              <w:rPr>
                <w:rFonts w:hint="eastAsia" w:ascii="宋体" w:hAnsi="宋体" w:eastAsia="宋体" w:cs="宋体"/>
                <w:b w:val="0"/>
                <w:bCs w:val="0"/>
                <w:color w:val="auto"/>
                <w:kern w:val="2"/>
                <w:sz w:val="21"/>
                <w:szCs w:val="21"/>
                <w:highlight w:val="none"/>
                <w:lang w:val="en-US" w:eastAsia="zh-CN"/>
              </w:rPr>
              <w:t>于开标当日在系统上等待</w:t>
            </w:r>
            <w:r>
              <w:rPr>
                <w:rFonts w:hint="eastAsia" w:ascii="宋体" w:hAnsi="宋体" w:cs="宋体"/>
                <w:b w:val="0"/>
                <w:bCs w:val="0"/>
                <w:color w:val="auto"/>
                <w:kern w:val="2"/>
                <w:sz w:val="21"/>
                <w:szCs w:val="21"/>
                <w:highlight w:val="none"/>
                <w:lang w:val="en-US" w:eastAsia="zh-CN"/>
              </w:rPr>
              <w:t>磋商小组发起磋商及最后报价</w:t>
            </w:r>
            <w:r>
              <w:rPr>
                <w:rFonts w:hint="eastAsia" w:ascii="宋体" w:hAnsi="宋体" w:eastAsia="宋体" w:cs="宋体"/>
                <w:b w:val="0"/>
                <w:bCs w:val="0"/>
                <w:color w:val="auto"/>
                <w:kern w:val="2"/>
                <w:sz w:val="21"/>
                <w:szCs w:val="21"/>
                <w:highlight w:val="none"/>
                <w:lang w:val="en-US" w:eastAsia="zh-CN"/>
              </w:rPr>
              <w:t>。</w:t>
            </w:r>
          </w:p>
        </w:tc>
      </w:tr>
      <w:tr w14:paraId="79AC0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51736276">
            <w:pPr>
              <w:autoSpaceDE w:val="0"/>
              <w:autoSpaceDN w:val="0"/>
              <w:adjustRightInd w:val="0"/>
              <w:spacing w:line="360" w:lineRule="auto"/>
              <w:jc w:val="center"/>
              <w:rPr>
                <w:rFonts w:hint="eastAsia" w:ascii="宋体" w:hAnsi="宋体"/>
                <w:color w:val="auto"/>
                <w:kern w:val="0"/>
                <w:szCs w:val="21"/>
                <w:highlight w:val="none"/>
              </w:rPr>
            </w:pPr>
            <w:r>
              <w:rPr>
                <w:rFonts w:hint="eastAsia" w:asciiTheme="minorEastAsia" w:hAnsiTheme="minorEastAsia" w:eastAsiaTheme="minorEastAsia" w:cstheme="minorEastAsia"/>
                <w:color w:val="auto"/>
                <w:sz w:val="21"/>
                <w:szCs w:val="21"/>
                <w:highlight w:val="none"/>
                <w:lang w:val="en-US" w:eastAsia="zh-CN"/>
              </w:rPr>
              <w:t>3.2.1</w:t>
            </w:r>
          </w:p>
        </w:tc>
        <w:tc>
          <w:tcPr>
            <w:tcW w:w="1746" w:type="dxa"/>
            <w:vAlign w:val="center"/>
          </w:tcPr>
          <w:p w14:paraId="4173E980">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招标控制价</w:t>
            </w:r>
          </w:p>
        </w:tc>
        <w:tc>
          <w:tcPr>
            <w:tcW w:w="7535" w:type="dxa"/>
            <w:vAlign w:val="center"/>
          </w:tcPr>
          <w:p w14:paraId="5D136818">
            <w:pPr>
              <w:autoSpaceDE w:val="0"/>
              <w:autoSpaceDN w:val="0"/>
              <w:adjustRightInd w:val="0"/>
              <w:spacing w:line="360" w:lineRule="auto"/>
              <w:jc w:val="both"/>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3079065.38元</w:t>
            </w:r>
            <w:r>
              <w:rPr>
                <w:rFonts w:hint="eastAsia" w:asciiTheme="minorEastAsia" w:hAnsiTheme="minorEastAsia" w:eastAsiaTheme="minorEastAsia" w:cstheme="minorEastAsia"/>
                <w:b/>
                <w:bCs/>
                <w:color w:val="auto"/>
                <w:sz w:val="21"/>
                <w:szCs w:val="21"/>
                <w:highlight w:val="none"/>
                <w:lang w:eastAsia="zh-CN"/>
              </w:rPr>
              <w:t>（大写：</w:t>
            </w:r>
            <w:r>
              <w:rPr>
                <w:rFonts w:hint="eastAsia" w:asciiTheme="minorEastAsia" w:hAnsiTheme="minorEastAsia" w:eastAsiaTheme="minorEastAsia" w:cstheme="minorEastAsia"/>
                <w:b/>
                <w:bCs/>
                <w:color w:val="auto"/>
                <w:sz w:val="21"/>
                <w:szCs w:val="21"/>
                <w:highlight w:val="none"/>
                <w:lang w:val="en-US" w:eastAsia="zh-CN"/>
              </w:rPr>
              <w:t>叁佰零柒万玖仟零陆拾伍元叁角捌分</w:t>
            </w:r>
            <w:r>
              <w:rPr>
                <w:rFonts w:hint="eastAsia" w:asciiTheme="minorEastAsia" w:hAnsiTheme="minorEastAsia" w:eastAsiaTheme="minorEastAsia" w:cstheme="minorEastAsia"/>
                <w:b/>
                <w:bCs/>
                <w:color w:val="auto"/>
                <w:sz w:val="21"/>
                <w:szCs w:val="21"/>
                <w:highlight w:val="none"/>
                <w:lang w:eastAsia="zh-CN"/>
              </w:rPr>
              <w:t>）</w:t>
            </w:r>
          </w:p>
        </w:tc>
      </w:tr>
      <w:tr w14:paraId="7218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884" w:type="dxa"/>
            <w:vAlign w:val="center"/>
          </w:tcPr>
          <w:p w14:paraId="74F8293C">
            <w:pPr>
              <w:autoSpaceDE w:val="0"/>
              <w:autoSpaceDN w:val="0"/>
              <w:adjustRightInd w:val="0"/>
              <w:spacing w:line="360" w:lineRule="auto"/>
              <w:jc w:val="center"/>
              <w:rPr>
                <w:rFonts w:hint="eastAsia" w:ascii="宋体" w:hAnsi="宋体"/>
                <w:color w:val="auto"/>
                <w:kern w:val="0"/>
                <w:szCs w:val="21"/>
                <w:highlight w:val="none"/>
              </w:rPr>
            </w:pPr>
            <w:r>
              <w:rPr>
                <w:rFonts w:hint="eastAsia" w:asciiTheme="minorEastAsia" w:hAnsiTheme="minorEastAsia" w:eastAsiaTheme="minorEastAsia" w:cstheme="minorEastAsia"/>
                <w:color w:val="auto"/>
                <w:sz w:val="21"/>
                <w:szCs w:val="21"/>
                <w:highlight w:val="none"/>
                <w:lang w:val="en-US" w:eastAsia="zh-CN"/>
              </w:rPr>
              <w:t>3.2.2</w:t>
            </w:r>
          </w:p>
        </w:tc>
        <w:tc>
          <w:tcPr>
            <w:tcW w:w="1746" w:type="dxa"/>
            <w:vAlign w:val="center"/>
          </w:tcPr>
          <w:p w14:paraId="6F7FA4AB">
            <w:pPr>
              <w:autoSpaceDE w:val="0"/>
              <w:autoSpaceDN w:val="0"/>
              <w:adjustRightInd w:val="0"/>
              <w:spacing w:line="360" w:lineRule="auto"/>
              <w:jc w:val="center"/>
              <w:rPr>
                <w:rFonts w:hint="eastAsia" w:ascii="宋体" w:hAnsi="宋体" w:cs="宋体"/>
                <w:b w:val="0"/>
                <w:bCs w:val="0"/>
                <w:color w:val="auto"/>
                <w:szCs w:val="21"/>
                <w:highlight w:val="none"/>
              </w:rPr>
            </w:pPr>
            <w:r>
              <w:rPr>
                <w:rFonts w:hint="eastAsia" w:asciiTheme="minorEastAsia" w:hAnsiTheme="minorEastAsia" w:eastAsiaTheme="minorEastAsia" w:cstheme="minorEastAsia"/>
                <w:b w:val="0"/>
                <w:bCs w:val="0"/>
                <w:color w:val="auto"/>
                <w:sz w:val="21"/>
                <w:szCs w:val="21"/>
                <w:highlight w:val="none"/>
                <w:lang w:eastAsia="zh-CN"/>
              </w:rPr>
              <w:t>工程量清单</w:t>
            </w:r>
          </w:p>
        </w:tc>
        <w:tc>
          <w:tcPr>
            <w:tcW w:w="7535" w:type="dxa"/>
            <w:vAlign w:val="center"/>
          </w:tcPr>
          <w:p w14:paraId="55CC76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bCs/>
                <w:color w:val="auto"/>
                <w:kern w:val="2"/>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与采购人提供的工程量清单中项目名称、项目特征、计量单位和工程量完全一致。</w:t>
            </w:r>
          </w:p>
        </w:tc>
      </w:tr>
      <w:tr w14:paraId="73DDF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4" w:type="dxa"/>
            <w:vAlign w:val="center"/>
          </w:tcPr>
          <w:p w14:paraId="212104D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3.3.1</w:t>
            </w:r>
          </w:p>
        </w:tc>
        <w:tc>
          <w:tcPr>
            <w:tcW w:w="1746" w:type="dxa"/>
            <w:vAlign w:val="center"/>
          </w:tcPr>
          <w:p w14:paraId="1557601E">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磋商有效期</w:t>
            </w:r>
          </w:p>
        </w:tc>
        <w:tc>
          <w:tcPr>
            <w:tcW w:w="7535" w:type="dxa"/>
            <w:vAlign w:val="center"/>
          </w:tcPr>
          <w:p w14:paraId="35DCDA6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90日历天</w:t>
            </w:r>
            <w:r>
              <w:rPr>
                <w:rFonts w:hint="eastAsia" w:asciiTheme="minorEastAsia" w:hAnsiTheme="minorEastAsia" w:eastAsiaTheme="minorEastAsia" w:cstheme="minorEastAsia"/>
                <w:color w:val="auto"/>
                <w:sz w:val="21"/>
                <w:szCs w:val="21"/>
                <w:highlight w:val="none"/>
                <w:lang w:eastAsia="zh-CN"/>
              </w:rPr>
              <w:t>（自提交响应文件截止之日起）。</w:t>
            </w:r>
          </w:p>
        </w:tc>
      </w:tr>
      <w:tr w14:paraId="75B1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8AD2F1C">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3.4.1</w:t>
            </w:r>
          </w:p>
        </w:tc>
        <w:tc>
          <w:tcPr>
            <w:tcW w:w="1746" w:type="dxa"/>
            <w:vAlign w:val="center"/>
          </w:tcPr>
          <w:p w14:paraId="6EFA393D">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磋商保证金</w:t>
            </w:r>
          </w:p>
        </w:tc>
        <w:tc>
          <w:tcPr>
            <w:tcW w:w="7535" w:type="dxa"/>
            <w:vAlign w:val="center"/>
          </w:tcPr>
          <w:p w14:paraId="51B5A53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一、磋商保证金提交方式</w:t>
            </w:r>
          </w:p>
          <w:p w14:paraId="310AC204">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保证金的提交方式有三种：银行转账、银行保函、投标保证保险。</w:t>
            </w:r>
          </w:p>
          <w:p w14:paraId="4399AD8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（一）银行转账：磋商保证金应以供应商自身的名义提交，并且必须从其基本账户转出，不得以分支机构其他名义提交。</w:t>
            </w:r>
          </w:p>
          <w:p w14:paraId="24DA8EB1">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（二）银行保函：保函申请人必须是供应商，受益人必须是采购人，银行保函必须正确填写受益人和申请人的全称，并与磋商文件规定的名称相一致，以免造成磋商无效。</w:t>
            </w:r>
          </w:p>
          <w:p w14:paraId="24AD975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（三）保证保险：</w:t>
            </w:r>
            <w:r>
              <w:rPr>
                <w:rFonts w:hint="eastAsia" w:asciiTheme="minorEastAsia" w:hAnsiTheme="minorEastAsia" w:eastAsiaTheme="minorEastAsia" w:cstheme="minorEastAsia"/>
                <w:color w:val="auto"/>
                <w:sz w:val="21"/>
                <w:szCs w:val="21"/>
                <w:highlight w:val="none"/>
                <w:lang w:val="en-US" w:eastAsia="zh-CN"/>
              </w:rPr>
              <w:t>供应商为投保人，采购人为被保险人。当供应商违反法律法规且符合磋商保证金不予退回情形的，由保险公司按照保险合同对采购人代偿投标保证金金额</w:t>
            </w:r>
            <w:r>
              <w:rPr>
                <w:rFonts w:hint="eastAsia" w:asciiTheme="minorEastAsia" w:hAnsiTheme="minorEastAsia" w:eastAsiaTheme="minorEastAsia" w:cstheme="minorEastAsia"/>
                <w:color w:val="auto"/>
                <w:sz w:val="21"/>
                <w:szCs w:val="21"/>
                <w:highlight w:val="none"/>
                <w:lang w:eastAsia="zh-CN"/>
              </w:rPr>
              <w:t>。</w:t>
            </w:r>
          </w:p>
          <w:p w14:paraId="0AEA63E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二、磋商保证金的提交时间</w:t>
            </w:r>
          </w:p>
          <w:p w14:paraId="7CA3AD09">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供应商需在</w:t>
            </w:r>
            <w:r>
              <w:rPr>
                <w:rFonts w:hint="eastAsia" w:asciiTheme="minorEastAsia" w:hAnsiTheme="minorEastAsia" w:eastAsiaTheme="minorEastAsia" w:cstheme="minorEastAsia"/>
                <w:color w:val="auto"/>
                <w:sz w:val="21"/>
                <w:szCs w:val="21"/>
                <w:highlight w:val="none"/>
                <w:lang w:val="en-US" w:eastAsia="zh-CN"/>
              </w:rPr>
              <w:t>提交响应文件</w:t>
            </w:r>
            <w:r>
              <w:rPr>
                <w:rFonts w:hint="eastAsia" w:asciiTheme="minorEastAsia" w:hAnsiTheme="minorEastAsia" w:eastAsiaTheme="minorEastAsia" w:cstheme="minorEastAsia"/>
                <w:color w:val="auto"/>
                <w:sz w:val="21"/>
                <w:szCs w:val="21"/>
                <w:highlight w:val="none"/>
                <w:lang w:eastAsia="zh-CN"/>
              </w:rPr>
              <w:t>截止时间前</w:t>
            </w: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color w:val="auto"/>
                <w:sz w:val="21"/>
                <w:szCs w:val="21"/>
                <w:highlight w:val="none"/>
                <w:lang w:eastAsia="zh-CN"/>
              </w:rPr>
              <w:t>保证金。</w:t>
            </w:r>
          </w:p>
          <w:p w14:paraId="408FDF92">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三、磋商保证金的办理程序</w:t>
            </w:r>
          </w:p>
          <w:p w14:paraId="36B7EBA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input534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（一）采用银行转账方式：</w:t>
            </w:r>
          </w:p>
          <w:p w14:paraId="64B4C33E">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项目名称：瑞丽市人民医院肾内科血液净化中心改造项目，</w:t>
            </w:r>
          </w:p>
          <w:p w14:paraId="71DBFE16">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保证金金额：</w:t>
            </w:r>
            <w:r>
              <w:rPr>
                <w:rFonts w:hint="eastAsia" w:asciiTheme="minorEastAsia" w:hAnsiTheme="minorEastAsia" w:eastAsiaTheme="minorEastAsia" w:cstheme="minorEastAsia"/>
                <w:b/>
                <w:bCs/>
                <w:color w:val="auto"/>
                <w:sz w:val="21"/>
                <w:szCs w:val="21"/>
                <w:highlight w:val="none"/>
                <w:lang w:val="en-US" w:eastAsia="zh-CN"/>
              </w:rPr>
              <w:t>叁万元整（30000.00元）</w:t>
            </w:r>
          </w:p>
          <w:p w14:paraId="7D3185E9">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户名：云南宏业招标咨询有限责任公司</w:t>
            </w:r>
          </w:p>
          <w:p w14:paraId="62ACCDA1">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账号：2511023339201002745    </w:t>
            </w:r>
          </w:p>
          <w:p w14:paraId="233877C3">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 xml:space="preserve">开户行：中国工商银行股份有限公司德宏芒市支行 </w:t>
            </w:r>
          </w:p>
          <w:p w14:paraId="11801408">
            <w:pPr>
              <w:keepNext w:val="0"/>
              <w:keepLines w:val="0"/>
              <w:pageBreakBefore w:val="0"/>
              <w:widowControl w:val="0"/>
              <w:kinsoku/>
              <w:wordWrap/>
              <w:overflowPunct/>
              <w:topLinePunct w:val="0"/>
              <w:autoSpaceDE w:val="0"/>
              <w:autoSpaceDN w:val="0"/>
              <w:bidi w:val="0"/>
              <w:adjustRightInd w:val="0"/>
              <w:snapToGrid/>
              <w:spacing w:line="440" w:lineRule="exact"/>
              <w:ind w:firstLine="422" w:firstLineChars="200"/>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财务室联系电话：0692-2211363</w:t>
            </w:r>
          </w:p>
          <w:p w14:paraId="6F8F4343">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办理程序：</w:t>
            </w:r>
          </w:p>
          <w:p w14:paraId="1FEC1D42">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于提交响应文件截止时间前以供应商自身的名义缴纳并保证开标时必须到账，转账时需注明项目名称或招标编号。</w:t>
            </w:r>
          </w:p>
          <w:p w14:paraId="5A11E956">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input535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（二）采用银行保函方式：</w:t>
            </w:r>
          </w:p>
          <w:p w14:paraId="0854808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项目名称：瑞丽市人民医院肾内科血液净化中心改造项目，</w:t>
            </w:r>
          </w:p>
          <w:p w14:paraId="792763D3">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保证金金额：</w:t>
            </w:r>
            <w:r>
              <w:rPr>
                <w:rFonts w:hint="eastAsia" w:asciiTheme="minorEastAsia" w:hAnsiTheme="minorEastAsia" w:eastAsiaTheme="minorEastAsia" w:cstheme="minorEastAsia"/>
                <w:color w:val="auto"/>
                <w:sz w:val="21"/>
                <w:szCs w:val="21"/>
                <w:highlight w:val="none"/>
                <w:lang w:val="en-US" w:eastAsia="zh-CN"/>
              </w:rPr>
              <w:t>叁万元整（30000.00元）</w:t>
            </w:r>
          </w:p>
          <w:p w14:paraId="46A4180D">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办理程序：</w:t>
            </w:r>
          </w:p>
          <w:p w14:paraId="5FB28FFB">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潜在供应商银行保函必须在规定的</w:t>
            </w:r>
            <w:r>
              <w:rPr>
                <w:rFonts w:hint="eastAsia" w:asciiTheme="minorEastAsia" w:hAnsiTheme="minorEastAsia" w:eastAsiaTheme="minorEastAsia" w:cstheme="minorEastAsia"/>
                <w:color w:val="auto"/>
                <w:sz w:val="21"/>
                <w:szCs w:val="21"/>
                <w:highlight w:val="none"/>
                <w:lang w:val="en-US" w:eastAsia="zh-CN"/>
              </w:rPr>
              <w:t>提交响应文件</w:t>
            </w:r>
            <w:r>
              <w:rPr>
                <w:rFonts w:hint="eastAsia" w:asciiTheme="minorEastAsia" w:hAnsiTheme="minorEastAsia" w:eastAsiaTheme="minorEastAsia" w:cstheme="minorEastAsia"/>
                <w:color w:val="auto"/>
                <w:sz w:val="21"/>
                <w:szCs w:val="21"/>
                <w:highlight w:val="none"/>
                <w:lang w:eastAsia="zh-CN"/>
              </w:rPr>
              <w:t>截止时间前</w:t>
            </w: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color w:val="auto"/>
                <w:sz w:val="21"/>
                <w:szCs w:val="21"/>
                <w:highlight w:val="none"/>
                <w:lang w:eastAsia="zh-CN"/>
              </w:rPr>
              <w:t>至银行。</w:t>
            </w:r>
          </w:p>
          <w:p w14:paraId="35C2383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fldChar w:fldCharType="begin"/>
            </w:r>
            <w:r>
              <w:rPr>
                <w:rFonts w:hint="eastAsia" w:asciiTheme="minorEastAsia" w:hAnsiTheme="minorEastAsia" w:eastAsiaTheme="minorEastAsia" w:cstheme="minorEastAsia"/>
                <w:b/>
                <w:bCs/>
                <w:color w:val="auto"/>
                <w:sz w:val="21"/>
                <w:szCs w:val="21"/>
                <w:highlight w:val="none"/>
                <w:lang w:eastAsia="zh-CN"/>
              </w:rPr>
              <w:instrText xml:space="preserve"> AUTOTEXT  input536 \* MERGEFORMAT </w:instrText>
            </w:r>
            <w:r>
              <w:rPr>
                <w:rFonts w:hint="eastAsia" w:asciiTheme="minorEastAsia" w:hAnsiTheme="minorEastAsia" w:eastAsiaTheme="minorEastAsia" w:cstheme="minorEastAsia"/>
                <w:b/>
                <w:bCs/>
                <w:color w:val="auto"/>
                <w:sz w:val="21"/>
                <w:szCs w:val="21"/>
                <w:highlight w:val="none"/>
                <w:lang w:eastAsia="zh-CN"/>
              </w:rPr>
              <w:fldChar w:fldCharType="separate"/>
            </w:r>
            <w:r>
              <w:rPr>
                <w:rFonts w:hint="eastAsia" w:asciiTheme="minorEastAsia" w:hAnsiTheme="minorEastAsia" w:eastAsiaTheme="minorEastAsia" w:cstheme="minorEastAsia"/>
                <w:b/>
                <w:bCs/>
                <w:color w:val="auto"/>
                <w:sz w:val="21"/>
                <w:szCs w:val="21"/>
                <w:highlight w:val="none"/>
                <w:lang w:eastAsia="zh-CN"/>
              </w:rPr>
              <w:t>☑</w:t>
            </w:r>
            <w:r>
              <w:rPr>
                <w:rFonts w:hint="eastAsia" w:asciiTheme="minorEastAsia" w:hAnsiTheme="minorEastAsia" w:eastAsiaTheme="minorEastAsia" w:cstheme="minorEastAsia"/>
                <w:b/>
                <w:bCs/>
                <w:color w:val="auto"/>
                <w:sz w:val="21"/>
                <w:szCs w:val="21"/>
                <w:highlight w:val="none"/>
                <w:lang w:eastAsia="zh-CN"/>
              </w:rPr>
              <w:fldChar w:fldCharType="end"/>
            </w:r>
            <w:r>
              <w:rPr>
                <w:rFonts w:hint="eastAsia" w:asciiTheme="minorEastAsia" w:hAnsiTheme="minorEastAsia" w:eastAsiaTheme="minorEastAsia" w:cstheme="minorEastAsia"/>
                <w:b/>
                <w:bCs/>
                <w:color w:val="auto"/>
                <w:sz w:val="21"/>
                <w:szCs w:val="21"/>
                <w:highlight w:val="none"/>
                <w:lang w:eastAsia="zh-CN"/>
              </w:rPr>
              <w:t>（三）采用投标保证保险方式：</w:t>
            </w:r>
          </w:p>
          <w:p w14:paraId="552F4FA7">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项目名称：瑞丽市人民医院肾内科血液净化中心改造项目，</w:t>
            </w:r>
          </w:p>
          <w:p w14:paraId="361137CD">
            <w:pPr>
              <w:keepNext w:val="0"/>
              <w:keepLines w:val="0"/>
              <w:pageBreakBefore w:val="0"/>
              <w:widowControl w:val="0"/>
              <w:kinsoku/>
              <w:wordWrap/>
              <w:overflowPunct/>
              <w:topLinePunct w:val="0"/>
              <w:autoSpaceDE w:val="0"/>
              <w:autoSpaceDN w:val="0"/>
              <w:bidi w:val="0"/>
              <w:adjustRightInd w:val="0"/>
              <w:snapToGrid/>
              <w:spacing w:line="440" w:lineRule="exact"/>
              <w:ind w:firstLine="420" w:firstLineChars="200"/>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保证金金额：</w:t>
            </w:r>
            <w:r>
              <w:rPr>
                <w:rFonts w:hint="eastAsia" w:asciiTheme="minorEastAsia" w:hAnsiTheme="minorEastAsia" w:eastAsiaTheme="minorEastAsia" w:cstheme="minorEastAsia"/>
                <w:color w:val="auto"/>
                <w:sz w:val="21"/>
                <w:szCs w:val="21"/>
                <w:highlight w:val="none"/>
                <w:lang w:val="en-US" w:eastAsia="zh-CN"/>
              </w:rPr>
              <w:t>叁万元整（30000.00元）</w:t>
            </w:r>
          </w:p>
          <w:p w14:paraId="2F1C4463">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办理程序：</w:t>
            </w:r>
            <w:r>
              <w:rPr>
                <w:rFonts w:hint="eastAsia" w:asciiTheme="minorEastAsia" w:hAnsiTheme="minorEastAsia" w:eastAsiaTheme="minorEastAsia" w:cstheme="minorEastAsia"/>
                <w:color w:val="auto"/>
                <w:sz w:val="21"/>
                <w:szCs w:val="21"/>
                <w:highlight w:val="none"/>
                <w:lang w:val="en-US" w:eastAsia="zh-CN"/>
              </w:rPr>
              <w:t>采用</w:t>
            </w:r>
            <w:r>
              <w:rPr>
                <w:rFonts w:hint="eastAsia" w:asciiTheme="minorEastAsia" w:hAnsiTheme="minorEastAsia" w:eastAsiaTheme="minorEastAsia" w:cstheme="minorEastAsia"/>
                <w:color w:val="auto"/>
                <w:sz w:val="21"/>
                <w:szCs w:val="21"/>
                <w:highlight w:val="none"/>
                <w:lang w:eastAsia="zh-CN"/>
              </w:rPr>
              <w:t>投标保证保险的</w:t>
            </w:r>
            <w:r>
              <w:rPr>
                <w:rFonts w:hint="eastAsia" w:asciiTheme="minorEastAsia" w:hAnsiTheme="minorEastAsia" w:eastAsiaTheme="minorEastAsia" w:cstheme="minorEastAsia"/>
                <w:color w:val="auto"/>
                <w:sz w:val="21"/>
                <w:szCs w:val="21"/>
                <w:highlight w:val="none"/>
                <w:lang w:val="en-US" w:eastAsia="zh-CN"/>
              </w:rPr>
              <w:t>供应商</w:t>
            </w:r>
            <w:r>
              <w:rPr>
                <w:rFonts w:hint="eastAsia" w:asciiTheme="minorEastAsia" w:hAnsiTheme="minorEastAsia" w:eastAsiaTheme="minorEastAsia" w:cstheme="minorEastAsia"/>
                <w:color w:val="auto"/>
                <w:sz w:val="21"/>
                <w:szCs w:val="21"/>
                <w:highlight w:val="none"/>
                <w:lang w:eastAsia="zh-CN"/>
              </w:rPr>
              <w:t>应当在</w:t>
            </w:r>
            <w:r>
              <w:rPr>
                <w:rFonts w:hint="eastAsia" w:asciiTheme="minorEastAsia" w:hAnsiTheme="minorEastAsia" w:eastAsiaTheme="minorEastAsia" w:cstheme="minorEastAsia"/>
                <w:color w:val="auto"/>
                <w:sz w:val="21"/>
                <w:szCs w:val="21"/>
                <w:highlight w:val="none"/>
                <w:lang w:val="en-US" w:eastAsia="zh-CN"/>
              </w:rPr>
              <w:t>提交响应文件截止时间</w:t>
            </w:r>
            <w:r>
              <w:rPr>
                <w:rFonts w:hint="eastAsia" w:asciiTheme="minorEastAsia" w:hAnsiTheme="minorEastAsia" w:eastAsiaTheme="minorEastAsia" w:cstheme="minorEastAsia"/>
                <w:color w:val="auto"/>
                <w:sz w:val="21"/>
                <w:szCs w:val="21"/>
                <w:highlight w:val="none"/>
                <w:lang w:eastAsia="zh-CN"/>
              </w:rPr>
              <w:t>前与保险公司签订投标保证保险合同。</w:t>
            </w:r>
          </w:p>
          <w:p w14:paraId="4CC26B8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eastAsia="宋体" w:cs="宋体"/>
                <w:b/>
                <w:bCs/>
                <w:color w:val="auto"/>
                <w:sz w:val="21"/>
                <w:szCs w:val="21"/>
                <w:highlight w:val="none"/>
                <w:lang w:eastAsia="zh-CN"/>
              </w:rPr>
              <w:t>四、</w:t>
            </w:r>
            <w:r>
              <w:rPr>
                <w:rFonts w:hint="eastAsia" w:ascii="宋体" w:hAnsi="宋体" w:eastAsia="宋体" w:cs="宋体"/>
                <w:b/>
                <w:bCs/>
                <w:color w:val="auto"/>
                <w:sz w:val="21"/>
                <w:szCs w:val="21"/>
                <w:highlight w:val="none"/>
                <w:lang w:val="en-US" w:eastAsia="zh-CN"/>
              </w:rPr>
              <w:t>保证金的退还方式</w:t>
            </w:r>
            <w:r>
              <w:rPr>
                <w:rFonts w:hint="eastAsia" w:ascii="宋体" w:hAnsi="宋体" w:cs="宋体"/>
                <w:color w:val="auto"/>
                <w:sz w:val="24"/>
                <w:highlight w:val="none"/>
              </w:rPr>
              <w:br w:type="textWrapping"/>
            </w:r>
            <w:r>
              <w:rPr>
                <w:rFonts w:hint="eastAsia" w:ascii="宋体" w:hAnsi="宋体" w:eastAsia="宋体" w:cs="宋体"/>
                <w:color w:val="auto"/>
                <w:sz w:val="21"/>
                <w:szCs w:val="21"/>
                <w:highlight w:val="none"/>
                <w:lang w:eastAsia="zh-CN"/>
              </w:rPr>
              <w:t>1.以支票、汇票、本票、网上银行支付等非现金形式，</w:t>
            </w:r>
            <w:r>
              <w:rPr>
                <w:rFonts w:hint="eastAsia" w:ascii="宋体" w:hAnsi="宋体" w:eastAsia="宋体" w:cs="宋体"/>
                <w:color w:val="auto"/>
                <w:sz w:val="21"/>
                <w:szCs w:val="21"/>
                <w:highlight w:val="none"/>
                <w:lang w:val="en-US" w:eastAsia="zh-CN"/>
              </w:rPr>
              <w:t>通过银行转账方式</w:t>
            </w:r>
            <w:r>
              <w:rPr>
                <w:rFonts w:hint="eastAsia" w:ascii="宋体" w:hAnsi="宋体" w:eastAsia="宋体" w:cs="宋体"/>
                <w:color w:val="auto"/>
                <w:sz w:val="21"/>
                <w:szCs w:val="21"/>
                <w:highlight w:val="none"/>
                <w:lang w:eastAsia="zh-CN"/>
              </w:rPr>
              <w:t>缴纳的保证金，以网银对公转账的方式退还到供应商账户；</w:t>
            </w:r>
            <w:r>
              <w:rPr>
                <w:rFonts w:hint="eastAsia" w:ascii="宋体" w:hAnsi="宋体" w:eastAsia="宋体" w:cs="宋体"/>
                <w:color w:val="auto"/>
                <w:sz w:val="21"/>
                <w:szCs w:val="21"/>
                <w:highlight w:val="none"/>
                <w:lang w:eastAsia="zh-CN"/>
              </w:rPr>
              <w:br w:type="textWrapping"/>
            </w:r>
            <w:r>
              <w:rPr>
                <w:rFonts w:hint="eastAsia" w:ascii="宋体" w:hAnsi="宋体" w:eastAsia="宋体" w:cs="宋体"/>
                <w:color w:val="auto"/>
                <w:sz w:val="21"/>
                <w:szCs w:val="21"/>
                <w:highlight w:val="none"/>
                <w:lang w:eastAsia="zh-CN"/>
              </w:rPr>
              <w:t>2.以银行保函或者投标保证保险方式缴纳的保证金，由供应商自行联系出函机构进行退还。</w:t>
            </w:r>
          </w:p>
        </w:tc>
      </w:tr>
      <w:tr w14:paraId="1311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DAA96B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3.5.2</w:t>
            </w:r>
          </w:p>
        </w:tc>
        <w:tc>
          <w:tcPr>
            <w:tcW w:w="1746" w:type="dxa"/>
            <w:vAlign w:val="center"/>
          </w:tcPr>
          <w:p w14:paraId="7896897A">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资格审查方式</w:t>
            </w:r>
          </w:p>
        </w:tc>
        <w:tc>
          <w:tcPr>
            <w:tcW w:w="7535" w:type="dxa"/>
            <w:vAlign w:val="center"/>
          </w:tcPr>
          <w:p w14:paraId="7D83F734">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资格后审</w:t>
            </w:r>
          </w:p>
        </w:tc>
      </w:tr>
      <w:tr w14:paraId="3A569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23C90EA4">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4.1.1</w:t>
            </w:r>
          </w:p>
        </w:tc>
        <w:tc>
          <w:tcPr>
            <w:tcW w:w="1746" w:type="dxa"/>
            <w:vAlign w:val="center"/>
          </w:tcPr>
          <w:p w14:paraId="41E72ED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响应文件的加密</w:t>
            </w:r>
          </w:p>
        </w:tc>
        <w:tc>
          <w:tcPr>
            <w:tcW w:w="7535" w:type="dxa"/>
            <w:vAlign w:val="center"/>
          </w:tcPr>
          <w:p w14:paraId="0DCA1D0B">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w:t>
            </w:r>
          </w:p>
          <w:p w14:paraId="4764A562">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（2）使用“政采云电子交易客户端”需要提前申领 CA 数字证书，申领流程见该项目采购公告；</w:t>
            </w:r>
          </w:p>
          <w:p w14:paraId="43C8A09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（3）为确保网上操作合法、有效和安全，供应商应当在响应文件提交截止时间前完成在“政府采购云 平台”的身份认证，确保在电子交易过程中能够对相关数据电文进行加密和使用电子签名。</w:t>
            </w:r>
          </w:p>
        </w:tc>
      </w:tr>
      <w:tr w14:paraId="432D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40A790F">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4.1.2</w:t>
            </w:r>
          </w:p>
        </w:tc>
        <w:tc>
          <w:tcPr>
            <w:tcW w:w="1746" w:type="dxa"/>
            <w:vAlign w:val="center"/>
          </w:tcPr>
          <w:p w14:paraId="763B1EDB">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响应文件签字或盖章要求</w:t>
            </w:r>
          </w:p>
        </w:tc>
        <w:tc>
          <w:tcPr>
            <w:tcW w:w="7535" w:type="dxa"/>
            <w:vAlign w:val="center"/>
          </w:tcPr>
          <w:p w14:paraId="4C9C054C">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按照响应文件格式、工程量清单格式要求加盖单位公章或电子签章且由法定代表人或其委托代理人签字或电子签章。</w:t>
            </w:r>
          </w:p>
        </w:tc>
      </w:tr>
      <w:tr w14:paraId="154AD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627206E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4.2.2</w:t>
            </w:r>
          </w:p>
        </w:tc>
        <w:tc>
          <w:tcPr>
            <w:tcW w:w="1746" w:type="dxa"/>
            <w:vAlign w:val="center"/>
          </w:tcPr>
          <w:p w14:paraId="6EA679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响应文件</w:t>
            </w:r>
            <w:r>
              <w:rPr>
                <w:rFonts w:hint="eastAsia" w:asciiTheme="minorEastAsia" w:hAnsiTheme="minorEastAsia" w:eastAsiaTheme="minorEastAsia" w:cstheme="minorEastAsia"/>
                <w:b w:val="0"/>
                <w:bCs w:val="0"/>
                <w:color w:val="auto"/>
                <w:sz w:val="21"/>
                <w:szCs w:val="21"/>
                <w:highlight w:val="none"/>
                <w:lang w:val="en-US" w:eastAsia="zh-CN"/>
              </w:rPr>
              <w:t>提</w:t>
            </w:r>
            <w:r>
              <w:rPr>
                <w:rFonts w:hint="eastAsia" w:asciiTheme="minorEastAsia" w:hAnsiTheme="minorEastAsia" w:eastAsiaTheme="minorEastAsia" w:cstheme="minorEastAsia"/>
                <w:b w:val="0"/>
                <w:bCs w:val="0"/>
                <w:color w:val="auto"/>
                <w:sz w:val="21"/>
                <w:szCs w:val="21"/>
                <w:highlight w:val="none"/>
                <w:lang w:eastAsia="zh-CN"/>
              </w:rPr>
              <w:t>交截止时间及地点</w:t>
            </w:r>
          </w:p>
        </w:tc>
        <w:tc>
          <w:tcPr>
            <w:tcW w:w="7535" w:type="dxa"/>
          </w:tcPr>
          <w:p w14:paraId="068A084A">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截止时间：</w:t>
            </w:r>
            <w:r>
              <w:rPr>
                <w:rFonts w:hint="eastAsia" w:ascii="宋体" w:hAnsi="宋体" w:cs="宋体"/>
                <w:b w:val="0"/>
                <w:bCs w:val="0"/>
                <w:color w:val="auto"/>
                <w:szCs w:val="21"/>
                <w:lang w:val="en-US" w:eastAsia="zh-CN"/>
              </w:rPr>
              <w:t>2026年5月18日15时00分</w:t>
            </w:r>
          </w:p>
          <w:p w14:paraId="3F1498C9">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val="en-US" w:eastAsia="zh-CN"/>
              </w:rPr>
              <w:t>提交</w:t>
            </w:r>
            <w:r>
              <w:rPr>
                <w:rFonts w:hint="eastAsia" w:asciiTheme="minorEastAsia" w:hAnsiTheme="minorEastAsia" w:eastAsiaTheme="minorEastAsia" w:cstheme="minorEastAsia"/>
                <w:b w:val="0"/>
                <w:bCs w:val="0"/>
                <w:color w:val="auto"/>
                <w:sz w:val="21"/>
                <w:szCs w:val="21"/>
                <w:highlight w:val="none"/>
                <w:lang w:eastAsia="zh-CN"/>
              </w:rPr>
              <w:t>地点：</w:t>
            </w:r>
            <w:r>
              <w:rPr>
                <w:rFonts w:hint="eastAsia" w:asciiTheme="minorEastAsia" w:hAnsiTheme="minorEastAsia" w:eastAsiaTheme="minorEastAsia" w:cstheme="minorEastAsia"/>
                <w:b w:val="0"/>
                <w:bCs w:val="0"/>
                <w:color w:val="auto"/>
                <w:sz w:val="21"/>
                <w:szCs w:val="21"/>
                <w:highlight w:val="none"/>
                <w:lang w:val="en-US" w:eastAsia="zh-CN"/>
              </w:rPr>
              <w:t>“政采云”平台（网址：http://www.zcygov.cn）</w:t>
            </w:r>
            <w:r>
              <w:rPr>
                <w:rFonts w:hint="eastAsia" w:asciiTheme="minorEastAsia" w:hAnsiTheme="minorEastAsia" w:eastAsiaTheme="minorEastAsia" w:cstheme="minorEastAsia"/>
                <w:b w:val="0"/>
                <w:bCs w:val="0"/>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eastAsia="zh-CN"/>
              </w:rPr>
              <w:t xml:space="preserve"> </w:t>
            </w:r>
          </w:p>
        </w:tc>
      </w:tr>
      <w:tr w14:paraId="75C7E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84" w:type="dxa"/>
            <w:shd w:val="clear" w:color="auto" w:fill="auto"/>
            <w:vAlign w:val="center"/>
          </w:tcPr>
          <w:p w14:paraId="660018E1">
            <w:pPr>
              <w:autoSpaceDE w:val="0"/>
              <w:autoSpaceDN w:val="0"/>
              <w:adjustRightInd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4.2.3</w:t>
            </w:r>
          </w:p>
        </w:tc>
        <w:tc>
          <w:tcPr>
            <w:tcW w:w="1746" w:type="dxa"/>
            <w:shd w:val="clear" w:color="auto" w:fill="auto"/>
            <w:vAlign w:val="center"/>
          </w:tcPr>
          <w:p w14:paraId="53CCB3BF">
            <w:pPr>
              <w:autoSpaceDE w:val="0"/>
              <w:autoSpaceDN w:val="0"/>
              <w:adjustRightInd w:val="0"/>
              <w:spacing w:line="360" w:lineRule="auto"/>
              <w:jc w:val="center"/>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Theme="minorEastAsia" w:hAnsiTheme="minorEastAsia" w:eastAsiaTheme="minorEastAsia" w:cstheme="minorEastAsia"/>
                <w:b w:val="0"/>
                <w:bCs w:val="0"/>
                <w:color w:val="auto"/>
                <w:sz w:val="21"/>
                <w:szCs w:val="21"/>
                <w:highlight w:val="none"/>
                <w:lang w:val="en-US" w:eastAsia="zh-CN"/>
              </w:rPr>
              <w:t>开启解密</w:t>
            </w:r>
            <w:r>
              <w:rPr>
                <w:rFonts w:hint="eastAsia" w:asciiTheme="minorEastAsia" w:hAnsiTheme="minorEastAsia" w:eastAsiaTheme="minorEastAsia" w:cstheme="minorEastAsia"/>
                <w:b w:val="0"/>
                <w:bCs w:val="0"/>
                <w:color w:val="auto"/>
                <w:sz w:val="21"/>
                <w:szCs w:val="21"/>
                <w:highlight w:val="none"/>
                <w:lang w:eastAsia="zh-CN"/>
              </w:rPr>
              <w:t>时间</w:t>
            </w:r>
          </w:p>
        </w:tc>
        <w:tc>
          <w:tcPr>
            <w:tcW w:w="7535" w:type="dxa"/>
            <w:shd w:val="clear" w:color="auto" w:fill="auto"/>
            <w:vAlign w:val="center"/>
          </w:tcPr>
          <w:p w14:paraId="475A8321">
            <w:pPr>
              <w:spacing w:line="470" w:lineRule="exact"/>
              <w:jc w:val="both"/>
              <w:rPr>
                <w:rFonts w:hint="eastAsia" w:asciiTheme="minorEastAsia" w:hAnsiTheme="minorEastAsia" w:eastAsiaTheme="minorEastAsia" w:cstheme="minorEastAsia"/>
                <w:b w:val="0"/>
                <w:bCs w:val="0"/>
                <w:color w:val="auto"/>
                <w:kern w:val="2"/>
                <w:sz w:val="21"/>
                <w:szCs w:val="21"/>
                <w:highlight w:val="none"/>
                <w:lang w:val="en-US" w:eastAsia="zh-CN" w:bidi="ar-SA"/>
              </w:rPr>
            </w:pPr>
            <w:r>
              <w:rPr>
                <w:rFonts w:hint="eastAsia" w:ascii="宋体" w:hAnsi="宋体" w:cs="宋体"/>
                <w:b w:val="0"/>
                <w:bCs w:val="0"/>
                <w:color w:val="auto"/>
                <w:szCs w:val="21"/>
                <w:lang w:val="en-US" w:eastAsia="zh-CN"/>
              </w:rPr>
              <w:t>2026年5月18日15时00分</w:t>
            </w:r>
          </w:p>
        </w:tc>
      </w:tr>
      <w:tr w14:paraId="5985B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3" w:hRule="atLeast"/>
          <w:jc w:val="center"/>
        </w:trPr>
        <w:tc>
          <w:tcPr>
            <w:tcW w:w="884" w:type="dxa"/>
            <w:vAlign w:val="center"/>
          </w:tcPr>
          <w:p w14:paraId="0844FF2A">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4.2.4</w:t>
            </w:r>
          </w:p>
        </w:tc>
        <w:tc>
          <w:tcPr>
            <w:tcW w:w="1746" w:type="dxa"/>
            <w:vAlign w:val="center"/>
          </w:tcPr>
          <w:p w14:paraId="3534FF4B">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响应文件解密与开启</w:t>
            </w:r>
          </w:p>
        </w:tc>
        <w:tc>
          <w:tcPr>
            <w:tcW w:w="7535" w:type="dxa"/>
            <w:vAlign w:val="center"/>
          </w:tcPr>
          <w:p w14:paraId="08CC8339">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（1）</w:t>
            </w:r>
            <w:r>
              <w:rPr>
                <w:rFonts w:hint="eastAsia" w:asciiTheme="minorEastAsia" w:hAnsiTheme="minorEastAsia" w:eastAsiaTheme="minorEastAsia" w:cstheme="minorEastAsia"/>
                <w:color w:val="auto"/>
                <w:sz w:val="21"/>
                <w:szCs w:val="21"/>
                <w:highlight w:val="none"/>
                <w:lang w:val="en-US" w:eastAsia="zh-CN"/>
              </w:rPr>
              <w:t>采购代理机构在电子交易平台发起开始解密指令，供应商须使用加密时所用的CA锁按平台提示和采购文件的规定登录到“政采云”平台电子开标大厅签到并在发起解密指令之时起</w:t>
            </w:r>
            <w:r>
              <w:rPr>
                <w:rFonts w:hint="eastAsia" w:asciiTheme="minorEastAsia" w:hAnsiTheme="minorEastAsia" w:eastAsiaTheme="minorEastAsia" w:cstheme="minorEastAsia"/>
                <w:b/>
                <w:bCs/>
                <w:color w:val="auto"/>
                <w:sz w:val="21"/>
                <w:szCs w:val="21"/>
                <w:highlight w:val="none"/>
                <w:lang w:val="en-US" w:eastAsia="zh-CN"/>
              </w:rPr>
              <w:t>30分钟</w:t>
            </w:r>
            <w:r>
              <w:rPr>
                <w:rFonts w:hint="eastAsia" w:asciiTheme="minorEastAsia" w:hAnsiTheme="minorEastAsia" w:eastAsiaTheme="minorEastAsia" w:cstheme="minorEastAsia"/>
                <w:color w:val="auto"/>
                <w:sz w:val="21"/>
                <w:szCs w:val="21"/>
                <w:highlight w:val="none"/>
                <w:lang w:val="en-US" w:eastAsia="zh-CN"/>
              </w:rPr>
              <w:t>内完成对</w:t>
            </w:r>
            <w:r>
              <w:rPr>
                <w:rFonts w:hint="eastAsia" w:asciiTheme="minorEastAsia" w:hAnsiTheme="minorEastAsia" w:eastAsiaTheme="minorEastAsia" w:cstheme="minorEastAsia"/>
                <w:color w:val="auto"/>
                <w:kern w:val="2"/>
                <w:sz w:val="21"/>
                <w:szCs w:val="21"/>
                <w:lang w:val="en-US" w:eastAsia="zh-CN" w:bidi="ar-SA"/>
              </w:rPr>
              <w:t>电子响应文件在线解密。</w:t>
            </w:r>
          </w:p>
          <w:p w14:paraId="274A37C2">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（2）因供应商原因造成响应文件未解密的，视为撤销其响应文件。</w:t>
            </w:r>
          </w:p>
          <w:p w14:paraId="14718044">
            <w:pPr>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color w:val="auto"/>
                <w:kern w:val="2"/>
                <w:sz w:val="21"/>
                <w:szCs w:val="21"/>
                <w:lang w:val="en-US" w:eastAsia="zh-CN" w:bidi="ar-SA"/>
              </w:rPr>
              <w:t>（3）解密完成后系统自动导入有效的电子响应文件，开启并记录在案。</w:t>
            </w:r>
          </w:p>
        </w:tc>
      </w:tr>
      <w:tr w14:paraId="74D8D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84" w:type="dxa"/>
            <w:vAlign w:val="center"/>
          </w:tcPr>
          <w:p w14:paraId="27CE472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5.1</w:t>
            </w:r>
          </w:p>
        </w:tc>
        <w:tc>
          <w:tcPr>
            <w:tcW w:w="1746" w:type="dxa"/>
            <w:vAlign w:val="center"/>
          </w:tcPr>
          <w:p w14:paraId="36436193">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磋商时间及地点</w:t>
            </w:r>
          </w:p>
        </w:tc>
        <w:tc>
          <w:tcPr>
            <w:tcW w:w="7535" w:type="dxa"/>
          </w:tcPr>
          <w:p w14:paraId="52CEFB1F">
            <w:pPr>
              <w:keepNext w:val="0"/>
              <w:keepLines w:val="0"/>
              <w:pageBreakBefore w:val="0"/>
              <w:widowControl w:val="0"/>
              <w:kinsoku/>
              <w:wordWrap w:val="0"/>
              <w:overflowPunct/>
              <w:topLinePunct w:val="0"/>
              <w:autoSpaceDE/>
              <w:autoSpaceDN/>
              <w:bidi w:val="0"/>
              <w:adjustRightInd/>
              <w:snapToGrid/>
              <w:spacing w:line="470" w:lineRule="exact"/>
              <w:jc w:val="left"/>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时间：</w:t>
            </w:r>
            <w:r>
              <w:rPr>
                <w:rFonts w:hint="eastAsia" w:ascii="宋体" w:hAnsi="宋体" w:cs="宋体"/>
                <w:color w:val="auto"/>
                <w:szCs w:val="21"/>
                <w:highlight w:val="none"/>
                <w:lang w:val="en-US" w:eastAsia="zh-CN"/>
              </w:rPr>
              <w:t>资格审查、符合性审查后，由磋商小组组长在“政府采购云平台”（https://www.zcygov.cn/)系统上向通过资格审查、符合性审查的供应商发起磋商，供应商磋商结果回复时限为30分钟</w:t>
            </w:r>
            <w:r>
              <w:rPr>
                <w:rFonts w:hint="eastAsia" w:ascii="宋体" w:hAnsi="宋体" w:cs="宋体"/>
                <w:color w:val="auto"/>
                <w:szCs w:val="21"/>
                <w:highlight w:val="none"/>
              </w:rPr>
              <w:t>；</w:t>
            </w:r>
          </w:p>
          <w:p w14:paraId="2FB96C1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地点：</w:t>
            </w:r>
            <w:r>
              <w:rPr>
                <w:rFonts w:hint="eastAsia" w:ascii="宋体" w:hAnsi="宋体" w:cs="宋体"/>
                <w:color w:val="auto"/>
                <w:szCs w:val="21"/>
                <w:highlight w:val="none"/>
                <w:lang w:val="en-US" w:eastAsia="zh-CN"/>
              </w:rPr>
              <w:t>“政府采购云平台”（https://www.zcygov.cn/)</w:t>
            </w:r>
            <w:r>
              <w:rPr>
                <w:rFonts w:hint="eastAsia" w:ascii="宋体" w:hAnsi="宋体" w:cs="宋体"/>
                <w:color w:val="auto"/>
                <w:szCs w:val="21"/>
                <w:highlight w:val="none"/>
              </w:rPr>
              <w:t xml:space="preserve">。 </w:t>
            </w:r>
          </w:p>
        </w:tc>
      </w:tr>
      <w:tr w14:paraId="7EF19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4" w:type="dxa"/>
            <w:vAlign w:val="center"/>
          </w:tcPr>
          <w:p w14:paraId="56DDF8D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6.1.1</w:t>
            </w:r>
          </w:p>
        </w:tc>
        <w:tc>
          <w:tcPr>
            <w:tcW w:w="1746" w:type="dxa"/>
            <w:vAlign w:val="center"/>
          </w:tcPr>
          <w:p w14:paraId="28EE23F1">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磋商小组组建</w:t>
            </w:r>
          </w:p>
        </w:tc>
        <w:tc>
          <w:tcPr>
            <w:tcW w:w="7535" w:type="dxa"/>
            <w:vAlign w:val="center"/>
          </w:tcPr>
          <w:p w14:paraId="3942338B">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磋商小组人数：3人及以上单数。</w:t>
            </w:r>
          </w:p>
          <w:p w14:paraId="4809614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评标专家确定方式：在《</w:t>
            </w:r>
            <w:r>
              <w:rPr>
                <w:rFonts w:hint="eastAsia" w:asciiTheme="minorEastAsia" w:hAnsiTheme="minorEastAsia" w:eastAsiaTheme="minorEastAsia" w:cstheme="minorEastAsia"/>
                <w:color w:val="auto"/>
                <w:sz w:val="21"/>
                <w:szCs w:val="21"/>
                <w:highlight w:val="none"/>
                <w:lang w:val="en-US" w:eastAsia="zh-CN"/>
              </w:rPr>
              <w:t>云南省政府采购网</w:t>
            </w:r>
            <w:r>
              <w:rPr>
                <w:rFonts w:hint="eastAsia" w:asciiTheme="minorEastAsia" w:hAnsiTheme="minorEastAsia" w:eastAsiaTheme="minorEastAsia" w:cstheme="minorEastAsia"/>
                <w:color w:val="auto"/>
                <w:sz w:val="21"/>
                <w:szCs w:val="21"/>
                <w:highlight w:val="none"/>
                <w:lang w:eastAsia="zh-CN"/>
              </w:rPr>
              <w:t>评审专家库》中随机抽取的专家及采购人代表组成，其中：评审专家不得少于评审组成员的三分之二；采购人应当授权代表参加评审组，人数不得超过评审组成员总数的三分之一，采购人代表不得以评审专家身份参加评审或者担任评审组长。</w:t>
            </w:r>
          </w:p>
          <w:p w14:paraId="79104948">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注：特殊情况经审批后确定。</w:t>
            </w:r>
          </w:p>
        </w:tc>
      </w:tr>
      <w:tr w14:paraId="6EB1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Align w:val="center"/>
          </w:tcPr>
          <w:p w14:paraId="2438B44D">
            <w:pPr>
              <w:spacing w:line="360" w:lineRule="exact"/>
              <w:jc w:val="center"/>
              <w:rPr>
                <w:rFonts w:ascii="宋体" w:hAnsi="宋体" w:cs="宋体"/>
                <w:bCs/>
                <w:color w:val="auto"/>
                <w:szCs w:val="21"/>
                <w:highlight w:val="none"/>
              </w:rPr>
            </w:pPr>
            <w:r>
              <w:rPr>
                <w:rFonts w:hint="eastAsia" w:ascii="宋体" w:hAnsi="宋体" w:cs="宋体"/>
                <w:bCs/>
                <w:color w:val="auto"/>
                <w:szCs w:val="21"/>
                <w:highlight w:val="none"/>
              </w:rPr>
              <w:t>7.1</w:t>
            </w:r>
          </w:p>
        </w:tc>
        <w:tc>
          <w:tcPr>
            <w:tcW w:w="1746" w:type="dxa"/>
            <w:vAlign w:val="center"/>
          </w:tcPr>
          <w:p w14:paraId="51C29C83">
            <w:pPr>
              <w:pStyle w:val="41"/>
              <w:jc w:val="center"/>
              <w:rPr>
                <w:rFonts w:hint="eastAsia"/>
                <w:color w:val="auto"/>
                <w:sz w:val="21"/>
                <w:szCs w:val="21"/>
                <w:highlight w:val="none"/>
              </w:rPr>
            </w:pPr>
            <w:r>
              <w:rPr>
                <w:rFonts w:hint="eastAsia"/>
                <w:color w:val="auto"/>
                <w:sz w:val="21"/>
                <w:szCs w:val="21"/>
                <w:highlight w:val="none"/>
              </w:rPr>
              <w:t>是否授权磋商</w:t>
            </w:r>
          </w:p>
          <w:p w14:paraId="7231A355">
            <w:pPr>
              <w:pStyle w:val="41"/>
              <w:jc w:val="center"/>
              <w:rPr>
                <w:rFonts w:hint="eastAsia"/>
                <w:color w:val="auto"/>
                <w:sz w:val="21"/>
                <w:szCs w:val="21"/>
                <w:highlight w:val="none"/>
                <w:lang w:eastAsia="zh-CN"/>
              </w:rPr>
            </w:pPr>
            <w:r>
              <w:rPr>
                <w:rFonts w:hint="eastAsia"/>
                <w:color w:val="auto"/>
                <w:sz w:val="21"/>
                <w:szCs w:val="21"/>
                <w:highlight w:val="none"/>
              </w:rPr>
              <w:t>小组确定</w:t>
            </w:r>
            <w:r>
              <w:rPr>
                <w:rFonts w:hint="eastAsia"/>
                <w:color w:val="auto"/>
                <w:sz w:val="21"/>
                <w:szCs w:val="21"/>
                <w:highlight w:val="none"/>
                <w:lang w:eastAsia="zh-CN"/>
              </w:rPr>
              <w:t>成交</w:t>
            </w:r>
          </w:p>
          <w:p w14:paraId="6324B182">
            <w:pPr>
              <w:pStyle w:val="41"/>
              <w:jc w:val="center"/>
              <w:rPr>
                <w:rFonts w:hint="eastAsia" w:eastAsia="宋体"/>
                <w:bCs/>
                <w:color w:val="auto"/>
                <w:sz w:val="21"/>
                <w:szCs w:val="21"/>
                <w:highlight w:val="none"/>
                <w:lang w:eastAsia="zh-CN"/>
              </w:rPr>
            </w:pPr>
            <w:r>
              <w:rPr>
                <w:rFonts w:hint="eastAsia"/>
                <w:color w:val="auto"/>
                <w:sz w:val="21"/>
                <w:szCs w:val="21"/>
                <w:highlight w:val="none"/>
                <w:lang w:eastAsia="zh-CN"/>
              </w:rPr>
              <w:t>供应商</w:t>
            </w:r>
          </w:p>
        </w:tc>
        <w:tc>
          <w:tcPr>
            <w:tcW w:w="7535" w:type="dxa"/>
            <w:vAlign w:val="center"/>
          </w:tcPr>
          <w:p w14:paraId="468A0AA0">
            <w:pPr>
              <w:pStyle w:val="41"/>
              <w:keepNext w:val="0"/>
              <w:keepLines w:val="0"/>
              <w:pageBreakBefore w:val="0"/>
              <w:widowControl w:val="0"/>
              <w:kinsoku/>
              <w:wordWrap/>
              <w:overflowPunct/>
              <w:topLinePunct w:val="0"/>
              <w:autoSpaceDE w:val="0"/>
              <w:autoSpaceDN w:val="0"/>
              <w:bidi w:val="0"/>
              <w:adjustRightInd w:val="0"/>
              <w:snapToGrid/>
              <w:spacing w:line="440" w:lineRule="exact"/>
              <w:ind w:firstLine="210" w:firstLineChars="100"/>
              <w:jc w:val="both"/>
              <w:textAlignment w:val="auto"/>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position w:val="-4"/>
                <w:sz w:val="31"/>
                <w:szCs w:val="21"/>
                <w:highlight w:val="none"/>
              </w:rPr>
              <w:instrText xml:space="preserve">□</w:instrText>
            </w:r>
            <w:r>
              <w:rPr>
                <w:rFonts w:hint="eastAsia"/>
                <w:color w:val="auto"/>
                <w:sz w:val="21"/>
                <w:szCs w:val="21"/>
                <w:highlight w:val="none"/>
              </w:rPr>
              <w:instrText xml:space="preserve">)</w:instrText>
            </w:r>
            <w:r>
              <w:rPr>
                <w:rFonts w:hint="eastAsia"/>
                <w:color w:val="auto"/>
                <w:sz w:val="21"/>
                <w:szCs w:val="21"/>
                <w:highlight w:val="none"/>
              </w:rPr>
              <w:fldChar w:fldCharType="end"/>
            </w:r>
            <w:r>
              <w:rPr>
                <w:rFonts w:hint="eastAsia"/>
                <w:color w:val="auto"/>
                <w:sz w:val="21"/>
                <w:szCs w:val="21"/>
                <w:highlight w:val="none"/>
              </w:rPr>
              <w:t>是</w:t>
            </w:r>
          </w:p>
          <w:p w14:paraId="149E3114">
            <w:pPr>
              <w:pStyle w:val="41"/>
              <w:keepNext w:val="0"/>
              <w:keepLines w:val="0"/>
              <w:pageBreakBefore w:val="0"/>
              <w:widowControl w:val="0"/>
              <w:kinsoku/>
              <w:wordWrap/>
              <w:overflowPunct/>
              <w:topLinePunct w:val="0"/>
              <w:autoSpaceDE w:val="0"/>
              <w:autoSpaceDN w:val="0"/>
              <w:bidi w:val="0"/>
              <w:adjustRightInd w:val="0"/>
              <w:snapToGrid/>
              <w:spacing w:line="440" w:lineRule="exact"/>
              <w:ind w:firstLine="210" w:firstLineChars="100"/>
              <w:jc w:val="both"/>
              <w:textAlignment w:val="auto"/>
              <w:rPr>
                <w:color w:val="auto"/>
                <w:sz w:val="21"/>
                <w:szCs w:val="21"/>
                <w:highlight w:val="none"/>
              </w:rPr>
            </w:pPr>
            <w:r>
              <w:rPr>
                <w:rFonts w:hint="eastAsia"/>
                <w:color w:val="auto"/>
                <w:sz w:val="21"/>
                <w:szCs w:val="21"/>
                <w:highlight w:val="none"/>
              </w:rPr>
              <w:fldChar w:fldCharType="begin"/>
            </w:r>
            <w:r>
              <w:rPr>
                <w:rFonts w:hint="eastAsia"/>
                <w:color w:val="auto"/>
                <w:sz w:val="21"/>
                <w:szCs w:val="21"/>
                <w:highlight w:val="none"/>
              </w:rPr>
              <w:instrText xml:space="preserve"> eq \o\ac(</w:instrText>
            </w:r>
            <w:r>
              <w:rPr>
                <w:rFonts w:hint="eastAsia"/>
                <w:color w:val="auto"/>
                <w:position w:val="-4"/>
                <w:sz w:val="31"/>
                <w:szCs w:val="21"/>
                <w:highlight w:val="none"/>
              </w:rPr>
              <w:instrText xml:space="preserve">□</w:instrText>
            </w:r>
            <w:r>
              <w:rPr>
                <w:rFonts w:hint="eastAsia"/>
                <w:color w:val="auto"/>
                <w:sz w:val="21"/>
                <w:szCs w:val="21"/>
                <w:highlight w:val="none"/>
              </w:rPr>
              <w:instrText xml:space="preserve">,√)</w:instrText>
            </w:r>
            <w:r>
              <w:rPr>
                <w:rFonts w:hint="eastAsia"/>
                <w:color w:val="auto"/>
                <w:sz w:val="21"/>
                <w:szCs w:val="21"/>
                <w:highlight w:val="none"/>
              </w:rPr>
              <w:fldChar w:fldCharType="end"/>
            </w:r>
            <w:r>
              <w:rPr>
                <w:rFonts w:hint="eastAsia"/>
                <w:color w:val="auto"/>
                <w:sz w:val="21"/>
                <w:szCs w:val="21"/>
                <w:highlight w:val="none"/>
              </w:rPr>
              <w:t>否，推荐的成交候选人数：3人，</w:t>
            </w:r>
            <w:r>
              <w:rPr>
                <w:rFonts w:hint="eastAsia"/>
                <w:color w:val="auto"/>
                <w:sz w:val="21"/>
                <w:szCs w:val="21"/>
                <w:highlight w:val="none"/>
                <w:lang w:eastAsia="zh-CN"/>
              </w:rPr>
              <w:t>磋商小组</w:t>
            </w:r>
            <w:r>
              <w:rPr>
                <w:rFonts w:hint="eastAsia"/>
                <w:color w:val="auto"/>
                <w:sz w:val="21"/>
                <w:szCs w:val="21"/>
                <w:highlight w:val="none"/>
              </w:rPr>
              <w:t>依据本磋商文件规定的评标标准和方法，对按最终得分从高到低的顺序推荐出3名</w:t>
            </w:r>
            <w:r>
              <w:rPr>
                <w:rFonts w:hint="eastAsia"/>
                <w:color w:val="auto"/>
                <w:sz w:val="21"/>
                <w:szCs w:val="21"/>
                <w:highlight w:val="none"/>
                <w:lang w:val="en-US" w:eastAsia="zh-CN"/>
              </w:rPr>
              <w:t>成交</w:t>
            </w:r>
            <w:r>
              <w:rPr>
                <w:rFonts w:hint="eastAsia"/>
                <w:color w:val="auto"/>
                <w:sz w:val="21"/>
                <w:szCs w:val="21"/>
                <w:highlight w:val="none"/>
              </w:rPr>
              <w:t>候选人。</w:t>
            </w:r>
            <w:r>
              <w:rPr>
                <w:rFonts w:hint="eastAsia"/>
                <w:color w:val="auto"/>
                <w:sz w:val="21"/>
                <w:szCs w:val="21"/>
                <w:highlight w:val="none"/>
                <w:lang w:eastAsia="zh-CN"/>
              </w:rPr>
              <w:t>采购人</w:t>
            </w:r>
            <w:r>
              <w:rPr>
                <w:rFonts w:hint="eastAsia"/>
                <w:color w:val="auto"/>
                <w:sz w:val="21"/>
                <w:szCs w:val="21"/>
                <w:highlight w:val="none"/>
              </w:rPr>
              <w:t>依据</w:t>
            </w:r>
            <w:r>
              <w:rPr>
                <w:rFonts w:hint="eastAsia"/>
                <w:color w:val="auto"/>
                <w:sz w:val="21"/>
                <w:szCs w:val="21"/>
                <w:highlight w:val="none"/>
                <w:lang w:eastAsia="zh-CN"/>
              </w:rPr>
              <w:t>磋商小组</w:t>
            </w:r>
            <w:r>
              <w:rPr>
                <w:rFonts w:hint="eastAsia"/>
                <w:color w:val="auto"/>
                <w:sz w:val="21"/>
                <w:szCs w:val="21"/>
                <w:highlight w:val="none"/>
              </w:rPr>
              <w:t>推荐的</w:t>
            </w:r>
            <w:r>
              <w:rPr>
                <w:rFonts w:hint="eastAsia"/>
                <w:color w:val="auto"/>
                <w:sz w:val="21"/>
                <w:szCs w:val="21"/>
                <w:highlight w:val="none"/>
                <w:lang w:val="en-US" w:eastAsia="zh-CN"/>
              </w:rPr>
              <w:t>成交</w:t>
            </w:r>
            <w:r>
              <w:rPr>
                <w:rFonts w:hint="eastAsia"/>
                <w:color w:val="auto"/>
                <w:sz w:val="21"/>
                <w:szCs w:val="21"/>
                <w:highlight w:val="none"/>
              </w:rPr>
              <w:t>候选人排序确定第一</w:t>
            </w:r>
            <w:r>
              <w:rPr>
                <w:rFonts w:hint="eastAsia"/>
                <w:color w:val="auto"/>
                <w:sz w:val="21"/>
                <w:szCs w:val="21"/>
                <w:highlight w:val="none"/>
                <w:lang w:val="en-US" w:eastAsia="zh-CN"/>
              </w:rPr>
              <w:t>成交</w:t>
            </w:r>
            <w:r>
              <w:rPr>
                <w:rFonts w:hint="eastAsia"/>
                <w:color w:val="auto"/>
                <w:sz w:val="21"/>
                <w:szCs w:val="21"/>
                <w:highlight w:val="none"/>
              </w:rPr>
              <w:t>候选人为本项目的</w:t>
            </w:r>
            <w:r>
              <w:rPr>
                <w:rFonts w:hint="eastAsia"/>
                <w:color w:val="auto"/>
                <w:sz w:val="21"/>
                <w:szCs w:val="21"/>
                <w:highlight w:val="none"/>
                <w:lang w:val="en-US" w:eastAsia="zh-CN"/>
              </w:rPr>
              <w:t>成交</w:t>
            </w:r>
            <w:r>
              <w:rPr>
                <w:rFonts w:hint="eastAsia"/>
                <w:color w:val="auto"/>
                <w:sz w:val="21"/>
                <w:szCs w:val="21"/>
                <w:highlight w:val="none"/>
              </w:rPr>
              <w:t>人。</w:t>
            </w:r>
          </w:p>
        </w:tc>
      </w:tr>
      <w:tr w14:paraId="6B85C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0FCC825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7.2</w:t>
            </w:r>
          </w:p>
        </w:tc>
        <w:tc>
          <w:tcPr>
            <w:tcW w:w="1746" w:type="dxa"/>
            <w:vAlign w:val="center"/>
          </w:tcPr>
          <w:p w14:paraId="0E9F152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成交公示</w:t>
            </w:r>
          </w:p>
        </w:tc>
        <w:tc>
          <w:tcPr>
            <w:tcW w:w="7535" w:type="dxa"/>
            <w:vAlign w:val="center"/>
          </w:tcPr>
          <w:p w14:paraId="6398EA41">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公告媒介</w:t>
            </w:r>
            <w:r>
              <w:rPr>
                <w:rFonts w:hint="eastAsia" w:asciiTheme="minorEastAsia" w:hAnsiTheme="minorEastAsia" w:eastAsiaTheme="minorEastAsia" w:cstheme="minorEastAsia"/>
                <w:color w:val="auto"/>
                <w:sz w:val="21"/>
                <w:szCs w:val="21"/>
                <w:highlight w:val="none"/>
                <w:lang w:eastAsia="zh-CN"/>
              </w:rPr>
              <w:t>同竞争性磋商公告发布媒介，公示期为1个工作日。</w:t>
            </w:r>
          </w:p>
        </w:tc>
      </w:tr>
      <w:tr w14:paraId="2B59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90D514E">
            <w:pPr>
              <w:autoSpaceDE w:val="0"/>
              <w:autoSpaceDN w:val="0"/>
              <w:adjustRightInd w:val="0"/>
              <w:spacing w:line="360" w:lineRule="auto"/>
              <w:jc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7.3</w:t>
            </w:r>
          </w:p>
        </w:tc>
        <w:tc>
          <w:tcPr>
            <w:tcW w:w="1746" w:type="dxa"/>
            <w:vAlign w:val="center"/>
          </w:tcPr>
          <w:p w14:paraId="3C4F14C9">
            <w:pPr>
              <w:autoSpaceDE w:val="0"/>
              <w:autoSpaceDN w:val="0"/>
              <w:adjustRightInd w:val="0"/>
              <w:spacing w:line="360" w:lineRule="auto"/>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 w:val="21"/>
                <w:szCs w:val="21"/>
                <w:highlight w:val="none"/>
                <w:lang w:val="en-US" w:eastAsia="zh-CN"/>
              </w:rPr>
              <w:t>履约保证金</w:t>
            </w:r>
          </w:p>
        </w:tc>
        <w:tc>
          <w:tcPr>
            <w:tcW w:w="7535" w:type="dxa"/>
            <w:vAlign w:val="center"/>
          </w:tcPr>
          <w:p w14:paraId="2703F905">
            <w:pPr>
              <w:pageBreakBefore w:val="0"/>
              <w:kinsoku/>
              <w:bidi w:val="0"/>
              <w:spacing w:beforeAutospacing="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是否要求中标人提交履约保证金：</w:t>
            </w:r>
          </w:p>
          <w:p w14:paraId="773F68F4">
            <w:pPr>
              <w:pageBreakBefore w:val="0"/>
              <w:kinsoku/>
              <w:bidi w:val="0"/>
              <w:spacing w:beforeAutospacing="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要求</w:t>
            </w:r>
          </w:p>
          <w:p w14:paraId="33216EF5">
            <w:pPr>
              <w:pageBreakBefore w:val="0"/>
              <w:kinsoku/>
              <w:bidi w:val="0"/>
              <w:spacing w:beforeAutospacing="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履约保证金的金额：</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rPr>
              <w:t xml:space="preserve">。                             </w:t>
            </w:r>
          </w:p>
          <w:p w14:paraId="73B7D194">
            <w:pPr>
              <w:autoSpaceDE w:val="0"/>
              <w:autoSpaceDN w:val="0"/>
              <w:adjustRightInd w:val="0"/>
              <w:spacing w:line="360" w:lineRule="auto"/>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不要求</w:t>
            </w:r>
          </w:p>
        </w:tc>
      </w:tr>
      <w:tr w14:paraId="3925E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5B80F13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8</w:t>
            </w:r>
          </w:p>
        </w:tc>
        <w:tc>
          <w:tcPr>
            <w:tcW w:w="1746" w:type="dxa"/>
            <w:vAlign w:val="center"/>
          </w:tcPr>
          <w:p w14:paraId="3064D205">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重新采购</w:t>
            </w:r>
          </w:p>
        </w:tc>
        <w:tc>
          <w:tcPr>
            <w:tcW w:w="7535" w:type="dxa"/>
            <w:vAlign w:val="center"/>
          </w:tcPr>
          <w:p w14:paraId="2EAF6304">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3738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323BB2B3">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9</w:t>
            </w:r>
          </w:p>
        </w:tc>
        <w:tc>
          <w:tcPr>
            <w:tcW w:w="1746" w:type="dxa"/>
            <w:vAlign w:val="center"/>
          </w:tcPr>
          <w:p w14:paraId="293607A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纪律和监督</w:t>
            </w:r>
          </w:p>
        </w:tc>
        <w:tc>
          <w:tcPr>
            <w:tcW w:w="7535" w:type="dxa"/>
            <w:vAlign w:val="center"/>
          </w:tcPr>
          <w:p w14:paraId="51CB77C3">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070D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7EC964E0">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10</w:t>
            </w:r>
          </w:p>
        </w:tc>
        <w:tc>
          <w:tcPr>
            <w:tcW w:w="1746" w:type="dxa"/>
            <w:vAlign w:val="center"/>
          </w:tcPr>
          <w:p w14:paraId="780C634D">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知识产权</w:t>
            </w:r>
          </w:p>
        </w:tc>
        <w:tc>
          <w:tcPr>
            <w:tcW w:w="7535" w:type="dxa"/>
            <w:vAlign w:val="center"/>
          </w:tcPr>
          <w:p w14:paraId="46AC9E8F">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0F7A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45576432">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11</w:t>
            </w:r>
          </w:p>
        </w:tc>
        <w:tc>
          <w:tcPr>
            <w:tcW w:w="1746" w:type="dxa"/>
            <w:vAlign w:val="center"/>
          </w:tcPr>
          <w:p w14:paraId="703220F8">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同义词语</w:t>
            </w:r>
          </w:p>
        </w:tc>
        <w:tc>
          <w:tcPr>
            <w:tcW w:w="7535" w:type="dxa"/>
            <w:vAlign w:val="center"/>
          </w:tcPr>
          <w:p w14:paraId="5D67BAB0">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5115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84" w:type="dxa"/>
            <w:vAlign w:val="center"/>
          </w:tcPr>
          <w:p w14:paraId="6AE091A4">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12</w:t>
            </w:r>
          </w:p>
        </w:tc>
        <w:tc>
          <w:tcPr>
            <w:tcW w:w="1746" w:type="dxa"/>
            <w:vAlign w:val="center"/>
          </w:tcPr>
          <w:p w14:paraId="2511263D">
            <w:pPr>
              <w:autoSpaceDE w:val="0"/>
              <w:autoSpaceDN w:val="0"/>
              <w:adjustRightInd w:val="0"/>
              <w:spacing w:line="360" w:lineRule="auto"/>
              <w:jc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监  督</w:t>
            </w:r>
          </w:p>
        </w:tc>
        <w:tc>
          <w:tcPr>
            <w:tcW w:w="7535" w:type="dxa"/>
            <w:vAlign w:val="center"/>
          </w:tcPr>
          <w:p w14:paraId="69A22AF1">
            <w:pPr>
              <w:autoSpaceDE w:val="0"/>
              <w:autoSpaceDN w:val="0"/>
              <w:adjustRightInd w:val="0"/>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见供应商须知</w:t>
            </w:r>
          </w:p>
        </w:tc>
      </w:tr>
      <w:tr w14:paraId="4F7BF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84" w:type="dxa"/>
            <w:vAlign w:val="center"/>
          </w:tcPr>
          <w:p w14:paraId="612EAF6D">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13</w:t>
            </w:r>
          </w:p>
        </w:tc>
        <w:tc>
          <w:tcPr>
            <w:tcW w:w="1746" w:type="dxa"/>
            <w:vAlign w:val="center"/>
          </w:tcPr>
          <w:p w14:paraId="625C730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解释权</w:t>
            </w:r>
          </w:p>
        </w:tc>
        <w:tc>
          <w:tcPr>
            <w:tcW w:w="7535" w:type="dxa"/>
            <w:vAlign w:val="center"/>
          </w:tcPr>
          <w:p w14:paraId="0776DB8E">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（1）本磋商文件是根据《中华人民共和国政府采购法》及实施条例、财政部</w:t>
            </w:r>
            <w:r>
              <w:rPr>
                <w:rFonts w:hint="eastAsia" w:asciiTheme="minorEastAsia" w:hAnsiTheme="minorEastAsia" w:eastAsiaTheme="minorEastAsia" w:cstheme="minorEastAsia"/>
                <w:color w:val="auto"/>
                <w:sz w:val="21"/>
                <w:szCs w:val="21"/>
                <w:highlight w:val="none"/>
                <w:lang w:val="en-US" w:eastAsia="zh-CN"/>
              </w:rPr>
              <w:t>94</w:t>
            </w:r>
            <w:r>
              <w:rPr>
                <w:rFonts w:hint="eastAsia" w:asciiTheme="minorEastAsia" w:hAnsiTheme="minorEastAsia" w:eastAsiaTheme="minorEastAsia" w:cstheme="minorEastAsia"/>
                <w:color w:val="auto"/>
                <w:sz w:val="21"/>
                <w:szCs w:val="21"/>
                <w:highlight w:val="none"/>
                <w:lang w:eastAsia="zh-CN"/>
              </w:rPr>
              <w:t>号、</w:t>
            </w:r>
            <w:r>
              <w:rPr>
                <w:rFonts w:hint="eastAsia" w:asciiTheme="minorEastAsia" w:hAnsiTheme="minorEastAsia" w:eastAsiaTheme="minorEastAsia" w:cstheme="minorEastAsia"/>
                <w:color w:val="auto"/>
                <w:sz w:val="21"/>
                <w:szCs w:val="21"/>
                <w:highlight w:val="none"/>
                <w:lang w:val="en-US" w:eastAsia="zh-CN"/>
              </w:rPr>
              <w:t>101</w:t>
            </w:r>
            <w:r>
              <w:rPr>
                <w:rFonts w:hint="eastAsia" w:asciiTheme="minorEastAsia" w:hAnsiTheme="minorEastAsia" w:eastAsiaTheme="minorEastAsia" w:cstheme="minorEastAsia"/>
                <w:color w:val="auto"/>
                <w:sz w:val="21"/>
                <w:szCs w:val="21"/>
                <w:highlight w:val="none"/>
                <w:lang w:eastAsia="zh-CN"/>
              </w:rPr>
              <w:t>号令、《政府采购竞争性磋商采购方式管理暂行办法》等现行相关法律、法规的规定以及参照国际惯例编制，构成本磋商文件的各个组成文件应互为补充、互为说明、互为解释；如有不明确或不一致，构成合同文件组成内容的，以合同文件约定内容为准，且以专用合同条款约定的合同文件优先顺序解释；除磋商文件中有特别规定外，仅适用于招标投标阶段的规定，按磋商公告（磋商邀请书）、供应商须知、评标办法、响应文件格式的先后顺序解释；同一组成文件中就同一事项的规定或约定不一致的，以编排顺序在后者为准；同一组成文件不同版本之间有不一致的，以形成时间在后者为准。供应商须知正文与前附表不一致的以前附表为准。按本款前述规定仍不能形成结论的，由采购人负责解释。</w:t>
            </w:r>
          </w:p>
          <w:p w14:paraId="1368D75A">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（2）供应商若接受本磋商文件的所有条款可继续参与磋商，否则可放弃磋商。</w:t>
            </w:r>
          </w:p>
        </w:tc>
      </w:tr>
      <w:tr w14:paraId="73DCA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Align w:val="center"/>
          </w:tcPr>
          <w:p w14:paraId="426B7BC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14</w:t>
            </w:r>
          </w:p>
        </w:tc>
        <w:tc>
          <w:tcPr>
            <w:tcW w:w="1746" w:type="dxa"/>
            <w:vAlign w:val="center"/>
          </w:tcPr>
          <w:p w14:paraId="41FC75B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确定成交供应商</w:t>
            </w:r>
          </w:p>
        </w:tc>
        <w:tc>
          <w:tcPr>
            <w:tcW w:w="7535" w:type="dxa"/>
            <w:vAlign w:val="center"/>
          </w:tcPr>
          <w:p w14:paraId="38A15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采购人（或采购人授权的</w:t>
            </w:r>
            <w:r>
              <w:rPr>
                <w:rFonts w:hint="eastAsia" w:asciiTheme="minorEastAsia" w:hAnsiTheme="minorEastAsia" w:eastAsia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eastAsia="zh-CN"/>
              </w:rPr>
              <w:t>）按照</w:t>
            </w:r>
            <w:r>
              <w:rPr>
                <w:rFonts w:hint="eastAsia" w:asciiTheme="minorEastAsia" w:hAnsiTheme="minorEastAsia" w:eastAsiaTheme="minorEastAsia" w:cstheme="minorEastAsia"/>
                <w:color w:val="auto"/>
                <w:sz w:val="21"/>
                <w:szCs w:val="21"/>
                <w:highlight w:val="none"/>
                <w:lang w:val="en-US" w:eastAsia="zh-CN"/>
              </w:rPr>
              <w:t>磋商小组</w:t>
            </w:r>
            <w:r>
              <w:rPr>
                <w:rFonts w:hint="eastAsia" w:asciiTheme="minorEastAsia" w:hAnsiTheme="minorEastAsia" w:eastAsiaTheme="minorEastAsia" w:cstheme="minorEastAsia"/>
                <w:color w:val="auto"/>
                <w:sz w:val="21"/>
                <w:szCs w:val="21"/>
                <w:highlight w:val="none"/>
                <w:lang w:eastAsia="zh-CN"/>
              </w:rPr>
              <w:t>推荐</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lang w:eastAsia="zh-CN"/>
              </w:rPr>
              <w:t>候选人的顺序确定</w:t>
            </w:r>
            <w:r>
              <w:rPr>
                <w:rFonts w:hint="eastAsia" w:asciiTheme="minorEastAsia" w:hAnsiTheme="minorEastAsia" w:eastAsiaTheme="minorEastAsia" w:cstheme="minorEastAsia"/>
                <w:color w:val="auto"/>
                <w:sz w:val="21"/>
                <w:szCs w:val="21"/>
                <w:highlight w:val="none"/>
                <w:lang w:val="en-US" w:eastAsia="zh-CN"/>
              </w:rPr>
              <w:t>成交</w:t>
            </w:r>
            <w:r>
              <w:rPr>
                <w:rFonts w:hint="eastAsia" w:asciiTheme="minorEastAsia" w:hAnsiTheme="minorEastAsia" w:eastAsiaTheme="minorEastAsia" w:cstheme="minorEastAsia"/>
                <w:color w:val="auto"/>
                <w:sz w:val="21"/>
                <w:szCs w:val="21"/>
                <w:highlight w:val="none"/>
                <w:lang w:eastAsia="zh-CN"/>
              </w:rPr>
              <w:t>人。</w:t>
            </w:r>
          </w:p>
        </w:tc>
      </w:tr>
      <w:tr w14:paraId="775B4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restart"/>
            <w:vAlign w:val="center"/>
          </w:tcPr>
          <w:p w14:paraId="1ECE4B0A">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15</w:t>
            </w:r>
          </w:p>
        </w:tc>
        <w:tc>
          <w:tcPr>
            <w:tcW w:w="9281" w:type="dxa"/>
            <w:gridSpan w:val="2"/>
            <w:vAlign w:val="center"/>
          </w:tcPr>
          <w:p w14:paraId="4DCC55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需要补充的其他内容</w:t>
            </w:r>
          </w:p>
        </w:tc>
      </w:tr>
      <w:tr w14:paraId="3D26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38A3ACF6">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37B7156">
            <w:pPr>
              <w:adjustRightInd w:val="0"/>
              <w:snapToGri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ascii="宋体" w:hAnsi="宋体"/>
                <w:color w:val="auto"/>
                <w:kern w:val="0"/>
                <w:szCs w:val="21"/>
              </w:rPr>
              <w:t>“政采云”平台</w:t>
            </w:r>
            <w:r>
              <w:rPr>
                <w:rFonts w:hint="eastAsia" w:ascii="宋体" w:hAnsi="宋体"/>
                <w:color w:val="auto"/>
                <w:kern w:val="0"/>
                <w:szCs w:val="21"/>
              </w:rPr>
              <w:t>最后报价</w:t>
            </w:r>
          </w:p>
        </w:tc>
        <w:tc>
          <w:tcPr>
            <w:tcW w:w="7535" w:type="dxa"/>
            <w:vAlign w:val="center"/>
          </w:tcPr>
          <w:p w14:paraId="092F6912">
            <w:pPr>
              <w:spacing w:line="360" w:lineRule="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b/>
                <w:color w:val="auto"/>
                <w:kern w:val="0"/>
                <w:szCs w:val="21"/>
              </w:rPr>
              <w:t>本项目需进行磋商报价环节，供应商应实时关注“政采云”平台。</w:t>
            </w:r>
          </w:p>
        </w:tc>
      </w:tr>
      <w:tr w14:paraId="117DB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03BED08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03CB943B">
            <w:pPr>
              <w:spacing w:line="470" w:lineRule="exact"/>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宋体" w:hAnsi="宋体" w:cs="宋体"/>
                <w:color w:val="auto"/>
                <w:szCs w:val="21"/>
              </w:rPr>
              <w:t>磋商费用</w:t>
            </w:r>
          </w:p>
        </w:tc>
        <w:tc>
          <w:tcPr>
            <w:tcW w:w="7535" w:type="dxa"/>
            <w:vAlign w:val="center"/>
          </w:tcPr>
          <w:p w14:paraId="5694CD23">
            <w:pPr>
              <w:spacing w:line="470" w:lineRule="exact"/>
              <w:jc w:val="left"/>
              <w:rPr>
                <w:rFonts w:ascii="宋体" w:hAnsi="宋体" w:cs="宋体"/>
                <w:color w:val="auto"/>
                <w:szCs w:val="21"/>
              </w:rPr>
            </w:pPr>
            <w:r>
              <w:rPr>
                <w:rFonts w:hint="eastAsia" w:ascii="宋体" w:hAnsi="宋体" w:cs="宋体"/>
                <w:color w:val="auto"/>
                <w:szCs w:val="21"/>
              </w:rPr>
              <w:t>供应商应承担：</w:t>
            </w:r>
          </w:p>
          <w:p w14:paraId="476E4773">
            <w:pPr>
              <w:spacing w:line="470" w:lineRule="exact"/>
              <w:jc w:val="left"/>
              <w:rPr>
                <w:rFonts w:ascii="宋体" w:hAnsi="宋体" w:cs="宋体"/>
                <w:color w:val="auto"/>
                <w:szCs w:val="21"/>
              </w:rPr>
            </w:pPr>
            <w:r>
              <w:rPr>
                <w:rFonts w:hint="eastAsia" w:ascii="宋体" w:hAnsi="宋体" w:cs="宋体"/>
                <w:color w:val="auto"/>
                <w:szCs w:val="21"/>
              </w:rPr>
              <w:t>（1）参加磋商活动及编制响应文件的相关费用，无论成交与否，均由供应商自行承担；</w:t>
            </w:r>
          </w:p>
          <w:p w14:paraId="72BF4F24">
            <w:pPr>
              <w:spacing w:line="47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rPr>
              <w:t>（2）本项目中标服务费由成交人向采购代理机构支付，拒交中标服务费的，保证金不予退还。</w:t>
            </w:r>
          </w:p>
        </w:tc>
      </w:tr>
      <w:tr w14:paraId="0ED1B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29A673A4">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615120E4">
            <w:pPr>
              <w:spacing w:line="470" w:lineRule="exact"/>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宋体" w:hAnsi="宋体" w:cs="宋体"/>
                <w:color w:val="auto"/>
                <w:szCs w:val="21"/>
                <w:highlight w:val="none"/>
              </w:rPr>
              <w:t>响应文件所附证书</w:t>
            </w:r>
            <w:r>
              <w:rPr>
                <w:rFonts w:hint="eastAsia" w:ascii="宋体" w:hAnsi="宋体" w:cs="宋体"/>
                <w:color w:val="auto"/>
                <w:szCs w:val="21"/>
                <w:highlight w:val="none"/>
                <w:lang w:eastAsia="zh-CN"/>
              </w:rPr>
              <w:t>、</w:t>
            </w:r>
            <w:r>
              <w:rPr>
                <w:rFonts w:hint="eastAsia" w:ascii="宋体" w:hAnsi="宋体" w:cs="宋体"/>
                <w:color w:val="auto"/>
                <w:szCs w:val="21"/>
                <w:highlight w:val="none"/>
              </w:rPr>
              <w:t>证件</w:t>
            </w:r>
            <w:r>
              <w:rPr>
                <w:rFonts w:hint="eastAsia" w:ascii="宋体" w:hAnsi="宋体" w:cs="宋体"/>
                <w:color w:val="auto"/>
                <w:szCs w:val="21"/>
                <w:highlight w:val="none"/>
                <w:lang w:eastAsia="zh-CN"/>
              </w:rPr>
              <w:t>、证明材料</w:t>
            </w:r>
            <w:r>
              <w:rPr>
                <w:rFonts w:hint="eastAsia" w:ascii="宋体" w:hAnsi="宋体" w:cs="宋体"/>
                <w:color w:val="auto"/>
                <w:szCs w:val="21"/>
                <w:highlight w:val="none"/>
              </w:rPr>
              <w:t>要求</w:t>
            </w:r>
          </w:p>
        </w:tc>
        <w:tc>
          <w:tcPr>
            <w:tcW w:w="7535" w:type="dxa"/>
            <w:vAlign w:val="center"/>
          </w:tcPr>
          <w:p w14:paraId="058E2130">
            <w:pPr>
              <w:spacing w:line="470" w:lineRule="exact"/>
              <w:jc w:val="left"/>
              <w:rPr>
                <w:rFonts w:hint="eastAsia" w:asciiTheme="minorEastAsia" w:hAnsiTheme="minorEastAsia" w:eastAsiaTheme="minorEastAsia" w:cstheme="minorEastAsia"/>
                <w:color w:val="auto"/>
                <w:sz w:val="21"/>
                <w:szCs w:val="21"/>
                <w:highlight w:val="none"/>
                <w:lang w:eastAsia="zh-CN"/>
              </w:rPr>
            </w:pPr>
            <w:r>
              <w:rPr>
                <w:rFonts w:hint="eastAsia" w:ascii="宋体" w:hAnsi="宋体" w:cs="宋体"/>
                <w:color w:val="auto"/>
                <w:szCs w:val="21"/>
                <w:highlight w:val="none"/>
              </w:rPr>
              <w:t>扫描件或复印件</w:t>
            </w:r>
          </w:p>
        </w:tc>
      </w:tr>
      <w:tr w14:paraId="6EFE5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70444D2A">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9A6DBAF">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b w:val="0"/>
                <w:bCs w:val="0"/>
                <w:color w:val="auto"/>
                <w:sz w:val="21"/>
                <w:szCs w:val="21"/>
                <w:highlight w:val="none"/>
                <w:lang w:eastAsia="zh-CN"/>
              </w:rPr>
              <w:t>追加合同金额</w:t>
            </w:r>
          </w:p>
        </w:tc>
        <w:tc>
          <w:tcPr>
            <w:tcW w:w="7535" w:type="dxa"/>
            <w:vAlign w:val="center"/>
          </w:tcPr>
          <w:p w14:paraId="579AEB9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r w14:paraId="31F5A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019F03E6">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3FC6A7D3">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采购标的对应的中小企业划分标准所属行业</w:t>
            </w:r>
          </w:p>
        </w:tc>
        <w:tc>
          <w:tcPr>
            <w:tcW w:w="7535" w:type="dxa"/>
            <w:vAlign w:val="center"/>
          </w:tcPr>
          <w:p w14:paraId="2856BCC4">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标的：瑞丽市人民医院肾内科血液净化中心改造项目</w:t>
            </w:r>
          </w:p>
          <w:p w14:paraId="72FF6E9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所属行业：建筑业</w:t>
            </w:r>
          </w:p>
          <w:p w14:paraId="01213227">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划分标准：符合国家统计局关于印发《统计上大中小微型企业划分办法（2017）》的通知（国统字〔2017〕213号）建筑业行业划分标准。</w:t>
            </w:r>
          </w:p>
        </w:tc>
      </w:tr>
      <w:tr w14:paraId="169D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25442BE7">
            <w:pPr>
              <w:autoSpaceDE w:val="0"/>
              <w:autoSpaceDN w:val="0"/>
              <w:adjustRightInd w:val="0"/>
              <w:spacing w:line="360" w:lineRule="auto"/>
              <w:jc w:val="center"/>
              <w:rPr>
                <w:rFonts w:hint="default"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45089C17">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评审中价格扣除及优先采购</w:t>
            </w:r>
          </w:p>
        </w:tc>
        <w:tc>
          <w:tcPr>
            <w:tcW w:w="7535" w:type="dxa"/>
            <w:vAlign w:val="center"/>
          </w:tcPr>
          <w:p w14:paraId="61301DC8">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（1）根据《政府采购促进中小企业发展管理办法》（财库[2020]46 号）规定，本次采购项目，对小型和微型企业产品的价格给予3%的扣除。是否为小微企业供应商提供中小企业声明函；</w:t>
            </w:r>
          </w:p>
          <w:p w14:paraId="74788E19">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（2）按照《财政部司法部关于政府采购支持监狱企业发展有关问题的通知》（财库[2014]68号）文件规定，在政府采购活动中，监狱企业视同小型、微型企业，享受评审中价格扣除的政府采购政策； </w:t>
            </w:r>
          </w:p>
          <w:p w14:paraId="484290D7">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 xml:space="preserve">（3）按照《财政部民政部中国残疾人联合会关于促进残疾人就业政府采购政策的通知》，残疾人福利性单位视同小型、微型企业，享受评审中价格扣除的政府采购政策，残疾人福利性单位属于小型、微型企业的，不重复享受政策； </w:t>
            </w:r>
          </w:p>
          <w:p w14:paraId="2C6677C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（4）评审价格=最后磋商报价-（最后磋商报价×扣除比例）；</w:t>
            </w:r>
          </w:p>
          <w:p w14:paraId="5C0B860C">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注：评审价格仅为评审计算依据，不作为最终的成交价格。</w:t>
            </w:r>
          </w:p>
          <w:p w14:paraId="22225CE5">
            <w:pPr>
              <w:keepNext w:val="0"/>
              <w:keepLines w:val="0"/>
              <w:pageBreakBefore w:val="0"/>
              <w:widowControl w:val="0"/>
              <w:kinsoku/>
              <w:wordWrap/>
              <w:overflowPunct/>
              <w:topLinePunct w:val="0"/>
              <w:autoSpaceDE w:val="0"/>
              <w:autoSpaceDN w:val="0"/>
              <w:bidi w:val="0"/>
              <w:adjustRightInd w:val="0"/>
              <w:snapToGrid/>
              <w:spacing w:line="440" w:lineRule="exac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（5）按财库[2019]9号文及财库[2019]18号通知，采购的产品属于环境标志产品政府采购品目清单时，在技术、服务等指标同等条件下，应当优先采购或强制采购。</w:t>
            </w: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 w:val="21"/>
                <w:szCs w:val="21"/>
                <w:highlight w:val="none"/>
                <w:lang w:val="en-US" w:eastAsia="zh-CN"/>
              </w:rPr>
              <w:t>投标产品是否为环境标志产品，由</w:t>
            </w: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 w:val="21"/>
                <w:szCs w:val="21"/>
                <w:highlight w:val="none"/>
                <w:lang w:val="en-US" w:eastAsia="zh-CN"/>
              </w:rPr>
              <w:t>提供国家确定的认证机构出具的、处于有效期之内的环境标志产品认证证书。</w:t>
            </w:r>
          </w:p>
          <w:p w14:paraId="7C702B28">
            <w:pPr>
              <w:keepNext w:val="0"/>
              <w:keepLines w:val="0"/>
              <w:pageBreakBefore w:val="0"/>
              <w:widowControl w:val="0"/>
              <w:kinsoku/>
              <w:wordWrap/>
              <w:overflowPunct/>
              <w:topLinePunct w:val="0"/>
              <w:bidi w:val="0"/>
              <w:snapToGrid/>
              <w:spacing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（6）按财库[2019]9号文及财库[2019]19号通知，采购的产品属于节能产品政府采购品目清单时，在技术、服务等指标同等条件下，应当优先采购或强制采购。</w:t>
            </w: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 w:val="21"/>
                <w:szCs w:val="21"/>
                <w:highlight w:val="none"/>
                <w:lang w:val="en-US" w:eastAsia="zh-CN"/>
              </w:rPr>
              <w:t>投标产品是否为节能产品，由</w:t>
            </w:r>
            <w:r>
              <w:rPr>
                <w:rFonts w:hint="eastAsia" w:asciiTheme="minorEastAsia" w:hAnsiTheme="minorEastAsia" w:eastAsiaTheme="minorEastAsia" w:cstheme="minorEastAsia"/>
                <w:color w:val="auto"/>
                <w:szCs w:val="21"/>
                <w:lang w:eastAsia="zh-CN"/>
              </w:rPr>
              <w:t>供应商</w:t>
            </w:r>
            <w:r>
              <w:rPr>
                <w:rFonts w:hint="eastAsia" w:asciiTheme="minorEastAsia" w:hAnsiTheme="minorEastAsia" w:eastAsiaTheme="minorEastAsia" w:cstheme="minorEastAsia"/>
                <w:color w:val="auto"/>
                <w:sz w:val="21"/>
                <w:szCs w:val="21"/>
                <w:highlight w:val="none"/>
                <w:lang w:val="en-US" w:eastAsia="zh-CN"/>
              </w:rPr>
              <w:t>提供国家确定的认证机构出具的、处于有效期之内的节能产品认证证书。</w:t>
            </w:r>
          </w:p>
        </w:tc>
      </w:tr>
      <w:tr w14:paraId="4B22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84" w:type="dxa"/>
            <w:vMerge w:val="continue"/>
            <w:vAlign w:val="center"/>
          </w:tcPr>
          <w:p w14:paraId="1DD548E2">
            <w:pPr>
              <w:autoSpaceDE w:val="0"/>
              <w:autoSpaceDN w:val="0"/>
              <w:adjustRightInd w:val="0"/>
              <w:spacing w:line="360" w:lineRule="auto"/>
              <w:jc w:val="center"/>
              <w:rPr>
                <w:rFonts w:hint="eastAsia" w:asciiTheme="minorEastAsia" w:hAnsiTheme="minorEastAsia" w:eastAsiaTheme="minorEastAsia" w:cstheme="minorEastAsia"/>
                <w:b w:val="0"/>
                <w:bCs w:val="0"/>
                <w:color w:val="auto"/>
                <w:sz w:val="21"/>
                <w:szCs w:val="21"/>
                <w:highlight w:val="none"/>
                <w:lang w:val="en-US" w:eastAsia="zh-CN"/>
              </w:rPr>
            </w:pPr>
          </w:p>
        </w:tc>
        <w:tc>
          <w:tcPr>
            <w:tcW w:w="1746" w:type="dxa"/>
            <w:vAlign w:val="center"/>
          </w:tcPr>
          <w:p w14:paraId="35768D8A">
            <w:pPr>
              <w:autoSpaceDE w:val="0"/>
              <w:autoSpaceDN w:val="0"/>
              <w:adjustRightInd w:val="0"/>
              <w:spacing w:line="360" w:lineRule="auto"/>
              <w:jc w:val="center"/>
              <w:rPr>
                <w:rFonts w:hint="eastAsia" w:asciiTheme="minorEastAsia" w:hAnsiTheme="minorEastAsia" w:eastAsiaTheme="minorEastAsia" w:cstheme="minorEastAsia"/>
                <w:i w:val="0"/>
                <w:iCs w:val="0"/>
                <w:color w:val="auto"/>
                <w:sz w:val="21"/>
                <w:szCs w:val="21"/>
                <w:highlight w:val="none"/>
                <w:lang w:val="en-US" w:eastAsia="zh-CN"/>
              </w:rPr>
            </w:pPr>
            <w:r>
              <w:rPr>
                <w:rFonts w:hint="eastAsia" w:asciiTheme="minorEastAsia" w:hAnsiTheme="minorEastAsia" w:eastAsiaTheme="minorEastAsia" w:cstheme="minorEastAsia"/>
                <w:i w:val="0"/>
                <w:iCs w:val="0"/>
                <w:color w:val="auto"/>
                <w:sz w:val="21"/>
                <w:szCs w:val="21"/>
                <w:highlight w:val="none"/>
                <w:lang w:val="en-US" w:eastAsia="zh-CN"/>
              </w:rPr>
              <w:t>报价方式</w:t>
            </w:r>
          </w:p>
        </w:tc>
        <w:tc>
          <w:tcPr>
            <w:tcW w:w="7535" w:type="dxa"/>
            <w:vAlign w:val="center"/>
          </w:tcPr>
          <w:p w14:paraId="36326F43">
            <w:pPr>
              <w:spacing w:line="360" w:lineRule="auto"/>
              <w:rPr>
                <w:rFonts w:hint="eastAsia" w:ascii="宋体" w:hAnsi="宋体" w:cs="宋体"/>
                <w:b/>
                <w:bCs/>
                <w:color w:val="auto"/>
                <w:szCs w:val="21"/>
                <w:highlight w:val="none"/>
              </w:rPr>
            </w:pPr>
            <w:r>
              <w:rPr>
                <w:rFonts w:hint="eastAsia" w:ascii="宋体" w:hAnsi="宋体" w:cs="宋体"/>
                <w:b/>
                <w:bCs/>
                <w:color w:val="auto"/>
                <w:kern w:val="0"/>
                <w:szCs w:val="21"/>
                <w:highlight w:val="none"/>
                <w:lang w:val="en-US" w:eastAsia="zh-CN"/>
              </w:rPr>
              <w:t>1.采用综合单价计价法</w:t>
            </w:r>
            <w:r>
              <w:rPr>
                <w:rFonts w:hint="eastAsia" w:ascii="宋体" w:hAnsi="宋体" w:cs="宋体"/>
                <w:b/>
                <w:bCs/>
                <w:color w:val="auto"/>
                <w:kern w:val="0"/>
                <w:szCs w:val="21"/>
                <w:highlight w:val="none"/>
              </w:rPr>
              <w:t>，</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二次报价。</w:t>
            </w:r>
            <w:r>
              <w:rPr>
                <w:rFonts w:hint="eastAsia" w:ascii="宋体" w:hAnsi="宋体" w:cs="宋体"/>
                <w:b/>
                <w:bCs w:val="0"/>
                <w:color w:val="auto"/>
                <w:szCs w:val="21"/>
                <w:highlight w:val="none"/>
              </w:rPr>
              <w:t>（</w:t>
            </w:r>
            <w:r>
              <w:rPr>
                <w:rFonts w:hint="eastAsia"/>
                <w:b/>
                <w:bCs w:val="0"/>
                <w:color w:val="auto"/>
                <w:highlight w:val="none"/>
              </w:rPr>
              <w:t>响应文件内“初次报价一览表”为一次报价，</w:t>
            </w:r>
            <w:r>
              <w:rPr>
                <w:rFonts w:hint="eastAsia" w:ascii="宋体" w:hAnsi="宋体" w:cs="宋体"/>
                <w:b/>
                <w:bCs w:val="0"/>
                <w:color w:val="auto"/>
                <w:szCs w:val="21"/>
                <w:highlight w:val="none"/>
              </w:rPr>
              <w:t>通过资格审查及符合</w:t>
            </w:r>
            <w:r>
              <w:rPr>
                <w:rFonts w:hint="eastAsia" w:ascii="宋体" w:hAnsi="宋体" w:cs="宋体"/>
                <w:b/>
                <w:bCs/>
                <w:color w:val="auto"/>
                <w:szCs w:val="21"/>
                <w:highlight w:val="none"/>
              </w:rPr>
              <w:t>性审查的供应商在</w:t>
            </w:r>
            <w:r>
              <w:rPr>
                <w:rFonts w:hint="eastAsia" w:ascii="宋体" w:hAnsi="宋体" w:cs="宋体"/>
                <w:b/>
                <w:bCs/>
                <w:color w:val="auto"/>
                <w:szCs w:val="21"/>
                <w:highlight w:val="none"/>
                <w:lang w:val="en-US" w:eastAsia="zh-CN"/>
              </w:rPr>
              <w:t>“政府采购云平台”（https://www.zcygov.cn/)</w:t>
            </w:r>
            <w:r>
              <w:rPr>
                <w:color w:val="auto"/>
                <w:highlight w:val="none"/>
              </w:rPr>
              <w:fldChar w:fldCharType="begin"/>
            </w:r>
            <w:r>
              <w:rPr>
                <w:color w:val="auto"/>
                <w:highlight w:val="none"/>
              </w:rPr>
              <w:instrText xml:space="preserve"> HYPERLINK "http://www.zcygov.cn）系统中等待代理机构通知二次报价，二次报价即最后磋商报价。" </w:instrText>
            </w:r>
            <w:r>
              <w:rPr>
                <w:color w:val="auto"/>
                <w:highlight w:val="none"/>
              </w:rPr>
              <w:fldChar w:fldCharType="separate"/>
            </w:r>
            <w:r>
              <w:rPr>
                <w:rStyle w:val="32"/>
                <w:rFonts w:hint="eastAsia" w:ascii="宋体" w:hAnsi="宋体" w:cs="宋体"/>
                <w:b/>
                <w:bCs/>
                <w:color w:val="auto"/>
                <w:szCs w:val="21"/>
                <w:highlight w:val="none"/>
                <w:u w:val="none"/>
              </w:rPr>
              <w:t>系统中等待磋商小组</w:t>
            </w:r>
            <w:r>
              <w:rPr>
                <w:rStyle w:val="32"/>
                <w:rFonts w:hint="eastAsia" w:ascii="宋体" w:hAnsi="宋体" w:cs="宋体"/>
                <w:b/>
                <w:bCs/>
                <w:color w:val="auto"/>
                <w:szCs w:val="21"/>
                <w:highlight w:val="none"/>
                <w:u w:val="none"/>
                <w:lang w:val="en-US" w:eastAsia="zh-CN"/>
              </w:rPr>
              <w:t>发起</w:t>
            </w:r>
            <w:r>
              <w:rPr>
                <w:rStyle w:val="32"/>
                <w:rFonts w:hint="eastAsia" w:ascii="宋体" w:hAnsi="宋体" w:cs="宋体"/>
                <w:b/>
                <w:bCs/>
                <w:color w:val="auto"/>
                <w:szCs w:val="21"/>
                <w:highlight w:val="none"/>
                <w:u w:val="none"/>
              </w:rPr>
              <w:t>二次报价，二次报价即最后磋商报价</w:t>
            </w:r>
            <w:r>
              <w:rPr>
                <w:rStyle w:val="32"/>
                <w:rFonts w:hint="eastAsia" w:ascii="宋体" w:hAnsi="宋体" w:cs="宋体"/>
                <w:b/>
                <w:bCs/>
                <w:color w:val="auto"/>
                <w:szCs w:val="21"/>
                <w:highlight w:val="none"/>
                <w:u w:val="none"/>
              </w:rPr>
              <w:fldChar w:fldCharType="end"/>
            </w:r>
            <w:r>
              <w:rPr>
                <w:rFonts w:hint="eastAsia" w:ascii="宋体" w:hAnsi="宋体" w:cs="宋体"/>
                <w:b/>
                <w:bCs/>
                <w:color w:val="auto"/>
                <w:szCs w:val="21"/>
                <w:highlight w:val="none"/>
              </w:rPr>
              <w:t>）</w:t>
            </w:r>
          </w:p>
          <w:p w14:paraId="0ECD969C">
            <w:pPr>
              <w:autoSpaceDE w:val="0"/>
              <w:autoSpaceDN w:val="0"/>
              <w:adjustRightInd w:val="0"/>
              <w:spacing w:line="360" w:lineRule="auto"/>
              <w:rPr>
                <w:rFonts w:hint="eastAsia" w:asciiTheme="minorEastAsia" w:hAnsiTheme="minorEastAsia" w:eastAsiaTheme="minorEastAsia" w:cstheme="minorEastAsia"/>
                <w:i w:val="0"/>
                <w:iCs w:val="0"/>
                <w:color w:val="auto"/>
                <w:sz w:val="21"/>
                <w:szCs w:val="21"/>
                <w:highlight w:val="none"/>
                <w:lang w:val="en-US" w:eastAsia="zh-CN"/>
              </w:rPr>
            </w:pPr>
            <w:r>
              <w:rPr>
                <w:rFonts w:hint="eastAsia" w:ascii="宋体" w:hAnsi="宋体" w:cs="宋体"/>
                <w:b/>
                <w:bCs/>
                <w:color w:val="auto"/>
                <w:szCs w:val="21"/>
                <w:highlight w:val="none"/>
                <w:lang w:val="en-US" w:eastAsia="zh-CN"/>
              </w:rPr>
              <w:t>2.最后磋商报价为总价报价，供应商最后磋商报价在一次报价的基础上“浮动比例”将作为工程量清单每项单价在第一次报价基础上的浮动比例，并作为工程结算价依据。</w:t>
            </w:r>
          </w:p>
        </w:tc>
      </w:tr>
    </w:tbl>
    <w:p w14:paraId="399EBC7B">
      <w:pPr>
        <w:pStyle w:val="24"/>
        <w:ind w:left="0" w:leftChars="0" w:firstLine="0" w:firstLineChars="0"/>
        <w:rPr>
          <w:rFonts w:hint="eastAsia"/>
          <w:color w:val="auto"/>
          <w:highlight w:val="none"/>
        </w:rPr>
      </w:pPr>
    </w:p>
    <w:p w14:paraId="4807899A">
      <w:pPr>
        <w:pStyle w:val="24"/>
        <w:ind w:left="0" w:leftChars="0" w:firstLine="0" w:firstLineChars="0"/>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6B455B2C">
      <w:pPr>
        <w:keepNext w:val="0"/>
        <w:keepLines w:val="0"/>
        <w:pageBreakBefore w:val="0"/>
        <w:widowControl w:val="0"/>
        <w:kinsoku/>
        <w:wordWrap/>
        <w:overflowPunct/>
        <w:topLinePunct w:val="0"/>
        <w:autoSpaceDE/>
        <w:autoSpaceDN/>
        <w:bidi w:val="0"/>
        <w:adjustRightInd/>
        <w:snapToGrid/>
        <w:spacing w:after="157" w:afterLines="50" w:line="240" w:lineRule="atLeast"/>
        <w:jc w:val="center"/>
        <w:textAlignment w:val="auto"/>
        <w:outlineLvl w:val="0"/>
        <w:rPr>
          <w:rFonts w:hint="eastAsia" w:asciiTheme="majorEastAsia" w:hAnsiTheme="majorEastAsia" w:eastAsiaTheme="majorEastAsia" w:cstheme="majorEastAsia"/>
          <w:b/>
          <w:color w:val="auto"/>
          <w:kern w:val="44"/>
          <w:sz w:val="30"/>
          <w:szCs w:val="30"/>
          <w:highlight w:val="none"/>
        </w:rPr>
      </w:pPr>
      <w:r>
        <w:rPr>
          <w:rFonts w:hint="eastAsia" w:asciiTheme="majorEastAsia" w:hAnsiTheme="majorEastAsia" w:eastAsiaTheme="majorEastAsia" w:cstheme="majorEastAsia"/>
          <w:b/>
          <w:color w:val="auto"/>
          <w:kern w:val="44"/>
          <w:sz w:val="30"/>
          <w:szCs w:val="30"/>
          <w:highlight w:val="none"/>
        </w:rPr>
        <w:t>供应商须知</w:t>
      </w:r>
    </w:p>
    <w:p w14:paraId="65A0E5D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color w:val="auto"/>
          <w:kern w:val="0"/>
          <w:szCs w:val="21"/>
          <w:highlight w:val="none"/>
        </w:rPr>
      </w:pPr>
      <w:r>
        <w:rPr>
          <w:rFonts w:hint="eastAsia" w:ascii="宋体" w:hAnsi="宋体" w:cs="宋体"/>
          <w:b/>
          <w:color w:val="auto"/>
          <w:kern w:val="0"/>
          <w:szCs w:val="21"/>
          <w:highlight w:val="none"/>
        </w:rPr>
        <w:t>1. 总则</w:t>
      </w:r>
    </w:p>
    <w:p w14:paraId="350FA6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43" w:name="_Toc382901542"/>
      <w:bookmarkStart w:id="44" w:name="_Toc209498805"/>
      <w:bookmarkStart w:id="45" w:name="_Toc262675309"/>
      <w:bookmarkStart w:id="46" w:name="_Toc247277929"/>
      <w:bookmarkStart w:id="47" w:name="_Toc260172642"/>
      <w:bookmarkStart w:id="48" w:name="_Toc491246636"/>
      <w:bookmarkStart w:id="49" w:name="_Toc199321872"/>
      <w:bookmarkStart w:id="50" w:name="_Toc381278378"/>
      <w:r>
        <w:rPr>
          <w:rFonts w:hint="eastAsia" w:ascii="宋体" w:hAnsi="宋体" w:cs="宋体"/>
          <w:b/>
          <w:color w:val="auto"/>
          <w:kern w:val="0"/>
          <w:szCs w:val="21"/>
          <w:highlight w:val="none"/>
        </w:rPr>
        <w:t>1.1 项目概况</w:t>
      </w:r>
      <w:bookmarkEnd w:id="43"/>
      <w:bookmarkEnd w:id="44"/>
      <w:bookmarkEnd w:id="45"/>
      <w:bookmarkEnd w:id="46"/>
      <w:bookmarkEnd w:id="47"/>
      <w:bookmarkEnd w:id="48"/>
      <w:bookmarkEnd w:id="49"/>
      <w:bookmarkEnd w:id="50"/>
    </w:p>
    <w:p w14:paraId="0AD68D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bCs/>
          <w:color w:val="auto"/>
          <w:kern w:val="0"/>
          <w:szCs w:val="21"/>
          <w:highlight w:val="none"/>
        </w:rPr>
      </w:pPr>
      <w:r>
        <w:rPr>
          <w:rFonts w:hint="eastAsia" w:ascii="宋体" w:hAnsi="宋体" w:cs="宋体"/>
          <w:bCs/>
          <w:color w:val="auto"/>
          <w:szCs w:val="21"/>
          <w:highlight w:val="none"/>
        </w:rPr>
        <w:t xml:space="preserve">1.1.1 </w:t>
      </w:r>
      <w:r>
        <w:rPr>
          <w:rFonts w:hint="eastAsia" w:ascii="宋体" w:hAnsi="宋体" w:cs="宋体"/>
          <w:bCs/>
          <w:color w:val="auto"/>
          <w:kern w:val="0"/>
          <w:szCs w:val="21"/>
          <w:highlight w:val="none"/>
        </w:rPr>
        <w:t>根据《中华人民共和国政府采购法》等有关法律、法规和规章的规定，本项目已具备采购条件，现对本项目进行竞争性磋商采购。</w:t>
      </w:r>
    </w:p>
    <w:p w14:paraId="0722EEF6">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bookmarkStart w:id="51" w:name="_Toc199321873"/>
      <w:r>
        <w:rPr>
          <w:rFonts w:hint="eastAsia" w:hAnsi="宋体" w:cs="宋体"/>
          <w:bCs/>
          <w:color w:val="auto"/>
          <w:szCs w:val="21"/>
          <w:highlight w:val="none"/>
        </w:rPr>
        <w:t>1.1.2</w:t>
      </w:r>
      <w:r>
        <w:rPr>
          <w:rFonts w:hint="eastAsia" w:hAnsi="宋体" w:cs="宋体"/>
          <w:bCs/>
          <w:color w:val="auto"/>
          <w:kern w:val="0"/>
          <w:szCs w:val="21"/>
          <w:highlight w:val="none"/>
        </w:rPr>
        <w:t xml:space="preserve"> 本项目采购人</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bookmarkEnd w:id="51"/>
    </w:p>
    <w:p w14:paraId="0A57A997">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bookmarkStart w:id="52" w:name="_Toc199321874"/>
      <w:r>
        <w:rPr>
          <w:rFonts w:hint="eastAsia" w:hAnsi="宋体" w:cs="宋体"/>
          <w:bCs/>
          <w:color w:val="auto"/>
          <w:szCs w:val="21"/>
          <w:highlight w:val="none"/>
        </w:rPr>
        <w:t>1.1.3</w:t>
      </w:r>
      <w:r>
        <w:rPr>
          <w:rFonts w:hint="eastAsia" w:hAnsi="宋体" w:cs="宋体"/>
          <w:bCs/>
          <w:color w:val="auto"/>
          <w:kern w:val="0"/>
          <w:szCs w:val="21"/>
          <w:highlight w:val="none"/>
        </w:rPr>
        <w:t xml:space="preserve"> 本项目采购代理机构</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bookmarkEnd w:id="52"/>
    </w:p>
    <w:p w14:paraId="73AE42AC">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szCs w:val="21"/>
          <w:highlight w:val="none"/>
        </w:rPr>
        <w:t>1.1.4</w:t>
      </w:r>
      <w:r>
        <w:rPr>
          <w:rFonts w:hint="eastAsia" w:hAnsi="宋体" w:cs="宋体"/>
          <w:bCs/>
          <w:color w:val="auto"/>
          <w:kern w:val="0"/>
          <w:szCs w:val="21"/>
          <w:highlight w:val="none"/>
        </w:rPr>
        <w:t xml:space="preserve"> 本项目名称</w:t>
      </w:r>
      <w:r>
        <w:rPr>
          <w:rFonts w:hint="eastAsia" w:hAnsi="宋体" w:cs="宋体"/>
          <w:bCs/>
          <w:color w:val="auto"/>
          <w:szCs w:val="21"/>
          <w:highlight w:val="none"/>
        </w:rPr>
        <w:t>：</w:t>
      </w:r>
      <w:r>
        <w:rPr>
          <w:rFonts w:hint="eastAsia" w:hAnsi="宋体" w:cs="宋体"/>
          <w:bCs/>
          <w:color w:val="auto"/>
          <w:kern w:val="0"/>
          <w:szCs w:val="21"/>
          <w:highlight w:val="none"/>
        </w:rPr>
        <w:t>见供应商须知前附表。</w:t>
      </w:r>
    </w:p>
    <w:p w14:paraId="1EC99709">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bookmarkStart w:id="53" w:name="_Toc382901543"/>
      <w:bookmarkStart w:id="54" w:name="_Toc381278379"/>
      <w:bookmarkStart w:id="55" w:name="_Toc274249368"/>
      <w:r>
        <w:rPr>
          <w:rFonts w:hint="eastAsia" w:ascii="宋体" w:hAnsi="宋体" w:cs="宋体"/>
          <w:bCs/>
          <w:color w:val="auto"/>
          <w:kern w:val="0"/>
          <w:szCs w:val="21"/>
          <w:highlight w:val="none"/>
        </w:rPr>
        <w:t>1.1.5 本项目建设地点：见供应商须知前附表。</w:t>
      </w:r>
    </w:p>
    <w:p w14:paraId="4AF2B6E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1.2  资金来源和落实情况</w:t>
      </w:r>
    </w:p>
    <w:p w14:paraId="0EA69B0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 xml:space="preserve">1.2.1 </w:t>
      </w:r>
      <w:r>
        <w:rPr>
          <w:rFonts w:hint="eastAsia" w:hAnsi="宋体" w:cs="宋体"/>
          <w:bCs/>
          <w:color w:val="auto"/>
          <w:kern w:val="0"/>
          <w:szCs w:val="21"/>
          <w:highlight w:val="none"/>
        </w:rPr>
        <w:t>本项目</w:t>
      </w:r>
      <w:r>
        <w:rPr>
          <w:rFonts w:hint="eastAsia" w:ascii="宋体" w:hAnsi="宋体" w:cs="宋体"/>
          <w:bCs/>
          <w:color w:val="auto"/>
          <w:kern w:val="0"/>
          <w:szCs w:val="21"/>
          <w:highlight w:val="none"/>
        </w:rPr>
        <w:t>资金来源：见供应商须知前附表。</w:t>
      </w:r>
    </w:p>
    <w:p w14:paraId="724B9BD8">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1.2.2 本项目</w:t>
      </w:r>
      <w:r>
        <w:rPr>
          <w:rFonts w:hint="eastAsia" w:ascii="宋体" w:hAnsi="宋体" w:cs="宋体"/>
          <w:bCs/>
          <w:color w:val="auto"/>
          <w:kern w:val="0"/>
          <w:szCs w:val="21"/>
          <w:highlight w:val="none"/>
          <w:lang w:val="en-US" w:eastAsia="zh-CN"/>
        </w:rPr>
        <w:t>出资比例</w:t>
      </w:r>
      <w:r>
        <w:rPr>
          <w:rFonts w:hint="eastAsia" w:ascii="宋体" w:hAnsi="宋体" w:cs="宋体"/>
          <w:bCs/>
          <w:color w:val="auto"/>
          <w:kern w:val="0"/>
          <w:szCs w:val="21"/>
          <w:highlight w:val="none"/>
        </w:rPr>
        <w:t>：见供应商须知前附表。</w:t>
      </w:r>
    </w:p>
    <w:p w14:paraId="2675A0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1.2.3本项目资金落实情况：见供应商须知前附表。</w:t>
      </w:r>
    </w:p>
    <w:p w14:paraId="0813837F">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bookmarkStart w:id="56" w:name="_Toc262675311"/>
      <w:bookmarkStart w:id="57" w:name="_Toc491246638"/>
      <w:bookmarkStart w:id="58" w:name="_Toc382901547"/>
      <w:bookmarkStart w:id="59" w:name="_Toc247277931"/>
      <w:bookmarkStart w:id="60" w:name="_Toc199321877"/>
      <w:bookmarkStart w:id="61" w:name="_Toc260172644"/>
      <w:bookmarkStart w:id="62" w:name="_Toc381278383"/>
      <w:bookmarkStart w:id="63" w:name="_Toc209498807"/>
      <w:r>
        <w:rPr>
          <w:rFonts w:hint="eastAsia" w:ascii="宋体" w:hAnsi="宋体" w:cs="宋体"/>
          <w:b/>
          <w:color w:val="auto"/>
          <w:kern w:val="0"/>
          <w:szCs w:val="21"/>
          <w:highlight w:val="none"/>
        </w:rPr>
        <w:t>1.3 磋商</w:t>
      </w:r>
      <w:r>
        <w:rPr>
          <w:rFonts w:hint="eastAsia" w:ascii="宋体" w:hAnsi="宋体" w:cs="宋体"/>
          <w:b/>
          <w:color w:val="auto"/>
          <w:kern w:val="0"/>
          <w:szCs w:val="21"/>
          <w:highlight w:val="none"/>
          <w:lang w:eastAsia="zh-CN"/>
        </w:rPr>
        <w:t>采购需求</w:t>
      </w:r>
      <w:r>
        <w:rPr>
          <w:rFonts w:hint="eastAsia" w:ascii="宋体" w:hAnsi="宋体" w:cs="宋体"/>
          <w:b/>
          <w:color w:val="auto"/>
          <w:kern w:val="0"/>
          <w:szCs w:val="21"/>
          <w:highlight w:val="none"/>
        </w:rPr>
        <w:t>及</w:t>
      </w:r>
      <w:bookmarkEnd w:id="56"/>
      <w:bookmarkEnd w:id="57"/>
      <w:bookmarkEnd w:id="58"/>
      <w:bookmarkEnd w:id="59"/>
      <w:bookmarkEnd w:id="60"/>
      <w:bookmarkEnd w:id="61"/>
      <w:bookmarkEnd w:id="62"/>
      <w:bookmarkEnd w:id="63"/>
      <w:r>
        <w:rPr>
          <w:rFonts w:hint="eastAsia" w:ascii="宋体" w:hAnsi="宋体" w:cs="宋体"/>
          <w:b/>
          <w:color w:val="auto"/>
          <w:kern w:val="0"/>
          <w:szCs w:val="21"/>
          <w:highlight w:val="none"/>
        </w:rPr>
        <w:t>采购规模、工期、质量</w:t>
      </w:r>
      <w:r>
        <w:rPr>
          <w:rFonts w:hint="eastAsia" w:ascii="宋体" w:hAnsi="宋体" w:cs="宋体"/>
          <w:b/>
          <w:color w:val="auto"/>
          <w:kern w:val="0"/>
          <w:szCs w:val="21"/>
          <w:highlight w:val="none"/>
          <w:lang w:eastAsia="zh-CN"/>
        </w:rPr>
        <w:t>标准</w:t>
      </w:r>
    </w:p>
    <w:p w14:paraId="328EE907">
      <w:pPr>
        <w:pStyle w:val="16"/>
        <w:keepNext w:val="0"/>
        <w:keepLines w:val="0"/>
        <w:pageBreakBefore w:val="0"/>
        <w:kinsoku/>
        <w:wordWrap/>
        <w:topLinePunct w:val="0"/>
        <w:bidi w:val="0"/>
        <w:snapToGrid/>
        <w:spacing w:line="44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1.3.1 本次磋商</w:t>
      </w:r>
      <w:r>
        <w:rPr>
          <w:rFonts w:hint="eastAsia" w:ascii="宋体" w:hAnsi="宋体" w:eastAsia="宋体" w:cs="宋体"/>
          <w:bCs/>
          <w:color w:val="auto"/>
          <w:kern w:val="0"/>
          <w:szCs w:val="21"/>
          <w:highlight w:val="none"/>
          <w:lang w:eastAsia="zh-CN"/>
        </w:rPr>
        <w:t>采购</w:t>
      </w:r>
      <w:r>
        <w:rPr>
          <w:rFonts w:hint="eastAsia" w:hAnsi="宋体" w:cs="宋体"/>
          <w:bCs/>
          <w:color w:val="auto"/>
          <w:kern w:val="0"/>
          <w:szCs w:val="21"/>
          <w:highlight w:val="none"/>
          <w:lang w:val="en-US" w:eastAsia="zh-CN"/>
        </w:rPr>
        <w:t>范围</w:t>
      </w:r>
      <w:r>
        <w:rPr>
          <w:rFonts w:hint="eastAsia" w:ascii="宋体" w:hAnsi="宋体" w:eastAsia="宋体" w:cs="宋体"/>
          <w:bCs/>
          <w:color w:val="auto"/>
          <w:kern w:val="0"/>
          <w:szCs w:val="21"/>
          <w:highlight w:val="none"/>
        </w:rPr>
        <w:t>: 见供应商须知前附表。</w:t>
      </w:r>
    </w:p>
    <w:p w14:paraId="35F61A66">
      <w:pPr>
        <w:pStyle w:val="16"/>
        <w:keepNext w:val="0"/>
        <w:keepLines w:val="0"/>
        <w:pageBreakBefore w:val="0"/>
        <w:kinsoku/>
        <w:wordWrap/>
        <w:topLinePunct w:val="0"/>
        <w:bidi w:val="0"/>
        <w:snapToGrid/>
        <w:spacing w:line="44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1.3.2 本项目的工期: 见供应商须知前附表。</w:t>
      </w:r>
    </w:p>
    <w:p w14:paraId="49BB1AA2">
      <w:pPr>
        <w:pStyle w:val="16"/>
        <w:keepNext w:val="0"/>
        <w:keepLines w:val="0"/>
        <w:pageBreakBefore w:val="0"/>
        <w:kinsoku/>
        <w:wordWrap/>
        <w:topLinePunct w:val="0"/>
        <w:bidi w:val="0"/>
        <w:snapToGrid/>
        <w:spacing w:line="44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1.3.</w:t>
      </w:r>
      <w:r>
        <w:rPr>
          <w:rFonts w:hint="eastAsia" w:hAnsi="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 xml:space="preserve"> 本项目的质量</w:t>
      </w:r>
      <w:r>
        <w:rPr>
          <w:rFonts w:hint="eastAsia" w:ascii="宋体" w:hAnsi="宋体" w:eastAsia="宋体" w:cs="宋体"/>
          <w:bCs/>
          <w:color w:val="auto"/>
          <w:kern w:val="0"/>
          <w:szCs w:val="21"/>
          <w:highlight w:val="none"/>
          <w:lang w:eastAsia="zh-CN"/>
        </w:rPr>
        <w:t>标准</w:t>
      </w:r>
      <w:r>
        <w:rPr>
          <w:rFonts w:hint="eastAsia" w:ascii="宋体" w:hAnsi="宋体" w:eastAsia="宋体" w:cs="宋体"/>
          <w:bCs/>
          <w:color w:val="auto"/>
          <w:kern w:val="0"/>
          <w:szCs w:val="21"/>
          <w:highlight w:val="none"/>
        </w:rPr>
        <w:t>：见供应商须知前附表。</w:t>
      </w:r>
    </w:p>
    <w:p w14:paraId="05659D48">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1.4</w:t>
      </w:r>
      <w:r>
        <w:rPr>
          <w:rFonts w:hint="eastAsia" w:ascii="宋体" w:hAnsi="宋体" w:cs="宋体"/>
          <w:b/>
          <w:color w:val="auto"/>
          <w:kern w:val="0"/>
          <w:szCs w:val="21"/>
          <w:highlight w:val="none"/>
        </w:rPr>
        <w:tab/>
      </w:r>
      <w:r>
        <w:rPr>
          <w:rFonts w:hint="eastAsia" w:ascii="宋体" w:hAnsi="宋体" w:cs="宋体"/>
          <w:b/>
          <w:color w:val="auto"/>
          <w:kern w:val="0"/>
          <w:szCs w:val="21"/>
          <w:highlight w:val="none"/>
        </w:rPr>
        <w:t>供应商资格要求</w:t>
      </w:r>
    </w:p>
    <w:bookmarkEnd w:id="53"/>
    <w:bookmarkEnd w:id="54"/>
    <w:bookmarkEnd w:id="55"/>
    <w:p w14:paraId="53C32294">
      <w:pPr>
        <w:pStyle w:val="16"/>
        <w:keepNext w:val="0"/>
        <w:keepLines w:val="0"/>
        <w:pageBreakBefore w:val="0"/>
        <w:kinsoku/>
        <w:wordWrap/>
        <w:topLinePunct w:val="0"/>
        <w:bidi w:val="0"/>
        <w:snapToGrid/>
        <w:spacing w:line="440" w:lineRule="exact"/>
        <w:ind w:firstLine="420" w:firstLineChars="200"/>
        <w:rPr>
          <w:rFonts w:hint="eastAsia" w:hAnsi="宋体" w:cs="宋体"/>
          <w:bCs/>
          <w:color w:val="auto"/>
          <w:kern w:val="0"/>
          <w:szCs w:val="21"/>
          <w:highlight w:val="none"/>
          <w:lang w:eastAsia="zh-CN"/>
        </w:rPr>
      </w:pPr>
      <w:bookmarkStart w:id="64" w:name="_Toc381278380"/>
      <w:bookmarkStart w:id="65" w:name="_Toc274249369"/>
      <w:bookmarkStart w:id="66" w:name="_Toc382901544"/>
      <w:r>
        <w:rPr>
          <w:rFonts w:hint="eastAsia" w:hAnsi="宋体" w:cs="宋体"/>
          <w:bCs/>
          <w:color w:val="auto"/>
          <w:kern w:val="0"/>
          <w:szCs w:val="21"/>
          <w:highlight w:val="none"/>
        </w:rPr>
        <w:t>1.4.1 供应商资质条件、能力和信誉；</w:t>
      </w:r>
      <w:r>
        <w:rPr>
          <w:rFonts w:hint="eastAsia" w:hAnsi="宋体" w:cs="宋体"/>
          <w:bCs/>
          <w:color w:val="auto"/>
          <w:kern w:val="0"/>
          <w:szCs w:val="21"/>
          <w:highlight w:val="none"/>
          <w:lang w:eastAsia="zh-CN"/>
        </w:rPr>
        <w:t>（</w:t>
      </w:r>
      <w:r>
        <w:rPr>
          <w:rFonts w:hint="eastAsia" w:hAnsi="宋体" w:cs="宋体"/>
          <w:bCs/>
          <w:color w:val="auto"/>
          <w:kern w:val="0"/>
          <w:szCs w:val="21"/>
          <w:highlight w:val="none"/>
          <w:lang w:val="en-US" w:eastAsia="zh-CN"/>
        </w:rPr>
        <w:t>详见供应商须知前附表</w:t>
      </w:r>
      <w:r>
        <w:rPr>
          <w:rFonts w:hint="eastAsia" w:hAnsi="宋体" w:cs="宋体"/>
          <w:bCs/>
          <w:color w:val="auto"/>
          <w:kern w:val="0"/>
          <w:szCs w:val="21"/>
          <w:highlight w:val="none"/>
          <w:lang w:eastAsia="zh-CN"/>
        </w:rPr>
        <w:t>）</w:t>
      </w:r>
    </w:p>
    <w:p w14:paraId="19816920">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1.4.2供应商须知前附表规定接受联合体投标的，除应符合本章第1.4.1项和供应商须知前附表的要求外，还应遵守以下规定：</w:t>
      </w:r>
    </w:p>
    <w:p w14:paraId="1ACB45E6">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(1)联合体各方应按磋商文件提供的格式签订联合体协议书，明确联合体牵头人和各方权利义务；</w:t>
      </w:r>
    </w:p>
    <w:p w14:paraId="1E21B5EC">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(2)由同一专业的单位组成的联合体，按照资质等级较低的单位确定资质等级；</w:t>
      </w:r>
    </w:p>
    <w:p w14:paraId="599974E1">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(3)联合体各方不得再以自己名义单独或参加其他联合体在同一标段中投标。</w:t>
      </w:r>
    </w:p>
    <w:p w14:paraId="785ABB6C">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1.4.3</w:t>
      </w:r>
      <w:r>
        <w:rPr>
          <w:rFonts w:hint="eastAsia" w:hAnsi="宋体" w:cs="宋体"/>
          <w:bCs/>
          <w:color w:val="auto"/>
          <w:kern w:val="0"/>
          <w:szCs w:val="21"/>
          <w:highlight w:val="none"/>
          <w:lang w:eastAsia="zh-CN"/>
        </w:rPr>
        <w:t>供应商</w:t>
      </w:r>
      <w:r>
        <w:rPr>
          <w:rFonts w:hint="eastAsia" w:hAnsi="宋体" w:cs="宋体"/>
          <w:bCs/>
          <w:color w:val="auto"/>
          <w:kern w:val="0"/>
          <w:szCs w:val="21"/>
          <w:highlight w:val="none"/>
        </w:rPr>
        <w:t>不得存在下列情形之一：</w:t>
      </w:r>
    </w:p>
    <w:p w14:paraId="29CF83BC">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(1)为采购人不具有独立法人资格的附属机构（单位）；</w:t>
      </w:r>
    </w:p>
    <w:p w14:paraId="2E5332B1">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(2)为本采购项目前期准备提供设计或咨询服务的；</w:t>
      </w:r>
    </w:p>
    <w:p w14:paraId="4E03A288">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(3)为本采购项目的监理人；</w:t>
      </w:r>
    </w:p>
    <w:p w14:paraId="590A64B3">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(4)为本采购项目的代建人；</w:t>
      </w:r>
    </w:p>
    <w:p w14:paraId="3F7F3627">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(5)为本采购项目提供招标代理服务的；</w:t>
      </w:r>
    </w:p>
    <w:p w14:paraId="4BF182D4">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(6)与本采购项目的监理人或代建人或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同为一个法定代表人的；</w:t>
      </w:r>
    </w:p>
    <w:p w14:paraId="427BB562">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(7)与本采购项目的监理人或代建人或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相互控股或参股的；</w:t>
      </w:r>
    </w:p>
    <w:p w14:paraId="0B580EC3">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(8)与本采购项目的监理人或代建人或</w:t>
      </w:r>
      <w:r>
        <w:rPr>
          <w:rFonts w:hint="eastAsia" w:hAnsi="宋体" w:cs="宋体"/>
          <w:bCs/>
          <w:color w:val="auto"/>
          <w:kern w:val="0"/>
          <w:szCs w:val="21"/>
          <w:highlight w:val="none"/>
          <w:lang w:eastAsia="zh-CN"/>
        </w:rPr>
        <w:t>采购代理机构</w:t>
      </w:r>
      <w:r>
        <w:rPr>
          <w:rFonts w:hint="eastAsia" w:hAnsi="宋体" w:cs="宋体"/>
          <w:bCs/>
          <w:color w:val="auto"/>
          <w:kern w:val="0"/>
          <w:szCs w:val="21"/>
          <w:highlight w:val="none"/>
        </w:rPr>
        <w:t>相互任职或工作的；</w:t>
      </w:r>
    </w:p>
    <w:p w14:paraId="5F28329A">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(9)被责令停业的；</w:t>
      </w:r>
    </w:p>
    <w:p w14:paraId="14D89F25">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(10)被暂停或取消投标资格的；</w:t>
      </w:r>
    </w:p>
    <w:p w14:paraId="6DB3C90D">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(11)财产被接管或冻结的；</w:t>
      </w:r>
    </w:p>
    <w:p w14:paraId="41DAA7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1.4.4单位负责人为同一人或者存在</w:t>
      </w:r>
      <w:r>
        <w:rPr>
          <w:rFonts w:hint="eastAsia" w:ascii="宋体" w:hAnsi="宋体" w:cs="宋体"/>
          <w:bCs/>
          <w:color w:val="auto"/>
          <w:kern w:val="0"/>
          <w:szCs w:val="21"/>
          <w:highlight w:val="none"/>
          <w:lang w:val="en-US" w:eastAsia="zh-CN"/>
        </w:rPr>
        <w:t>直接</w:t>
      </w:r>
      <w:r>
        <w:rPr>
          <w:rFonts w:hint="eastAsia" w:ascii="宋体" w:hAnsi="宋体" w:cs="宋体"/>
          <w:bCs/>
          <w:color w:val="auto"/>
          <w:kern w:val="0"/>
          <w:szCs w:val="21"/>
          <w:highlight w:val="none"/>
        </w:rPr>
        <w:t>控股、管理关系的不同单位，不得同时参加本招标项目</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w:t>
      </w:r>
    </w:p>
    <w:p w14:paraId="0D5160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1.5 费用承担</w:t>
      </w:r>
    </w:p>
    <w:p w14:paraId="49916767">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（1）供应商准备和参加</w:t>
      </w:r>
      <w:r>
        <w:rPr>
          <w:rFonts w:hint="eastAsia" w:hAnsi="宋体" w:cs="宋体"/>
          <w:bCs/>
          <w:color w:val="auto"/>
          <w:kern w:val="0"/>
          <w:szCs w:val="21"/>
          <w:highlight w:val="none"/>
          <w:lang w:eastAsia="zh-CN"/>
        </w:rPr>
        <w:t>磋商</w:t>
      </w:r>
      <w:r>
        <w:rPr>
          <w:rFonts w:hint="eastAsia" w:hAnsi="宋体" w:cs="宋体"/>
          <w:bCs/>
          <w:color w:val="auto"/>
          <w:kern w:val="0"/>
          <w:szCs w:val="21"/>
          <w:highlight w:val="none"/>
        </w:rPr>
        <w:t>活动发生的费用自理。</w:t>
      </w:r>
    </w:p>
    <w:p w14:paraId="4EFEAD56">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（2）</w:t>
      </w:r>
      <w:r>
        <w:rPr>
          <w:rFonts w:hint="eastAsia" w:hAnsi="宋体" w:cs="宋体"/>
          <w:bCs/>
          <w:color w:val="auto"/>
          <w:kern w:val="0"/>
          <w:szCs w:val="21"/>
          <w:highlight w:val="none"/>
          <w:lang w:eastAsia="zh-CN"/>
        </w:rPr>
        <w:t>中标服务费</w:t>
      </w:r>
      <w:r>
        <w:rPr>
          <w:rFonts w:hint="eastAsia" w:hAnsi="宋体" w:cs="宋体"/>
          <w:bCs/>
          <w:color w:val="auto"/>
          <w:kern w:val="0"/>
          <w:szCs w:val="21"/>
          <w:highlight w:val="none"/>
        </w:rPr>
        <w:t>用应由</w:t>
      </w:r>
      <w:r>
        <w:rPr>
          <w:rFonts w:hint="eastAsia" w:hAnsi="宋体" w:cs="宋体"/>
          <w:bCs/>
          <w:color w:val="auto"/>
          <w:kern w:val="0"/>
          <w:szCs w:val="21"/>
          <w:highlight w:val="none"/>
          <w:lang w:eastAsia="zh-CN"/>
        </w:rPr>
        <w:t>成交</w:t>
      </w:r>
      <w:r>
        <w:rPr>
          <w:rFonts w:hint="eastAsia" w:hAnsi="宋体" w:cs="宋体"/>
          <w:bCs/>
          <w:color w:val="auto"/>
          <w:kern w:val="0"/>
          <w:szCs w:val="21"/>
          <w:highlight w:val="none"/>
        </w:rPr>
        <w:t>人支付。</w:t>
      </w:r>
    </w:p>
    <w:p w14:paraId="56DA27A4">
      <w:pPr>
        <w:pStyle w:val="16"/>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1.6 保密</w:t>
      </w:r>
    </w:p>
    <w:p w14:paraId="6780631A">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参与磋商采购活动的各方应对磋商文件和响应文件中的商业和技术等秘密保密，违者应对由此造成的后果承担法律责任。</w:t>
      </w:r>
    </w:p>
    <w:p w14:paraId="04B14701">
      <w:pPr>
        <w:pStyle w:val="16"/>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1.7语言文字</w:t>
      </w:r>
    </w:p>
    <w:p w14:paraId="6D0FCD54">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磋商文件及响应文件使用的语言文字为中文。专用术语使用外文的，应附有中文注释。</w:t>
      </w:r>
    </w:p>
    <w:p w14:paraId="4E0E8A6D">
      <w:pPr>
        <w:pStyle w:val="16"/>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1.8 计量单位</w:t>
      </w:r>
    </w:p>
    <w:p w14:paraId="413EB523">
      <w:pPr>
        <w:pStyle w:val="16"/>
        <w:keepNext w:val="0"/>
        <w:keepLines w:val="0"/>
        <w:pageBreakBefore w:val="0"/>
        <w:kinsoku/>
        <w:wordWrap/>
        <w:topLinePunct w:val="0"/>
        <w:bidi w:val="0"/>
        <w:snapToGrid/>
        <w:spacing w:line="440" w:lineRule="exact"/>
        <w:ind w:firstLine="420" w:firstLineChars="200"/>
        <w:rPr>
          <w:rFonts w:hAnsi="宋体" w:cs="宋体"/>
          <w:bCs/>
          <w:color w:val="auto"/>
          <w:kern w:val="0"/>
          <w:szCs w:val="21"/>
          <w:highlight w:val="none"/>
        </w:rPr>
      </w:pPr>
      <w:r>
        <w:rPr>
          <w:rFonts w:hint="eastAsia" w:hAnsi="宋体" w:cs="宋体"/>
          <w:bCs/>
          <w:color w:val="auto"/>
          <w:kern w:val="0"/>
          <w:szCs w:val="21"/>
          <w:highlight w:val="none"/>
        </w:rPr>
        <w:t>所有计量均采用中华人民共和国法定计量单位。</w:t>
      </w:r>
    </w:p>
    <w:p w14:paraId="7C4A5D64">
      <w:pPr>
        <w:pStyle w:val="16"/>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1.9 踏勘现场</w:t>
      </w:r>
    </w:p>
    <w:p w14:paraId="388B3979">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1.9.1供应商须知前附表规定组织踏勘现场的，采购人按供应商须知前附表规定的相关内容组织</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踏勘项目现场。</w:t>
      </w:r>
    </w:p>
    <w:p w14:paraId="4C0FB500">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踏勘现场发生的费用自理。</w:t>
      </w:r>
    </w:p>
    <w:p w14:paraId="32B05D2F">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1.9.3除采购人的原因外，</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自行负责在踏勘现场中所发生的人员伤亡和财产损失。</w:t>
      </w:r>
    </w:p>
    <w:p w14:paraId="4482F7DA">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1.9.4采购人在踏勘现场中介绍的工程场地和相关的周边环境情况，供应商在编制响应文件时参考，采购人不对供应商据此作出的判断和决策负责。</w:t>
      </w:r>
    </w:p>
    <w:p w14:paraId="091452BC">
      <w:pPr>
        <w:pStyle w:val="16"/>
        <w:keepNext w:val="0"/>
        <w:keepLines w:val="0"/>
        <w:pageBreakBefore w:val="0"/>
        <w:kinsoku/>
        <w:wordWrap/>
        <w:topLinePunct w:val="0"/>
        <w:bidi w:val="0"/>
        <w:snapToGrid/>
        <w:spacing w:line="440" w:lineRule="exact"/>
        <w:rPr>
          <w:rFonts w:hAnsi="宋体" w:cs="宋体"/>
          <w:b/>
          <w:color w:val="auto"/>
          <w:kern w:val="0"/>
          <w:szCs w:val="21"/>
          <w:highlight w:val="none"/>
        </w:rPr>
      </w:pPr>
      <w:r>
        <w:rPr>
          <w:rFonts w:hint="eastAsia" w:hAnsi="宋体" w:cs="宋体"/>
          <w:b/>
          <w:color w:val="auto"/>
          <w:kern w:val="0"/>
          <w:szCs w:val="21"/>
          <w:highlight w:val="none"/>
        </w:rPr>
        <w:t>1.10 磋商预备会</w:t>
      </w:r>
    </w:p>
    <w:p w14:paraId="758F709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供应商须知前附表规定召开磋商预备会的，采购人按供应商须知前附表规定的相关内容召开磋商预备会，澄清采购人提出的问题。</w:t>
      </w:r>
    </w:p>
    <w:p w14:paraId="50F7013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hAnsi="宋体" w:cs="宋体"/>
          <w:b/>
          <w:color w:val="auto"/>
          <w:kern w:val="0"/>
          <w:szCs w:val="21"/>
          <w:highlight w:val="none"/>
        </w:rPr>
        <w:t xml:space="preserve">1.11 </w:t>
      </w:r>
      <w:r>
        <w:rPr>
          <w:rFonts w:hint="eastAsia" w:ascii="宋体" w:hAnsi="宋体" w:cs="宋体"/>
          <w:b/>
          <w:color w:val="auto"/>
          <w:kern w:val="0"/>
          <w:szCs w:val="21"/>
          <w:highlight w:val="none"/>
        </w:rPr>
        <w:t>分包</w:t>
      </w:r>
    </w:p>
    <w:p w14:paraId="3BB7F6A1">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采购</w:t>
      </w:r>
      <w:r>
        <w:rPr>
          <w:rFonts w:ascii="宋体" w:hAnsi="宋体" w:cs="宋体"/>
          <w:bCs/>
          <w:color w:val="auto"/>
          <w:kern w:val="0"/>
          <w:szCs w:val="21"/>
          <w:highlight w:val="none"/>
        </w:rPr>
        <w:t>人拟在中标后将中标项目的部分非主体、非关键性工作进行分包的，应符合</w:t>
      </w: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须知前附表的相关规定。</w:t>
      </w:r>
    </w:p>
    <w:p w14:paraId="1DE425C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1.12 偏离</w:t>
      </w:r>
    </w:p>
    <w:p w14:paraId="251E3AD6">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highlight w:val="none"/>
        </w:rPr>
        <w:t>供应商</w:t>
      </w:r>
      <w:r>
        <w:rPr>
          <w:rFonts w:ascii="宋体" w:hAnsi="宋体" w:cs="宋体"/>
          <w:bCs/>
          <w:color w:val="auto"/>
          <w:kern w:val="0"/>
          <w:szCs w:val="21"/>
          <w:highlight w:val="none"/>
        </w:rPr>
        <w:t>须知前附表允许</w:t>
      </w:r>
      <w:r>
        <w:rPr>
          <w:rFonts w:hint="eastAsia" w:ascii="宋体" w:hAnsi="宋体" w:cs="宋体"/>
          <w:bCs/>
          <w:color w:val="auto"/>
          <w:kern w:val="0"/>
          <w:szCs w:val="21"/>
          <w:highlight w:val="none"/>
        </w:rPr>
        <w:t>响应</w:t>
      </w:r>
      <w:r>
        <w:rPr>
          <w:rFonts w:ascii="宋体" w:hAnsi="宋体" w:cs="宋体"/>
          <w:bCs/>
          <w:color w:val="auto"/>
          <w:kern w:val="0"/>
          <w:szCs w:val="21"/>
          <w:highlight w:val="none"/>
        </w:rPr>
        <w:t>文件偏离</w:t>
      </w:r>
      <w:r>
        <w:rPr>
          <w:rFonts w:hint="eastAsia" w:ascii="宋体" w:hAnsi="宋体" w:cs="宋体"/>
          <w:bCs/>
          <w:color w:val="auto"/>
          <w:kern w:val="0"/>
          <w:szCs w:val="21"/>
          <w:highlight w:val="none"/>
        </w:rPr>
        <w:t>磋商</w:t>
      </w:r>
      <w:r>
        <w:rPr>
          <w:rFonts w:ascii="宋体" w:hAnsi="宋体" w:cs="宋体"/>
          <w:bCs/>
          <w:color w:val="auto"/>
          <w:kern w:val="0"/>
          <w:szCs w:val="21"/>
          <w:highlight w:val="none"/>
        </w:rPr>
        <w:t>文件某些要求的，偏离应当符合</w:t>
      </w:r>
      <w:r>
        <w:rPr>
          <w:rFonts w:hint="eastAsia" w:ascii="宋体" w:hAnsi="宋体" w:cs="宋体"/>
          <w:bCs/>
          <w:color w:val="auto"/>
          <w:kern w:val="0"/>
          <w:szCs w:val="21"/>
          <w:highlight w:val="none"/>
        </w:rPr>
        <w:t>磋商</w:t>
      </w:r>
      <w:r>
        <w:rPr>
          <w:rFonts w:ascii="宋体" w:hAnsi="宋体" w:cs="宋体"/>
          <w:bCs/>
          <w:color w:val="auto"/>
          <w:kern w:val="0"/>
          <w:szCs w:val="21"/>
          <w:highlight w:val="none"/>
        </w:rPr>
        <w:t>文件规定的偏离范围和幅度。</w:t>
      </w:r>
    </w:p>
    <w:bookmarkEnd w:id="64"/>
    <w:bookmarkEnd w:id="65"/>
    <w:bookmarkEnd w:id="66"/>
    <w:p w14:paraId="184FB7A7">
      <w:pPr>
        <w:keepNext w:val="0"/>
        <w:keepLines w:val="0"/>
        <w:pageBreakBefore w:val="0"/>
        <w:numPr>
          <w:ilvl w:val="0"/>
          <w:numId w:val="3"/>
        </w:numPr>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67" w:name="_Toc199321878"/>
      <w:r>
        <w:rPr>
          <w:rFonts w:hint="eastAsia" w:ascii="宋体" w:hAnsi="宋体" w:cs="宋体"/>
          <w:b/>
          <w:color w:val="auto"/>
          <w:kern w:val="0"/>
          <w:szCs w:val="21"/>
          <w:highlight w:val="none"/>
        </w:rPr>
        <w:t>磋商文件</w:t>
      </w:r>
    </w:p>
    <w:p w14:paraId="7DFAFBA6">
      <w:pPr>
        <w:pStyle w:val="39"/>
        <w:keepNext w:val="0"/>
        <w:keepLines w:val="0"/>
        <w:pageBreakBefore w:val="0"/>
        <w:kinsoku/>
        <w:wordWrap/>
        <w:topLinePunct w:val="0"/>
        <w:bidi w:val="0"/>
        <w:snapToGrid/>
        <w:spacing w:line="440" w:lineRule="exact"/>
        <w:ind w:firstLine="0" w:firstLineChars="0"/>
        <w:rPr>
          <w:rFonts w:hAnsi="宋体" w:cs="宋体"/>
          <w:b/>
          <w:color w:val="auto"/>
          <w:sz w:val="21"/>
          <w:szCs w:val="21"/>
          <w:highlight w:val="none"/>
        </w:rPr>
      </w:pPr>
      <w:r>
        <w:rPr>
          <w:rFonts w:hint="eastAsia" w:hAnsi="宋体" w:cs="宋体"/>
          <w:b/>
          <w:color w:val="auto"/>
          <w:sz w:val="21"/>
          <w:szCs w:val="21"/>
          <w:highlight w:val="none"/>
        </w:rPr>
        <w:t>2.1 磋商文件的组成</w:t>
      </w:r>
    </w:p>
    <w:p w14:paraId="17D45B9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bCs/>
          <w:color w:val="auto"/>
          <w:kern w:val="0"/>
          <w:szCs w:val="21"/>
          <w:highlight w:val="none"/>
        </w:rPr>
        <w:t>2.1.1</w:t>
      </w:r>
      <w:r>
        <w:rPr>
          <w:rFonts w:hint="eastAsia" w:ascii="宋体" w:hAnsi="宋体" w:cs="宋体"/>
          <w:color w:val="auto"/>
          <w:kern w:val="0"/>
          <w:szCs w:val="21"/>
          <w:highlight w:val="none"/>
        </w:rPr>
        <w:t>本竞争性磋商文件包括:</w:t>
      </w:r>
    </w:p>
    <w:p w14:paraId="3D73526C">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（1）竞争性磋商公告   </w:t>
      </w:r>
    </w:p>
    <w:p w14:paraId="1E129C0E">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（2）供应商须知</w:t>
      </w:r>
    </w:p>
    <w:p w14:paraId="714B9948">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（3）采购需求  </w:t>
      </w:r>
    </w:p>
    <w:p w14:paraId="08370BE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 xml:space="preserve">（4）评审办法  </w:t>
      </w:r>
    </w:p>
    <w:p w14:paraId="04036797">
      <w:pPr>
        <w:keepNext w:val="0"/>
        <w:keepLines w:val="0"/>
        <w:pageBreakBefore w:val="0"/>
        <w:kinsoku/>
        <w:wordWrap/>
        <w:topLinePunct w:val="0"/>
        <w:autoSpaceDE w:val="0"/>
        <w:autoSpaceDN w:val="0"/>
        <w:bidi w:val="0"/>
        <w:adjustRightInd w:val="0"/>
        <w:snapToGrid/>
        <w:spacing w:line="440" w:lineRule="exact"/>
        <w:ind w:left="420"/>
        <w:jc w:val="left"/>
        <w:rPr>
          <w:rFonts w:hint="eastAsia"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（5）合同条款及格式</w:t>
      </w:r>
    </w:p>
    <w:p w14:paraId="7DE46765">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eastAsia="宋体" w:cs="宋体"/>
          <w:color w:val="auto"/>
          <w:spacing w:val="-4"/>
          <w:kern w:val="0"/>
          <w:szCs w:val="21"/>
          <w:highlight w:val="none"/>
        </w:rPr>
        <w:t xml:space="preserve">（6）竞争性磋商响应文件格式   </w:t>
      </w:r>
      <w:r>
        <w:rPr>
          <w:rFonts w:hint="eastAsia" w:ascii="宋体" w:hAnsi="宋体" w:cs="宋体"/>
          <w:color w:val="auto"/>
          <w:spacing w:val="-4"/>
          <w:kern w:val="0"/>
          <w:szCs w:val="21"/>
          <w:highlight w:val="none"/>
        </w:rPr>
        <w:t xml:space="preserve">     </w:t>
      </w:r>
    </w:p>
    <w:p w14:paraId="002AA591">
      <w:pPr>
        <w:pStyle w:val="16"/>
        <w:keepNext w:val="0"/>
        <w:keepLines w:val="0"/>
        <w:pageBreakBefore w:val="0"/>
        <w:kinsoku/>
        <w:wordWrap/>
        <w:topLinePunct w:val="0"/>
        <w:bidi w:val="0"/>
        <w:snapToGrid/>
        <w:spacing w:line="440" w:lineRule="exact"/>
        <w:ind w:firstLine="420" w:firstLineChars="200"/>
        <w:rPr>
          <w:rFonts w:hint="eastAsia" w:ascii="宋体" w:hAnsi="宋体" w:eastAsia="宋体" w:cs="宋体"/>
          <w:caps w:val="0"/>
          <w:color w:val="auto"/>
          <w:spacing w:val="0"/>
          <w:position w:val="0"/>
          <w:sz w:val="21"/>
          <w:szCs w:val="21"/>
          <w:highlight w:val="none"/>
          <w:lang w:val="en-US" w:eastAsia="zh-CN"/>
        </w:rPr>
      </w:pPr>
      <w:r>
        <w:rPr>
          <w:rFonts w:hint="eastAsia" w:ascii="宋体" w:hAnsi="宋体" w:eastAsia="宋体" w:cs="宋体"/>
          <w:caps w:val="0"/>
          <w:color w:val="auto"/>
          <w:spacing w:val="0"/>
          <w:position w:val="0"/>
          <w:sz w:val="21"/>
          <w:szCs w:val="21"/>
          <w:highlight w:val="none"/>
          <w:lang w:val="en-US" w:eastAsia="zh-CN"/>
        </w:rPr>
        <w:t>（7）含本章第2.2款和第2.3款对招标文件所作的澄清、修改及补充文件等，构成招标文件的组成部分。</w:t>
      </w:r>
    </w:p>
    <w:p w14:paraId="399D78B1">
      <w:pPr>
        <w:pStyle w:val="16"/>
        <w:keepNext w:val="0"/>
        <w:keepLines w:val="0"/>
        <w:pageBreakBefore w:val="0"/>
        <w:kinsoku/>
        <w:wordWrap/>
        <w:topLinePunct w:val="0"/>
        <w:bidi w:val="0"/>
        <w:snapToGrid/>
        <w:spacing w:line="440" w:lineRule="exact"/>
        <w:ind w:firstLine="422" w:firstLineChars="200"/>
        <w:rPr>
          <w:rFonts w:hAnsi="宋体" w:cs="宋体"/>
          <w:b/>
          <w:color w:val="auto"/>
          <w:kern w:val="0"/>
          <w:szCs w:val="21"/>
          <w:highlight w:val="none"/>
        </w:rPr>
      </w:pPr>
      <w:r>
        <w:rPr>
          <w:rFonts w:hint="eastAsia" w:hAnsi="宋体" w:cs="宋体"/>
          <w:b/>
          <w:color w:val="auto"/>
          <w:kern w:val="0"/>
          <w:szCs w:val="21"/>
          <w:highlight w:val="none"/>
        </w:rPr>
        <w:t>2.2 磋商文件的澄清</w:t>
      </w:r>
    </w:p>
    <w:p w14:paraId="585839F8">
      <w:pPr>
        <w:spacing w:line="470" w:lineRule="exact"/>
        <w:ind w:firstLine="420" w:firstLineChars="200"/>
        <w:jc w:val="left"/>
        <w:rPr>
          <w:rFonts w:hint="eastAsia" w:ascii="宋体" w:hAnsi="宋体" w:cs="宋体"/>
          <w:color w:val="auto"/>
          <w:szCs w:val="21"/>
        </w:rPr>
      </w:pPr>
      <w:r>
        <w:rPr>
          <w:rFonts w:hint="eastAsia" w:ascii="宋体" w:hAnsi="宋体" w:cs="宋体"/>
          <w:bCs/>
          <w:color w:val="auto"/>
          <w:kern w:val="0"/>
          <w:szCs w:val="21"/>
        </w:rPr>
        <w:t>2.2.1</w:t>
      </w:r>
      <w:r>
        <w:rPr>
          <w:rFonts w:hint="eastAsia" w:ascii="宋体" w:hAnsi="宋体" w:cs="宋体"/>
          <w:color w:val="auto"/>
          <w:szCs w:val="21"/>
          <w:lang w:eastAsia="zh-CN"/>
        </w:rPr>
        <w:t>供应商</w:t>
      </w:r>
      <w:r>
        <w:rPr>
          <w:rFonts w:hint="eastAsia" w:ascii="宋体" w:hAnsi="宋体" w:cs="宋体"/>
          <w:color w:val="auto"/>
          <w:szCs w:val="21"/>
        </w:rPr>
        <w:t>应仔细阅读和检查磋商文件的全部内容，如发现磋商文件缺页或附件不全或工程量清单漏算少算，应及时向采购人提出，以便补齐。</w:t>
      </w:r>
      <w:r>
        <w:rPr>
          <w:rFonts w:hint="eastAsia" w:ascii="宋体" w:hAnsi="宋体" w:cs="宋体"/>
          <w:color w:val="auto"/>
          <w:szCs w:val="21"/>
          <w:lang w:val="en-US" w:eastAsia="zh-CN"/>
        </w:rPr>
        <w:t>如有疑问，应在供应商须知前附表规定的时间前凭企业数字证书（CA）登录“政采云”平台（网址：https://www.zcygov.cn/)中提出澄清申请</w:t>
      </w:r>
      <w:r>
        <w:rPr>
          <w:rFonts w:hint="eastAsia" w:ascii="宋体" w:hAnsi="宋体" w:cs="宋体"/>
          <w:color w:val="auto"/>
          <w:szCs w:val="21"/>
        </w:rPr>
        <w:t>。</w:t>
      </w:r>
    </w:p>
    <w:p w14:paraId="17E25450">
      <w:pPr>
        <w:autoSpaceDE w:val="0"/>
        <w:autoSpaceDN w:val="0"/>
        <w:adjustRightInd w:val="0"/>
        <w:spacing w:line="500" w:lineRule="exact"/>
        <w:ind w:firstLine="420" w:firstLineChars="200"/>
        <w:jc w:val="left"/>
        <w:outlineLvl w:val="0"/>
        <w:rPr>
          <w:rFonts w:hint="eastAsia" w:ascii="宋体" w:hAnsi="宋体" w:cs="宋体"/>
          <w:color w:val="auto"/>
          <w:szCs w:val="21"/>
        </w:rPr>
      </w:pPr>
      <w:r>
        <w:rPr>
          <w:rFonts w:hint="eastAsia" w:ascii="宋体" w:hAnsi="宋体" w:cs="宋体"/>
          <w:color w:val="auto"/>
          <w:szCs w:val="21"/>
        </w:rPr>
        <w:t>采购人通过“政采云”平台（网址：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zcygov.cn/）发布澄清，竞争性磋商文件的澄清作为竞争性磋商文件的组成部分，并具有约束力。如果澄清发出的时间距磋商截止时间不足5天，并且澄清内容影响磋商响应文件编制的，应相应延长磋商截止时间）。_x0005_" </w:instrText>
      </w:r>
      <w:r>
        <w:rPr>
          <w:rFonts w:hint="eastAsia" w:ascii="宋体" w:hAnsi="宋体" w:cs="宋体"/>
          <w:color w:val="auto"/>
          <w:szCs w:val="21"/>
        </w:rPr>
        <w:fldChar w:fldCharType="separate"/>
      </w:r>
      <w:r>
        <w:rPr>
          <w:rFonts w:hint="eastAsia" w:ascii="宋体" w:hAnsi="宋体" w:cs="宋体"/>
          <w:color w:val="auto"/>
          <w:szCs w:val="21"/>
        </w:rPr>
        <w:t>https://www.zcygov.cn/）发布</w:t>
      </w:r>
      <w:r>
        <w:rPr>
          <w:rFonts w:hint="eastAsia" w:ascii="宋体" w:hAnsi="宋体" w:cs="宋体"/>
          <w:color w:val="auto"/>
          <w:szCs w:val="21"/>
          <w:lang w:eastAsia="zh-CN"/>
        </w:rPr>
        <w:t>澄清内容，</w:t>
      </w:r>
      <w:r>
        <w:rPr>
          <w:rFonts w:hint="eastAsia" w:ascii="宋体" w:hAnsi="宋体" w:cs="宋体"/>
          <w:color w:val="auto"/>
          <w:szCs w:val="21"/>
        </w:rPr>
        <w:t>竞争性磋商文件的</w:t>
      </w:r>
      <w:r>
        <w:rPr>
          <w:rFonts w:hint="eastAsia" w:ascii="宋体" w:hAnsi="宋体" w:cs="宋体"/>
          <w:color w:val="auto"/>
          <w:szCs w:val="21"/>
          <w:lang w:eastAsia="zh-CN"/>
        </w:rPr>
        <w:t>澄清</w:t>
      </w:r>
      <w:r>
        <w:rPr>
          <w:rFonts w:hint="eastAsia" w:ascii="宋体" w:hAnsi="宋体" w:cs="宋体"/>
          <w:color w:val="auto"/>
          <w:szCs w:val="21"/>
        </w:rPr>
        <w:t>作为竞争性磋商文件的组成部分，并具有约束力。如果澄清发出的时间距</w:t>
      </w:r>
      <w:r>
        <w:rPr>
          <w:rFonts w:hint="eastAsia" w:ascii="宋体" w:hAnsi="宋体" w:cs="宋体"/>
          <w:color w:val="auto"/>
          <w:szCs w:val="21"/>
          <w:lang w:val="en-US" w:eastAsia="zh-CN"/>
        </w:rPr>
        <w:t>响应文件提交</w:t>
      </w:r>
      <w:r>
        <w:rPr>
          <w:rFonts w:hint="eastAsia" w:ascii="宋体" w:hAnsi="宋体" w:cs="宋体"/>
          <w:color w:val="auto"/>
          <w:szCs w:val="21"/>
        </w:rPr>
        <w:t>截止时间不足5天，并且澄清内容影响磋商响应文件编制的，应相应延长磋商截止时间</w:t>
      </w:r>
      <w:r>
        <w:rPr>
          <w:rFonts w:hint="eastAsia" w:ascii="宋体" w:hAnsi="宋体" w:cs="宋体"/>
          <w:color w:val="auto"/>
          <w:szCs w:val="21"/>
          <w:lang w:eastAsia="zh-CN"/>
        </w:rPr>
        <w:t>）。</w:t>
      </w:r>
      <w:r>
        <w:rPr>
          <w:rFonts w:hint="eastAsia" w:ascii="宋体" w:hAnsi="宋体" w:cs="宋体"/>
          <w:color w:val="auto"/>
          <w:szCs w:val="21"/>
        </w:rPr>
        <w:fldChar w:fldCharType="end"/>
      </w:r>
    </w:p>
    <w:p w14:paraId="1C379DAB">
      <w:pPr>
        <w:autoSpaceDE w:val="0"/>
        <w:autoSpaceDN w:val="0"/>
        <w:adjustRightInd w:val="0"/>
        <w:spacing w:line="500" w:lineRule="exact"/>
        <w:ind w:firstLine="420" w:firstLineChars="200"/>
        <w:jc w:val="left"/>
        <w:outlineLvl w:val="0"/>
        <w:rPr>
          <w:rFonts w:ascii="宋体" w:hAnsi="宋体" w:cs="宋体"/>
          <w:bCs/>
          <w:color w:val="auto"/>
          <w:kern w:val="0"/>
          <w:szCs w:val="21"/>
        </w:rPr>
      </w:pPr>
      <w:r>
        <w:rPr>
          <w:rFonts w:hint="eastAsia" w:ascii="宋体" w:hAnsi="宋体" w:cs="宋体"/>
          <w:bCs/>
          <w:color w:val="auto"/>
          <w:kern w:val="0"/>
          <w:szCs w:val="21"/>
        </w:rPr>
        <w:t>2.2.2磋商截止时间：见供应商须知前附表。</w:t>
      </w:r>
    </w:p>
    <w:p w14:paraId="3F6039DE">
      <w:pPr>
        <w:keepNext w:val="0"/>
        <w:keepLines w:val="0"/>
        <w:pageBreakBefore w:val="0"/>
        <w:widowControl w:val="0"/>
        <w:kinsoku/>
        <w:wordWrap w:val="0"/>
        <w:overflowPunct/>
        <w:topLinePunct w:val="0"/>
        <w:autoSpaceDE w:val="0"/>
        <w:autoSpaceDN w:val="0"/>
        <w:bidi w:val="0"/>
        <w:adjustRightInd w:val="0"/>
        <w:snapToGrid/>
        <w:spacing w:line="500" w:lineRule="exact"/>
        <w:ind w:firstLine="420" w:firstLineChars="200"/>
        <w:jc w:val="left"/>
        <w:textAlignment w:val="auto"/>
        <w:outlineLvl w:val="0"/>
        <w:rPr>
          <w:rFonts w:hint="eastAsia" w:ascii="宋体" w:hAnsi="宋体" w:cs="宋体"/>
          <w:color w:val="auto"/>
          <w:szCs w:val="21"/>
          <w:lang w:eastAsia="zh-CN"/>
        </w:rPr>
      </w:pPr>
      <w:r>
        <w:rPr>
          <w:rFonts w:hint="eastAsia" w:ascii="宋体" w:hAnsi="宋体" w:cs="宋体"/>
          <w:bCs/>
          <w:color w:val="auto"/>
          <w:kern w:val="0"/>
          <w:szCs w:val="21"/>
        </w:rPr>
        <w:t>2.2.3</w:t>
      </w:r>
      <w:r>
        <w:rPr>
          <w:rFonts w:hint="eastAsia" w:ascii="宋体" w:hAnsi="宋体" w:cs="宋体"/>
          <w:color w:val="auto"/>
          <w:szCs w:val="21"/>
        </w:rPr>
        <w:t>供应商确认收到磋商文件澄清的时间</w:t>
      </w:r>
      <w:r>
        <w:rPr>
          <w:rFonts w:hint="eastAsia" w:ascii="宋体" w:hAnsi="宋体" w:cs="宋体"/>
          <w:color w:val="auto"/>
          <w:szCs w:val="21"/>
          <w:lang w:eastAsia="zh-CN"/>
        </w:rPr>
        <w:t>：</w:t>
      </w: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澄清内容，</w:t>
      </w:r>
      <w:r>
        <w:rPr>
          <w:rFonts w:hint="eastAsia" w:ascii="宋体" w:hAnsi="宋体" w:cs="宋体"/>
          <w:color w:val="auto"/>
          <w:szCs w:val="21"/>
        </w:rPr>
        <w:t>供应商应在磋商截止时间前自行登录“政采云”平台（网址：</w:t>
      </w:r>
      <w:r>
        <w:rPr>
          <w:rFonts w:hint="eastAsia" w:ascii="宋体" w:hAnsi="宋体" w:cs="宋体"/>
          <w:color w:val="auto"/>
          <w:szCs w:val="21"/>
        </w:rPr>
        <w:fldChar w:fldCharType="begin"/>
      </w:r>
      <w:r>
        <w:rPr>
          <w:rFonts w:hint="eastAsia" w:ascii="宋体" w:hAnsi="宋体" w:cs="宋体"/>
          <w:color w:val="auto"/>
          <w:szCs w:val="21"/>
        </w:rPr>
        <w:instrText xml:space="preserve"> HYPERLINK "https://www.zcygov.cn/）获取，不需向采购人回复确认。" </w:instrText>
      </w:r>
      <w:r>
        <w:rPr>
          <w:rFonts w:hint="eastAsia" w:ascii="宋体" w:hAnsi="宋体" w:cs="宋体"/>
          <w:color w:val="auto"/>
          <w:szCs w:val="21"/>
        </w:rPr>
        <w:fldChar w:fldCharType="separate"/>
      </w:r>
      <w:r>
        <w:rPr>
          <w:rFonts w:hint="eastAsia" w:ascii="宋体" w:hAnsi="宋体" w:cs="宋体"/>
          <w:color w:val="auto"/>
          <w:szCs w:val="21"/>
        </w:rPr>
        <w:t>https://www.zcygov.cn/）获取</w:t>
      </w:r>
      <w:r>
        <w:rPr>
          <w:rFonts w:hint="eastAsia" w:ascii="宋体" w:hAnsi="宋体" w:cs="宋体"/>
          <w:color w:val="auto"/>
          <w:szCs w:val="21"/>
          <w:lang w:eastAsia="zh-CN"/>
        </w:rPr>
        <w:t>，不需向采购人回复确认。</w:t>
      </w:r>
      <w:r>
        <w:rPr>
          <w:rFonts w:hint="eastAsia" w:ascii="宋体" w:hAnsi="宋体" w:cs="宋体"/>
          <w:color w:val="auto"/>
          <w:szCs w:val="21"/>
        </w:rPr>
        <w:fldChar w:fldCharType="end"/>
      </w:r>
    </w:p>
    <w:p w14:paraId="1E5FD935">
      <w:pPr>
        <w:pStyle w:val="16"/>
        <w:spacing w:line="500" w:lineRule="exact"/>
        <w:ind w:firstLine="422"/>
        <w:rPr>
          <w:rFonts w:hAnsi="宋体" w:cs="宋体"/>
          <w:b/>
          <w:color w:val="auto"/>
          <w:kern w:val="0"/>
          <w:szCs w:val="21"/>
        </w:rPr>
      </w:pPr>
      <w:r>
        <w:rPr>
          <w:rFonts w:hint="eastAsia" w:hAnsi="宋体" w:cs="宋体"/>
          <w:b/>
          <w:color w:val="auto"/>
          <w:kern w:val="0"/>
          <w:szCs w:val="21"/>
        </w:rPr>
        <w:t>2.3 竞争性磋商文件的修改</w:t>
      </w:r>
    </w:p>
    <w:p w14:paraId="2A57D6CA">
      <w:pPr>
        <w:wordWrap w:val="0"/>
        <w:autoSpaceDE w:val="0"/>
        <w:autoSpaceDN w:val="0"/>
        <w:adjustRightInd w:val="0"/>
        <w:spacing w:line="500" w:lineRule="exact"/>
        <w:ind w:firstLine="420" w:firstLineChars="200"/>
        <w:jc w:val="left"/>
        <w:outlineLvl w:val="0"/>
        <w:rPr>
          <w:rFonts w:ascii="宋体" w:hAnsi="宋体" w:cs="宋体"/>
          <w:bCs/>
          <w:color w:val="auto"/>
          <w:kern w:val="0"/>
          <w:szCs w:val="21"/>
          <w:highlight w:val="green"/>
        </w:rPr>
      </w:pPr>
      <w:r>
        <w:rPr>
          <w:rFonts w:hint="eastAsia" w:ascii="宋体" w:hAnsi="宋体" w:cs="宋体"/>
          <w:color w:val="auto"/>
          <w:szCs w:val="21"/>
        </w:rPr>
        <w:t>2.3.1采购人通过“政采云”平台（网址：https://www.zcygov.cn/）发布</w:t>
      </w:r>
      <w:r>
        <w:rPr>
          <w:rFonts w:hint="eastAsia" w:ascii="宋体" w:hAnsi="宋体" w:cs="宋体"/>
          <w:color w:val="auto"/>
          <w:szCs w:val="21"/>
          <w:lang w:eastAsia="zh-CN"/>
        </w:rPr>
        <w:t>修改内容</w:t>
      </w:r>
      <w:r>
        <w:rPr>
          <w:rFonts w:hint="eastAsia" w:ascii="宋体" w:hAnsi="宋体" w:cs="宋体"/>
          <w:color w:val="auto"/>
          <w:szCs w:val="21"/>
        </w:rPr>
        <w:t>，竞争性磋商文件的</w:t>
      </w:r>
      <w:r>
        <w:rPr>
          <w:rFonts w:hint="eastAsia" w:ascii="宋体" w:hAnsi="宋体" w:cs="宋体"/>
          <w:color w:val="auto"/>
          <w:szCs w:val="21"/>
          <w:lang w:eastAsia="zh-CN"/>
        </w:rPr>
        <w:t>修改</w:t>
      </w:r>
      <w:r>
        <w:rPr>
          <w:rFonts w:hint="eastAsia" w:ascii="宋体" w:hAnsi="宋体" w:cs="宋体"/>
          <w:color w:val="auto"/>
          <w:szCs w:val="21"/>
        </w:rPr>
        <w:t>作为竞争性磋商文件的组成部分，并具有约束力。如果</w:t>
      </w:r>
      <w:r>
        <w:rPr>
          <w:rFonts w:hint="eastAsia" w:ascii="宋体" w:hAnsi="宋体" w:cs="宋体"/>
          <w:color w:val="auto"/>
          <w:szCs w:val="21"/>
          <w:lang w:eastAsia="zh-CN"/>
        </w:rPr>
        <w:t>修改</w:t>
      </w:r>
      <w:r>
        <w:rPr>
          <w:rFonts w:hint="eastAsia" w:ascii="宋体" w:hAnsi="宋体" w:cs="宋体"/>
          <w:color w:val="auto"/>
          <w:szCs w:val="21"/>
        </w:rPr>
        <w:t>竞争性磋商文件的时间距磋商截止时间不足5天，并且</w:t>
      </w:r>
      <w:r>
        <w:rPr>
          <w:rFonts w:hint="eastAsia" w:ascii="宋体" w:hAnsi="宋体" w:cs="宋体"/>
          <w:color w:val="auto"/>
          <w:szCs w:val="21"/>
          <w:lang w:eastAsia="zh-CN"/>
        </w:rPr>
        <w:t>修改</w:t>
      </w:r>
      <w:r>
        <w:rPr>
          <w:rFonts w:hint="eastAsia" w:ascii="宋体" w:hAnsi="宋体" w:cs="宋体"/>
          <w:color w:val="auto"/>
          <w:szCs w:val="21"/>
        </w:rPr>
        <w:t>内容影响</w:t>
      </w:r>
      <w:r>
        <w:rPr>
          <w:rFonts w:hint="eastAsia" w:ascii="宋体" w:hAnsi="宋体" w:cs="宋体"/>
          <w:color w:val="auto"/>
          <w:szCs w:val="21"/>
          <w:lang w:eastAsia="zh-CN"/>
        </w:rPr>
        <w:t>磋商</w:t>
      </w:r>
      <w:r>
        <w:rPr>
          <w:rFonts w:hint="eastAsia" w:ascii="宋体" w:hAnsi="宋体" w:cs="宋体"/>
          <w:color w:val="auto"/>
          <w:szCs w:val="21"/>
        </w:rPr>
        <w:t>响应文件编制的，应相应延长磋商截止时间。</w:t>
      </w:r>
    </w:p>
    <w:p w14:paraId="0234F532">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Cs/>
          <w:color w:val="auto"/>
          <w:kern w:val="0"/>
          <w:szCs w:val="21"/>
          <w:highlight w:val="none"/>
        </w:rPr>
      </w:pPr>
      <w:r>
        <w:rPr>
          <w:rFonts w:hint="eastAsia" w:ascii="宋体" w:hAnsi="宋体" w:cs="宋体"/>
          <w:bCs/>
          <w:color w:val="auto"/>
          <w:kern w:val="0"/>
          <w:szCs w:val="21"/>
        </w:rPr>
        <w:t xml:space="preserve">2.3.2 </w:t>
      </w:r>
      <w:r>
        <w:rPr>
          <w:rFonts w:hint="eastAsia" w:ascii="宋体" w:hAnsi="宋体" w:cs="宋体"/>
          <w:color w:val="auto"/>
          <w:szCs w:val="21"/>
        </w:rPr>
        <w:t>供应商确认收到磋商文件</w:t>
      </w:r>
      <w:r>
        <w:rPr>
          <w:rFonts w:hint="eastAsia" w:ascii="宋体" w:hAnsi="宋体" w:cs="宋体"/>
          <w:color w:val="auto"/>
          <w:szCs w:val="21"/>
          <w:lang w:eastAsia="zh-CN"/>
        </w:rPr>
        <w:t>修改</w:t>
      </w:r>
      <w:r>
        <w:rPr>
          <w:rFonts w:hint="eastAsia" w:ascii="宋体" w:hAnsi="宋体" w:cs="宋体"/>
          <w:color w:val="auto"/>
          <w:szCs w:val="21"/>
        </w:rPr>
        <w:t>的时间</w:t>
      </w:r>
      <w:r>
        <w:rPr>
          <w:rFonts w:hint="eastAsia" w:ascii="宋体" w:hAnsi="宋体" w:cs="宋体"/>
          <w:color w:val="auto"/>
          <w:szCs w:val="21"/>
          <w:lang w:eastAsia="zh-CN"/>
        </w:rPr>
        <w:t>：</w:t>
      </w:r>
      <w:r>
        <w:rPr>
          <w:rFonts w:hint="eastAsia" w:ascii="宋体" w:hAnsi="宋体" w:cs="宋体"/>
          <w:color w:val="auto"/>
          <w:szCs w:val="21"/>
        </w:rPr>
        <w:t>采购人通过“政采云”平台（网址：https://www.zcygov.cn/）发布</w:t>
      </w:r>
      <w:r>
        <w:rPr>
          <w:rFonts w:hint="eastAsia" w:ascii="宋体" w:hAnsi="宋体" w:cs="宋体"/>
          <w:color w:val="auto"/>
          <w:szCs w:val="21"/>
          <w:lang w:eastAsia="zh-CN"/>
        </w:rPr>
        <w:t>修改内容，</w:t>
      </w:r>
      <w:r>
        <w:rPr>
          <w:rFonts w:hint="eastAsia" w:ascii="宋体" w:hAnsi="宋体" w:cs="宋体"/>
          <w:color w:val="auto"/>
          <w:szCs w:val="21"/>
        </w:rPr>
        <w:t>供应商应在磋商截止时间前自行登录“政采云”平台（网址：https://www.zcygov.cn/）获取</w:t>
      </w:r>
      <w:r>
        <w:rPr>
          <w:rFonts w:hint="eastAsia" w:ascii="宋体" w:hAnsi="宋体" w:cs="宋体"/>
          <w:color w:val="auto"/>
          <w:szCs w:val="21"/>
          <w:lang w:eastAsia="zh-CN"/>
        </w:rPr>
        <w:t>，不需向采购人回复确认</w:t>
      </w:r>
      <w:r>
        <w:rPr>
          <w:rFonts w:hint="eastAsia" w:ascii="宋体" w:hAnsi="宋体" w:cs="宋体"/>
          <w:bCs/>
          <w:color w:val="auto"/>
          <w:kern w:val="0"/>
          <w:szCs w:val="21"/>
          <w:highlight w:val="none"/>
        </w:rPr>
        <w:t>。</w:t>
      </w:r>
    </w:p>
    <w:p w14:paraId="5D8C9CF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 磋商响应文件</w:t>
      </w:r>
    </w:p>
    <w:p w14:paraId="02DA8E0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3.1 磋商响应文件的组成如下：</w:t>
      </w:r>
    </w:p>
    <w:bookmarkEnd w:id="67"/>
    <w:p w14:paraId="35943556">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hint="eastAsia" w:ascii="宋体" w:hAnsi="宋体" w:eastAsia="宋体" w:cs="宋体"/>
          <w:b w:val="0"/>
          <w:bCs/>
          <w:color w:val="auto"/>
          <w:kern w:val="0"/>
          <w:szCs w:val="21"/>
          <w:highlight w:val="none"/>
          <w:lang w:val="en-US" w:eastAsia="zh-CN"/>
        </w:rPr>
      </w:pPr>
      <w:bookmarkStart w:id="68" w:name="_Toc209498823"/>
      <w:bookmarkStart w:id="69" w:name="_Toc247277947"/>
      <w:bookmarkStart w:id="70" w:name="_Toc262675327"/>
      <w:bookmarkStart w:id="71" w:name="_Toc381278396"/>
      <w:bookmarkStart w:id="72" w:name="_Toc382901560"/>
      <w:bookmarkStart w:id="73" w:name="_Toc260172660"/>
      <w:bookmarkStart w:id="74" w:name="_Toc491246652"/>
      <w:bookmarkStart w:id="75" w:name="_Toc199321902"/>
      <w:r>
        <w:rPr>
          <w:rFonts w:hint="eastAsia" w:ascii="宋体" w:hAnsi="宋体" w:cs="宋体"/>
          <w:b w:val="0"/>
          <w:bCs/>
          <w:color w:val="auto"/>
          <w:kern w:val="0"/>
          <w:szCs w:val="21"/>
          <w:highlight w:val="none"/>
          <w:lang w:val="en-US" w:eastAsia="zh-CN"/>
        </w:rPr>
        <w:t>详见“第六章 竞争性磋商响应文件格式”。</w:t>
      </w:r>
    </w:p>
    <w:p w14:paraId="5AB8D31E">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3.2 磋商报价</w:t>
      </w:r>
      <w:bookmarkEnd w:id="68"/>
      <w:bookmarkEnd w:id="69"/>
      <w:bookmarkEnd w:id="70"/>
      <w:bookmarkEnd w:id="71"/>
      <w:bookmarkEnd w:id="72"/>
      <w:bookmarkEnd w:id="73"/>
      <w:bookmarkEnd w:id="74"/>
      <w:bookmarkEnd w:id="75"/>
    </w:p>
    <w:p w14:paraId="360E3A11">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olor w:val="auto"/>
          <w:sz w:val="21"/>
          <w:szCs w:val="21"/>
          <w:highlight w:val="none"/>
          <w:lang w:eastAsia="zh-CN"/>
        </w:rPr>
      </w:pPr>
      <w:bookmarkStart w:id="76" w:name="_Toc260172661"/>
      <w:bookmarkStart w:id="77" w:name="_Toc381278397"/>
      <w:bookmarkStart w:id="78" w:name="_Toc209498824"/>
      <w:bookmarkStart w:id="79" w:name="_Toc491246653"/>
      <w:bookmarkStart w:id="80" w:name="_Toc382901561"/>
      <w:bookmarkStart w:id="81" w:name="_Toc199321903"/>
      <w:bookmarkStart w:id="82" w:name="_Toc247277948"/>
      <w:bookmarkStart w:id="83" w:name="_Toc262675328"/>
      <w:r>
        <w:rPr>
          <w:rFonts w:hint="eastAsia" w:ascii="宋体" w:hAnsi="宋体"/>
          <w:color w:val="auto"/>
          <w:sz w:val="21"/>
          <w:szCs w:val="21"/>
          <w:highlight w:val="none"/>
        </w:rPr>
        <w:t>3.2.1供应商应按照供应商须知前附表约定的方式和工程量清单</w:t>
      </w:r>
      <w:r>
        <w:rPr>
          <w:rFonts w:hint="eastAsia" w:ascii="宋体" w:hAnsi="宋体"/>
          <w:color w:val="auto"/>
          <w:sz w:val="21"/>
          <w:szCs w:val="21"/>
          <w:highlight w:val="none"/>
          <w:lang w:val="en-US" w:eastAsia="zh-CN"/>
        </w:rPr>
        <w:t>及“响应文件格式”的要求在初次报价表中进行报价，磋商报价不得超过招标控制价，</w:t>
      </w:r>
      <w:r>
        <w:rPr>
          <w:rFonts w:hint="eastAsia" w:ascii="宋体" w:hAnsi="宋体"/>
          <w:color w:val="auto"/>
          <w:sz w:val="21"/>
          <w:szCs w:val="21"/>
          <w:highlight w:val="none"/>
        </w:rPr>
        <w:t>报价货币为人民币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招标控制价</w:t>
      </w:r>
      <w:r>
        <w:rPr>
          <w:rFonts w:hint="eastAsia" w:ascii="宋体" w:hAnsi="宋体" w:cs="宋体"/>
          <w:bCs/>
          <w:color w:val="auto"/>
          <w:kern w:val="0"/>
          <w:szCs w:val="21"/>
          <w:highlight w:val="none"/>
        </w:rPr>
        <w:t>见供应商须知前附表</w:t>
      </w:r>
      <w:r>
        <w:rPr>
          <w:rFonts w:hint="eastAsia" w:ascii="宋体" w:hAnsi="宋体" w:cs="宋体"/>
          <w:bCs/>
          <w:color w:val="auto"/>
          <w:kern w:val="0"/>
          <w:szCs w:val="21"/>
          <w:highlight w:val="none"/>
          <w:lang w:eastAsia="zh-CN"/>
        </w:rPr>
        <w:t>。</w:t>
      </w:r>
    </w:p>
    <w:p w14:paraId="0DFA52C9">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val="zh-CN" w:eastAsia="zh-CN"/>
        </w:rPr>
      </w:pPr>
      <w:r>
        <w:rPr>
          <w:rFonts w:hint="eastAsia" w:ascii="宋体" w:hAnsi="宋体"/>
          <w:color w:val="auto"/>
          <w:sz w:val="21"/>
          <w:szCs w:val="21"/>
          <w:highlight w:val="none"/>
        </w:rPr>
        <w:t>3.2.2供应商就“工程量清单”中的内容作完整唯一报价。任何有选择的报价将不予接受，本次</w:t>
      </w:r>
      <w:r>
        <w:rPr>
          <w:rFonts w:hint="eastAsia" w:ascii="宋体" w:hAnsi="宋体"/>
          <w:color w:val="auto"/>
          <w:sz w:val="21"/>
          <w:szCs w:val="21"/>
          <w:highlight w:val="none"/>
          <w:lang w:val="en-US" w:eastAsia="zh-CN"/>
        </w:rPr>
        <w:t>磋商初次报价</w:t>
      </w:r>
      <w:r>
        <w:rPr>
          <w:rFonts w:hint="eastAsia" w:ascii="宋体" w:hAnsi="宋体"/>
          <w:color w:val="auto"/>
          <w:sz w:val="21"/>
          <w:szCs w:val="21"/>
          <w:highlight w:val="none"/>
        </w:rPr>
        <w:t>只允许有一个有效报价。在</w:t>
      </w:r>
      <w:r>
        <w:rPr>
          <w:rFonts w:hint="eastAsia" w:ascii="宋体" w:hAnsi="宋体"/>
          <w:color w:val="auto"/>
          <w:sz w:val="21"/>
          <w:szCs w:val="21"/>
          <w:highlight w:val="none"/>
          <w:lang w:eastAsia="zh-CN"/>
        </w:rPr>
        <w:t>磋商响应</w:t>
      </w:r>
      <w:r>
        <w:rPr>
          <w:rFonts w:hint="eastAsia" w:ascii="宋体" w:hAnsi="宋体"/>
          <w:color w:val="auto"/>
          <w:sz w:val="21"/>
          <w:szCs w:val="21"/>
          <w:highlight w:val="none"/>
        </w:rPr>
        <w:t>文件中，供应商投报两个或多个标书、方案或有两个或多个报价，又未书面声明其中哪一个有效的，按</w:t>
      </w:r>
      <w:r>
        <w:rPr>
          <w:rFonts w:hint="eastAsia" w:ascii="宋体" w:hAnsi="宋体"/>
          <w:color w:val="auto"/>
          <w:sz w:val="21"/>
          <w:szCs w:val="21"/>
          <w:highlight w:val="none"/>
          <w:lang w:val="en-US" w:eastAsia="zh-CN"/>
        </w:rPr>
        <w:t>无效</w:t>
      </w:r>
      <w:r>
        <w:rPr>
          <w:rFonts w:hint="eastAsia" w:ascii="宋体" w:hAnsi="宋体"/>
          <w:color w:val="auto"/>
          <w:sz w:val="21"/>
          <w:szCs w:val="21"/>
          <w:highlight w:val="none"/>
        </w:rPr>
        <w:t>标处理</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zh-CN" w:eastAsia="zh-CN"/>
        </w:rPr>
        <w:t xml:space="preserve"> </w:t>
      </w:r>
    </w:p>
    <w:p w14:paraId="1E9DD2E1">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供应商应按“工程量清单”的要求填写相应表格，已标价工程量清单与采购人提供的工程量清单中项目名称、项目特征、计量单位和工程量完全一致。</w:t>
      </w:r>
    </w:p>
    <w:p w14:paraId="52C5285D">
      <w:pPr>
        <w:keepNext w:val="0"/>
        <w:keepLines w:val="0"/>
        <w:pageBreakBefore w:val="0"/>
        <w:kinsoku/>
        <w:wordWrap/>
        <w:topLinePunct w:val="0"/>
        <w:bidi w:val="0"/>
        <w:snapToGrid/>
        <w:spacing w:line="440" w:lineRule="exact"/>
        <w:ind w:firstLine="420" w:firstLineChars="200"/>
        <w:jc w:val="left"/>
        <w:rPr>
          <w:rFonts w:hint="eastAsia" w:ascii="宋体" w:hAnsi="宋体" w:eastAsia="宋体" w:cs="Times New Roman"/>
          <w:color w:val="auto"/>
          <w:sz w:val="21"/>
          <w:szCs w:val="21"/>
          <w:highlight w:val="none"/>
          <w:lang w:val="en-US" w:eastAsia="zh-CN"/>
        </w:rPr>
      </w:pPr>
      <w:r>
        <w:rPr>
          <w:rFonts w:hint="eastAsia" w:ascii="宋体" w:hAnsi="宋体"/>
          <w:color w:val="auto"/>
          <w:sz w:val="21"/>
          <w:szCs w:val="21"/>
          <w:highlight w:val="none"/>
        </w:rPr>
        <w:t>3.2.3本项目采用综合单价进行工程量清单</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报价，磋商报价应依据竞争性磋商文件、答疑的要求</w:t>
      </w:r>
      <w:r>
        <w:rPr>
          <w:rFonts w:hint="eastAsia" w:ascii="宋体" w:hAnsi="宋体"/>
          <w:color w:val="auto"/>
          <w:sz w:val="21"/>
          <w:szCs w:val="21"/>
          <w:highlight w:val="none"/>
          <w:lang w:val="zh-CN" w:eastAsia="zh-CN"/>
        </w:rPr>
        <w:t>及采购人提供的图纸、技术要求、工程量清单</w:t>
      </w:r>
      <w:r>
        <w:rPr>
          <w:rFonts w:hint="eastAsia" w:ascii="宋体" w:hAnsi="宋体"/>
          <w:color w:val="auto"/>
          <w:sz w:val="21"/>
          <w:szCs w:val="21"/>
          <w:highlight w:val="none"/>
        </w:rPr>
        <w:t>，执行国家</w:t>
      </w:r>
      <w:r>
        <w:rPr>
          <w:rFonts w:hint="eastAsia" w:ascii="宋体" w:hAnsi="宋体"/>
          <w:color w:val="auto"/>
          <w:sz w:val="21"/>
          <w:szCs w:val="21"/>
          <w:highlight w:val="none"/>
          <w:lang w:val="zh-CN" w:eastAsia="zh-CN"/>
        </w:rPr>
        <w:t>或行业</w:t>
      </w:r>
      <w:r>
        <w:rPr>
          <w:rFonts w:hint="eastAsia" w:ascii="宋体" w:hAnsi="宋体"/>
          <w:color w:val="auto"/>
          <w:sz w:val="21"/>
          <w:szCs w:val="21"/>
          <w:highlight w:val="none"/>
        </w:rPr>
        <w:t>现行</w:t>
      </w:r>
      <w:r>
        <w:rPr>
          <w:rFonts w:hint="eastAsia" w:ascii="宋体" w:hAnsi="宋体"/>
          <w:color w:val="auto"/>
          <w:sz w:val="21"/>
          <w:szCs w:val="21"/>
          <w:highlight w:val="none"/>
          <w:lang w:val="en-US" w:eastAsia="zh-CN"/>
        </w:rPr>
        <w:t>质量标准、</w:t>
      </w:r>
      <w:r>
        <w:rPr>
          <w:rFonts w:hint="eastAsia" w:ascii="宋体" w:hAnsi="宋体"/>
          <w:color w:val="auto"/>
          <w:sz w:val="21"/>
          <w:szCs w:val="21"/>
          <w:highlight w:val="none"/>
        </w:rPr>
        <w:t>技术经济标准、定额及规范，以及供应商对现场实际情况的勘察和市场竞争因素，并结合企业实力自行确定。该报价应符合国内行情并</w:t>
      </w:r>
      <w:r>
        <w:rPr>
          <w:rFonts w:hint="eastAsia" w:ascii="宋体" w:hAnsi="宋体" w:eastAsia="宋体" w:cs="Times New Roman"/>
          <w:color w:val="auto"/>
          <w:sz w:val="21"/>
          <w:szCs w:val="21"/>
          <w:highlight w:val="none"/>
          <w:lang w:val="en-US" w:eastAsia="zh-CN"/>
        </w:rPr>
        <w:t>能保证供应商完成履行合同所需的一切工作。</w:t>
      </w:r>
    </w:p>
    <w:p w14:paraId="49755DD5">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eastAsia="宋体" w:cs="Times New Roman"/>
          <w:color w:val="auto"/>
          <w:sz w:val="21"/>
          <w:szCs w:val="21"/>
          <w:highlight w:val="none"/>
          <w:lang w:val="en-US" w:eastAsia="zh-CN"/>
        </w:rPr>
        <w:t>3.2.4 供应商不得哄抬报价，也不应低于成本价（或进价）报价。磋商小组认为供应商的最低报价或者某些分项报价明显不合理或者低于成本，有可能影</w:t>
      </w:r>
      <w:r>
        <w:rPr>
          <w:rFonts w:hint="eastAsia" w:ascii="宋体" w:hAnsi="宋体"/>
          <w:color w:val="auto"/>
          <w:sz w:val="21"/>
          <w:szCs w:val="21"/>
          <w:highlight w:val="none"/>
        </w:rPr>
        <w:t>响商品质量和不能诚信履约的，将要求其在规定的期限内提供书面文件予以解释说明，并提交相关证明材料。否则，</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小组可以取消该供应商的成交候选资格。</w:t>
      </w:r>
    </w:p>
    <w:p w14:paraId="7F633016">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rPr>
        <w:t>3.2.5</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阶段的工程量与实际发生的工程量发生变化时，以实际发生为准（实际发生的工程量变化指：实际发生的，经采购单位审定的数量）</w:t>
      </w:r>
      <w:r>
        <w:rPr>
          <w:rFonts w:hint="eastAsia" w:ascii="宋体" w:hAnsi="宋体"/>
          <w:color w:val="auto"/>
          <w:sz w:val="21"/>
          <w:szCs w:val="21"/>
          <w:highlight w:val="none"/>
          <w:lang w:eastAsia="zh-CN"/>
        </w:rPr>
        <w:t>。</w:t>
      </w:r>
    </w:p>
    <w:p w14:paraId="5F68E24C">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lang w:eastAsia="zh-CN"/>
        </w:rPr>
      </w:pPr>
      <w:r>
        <w:rPr>
          <w:rFonts w:hint="eastAsia" w:ascii="宋体" w:hAnsi="宋体"/>
          <w:color w:val="auto"/>
          <w:sz w:val="21"/>
          <w:szCs w:val="21"/>
          <w:highlight w:val="none"/>
          <w:lang w:val="en-US" w:eastAsia="zh-CN"/>
        </w:rPr>
        <w:t>3.2.6</w:t>
      </w:r>
      <w:r>
        <w:rPr>
          <w:rFonts w:hint="eastAsia" w:ascii="宋体" w:hAnsi="宋体"/>
          <w:color w:val="auto"/>
          <w:sz w:val="21"/>
          <w:szCs w:val="21"/>
          <w:highlight w:val="none"/>
          <w:lang w:val="zh-CN" w:eastAsia="zh-CN"/>
        </w:rPr>
        <w:t>供应商先到工地踏勘以充分了解工地位置、情况。装卸限制及任何其他足以影响承包价的情况， 任何因忽视或误解工地情况而导致的索赔或工期延长申请将不被批准。</w:t>
      </w:r>
    </w:p>
    <w:p w14:paraId="2EB3C142">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通过实质性审查的供应商</w:t>
      </w:r>
      <w:r>
        <w:rPr>
          <w:rFonts w:hint="eastAsia" w:ascii="宋体" w:hAnsi="宋体" w:eastAsia="宋体" w:cs="宋体"/>
          <w:b w:val="0"/>
          <w:bCs/>
          <w:color w:val="auto"/>
          <w:sz w:val="21"/>
          <w:szCs w:val="21"/>
          <w:highlight w:val="none"/>
          <w:lang w:val="en-US" w:eastAsia="zh-CN"/>
        </w:rPr>
        <w:t>在系统上“政采云平台（网址：https://www.zcygov.cn/）”等待磋商小组发起磋商及最后报价，</w:t>
      </w:r>
      <w:r>
        <w:rPr>
          <w:rFonts w:hint="eastAsia" w:ascii="宋体" w:hAnsi="宋体"/>
          <w:color w:val="auto"/>
          <w:sz w:val="21"/>
          <w:szCs w:val="21"/>
          <w:highlight w:val="none"/>
        </w:rPr>
        <w:t>第二轮报价为</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是供应商响应文件的有效组成部分。</w:t>
      </w:r>
    </w:p>
    <w:p w14:paraId="777C5A62">
      <w:pPr>
        <w:keepNext w:val="0"/>
        <w:keepLines w:val="0"/>
        <w:pageBreakBefore w:val="0"/>
        <w:kinsoku/>
        <w:wordWrap/>
        <w:topLinePunct w:val="0"/>
        <w:bidi w:val="0"/>
        <w:snapToGrid/>
        <w:spacing w:line="440" w:lineRule="exact"/>
        <w:ind w:firstLine="422" w:firstLineChars="200"/>
        <w:jc w:val="left"/>
        <w:rPr>
          <w:rFonts w:hint="eastAsia" w:ascii="宋体" w:hAnsi="宋体"/>
          <w:b/>
          <w:bCs/>
          <w:color w:val="auto"/>
          <w:sz w:val="21"/>
          <w:szCs w:val="21"/>
          <w:highlight w:val="none"/>
        </w:rPr>
      </w:pPr>
      <w:r>
        <w:rPr>
          <w:rFonts w:hint="eastAsia" w:ascii="宋体" w:hAnsi="宋体"/>
          <w:b/>
          <w:bCs/>
          <w:color w:val="auto"/>
          <w:sz w:val="21"/>
          <w:szCs w:val="21"/>
          <w:highlight w:val="none"/>
        </w:rPr>
        <w:t>注：</w:t>
      </w:r>
      <w:r>
        <w:rPr>
          <w:rFonts w:hint="eastAsia" w:ascii="宋体" w:hAnsi="宋体"/>
          <w:b/>
          <w:bCs/>
          <w:color w:val="auto"/>
          <w:sz w:val="21"/>
          <w:szCs w:val="21"/>
          <w:highlight w:val="none"/>
          <w:lang w:eastAsia="zh-CN"/>
        </w:rPr>
        <w:t>供应商</w:t>
      </w:r>
      <w:r>
        <w:rPr>
          <w:rFonts w:hint="eastAsia" w:ascii="宋体" w:hAnsi="宋体"/>
          <w:b/>
          <w:bCs/>
          <w:color w:val="auto"/>
          <w:sz w:val="21"/>
          <w:szCs w:val="21"/>
          <w:highlight w:val="none"/>
          <w:lang w:val="zh-CN" w:eastAsia="zh-CN"/>
        </w:rPr>
        <w:t>最后磋商报价</w:t>
      </w:r>
      <w:r>
        <w:rPr>
          <w:rFonts w:hint="eastAsia" w:ascii="宋体" w:hAnsi="宋体"/>
          <w:b/>
          <w:bCs/>
          <w:color w:val="auto"/>
          <w:sz w:val="21"/>
          <w:szCs w:val="21"/>
          <w:highlight w:val="none"/>
        </w:rPr>
        <w:t>在一次报价的基础上“浮动比例”将作为工程量清单每项单价在第一次报价基础上的浮动比例，并作为工程结算价依据。</w:t>
      </w:r>
    </w:p>
    <w:p w14:paraId="601D295C">
      <w:pPr>
        <w:keepNext w:val="0"/>
        <w:keepLines w:val="0"/>
        <w:pageBreakBefore w:val="0"/>
        <w:kinsoku/>
        <w:wordWrap/>
        <w:topLinePunct w:val="0"/>
        <w:bidi w:val="0"/>
        <w:snapToGrid/>
        <w:spacing w:line="440" w:lineRule="exact"/>
        <w:ind w:firstLine="420" w:firstLineChars="200"/>
        <w:jc w:val="left"/>
        <w:rPr>
          <w:rFonts w:hint="eastAsia" w:ascii="宋体" w:hAnsi="宋体"/>
          <w:color w:val="auto"/>
          <w:sz w:val="21"/>
          <w:szCs w:val="21"/>
          <w:highlight w:val="none"/>
        </w:rPr>
      </w:pPr>
      <w:r>
        <w:rPr>
          <w:rFonts w:hint="eastAsia" w:ascii="宋体" w:hAnsi="宋体"/>
          <w:color w:val="auto"/>
          <w:sz w:val="21"/>
          <w:szCs w:val="21"/>
          <w:highlight w:val="none"/>
        </w:rPr>
        <w:t>3.2.</w:t>
      </w:r>
      <w:r>
        <w:rPr>
          <w:rFonts w:hint="eastAsia" w:ascii="宋体" w:hAnsi="宋体"/>
          <w:color w:val="auto"/>
          <w:sz w:val="21"/>
          <w:szCs w:val="21"/>
          <w:highlight w:val="none"/>
          <w:lang w:val="en-US" w:eastAsia="zh-CN"/>
        </w:rPr>
        <w:t>8</w:t>
      </w:r>
      <w:r>
        <w:rPr>
          <w:rFonts w:hint="eastAsia" w:ascii="宋体" w:hAnsi="宋体"/>
          <w:color w:val="auto"/>
          <w:sz w:val="21"/>
          <w:szCs w:val="21"/>
          <w:highlight w:val="none"/>
        </w:rPr>
        <w:t>若已</w:t>
      </w:r>
      <w:r>
        <w:rPr>
          <w:rFonts w:hint="eastAsia" w:ascii="宋体" w:hAnsi="宋体"/>
          <w:color w:val="auto"/>
          <w:sz w:val="21"/>
          <w:szCs w:val="21"/>
          <w:highlight w:val="none"/>
          <w:lang w:val="en-US" w:eastAsia="zh-CN"/>
        </w:rPr>
        <w:t>提</w:t>
      </w:r>
      <w:r>
        <w:rPr>
          <w:rFonts w:hint="eastAsia" w:ascii="宋体" w:hAnsi="宋体"/>
          <w:color w:val="auto"/>
          <w:sz w:val="21"/>
          <w:szCs w:val="21"/>
          <w:highlight w:val="none"/>
        </w:rPr>
        <w:t>交的</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出现含义不明确、同类问题表述不一致或者签署不完整、有明显文字和计算错误的，可以进行澄清和补充，但不得改变</w:t>
      </w:r>
      <w:r>
        <w:rPr>
          <w:rFonts w:hint="eastAsia" w:ascii="宋体" w:hAnsi="宋体"/>
          <w:color w:val="auto"/>
          <w:sz w:val="21"/>
          <w:szCs w:val="21"/>
          <w:highlight w:val="none"/>
          <w:lang w:val="zh-CN" w:eastAsia="zh-CN"/>
        </w:rPr>
        <w:t>最后磋商报价</w:t>
      </w:r>
      <w:r>
        <w:rPr>
          <w:rFonts w:hint="eastAsia" w:ascii="宋体" w:hAnsi="宋体"/>
          <w:color w:val="auto"/>
          <w:sz w:val="21"/>
          <w:szCs w:val="21"/>
          <w:highlight w:val="none"/>
        </w:rPr>
        <w:t>文件中报价等实质性内容（算术性错误修正的除外）。</w:t>
      </w:r>
    </w:p>
    <w:p w14:paraId="3A22D5D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3.3 磋商有效期</w:t>
      </w:r>
      <w:bookmarkEnd w:id="76"/>
      <w:bookmarkEnd w:id="77"/>
      <w:bookmarkEnd w:id="78"/>
      <w:bookmarkEnd w:id="79"/>
      <w:bookmarkEnd w:id="80"/>
      <w:bookmarkEnd w:id="81"/>
      <w:bookmarkEnd w:id="82"/>
      <w:bookmarkEnd w:id="83"/>
    </w:p>
    <w:p w14:paraId="528A6C5F">
      <w:pPr>
        <w:pStyle w:val="16"/>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3.3.1</w:t>
      </w:r>
      <w:r>
        <w:rPr>
          <w:rFonts w:hint="eastAsia" w:hAnsi="宋体" w:cs="宋体"/>
          <w:color w:val="auto"/>
          <w:kern w:val="0"/>
          <w:szCs w:val="21"/>
          <w:highlight w:val="none"/>
        </w:rPr>
        <w:t xml:space="preserve"> 在供应商须知前附表规定的磋商有效期内，供应商不得要求撤销或修改其磋商文件。</w:t>
      </w:r>
    </w:p>
    <w:p w14:paraId="5B208189">
      <w:pPr>
        <w:pStyle w:val="16"/>
        <w:keepNext w:val="0"/>
        <w:keepLines w:val="0"/>
        <w:pageBreakBefore w:val="0"/>
        <w:widowControl w:val="0"/>
        <w:kinsoku/>
        <w:wordWrap w:val="0"/>
        <w:overflowPunct/>
        <w:topLinePunct w:val="0"/>
        <w:autoSpaceDE/>
        <w:autoSpaceDN/>
        <w:bidi w:val="0"/>
        <w:adjustRightInd/>
        <w:snapToGrid/>
        <w:spacing w:line="440" w:lineRule="exact"/>
        <w:ind w:firstLine="420" w:firstLineChars="200"/>
        <w:textAlignment w:val="auto"/>
        <w:rPr>
          <w:rFonts w:hAnsi="宋体" w:cs="宋体"/>
          <w:color w:val="auto"/>
          <w:kern w:val="0"/>
          <w:szCs w:val="21"/>
          <w:highlight w:val="none"/>
        </w:rPr>
      </w:pPr>
      <w:r>
        <w:rPr>
          <w:rFonts w:hint="eastAsia" w:hAnsi="宋体" w:cs="宋体"/>
          <w:bCs/>
          <w:color w:val="auto"/>
          <w:kern w:val="0"/>
          <w:szCs w:val="21"/>
          <w:highlight w:val="none"/>
        </w:rPr>
        <w:t xml:space="preserve">3.3.2 </w:t>
      </w:r>
      <w:r>
        <w:rPr>
          <w:rFonts w:hint="eastAsia" w:hAnsi="宋体" w:cs="宋体"/>
          <w:color w:val="auto"/>
          <w:kern w:val="0"/>
          <w:szCs w:val="21"/>
          <w:highlight w:val="none"/>
        </w:rPr>
        <w:t>出现特殊情况需要延长磋商有效期的，采购人</w:t>
      </w:r>
      <w:r>
        <w:rPr>
          <w:rFonts w:hint="eastAsia" w:hAnsi="宋体" w:cs="宋体"/>
          <w:color w:val="auto"/>
          <w:kern w:val="0"/>
          <w:szCs w:val="21"/>
          <w:highlight w:val="none"/>
          <w:lang w:val="en-US" w:eastAsia="zh-CN"/>
        </w:rPr>
        <w:t>通过</w:t>
      </w:r>
      <w:r>
        <w:rPr>
          <w:rFonts w:hint="eastAsia" w:ascii="宋体" w:hAnsi="宋体" w:cs="宋体"/>
          <w:bCs/>
          <w:color w:val="auto"/>
          <w:kern w:val="0"/>
          <w:szCs w:val="21"/>
          <w:highlight w:val="none"/>
          <w:lang w:val="en-US" w:eastAsia="zh-CN"/>
        </w:rPr>
        <w:t>“政采云”平台（网址：https://www.zcygov.cn/)</w:t>
      </w:r>
      <w:r>
        <w:rPr>
          <w:rFonts w:hint="eastAsia" w:hAnsi="宋体" w:cs="宋体"/>
          <w:color w:val="auto"/>
          <w:kern w:val="0"/>
          <w:szCs w:val="21"/>
          <w:highlight w:val="none"/>
        </w:rPr>
        <w:t>通知所有供应商延长磋商有效期。供应商同意延长的，应相应延长其磋商保证金的有效期，但不得要求或被允许修改或撤销其磋商文件；供应商拒绝延长的，其磋商失效，但供应商有权收回其磋商保证金。</w:t>
      </w:r>
    </w:p>
    <w:p w14:paraId="413E4BF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84" w:name="_Toc247277949"/>
      <w:bookmarkStart w:id="85" w:name="_Toc382901562"/>
      <w:bookmarkStart w:id="86" w:name="_Toc209498825"/>
      <w:bookmarkStart w:id="87" w:name="_Toc199321904"/>
      <w:bookmarkStart w:id="88" w:name="_Toc381278398"/>
      <w:bookmarkStart w:id="89" w:name="_Toc260172662"/>
      <w:bookmarkStart w:id="90" w:name="_Toc262675329"/>
      <w:bookmarkStart w:id="91" w:name="_Toc491246654"/>
      <w:r>
        <w:rPr>
          <w:rFonts w:hint="eastAsia" w:ascii="宋体" w:hAnsi="宋体" w:cs="宋体"/>
          <w:b/>
          <w:color w:val="auto"/>
          <w:kern w:val="0"/>
          <w:szCs w:val="21"/>
          <w:highlight w:val="none"/>
        </w:rPr>
        <w:t>3.4 磋商保证金</w:t>
      </w:r>
      <w:bookmarkEnd w:id="84"/>
      <w:bookmarkEnd w:id="85"/>
      <w:bookmarkEnd w:id="86"/>
      <w:bookmarkEnd w:id="87"/>
      <w:bookmarkEnd w:id="88"/>
      <w:bookmarkEnd w:id="89"/>
      <w:bookmarkEnd w:id="90"/>
      <w:bookmarkEnd w:id="91"/>
    </w:p>
    <w:p w14:paraId="3DA5FEFE">
      <w:pPr>
        <w:pStyle w:val="16"/>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 xml:space="preserve">3.4.1 </w:t>
      </w:r>
      <w:r>
        <w:rPr>
          <w:rFonts w:hint="eastAsia" w:hAnsi="宋体" w:cs="宋体"/>
          <w:color w:val="auto"/>
          <w:kern w:val="0"/>
          <w:szCs w:val="21"/>
          <w:highlight w:val="none"/>
        </w:rPr>
        <w:t>供应商在</w:t>
      </w:r>
      <w:r>
        <w:rPr>
          <w:rFonts w:hint="eastAsia" w:hAnsi="宋体" w:cs="宋体"/>
          <w:color w:val="auto"/>
          <w:kern w:val="0"/>
          <w:szCs w:val="21"/>
          <w:highlight w:val="none"/>
          <w:lang w:val="en-US" w:eastAsia="zh-CN"/>
        </w:rPr>
        <w:t>提</w:t>
      </w:r>
      <w:r>
        <w:rPr>
          <w:rFonts w:hint="eastAsia" w:hAnsi="宋体" w:cs="宋体"/>
          <w:color w:val="auto"/>
          <w:kern w:val="0"/>
          <w:szCs w:val="21"/>
          <w:highlight w:val="none"/>
        </w:rPr>
        <w:t>交磋商文件的同时，应按供应商须知前附表规定的金额、担保形式和</w:t>
      </w:r>
      <w:r>
        <w:rPr>
          <w:rFonts w:hint="eastAsia" w:ascii="宋体" w:hAnsi="宋体"/>
          <w:b w:val="0"/>
          <w:bCs w:val="0"/>
          <w:color w:val="auto"/>
          <w:sz w:val="21"/>
          <w:szCs w:val="21"/>
          <w:highlight w:val="none"/>
        </w:rPr>
        <w:t>“</w:t>
      </w:r>
      <w:r>
        <w:rPr>
          <w:rFonts w:hint="eastAsia" w:hAnsi="宋体" w:cs="宋体"/>
          <w:color w:val="auto"/>
          <w:kern w:val="0"/>
          <w:szCs w:val="21"/>
          <w:highlight w:val="none"/>
        </w:rPr>
        <w:t>第六章</w:t>
      </w:r>
      <w:r>
        <w:rPr>
          <w:rFonts w:hint="eastAsia" w:hAnsi="宋体" w:cs="宋体"/>
          <w:color w:val="auto"/>
          <w:kern w:val="0"/>
          <w:szCs w:val="21"/>
          <w:highlight w:val="none"/>
          <w:lang w:val="en-US" w:eastAsia="zh-CN"/>
        </w:rPr>
        <w:t xml:space="preserve"> </w:t>
      </w:r>
      <w:r>
        <w:rPr>
          <w:rFonts w:hint="eastAsia" w:hAnsi="宋体" w:cs="宋体"/>
          <w:color w:val="auto"/>
          <w:kern w:val="0"/>
          <w:szCs w:val="21"/>
          <w:highlight w:val="none"/>
        </w:rPr>
        <w:t>磋商文件格式</w:t>
      </w:r>
      <w:r>
        <w:rPr>
          <w:rFonts w:hint="eastAsia" w:ascii="宋体" w:hAnsi="宋体"/>
          <w:b w:val="0"/>
          <w:bCs w:val="0"/>
          <w:color w:val="auto"/>
          <w:sz w:val="21"/>
          <w:szCs w:val="21"/>
          <w:highlight w:val="none"/>
        </w:rPr>
        <w:t>”</w:t>
      </w:r>
      <w:r>
        <w:rPr>
          <w:rFonts w:hint="eastAsia" w:hAnsi="宋体" w:cs="宋体"/>
          <w:color w:val="auto"/>
          <w:kern w:val="0"/>
          <w:szCs w:val="21"/>
          <w:highlight w:val="none"/>
        </w:rPr>
        <w:t>规定的磋商保证金格式</w:t>
      </w:r>
      <w:r>
        <w:rPr>
          <w:rFonts w:hint="eastAsia" w:hAnsi="宋体" w:cs="宋体"/>
          <w:color w:val="auto"/>
          <w:kern w:val="0"/>
          <w:szCs w:val="21"/>
          <w:highlight w:val="none"/>
          <w:lang w:val="en-US" w:eastAsia="zh-CN"/>
        </w:rPr>
        <w:t>提交</w:t>
      </w:r>
      <w:r>
        <w:rPr>
          <w:rFonts w:hint="eastAsia" w:hAnsi="宋体" w:cs="宋体"/>
          <w:color w:val="auto"/>
          <w:kern w:val="0"/>
          <w:szCs w:val="21"/>
          <w:highlight w:val="none"/>
        </w:rPr>
        <w:t>磋商保证金，并作为其磋商文件的组成部分。</w:t>
      </w:r>
    </w:p>
    <w:p w14:paraId="4B709A99">
      <w:pPr>
        <w:pStyle w:val="16"/>
        <w:keepNext w:val="0"/>
        <w:keepLines w:val="0"/>
        <w:pageBreakBefore w:val="0"/>
        <w:kinsoku/>
        <w:wordWrap/>
        <w:topLinePunct w:val="0"/>
        <w:bidi w:val="0"/>
        <w:snapToGrid/>
        <w:spacing w:line="440" w:lineRule="exact"/>
        <w:ind w:firstLine="420" w:firstLineChars="200"/>
        <w:rPr>
          <w:rFonts w:hAnsi="宋体" w:cs="宋体"/>
          <w:color w:val="auto"/>
          <w:kern w:val="0"/>
          <w:szCs w:val="21"/>
          <w:highlight w:val="none"/>
        </w:rPr>
      </w:pPr>
      <w:r>
        <w:rPr>
          <w:rFonts w:hint="eastAsia" w:hAnsi="宋体" w:cs="宋体"/>
          <w:bCs/>
          <w:color w:val="auto"/>
          <w:kern w:val="0"/>
          <w:szCs w:val="21"/>
          <w:highlight w:val="none"/>
        </w:rPr>
        <w:t>3.4.2</w:t>
      </w:r>
      <w:r>
        <w:rPr>
          <w:rFonts w:hint="eastAsia" w:hAnsi="宋体" w:cs="宋体"/>
          <w:color w:val="auto"/>
          <w:kern w:val="0"/>
          <w:szCs w:val="21"/>
          <w:highlight w:val="none"/>
        </w:rPr>
        <w:t xml:space="preserve"> 供应商不按本章第3.4.1项要求提交磋商保证金的，其</w:t>
      </w:r>
      <w:r>
        <w:rPr>
          <w:rFonts w:hint="eastAsia" w:hAnsi="宋体" w:cs="宋体"/>
          <w:color w:val="auto"/>
          <w:kern w:val="0"/>
          <w:szCs w:val="21"/>
          <w:highlight w:val="none"/>
          <w:lang w:val="en-US" w:eastAsia="zh-CN"/>
        </w:rPr>
        <w:t>响应</w:t>
      </w:r>
      <w:r>
        <w:rPr>
          <w:rFonts w:hint="eastAsia" w:hAnsi="宋体" w:cs="宋体"/>
          <w:color w:val="auto"/>
          <w:kern w:val="0"/>
          <w:szCs w:val="21"/>
          <w:highlight w:val="none"/>
        </w:rPr>
        <w:t>文件</w:t>
      </w:r>
      <w:r>
        <w:rPr>
          <w:rFonts w:hint="eastAsia" w:hAnsi="宋体" w:cs="宋体"/>
          <w:color w:val="auto"/>
          <w:kern w:val="0"/>
          <w:szCs w:val="21"/>
          <w:highlight w:val="none"/>
          <w:lang w:val="en-US" w:eastAsia="zh-CN"/>
        </w:rPr>
        <w:t>无效</w:t>
      </w:r>
      <w:r>
        <w:rPr>
          <w:rFonts w:hint="eastAsia" w:hAnsi="宋体" w:cs="宋体"/>
          <w:color w:val="auto"/>
          <w:kern w:val="0"/>
          <w:szCs w:val="21"/>
          <w:highlight w:val="none"/>
        </w:rPr>
        <w:t>。</w:t>
      </w:r>
    </w:p>
    <w:p w14:paraId="73B5844D">
      <w:pPr>
        <w:pStyle w:val="16"/>
        <w:keepNext w:val="0"/>
        <w:keepLines w:val="0"/>
        <w:pageBreakBefore w:val="0"/>
        <w:kinsoku/>
        <w:wordWrap/>
        <w:topLinePunct w:val="0"/>
        <w:bidi w:val="0"/>
        <w:snapToGrid/>
        <w:spacing w:line="440" w:lineRule="exact"/>
        <w:ind w:firstLine="420" w:firstLineChars="200"/>
        <w:rPr>
          <w:rFonts w:hint="eastAsia" w:hAnsi="宋体" w:eastAsia="宋体" w:cs="宋体"/>
          <w:color w:val="auto"/>
          <w:kern w:val="0"/>
          <w:szCs w:val="21"/>
          <w:highlight w:val="none"/>
          <w:lang w:eastAsia="zh-CN"/>
        </w:rPr>
      </w:pPr>
      <w:r>
        <w:rPr>
          <w:rFonts w:hint="eastAsia" w:hAnsi="宋体" w:cs="宋体"/>
          <w:bCs/>
          <w:color w:val="auto"/>
          <w:kern w:val="0"/>
          <w:szCs w:val="21"/>
          <w:highlight w:val="none"/>
        </w:rPr>
        <w:t>3.4.3</w:t>
      </w:r>
      <w:r>
        <w:rPr>
          <w:rFonts w:hint="eastAsia" w:hAnsi="宋体" w:cs="宋体"/>
          <w:color w:val="auto"/>
          <w:kern w:val="0"/>
          <w:szCs w:val="21"/>
          <w:highlight w:val="none"/>
        </w:rPr>
        <w:t xml:space="preserve"> 采购人或者采购代理机构应当在采购活动结束后及时退还供应商的磋商保证金，但因供应商自身原因导致无法及时退还的除外。未成交供应商的磋商保证金应当在成交通知书发出后5个工作日内退还，成交供应商的磋商保证金应当在采购合同签订后5个工作日内退还。</w:t>
      </w:r>
      <w:r>
        <w:rPr>
          <w:rFonts w:hint="eastAsia" w:hAnsi="宋体" w:cs="宋体"/>
          <w:color w:val="auto"/>
          <w:kern w:val="0"/>
          <w:szCs w:val="21"/>
          <w:highlight w:val="none"/>
          <w:lang w:eastAsia="zh-CN"/>
        </w:rPr>
        <w:t>以银行转账形式提交的磋商保证金，同时退还磋商保证金的银行同期活期存款利息，且退还至供应商的基本账户。</w:t>
      </w:r>
    </w:p>
    <w:p w14:paraId="54147FF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3.4.4 有下列情形之一的，磋商保证金不予退还：</w:t>
      </w:r>
    </w:p>
    <w:p w14:paraId="04138CC1">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1</w:t>
      </w:r>
      <w:r>
        <w:rPr>
          <w:rFonts w:hint="eastAsia" w:ascii="宋体" w:hAnsi="宋体" w:cs="宋体"/>
          <w:bCs/>
          <w:color w:val="auto"/>
          <w:spacing w:val="-4"/>
          <w:kern w:val="0"/>
          <w:szCs w:val="21"/>
          <w:highlight w:val="none"/>
        </w:rPr>
        <w:t>）供应商在提交响应文件截止时间后</w:t>
      </w:r>
      <w:r>
        <w:rPr>
          <w:rFonts w:hint="eastAsia" w:ascii="宋体" w:hAnsi="宋体" w:cs="宋体"/>
          <w:bCs/>
          <w:color w:val="auto"/>
          <w:spacing w:val="-4"/>
          <w:kern w:val="0"/>
          <w:szCs w:val="21"/>
          <w:highlight w:val="none"/>
          <w:lang w:val="en-US" w:eastAsia="zh-CN"/>
        </w:rPr>
        <w:t>撤销</w:t>
      </w:r>
      <w:r>
        <w:rPr>
          <w:rFonts w:hint="eastAsia" w:ascii="宋体" w:hAnsi="宋体" w:cs="宋体"/>
          <w:bCs/>
          <w:color w:val="auto"/>
          <w:spacing w:val="-4"/>
          <w:kern w:val="0"/>
          <w:szCs w:val="21"/>
          <w:highlight w:val="none"/>
        </w:rPr>
        <w:t>响应文件的；</w:t>
      </w:r>
    </w:p>
    <w:p w14:paraId="03AB12B9">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2</w:t>
      </w:r>
      <w:r>
        <w:rPr>
          <w:rFonts w:hint="eastAsia" w:ascii="宋体" w:hAnsi="宋体" w:cs="宋体"/>
          <w:bCs/>
          <w:color w:val="auto"/>
          <w:spacing w:val="-4"/>
          <w:kern w:val="0"/>
          <w:szCs w:val="21"/>
          <w:highlight w:val="none"/>
        </w:rPr>
        <w:t>）供应商在响应文件中提供虚假材料的；</w:t>
      </w:r>
    </w:p>
    <w:p w14:paraId="35B9A59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3</w:t>
      </w:r>
      <w:r>
        <w:rPr>
          <w:rFonts w:hint="eastAsia" w:ascii="宋体" w:hAnsi="宋体" w:cs="宋体"/>
          <w:bCs/>
          <w:color w:val="auto"/>
          <w:spacing w:val="-4"/>
          <w:kern w:val="0"/>
          <w:szCs w:val="21"/>
          <w:highlight w:val="none"/>
        </w:rPr>
        <w:t>）除因不可抗力或磋商文件认可的情形以外，成交供应商不与采购人签订合同的；</w:t>
      </w:r>
    </w:p>
    <w:p w14:paraId="53EEC50B">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bCs/>
          <w:color w:val="auto"/>
          <w:spacing w:val="-4"/>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4</w:t>
      </w:r>
      <w:r>
        <w:rPr>
          <w:rFonts w:hint="eastAsia" w:ascii="宋体" w:hAnsi="宋体" w:eastAsia="宋体" w:cs="宋体"/>
          <w:bCs/>
          <w:color w:val="auto"/>
          <w:spacing w:val="-4"/>
          <w:kern w:val="0"/>
          <w:szCs w:val="21"/>
          <w:highlight w:val="none"/>
        </w:rPr>
        <w:t>）供应商与采购人、其他供应商或者采购代理机构恶意串通的；</w:t>
      </w:r>
    </w:p>
    <w:p w14:paraId="69416333">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bCs/>
          <w:color w:val="auto"/>
          <w:spacing w:val="-4"/>
          <w:kern w:val="0"/>
          <w:szCs w:val="21"/>
          <w:highlight w:val="none"/>
          <w:lang w:eastAsia="zh-CN"/>
        </w:rPr>
      </w:pPr>
      <w:r>
        <w:rPr>
          <w:rFonts w:hint="eastAsia" w:ascii="宋体" w:hAnsi="宋体" w:eastAsia="宋体" w:cs="宋体"/>
          <w:bCs/>
          <w:color w:val="auto"/>
          <w:spacing w:val="-4"/>
          <w:kern w:val="0"/>
          <w:szCs w:val="21"/>
          <w:highlight w:val="none"/>
          <w:lang w:eastAsia="zh-CN"/>
        </w:rPr>
        <w:t>（</w:t>
      </w:r>
      <w:r>
        <w:rPr>
          <w:rFonts w:hint="eastAsia" w:ascii="宋体" w:hAnsi="宋体" w:eastAsia="宋体" w:cs="宋体"/>
          <w:bCs/>
          <w:color w:val="auto"/>
          <w:spacing w:val="-4"/>
          <w:kern w:val="0"/>
          <w:szCs w:val="21"/>
          <w:highlight w:val="none"/>
          <w:lang w:val="en-US" w:eastAsia="zh-CN"/>
        </w:rPr>
        <w:t>5</w:t>
      </w:r>
      <w:r>
        <w:rPr>
          <w:rFonts w:hint="eastAsia" w:ascii="宋体" w:hAnsi="宋体" w:eastAsia="宋体" w:cs="宋体"/>
          <w:bCs/>
          <w:color w:val="auto"/>
          <w:spacing w:val="-4"/>
          <w:kern w:val="0"/>
          <w:szCs w:val="21"/>
          <w:highlight w:val="none"/>
          <w:lang w:eastAsia="zh-CN"/>
        </w:rPr>
        <w:t>）</w:t>
      </w:r>
      <w:r>
        <w:rPr>
          <w:rFonts w:hint="eastAsia" w:ascii="宋体" w:hAnsi="宋体" w:cs="宋体"/>
          <w:bCs/>
          <w:color w:val="auto"/>
          <w:spacing w:val="-4"/>
          <w:kern w:val="0"/>
          <w:szCs w:val="21"/>
          <w:highlight w:val="none"/>
          <w:lang w:eastAsia="zh-CN"/>
        </w:rPr>
        <w:t>成交供应商</w:t>
      </w:r>
      <w:r>
        <w:rPr>
          <w:rFonts w:hint="eastAsia" w:ascii="宋体" w:hAnsi="宋体" w:eastAsia="宋体" w:cs="宋体"/>
          <w:caps w:val="0"/>
          <w:color w:val="auto"/>
          <w:spacing w:val="0"/>
          <w:position w:val="0"/>
          <w:sz w:val="21"/>
          <w:szCs w:val="21"/>
          <w:highlight w:val="none"/>
          <w:lang w:val="en-US" w:eastAsia="zh-CN"/>
        </w:rPr>
        <w:t>未按磋商文件的规定支付招标代理费的；</w:t>
      </w:r>
    </w:p>
    <w:p w14:paraId="1435BF8E">
      <w:pPr>
        <w:keepNext w:val="0"/>
        <w:keepLines w:val="0"/>
        <w:pageBreakBefore w:val="0"/>
        <w:kinsoku/>
        <w:wordWrap/>
        <w:topLinePunct w:val="0"/>
        <w:autoSpaceDE w:val="0"/>
        <w:autoSpaceDN w:val="0"/>
        <w:bidi w:val="0"/>
        <w:adjustRightInd w:val="0"/>
        <w:snapToGrid/>
        <w:spacing w:line="440" w:lineRule="exact"/>
        <w:ind w:firstLine="404" w:firstLineChars="200"/>
        <w:jc w:val="left"/>
        <w:rPr>
          <w:rFonts w:hint="eastAsia" w:ascii="宋体" w:hAnsi="宋体" w:eastAsia="宋体" w:cs="宋体"/>
          <w:color w:val="auto"/>
          <w:kern w:val="0"/>
          <w:szCs w:val="21"/>
          <w:highlight w:val="none"/>
        </w:rPr>
      </w:pPr>
      <w:r>
        <w:rPr>
          <w:rFonts w:hint="eastAsia" w:ascii="宋体" w:hAnsi="宋体" w:cs="宋体"/>
          <w:bCs/>
          <w:color w:val="auto"/>
          <w:spacing w:val="-4"/>
          <w:kern w:val="0"/>
          <w:szCs w:val="21"/>
          <w:highlight w:val="none"/>
        </w:rPr>
        <w:t>（</w:t>
      </w:r>
      <w:r>
        <w:rPr>
          <w:rFonts w:hint="eastAsia" w:ascii="宋体" w:hAnsi="宋体" w:cs="宋体"/>
          <w:bCs/>
          <w:color w:val="auto"/>
          <w:spacing w:val="-4"/>
          <w:kern w:val="0"/>
          <w:szCs w:val="21"/>
          <w:highlight w:val="none"/>
          <w:lang w:val="en-US" w:eastAsia="zh-CN"/>
        </w:rPr>
        <w:t>6</w:t>
      </w:r>
      <w:r>
        <w:rPr>
          <w:rFonts w:hint="eastAsia" w:ascii="宋体" w:hAnsi="宋体" w:cs="宋体"/>
          <w:bCs/>
          <w:color w:val="auto"/>
          <w:spacing w:val="-4"/>
          <w:kern w:val="0"/>
          <w:szCs w:val="21"/>
          <w:highlight w:val="none"/>
        </w:rPr>
        <w:t>）磋商文件规定的其他情形。</w:t>
      </w:r>
    </w:p>
    <w:p w14:paraId="3CFAA6A4">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92" w:name="_Toc491246655"/>
      <w:bookmarkStart w:id="93" w:name="_Toc247277950"/>
      <w:bookmarkStart w:id="94" w:name="_Toc262675330"/>
      <w:bookmarkStart w:id="95" w:name="_Toc382901563"/>
      <w:bookmarkStart w:id="96" w:name="_Toc381278399"/>
      <w:bookmarkStart w:id="97" w:name="_Toc260172663"/>
      <w:bookmarkStart w:id="98" w:name="_Toc209498826"/>
      <w:bookmarkStart w:id="99" w:name="_Toc199321905"/>
      <w:r>
        <w:rPr>
          <w:rFonts w:hint="eastAsia" w:ascii="宋体" w:hAnsi="宋体" w:cs="宋体"/>
          <w:b/>
          <w:color w:val="auto"/>
          <w:kern w:val="0"/>
          <w:szCs w:val="21"/>
          <w:highlight w:val="none"/>
        </w:rPr>
        <w:t>3.5 资格审查资料</w:t>
      </w:r>
      <w:bookmarkEnd w:id="92"/>
      <w:bookmarkEnd w:id="93"/>
      <w:bookmarkEnd w:id="94"/>
      <w:bookmarkEnd w:id="95"/>
      <w:bookmarkEnd w:id="96"/>
      <w:bookmarkEnd w:id="97"/>
      <w:bookmarkEnd w:id="98"/>
      <w:bookmarkEnd w:id="99"/>
    </w:p>
    <w:p w14:paraId="35DB927C">
      <w:pPr>
        <w:pStyle w:val="13"/>
        <w:keepNext w:val="0"/>
        <w:keepLines w:val="0"/>
        <w:pageBreakBefore w:val="0"/>
        <w:kinsoku/>
        <w:wordWrap/>
        <w:topLinePunct w:val="0"/>
        <w:bidi w:val="0"/>
        <w:snapToGrid/>
        <w:spacing w:line="440" w:lineRule="exact"/>
        <w:ind w:left="0" w:leftChars="0"/>
        <w:rPr>
          <w:rFonts w:ascii="宋体" w:hAnsi="宋体" w:cs="宋体"/>
          <w:color w:val="auto"/>
          <w:kern w:val="0"/>
          <w:szCs w:val="21"/>
          <w:highlight w:val="none"/>
        </w:rPr>
      </w:pPr>
      <w:r>
        <w:rPr>
          <w:rFonts w:hint="eastAsia" w:ascii="宋体" w:hAnsi="宋体" w:cs="宋体"/>
          <w:color w:val="auto"/>
          <w:kern w:val="0"/>
          <w:szCs w:val="21"/>
          <w:highlight w:val="none"/>
        </w:rPr>
        <w:t>3.5.1详见供应商须知前附表第1.4.1条供应商资格要求及招标文件中其他资格要求。</w:t>
      </w:r>
    </w:p>
    <w:p w14:paraId="4FFBB56C">
      <w:pPr>
        <w:pStyle w:val="13"/>
        <w:keepNext w:val="0"/>
        <w:keepLines w:val="0"/>
        <w:pageBreakBefore w:val="0"/>
        <w:kinsoku/>
        <w:wordWrap/>
        <w:topLinePunct w:val="0"/>
        <w:bidi w:val="0"/>
        <w:snapToGrid/>
        <w:spacing w:line="440" w:lineRule="exact"/>
        <w:ind w:left="0" w:leftChars="0"/>
        <w:rPr>
          <w:rFonts w:ascii="宋体" w:hAnsi="宋体" w:cs="宋体"/>
          <w:color w:val="auto"/>
          <w:kern w:val="0"/>
          <w:szCs w:val="21"/>
          <w:highlight w:val="none"/>
        </w:rPr>
      </w:pPr>
      <w:r>
        <w:rPr>
          <w:rFonts w:hint="eastAsia" w:ascii="宋体" w:hAnsi="宋体" w:cs="宋体"/>
          <w:color w:val="auto"/>
          <w:kern w:val="0"/>
          <w:szCs w:val="21"/>
          <w:highlight w:val="none"/>
        </w:rPr>
        <w:t>3.5.2资格审查方式：见供应商须知前附表。</w:t>
      </w:r>
    </w:p>
    <w:p w14:paraId="6A31B10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00" w:name="_Toc199321908"/>
      <w:bookmarkStart w:id="101" w:name="_Toc247277952"/>
      <w:bookmarkStart w:id="102" w:name="_Toc382901565"/>
      <w:bookmarkStart w:id="103" w:name="_Toc262675331"/>
      <w:bookmarkStart w:id="104" w:name="_Toc491246657"/>
      <w:bookmarkStart w:id="105" w:name="_Toc260172665"/>
      <w:bookmarkStart w:id="106" w:name="_Toc381278401"/>
      <w:bookmarkStart w:id="107" w:name="_Toc209498828"/>
      <w:r>
        <w:rPr>
          <w:rFonts w:hint="eastAsia" w:ascii="宋体" w:hAnsi="宋体" w:cs="宋体"/>
          <w:b/>
          <w:color w:val="auto"/>
          <w:kern w:val="0"/>
          <w:szCs w:val="21"/>
          <w:highlight w:val="none"/>
        </w:rPr>
        <w:t xml:space="preserve">3.6 </w:t>
      </w:r>
      <w:r>
        <w:rPr>
          <w:rFonts w:hint="eastAsia" w:ascii="宋体" w:hAnsi="宋体" w:cs="宋体"/>
          <w:b/>
          <w:color w:val="auto"/>
          <w:szCs w:val="21"/>
          <w:highlight w:val="none"/>
        </w:rPr>
        <w:t>磋商响应文件</w:t>
      </w:r>
      <w:r>
        <w:rPr>
          <w:rFonts w:hint="eastAsia" w:ascii="宋体" w:hAnsi="宋体" w:cs="宋体"/>
          <w:b/>
          <w:color w:val="auto"/>
          <w:kern w:val="0"/>
          <w:szCs w:val="21"/>
          <w:highlight w:val="none"/>
        </w:rPr>
        <w:t>的编制</w:t>
      </w:r>
      <w:bookmarkEnd w:id="100"/>
      <w:bookmarkEnd w:id="101"/>
      <w:bookmarkEnd w:id="102"/>
      <w:bookmarkEnd w:id="103"/>
      <w:bookmarkEnd w:id="104"/>
      <w:bookmarkEnd w:id="105"/>
      <w:bookmarkEnd w:id="106"/>
      <w:bookmarkEnd w:id="107"/>
    </w:p>
    <w:p w14:paraId="69E5E1DC">
      <w:pPr>
        <w:pStyle w:val="16"/>
        <w:keepNext w:val="0"/>
        <w:keepLines w:val="0"/>
        <w:pageBreakBefore w:val="0"/>
        <w:kinsoku/>
        <w:wordWrap/>
        <w:topLinePunct w:val="0"/>
        <w:bidi w:val="0"/>
        <w:snapToGrid/>
        <w:spacing w:line="440" w:lineRule="exact"/>
        <w:ind w:firstLine="420" w:firstLineChars="200"/>
        <w:outlineLvl w:val="0"/>
        <w:rPr>
          <w:rFonts w:hint="eastAsia" w:hAnsi="宋体" w:cs="宋体"/>
          <w:color w:val="auto"/>
          <w:sz w:val="21"/>
          <w:szCs w:val="21"/>
          <w:lang w:eastAsia="zh-CN"/>
        </w:rPr>
      </w:pPr>
      <w:r>
        <w:rPr>
          <w:rFonts w:hint="eastAsia" w:hAnsi="宋体" w:cs="宋体"/>
          <w:color w:val="auto"/>
          <w:szCs w:val="21"/>
          <w:highlight w:val="none"/>
        </w:rPr>
        <w:t>3.6.1</w:t>
      </w:r>
      <w:bookmarkStart w:id="108" w:name="_Toc260172666"/>
      <w:bookmarkStart w:id="109" w:name="_Toc247277953"/>
      <w:bookmarkStart w:id="110" w:name="_Toc199321914"/>
      <w:bookmarkStart w:id="111" w:name="_Toc262675332"/>
      <w:bookmarkStart w:id="112" w:name="_Toc382901566"/>
      <w:bookmarkStart w:id="113" w:name="_Toc209498829"/>
      <w:bookmarkStart w:id="114" w:name="_Toc491246658"/>
      <w:r>
        <w:rPr>
          <w:rFonts w:hint="eastAsia" w:hAnsi="宋体" w:cs="宋体"/>
          <w:color w:val="auto"/>
          <w:sz w:val="21"/>
          <w:szCs w:val="21"/>
          <w:lang w:val="en-US" w:eastAsia="zh-CN"/>
        </w:rPr>
        <w:t>供应商登录</w:t>
      </w:r>
      <w:r>
        <w:rPr>
          <w:rFonts w:hint="eastAsia" w:ascii="宋体" w:hAnsi="宋体" w:cs="宋体"/>
          <w:color w:val="auto"/>
          <w:sz w:val="21"/>
          <w:szCs w:val="21"/>
        </w:rPr>
        <w:t>“政采云”平台（</w:t>
      </w:r>
      <w:r>
        <w:rPr>
          <w:rFonts w:hint="eastAsia" w:hAnsi="宋体" w:cs="宋体"/>
          <w:color w:val="auto"/>
          <w:sz w:val="21"/>
          <w:szCs w:val="21"/>
          <w:lang w:val="en-US" w:eastAsia="zh-CN"/>
        </w:rPr>
        <w:t>网址：</w:t>
      </w:r>
      <w:r>
        <w:rPr>
          <w:rFonts w:hint="eastAsia" w:ascii="宋体" w:hAnsi="宋体" w:cs="宋体"/>
          <w:color w:val="auto"/>
          <w:sz w:val="21"/>
          <w:szCs w:val="21"/>
        </w:rPr>
        <w:t>http</w:t>
      </w:r>
      <w:r>
        <w:rPr>
          <w:rFonts w:hint="eastAsia" w:hAnsi="宋体" w:cs="宋体"/>
          <w:color w:val="auto"/>
          <w:sz w:val="21"/>
          <w:szCs w:val="21"/>
          <w:lang w:val="en-US" w:eastAsia="zh-CN"/>
        </w:rPr>
        <w:t>:</w:t>
      </w:r>
      <w:r>
        <w:rPr>
          <w:rFonts w:hint="eastAsia" w:ascii="宋体" w:hAnsi="宋体" w:cs="宋体"/>
          <w:color w:val="auto"/>
          <w:sz w:val="21"/>
          <w:szCs w:val="21"/>
        </w:rPr>
        <w:t>//www.zcygov.cn）中下载的政采云电子投标客户端制作，并进行电子签章及加密后上传至政采云平台</w:t>
      </w:r>
      <w:r>
        <w:rPr>
          <w:rFonts w:hint="eastAsia" w:hAnsi="宋体" w:cs="宋体"/>
          <w:color w:val="auto"/>
          <w:szCs w:val="21"/>
          <w:highlight w:val="none"/>
        </w:rPr>
        <w:t>。</w:t>
      </w:r>
      <w:r>
        <w:rPr>
          <w:rFonts w:hint="eastAsia" w:ascii="宋体" w:hAnsi="宋体" w:cs="宋体"/>
          <w:color w:val="auto"/>
          <w:sz w:val="21"/>
          <w:szCs w:val="21"/>
        </w:rPr>
        <w:t>如</w:t>
      </w:r>
      <w:r>
        <w:rPr>
          <w:rFonts w:hint="eastAsia" w:hAnsi="宋体" w:cs="宋体"/>
          <w:color w:val="auto"/>
          <w:sz w:val="21"/>
          <w:szCs w:val="21"/>
          <w:lang w:eastAsia="zh-CN"/>
        </w:rPr>
        <w:t>供应商</w:t>
      </w:r>
      <w:r>
        <w:rPr>
          <w:rFonts w:hint="eastAsia" w:ascii="宋体" w:hAnsi="宋体" w:cs="宋体"/>
          <w:color w:val="auto"/>
          <w:sz w:val="21"/>
          <w:szCs w:val="21"/>
        </w:rPr>
        <w:t>提交的电子标书不符合要求或开标时无法读取导入或解密，其投标（响应）文件将不予受理</w:t>
      </w:r>
      <w:r>
        <w:rPr>
          <w:rFonts w:hint="eastAsia" w:hAnsi="宋体" w:cs="宋体"/>
          <w:color w:val="auto"/>
          <w:sz w:val="21"/>
          <w:szCs w:val="21"/>
          <w:lang w:eastAsia="zh-CN"/>
        </w:rPr>
        <w:t>。</w:t>
      </w:r>
    </w:p>
    <w:p w14:paraId="0A90EDE8">
      <w:pPr>
        <w:pStyle w:val="16"/>
        <w:keepNext w:val="0"/>
        <w:keepLines w:val="0"/>
        <w:pageBreakBefore w:val="0"/>
        <w:kinsoku/>
        <w:wordWrap/>
        <w:topLinePunct w:val="0"/>
        <w:bidi w:val="0"/>
        <w:snapToGrid/>
        <w:spacing w:line="440" w:lineRule="exact"/>
        <w:ind w:firstLine="420" w:firstLineChars="200"/>
        <w:outlineLvl w:val="0"/>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3.6.2本项目为全流程电子化项目，通过“政采云”平台（</w:t>
      </w:r>
      <w:r>
        <w:rPr>
          <w:rFonts w:hint="eastAsia" w:hAnsi="宋体" w:cs="宋体"/>
          <w:color w:val="auto"/>
          <w:sz w:val="21"/>
          <w:szCs w:val="21"/>
          <w:lang w:val="en-US" w:eastAsia="zh-CN"/>
        </w:rPr>
        <w:t>网址：</w:t>
      </w:r>
      <w:r>
        <w:rPr>
          <w:rFonts w:hint="eastAsia" w:ascii="宋体" w:hAnsi="宋体" w:eastAsia="宋体" w:cs="宋体"/>
          <w:color w:val="auto"/>
          <w:sz w:val="21"/>
          <w:szCs w:val="21"/>
          <w:lang w:val="en-US" w:eastAsia="zh-CN"/>
        </w:rPr>
        <w:t>http://www.zcygov.cn）实行在线电子响应，供应商应先安装“政采云电子交易客户端”（请自行前往“政采云”平台进行下载），并按照本项目磋商文件和“政采云”平台的要求编制、加密后在</w:t>
      </w:r>
      <w:r>
        <w:rPr>
          <w:rFonts w:hint="eastAsia" w:hAnsi="宋体" w:cs="宋体"/>
          <w:color w:val="auto"/>
          <w:sz w:val="21"/>
          <w:szCs w:val="21"/>
          <w:lang w:val="en-US" w:eastAsia="zh-CN"/>
        </w:rPr>
        <w:t>响应文件提交</w:t>
      </w:r>
      <w:r>
        <w:rPr>
          <w:rFonts w:hint="eastAsia" w:ascii="宋体" w:hAnsi="宋体" w:eastAsia="宋体" w:cs="宋体"/>
          <w:color w:val="auto"/>
          <w:sz w:val="21"/>
          <w:szCs w:val="21"/>
          <w:lang w:val="en-US" w:eastAsia="zh-CN"/>
        </w:rPr>
        <w:t>截止时间前通过网络上传至“政采云”平台，供应商在“政采云”平台提交电子版响应文件时，请填写参加远程采购活动经办人联系方式。</w:t>
      </w:r>
    </w:p>
    <w:p w14:paraId="6BAAF7DC">
      <w:pPr>
        <w:pStyle w:val="16"/>
        <w:keepNext w:val="0"/>
        <w:keepLines w:val="0"/>
        <w:pageBreakBefore w:val="0"/>
        <w:kinsoku/>
        <w:wordWrap/>
        <w:topLinePunct w:val="0"/>
        <w:bidi w:val="0"/>
        <w:snapToGrid/>
        <w:spacing w:line="440" w:lineRule="exact"/>
        <w:outlineLvl w:val="0"/>
        <w:rPr>
          <w:rFonts w:hAnsi="宋体" w:cs="宋体"/>
          <w:b/>
          <w:color w:val="auto"/>
          <w:kern w:val="0"/>
          <w:szCs w:val="21"/>
          <w:highlight w:val="none"/>
        </w:rPr>
      </w:pPr>
      <w:r>
        <w:rPr>
          <w:rFonts w:hint="eastAsia" w:hAnsi="宋体" w:cs="宋体"/>
          <w:b/>
          <w:color w:val="auto"/>
          <w:kern w:val="0"/>
          <w:szCs w:val="21"/>
          <w:highlight w:val="none"/>
        </w:rPr>
        <w:t>4</w:t>
      </w:r>
      <w:bookmarkEnd w:id="108"/>
      <w:bookmarkEnd w:id="109"/>
      <w:bookmarkEnd w:id="110"/>
      <w:bookmarkEnd w:id="111"/>
      <w:bookmarkEnd w:id="112"/>
      <w:bookmarkEnd w:id="113"/>
      <w:bookmarkEnd w:id="114"/>
      <w:r>
        <w:rPr>
          <w:rFonts w:hint="eastAsia" w:ascii="宋体" w:hAnsi="宋体" w:cs="宋体"/>
          <w:b/>
          <w:color w:val="auto"/>
          <w:kern w:val="0"/>
          <w:szCs w:val="21"/>
          <w:highlight w:val="none"/>
        </w:rPr>
        <w:t xml:space="preserve">. </w:t>
      </w:r>
      <w:r>
        <w:rPr>
          <w:rFonts w:hint="eastAsia" w:hAnsi="宋体" w:cs="宋体"/>
          <w:b/>
          <w:color w:val="auto"/>
          <w:szCs w:val="21"/>
          <w:highlight w:val="none"/>
        </w:rPr>
        <w:t>磋商响应文件</w:t>
      </w:r>
      <w:r>
        <w:rPr>
          <w:rFonts w:hint="eastAsia" w:hAnsi="宋体" w:cs="宋体"/>
          <w:b/>
          <w:color w:val="auto"/>
          <w:szCs w:val="21"/>
          <w:highlight w:val="none"/>
          <w:lang w:val="en-US" w:eastAsia="zh-CN"/>
        </w:rPr>
        <w:t>加密及提交</w:t>
      </w:r>
    </w:p>
    <w:p w14:paraId="2359CDDB">
      <w:pPr>
        <w:keepNext w:val="0"/>
        <w:keepLines w:val="0"/>
        <w:pageBreakBefore w:val="0"/>
        <w:kinsoku/>
        <w:wordWrap/>
        <w:topLinePunct w:val="0"/>
        <w:bidi w:val="0"/>
        <w:snapToGrid/>
        <w:spacing w:line="440" w:lineRule="exact"/>
        <w:rPr>
          <w:rFonts w:ascii="宋体" w:hAnsi="宋体" w:cs="宋体"/>
          <w:bCs/>
          <w:color w:val="auto"/>
          <w:szCs w:val="21"/>
          <w:highlight w:val="none"/>
        </w:rPr>
      </w:pPr>
      <w:r>
        <w:rPr>
          <w:rFonts w:hint="eastAsia" w:ascii="宋体" w:hAnsi="宋体" w:cs="宋体"/>
          <w:b/>
          <w:color w:val="auto"/>
          <w:szCs w:val="21"/>
          <w:highlight w:val="none"/>
        </w:rPr>
        <w:t>4.1</w:t>
      </w:r>
      <w:r>
        <w:rPr>
          <w:rFonts w:hint="eastAsia" w:ascii="宋体" w:hAnsi="宋体" w:cs="宋体"/>
          <w:bCs/>
          <w:color w:val="auto"/>
          <w:szCs w:val="21"/>
          <w:highlight w:val="none"/>
        </w:rPr>
        <w:t>磋商响应文件的</w:t>
      </w:r>
      <w:r>
        <w:rPr>
          <w:rFonts w:hint="eastAsia" w:ascii="宋体" w:hAnsi="宋体" w:cs="宋体"/>
          <w:bCs/>
          <w:color w:val="auto"/>
          <w:szCs w:val="21"/>
          <w:highlight w:val="none"/>
          <w:lang w:val="en-US" w:eastAsia="zh-CN"/>
        </w:rPr>
        <w:t>加密和签章</w:t>
      </w:r>
      <w:r>
        <w:rPr>
          <w:rFonts w:hint="eastAsia" w:ascii="宋体" w:hAnsi="宋体" w:cs="宋体"/>
          <w:bCs/>
          <w:color w:val="auto"/>
          <w:szCs w:val="21"/>
          <w:highlight w:val="none"/>
        </w:rPr>
        <w:t>：</w:t>
      </w:r>
    </w:p>
    <w:p w14:paraId="17A3268E">
      <w:pPr>
        <w:keepNext w:val="0"/>
        <w:keepLines w:val="0"/>
        <w:pageBreakBefore w:val="0"/>
        <w:kinsoku/>
        <w:wordWrap/>
        <w:topLinePunct w:val="0"/>
        <w:bidi w:val="0"/>
        <w:snapToGrid/>
        <w:spacing w:line="4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4.1.1</w:t>
      </w:r>
      <w:r>
        <w:rPr>
          <w:rFonts w:hint="eastAsia" w:ascii="宋体" w:hAnsi="宋体" w:cs="宋体"/>
          <w:color w:val="auto"/>
          <w:szCs w:val="21"/>
          <w:highlight w:val="none"/>
          <w:lang w:eastAsia="zh-CN"/>
        </w:rPr>
        <w:t>（1）供应商进行电子交易应安装客户端软件—“政采云电子交易客户端”，并按照磋商文件和电子交易平台的要求编制并加密响应文件。供应商未按规定加密的响应文件，电子交易平台将拒收并提示；（2）使用“政采云电子交易客户端”需要提前申领 CA 数字证书，申领流程见该项目采购公告；（3）为确保网上操作合法、有效和安全，供应商应当在响应文件提交截止时间前完成在“政府采购云 平台”的身份认证，确保在电子交易过程中能够对相关数据电文进行加密和使用电子签名</w:t>
      </w:r>
      <w:r>
        <w:rPr>
          <w:rFonts w:hint="eastAsia" w:ascii="宋体" w:hAnsi="宋体" w:cs="宋体"/>
          <w:color w:val="auto"/>
          <w:szCs w:val="21"/>
          <w:highlight w:val="none"/>
        </w:rPr>
        <w:t>。</w:t>
      </w:r>
    </w:p>
    <w:p w14:paraId="7081F0AC">
      <w:pPr>
        <w:keepNext w:val="0"/>
        <w:keepLines w:val="0"/>
        <w:pageBreakBefore w:val="0"/>
        <w:kinsoku/>
        <w:wordWrap/>
        <w:topLinePunct w:val="0"/>
        <w:bidi w:val="0"/>
        <w:snapToGrid/>
        <w:spacing w:line="440" w:lineRule="exact"/>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4.1.2</w:t>
      </w:r>
      <w:r>
        <w:rPr>
          <w:rFonts w:hint="eastAsia" w:asciiTheme="minorEastAsia" w:hAnsiTheme="minorEastAsia" w:eastAsiaTheme="minorEastAsia" w:cstheme="minorEastAsia"/>
          <w:color w:val="auto"/>
          <w:sz w:val="21"/>
          <w:szCs w:val="21"/>
          <w:highlight w:val="none"/>
          <w:lang w:eastAsia="zh-CN"/>
        </w:rPr>
        <w:t>响应文件签字或盖章要求</w:t>
      </w:r>
      <w:r>
        <w:rPr>
          <w:rFonts w:hint="eastAsia" w:ascii="宋体" w:hAnsi="宋体" w:cs="宋体"/>
          <w:color w:val="auto"/>
          <w:szCs w:val="21"/>
          <w:highlight w:val="none"/>
        </w:rPr>
        <w:t>：详见供应商须知前附表</w:t>
      </w:r>
      <w:r>
        <w:rPr>
          <w:rFonts w:hint="eastAsia" w:ascii="宋体" w:hAnsi="宋体" w:cs="宋体"/>
          <w:color w:val="auto"/>
          <w:szCs w:val="21"/>
          <w:highlight w:val="none"/>
          <w:lang w:eastAsia="zh-CN"/>
        </w:rPr>
        <w:t>。</w:t>
      </w:r>
    </w:p>
    <w:p w14:paraId="284A3602">
      <w:pPr>
        <w:keepNext w:val="0"/>
        <w:keepLines w:val="0"/>
        <w:pageBreakBefore w:val="0"/>
        <w:kinsoku/>
        <w:wordWrap/>
        <w:topLinePunct w:val="0"/>
        <w:bidi w:val="0"/>
        <w:snapToGrid/>
        <w:spacing w:line="440" w:lineRule="exact"/>
        <w:rPr>
          <w:rFonts w:ascii="宋体" w:hAnsi="宋体" w:cs="宋体"/>
          <w:b/>
          <w:color w:val="auto"/>
          <w:szCs w:val="21"/>
          <w:highlight w:val="none"/>
        </w:rPr>
      </w:pPr>
      <w:r>
        <w:rPr>
          <w:rFonts w:hint="eastAsia" w:ascii="宋体" w:hAnsi="宋体" w:cs="宋体"/>
          <w:b/>
          <w:color w:val="auto"/>
          <w:szCs w:val="21"/>
          <w:highlight w:val="none"/>
        </w:rPr>
        <w:t>4.2磋商响应文件的</w:t>
      </w:r>
      <w:r>
        <w:rPr>
          <w:rFonts w:hint="eastAsia" w:ascii="宋体" w:hAnsi="宋体" w:cs="宋体"/>
          <w:b/>
          <w:color w:val="auto"/>
          <w:szCs w:val="21"/>
          <w:highlight w:val="none"/>
          <w:lang w:val="en-US" w:eastAsia="zh-CN"/>
        </w:rPr>
        <w:t>提</w:t>
      </w:r>
      <w:r>
        <w:rPr>
          <w:rFonts w:hint="eastAsia" w:ascii="宋体" w:hAnsi="宋体" w:cs="宋体"/>
          <w:b/>
          <w:color w:val="auto"/>
          <w:szCs w:val="21"/>
          <w:highlight w:val="none"/>
        </w:rPr>
        <w:t>交</w:t>
      </w:r>
    </w:p>
    <w:p w14:paraId="6D67DAD3">
      <w:pPr>
        <w:keepNext w:val="0"/>
        <w:keepLines w:val="0"/>
        <w:pageBreakBefore w:val="0"/>
        <w:kinsoku/>
        <w:wordWrap/>
        <w:topLinePunct w:val="0"/>
        <w:bidi w:val="0"/>
        <w:snapToGrid/>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4.2.1</w:t>
      </w:r>
      <w:r>
        <w:rPr>
          <w:rFonts w:hint="eastAsia" w:ascii="宋体" w:hAnsi="宋体" w:cs="宋体"/>
          <w:color w:val="auto"/>
          <w:szCs w:val="21"/>
          <w:highlight w:val="none"/>
          <w:lang w:eastAsia="zh-CN"/>
        </w:rPr>
        <w:t>竞争性磋商响应文件的提交</w:t>
      </w:r>
      <w:r>
        <w:rPr>
          <w:rFonts w:hint="eastAsia" w:ascii="宋体" w:hAnsi="宋体" w:cs="宋体"/>
          <w:color w:val="auto"/>
          <w:szCs w:val="21"/>
          <w:highlight w:val="none"/>
          <w:lang w:val="en-US" w:eastAsia="zh-CN"/>
        </w:rPr>
        <w:t>方式：登录“政采云”平台（网址：http://www.zcygov.cn）提交电子响应文件。注：响应文件全部采用电子文档，供应商应安装客户端软件—“政采云电子交易客户端”，并按照竞争性磋商文件和政采云电子交易平台的要求编制，编制后应进行电子签章、签名及加密</w:t>
      </w:r>
      <w:r>
        <w:rPr>
          <w:rFonts w:hint="eastAsia" w:ascii="宋体" w:hAnsi="宋体" w:cs="宋体"/>
          <w:color w:val="auto"/>
          <w:szCs w:val="21"/>
          <w:highlight w:val="none"/>
        </w:rPr>
        <w:t>。</w:t>
      </w:r>
    </w:p>
    <w:p w14:paraId="7C045749">
      <w:pPr>
        <w:keepNext w:val="0"/>
        <w:keepLines w:val="0"/>
        <w:pageBreakBefore w:val="0"/>
        <w:kinsoku/>
        <w:wordWrap/>
        <w:topLinePunct w:val="0"/>
        <w:bidi w:val="0"/>
        <w:snapToGrid/>
        <w:spacing w:line="440" w:lineRule="exact"/>
        <w:ind w:firstLine="420"/>
        <w:rPr>
          <w:rFonts w:hint="eastAsia" w:ascii="宋体" w:hAnsi="宋体" w:cs="宋体"/>
          <w:color w:val="auto"/>
          <w:szCs w:val="21"/>
          <w:highlight w:val="none"/>
        </w:rPr>
      </w:pPr>
      <w:r>
        <w:rPr>
          <w:rFonts w:hint="eastAsia" w:ascii="宋体" w:hAnsi="宋体" w:cs="宋体"/>
          <w:color w:val="auto"/>
          <w:szCs w:val="21"/>
          <w:highlight w:val="none"/>
        </w:rPr>
        <w:t>4.2.2</w:t>
      </w:r>
      <w:r>
        <w:rPr>
          <w:rFonts w:hint="eastAsia" w:asciiTheme="minorEastAsia" w:hAnsiTheme="minorEastAsia" w:eastAsiaTheme="minorEastAsia" w:cstheme="minorEastAsia"/>
          <w:color w:val="auto"/>
          <w:sz w:val="21"/>
          <w:szCs w:val="21"/>
          <w:highlight w:val="none"/>
          <w:lang w:eastAsia="zh-CN"/>
        </w:rPr>
        <w:t>响应文件</w:t>
      </w:r>
      <w:r>
        <w:rPr>
          <w:rFonts w:hint="eastAsia" w:asciiTheme="minorEastAsia" w:hAnsiTheme="minorEastAsia" w:eastAsiaTheme="minorEastAsia" w:cstheme="minorEastAsia"/>
          <w:color w:val="auto"/>
          <w:sz w:val="21"/>
          <w:szCs w:val="21"/>
          <w:highlight w:val="none"/>
          <w:lang w:val="en-US" w:eastAsia="zh-CN"/>
        </w:rPr>
        <w:t>提交</w:t>
      </w:r>
      <w:r>
        <w:rPr>
          <w:rFonts w:hint="eastAsia" w:asciiTheme="minorEastAsia" w:hAnsiTheme="minorEastAsia" w:eastAsiaTheme="minorEastAsia" w:cstheme="minorEastAsia"/>
          <w:color w:val="auto"/>
          <w:sz w:val="21"/>
          <w:szCs w:val="21"/>
          <w:highlight w:val="none"/>
          <w:lang w:eastAsia="zh-CN"/>
        </w:rPr>
        <w:t>截止时间</w:t>
      </w:r>
      <w:r>
        <w:rPr>
          <w:rFonts w:hint="eastAsia" w:asciiTheme="minorEastAsia" w:hAnsiTheme="minorEastAsia" w:eastAsiaTheme="minorEastAsia" w:cstheme="minorEastAsia"/>
          <w:color w:val="auto"/>
          <w:sz w:val="21"/>
          <w:szCs w:val="21"/>
          <w:highlight w:val="none"/>
          <w:lang w:val="en-US" w:eastAsia="zh-CN"/>
        </w:rPr>
        <w:t>及地点</w:t>
      </w:r>
      <w:r>
        <w:rPr>
          <w:rFonts w:hint="eastAsia" w:asciiTheme="minorEastAsia" w:hAnsiTheme="minorEastAsia" w:eastAsiaTheme="minorEastAsia" w:cstheme="minorEastAsia"/>
          <w:color w:val="auto"/>
          <w:sz w:val="21"/>
          <w:szCs w:val="21"/>
          <w:highlight w:val="none"/>
          <w:lang w:eastAsia="zh-CN"/>
        </w:rPr>
        <w:t>：</w:t>
      </w:r>
      <w:r>
        <w:rPr>
          <w:rFonts w:hint="eastAsia" w:ascii="宋体" w:hAnsi="宋体" w:cs="宋体"/>
          <w:color w:val="auto"/>
          <w:szCs w:val="21"/>
          <w:highlight w:val="none"/>
        </w:rPr>
        <w:t>详见供应商须知前附表。</w:t>
      </w:r>
    </w:p>
    <w:p w14:paraId="5FBCBD21">
      <w:pPr>
        <w:keepNext w:val="0"/>
        <w:keepLines w:val="0"/>
        <w:pageBreakBefore w:val="0"/>
        <w:kinsoku/>
        <w:wordWrap/>
        <w:topLinePunct w:val="0"/>
        <w:bidi w:val="0"/>
        <w:snapToGrid/>
        <w:spacing w:line="440" w:lineRule="exact"/>
        <w:ind w:firstLine="420"/>
        <w:rPr>
          <w:rFonts w:hint="eastAsia" w:ascii="宋体" w:hAnsi="宋体" w:cs="宋体"/>
          <w:color w:val="auto"/>
          <w:szCs w:val="21"/>
          <w:highlight w:val="none"/>
        </w:rPr>
      </w:pPr>
      <w:r>
        <w:rPr>
          <w:rFonts w:hint="eastAsia" w:ascii="宋体" w:hAnsi="宋体" w:cs="宋体"/>
          <w:b/>
          <w:bCs/>
          <w:color w:val="auto"/>
          <w:szCs w:val="21"/>
          <w:highlight w:val="none"/>
          <w:lang w:val="en-US" w:eastAsia="zh-CN"/>
        </w:rPr>
        <w:t>注：</w:t>
      </w:r>
      <w:r>
        <w:rPr>
          <w:rFonts w:hint="eastAsia" w:ascii="宋体" w:hAnsi="宋体" w:cs="宋体"/>
          <w:b/>
          <w:bCs/>
          <w:color w:val="auto"/>
          <w:kern w:val="0"/>
          <w:szCs w:val="21"/>
          <w:highlight w:val="none"/>
        </w:rPr>
        <w:t>响应文件提交截止时间前未完成响应文件上传的，视为撤回响应文件</w:t>
      </w:r>
      <w:r>
        <w:rPr>
          <w:rFonts w:hint="eastAsia" w:ascii="宋体" w:hAnsi="宋体" w:cs="宋体"/>
          <w:b/>
          <w:bCs/>
          <w:color w:val="auto"/>
          <w:kern w:val="0"/>
          <w:szCs w:val="21"/>
          <w:highlight w:val="none"/>
          <w:lang w:eastAsia="zh-CN"/>
        </w:rPr>
        <w:t>。</w:t>
      </w:r>
    </w:p>
    <w:p w14:paraId="2002B0E4">
      <w:pPr>
        <w:keepNext w:val="0"/>
        <w:keepLines w:val="0"/>
        <w:pageBreakBefore w:val="0"/>
        <w:kinsoku/>
        <w:wordWrap/>
        <w:topLinePunct w:val="0"/>
        <w:bidi w:val="0"/>
        <w:snapToGrid/>
        <w:spacing w:line="440" w:lineRule="exact"/>
        <w:ind w:firstLine="420"/>
        <w:rPr>
          <w:rFonts w:hint="eastAsia" w:ascii="宋体" w:hAnsi="宋体" w:cs="宋体"/>
          <w:color w:val="auto"/>
          <w:szCs w:val="21"/>
          <w:highlight w:val="none"/>
          <w:lang w:eastAsia="zh-CN"/>
        </w:rPr>
      </w:pPr>
      <w:r>
        <w:rPr>
          <w:rFonts w:hint="eastAsia" w:ascii="宋体" w:hAnsi="宋体" w:eastAsia="宋体" w:cs="宋体"/>
          <w:color w:val="auto"/>
          <w:szCs w:val="21"/>
          <w:highlight w:val="none"/>
          <w:lang w:val="en-US" w:eastAsia="zh-CN"/>
        </w:rPr>
        <w:t>4.2.3</w:t>
      </w:r>
      <w:r>
        <w:rPr>
          <w:rFonts w:hint="eastAsia" w:asciiTheme="minorEastAsia" w:hAnsiTheme="minorEastAsia" w:eastAsiaTheme="minorEastAsia" w:cstheme="minorEastAsia"/>
          <w:b w:val="0"/>
          <w:bCs w:val="0"/>
          <w:color w:val="auto"/>
          <w:sz w:val="21"/>
          <w:szCs w:val="21"/>
          <w:highlight w:val="none"/>
          <w:lang w:val="en-US" w:eastAsia="zh-CN"/>
        </w:rPr>
        <w:t>响应文件解密：</w:t>
      </w:r>
      <w:r>
        <w:rPr>
          <w:rFonts w:hint="eastAsia" w:ascii="宋体" w:hAnsi="宋体" w:cs="宋体"/>
          <w:color w:val="auto"/>
          <w:szCs w:val="21"/>
          <w:highlight w:val="none"/>
        </w:rPr>
        <w:t>详见供应商须知前附表</w:t>
      </w:r>
      <w:r>
        <w:rPr>
          <w:rFonts w:hint="eastAsia" w:ascii="宋体" w:hAnsi="宋体" w:cs="宋体"/>
          <w:color w:val="auto"/>
          <w:szCs w:val="21"/>
          <w:highlight w:val="none"/>
          <w:lang w:eastAsia="zh-CN"/>
        </w:rPr>
        <w:t>。</w:t>
      </w:r>
    </w:p>
    <w:p w14:paraId="40A8C966">
      <w:pPr>
        <w:spacing w:line="47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响应文件解密</w:t>
      </w:r>
      <w:r>
        <w:rPr>
          <w:rFonts w:hint="eastAsia" w:ascii="宋体" w:hAnsi="宋体" w:cs="宋体"/>
          <w:color w:val="auto"/>
          <w:szCs w:val="21"/>
          <w:highlight w:val="none"/>
          <w:lang w:val="en-US" w:eastAsia="zh-CN"/>
        </w:rPr>
        <w:t>与开启</w:t>
      </w:r>
      <w:r>
        <w:rPr>
          <w:rFonts w:hint="eastAsia" w:ascii="宋体" w:hAnsi="宋体" w:cs="宋体"/>
          <w:color w:val="auto"/>
          <w:szCs w:val="21"/>
          <w:highlight w:val="none"/>
        </w:rPr>
        <w:t>：（1）采购代理机构依托电子交易平台发起开始解密指令，供应商须使用加密时所用的CA锁按平台提示和</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文件的规定登录到“政采云”平台电子开标大厅签到，并在发起解密指令之时起</w:t>
      </w:r>
      <w:r>
        <w:rPr>
          <w:rFonts w:hint="eastAsia" w:ascii="宋体" w:hAnsi="宋体" w:cs="宋体"/>
          <w:b/>
          <w:bCs/>
          <w:color w:val="auto"/>
          <w:szCs w:val="21"/>
          <w:highlight w:val="none"/>
        </w:rPr>
        <w:t>30分钟内</w:t>
      </w:r>
      <w:r>
        <w:rPr>
          <w:rFonts w:hint="eastAsia" w:ascii="宋体" w:hAnsi="宋体" w:cs="宋体"/>
          <w:color w:val="auto"/>
          <w:szCs w:val="21"/>
          <w:highlight w:val="none"/>
        </w:rPr>
        <w:t>完成对电子响应文件在线解密。</w:t>
      </w:r>
    </w:p>
    <w:p w14:paraId="2A0BB230">
      <w:pPr>
        <w:spacing w:line="470" w:lineRule="exact"/>
        <w:ind w:firstLine="420" w:firstLineChars="200"/>
        <w:jc w:val="left"/>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2</w:t>
      </w:r>
      <w:r>
        <w:rPr>
          <w:rFonts w:hint="eastAsia" w:ascii="宋体" w:hAnsi="宋体" w:cs="宋体"/>
          <w:b w:val="0"/>
          <w:bCs w:val="0"/>
          <w:color w:val="auto"/>
          <w:szCs w:val="21"/>
          <w:highlight w:val="none"/>
          <w:lang w:eastAsia="zh-CN"/>
        </w:rPr>
        <w:t>）</w:t>
      </w:r>
      <w:r>
        <w:rPr>
          <w:rFonts w:hint="eastAsia" w:ascii="宋体" w:hAnsi="宋体" w:cs="宋体"/>
          <w:b w:val="0"/>
          <w:bCs w:val="0"/>
          <w:color w:val="auto"/>
          <w:szCs w:val="21"/>
          <w:highlight w:val="none"/>
          <w:lang w:val="en-US" w:eastAsia="zh-CN"/>
        </w:rPr>
        <w:t>因供应商原因造成响应文件未解密的，视为撤销其响应文件。</w:t>
      </w:r>
    </w:p>
    <w:p w14:paraId="36BE55E2">
      <w:pPr>
        <w:keepNext w:val="0"/>
        <w:keepLines w:val="0"/>
        <w:pageBreakBefore w:val="0"/>
        <w:kinsoku/>
        <w:wordWrap/>
        <w:topLinePunct w:val="0"/>
        <w:bidi w:val="0"/>
        <w:snapToGrid/>
        <w:spacing w:line="440" w:lineRule="exact"/>
        <w:ind w:firstLine="420"/>
        <w:rPr>
          <w:rFonts w:hint="eastAsia" w:ascii="宋体" w:hAnsi="宋体" w:cs="宋体"/>
          <w:color w:val="auto"/>
          <w:szCs w:val="21"/>
          <w:highlight w:val="none"/>
          <w:lang w:val="en-US" w:eastAsia="zh-CN"/>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）解密完成后系统自动导入有效的电子响应文件，</w:t>
      </w:r>
      <w:r>
        <w:rPr>
          <w:rFonts w:hint="eastAsia" w:ascii="宋体" w:hAnsi="宋体" w:cs="宋体"/>
          <w:color w:val="auto"/>
          <w:szCs w:val="21"/>
          <w:highlight w:val="none"/>
          <w:lang w:val="en-US" w:eastAsia="zh-CN"/>
        </w:rPr>
        <w:t>开启</w:t>
      </w:r>
      <w:r>
        <w:rPr>
          <w:rFonts w:hint="eastAsia" w:ascii="宋体" w:hAnsi="宋体" w:cs="宋体"/>
          <w:color w:val="auto"/>
          <w:szCs w:val="21"/>
          <w:highlight w:val="none"/>
        </w:rPr>
        <w:t>并记录在案。</w:t>
      </w:r>
    </w:p>
    <w:p w14:paraId="07889426">
      <w:pPr>
        <w:keepNext w:val="0"/>
        <w:keepLines w:val="0"/>
        <w:pageBreakBefore w:val="0"/>
        <w:kinsoku/>
        <w:wordWrap/>
        <w:topLinePunct w:val="0"/>
        <w:bidi w:val="0"/>
        <w:snapToGrid/>
        <w:spacing w:line="440" w:lineRule="exact"/>
        <w:rPr>
          <w:rFonts w:ascii="宋体" w:hAnsi="宋体" w:cs="宋体"/>
          <w:b/>
          <w:color w:val="auto"/>
          <w:szCs w:val="21"/>
          <w:highlight w:val="none"/>
        </w:rPr>
      </w:pPr>
      <w:r>
        <w:rPr>
          <w:rFonts w:hint="eastAsia" w:ascii="宋体" w:hAnsi="宋体" w:cs="宋体"/>
          <w:b/>
          <w:color w:val="auto"/>
          <w:szCs w:val="21"/>
          <w:highlight w:val="none"/>
        </w:rPr>
        <w:t>4.3磋商响应文件的修改与撤回</w:t>
      </w:r>
    </w:p>
    <w:p w14:paraId="4F0CFAF7">
      <w:pPr>
        <w:keepNext w:val="0"/>
        <w:keepLines w:val="0"/>
        <w:pageBreakBefore w:val="0"/>
        <w:kinsoku/>
        <w:wordWrap/>
        <w:topLinePunct w:val="0"/>
        <w:bidi w:val="0"/>
        <w:snapToGrid/>
        <w:spacing w:line="440" w:lineRule="exact"/>
        <w:ind w:firstLine="420"/>
        <w:rPr>
          <w:rFonts w:ascii="宋体" w:hAnsi="宋体" w:cs="宋体"/>
          <w:color w:val="auto"/>
          <w:szCs w:val="21"/>
          <w:highlight w:val="none"/>
        </w:rPr>
      </w:pPr>
      <w:r>
        <w:rPr>
          <w:rFonts w:hint="eastAsia" w:ascii="宋体" w:hAnsi="宋体" w:cs="宋体"/>
          <w:color w:val="auto"/>
          <w:szCs w:val="21"/>
          <w:highlight w:val="none"/>
        </w:rPr>
        <w:t>4.3.1在本章第2.2.2项规定的磋商截止时间前，供应商可以修改或撤回已在网上</w:t>
      </w:r>
      <w:r>
        <w:rPr>
          <w:rFonts w:hint="eastAsia" w:ascii="宋体" w:hAnsi="宋体" w:cs="宋体"/>
          <w:color w:val="auto"/>
          <w:szCs w:val="21"/>
          <w:highlight w:val="none"/>
          <w:lang w:val="en-US" w:eastAsia="zh-CN"/>
        </w:rPr>
        <w:t>提</w:t>
      </w:r>
      <w:r>
        <w:rPr>
          <w:rFonts w:hint="eastAsia" w:ascii="宋体" w:hAnsi="宋体" w:cs="宋体"/>
          <w:color w:val="auto"/>
          <w:szCs w:val="21"/>
          <w:highlight w:val="none"/>
        </w:rPr>
        <w:t>交的磋商</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文件，无须</w:t>
      </w:r>
      <w:r>
        <w:rPr>
          <w:rFonts w:hint="eastAsia" w:ascii="宋体" w:hAnsi="宋体" w:cs="宋体"/>
          <w:color w:val="auto"/>
          <w:szCs w:val="21"/>
          <w:highlight w:val="none"/>
          <w:lang w:val="en-US" w:eastAsia="zh-CN"/>
        </w:rPr>
        <w:t>任何</w:t>
      </w:r>
      <w:r>
        <w:rPr>
          <w:rFonts w:hint="eastAsia" w:ascii="宋体" w:hAnsi="宋体" w:cs="宋体"/>
          <w:color w:val="auto"/>
          <w:szCs w:val="21"/>
          <w:highlight w:val="none"/>
        </w:rPr>
        <w:t>形式通知采购人。</w:t>
      </w:r>
    </w:p>
    <w:p w14:paraId="2FCB1249">
      <w:pPr>
        <w:pStyle w:val="16"/>
        <w:keepNext w:val="0"/>
        <w:keepLines w:val="0"/>
        <w:pageBreakBefore w:val="0"/>
        <w:kinsoku/>
        <w:wordWrap/>
        <w:topLinePunct w:val="0"/>
        <w:bidi w:val="0"/>
        <w:snapToGrid/>
        <w:spacing w:line="440" w:lineRule="exact"/>
        <w:ind w:firstLine="420"/>
        <w:rPr>
          <w:rFonts w:hint="eastAsia" w:hAnsi="宋体" w:cs="宋体"/>
          <w:color w:val="auto"/>
          <w:szCs w:val="21"/>
          <w:highlight w:val="none"/>
        </w:rPr>
      </w:pPr>
      <w:r>
        <w:rPr>
          <w:rFonts w:hint="eastAsia" w:hAnsi="宋体" w:cs="宋体"/>
          <w:color w:val="auto"/>
          <w:szCs w:val="21"/>
          <w:highlight w:val="none"/>
        </w:rPr>
        <w:t>4.3.2修改的磋商</w:t>
      </w:r>
      <w:r>
        <w:rPr>
          <w:rFonts w:hint="eastAsia" w:hAnsi="宋体" w:cs="宋体"/>
          <w:color w:val="auto"/>
          <w:szCs w:val="21"/>
          <w:highlight w:val="none"/>
          <w:lang w:val="en-US" w:eastAsia="zh-CN"/>
        </w:rPr>
        <w:t>响应</w:t>
      </w:r>
      <w:r>
        <w:rPr>
          <w:rFonts w:hint="eastAsia" w:hAnsi="宋体" w:cs="宋体"/>
          <w:color w:val="auto"/>
          <w:szCs w:val="21"/>
          <w:highlight w:val="none"/>
        </w:rPr>
        <w:t>文件应按照本章第3.6条、第4条规定进行编制、</w:t>
      </w:r>
      <w:r>
        <w:rPr>
          <w:rFonts w:hint="eastAsia" w:hAnsi="宋体" w:cs="宋体"/>
          <w:color w:val="auto"/>
          <w:szCs w:val="21"/>
          <w:highlight w:val="none"/>
          <w:lang w:val="en-US" w:eastAsia="zh-CN"/>
        </w:rPr>
        <w:t>加密</w:t>
      </w:r>
      <w:r>
        <w:rPr>
          <w:rFonts w:hint="eastAsia" w:hAnsi="宋体" w:cs="宋体"/>
          <w:color w:val="auto"/>
          <w:szCs w:val="21"/>
          <w:highlight w:val="none"/>
        </w:rPr>
        <w:t>和</w:t>
      </w:r>
      <w:r>
        <w:rPr>
          <w:rFonts w:hint="eastAsia" w:hAnsi="宋体" w:cs="宋体"/>
          <w:color w:val="auto"/>
          <w:szCs w:val="21"/>
          <w:highlight w:val="none"/>
          <w:lang w:val="en-US" w:eastAsia="zh-CN"/>
        </w:rPr>
        <w:t>提</w:t>
      </w:r>
      <w:r>
        <w:rPr>
          <w:rFonts w:hint="eastAsia" w:hAnsi="宋体" w:cs="宋体"/>
          <w:color w:val="auto"/>
          <w:szCs w:val="21"/>
          <w:highlight w:val="none"/>
        </w:rPr>
        <w:t>交。</w:t>
      </w:r>
    </w:p>
    <w:p w14:paraId="54DC672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15" w:name="_Toc382901571"/>
      <w:bookmarkStart w:id="116" w:name="_Toc491246662"/>
      <w:bookmarkStart w:id="117" w:name="_Toc247277957"/>
      <w:bookmarkStart w:id="118" w:name="_Toc262675337"/>
      <w:bookmarkStart w:id="119" w:name="_Toc199321920"/>
      <w:bookmarkStart w:id="120" w:name="_Toc209498833"/>
      <w:bookmarkStart w:id="121" w:name="_Toc260172670"/>
      <w:r>
        <w:rPr>
          <w:rFonts w:hint="eastAsia" w:ascii="宋体" w:hAnsi="宋体" w:cs="宋体"/>
          <w:b/>
          <w:color w:val="auto"/>
          <w:kern w:val="0"/>
          <w:szCs w:val="21"/>
          <w:highlight w:val="none"/>
        </w:rPr>
        <w:t>5</w:t>
      </w:r>
      <w:bookmarkEnd w:id="115"/>
      <w:bookmarkEnd w:id="116"/>
      <w:bookmarkEnd w:id="117"/>
      <w:bookmarkEnd w:id="118"/>
      <w:bookmarkEnd w:id="119"/>
      <w:bookmarkEnd w:id="120"/>
      <w:bookmarkEnd w:id="121"/>
      <w:r>
        <w:rPr>
          <w:rFonts w:hint="eastAsia" w:ascii="宋体" w:hAnsi="宋体" w:cs="宋体"/>
          <w:b/>
          <w:color w:val="auto"/>
          <w:kern w:val="0"/>
          <w:szCs w:val="21"/>
          <w:highlight w:val="none"/>
        </w:rPr>
        <w:t>. 磋商</w:t>
      </w:r>
    </w:p>
    <w:p w14:paraId="323114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22" w:name="_Toc382901572"/>
      <w:bookmarkStart w:id="123" w:name="_Toc381278408"/>
      <w:bookmarkStart w:id="124" w:name="_Toc262675338"/>
      <w:bookmarkStart w:id="125" w:name="_Toc247277958"/>
      <w:bookmarkStart w:id="126" w:name="_Toc209498834"/>
      <w:bookmarkStart w:id="127" w:name="_Toc260172671"/>
      <w:bookmarkStart w:id="128" w:name="_Toc491246663"/>
      <w:r>
        <w:rPr>
          <w:rFonts w:hint="eastAsia" w:ascii="宋体" w:hAnsi="宋体" w:cs="宋体"/>
          <w:b/>
          <w:color w:val="auto"/>
          <w:kern w:val="0"/>
          <w:szCs w:val="21"/>
          <w:highlight w:val="none"/>
        </w:rPr>
        <w:t>5.1 磋商时间和地点</w:t>
      </w:r>
      <w:bookmarkEnd w:id="122"/>
      <w:bookmarkEnd w:id="123"/>
      <w:bookmarkEnd w:id="124"/>
      <w:bookmarkEnd w:id="125"/>
      <w:bookmarkEnd w:id="126"/>
      <w:bookmarkEnd w:id="127"/>
      <w:bookmarkEnd w:id="128"/>
    </w:p>
    <w:p w14:paraId="559F39CE">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bookmarkStart w:id="129" w:name="_Toc209498835"/>
      <w:bookmarkStart w:id="130" w:name="_Toc262675339"/>
      <w:bookmarkStart w:id="131" w:name="_Toc381278409"/>
      <w:bookmarkStart w:id="132" w:name="_Toc260172672"/>
      <w:bookmarkStart w:id="133" w:name="_Toc382901573"/>
      <w:bookmarkStart w:id="134" w:name="_Toc491246664"/>
      <w:bookmarkStart w:id="135" w:name="_Toc247277959"/>
      <w:r>
        <w:rPr>
          <w:rFonts w:hint="eastAsia" w:ascii="宋体" w:hAnsi="宋体" w:cs="宋体"/>
          <w:color w:val="auto"/>
          <w:kern w:val="0"/>
          <w:szCs w:val="21"/>
          <w:highlight w:val="none"/>
        </w:rPr>
        <w:t>采购人在供应商须知前附表规定的磋商时间及地点公开磋商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时间和地点</w:t>
      </w:r>
      <w:r>
        <w:rPr>
          <w:rFonts w:hint="eastAsia" w:ascii="宋体" w:hAnsi="宋体" w:cs="宋体"/>
          <w:color w:val="auto"/>
          <w:szCs w:val="21"/>
          <w:highlight w:val="none"/>
        </w:rPr>
        <w:t>详见供应商须知前附表</w:t>
      </w:r>
      <w:r>
        <w:rPr>
          <w:rFonts w:hint="eastAsia" w:ascii="宋体" w:hAnsi="宋体" w:cs="宋体"/>
          <w:color w:val="auto"/>
          <w:kern w:val="0"/>
          <w:szCs w:val="21"/>
          <w:highlight w:val="none"/>
        </w:rPr>
        <w:t>。</w:t>
      </w:r>
    </w:p>
    <w:p w14:paraId="72480DD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5.2 磋商程序</w:t>
      </w:r>
      <w:bookmarkEnd w:id="129"/>
      <w:bookmarkEnd w:id="130"/>
      <w:bookmarkEnd w:id="131"/>
      <w:bookmarkEnd w:id="132"/>
      <w:bookmarkEnd w:id="133"/>
      <w:bookmarkEnd w:id="134"/>
      <w:bookmarkEnd w:id="135"/>
    </w:p>
    <w:p w14:paraId="23295577">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color w:val="auto"/>
          <w:kern w:val="0"/>
          <w:szCs w:val="21"/>
          <w:highlight w:val="none"/>
        </w:rPr>
      </w:pPr>
      <w:r>
        <w:rPr>
          <w:rFonts w:hint="eastAsia" w:ascii="宋体" w:hAnsi="宋体" w:cs="宋体"/>
          <w:color w:val="auto"/>
          <w:kern w:val="0"/>
          <w:szCs w:val="21"/>
          <w:highlight w:val="none"/>
        </w:rPr>
        <w:t>5.2.1磋商小组成员按照客观、公正、审慎的原则，根据磋商文件规定的评审程序、评审方法和评审标准进行独立评审。未实质性响应磋商文件的响应文件按无效响应处理。</w:t>
      </w:r>
    </w:p>
    <w:p w14:paraId="100DF8CC">
      <w:pPr>
        <w:pStyle w:val="11"/>
        <w:keepNext w:val="0"/>
        <w:keepLines w:val="0"/>
        <w:pageBreakBefore w:val="0"/>
        <w:kinsoku/>
        <w:wordWrap/>
        <w:topLinePunct w:val="0"/>
        <w:bidi w:val="0"/>
        <w:snapToGrid/>
        <w:spacing w:before="38" w:line="440" w:lineRule="exact"/>
        <w:ind w:right="228" w:firstLine="462" w:firstLineChars="220"/>
        <w:rPr>
          <w:rFonts w:ascii="宋体" w:hAnsi="宋体" w:cs="宋体"/>
          <w:color w:val="auto"/>
          <w:sz w:val="21"/>
          <w:szCs w:val="21"/>
          <w:highlight w:val="none"/>
        </w:rPr>
      </w:pPr>
      <w:r>
        <w:rPr>
          <w:rFonts w:hint="eastAsia" w:ascii="宋体" w:hAnsi="宋体" w:cs="宋体"/>
          <w:color w:val="auto"/>
          <w:sz w:val="21"/>
          <w:szCs w:val="21"/>
          <w:highlight w:val="none"/>
        </w:rPr>
        <w:t>5.2.2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89DECDA">
      <w:pPr>
        <w:pStyle w:val="11"/>
        <w:keepNext w:val="0"/>
        <w:keepLines w:val="0"/>
        <w:pageBreakBefore w:val="0"/>
        <w:kinsoku/>
        <w:wordWrap/>
        <w:topLinePunct w:val="0"/>
        <w:bidi w:val="0"/>
        <w:snapToGrid/>
        <w:spacing w:before="38" w:line="440" w:lineRule="exact"/>
        <w:ind w:right="93" w:firstLine="424" w:firstLineChars="202"/>
        <w:rPr>
          <w:rFonts w:ascii="宋体" w:hAnsi="宋体" w:cs="宋体"/>
          <w:color w:val="auto"/>
          <w:sz w:val="21"/>
          <w:szCs w:val="21"/>
          <w:highlight w:val="none"/>
        </w:rPr>
      </w:pPr>
      <w:r>
        <w:rPr>
          <w:rFonts w:hint="eastAsia" w:ascii="宋体" w:hAnsi="宋体" w:cs="宋体"/>
          <w:color w:val="auto"/>
          <w:sz w:val="21"/>
          <w:szCs w:val="21"/>
          <w:highlight w:val="none"/>
        </w:rPr>
        <w:t>5.2.3供应商的澄清、说明或者更正应当</w:t>
      </w:r>
      <w:r>
        <w:rPr>
          <w:rFonts w:hint="eastAsia" w:ascii="宋体" w:hAnsi="宋体" w:cs="宋体"/>
          <w:color w:val="auto"/>
          <w:sz w:val="21"/>
          <w:szCs w:val="21"/>
          <w:highlight w:val="none"/>
          <w:lang w:val="en-US" w:eastAsia="zh-CN"/>
        </w:rPr>
        <w:t>在“政采云”平台（网址：http://www.zcygov.cn）本项目界面中进行</w:t>
      </w:r>
      <w:r>
        <w:rPr>
          <w:rFonts w:hint="eastAsia" w:ascii="宋体" w:hAnsi="宋体" w:cs="宋体"/>
          <w:color w:val="auto"/>
          <w:sz w:val="21"/>
          <w:szCs w:val="21"/>
          <w:highlight w:val="none"/>
        </w:rPr>
        <w:t>。</w:t>
      </w:r>
    </w:p>
    <w:p w14:paraId="2DA02FCD">
      <w:pPr>
        <w:pStyle w:val="11"/>
        <w:keepNext w:val="0"/>
        <w:keepLines w:val="0"/>
        <w:pageBreakBefore w:val="0"/>
        <w:kinsoku/>
        <w:wordWrap/>
        <w:topLinePunct w:val="0"/>
        <w:bidi w:val="0"/>
        <w:snapToGrid/>
        <w:spacing w:before="76" w:line="440" w:lineRule="exact"/>
        <w:ind w:left="105" w:leftChars="5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4</w:t>
      </w:r>
      <w:r>
        <w:rPr>
          <w:rFonts w:hint="eastAsia" w:ascii="宋体" w:hAnsi="宋体" w:cs="宋体"/>
          <w:color w:val="auto"/>
          <w:sz w:val="21"/>
          <w:szCs w:val="21"/>
          <w:highlight w:val="none"/>
        </w:rPr>
        <w:t>磋商文件能够详细列明采购标的的技术、服务要求的，磋商小组应当要求所有实质性响应的供应商在规定时间内提交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的供应商不得少于3家。</w:t>
      </w:r>
      <w:r>
        <w:rPr>
          <w:rFonts w:hint="eastAsia" w:ascii="宋体" w:hAnsi="宋体" w:cs="宋体"/>
          <w:color w:val="auto"/>
          <w:sz w:val="21"/>
          <w:szCs w:val="21"/>
          <w:highlight w:val="none"/>
          <w:lang w:val="en-US" w:eastAsia="zh-CN"/>
        </w:rPr>
        <w:t>符合《政府采购竞争性磋商采购方式管理暂行办法》第三条第四项情形的，提交最后磋商报价的供应商可以为2家。</w:t>
      </w:r>
    </w:p>
    <w:p w14:paraId="684B1565">
      <w:pPr>
        <w:pStyle w:val="11"/>
        <w:keepNext w:val="0"/>
        <w:keepLines w:val="0"/>
        <w:pageBreakBefore w:val="0"/>
        <w:kinsoku/>
        <w:wordWrap/>
        <w:topLinePunct w:val="0"/>
        <w:bidi w:val="0"/>
        <w:snapToGrid/>
        <w:spacing w:before="38" w:line="440" w:lineRule="exact"/>
        <w:ind w:right="103" w:firstLine="463"/>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w:t>
      </w:r>
    </w:p>
    <w:p w14:paraId="6155AD27">
      <w:pPr>
        <w:pStyle w:val="11"/>
        <w:keepNext w:val="0"/>
        <w:keepLines w:val="0"/>
        <w:pageBreakBefore w:val="0"/>
        <w:kinsoku/>
        <w:wordWrap/>
        <w:topLinePunct w:val="0"/>
        <w:bidi w:val="0"/>
        <w:snapToGrid/>
        <w:spacing w:before="38" w:line="440" w:lineRule="exact"/>
        <w:ind w:right="103" w:firstLine="463"/>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6</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是供应商响应文件的有效组成部分。若采购项目为市场竞争不充分的科研项目，以及需要扶持的科技成果转化项目，提交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的供应商可以为2家。</w:t>
      </w:r>
    </w:p>
    <w:p w14:paraId="3E94E250">
      <w:pPr>
        <w:pStyle w:val="11"/>
        <w:keepNext w:val="0"/>
        <w:keepLines w:val="0"/>
        <w:pageBreakBefore w:val="0"/>
        <w:kinsoku/>
        <w:wordWrap/>
        <w:topLinePunct w:val="0"/>
        <w:bidi w:val="0"/>
        <w:snapToGrid/>
        <w:spacing w:before="38" w:line="440" w:lineRule="exact"/>
        <w:ind w:firstLine="360"/>
        <w:rPr>
          <w:rFonts w:ascii="宋体" w:hAnsi="宋体" w:cs="宋体"/>
          <w:color w:val="auto"/>
          <w:sz w:val="21"/>
          <w:szCs w:val="21"/>
          <w:highlight w:val="none"/>
        </w:rPr>
      </w:pPr>
      <w:r>
        <w:rPr>
          <w:rFonts w:hint="eastAsia" w:ascii="宋体" w:hAnsi="宋体" w:cs="宋体"/>
          <w:color w:val="auto"/>
          <w:sz w:val="21"/>
          <w:szCs w:val="21"/>
          <w:highlight w:val="none"/>
        </w:rPr>
        <w:t>5.2.</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 xml:space="preserve"> 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后，由磋商小组按照《</w:t>
      </w:r>
      <w:r>
        <w:rPr>
          <w:rFonts w:hint="eastAsia" w:ascii="宋体" w:hAnsi="宋体" w:cs="宋体"/>
          <w:color w:val="auto"/>
          <w:sz w:val="21"/>
          <w:szCs w:val="21"/>
          <w:highlight w:val="none"/>
          <w:lang w:eastAsia="zh-CN"/>
        </w:rPr>
        <w:t>评分标准</w:t>
      </w:r>
      <w:r>
        <w:rPr>
          <w:rFonts w:hint="eastAsia" w:ascii="宋体" w:hAnsi="宋体" w:cs="宋体"/>
          <w:color w:val="auto"/>
          <w:sz w:val="21"/>
          <w:szCs w:val="21"/>
          <w:highlight w:val="none"/>
        </w:rPr>
        <w:t>》对提交</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的供应商的响应文件和</w:t>
      </w:r>
      <w:r>
        <w:rPr>
          <w:rFonts w:hint="eastAsia" w:ascii="宋体" w:hAnsi="宋体" w:cs="宋体"/>
          <w:color w:val="auto"/>
          <w:sz w:val="21"/>
          <w:szCs w:val="21"/>
          <w:highlight w:val="none"/>
          <w:lang w:val="zh-CN" w:eastAsia="zh-CN"/>
        </w:rPr>
        <w:t>最后磋商报价</w:t>
      </w:r>
      <w:r>
        <w:rPr>
          <w:rFonts w:hint="eastAsia" w:ascii="宋体" w:hAnsi="宋体" w:cs="宋体"/>
          <w:color w:val="auto"/>
          <w:sz w:val="21"/>
          <w:szCs w:val="21"/>
          <w:highlight w:val="none"/>
        </w:rPr>
        <w:t>进行综合评分。</w:t>
      </w:r>
    </w:p>
    <w:p w14:paraId="78D4E02C">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36" w:name="_Toc262675340"/>
      <w:bookmarkStart w:id="137" w:name="_Toc260172673"/>
      <w:bookmarkStart w:id="138" w:name="_Toc209498836"/>
      <w:bookmarkStart w:id="139" w:name="_Toc247277960"/>
      <w:bookmarkStart w:id="140" w:name="_Toc382901574"/>
      <w:bookmarkStart w:id="141" w:name="_Toc491246665"/>
      <w:bookmarkStart w:id="142" w:name="_Toc199321921"/>
      <w:r>
        <w:rPr>
          <w:rFonts w:hint="eastAsia" w:ascii="宋体" w:hAnsi="宋体" w:cs="宋体"/>
          <w:b/>
          <w:color w:val="auto"/>
          <w:kern w:val="0"/>
          <w:szCs w:val="21"/>
          <w:highlight w:val="none"/>
        </w:rPr>
        <w:t>6</w:t>
      </w:r>
      <w:bookmarkEnd w:id="136"/>
      <w:bookmarkEnd w:id="137"/>
      <w:bookmarkEnd w:id="138"/>
      <w:bookmarkEnd w:id="139"/>
      <w:bookmarkEnd w:id="140"/>
      <w:bookmarkEnd w:id="141"/>
      <w:bookmarkEnd w:id="142"/>
      <w:r>
        <w:rPr>
          <w:rFonts w:hint="eastAsia" w:ascii="宋体" w:hAnsi="宋体" w:cs="宋体"/>
          <w:b/>
          <w:color w:val="auto"/>
          <w:kern w:val="0"/>
          <w:szCs w:val="21"/>
          <w:highlight w:val="none"/>
        </w:rPr>
        <w:t>. 磋商</w:t>
      </w:r>
      <w:r>
        <w:rPr>
          <w:rFonts w:hint="eastAsia" w:ascii="宋体" w:hAnsi="宋体" w:cs="宋体"/>
          <w:b/>
          <w:color w:val="auto"/>
          <w:kern w:val="0"/>
          <w:szCs w:val="21"/>
          <w:highlight w:val="none"/>
          <w:lang w:val="en-US" w:eastAsia="zh-CN"/>
        </w:rPr>
        <w:t>小组与评审</w:t>
      </w:r>
      <w:r>
        <w:rPr>
          <w:rFonts w:hint="eastAsia" w:ascii="宋体" w:hAnsi="宋体" w:cs="宋体"/>
          <w:b/>
          <w:color w:val="auto"/>
          <w:kern w:val="0"/>
          <w:szCs w:val="21"/>
          <w:highlight w:val="none"/>
        </w:rPr>
        <w:t xml:space="preserve">  </w:t>
      </w:r>
    </w:p>
    <w:p w14:paraId="00CFD6B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43" w:name="_Toc491246666"/>
      <w:bookmarkStart w:id="144" w:name="_Toc260172674"/>
      <w:bookmarkStart w:id="145" w:name="_Toc199321922"/>
      <w:bookmarkStart w:id="146" w:name="_Toc262675341"/>
      <w:bookmarkStart w:id="147" w:name="_Toc247277961"/>
      <w:bookmarkStart w:id="148" w:name="_Toc209498837"/>
      <w:bookmarkStart w:id="149" w:name="_Toc381278411"/>
      <w:bookmarkStart w:id="150" w:name="_Toc382901575"/>
      <w:r>
        <w:rPr>
          <w:rFonts w:hint="eastAsia" w:ascii="宋体" w:hAnsi="宋体" w:cs="宋体"/>
          <w:b/>
          <w:color w:val="auto"/>
          <w:kern w:val="0"/>
          <w:szCs w:val="21"/>
          <w:highlight w:val="none"/>
        </w:rPr>
        <w:t xml:space="preserve">6.1 </w:t>
      </w:r>
      <w:bookmarkEnd w:id="143"/>
      <w:bookmarkEnd w:id="144"/>
      <w:bookmarkEnd w:id="145"/>
      <w:bookmarkEnd w:id="146"/>
      <w:bookmarkEnd w:id="147"/>
      <w:bookmarkEnd w:id="148"/>
      <w:r>
        <w:rPr>
          <w:rFonts w:hint="eastAsia" w:ascii="宋体" w:hAnsi="宋体" w:cs="宋体"/>
          <w:b/>
          <w:color w:val="auto"/>
          <w:kern w:val="0"/>
          <w:szCs w:val="21"/>
          <w:highlight w:val="none"/>
        </w:rPr>
        <w:t>磋商小组</w:t>
      </w:r>
      <w:bookmarkEnd w:id="149"/>
      <w:bookmarkEnd w:id="150"/>
    </w:p>
    <w:p w14:paraId="2C2906C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6.1.1 磋商由采购人依法组建的磋商小组负责。磋商小组由采购人或其委托的采购人熟悉相关业务的代表，以及有关技术、经济等方面的专家组成。磋商小组成员人数以及技术、经济等方面专家的确定方式见供应商须知前附表。</w:t>
      </w:r>
    </w:p>
    <w:p w14:paraId="24FDA17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6.1.2 磋商小组成员有下列情形之一的，应当回避:</w:t>
      </w:r>
    </w:p>
    <w:p w14:paraId="06F9D2CF">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(1) 采购人或供应商的主要负责人的近亲属；</w:t>
      </w:r>
    </w:p>
    <w:p w14:paraId="5489E0CB">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(2) 项目主管部门或者行政监督部门的人员；</w:t>
      </w:r>
    </w:p>
    <w:p w14:paraId="41033434">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(3) 与供应商有经济利益关系，可能影响对磋商公正评审的；</w:t>
      </w:r>
    </w:p>
    <w:p w14:paraId="5915204D">
      <w:pPr>
        <w:keepNext w:val="0"/>
        <w:keepLines w:val="0"/>
        <w:pageBreakBefore w:val="0"/>
        <w:kinsoku/>
        <w:wordWrap/>
        <w:topLinePunct w:val="0"/>
        <w:autoSpaceDE w:val="0"/>
        <w:autoSpaceDN w:val="0"/>
        <w:bidi w:val="0"/>
        <w:adjustRightInd w:val="0"/>
        <w:snapToGrid/>
        <w:spacing w:line="440" w:lineRule="exact"/>
        <w:ind w:left="420"/>
        <w:jc w:val="left"/>
        <w:rPr>
          <w:rFonts w:ascii="宋体" w:hAnsi="宋体" w:cs="宋体"/>
          <w:color w:val="auto"/>
          <w:kern w:val="0"/>
          <w:szCs w:val="21"/>
          <w:highlight w:val="none"/>
        </w:rPr>
      </w:pPr>
      <w:r>
        <w:rPr>
          <w:rFonts w:hint="eastAsia" w:ascii="宋体" w:hAnsi="宋体" w:cs="宋体"/>
          <w:color w:val="auto"/>
          <w:kern w:val="0"/>
          <w:szCs w:val="21"/>
          <w:highlight w:val="none"/>
        </w:rPr>
        <w:t>(4) 曾因在采购、招标、评标及其他与政府采购有关活动中从事违法行为而受过行政处罚或刑事处罚的。</w:t>
      </w:r>
    </w:p>
    <w:p w14:paraId="4319144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51" w:name="_Toc199321923"/>
      <w:bookmarkStart w:id="152" w:name="_Toc247277962"/>
      <w:bookmarkStart w:id="153" w:name="_Toc260172675"/>
      <w:bookmarkStart w:id="154" w:name="_Toc262675342"/>
      <w:bookmarkStart w:id="155" w:name="_Toc209498838"/>
      <w:bookmarkStart w:id="156" w:name="_Toc491246667"/>
      <w:bookmarkStart w:id="157" w:name="_Toc382901576"/>
      <w:bookmarkStart w:id="158" w:name="_Toc381278412"/>
      <w:r>
        <w:rPr>
          <w:rFonts w:hint="eastAsia" w:ascii="宋体" w:hAnsi="宋体" w:cs="宋体"/>
          <w:b/>
          <w:color w:val="auto"/>
          <w:kern w:val="0"/>
          <w:szCs w:val="21"/>
          <w:highlight w:val="none"/>
        </w:rPr>
        <w:t>6.2 评标原则</w:t>
      </w:r>
      <w:bookmarkEnd w:id="151"/>
      <w:bookmarkEnd w:id="152"/>
      <w:bookmarkEnd w:id="153"/>
      <w:bookmarkEnd w:id="154"/>
      <w:bookmarkEnd w:id="155"/>
      <w:bookmarkEnd w:id="156"/>
      <w:r>
        <w:rPr>
          <w:rFonts w:hint="eastAsia" w:ascii="宋体" w:hAnsi="宋体" w:cs="宋体"/>
          <w:b/>
          <w:color w:val="auto"/>
          <w:kern w:val="0"/>
          <w:szCs w:val="21"/>
          <w:highlight w:val="none"/>
        </w:rPr>
        <w:t>：磋商活动遵循公平、公正、科学和择优的原则。</w:t>
      </w:r>
      <w:bookmarkEnd w:id="157"/>
      <w:bookmarkEnd w:id="158"/>
    </w:p>
    <w:p w14:paraId="3D7E81D9">
      <w:pPr>
        <w:keepNext w:val="0"/>
        <w:keepLines w:val="0"/>
        <w:pageBreakBefore w:val="0"/>
        <w:kinsoku/>
        <w:wordWrap/>
        <w:topLinePunct w:val="0"/>
        <w:autoSpaceDE w:val="0"/>
        <w:autoSpaceDN w:val="0"/>
        <w:bidi w:val="0"/>
        <w:adjustRightInd w:val="0"/>
        <w:snapToGrid/>
        <w:spacing w:line="440" w:lineRule="exact"/>
        <w:jc w:val="left"/>
        <w:outlineLvl w:val="0"/>
        <w:rPr>
          <w:rFonts w:hint="eastAsia" w:ascii="宋体" w:hAnsi="宋体" w:eastAsia="宋体" w:cs="宋体"/>
          <w:b/>
          <w:color w:val="auto"/>
          <w:kern w:val="0"/>
          <w:szCs w:val="21"/>
          <w:highlight w:val="none"/>
          <w:lang w:eastAsia="zh-CN"/>
        </w:rPr>
      </w:pPr>
      <w:bookmarkStart w:id="159" w:name="_Toc382901577"/>
      <w:bookmarkStart w:id="160" w:name="_Toc247277963"/>
      <w:bookmarkStart w:id="161" w:name="_Toc260172676"/>
      <w:bookmarkStart w:id="162" w:name="_Toc199321924"/>
      <w:bookmarkStart w:id="163" w:name="_Toc491246668"/>
      <w:bookmarkStart w:id="164" w:name="_Toc381278413"/>
      <w:bookmarkStart w:id="165" w:name="_Toc262675343"/>
      <w:bookmarkStart w:id="166" w:name="_Toc209498839"/>
      <w:r>
        <w:rPr>
          <w:rFonts w:hint="eastAsia" w:ascii="宋体" w:hAnsi="宋体" w:cs="宋体"/>
          <w:b/>
          <w:color w:val="auto"/>
          <w:kern w:val="0"/>
          <w:szCs w:val="21"/>
          <w:highlight w:val="none"/>
        </w:rPr>
        <w:t xml:space="preserve">6.3 </w:t>
      </w:r>
      <w:bookmarkEnd w:id="159"/>
      <w:bookmarkEnd w:id="160"/>
      <w:bookmarkEnd w:id="161"/>
      <w:bookmarkEnd w:id="162"/>
      <w:bookmarkEnd w:id="163"/>
      <w:bookmarkEnd w:id="164"/>
      <w:bookmarkEnd w:id="165"/>
      <w:bookmarkEnd w:id="166"/>
      <w:r>
        <w:rPr>
          <w:rFonts w:hint="eastAsia" w:ascii="宋体" w:hAnsi="宋体" w:cs="宋体"/>
          <w:b/>
          <w:color w:val="auto"/>
          <w:kern w:val="0"/>
          <w:szCs w:val="21"/>
          <w:highlight w:val="none"/>
          <w:lang w:val="en-US" w:eastAsia="zh-CN"/>
        </w:rPr>
        <w:t>评审</w:t>
      </w:r>
    </w:p>
    <w:p w14:paraId="16C1C9D7">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磋商小组按照</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办法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规定的方法、评审因素、标准和程序对磋商文件进行评审。</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评审</w:t>
      </w:r>
      <w:r>
        <w:rPr>
          <w:rFonts w:hint="eastAsia" w:ascii="宋体" w:hAnsi="宋体" w:cs="宋体"/>
          <w:color w:val="auto"/>
          <w:kern w:val="0"/>
          <w:szCs w:val="21"/>
          <w:highlight w:val="none"/>
        </w:rPr>
        <w:t>办法</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没有规定的方法、评审因素和标准，不作为成交依据。</w:t>
      </w:r>
    </w:p>
    <w:p w14:paraId="5C6B6D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67" w:name="_Toc199321925"/>
      <w:bookmarkStart w:id="168" w:name="_Toc382901578"/>
      <w:bookmarkStart w:id="169" w:name="_Toc247277964"/>
      <w:bookmarkStart w:id="170" w:name="_Toc262675344"/>
      <w:bookmarkStart w:id="171" w:name="_Toc260172677"/>
      <w:bookmarkStart w:id="172" w:name="_Toc209498840"/>
      <w:bookmarkStart w:id="173" w:name="_Toc491246669"/>
      <w:r>
        <w:rPr>
          <w:rFonts w:hint="eastAsia" w:ascii="宋体" w:hAnsi="宋体" w:cs="宋体"/>
          <w:b/>
          <w:color w:val="auto"/>
          <w:kern w:val="0"/>
          <w:szCs w:val="21"/>
          <w:highlight w:val="none"/>
        </w:rPr>
        <w:t>7. 合同授予</w:t>
      </w:r>
      <w:bookmarkEnd w:id="167"/>
      <w:bookmarkEnd w:id="168"/>
      <w:bookmarkEnd w:id="169"/>
      <w:bookmarkEnd w:id="170"/>
      <w:bookmarkEnd w:id="171"/>
      <w:bookmarkEnd w:id="172"/>
      <w:bookmarkEnd w:id="173"/>
    </w:p>
    <w:p w14:paraId="3305288F">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74" w:name="_Toc262675345"/>
      <w:bookmarkStart w:id="175" w:name="_Toc209498841"/>
      <w:bookmarkStart w:id="176" w:name="_Toc381278415"/>
      <w:bookmarkStart w:id="177" w:name="_Toc382901579"/>
      <w:bookmarkStart w:id="178" w:name="_Toc247277965"/>
      <w:bookmarkStart w:id="179" w:name="_Toc199321926"/>
      <w:bookmarkStart w:id="180" w:name="_Toc260172678"/>
      <w:bookmarkStart w:id="181" w:name="_Toc491246670"/>
      <w:r>
        <w:rPr>
          <w:rFonts w:hint="eastAsia" w:ascii="宋体" w:hAnsi="宋体" w:cs="宋体"/>
          <w:b/>
          <w:color w:val="auto"/>
          <w:kern w:val="0"/>
          <w:szCs w:val="21"/>
          <w:highlight w:val="none"/>
        </w:rPr>
        <w:t>7.1 成交方式</w:t>
      </w:r>
      <w:bookmarkEnd w:id="174"/>
      <w:bookmarkEnd w:id="175"/>
      <w:bookmarkEnd w:id="176"/>
      <w:bookmarkEnd w:id="177"/>
      <w:bookmarkEnd w:id="178"/>
      <w:bookmarkEnd w:id="179"/>
      <w:bookmarkEnd w:id="180"/>
      <w:bookmarkEnd w:id="181"/>
    </w:p>
    <w:p w14:paraId="0E9EEC00">
      <w:pPr>
        <w:keepNext w:val="0"/>
        <w:keepLines w:val="0"/>
        <w:pageBreakBefore w:val="0"/>
        <w:kinsoku/>
        <w:wordWrap/>
        <w:topLinePunct w:val="0"/>
        <w:autoSpaceDE w:val="0"/>
        <w:autoSpaceDN w:val="0"/>
        <w:bidi w:val="0"/>
        <w:adjustRightInd w:val="0"/>
        <w:snapToGrid/>
        <w:spacing w:line="440" w:lineRule="exact"/>
        <w:ind w:firstLine="315" w:firstLineChars="150"/>
        <w:jc w:val="left"/>
        <w:rPr>
          <w:rFonts w:ascii="宋体" w:hAnsi="宋体" w:cs="宋体"/>
          <w:color w:val="auto"/>
          <w:kern w:val="0"/>
          <w:szCs w:val="21"/>
          <w:highlight w:val="none"/>
        </w:rPr>
      </w:pPr>
      <w:r>
        <w:rPr>
          <w:rFonts w:hint="eastAsia" w:ascii="宋体" w:hAnsi="宋体" w:cs="宋体"/>
          <w:color w:val="auto"/>
          <w:kern w:val="0"/>
          <w:szCs w:val="21"/>
          <w:highlight w:val="none"/>
        </w:rPr>
        <w:t>除供应商须知前附表规定磋商小组直接确定成交候选人外，采购人依据磋商小组推荐的成交候选人确定成交供应商，磋商小组推荐成交候选人的人数见供应商须知前附表。</w:t>
      </w:r>
    </w:p>
    <w:p w14:paraId="330F210D">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82" w:name="_Toc209498842"/>
      <w:bookmarkStart w:id="183" w:name="_Toc381278416"/>
      <w:bookmarkStart w:id="184" w:name="_Toc382901580"/>
      <w:bookmarkStart w:id="185" w:name="_Toc491246671"/>
      <w:bookmarkStart w:id="186" w:name="_Toc260172679"/>
      <w:bookmarkStart w:id="187" w:name="_Toc262675346"/>
      <w:bookmarkStart w:id="188" w:name="_Toc247277966"/>
      <w:r>
        <w:rPr>
          <w:rFonts w:hint="eastAsia" w:ascii="宋体" w:hAnsi="宋体" w:cs="宋体"/>
          <w:b/>
          <w:color w:val="auto"/>
          <w:kern w:val="0"/>
          <w:szCs w:val="21"/>
          <w:highlight w:val="none"/>
        </w:rPr>
        <w:t>7.2</w:t>
      </w:r>
      <w:r>
        <w:rPr>
          <w:rFonts w:hint="eastAsia" w:ascii="宋体" w:hAnsi="宋体" w:cs="宋体"/>
          <w:b/>
          <w:color w:val="auto"/>
          <w:kern w:val="0"/>
          <w:szCs w:val="21"/>
          <w:highlight w:val="none"/>
          <w:lang w:val="en-US" w:eastAsia="zh-CN"/>
        </w:rPr>
        <w:t xml:space="preserve"> </w:t>
      </w:r>
      <w:r>
        <w:rPr>
          <w:rFonts w:hint="eastAsia" w:ascii="宋体" w:hAnsi="宋体" w:cs="宋体"/>
          <w:b/>
          <w:color w:val="auto"/>
          <w:kern w:val="0"/>
          <w:szCs w:val="21"/>
          <w:highlight w:val="none"/>
        </w:rPr>
        <w:t>成交通知</w:t>
      </w:r>
      <w:bookmarkEnd w:id="182"/>
      <w:bookmarkEnd w:id="183"/>
      <w:bookmarkEnd w:id="184"/>
      <w:bookmarkEnd w:id="185"/>
      <w:bookmarkEnd w:id="186"/>
      <w:bookmarkEnd w:id="187"/>
      <w:bookmarkEnd w:id="188"/>
    </w:p>
    <w:p w14:paraId="5E56538B">
      <w:pPr>
        <w:keepNext w:val="0"/>
        <w:keepLines w:val="0"/>
        <w:pageBreakBefore w:val="0"/>
        <w:kinsoku/>
        <w:wordWrap/>
        <w:topLinePunct w:val="0"/>
        <w:autoSpaceDE w:val="0"/>
        <w:autoSpaceDN w:val="0"/>
        <w:bidi w:val="0"/>
        <w:adjustRightInd w:val="0"/>
        <w:snapToGrid/>
        <w:spacing w:line="440" w:lineRule="exact"/>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在本章第3.3 款规定的磋商有效期内，采购人以书面形式向磋商成交单位发出成交通知书，并在</w:t>
      </w:r>
      <w:r>
        <w:rPr>
          <w:rFonts w:hint="eastAsia" w:ascii="宋体" w:hAnsi="宋体" w:cs="宋体"/>
          <w:color w:val="auto"/>
          <w:szCs w:val="21"/>
          <w:highlight w:val="none"/>
          <w:lang w:eastAsia="zh-CN"/>
        </w:rPr>
        <w:t>公告发布媒介上发布成交结果公告</w:t>
      </w:r>
      <w:r>
        <w:rPr>
          <w:rFonts w:hint="eastAsia" w:ascii="宋体" w:hAnsi="宋体" w:cs="宋体"/>
          <w:color w:val="auto"/>
          <w:kern w:val="0"/>
          <w:szCs w:val="21"/>
          <w:highlight w:val="none"/>
        </w:rPr>
        <w:t>，同时以此代替通知未成交的供应商。</w:t>
      </w:r>
    </w:p>
    <w:p w14:paraId="5BB71996">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89" w:name="_Toc260172680"/>
      <w:bookmarkStart w:id="190" w:name="_Toc209498843"/>
      <w:bookmarkStart w:id="191" w:name="_Toc491246672"/>
      <w:bookmarkStart w:id="192" w:name="_Toc199321927"/>
      <w:bookmarkStart w:id="193" w:name="_Toc262675347"/>
      <w:bookmarkStart w:id="194" w:name="_Toc381278417"/>
      <w:bookmarkStart w:id="195" w:name="_Toc382901581"/>
      <w:bookmarkStart w:id="196" w:name="_Toc247277967"/>
      <w:r>
        <w:rPr>
          <w:rFonts w:hint="eastAsia" w:ascii="宋体" w:hAnsi="宋体" w:cs="宋体"/>
          <w:b/>
          <w:color w:val="auto"/>
          <w:kern w:val="0"/>
          <w:szCs w:val="21"/>
          <w:highlight w:val="none"/>
        </w:rPr>
        <w:t>7.3 履约担保</w:t>
      </w:r>
      <w:bookmarkEnd w:id="189"/>
      <w:bookmarkEnd w:id="190"/>
      <w:bookmarkEnd w:id="191"/>
      <w:bookmarkEnd w:id="192"/>
      <w:bookmarkEnd w:id="193"/>
      <w:bookmarkEnd w:id="194"/>
      <w:bookmarkEnd w:id="195"/>
      <w:bookmarkEnd w:id="196"/>
    </w:p>
    <w:p w14:paraId="12FD2835">
      <w:pPr>
        <w:keepNext w:val="0"/>
        <w:keepLines w:val="0"/>
        <w:pageBreakBefore w:val="0"/>
        <w:kinsoku/>
        <w:wordWrap/>
        <w:topLinePunct w:val="0"/>
        <w:autoSpaceDE w:val="0"/>
        <w:autoSpaceDN w:val="0"/>
        <w:bidi w:val="0"/>
        <w:adjustRightInd w:val="0"/>
        <w:snapToGrid/>
        <w:spacing w:line="440" w:lineRule="exact"/>
        <w:ind w:firstLine="420" w:firstLineChars="200"/>
        <w:jc w:val="left"/>
        <w:outlineLvl w:val="0"/>
        <w:rPr>
          <w:rFonts w:ascii="宋体" w:hAnsi="宋体" w:cs="宋体"/>
          <w:b w:val="0"/>
          <w:bCs/>
          <w:color w:val="auto"/>
          <w:kern w:val="0"/>
          <w:szCs w:val="21"/>
          <w:highlight w:val="none"/>
        </w:rPr>
      </w:pPr>
      <w:bookmarkStart w:id="197" w:name="_Toc199321928"/>
      <w:r>
        <w:rPr>
          <w:rFonts w:hint="eastAsia" w:ascii="宋体" w:hAnsi="宋体" w:cs="宋体"/>
          <w:b w:val="0"/>
          <w:bCs/>
          <w:color w:val="auto"/>
          <w:kern w:val="0"/>
          <w:szCs w:val="21"/>
          <w:highlight w:val="none"/>
        </w:rPr>
        <w:t>磋商后双方在合同中约定。</w:t>
      </w:r>
    </w:p>
    <w:p w14:paraId="20109460">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bookmarkStart w:id="198" w:name="_Toc260172681"/>
      <w:bookmarkStart w:id="199" w:name="_Toc382901583"/>
      <w:bookmarkStart w:id="200" w:name="_Toc381278419"/>
      <w:bookmarkStart w:id="201" w:name="_Toc262675348"/>
      <w:bookmarkStart w:id="202" w:name="_Toc247277968"/>
      <w:r>
        <w:rPr>
          <w:rFonts w:hint="eastAsia" w:ascii="宋体" w:hAnsi="宋体" w:cs="宋体"/>
          <w:b/>
          <w:color w:val="auto"/>
          <w:kern w:val="0"/>
          <w:szCs w:val="21"/>
          <w:highlight w:val="none"/>
        </w:rPr>
        <w:t>7.4 签订合同</w:t>
      </w:r>
      <w:bookmarkEnd w:id="197"/>
      <w:bookmarkEnd w:id="198"/>
      <w:bookmarkEnd w:id="199"/>
      <w:bookmarkEnd w:id="200"/>
      <w:bookmarkEnd w:id="201"/>
      <w:bookmarkEnd w:id="202"/>
    </w:p>
    <w:p w14:paraId="384238F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spacing w:val="-2"/>
          <w:kern w:val="0"/>
          <w:szCs w:val="21"/>
          <w:highlight w:val="none"/>
        </w:rPr>
      </w:pPr>
      <w:r>
        <w:rPr>
          <w:rFonts w:hint="eastAsia" w:ascii="宋体" w:hAnsi="宋体" w:cs="宋体"/>
          <w:color w:val="auto"/>
          <w:kern w:val="0"/>
          <w:szCs w:val="21"/>
          <w:lang w:val="en-US" w:eastAsia="zh-CN"/>
        </w:rPr>
        <w:t>采购人与成交供应商应当在成交通知书发出之日起三十日内，按照采购文件确定的事项签订政府采购合同</w:t>
      </w:r>
      <w:r>
        <w:rPr>
          <w:rFonts w:hint="eastAsia" w:ascii="宋体" w:hAnsi="宋体" w:cs="宋体"/>
          <w:color w:val="auto"/>
          <w:kern w:val="0"/>
          <w:szCs w:val="21"/>
          <w:highlight w:val="none"/>
        </w:rPr>
        <w:t>。</w:t>
      </w:r>
    </w:p>
    <w:p w14:paraId="55D676F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bCs/>
          <w:color w:val="auto"/>
          <w:spacing w:val="-2"/>
          <w:kern w:val="0"/>
          <w:szCs w:val="21"/>
          <w:highlight w:val="none"/>
        </w:rPr>
      </w:pPr>
      <w:r>
        <w:rPr>
          <w:rFonts w:hint="eastAsia" w:ascii="宋体" w:hAnsi="宋体" w:cs="宋体"/>
          <w:color w:val="auto"/>
          <w:kern w:val="0"/>
          <w:szCs w:val="21"/>
          <w:lang w:val="en-US" w:eastAsia="zh-CN"/>
        </w:rPr>
        <w:t>成交通知书对采购人和成交供应商均具有法律效力。成交通知书发出后，采购人改变成交结果的，或者成交供应商放弃成交项目的，应当依法承担法律责任</w:t>
      </w:r>
      <w:r>
        <w:rPr>
          <w:rFonts w:hint="eastAsia" w:ascii="宋体" w:hAnsi="宋体" w:cs="宋体"/>
          <w:bCs/>
          <w:color w:val="auto"/>
          <w:spacing w:val="-2"/>
          <w:kern w:val="0"/>
          <w:szCs w:val="21"/>
          <w:highlight w:val="none"/>
        </w:rPr>
        <w:t>。</w:t>
      </w:r>
    </w:p>
    <w:p w14:paraId="1DFA9B3E">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8. 重新采购</w:t>
      </w:r>
    </w:p>
    <w:p w14:paraId="313303AB">
      <w:pPr>
        <w:autoSpaceDE w:val="0"/>
        <w:autoSpaceDN w:val="0"/>
        <w:adjustRightInd w:val="0"/>
        <w:spacing w:line="500" w:lineRule="exact"/>
        <w:ind w:firstLine="412" w:firstLineChars="200"/>
        <w:jc w:val="left"/>
        <w:rPr>
          <w:rFonts w:ascii="宋体" w:hAnsi="宋体" w:cs="宋体"/>
          <w:bCs/>
          <w:color w:val="auto"/>
          <w:spacing w:val="-2"/>
          <w:kern w:val="0"/>
          <w:szCs w:val="21"/>
          <w:highlight w:val="none"/>
        </w:rPr>
      </w:pPr>
      <w:r>
        <w:rPr>
          <w:rFonts w:hint="eastAsia" w:ascii="宋体" w:hAnsi="宋体" w:cs="宋体"/>
          <w:bCs/>
          <w:color w:val="auto"/>
          <w:spacing w:val="-2"/>
          <w:kern w:val="0"/>
          <w:szCs w:val="21"/>
        </w:rPr>
        <w:t>有下列情</w:t>
      </w:r>
      <w:r>
        <w:rPr>
          <w:rFonts w:hint="eastAsia" w:ascii="宋体" w:hAnsi="宋体" w:cs="宋体"/>
          <w:bCs/>
          <w:color w:val="auto"/>
          <w:spacing w:val="-2"/>
          <w:kern w:val="0"/>
          <w:szCs w:val="21"/>
          <w:highlight w:val="none"/>
        </w:rPr>
        <w:t>形之一的，采购人将重新采购：</w:t>
      </w:r>
    </w:p>
    <w:p w14:paraId="003422F0">
      <w:pPr>
        <w:numPr>
          <w:ilvl w:val="0"/>
          <w:numId w:val="4"/>
        </w:numPr>
        <w:autoSpaceDE w:val="0"/>
        <w:autoSpaceDN w:val="0"/>
        <w:adjustRightInd w:val="0"/>
        <w:spacing w:line="500" w:lineRule="exact"/>
        <w:ind w:left="0" w:leftChars="0" w:firstLine="412" w:firstLineChars="200"/>
        <w:jc w:val="left"/>
        <w:rPr>
          <w:rFonts w:hint="eastAsia" w:ascii="宋体" w:hAnsi="宋体" w:cs="宋体"/>
          <w:bCs/>
          <w:color w:val="auto"/>
          <w:spacing w:val="-2"/>
          <w:kern w:val="0"/>
          <w:szCs w:val="21"/>
          <w:lang w:val="en-US" w:eastAsia="zh-CN"/>
        </w:rPr>
      </w:pPr>
      <w:r>
        <w:rPr>
          <w:rFonts w:hint="eastAsia" w:ascii="宋体" w:hAnsi="宋体" w:cs="宋体"/>
          <w:bCs/>
          <w:color w:val="auto"/>
          <w:spacing w:val="-2"/>
          <w:kern w:val="0"/>
          <w:szCs w:val="21"/>
          <w:lang w:val="en-US" w:eastAsia="zh-CN"/>
        </w:rPr>
        <w:t>磋商文件能够详细列明采购标的的技术、服务要求的，磋商结束后提交最后报价的供应商少于3家的；</w:t>
      </w:r>
    </w:p>
    <w:p w14:paraId="36E5E5A2">
      <w:pPr>
        <w:numPr>
          <w:ilvl w:val="0"/>
          <w:numId w:val="4"/>
        </w:numPr>
        <w:autoSpaceDE w:val="0"/>
        <w:autoSpaceDN w:val="0"/>
        <w:adjustRightInd w:val="0"/>
        <w:spacing w:line="500" w:lineRule="exact"/>
        <w:ind w:left="0" w:leftChars="0" w:firstLine="420" w:firstLineChars="200"/>
        <w:jc w:val="left"/>
        <w:rPr>
          <w:rFonts w:hint="eastAsia" w:ascii="宋体" w:hAnsi="宋体" w:cs="宋体"/>
          <w:bCs/>
          <w:color w:val="auto"/>
          <w:spacing w:val="-2"/>
          <w:kern w:val="0"/>
          <w:szCs w:val="21"/>
          <w:lang w:val="en-US" w:eastAsia="zh-CN"/>
        </w:rPr>
      </w:pPr>
      <w:r>
        <w:rPr>
          <w:rFonts w:hint="eastAsia" w:ascii="宋体" w:hAnsi="宋体" w:cs="宋体"/>
          <w:color w:val="auto"/>
          <w:kern w:val="0"/>
          <w:szCs w:val="21"/>
        </w:rPr>
        <w:t>磋商文件不能详细列明采购标的的技术、服务要求，需经磋商由供应商提供最终设计方案或解决方案的，磋商结束后，磋商小组按照少数服从多数的原则投票推荐</w:t>
      </w:r>
      <w:r>
        <w:rPr>
          <w:rFonts w:hint="eastAsia" w:ascii="宋体" w:hAnsi="宋体" w:cs="宋体"/>
          <w:color w:val="auto"/>
          <w:kern w:val="0"/>
          <w:szCs w:val="21"/>
          <w:lang w:eastAsia="zh-CN"/>
        </w:rPr>
        <w:t>的供应商少于</w:t>
      </w:r>
      <w:r>
        <w:rPr>
          <w:rFonts w:hint="eastAsia" w:ascii="宋体" w:hAnsi="宋体" w:cs="宋体"/>
          <w:color w:val="auto"/>
          <w:kern w:val="0"/>
          <w:szCs w:val="21"/>
        </w:rPr>
        <w:t>3家</w:t>
      </w:r>
      <w:r>
        <w:rPr>
          <w:rFonts w:hint="eastAsia" w:ascii="宋体" w:hAnsi="宋体" w:cs="宋体"/>
          <w:color w:val="auto"/>
          <w:kern w:val="0"/>
          <w:szCs w:val="21"/>
          <w:lang w:eastAsia="zh-CN"/>
        </w:rPr>
        <w:t>的；</w:t>
      </w:r>
    </w:p>
    <w:p w14:paraId="259DA76C">
      <w:pPr>
        <w:numPr>
          <w:ilvl w:val="0"/>
          <w:numId w:val="4"/>
        </w:numPr>
        <w:autoSpaceDE w:val="0"/>
        <w:autoSpaceDN w:val="0"/>
        <w:adjustRightInd w:val="0"/>
        <w:spacing w:line="500" w:lineRule="exact"/>
        <w:ind w:left="0" w:leftChars="0" w:firstLine="412" w:firstLineChars="200"/>
        <w:jc w:val="left"/>
        <w:rPr>
          <w:rFonts w:hint="eastAsia" w:ascii="宋体" w:hAnsi="宋体" w:cs="宋体"/>
          <w:bCs/>
          <w:color w:val="auto"/>
          <w:spacing w:val="-2"/>
          <w:kern w:val="0"/>
          <w:szCs w:val="21"/>
          <w:lang w:val="en-US" w:eastAsia="zh-CN"/>
        </w:rPr>
      </w:pPr>
      <w:r>
        <w:rPr>
          <w:rFonts w:hint="eastAsia" w:ascii="宋体" w:hAnsi="宋体" w:cs="宋体"/>
          <w:bCs/>
          <w:color w:val="auto"/>
          <w:spacing w:val="-2"/>
          <w:kern w:val="0"/>
          <w:szCs w:val="21"/>
          <w:lang w:val="en-US" w:eastAsia="zh-CN"/>
        </w:rPr>
        <w:t>采购项目为</w:t>
      </w:r>
      <w:r>
        <w:rPr>
          <w:rFonts w:hint="eastAsia" w:ascii="宋体" w:hAnsi="宋体" w:cs="宋体"/>
          <w:color w:val="auto"/>
          <w:kern w:val="0"/>
          <w:szCs w:val="21"/>
          <w:lang w:val="en-US" w:eastAsia="zh-CN"/>
        </w:rPr>
        <w:t>市场竞争不充分的科研项目，以及需要扶持的科技成果转化项目，提交最后报价的供应商少于2家的；</w:t>
      </w:r>
    </w:p>
    <w:p w14:paraId="7FA48B18">
      <w:pPr>
        <w:autoSpaceDE w:val="0"/>
        <w:autoSpaceDN w:val="0"/>
        <w:adjustRightInd w:val="0"/>
        <w:spacing w:line="500" w:lineRule="exact"/>
        <w:ind w:firstLine="412" w:firstLineChars="200"/>
        <w:jc w:val="left"/>
        <w:rPr>
          <w:rFonts w:hint="eastAsia" w:ascii="宋体" w:hAnsi="宋体" w:cs="宋体"/>
          <w:bCs/>
          <w:color w:val="auto"/>
          <w:spacing w:val="-2"/>
          <w:kern w:val="0"/>
          <w:szCs w:val="21"/>
          <w:lang w:val="en-US" w:eastAsia="zh-CN"/>
        </w:rPr>
      </w:pPr>
      <w:r>
        <w:rPr>
          <w:rFonts w:hint="eastAsia" w:ascii="宋体" w:hAnsi="宋体" w:cs="宋体"/>
          <w:bCs/>
          <w:color w:val="auto"/>
          <w:spacing w:val="-2"/>
          <w:kern w:val="0"/>
          <w:szCs w:val="21"/>
          <w:lang w:val="en-US" w:eastAsia="zh-CN"/>
        </w:rPr>
        <w:t>（4）采用竞争性磋商采购方式采购的政府购买服务项目（含政府和社会资本合作项目），在采购过程中符合要求的供应商（社会资本）少于2家的；</w:t>
      </w:r>
    </w:p>
    <w:p w14:paraId="7A614C59">
      <w:pPr>
        <w:keepNext w:val="0"/>
        <w:keepLines w:val="0"/>
        <w:pageBreakBefore w:val="0"/>
        <w:kinsoku/>
        <w:wordWrap/>
        <w:topLinePunct w:val="0"/>
        <w:autoSpaceDE w:val="0"/>
        <w:autoSpaceDN w:val="0"/>
        <w:bidi w:val="0"/>
        <w:adjustRightInd w:val="0"/>
        <w:snapToGrid/>
        <w:spacing w:line="440" w:lineRule="exact"/>
        <w:ind w:firstLine="412" w:firstLineChars="200"/>
        <w:jc w:val="left"/>
        <w:rPr>
          <w:rFonts w:ascii="宋体" w:hAnsi="宋体" w:cs="宋体"/>
          <w:bCs/>
          <w:color w:val="auto"/>
          <w:spacing w:val="-2"/>
          <w:kern w:val="0"/>
          <w:szCs w:val="21"/>
          <w:highlight w:val="none"/>
        </w:rPr>
      </w:pPr>
      <w:r>
        <w:rPr>
          <w:rFonts w:hint="eastAsia" w:ascii="宋体" w:hAnsi="宋体" w:cs="宋体"/>
          <w:bCs/>
          <w:color w:val="auto"/>
          <w:spacing w:val="-2"/>
          <w:kern w:val="0"/>
          <w:szCs w:val="21"/>
        </w:rPr>
        <w:t>（</w:t>
      </w:r>
      <w:r>
        <w:rPr>
          <w:rFonts w:hint="eastAsia" w:ascii="宋体" w:hAnsi="宋体" w:cs="宋体"/>
          <w:bCs/>
          <w:color w:val="auto"/>
          <w:spacing w:val="-2"/>
          <w:kern w:val="0"/>
          <w:szCs w:val="21"/>
          <w:lang w:val="en-US" w:eastAsia="zh-CN"/>
        </w:rPr>
        <w:t>5</w:t>
      </w:r>
      <w:r>
        <w:rPr>
          <w:rFonts w:hint="eastAsia" w:ascii="宋体" w:hAnsi="宋体" w:cs="宋体"/>
          <w:bCs/>
          <w:color w:val="auto"/>
          <w:spacing w:val="-2"/>
          <w:kern w:val="0"/>
          <w:szCs w:val="21"/>
        </w:rPr>
        <w:t>）法律、法规规定的应当重新采购的其他情形</w:t>
      </w:r>
      <w:r>
        <w:rPr>
          <w:rFonts w:hint="eastAsia" w:ascii="宋体" w:hAnsi="宋体" w:cs="宋体"/>
          <w:bCs/>
          <w:color w:val="auto"/>
          <w:spacing w:val="-2"/>
          <w:kern w:val="0"/>
          <w:szCs w:val="21"/>
          <w:highlight w:val="none"/>
        </w:rPr>
        <w:t>。</w:t>
      </w:r>
    </w:p>
    <w:p w14:paraId="697A653B">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9．纪律和监督</w:t>
      </w:r>
    </w:p>
    <w:p w14:paraId="2D379776">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9.1对采购人的纪律要求</w:t>
      </w:r>
    </w:p>
    <w:p w14:paraId="3217709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采购人不得泄漏采购活动中应当保密的情况和资料，</w:t>
      </w:r>
      <w:r>
        <w:rPr>
          <w:rFonts w:hint="eastAsia" w:ascii="宋体" w:hAnsi="宋体" w:cs="宋体"/>
          <w:color w:val="auto"/>
          <w:kern w:val="0"/>
          <w:szCs w:val="21"/>
        </w:rPr>
        <w:t>不得与</w:t>
      </w:r>
      <w:r>
        <w:rPr>
          <w:rFonts w:hint="eastAsia" w:ascii="宋体" w:hAnsi="宋体" w:cs="宋体"/>
          <w:color w:val="auto"/>
          <w:kern w:val="0"/>
          <w:szCs w:val="21"/>
          <w:lang w:eastAsia="zh-CN"/>
        </w:rPr>
        <w:t>供应商</w:t>
      </w:r>
      <w:r>
        <w:rPr>
          <w:rFonts w:hint="eastAsia" w:ascii="宋体" w:hAnsi="宋体" w:cs="宋体"/>
          <w:color w:val="auto"/>
          <w:kern w:val="0"/>
          <w:szCs w:val="21"/>
        </w:rPr>
        <w:t>串通损害国家利益</w:t>
      </w:r>
      <w:r>
        <w:rPr>
          <w:rFonts w:hint="eastAsia" w:ascii="宋体" w:hAnsi="宋体" w:cs="宋体"/>
          <w:color w:val="auto"/>
          <w:kern w:val="0"/>
          <w:szCs w:val="21"/>
          <w:highlight w:val="none"/>
        </w:rPr>
        <w:t>、社会公共利益或者他人合法权益。</w:t>
      </w:r>
    </w:p>
    <w:p w14:paraId="66BC7B04">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9.2</w:t>
      </w:r>
      <w:r>
        <w:rPr>
          <w:rFonts w:hint="eastAsia" w:ascii="宋体" w:hAnsi="宋体" w:cs="宋体"/>
          <w:b/>
          <w:bCs/>
          <w:color w:val="auto"/>
          <w:kern w:val="0"/>
          <w:szCs w:val="21"/>
        </w:rPr>
        <w:t>对</w:t>
      </w:r>
      <w:r>
        <w:rPr>
          <w:rFonts w:hint="eastAsia" w:ascii="宋体" w:hAnsi="宋体" w:cs="宋体"/>
          <w:b/>
          <w:bCs/>
          <w:color w:val="auto"/>
          <w:kern w:val="0"/>
          <w:szCs w:val="21"/>
          <w:lang w:eastAsia="zh-CN"/>
        </w:rPr>
        <w:t>供应商</w:t>
      </w:r>
      <w:r>
        <w:rPr>
          <w:rFonts w:hint="eastAsia" w:ascii="宋体" w:hAnsi="宋体" w:cs="宋体"/>
          <w:b/>
          <w:bCs/>
          <w:color w:val="auto"/>
          <w:kern w:val="0"/>
          <w:szCs w:val="21"/>
        </w:rPr>
        <w:t>的纪律和法律要求</w:t>
      </w:r>
    </w:p>
    <w:p w14:paraId="7C9E93B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9.2.1</w:t>
      </w:r>
      <w:r>
        <w:rPr>
          <w:rFonts w:hint="eastAsia" w:ascii="宋体" w:hAnsi="宋体" w:cs="宋体"/>
          <w:color w:val="auto"/>
          <w:kern w:val="0"/>
          <w:szCs w:val="21"/>
        </w:rPr>
        <w:t>对</w:t>
      </w:r>
      <w:r>
        <w:rPr>
          <w:rFonts w:hint="eastAsia" w:ascii="宋体" w:hAnsi="宋体" w:cs="宋体"/>
          <w:color w:val="auto"/>
          <w:kern w:val="0"/>
          <w:szCs w:val="21"/>
          <w:lang w:eastAsia="zh-CN"/>
        </w:rPr>
        <w:t>供应商</w:t>
      </w:r>
      <w:r>
        <w:rPr>
          <w:rFonts w:hint="eastAsia" w:ascii="宋体" w:hAnsi="宋体" w:cs="宋体"/>
          <w:color w:val="auto"/>
          <w:kern w:val="0"/>
          <w:szCs w:val="21"/>
        </w:rPr>
        <w:t>的纪律要求</w:t>
      </w:r>
      <w:r>
        <w:rPr>
          <w:rFonts w:hint="eastAsia" w:ascii="宋体" w:hAnsi="宋体" w:cs="宋体"/>
          <w:color w:val="auto"/>
          <w:kern w:val="0"/>
          <w:szCs w:val="21"/>
          <w:highlight w:val="none"/>
        </w:rPr>
        <w:t>：</w:t>
      </w:r>
      <w:r>
        <w:rPr>
          <w:rFonts w:hint="eastAsia" w:ascii="宋体" w:hAnsi="宋体" w:cs="宋体"/>
          <w:color w:val="auto"/>
          <w:kern w:val="0"/>
          <w:szCs w:val="21"/>
          <w:lang w:eastAsia="zh-CN"/>
        </w:rPr>
        <w:t>供应商</w:t>
      </w:r>
      <w:r>
        <w:rPr>
          <w:rFonts w:hint="eastAsia" w:ascii="宋体" w:hAnsi="宋体" w:cs="宋体"/>
          <w:color w:val="auto"/>
          <w:kern w:val="0"/>
          <w:szCs w:val="21"/>
        </w:rPr>
        <w:t>不</w:t>
      </w:r>
      <w:r>
        <w:rPr>
          <w:rFonts w:hint="eastAsia" w:ascii="宋体" w:hAnsi="宋体" w:cs="宋体"/>
          <w:color w:val="auto"/>
          <w:kern w:val="0"/>
          <w:szCs w:val="21"/>
          <w:highlight w:val="none"/>
        </w:rPr>
        <w:t>得相互串通投标或者与采购人串通投标，不得向采购人或者磋商小组成员行贿谋取中标，不得以他人名义投标或者以其他方式弄虚作假骗取中标；</w:t>
      </w:r>
      <w:r>
        <w:rPr>
          <w:rFonts w:hint="eastAsia" w:ascii="宋体" w:hAnsi="宋体" w:cs="宋体"/>
          <w:color w:val="auto"/>
          <w:kern w:val="0"/>
          <w:szCs w:val="21"/>
          <w:lang w:eastAsia="zh-CN"/>
        </w:rPr>
        <w:t>供应商</w:t>
      </w:r>
      <w:r>
        <w:rPr>
          <w:rFonts w:hint="eastAsia" w:ascii="宋体" w:hAnsi="宋体" w:cs="宋体"/>
          <w:color w:val="auto"/>
          <w:kern w:val="0"/>
          <w:szCs w:val="21"/>
          <w:highlight w:val="none"/>
        </w:rPr>
        <w:t>不得以任何方式干扰、影响评标工作。</w:t>
      </w:r>
    </w:p>
    <w:p w14:paraId="0B74EDEE">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9.3对</w:t>
      </w:r>
      <w:r>
        <w:rPr>
          <w:rFonts w:hint="eastAsia" w:ascii="宋体" w:hAnsi="宋体" w:cs="宋体"/>
          <w:b/>
          <w:bCs/>
          <w:color w:val="auto"/>
          <w:kern w:val="0"/>
          <w:szCs w:val="21"/>
          <w:highlight w:val="none"/>
          <w:lang w:eastAsia="zh-CN"/>
        </w:rPr>
        <w:t>磋商小组</w:t>
      </w:r>
      <w:r>
        <w:rPr>
          <w:rFonts w:hint="eastAsia" w:ascii="宋体" w:hAnsi="宋体" w:cs="宋体"/>
          <w:b/>
          <w:bCs/>
          <w:color w:val="auto"/>
          <w:kern w:val="0"/>
          <w:szCs w:val="21"/>
          <w:highlight w:val="none"/>
        </w:rPr>
        <w:t>成员的纪律要求</w:t>
      </w:r>
    </w:p>
    <w:p w14:paraId="4BD9D5F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成员应严格遵守国家、省相关法律、法规和规章，不得收受他人的财物或者其他好处，不得向他人透漏对</w:t>
      </w:r>
      <w:r>
        <w:rPr>
          <w:rFonts w:hint="eastAsia" w:ascii="宋体" w:hAnsi="宋体" w:cs="宋体"/>
          <w:color w:val="auto"/>
          <w:kern w:val="0"/>
          <w:szCs w:val="21"/>
          <w:highlight w:val="none"/>
          <w:lang w:eastAsia="zh-CN"/>
        </w:rPr>
        <w:t>磋商响应</w:t>
      </w:r>
      <w:r>
        <w:rPr>
          <w:rFonts w:hint="eastAsia" w:ascii="宋体" w:hAnsi="宋体" w:cs="宋体"/>
          <w:color w:val="auto"/>
          <w:kern w:val="0"/>
          <w:szCs w:val="21"/>
          <w:highlight w:val="none"/>
        </w:rPr>
        <w:t>文件的评审和比较、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候选人的推荐情况以及评标有关的其他情况。在评标活动中，</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成员应当客观、公正地履行职责，遵守职业道德，不得擅离职守，影响评标程序正常进行，不得使用第</w:t>
      </w:r>
      <w:r>
        <w:rPr>
          <w:rFonts w:hint="eastAsia" w:ascii="宋体" w:hAnsi="宋体" w:cs="宋体"/>
          <w:color w:val="auto"/>
          <w:kern w:val="0"/>
          <w:szCs w:val="21"/>
          <w:highlight w:val="none"/>
          <w:lang w:eastAsia="zh-CN"/>
        </w:rPr>
        <w:t>四</w:t>
      </w:r>
      <w:r>
        <w:rPr>
          <w:rFonts w:hint="eastAsia" w:ascii="宋体" w:hAnsi="宋体" w:cs="宋体"/>
          <w:color w:val="auto"/>
          <w:kern w:val="0"/>
          <w:szCs w:val="21"/>
          <w:highlight w:val="none"/>
        </w:rPr>
        <w:t>章“</w:t>
      </w:r>
      <w:r>
        <w:rPr>
          <w:rFonts w:hint="eastAsia" w:ascii="宋体" w:hAnsi="宋体" w:cs="宋体"/>
          <w:color w:val="auto"/>
          <w:kern w:val="0"/>
          <w:szCs w:val="21"/>
          <w:highlight w:val="none"/>
          <w:lang w:eastAsia="zh-CN"/>
        </w:rPr>
        <w:t>评审</w:t>
      </w:r>
      <w:r>
        <w:rPr>
          <w:rFonts w:hint="eastAsia" w:ascii="宋体" w:hAnsi="宋体" w:cs="宋体"/>
          <w:color w:val="auto"/>
          <w:kern w:val="0"/>
          <w:szCs w:val="21"/>
          <w:highlight w:val="none"/>
        </w:rPr>
        <w:t>办法”没有规定的评审因素和标准进行评标。</w:t>
      </w:r>
    </w:p>
    <w:p w14:paraId="0B6776E0">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9.4对与评标活动有关的工作人员的纪律要求</w:t>
      </w:r>
    </w:p>
    <w:p w14:paraId="1A2C0F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与评标活动有关的工作人员不得收受他人的财物或者其他好处，不得向他人透漏对采购文件的评审和比较、</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候选人的推荐情况以及评标有关的其他情况。在评标活动中，与评标活动有关的工作人员不得擅离职守，影响评标程序正常进行。</w:t>
      </w:r>
    </w:p>
    <w:p w14:paraId="359CC72A">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SA"/>
        </w:rPr>
        <w:t>9.5</w:t>
      </w:r>
      <w:r>
        <w:rPr>
          <w:rFonts w:hint="eastAsia" w:ascii="宋体" w:hAnsi="宋体" w:eastAsia="宋体" w:cs="宋体"/>
          <w:b/>
          <w:bCs/>
          <w:color w:val="auto"/>
          <w:kern w:val="0"/>
          <w:sz w:val="21"/>
          <w:szCs w:val="21"/>
          <w:highlight w:val="none"/>
        </w:rPr>
        <w:t>质疑提出与答复</w:t>
      </w:r>
    </w:p>
    <w:p w14:paraId="1F7E62B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9.5.1 供应商认为采购文件、采购过程、中标或者成交结果使自己的权益受到损害的，可以在知道或者应知其权益受到损害之日起7个工作日内，</w:t>
      </w:r>
      <w:r>
        <w:rPr>
          <w:rFonts w:hint="eastAsia" w:ascii="宋体" w:hAnsi="宋体" w:cs="宋体"/>
          <w:color w:val="auto"/>
          <w:kern w:val="0"/>
          <w:sz w:val="21"/>
          <w:szCs w:val="21"/>
          <w:highlight w:val="none"/>
          <w:lang w:val="en-US" w:eastAsia="zh-CN" w:bidi="ar-SA"/>
        </w:rPr>
        <w:t>通过</w:t>
      </w:r>
      <w:r>
        <w:rPr>
          <w:rFonts w:hint="eastAsia" w:ascii="宋体" w:hAnsi="宋体" w:eastAsia="宋体" w:cs="宋体"/>
          <w:color w:val="auto"/>
          <w:kern w:val="0"/>
          <w:sz w:val="21"/>
          <w:szCs w:val="21"/>
          <w:highlight w:val="none"/>
          <w:lang w:val="en-US" w:eastAsia="zh-CN" w:bidi="ar-SA"/>
        </w:rPr>
        <w:t>“政采云”平台（网址：http://www.zcygov.cn）向采购人、采购代理机构提出质疑。</w:t>
      </w:r>
    </w:p>
    <w:p w14:paraId="0E2FA7F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采购文件可以要求供应商在法定质疑期内一次性提出针对同一采购程序环节的质疑。</w:t>
      </w:r>
    </w:p>
    <w:p w14:paraId="46F0A94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 提出质疑的供应商（以下简称质疑供应商）应当是参与所质疑项目采购活动的供应商。</w:t>
      </w:r>
    </w:p>
    <w:p w14:paraId="05ACECE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潜在供应商已依法获取其可质疑的采购文件的，可以对该文件提出质疑。对采购文件提出质疑的，应当在获取采购文件或者采购文件公告期限届满之日起7个工作日内提出。</w:t>
      </w:r>
    </w:p>
    <w:p w14:paraId="19A5DDD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9.5.3 供应商提出质疑应当提交质疑函和必要的证明材料。质疑函应当包括下列内容：</w:t>
      </w:r>
    </w:p>
    <w:p w14:paraId="589452C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（一）供应商的姓名或者名称、地址、邮编、联系人及联系电话；</w:t>
      </w:r>
    </w:p>
    <w:p w14:paraId="2508824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（二）质疑项目的名称、编号；</w:t>
      </w:r>
    </w:p>
    <w:p w14:paraId="5E1DA81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（三）具体、明确的质疑事项和与质疑事项相关的请求；</w:t>
      </w:r>
    </w:p>
    <w:p w14:paraId="6D97026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（四）事实依据；</w:t>
      </w:r>
    </w:p>
    <w:p w14:paraId="049DA10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（五）必要的法律依据；</w:t>
      </w:r>
    </w:p>
    <w:p w14:paraId="7C65BAD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（六）提出质疑的日期。</w:t>
      </w:r>
    </w:p>
    <w:p w14:paraId="17BB8C7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供应商为自然人的，应当由本人签字；供应商为法人或者其他组织的，应当由法定代表人、主要负责人，或者其授权代表签字或者盖章，并加盖公章。</w:t>
      </w:r>
    </w:p>
    <w:p w14:paraId="1B151B7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9.5.4 采购人、采购代理机构不得拒收质疑供应商在法定质疑期内发出的质疑函，应当在收到质疑函后7个工作日内作出答复，并</w:t>
      </w:r>
      <w:r>
        <w:rPr>
          <w:rFonts w:hint="eastAsia" w:ascii="宋体" w:hAnsi="宋体" w:cs="宋体"/>
          <w:color w:val="auto"/>
          <w:kern w:val="0"/>
          <w:sz w:val="21"/>
          <w:szCs w:val="21"/>
          <w:highlight w:val="none"/>
          <w:lang w:val="en-US" w:eastAsia="zh-CN" w:bidi="ar-SA"/>
        </w:rPr>
        <w:t>通过</w:t>
      </w:r>
      <w:r>
        <w:rPr>
          <w:rFonts w:hint="eastAsia" w:ascii="宋体" w:hAnsi="宋体" w:cs="宋体"/>
          <w:color w:val="auto"/>
          <w:sz w:val="21"/>
          <w:szCs w:val="21"/>
          <w:highlight w:val="none"/>
          <w:lang w:val="en-US" w:eastAsia="zh-CN"/>
        </w:rPr>
        <w:t>“政采云”平台（网址：http://www.zcygov.cn）</w:t>
      </w:r>
      <w:r>
        <w:rPr>
          <w:rFonts w:hint="eastAsia" w:ascii="宋体" w:hAnsi="宋体" w:eastAsia="宋体" w:cs="宋体"/>
          <w:color w:val="auto"/>
          <w:kern w:val="0"/>
          <w:sz w:val="21"/>
          <w:szCs w:val="21"/>
          <w:highlight w:val="none"/>
          <w:lang w:val="en-US" w:eastAsia="zh-CN" w:bidi="ar-SA"/>
        </w:rPr>
        <w:t>通知质疑供应商和其他有关供应商。</w:t>
      </w:r>
    </w:p>
    <w:p w14:paraId="26A64A8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9.5.6 供应商对评审过程、中标或者成交结果提出质疑的，采购人、采购代理机构可以组织原</w:t>
      </w:r>
      <w:r>
        <w:rPr>
          <w:rFonts w:hint="eastAsia" w:ascii="宋体" w:hAnsi="宋体" w:cs="宋体"/>
          <w:color w:val="auto"/>
          <w:kern w:val="0"/>
          <w:sz w:val="21"/>
          <w:szCs w:val="21"/>
          <w:highlight w:val="none"/>
          <w:lang w:val="en-US" w:eastAsia="zh-CN" w:bidi="ar-SA"/>
        </w:rPr>
        <w:t>磋商小组</w:t>
      </w:r>
      <w:r>
        <w:rPr>
          <w:rFonts w:hint="eastAsia" w:ascii="宋体" w:hAnsi="宋体" w:eastAsia="宋体" w:cs="宋体"/>
          <w:color w:val="auto"/>
          <w:kern w:val="0"/>
          <w:sz w:val="21"/>
          <w:szCs w:val="21"/>
          <w:highlight w:val="none"/>
          <w:lang w:val="en-US" w:eastAsia="zh-CN" w:bidi="ar-SA"/>
        </w:rPr>
        <w:t>、竞争性谈判小组、询价小组或者竞争性磋商小组协助答复质疑。</w:t>
      </w:r>
    </w:p>
    <w:p w14:paraId="0EBBE61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9.5.7 质疑答复应当包括下列内容：</w:t>
      </w:r>
    </w:p>
    <w:p w14:paraId="7F9C0AE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（一）质疑供应商的姓名或者名称；</w:t>
      </w:r>
    </w:p>
    <w:p w14:paraId="20477128">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（二）收到质疑函的日期、质疑项目名称及编号；</w:t>
      </w:r>
    </w:p>
    <w:p w14:paraId="44169C64">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（三）质疑事项、质疑答复的具体内容、事实依据和法律依据；</w:t>
      </w:r>
    </w:p>
    <w:p w14:paraId="124B1E5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（四）告知质疑供应商依法投诉的权利；</w:t>
      </w:r>
    </w:p>
    <w:p w14:paraId="6FB7CF8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（五）质疑答复人名称；</w:t>
      </w:r>
    </w:p>
    <w:p w14:paraId="2B693AAD">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（六）答复质疑的日期。</w:t>
      </w:r>
    </w:p>
    <w:p w14:paraId="444711AE">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质疑答复的内容不得涉及商业秘密。</w:t>
      </w:r>
    </w:p>
    <w:p w14:paraId="7AD0996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9.5.8 采购人、采购代理机构认为供应商质疑不成立，或者成立但未对中标、成交结果构成影响的，继续开展采购活动；认为供应商质疑成立且影响或者可能影响中标、成交结果的，按照下列情况处理：</w:t>
      </w:r>
    </w:p>
    <w:p w14:paraId="7B9A4D2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（一）对采购文件提出的质疑，依法通过澄清或者修改可以继续开展采购活动的，澄清或者修改采购文件后继续开展采购活动；否则应当修改采购文件后重新开展采购活动。</w:t>
      </w:r>
    </w:p>
    <w:p w14:paraId="59C8D3F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对采购过程、中标或者成交结果提出的质疑，合格供应商符合法定数量时，可以从合格的中标或者成交候选人中另行确定中标、成交供应商的，应当依法另行确定中标、成交供应商；否则应当重新开展采购活动。</w:t>
      </w:r>
    </w:p>
    <w:p w14:paraId="087255C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质疑答复导致中标、成交结果改变的，采购人或者采购代理机构应当将有关情况书面报告本级财政部门。</w:t>
      </w:r>
    </w:p>
    <w:p w14:paraId="0954692C">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9.5.9 接收质疑函的方式、联系部门、联系电话和通讯地址</w:t>
      </w:r>
      <w:r>
        <w:rPr>
          <w:rFonts w:hint="eastAsia" w:ascii="宋体" w:hAnsi="宋体" w:cs="宋体"/>
          <w:color w:val="auto"/>
          <w:kern w:val="0"/>
          <w:sz w:val="21"/>
          <w:szCs w:val="21"/>
          <w:highlight w:val="none"/>
          <w:lang w:val="en-US" w:eastAsia="zh-CN" w:bidi="ar-SA"/>
        </w:rPr>
        <w:t>。</w:t>
      </w:r>
    </w:p>
    <w:p w14:paraId="76CD9BA2">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接收质疑函的方式：以书面形式递交，邮寄送达的以签收日期为准。</w:t>
      </w:r>
    </w:p>
    <w:p w14:paraId="7A6EDAF0">
      <w:pPr>
        <w:pageBreakBefore w:val="0"/>
        <w:kinsoku/>
        <w:wordWrap/>
        <w:topLinePunct w:val="0"/>
        <w:autoSpaceDE w:val="0"/>
        <w:autoSpaceDN w:val="0"/>
        <w:bidi w:val="0"/>
        <w:adjustRightInd w:val="0"/>
        <w:snapToGrid/>
        <w:spacing w:line="52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联系人：罗华</w:t>
      </w:r>
    </w:p>
    <w:p w14:paraId="759D18D5">
      <w:pPr>
        <w:pageBreakBefore w:val="0"/>
        <w:kinsoku/>
        <w:wordWrap/>
        <w:topLinePunct w:val="0"/>
        <w:autoSpaceDE w:val="0"/>
        <w:autoSpaceDN w:val="0"/>
        <w:bidi w:val="0"/>
        <w:adjustRightInd w:val="0"/>
        <w:snapToGrid/>
        <w:spacing w:line="520" w:lineRule="exact"/>
        <w:ind w:firstLine="420" w:firstLineChars="200"/>
        <w:jc w:val="left"/>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联系电话：0692-6990386、13988282058</w:t>
      </w:r>
    </w:p>
    <w:p w14:paraId="78559EF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通讯地址：云南省德宏州瑞丽市瑞京路94号2栋1-101号（云南宏业招标咨询有限责任公司瑞丽办事处）</w:t>
      </w:r>
    </w:p>
    <w:p w14:paraId="4A9D7E96">
      <w:pPr>
        <w:keepNext w:val="0"/>
        <w:keepLines w:val="0"/>
        <w:pageBreakBefore w:val="0"/>
        <w:kinsoku/>
        <w:wordWrap/>
        <w:topLinePunct w:val="0"/>
        <w:autoSpaceDE w:val="0"/>
        <w:autoSpaceDN w:val="0"/>
        <w:bidi w:val="0"/>
        <w:adjustRightInd w:val="0"/>
        <w:snapToGrid/>
        <w:spacing w:line="440" w:lineRule="exact"/>
        <w:ind w:firstLine="422" w:firstLineChars="200"/>
        <w:jc w:val="left"/>
        <w:rPr>
          <w:rFonts w:hint="eastAsia" w:ascii="宋体" w:hAnsi="宋体" w:eastAsia="宋体" w:cs="宋体"/>
          <w:b/>
          <w:bCs/>
          <w:color w:val="auto"/>
          <w:kern w:val="0"/>
          <w:sz w:val="21"/>
          <w:szCs w:val="21"/>
          <w:highlight w:val="none"/>
          <w:lang w:val="en-US" w:eastAsia="zh-CN" w:bidi="ar-SA"/>
        </w:rPr>
      </w:pPr>
      <w:r>
        <w:rPr>
          <w:rFonts w:hint="eastAsia" w:ascii="宋体" w:hAnsi="宋体" w:eastAsia="宋体" w:cs="宋体"/>
          <w:b/>
          <w:bCs/>
          <w:color w:val="auto"/>
          <w:kern w:val="0"/>
          <w:sz w:val="21"/>
          <w:szCs w:val="21"/>
          <w:highlight w:val="none"/>
          <w:lang w:val="en-US" w:eastAsia="zh-CN" w:bidi="ar-SA"/>
        </w:rPr>
        <w:t>9.5.2投诉</w:t>
      </w:r>
    </w:p>
    <w:p w14:paraId="5D16E5A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9.5.2.1</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或者其他利害关系人认为采购投标活动不符合法律、行政法规规定的，应当在知道或者应当知道其权益受到侵害之日起十日内向有关行政监督部门提出书面投诉，其他利害关系人是指</w:t>
      </w:r>
      <w:r>
        <w:rPr>
          <w:rFonts w:hint="eastAsia" w:ascii="宋体" w:hAnsi="宋体" w:cs="宋体"/>
          <w:color w:val="auto"/>
          <w:kern w:val="0"/>
          <w:sz w:val="21"/>
          <w:szCs w:val="21"/>
          <w:highlight w:val="none"/>
          <w:lang w:val="en-US" w:eastAsia="zh-CN" w:bidi="ar-SA"/>
        </w:rPr>
        <w:t>供应商</w:t>
      </w:r>
      <w:r>
        <w:rPr>
          <w:rFonts w:hint="eastAsia" w:ascii="宋体" w:hAnsi="宋体" w:eastAsia="宋体" w:cs="宋体"/>
          <w:color w:val="auto"/>
          <w:kern w:val="0"/>
          <w:sz w:val="21"/>
          <w:szCs w:val="21"/>
          <w:highlight w:val="none"/>
          <w:lang w:val="en-US" w:eastAsia="zh-CN" w:bidi="ar-SA"/>
        </w:rPr>
        <w:t>以外的，与采购项目或者采购活动有直接和间接利益关系的法人、其他组织和个人。</w:t>
      </w:r>
    </w:p>
    <w:p w14:paraId="70AA424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9.5.2.2就本章9.5条规定事项投诉的，应当先向采购人提出质疑，质疑答复期间不计算在前款规定的期限内。</w:t>
      </w:r>
    </w:p>
    <w:p w14:paraId="6DDD766C">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9.5.2.3投诉人投诉时，应当提交投诉书。投诉书应当包括下列内容：</w:t>
      </w:r>
    </w:p>
    <w:p w14:paraId="373652E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（一）投诉人和被投诉人的姓名或者名称、通讯地址、邮编、联系人及联系电话；</w:t>
      </w:r>
    </w:p>
    <w:p w14:paraId="4E246407">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（二）质疑和质疑答复情况说明及相关证明材料；</w:t>
      </w:r>
    </w:p>
    <w:p w14:paraId="26DF2620">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（三）具体、明确的投诉事项和与投诉事项相关的投诉请求；</w:t>
      </w:r>
    </w:p>
    <w:p w14:paraId="4E3836D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（四）事实依据；</w:t>
      </w:r>
    </w:p>
    <w:p w14:paraId="73988CF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（五）法律依据；</w:t>
      </w:r>
    </w:p>
    <w:p w14:paraId="2343471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（六）提起投诉的日期</w:t>
      </w:r>
      <w:r>
        <w:rPr>
          <w:rFonts w:hint="eastAsia" w:ascii="宋体" w:hAnsi="宋体" w:cs="宋体"/>
          <w:color w:val="auto"/>
          <w:kern w:val="0"/>
          <w:sz w:val="21"/>
          <w:szCs w:val="21"/>
          <w:highlight w:val="none"/>
          <w:lang w:val="en-US" w:eastAsia="zh-CN" w:bidi="ar-SA"/>
        </w:rPr>
        <w:t>。</w:t>
      </w:r>
    </w:p>
    <w:p w14:paraId="6E1D440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投诉人是法人的，投诉书必须由其法定代表人或者授权代表签字并盖章；其他组织或者个人投诉的，投诉书必须由其主要负责人或者投诉</w:t>
      </w:r>
      <w:r>
        <w:rPr>
          <w:rFonts w:hint="eastAsia" w:ascii="宋体" w:hAnsi="宋体" w:eastAsia="宋体" w:cs="宋体"/>
          <w:color w:val="auto"/>
          <w:sz w:val="21"/>
          <w:szCs w:val="21"/>
          <w:highlight w:val="none"/>
          <w:lang w:val="en-US" w:eastAsia="zh-CN"/>
        </w:rPr>
        <w:t>人本人签字，并附有效身份证明复印件。投诉书有关材料是外文的，投诉人应当同时提供其中文译本。</w:t>
      </w:r>
    </w:p>
    <w:p w14:paraId="4D00EE01">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9.5.2.4投诉人不得以投诉为名排挤竞争对手，不得进行虚假、恶意投诉，阻碍采购投标活动的正常进行。</w:t>
      </w:r>
    </w:p>
    <w:p w14:paraId="56FC938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9.5.2.5投诉人可以直接投诉，也可以委托代理人办理投诉事务。代理人办理投诉事务时，应将授权委托书连同投诉书一并提交给行政监督部门。授权委托书应当明确有关委托代理权限和事项。</w:t>
      </w:r>
    </w:p>
    <w:p w14:paraId="4BE31554">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9.5.2.6有下列情形之一的投诉，不予受理；</w:t>
      </w:r>
    </w:p>
    <w:p w14:paraId="06C0566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（一）投诉人不是所投诉采购投标活动的参与者，或者与投诉项目无任何利害关系；</w:t>
      </w:r>
    </w:p>
    <w:p w14:paraId="7DD7D26F">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（二）投诉事项不具体，且未提供有效线索，难以查证的；</w:t>
      </w:r>
    </w:p>
    <w:p w14:paraId="1E4A2A2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（三）投诉书未署具投诉人真实姓名、签字和有效联系方式的；以法人名义投诉的，投诉书未经法定代表人签字并加盖公章的；</w:t>
      </w:r>
    </w:p>
    <w:p w14:paraId="276E76DB">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（四）超过投诉时效的；</w:t>
      </w:r>
    </w:p>
    <w:p w14:paraId="5A017DD6">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（五）已经作出处理决定，并且投诉人没有提出新的证据；</w:t>
      </w:r>
    </w:p>
    <w:p w14:paraId="7D202CE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（六）投诉事项已进入行政复议或者行政诉讼程序的。</w:t>
      </w:r>
    </w:p>
    <w:p w14:paraId="5163BCF3">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9.5.2.7未尽事宜，按国家现行有关法律法规、</w:t>
      </w:r>
      <w:r>
        <w:rPr>
          <w:rFonts w:hint="eastAsia" w:ascii="宋体" w:hAnsi="宋体" w:eastAsia="宋体" w:cs="宋体"/>
          <w:color w:val="auto"/>
          <w:sz w:val="21"/>
          <w:szCs w:val="21"/>
          <w:highlight w:val="none"/>
        </w:rPr>
        <w:t>中华人民共和国财政部令第94号--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政府采购质疑和投诉办法</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SA"/>
        </w:rPr>
        <w:t>的规定执行。</w:t>
      </w:r>
    </w:p>
    <w:p w14:paraId="521262A3">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10．知识产权</w:t>
      </w:r>
    </w:p>
    <w:p w14:paraId="1EACAC8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构成本采购文件各个组成部分的文件，未经采购人书面同意，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不得擅自复印和用于非本采购项目所需的其他目的。采购人全部或者部分使用未中标人</w:t>
      </w:r>
      <w:r>
        <w:rPr>
          <w:rFonts w:hint="eastAsia" w:ascii="宋体" w:hAnsi="宋体" w:cs="宋体"/>
          <w:color w:val="auto"/>
          <w:kern w:val="0"/>
          <w:szCs w:val="21"/>
          <w:highlight w:val="none"/>
          <w:lang w:eastAsia="zh-CN"/>
        </w:rPr>
        <w:t>磋商响应</w:t>
      </w:r>
      <w:r>
        <w:rPr>
          <w:rFonts w:hint="eastAsia" w:ascii="宋体" w:hAnsi="宋体" w:cs="宋体"/>
          <w:color w:val="auto"/>
          <w:kern w:val="0"/>
          <w:szCs w:val="21"/>
          <w:highlight w:val="none"/>
        </w:rPr>
        <w:t>文件中的技术成果或技术方案时，需征得其书面同意，并不得擅自复印或提供给第三人。</w:t>
      </w:r>
    </w:p>
    <w:p w14:paraId="4D710152">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11．同义词语</w:t>
      </w:r>
    </w:p>
    <w:p w14:paraId="4074F84A">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构成采购文件组成部分的“通用合同条款”、“专用合同条款”、“技术标准和要求”和“工程量清单”等章节中出现的措辞“发包人”和“承包人”，在采购投标阶段应当分别按“采购人”和“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”进行理解。</w:t>
      </w:r>
    </w:p>
    <w:p w14:paraId="461C88D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12．监  督</w:t>
      </w:r>
    </w:p>
    <w:p w14:paraId="1EDF6389">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本项目的采购</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活动及其相关当事人应当接受有管辖权的财政部门、监督部门依法实施的监督。</w:t>
      </w:r>
    </w:p>
    <w:p w14:paraId="10A9EA1A">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13．解释权</w:t>
      </w:r>
    </w:p>
    <w:p w14:paraId="13A6A1B2">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详见供应商须知前附表。</w:t>
      </w:r>
    </w:p>
    <w:p w14:paraId="29662759">
      <w:pPr>
        <w:keepNext w:val="0"/>
        <w:keepLines w:val="0"/>
        <w:pageBreakBefore w:val="0"/>
        <w:kinsoku/>
        <w:wordWrap/>
        <w:topLinePunct w:val="0"/>
        <w:autoSpaceDE w:val="0"/>
        <w:autoSpaceDN w:val="0"/>
        <w:bidi w:val="0"/>
        <w:adjustRightInd w:val="0"/>
        <w:snapToGrid/>
        <w:spacing w:line="440" w:lineRule="exact"/>
        <w:jc w:val="left"/>
        <w:outlineLvl w:val="0"/>
        <w:rPr>
          <w:rFonts w:ascii="宋体" w:hAnsi="宋体" w:cs="宋体"/>
          <w:b/>
          <w:color w:val="auto"/>
          <w:kern w:val="0"/>
          <w:szCs w:val="21"/>
          <w:highlight w:val="none"/>
        </w:rPr>
      </w:pPr>
      <w:r>
        <w:rPr>
          <w:rFonts w:hint="eastAsia" w:ascii="宋体" w:hAnsi="宋体" w:cs="宋体"/>
          <w:b/>
          <w:color w:val="auto"/>
          <w:kern w:val="0"/>
          <w:szCs w:val="21"/>
          <w:highlight w:val="none"/>
        </w:rPr>
        <w:t>14．确定成交供应商</w:t>
      </w:r>
    </w:p>
    <w:p w14:paraId="35AA2DD5">
      <w:pPr>
        <w:keepNext w:val="0"/>
        <w:keepLines w:val="0"/>
        <w:pageBreakBefore w:val="0"/>
        <w:kinsoku/>
        <w:wordWrap/>
        <w:topLinePunct w:val="0"/>
        <w:autoSpaceDE w:val="0"/>
        <w:autoSpaceDN w:val="0"/>
        <w:bidi w:val="0"/>
        <w:adjustRightInd w:val="0"/>
        <w:snapToGrid/>
        <w:spacing w:line="44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采购人（或采购人授权的</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）按照</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推荐</w:t>
      </w:r>
      <w:r>
        <w:rPr>
          <w:rFonts w:hint="eastAsia" w:ascii="宋体" w:hAnsi="宋体" w:cs="宋体"/>
          <w:color w:val="auto"/>
          <w:kern w:val="0"/>
          <w:szCs w:val="21"/>
          <w:highlight w:val="none"/>
          <w:lang w:val="en-US" w:eastAsia="zh-CN"/>
        </w:rPr>
        <w:t>成交</w:t>
      </w:r>
      <w:r>
        <w:rPr>
          <w:rFonts w:hint="eastAsia" w:ascii="宋体" w:hAnsi="宋体" w:cs="宋体"/>
          <w:color w:val="auto"/>
          <w:kern w:val="0"/>
          <w:szCs w:val="21"/>
          <w:highlight w:val="none"/>
        </w:rPr>
        <w:t>候选人的顺序确定成交供应商。</w:t>
      </w:r>
    </w:p>
    <w:p w14:paraId="48028824">
      <w:pPr>
        <w:keepNext w:val="0"/>
        <w:keepLines w:val="0"/>
        <w:pageBreakBefore w:val="0"/>
        <w:kinsoku/>
        <w:wordWrap/>
        <w:topLinePunct w:val="0"/>
        <w:autoSpaceDE w:val="0"/>
        <w:autoSpaceDN w:val="0"/>
        <w:bidi w:val="0"/>
        <w:adjustRightInd w:val="0"/>
        <w:snapToGrid/>
        <w:spacing w:line="440" w:lineRule="exact"/>
        <w:jc w:val="left"/>
        <w:outlineLvl w:val="0"/>
        <w:rPr>
          <w:rFonts w:ascii="华文中宋" w:hAnsi="华文中宋" w:eastAsia="华文中宋"/>
          <w:color w:val="auto"/>
          <w:highlight w:val="none"/>
        </w:rPr>
      </w:pPr>
      <w:r>
        <w:rPr>
          <w:rFonts w:hint="eastAsia" w:ascii="宋体" w:hAnsi="宋体" w:cs="宋体"/>
          <w:b/>
          <w:color w:val="auto"/>
          <w:kern w:val="0"/>
          <w:szCs w:val="21"/>
          <w:highlight w:val="none"/>
        </w:rPr>
        <w:t>15.需要补充的其他内容</w:t>
      </w:r>
      <w:bookmarkStart w:id="203" w:name="_Toc9904_WPSOffice_Level1"/>
    </w:p>
    <w:p w14:paraId="6AA54527">
      <w:pPr>
        <w:pStyle w:val="39"/>
        <w:keepNext w:val="0"/>
        <w:keepLines w:val="0"/>
        <w:pageBreakBefore w:val="0"/>
        <w:numPr>
          <w:ilvl w:val="0"/>
          <w:numId w:val="0"/>
        </w:numPr>
        <w:kinsoku/>
        <w:wordWrap/>
        <w:topLinePunct w:val="0"/>
        <w:bidi w:val="0"/>
        <w:snapToGrid/>
        <w:spacing w:line="440" w:lineRule="exact"/>
        <w:ind w:firstLine="420" w:firstLineChars="200"/>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需要补充的其他内容：见</w:t>
      </w:r>
      <w:r>
        <w:rPr>
          <w:rFonts w:hint="eastAsia" w:hAnsi="宋体" w:cs="宋体"/>
          <w:color w:val="auto"/>
          <w:spacing w:val="0"/>
          <w:kern w:val="0"/>
          <w:sz w:val="21"/>
          <w:szCs w:val="21"/>
          <w:highlight w:val="none"/>
          <w:lang w:val="en-US" w:eastAsia="zh-CN" w:bidi="ar-SA"/>
        </w:rPr>
        <w:t>供应商</w:t>
      </w:r>
      <w:r>
        <w:rPr>
          <w:rFonts w:hint="eastAsia" w:ascii="宋体" w:hAnsi="宋体" w:eastAsia="宋体" w:cs="宋体"/>
          <w:color w:val="auto"/>
          <w:spacing w:val="0"/>
          <w:kern w:val="0"/>
          <w:sz w:val="21"/>
          <w:szCs w:val="21"/>
          <w:highlight w:val="none"/>
          <w:lang w:val="en-US" w:eastAsia="zh-CN" w:bidi="ar-SA"/>
        </w:rPr>
        <w:t>须知前附表；</w:t>
      </w:r>
    </w:p>
    <w:p w14:paraId="0CF9C4D2">
      <w:pPr>
        <w:pStyle w:val="39"/>
        <w:keepNext w:val="0"/>
        <w:keepLines w:val="0"/>
        <w:pageBreakBefore w:val="0"/>
        <w:numPr>
          <w:ilvl w:val="0"/>
          <w:numId w:val="0"/>
        </w:numPr>
        <w:kinsoku/>
        <w:wordWrap/>
        <w:topLinePunct w:val="0"/>
        <w:bidi w:val="0"/>
        <w:snapToGrid/>
        <w:spacing w:line="440" w:lineRule="exact"/>
        <w:ind w:firstLine="420" w:firstLineChars="200"/>
        <w:rPr>
          <w:rFonts w:hint="eastAsia" w:ascii="宋体" w:hAnsi="宋体" w:eastAsia="宋体" w:cs="宋体"/>
          <w:b/>
          <w:bCs/>
          <w:color w:val="auto"/>
          <w:sz w:val="32"/>
          <w:szCs w:val="32"/>
          <w:highlight w:val="none"/>
        </w:rPr>
      </w:pPr>
      <w:r>
        <w:rPr>
          <w:rFonts w:hint="eastAsia" w:hAnsi="宋体" w:cs="宋体"/>
          <w:color w:val="auto"/>
          <w:spacing w:val="0"/>
          <w:kern w:val="0"/>
          <w:sz w:val="21"/>
          <w:szCs w:val="21"/>
          <w:highlight w:val="none"/>
          <w:lang w:val="en-US" w:eastAsia="zh-CN" w:bidi="ar-SA"/>
        </w:rPr>
        <w:t>注：</w:t>
      </w:r>
      <w:r>
        <w:rPr>
          <w:rFonts w:hint="eastAsia" w:ascii="宋体" w:hAnsi="宋体" w:eastAsia="宋体" w:cs="宋体"/>
          <w:color w:val="auto"/>
          <w:spacing w:val="0"/>
          <w:kern w:val="0"/>
          <w:sz w:val="21"/>
          <w:szCs w:val="21"/>
          <w:highlight w:val="none"/>
          <w:lang w:val="en-US" w:eastAsia="zh-CN" w:bidi="ar-SA"/>
        </w:rPr>
        <w:t>在领取</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通知书的同时，由</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人向采购代理机构支付</w:t>
      </w:r>
      <w:r>
        <w:rPr>
          <w:rFonts w:hint="eastAsia" w:hAnsi="宋体" w:cs="宋体"/>
          <w:color w:val="auto"/>
          <w:spacing w:val="0"/>
          <w:kern w:val="0"/>
          <w:sz w:val="21"/>
          <w:szCs w:val="21"/>
          <w:highlight w:val="none"/>
          <w:lang w:val="en-US" w:eastAsia="zh-CN" w:bidi="ar-SA"/>
        </w:rPr>
        <w:t>中标服务费，收费标准详见采购公告</w:t>
      </w:r>
      <w:r>
        <w:rPr>
          <w:rFonts w:hint="eastAsia" w:ascii="宋体" w:hAnsi="宋体" w:eastAsia="宋体" w:cs="宋体"/>
          <w:color w:val="auto"/>
          <w:spacing w:val="0"/>
          <w:kern w:val="0"/>
          <w:sz w:val="21"/>
          <w:szCs w:val="21"/>
          <w:highlight w:val="none"/>
          <w:lang w:val="en-US" w:eastAsia="zh-CN" w:bidi="ar-SA"/>
        </w:rPr>
        <w:t>。</w:t>
      </w:r>
      <w:r>
        <w:rPr>
          <w:rFonts w:hint="eastAsia" w:hAnsi="宋体" w:cs="宋体"/>
          <w:color w:val="auto"/>
          <w:spacing w:val="0"/>
          <w:kern w:val="0"/>
          <w:sz w:val="21"/>
          <w:szCs w:val="21"/>
          <w:highlight w:val="none"/>
          <w:lang w:val="en-US" w:eastAsia="zh-CN" w:bidi="ar-SA"/>
        </w:rPr>
        <w:t>成交</w:t>
      </w:r>
      <w:r>
        <w:rPr>
          <w:rFonts w:hint="eastAsia" w:ascii="宋体" w:hAnsi="宋体" w:eastAsia="宋体" w:cs="宋体"/>
          <w:color w:val="auto"/>
          <w:spacing w:val="0"/>
          <w:kern w:val="0"/>
          <w:sz w:val="21"/>
          <w:szCs w:val="21"/>
          <w:highlight w:val="none"/>
          <w:lang w:val="en-US" w:eastAsia="zh-CN" w:bidi="ar-SA"/>
        </w:rPr>
        <w:t>人与采购人签订合同后，将合同副本报采购代理机构备案。</w:t>
      </w:r>
    </w:p>
    <w:p w14:paraId="14F43F1F">
      <w:pPr>
        <w:pStyle w:val="2"/>
        <w:tabs>
          <w:tab w:val="left" w:pos="0"/>
        </w:tabs>
        <w:autoSpaceDE w:val="0"/>
        <w:autoSpaceDN w:val="0"/>
        <w:adjustRightInd w:val="0"/>
        <w:spacing w:before="0" w:after="0" w:line="240" w:lineRule="auto"/>
        <w:jc w:val="both"/>
        <w:rPr>
          <w:rFonts w:hint="eastAsia" w:ascii="宋体" w:hAnsi="宋体" w:eastAsia="宋体"/>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6C9670E9">
      <w:pPr>
        <w:pStyle w:val="2"/>
        <w:tabs>
          <w:tab w:val="left" w:pos="0"/>
        </w:tabs>
        <w:autoSpaceDE w:val="0"/>
        <w:autoSpaceDN w:val="0"/>
        <w:adjustRightInd w:val="0"/>
        <w:spacing w:before="0" w:after="0" w:line="240" w:lineRule="auto"/>
        <w:jc w:val="center"/>
        <w:rPr>
          <w:rFonts w:ascii="宋体" w:hAnsi="宋体" w:cs="宋体"/>
          <w:color w:val="auto"/>
          <w:sz w:val="44"/>
          <w:szCs w:val="44"/>
          <w:highlight w:val="none"/>
        </w:rPr>
      </w:pPr>
      <w:r>
        <w:rPr>
          <w:rFonts w:hint="eastAsia" w:ascii="宋体" w:hAnsi="宋体" w:eastAsia="宋体"/>
          <w:color w:val="auto"/>
          <w:sz w:val="44"/>
          <w:szCs w:val="44"/>
          <w:highlight w:val="none"/>
        </w:rPr>
        <w:t>第三章</w:t>
      </w:r>
      <w:r>
        <w:rPr>
          <w:rFonts w:hint="eastAsia" w:ascii="宋体" w:hAnsi="宋体"/>
          <w:color w:val="auto"/>
          <w:sz w:val="44"/>
          <w:szCs w:val="44"/>
          <w:highlight w:val="none"/>
          <w:lang w:val="en-US" w:eastAsia="zh-CN"/>
        </w:rPr>
        <w:t xml:space="preserve"> </w:t>
      </w:r>
      <w:r>
        <w:rPr>
          <w:rFonts w:hint="eastAsia" w:ascii="宋体" w:hAnsi="宋体" w:eastAsia="宋体"/>
          <w:color w:val="auto"/>
          <w:sz w:val="44"/>
          <w:szCs w:val="44"/>
          <w:highlight w:val="none"/>
        </w:rPr>
        <w:t>采购需求</w:t>
      </w:r>
      <w:bookmarkEnd w:id="203"/>
    </w:p>
    <w:p w14:paraId="0B2F3CA5">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一、采购标的需实现的功能或者目标，以及为落实政府采购政策需满足的要求；</w:t>
      </w:r>
    </w:p>
    <w:p w14:paraId="2E555620">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ascii="宋体" w:hAnsi="宋体" w:cs="宋体"/>
          <w:bCs/>
          <w:color w:val="auto"/>
          <w:sz w:val="21"/>
          <w:szCs w:val="21"/>
          <w:highlight w:val="none"/>
        </w:rPr>
      </w:pPr>
      <w:r>
        <w:rPr>
          <w:rFonts w:hint="eastAsia" w:ascii="宋体" w:hAnsi="宋体" w:cs="宋体"/>
          <w:bCs/>
          <w:color w:val="auto"/>
          <w:sz w:val="21"/>
          <w:szCs w:val="21"/>
          <w:highlight w:val="none"/>
        </w:rPr>
        <w:t>1.采购标的需实现的功能或者目标：</w:t>
      </w:r>
      <w:r>
        <w:rPr>
          <w:rFonts w:hint="eastAsia" w:ascii="宋体" w:hAnsi="宋体" w:cs="宋体"/>
          <w:bCs/>
          <w:color w:val="auto"/>
          <w:sz w:val="21"/>
          <w:szCs w:val="21"/>
          <w:highlight w:val="none"/>
          <w:lang w:val="en-US" w:eastAsia="zh-CN"/>
        </w:rPr>
        <w:t>按时按质完成瑞丽市人民医院肾内科血液净化中心改造项目</w:t>
      </w:r>
      <w:r>
        <w:rPr>
          <w:rFonts w:hint="eastAsia" w:ascii="宋体" w:hAnsi="宋体" w:cs="宋体"/>
          <w:color w:val="auto"/>
          <w:sz w:val="21"/>
          <w:szCs w:val="21"/>
          <w:highlight w:val="none"/>
          <w:lang w:val="en-US" w:eastAsia="zh-CN"/>
        </w:rPr>
        <w:t>。</w:t>
      </w:r>
    </w:p>
    <w:p w14:paraId="44551CBF">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rPr>
        <w:t>2.为落实政府采购政策需满足的要求</w:t>
      </w:r>
      <w:r>
        <w:rPr>
          <w:rFonts w:hint="eastAsia" w:ascii="宋体" w:hAnsi="宋体" w:cs="宋体"/>
          <w:bCs/>
          <w:color w:val="auto"/>
          <w:sz w:val="21"/>
          <w:szCs w:val="21"/>
          <w:highlight w:val="none"/>
          <w:lang w:eastAsia="zh-CN"/>
        </w:rPr>
        <w:t>：</w:t>
      </w:r>
    </w:p>
    <w:p w14:paraId="3BB74E9D">
      <w:pPr>
        <w:pStyle w:val="13"/>
        <w:keepNext w:val="0"/>
        <w:keepLines w:val="0"/>
        <w:pageBreakBefore w:val="0"/>
        <w:kinsoku/>
        <w:wordWrap/>
        <w:overflowPunct/>
        <w:topLinePunct w:val="0"/>
        <w:autoSpaceDE/>
        <w:autoSpaceDN/>
        <w:bidi w:val="0"/>
        <w:adjustRightInd/>
        <w:snapToGrid/>
        <w:spacing w:after="0" w:line="500" w:lineRule="exact"/>
        <w:ind w:left="0" w:leftChars="0" w:firstLine="480"/>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（1）本项目不属于专门面向中小企业采购的项目；</w:t>
      </w:r>
    </w:p>
    <w:p w14:paraId="2A424F7F">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ascii="宋体" w:hAnsi="宋体" w:cs="宋体"/>
          <w:bCs/>
          <w:color w:val="auto"/>
          <w:sz w:val="21"/>
          <w:szCs w:val="21"/>
          <w:highlight w:val="none"/>
        </w:rPr>
      </w:pPr>
      <w:r>
        <w:rPr>
          <w:rFonts w:hint="eastAsia" w:ascii="宋体" w:hAnsi="宋体" w:cs="宋体"/>
          <w:color w:val="auto"/>
          <w:sz w:val="21"/>
          <w:szCs w:val="21"/>
          <w:highlight w:val="none"/>
        </w:rPr>
        <w:t>（2）本项目需要落实的政府采购政策：《政府采购促进中小企业发展管理办法》（财库〔2020〕46号）、《关于进一步加大政府采购支持中小企业力度的通知》（财库〔2022〕19号）、《财政部 民政部 中国残疾人联合会关于促进残疾人就业政府采购政策的通知》（财库〔2017〕141号）、《关于政府采购支持监狱企业发展有关问题的通知》</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财库〔2014〕68号</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、《关于印发环境标志产品政府采购品目清单的通知》（财库〔2019〕18号）、《关于印发节能产品政府采购品目清单的通知》（财库〔2019〕19号）、《财政部 发展改革委 生态环境部 市场监管总局 关于调整优化节能产品、环境标志产品政府采购执行机制的通知》（财库〔2019〕9号）等</w:t>
      </w:r>
      <w:r>
        <w:rPr>
          <w:rFonts w:hint="eastAsia" w:ascii="宋体" w:hAnsi="宋体" w:cs="宋体"/>
          <w:bCs/>
          <w:color w:val="auto"/>
          <w:sz w:val="21"/>
          <w:szCs w:val="21"/>
          <w:highlight w:val="none"/>
        </w:rPr>
        <w:t>。</w:t>
      </w:r>
    </w:p>
    <w:p w14:paraId="7F03D914">
      <w:pPr>
        <w:keepNext w:val="0"/>
        <w:keepLines w:val="0"/>
        <w:pageBreakBefore w:val="0"/>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二、采购标的需执行的国家相关标准、行业标准、地方标准或者其他标准、规范；</w:t>
      </w:r>
    </w:p>
    <w:p w14:paraId="4C670C8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eastAsia="zh-CN"/>
        </w:rPr>
      </w:pPr>
      <w:r>
        <w:rPr>
          <w:rFonts w:hint="eastAsia" w:ascii="宋体" w:hAnsi="宋体" w:eastAsia="宋体" w:cs="宋体"/>
          <w:color w:val="auto"/>
          <w:sz w:val="21"/>
          <w:szCs w:val="21"/>
          <w:highlight w:val="none"/>
        </w:rPr>
        <w:t>依据《中华人民共和国政府采购法》</w:t>
      </w:r>
      <w:r>
        <w:rPr>
          <w:rFonts w:hint="eastAsia" w:asciiTheme="minorEastAsia" w:hAnsiTheme="minorEastAsia" w:eastAsiaTheme="minorEastAsia" w:cstheme="minorEastAsia"/>
          <w:color w:val="auto"/>
          <w:sz w:val="21"/>
          <w:szCs w:val="21"/>
          <w:highlight w:val="none"/>
          <w:lang w:eastAsia="zh-CN"/>
        </w:rPr>
        <w:t>及实施条例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《政府采购竞争性磋商采购方式管理暂行办法》</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rPr>
        <w:t>财库〔2019〕38号《财政部关于促进政府采购公平竞争优化营商环境的通知》等相关法律法规，根据采购人实际需求，编制采购标准，满足采购人需求</w:t>
      </w:r>
      <w:r>
        <w:rPr>
          <w:rFonts w:hint="eastAsia" w:ascii="宋体" w:hAnsi="宋体" w:cs="宋体"/>
          <w:color w:val="auto"/>
          <w:sz w:val="21"/>
          <w:szCs w:val="21"/>
          <w:highlight w:val="none"/>
          <w:lang w:eastAsia="zh-CN"/>
        </w:rPr>
        <w:t>：</w:t>
      </w:r>
      <w:r>
        <w:rPr>
          <w:rFonts w:hint="eastAsia" w:cs="宋体"/>
          <w:color w:val="auto"/>
          <w:kern w:val="2"/>
          <w:sz w:val="21"/>
          <w:szCs w:val="21"/>
          <w:highlight w:val="none"/>
          <w:lang w:val="en-US" w:eastAsia="zh-CN" w:bidi="ar-SA"/>
        </w:rPr>
        <w:t>（如适用/不限于）</w:t>
      </w:r>
    </w:p>
    <w:p w14:paraId="5DC1E6EB">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《建筑工程施工质量验收统一标准》GB50300-2013</w:t>
      </w:r>
    </w:p>
    <w:p w14:paraId="6BC32569">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《混凝土结构工程施工规范》GB50666-2011</w:t>
      </w:r>
    </w:p>
    <w:p w14:paraId="444E4C53">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《建筑地基基础工程施工质量验收规范》GB50202-2002</w:t>
      </w:r>
    </w:p>
    <w:p w14:paraId="4BF8CA62">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《砌体结构工程施工质量验收规范》GB50203-2011</w:t>
      </w:r>
    </w:p>
    <w:p w14:paraId="12151A97">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《混凝土结构工程施工质量验收规范》GB 50204-2002(2015年版)</w:t>
      </w:r>
    </w:p>
    <w:p w14:paraId="3096CDB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《建筑给水排水及采暖工程施工质量验收规范》GB 50242-2002</w:t>
      </w:r>
    </w:p>
    <w:p w14:paraId="1D456EB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《室外排水设计标准》GB50014-2021</w:t>
      </w:r>
    </w:p>
    <w:p w14:paraId="441BCADF">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《给水排水管道工程施工及验收规范》GB50268-2008</w:t>
      </w:r>
    </w:p>
    <w:p w14:paraId="4689F980">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《建筑地面工程施工质量验收规范》GB50209-2010</w:t>
      </w:r>
    </w:p>
    <w:p w14:paraId="4F24DC5F">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《建筑工程绿色施工评价标准》GB/T50640-2010</w:t>
      </w:r>
    </w:p>
    <w:p w14:paraId="1DB425AE">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《建筑工程施工质量评价标准》GB/T50375-2006</w:t>
      </w:r>
    </w:p>
    <w:p w14:paraId="28EDC299">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《建筑地基基础工程施工规范》GB51004-2015</w:t>
      </w:r>
    </w:p>
    <w:p w14:paraId="19D36C01">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《建设工程施工现场环境与卫生标准》JGJ 146-2013</w:t>
      </w:r>
    </w:p>
    <w:p w14:paraId="008B8777">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《建筑机械使用安全技术规程》JGJ 33-2012</w:t>
      </w:r>
    </w:p>
    <w:p w14:paraId="4DA9E4F2">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《建筑起重机械安全评估技术规程》JGJT 189-2009</w:t>
      </w:r>
    </w:p>
    <w:p w14:paraId="1688CD68">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《建筑施工安全技术统一规范》GB 50870-2013</w:t>
      </w:r>
    </w:p>
    <w:p w14:paraId="3F6BDEFE">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《建筑施工安全检查标准》JGJ59-2011</w:t>
      </w:r>
    </w:p>
    <w:p w14:paraId="4DB817EC">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《建筑施工起重吊装安全技术规范》JGJ 276-2012</w:t>
      </w:r>
    </w:p>
    <w:p w14:paraId="621074CE">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《建筑施工升降机安装、使用、拆卸安全技术规程》JGJ125-2010</w:t>
      </w:r>
    </w:p>
    <w:p w14:paraId="677EF405">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《建筑施工塔式起重机安装、使用、拆卸安全技术规程》JGJ196-2010</w:t>
      </w:r>
    </w:p>
    <w:p w14:paraId="04B68C31">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《施工现场临时用电安全技术规范》JGJ 46-2005</w:t>
      </w:r>
    </w:p>
    <w:p w14:paraId="7F0E549A">
      <w:pPr>
        <w:keepNext w:val="0"/>
        <w:keepLines w:val="0"/>
        <w:pageBreakBefore w:val="0"/>
        <w:widowControl/>
        <w:kinsoku/>
        <w:wordWrap/>
        <w:overflowPunct/>
        <w:topLinePunct w:val="0"/>
        <w:autoSpaceDE/>
        <w:autoSpaceDN/>
        <w:bidi w:val="0"/>
        <w:adjustRightInd/>
        <w:snapToGrid/>
        <w:spacing w:line="500" w:lineRule="exact"/>
        <w:ind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《建设工程施工现场供用电安全规范》 GB50194-2014</w:t>
      </w:r>
    </w:p>
    <w:p w14:paraId="59CF8A96">
      <w:pPr>
        <w:keepNext w:val="0"/>
        <w:keepLines w:val="0"/>
        <w:pageBreakBefore w:val="0"/>
        <w:widowControl w:val="0"/>
        <w:kinsoku/>
        <w:wordWrap/>
        <w:overflowPunct/>
        <w:topLinePunct w:val="0"/>
        <w:autoSpaceDE/>
        <w:autoSpaceDN/>
        <w:bidi w:val="0"/>
        <w:snapToGrid/>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以及现行法律法规和业务文件精神等。</w:t>
      </w:r>
    </w:p>
    <w:p w14:paraId="6B37F6C6">
      <w:pPr>
        <w:keepNext w:val="0"/>
        <w:keepLines w:val="0"/>
        <w:pageBreakBefore w:val="0"/>
        <w:numPr>
          <w:ilvl w:val="0"/>
          <w:numId w:val="0"/>
        </w:numPr>
        <w:kinsoku/>
        <w:wordWrap/>
        <w:overflowPunct/>
        <w:topLinePunct w:val="0"/>
        <w:autoSpaceDE/>
        <w:autoSpaceDN/>
        <w:bidi w:val="0"/>
        <w:adjustRightInd/>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lang w:eastAsia="zh-CN"/>
        </w:rPr>
        <w:t>三、</w:t>
      </w:r>
      <w:r>
        <w:rPr>
          <w:rFonts w:hint="eastAsia" w:ascii="宋体" w:hAnsi="宋体" w:cs="宋体"/>
          <w:b/>
          <w:color w:val="auto"/>
          <w:sz w:val="21"/>
          <w:szCs w:val="21"/>
          <w:highlight w:val="none"/>
        </w:rPr>
        <w:t>采购标的需满足的质量、安全、技术规格、物理特性等要求；</w:t>
      </w:r>
    </w:p>
    <w:p w14:paraId="03C0E4F6">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color w:val="auto"/>
          <w:sz w:val="21"/>
          <w:szCs w:val="21"/>
          <w:highlight w:val="none"/>
        </w:rPr>
        <w:t>预算金额：</w:t>
      </w:r>
      <w:r>
        <w:rPr>
          <w:rFonts w:hint="eastAsia" w:ascii="宋体" w:hAnsi="宋体" w:cs="宋体"/>
          <w:color w:val="auto"/>
          <w:sz w:val="21"/>
          <w:szCs w:val="21"/>
          <w:highlight w:val="none"/>
          <w:lang w:val="en-US" w:eastAsia="zh-CN"/>
        </w:rPr>
        <w:t>3080000.00元</w:t>
      </w:r>
    </w:p>
    <w:p w14:paraId="49384A75">
      <w:pPr>
        <w:keepNext w:val="0"/>
        <w:keepLines w:val="0"/>
        <w:pageBreakBefore w:val="0"/>
        <w:kinsoku/>
        <w:wordWrap/>
        <w:overflowPunct/>
        <w:topLinePunct w:val="0"/>
        <w:autoSpaceDE/>
        <w:autoSpaceDN/>
        <w:bidi w:val="0"/>
        <w:adjustRightInd/>
        <w:snapToGrid/>
        <w:spacing w:line="500" w:lineRule="exact"/>
        <w:ind w:firstLine="420" w:firstLineChars="200"/>
        <w:textAlignment w:val="auto"/>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2.</w:t>
      </w:r>
      <w:r>
        <w:rPr>
          <w:rFonts w:hint="eastAsia" w:ascii="宋体" w:hAnsi="宋体" w:cs="宋体"/>
          <w:color w:val="auto"/>
          <w:sz w:val="21"/>
          <w:szCs w:val="21"/>
          <w:highlight w:val="none"/>
          <w:lang w:val="en-US" w:eastAsia="zh-CN"/>
        </w:rPr>
        <w:t>最高限价：3079065.38元（即招标控制价）</w:t>
      </w:r>
    </w:p>
    <w:p w14:paraId="722377E5">
      <w:pPr>
        <w:keepNext w:val="0"/>
        <w:keepLines w:val="0"/>
        <w:pageBreakBefore w:val="0"/>
        <w:widowControl w:val="0"/>
        <w:kinsoku/>
        <w:wordWrap/>
        <w:overflowPunct/>
        <w:topLinePunct w:val="0"/>
        <w:autoSpaceDE/>
        <w:autoSpaceDN/>
        <w:bidi w:val="0"/>
        <w:adjustRightInd/>
        <w:snapToGrid/>
        <w:spacing w:line="47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cs="宋体"/>
          <w:bCs/>
          <w:color w:val="auto"/>
          <w:sz w:val="21"/>
          <w:szCs w:val="21"/>
          <w:highlight w:val="none"/>
          <w:lang w:val="en-US" w:eastAsia="zh-CN"/>
        </w:rPr>
        <w:t>3.采购需求：</w:t>
      </w:r>
      <w:r>
        <w:rPr>
          <w:rFonts w:hint="eastAsia" w:ascii="宋体" w:hAnsi="宋体" w:cs="宋体"/>
          <w:color w:val="auto"/>
          <w:sz w:val="21"/>
          <w:szCs w:val="21"/>
          <w:highlight w:val="none"/>
          <w:lang w:val="en-US" w:eastAsia="zh-CN"/>
        </w:rPr>
        <w:t>改造面积为1079.57平方米，改造层数为七楼，层高4.5米，改造内容主要包含拆除原有墙体、地砖、吊顶、钢质门、卫生洁具等，新建50mm厚白色金属面中空玻镁净化隔墙、成品钢质门、铝扣板吊顶及石膏板吊顶、2mm厚同质透心PVC地胶地面等装修工程，以及设计图范围内的给排水工程、电气工程、暖通工程、医用气体工程等内容；（具体内容详见招标工程量清单）</w:t>
      </w:r>
    </w:p>
    <w:p w14:paraId="5BC17F1B">
      <w:pPr>
        <w:pStyle w:val="76"/>
        <w:keepNext w:val="0"/>
        <w:keepLines w:val="0"/>
        <w:pageBreakBefore w:val="0"/>
        <w:numPr>
          <w:ilvl w:val="0"/>
          <w:numId w:val="0"/>
        </w:numPr>
        <w:kinsoku/>
        <w:wordWrap/>
        <w:overflowPunct/>
        <w:topLinePunct w:val="0"/>
        <w:autoSpaceDE/>
        <w:autoSpaceDN/>
        <w:bidi w:val="0"/>
        <w:snapToGrid/>
        <w:spacing w:line="500" w:lineRule="exact"/>
        <w:ind w:firstLine="420" w:firstLineChars="200"/>
        <w:textAlignment w:val="auto"/>
        <w:rPr>
          <w:rFonts w:hint="default"/>
          <w:b w:val="0"/>
          <w:bCs/>
          <w:color w:val="auto"/>
          <w:sz w:val="21"/>
          <w:szCs w:val="21"/>
          <w:highlight w:val="none"/>
          <w:shd w:val="clear" w:color="auto" w:fill="FFFFFF"/>
          <w:lang w:val="en-US" w:eastAsia="zh-CN"/>
        </w:rPr>
      </w:pPr>
      <w:r>
        <w:rPr>
          <w:rFonts w:hint="eastAsia"/>
          <w:b w:val="0"/>
          <w:bCs/>
          <w:color w:val="auto"/>
          <w:sz w:val="21"/>
          <w:szCs w:val="21"/>
          <w:highlight w:val="none"/>
          <w:shd w:val="clear" w:color="auto" w:fill="FFFFFF"/>
          <w:lang w:val="en-US" w:eastAsia="zh-CN"/>
        </w:rPr>
        <w:t>4.本项目工程量清单</w:t>
      </w:r>
      <w:r>
        <w:rPr>
          <w:rFonts w:hint="eastAsia" w:cs="宋体"/>
          <w:b w:val="0"/>
          <w:bCs/>
          <w:color w:val="auto"/>
          <w:kern w:val="2"/>
          <w:sz w:val="21"/>
          <w:szCs w:val="21"/>
          <w:highlight w:val="none"/>
          <w:lang w:val="en-US" w:eastAsia="zh-CN" w:bidi="ar-SA"/>
        </w:rPr>
        <w:t>（另册附）</w:t>
      </w:r>
    </w:p>
    <w:p w14:paraId="6018B22D">
      <w:pPr>
        <w:pStyle w:val="76"/>
        <w:keepNext w:val="0"/>
        <w:keepLines w:val="0"/>
        <w:pageBreakBefore w:val="0"/>
        <w:numPr>
          <w:ilvl w:val="0"/>
          <w:numId w:val="0"/>
        </w:numPr>
        <w:kinsoku/>
        <w:wordWrap/>
        <w:overflowPunct/>
        <w:topLinePunct w:val="0"/>
        <w:autoSpaceDE/>
        <w:autoSpaceDN/>
        <w:bidi w:val="0"/>
        <w:snapToGrid/>
        <w:spacing w:line="500" w:lineRule="exact"/>
        <w:ind w:firstLine="420" w:firstLineChars="200"/>
        <w:textAlignment w:val="auto"/>
        <w:rPr>
          <w:rFonts w:hint="default" w:eastAsia="宋体" w:cs="Times New Roman"/>
          <w:b w:val="0"/>
          <w:bCs/>
          <w:color w:val="auto"/>
          <w:sz w:val="21"/>
          <w:szCs w:val="21"/>
          <w:highlight w:val="none"/>
          <w:shd w:val="clear" w:color="auto" w:fill="FFFFFF"/>
          <w:lang w:val="en-US" w:eastAsia="zh-CN"/>
        </w:rPr>
      </w:pPr>
      <w:r>
        <w:rPr>
          <w:rFonts w:hint="eastAsia" w:cs="Times New Roman"/>
          <w:b w:val="0"/>
          <w:bCs/>
          <w:color w:val="auto"/>
          <w:sz w:val="21"/>
          <w:szCs w:val="21"/>
          <w:highlight w:val="none"/>
          <w:shd w:val="clear" w:color="auto" w:fill="FFFFFF"/>
          <w:lang w:val="en-US" w:eastAsia="zh-CN"/>
        </w:rPr>
        <w:t>5.</w:t>
      </w:r>
      <w:r>
        <w:rPr>
          <w:rFonts w:hint="eastAsia"/>
          <w:b w:val="0"/>
          <w:bCs/>
          <w:color w:val="auto"/>
          <w:sz w:val="21"/>
          <w:szCs w:val="21"/>
          <w:highlight w:val="none"/>
          <w:shd w:val="clear" w:color="auto" w:fill="FFFFFF"/>
          <w:lang w:val="en-US" w:eastAsia="zh-CN"/>
        </w:rPr>
        <w:t>本项目</w:t>
      </w:r>
      <w:r>
        <w:rPr>
          <w:rFonts w:hint="eastAsia" w:cs="Times New Roman"/>
          <w:b w:val="0"/>
          <w:bCs/>
          <w:color w:val="auto"/>
          <w:sz w:val="21"/>
          <w:szCs w:val="21"/>
          <w:highlight w:val="none"/>
          <w:shd w:val="clear" w:color="auto" w:fill="FFFFFF"/>
          <w:lang w:val="en-US" w:eastAsia="zh-CN"/>
        </w:rPr>
        <w:t>施工图纸</w:t>
      </w:r>
      <w:r>
        <w:rPr>
          <w:rFonts w:hint="eastAsia" w:cs="宋体"/>
          <w:b w:val="0"/>
          <w:bCs/>
          <w:color w:val="auto"/>
          <w:kern w:val="2"/>
          <w:sz w:val="21"/>
          <w:szCs w:val="21"/>
          <w:highlight w:val="none"/>
          <w:lang w:val="en-US" w:eastAsia="zh-CN" w:bidi="ar-SA"/>
        </w:rPr>
        <w:t>（另册附）</w:t>
      </w:r>
    </w:p>
    <w:p w14:paraId="300B6A47">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四、采购标的的数量、采购项目交付或者实施的时间和地点；</w:t>
      </w:r>
    </w:p>
    <w:p w14:paraId="7F356052">
      <w:pPr>
        <w:pStyle w:val="76"/>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shd w:val="clear" w:color="auto" w:fill="FFFFFF"/>
          <w:lang w:val="zh-CN"/>
        </w:rPr>
      </w:pPr>
      <w:r>
        <w:rPr>
          <w:rFonts w:hint="eastAsia"/>
          <w:color w:val="auto"/>
          <w:sz w:val="21"/>
          <w:szCs w:val="21"/>
          <w:highlight w:val="none"/>
          <w:shd w:val="clear" w:color="auto" w:fill="FFFFFF"/>
          <w:lang w:val="en-US" w:eastAsia="zh-CN"/>
        </w:rPr>
        <w:t>1.</w:t>
      </w:r>
      <w:r>
        <w:rPr>
          <w:rFonts w:hint="eastAsia"/>
          <w:color w:val="auto"/>
          <w:sz w:val="21"/>
          <w:szCs w:val="21"/>
          <w:highlight w:val="none"/>
          <w:shd w:val="clear" w:color="auto" w:fill="FFFFFF"/>
          <w:lang w:val="zh-CN"/>
        </w:rPr>
        <w:t>采购标的的数量：</w:t>
      </w:r>
      <w:r>
        <w:rPr>
          <w:rFonts w:hint="eastAsia"/>
          <w:color w:val="auto"/>
          <w:sz w:val="21"/>
          <w:szCs w:val="21"/>
          <w:highlight w:val="none"/>
          <w:shd w:val="clear" w:color="auto" w:fill="FFFFFF"/>
          <w:lang w:val="en-US" w:eastAsia="zh-CN"/>
        </w:rPr>
        <w:t>完成瑞丽市人民医院肾内科血液净化中心改造项目</w:t>
      </w:r>
      <w:r>
        <w:rPr>
          <w:rFonts w:hint="eastAsia" w:asciiTheme="minorEastAsia" w:hAnsiTheme="minorEastAsia" w:eastAsiaTheme="minorEastAsia" w:cstheme="minorEastAsia"/>
          <w:color w:val="auto"/>
          <w:sz w:val="21"/>
          <w:szCs w:val="21"/>
          <w:highlight w:val="none"/>
          <w:lang w:val="en-US" w:eastAsia="zh-CN"/>
        </w:rPr>
        <w:t>1项</w:t>
      </w:r>
      <w:r>
        <w:rPr>
          <w:rFonts w:hint="eastAsia"/>
          <w:color w:val="auto"/>
          <w:sz w:val="21"/>
          <w:szCs w:val="21"/>
          <w:highlight w:val="none"/>
          <w:shd w:val="clear" w:color="auto" w:fill="FFFFFF"/>
          <w:lang w:val="zh-CN"/>
        </w:rPr>
        <w:t>。</w:t>
      </w:r>
    </w:p>
    <w:p w14:paraId="78470EA3">
      <w:pPr>
        <w:pStyle w:val="76"/>
        <w:keepNext w:val="0"/>
        <w:keepLines w:val="0"/>
        <w:pageBreakBefore w:val="0"/>
        <w:kinsoku/>
        <w:wordWrap/>
        <w:overflowPunct/>
        <w:topLinePunct w:val="0"/>
        <w:autoSpaceDE/>
        <w:autoSpaceDN/>
        <w:bidi w:val="0"/>
        <w:snapToGrid/>
        <w:spacing w:line="500" w:lineRule="exact"/>
        <w:ind w:firstLine="420" w:firstLineChars="200"/>
        <w:textAlignment w:val="auto"/>
        <w:rPr>
          <w:rFonts w:hint="eastAsia"/>
          <w:color w:val="auto"/>
          <w:sz w:val="21"/>
          <w:szCs w:val="21"/>
          <w:highlight w:val="none"/>
          <w:shd w:val="clear" w:color="auto" w:fill="FFFFFF"/>
          <w:lang w:val="zh-CN"/>
        </w:rPr>
      </w:pPr>
      <w:r>
        <w:rPr>
          <w:rFonts w:hint="eastAsia"/>
          <w:color w:val="auto"/>
          <w:sz w:val="21"/>
          <w:szCs w:val="21"/>
          <w:highlight w:val="none"/>
          <w:shd w:val="clear" w:color="auto" w:fill="FFFFFF"/>
          <w:lang w:val="en-US" w:eastAsia="zh-CN"/>
        </w:rPr>
        <w:t>2.实施时间</w:t>
      </w:r>
      <w:r>
        <w:rPr>
          <w:rFonts w:hint="eastAsia"/>
          <w:color w:val="auto"/>
          <w:sz w:val="21"/>
          <w:szCs w:val="21"/>
          <w:highlight w:val="none"/>
          <w:shd w:val="clear" w:color="auto" w:fill="FFFFFF"/>
          <w:lang w:val="zh-CN"/>
        </w:rPr>
        <w:t>：</w:t>
      </w:r>
      <w:r>
        <w:rPr>
          <w:rFonts w:hint="eastAsia" w:asciiTheme="minorEastAsia" w:hAnsiTheme="minorEastAsia" w:eastAsiaTheme="minorEastAsia" w:cstheme="minorEastAsia"/>
          <w:color w:val="auto"/>
          <w:sz w:val="21"/>
          <w:szCs w:val="21"/>
          <w:highlight w:val="none"/>
          <w:lang w:val="en-US" w:eastAsia="zh-CN"/>
        </w:rPr>
        <w:t>合同签订后</w:t>
      </w:r>
      <w:r>
        <w:rPr>
          <w:rFonts w:hint="eastAsia"/>
          <w:color w:val="auto"/>
          <w:sz w:val="21"/>
          <w:szCs w:val="21"/>
          <w:highlight w:val="none"/>
          <w:shd w:val="clear" w:color="auto" w:fill="FFFFFF"/>
          <w:lang w:val="zh-CN"/>
        </w:rPr>
        <w:t>。</w:t>
      </w:r>
    </w:p>
    <w:p w14:paraId="79AE01A5">
      <w:pPr>
        <w:pStyle w:val="76"/>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rPr>
      </w:pPr>
      <w:r>
        <w:rPr>
          <w:rFonts w:hint="eastAsia"/>
          <w:color w:val="auto"/>
          <w:sz w:val="21"/>
          <w:szCs w:val="21"/>
          <w:highlight w:val="none"/>
          <w:shd w:val="clear" w:color="auto" w:fill="FFFFFF"/>
          <w:lang w:val="en-US" w:eastAsia="zh-CN"/>
        </w:rPr>
        <w:t>3.建设</w:t>
      </w:r>
      <w:r>
        <w:rPr>
          <w:rFonts w:hint="eastAsia"/>
          <w:color w:val="auto"/>
          <w:sz w:val="21"/>
          <w:szCs w:val="21"/>
          <w:highlight w:val="none"/>
          <w:shd w:val="clear" w:color="auto" w:fill="FFFFFF"/>
          <w:lang w:val="zh-CN"/>
        </w:rPr>
        <w:t>地点：</w:t>
      </w:r>
      <w:r>
        <w:rPr>
          <w:rFonts w:hint="eastAsia"/>
          <w:color w:val="auto"/>
          <w:sz w:val="21"/>
          <w:szCs w:val="21"/>
          <w:highlight w:val="none"/>
          <w:shd w:val="clear" w:color="auto" w:fill="FFFFFF"/>
          <w:lang w:val="en-US" w:eastAsia="zh-CN"/>
        </w:rPr>
        <w:t>瑞丽市</w:t>
      </w:r>
      <w:r>
        <w:rPr>
          <w:rFonts w:hint="eastAsia"/>
          <w:color w:val="auto"/>
          <w:sz w:val="21"/>
          <w:szCs w:val="21"/>
          <w:highlight w:val="none"/>
          <w:shd w:val="clear" w:color="auto" w:fill="FFFFFF"/>
          <w:lang w:val="zh-CN"/>
        </w:rPr>
        <w:t>。</w:t>
      </w:r>
    </w:p>
    <w:p w14:paraId="6B54BAC2">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五、采购标的需满足的</w:t>
      </w:r>
      <w:r>
        <w:rPr>
          <w:rFonts w:hint="eastAsia" w:ascii="宋体" w:hAnsi="宋体" w:cs="宋体"/>
          <w:b/>
          <w:color w:val="auto"/>
          <w:sz w:val="21"/>
          <w:szCs w:val="21"/>
          <w:highlight w:val="none"/>
          <w:lang w:val="en-US" w:eastAsia="zh-CN"/>
        </w:rPr>
        <w:t>质量</w:t>
      </w:r>
      <w:r>
        <w:rPr>
          <w:rFonts w:hint="eastAsia" w:ascii="宋体" w:hAnsi="宋体" w:cs="宋体"/>
          <w:b/>
          <w:color w:val="auto"/>
          <w:sz w:val="21"/>
          <w:szCs w:val="21"/>
          <w:highlight w:val="none"/>
        </w:rPr>
        <w:t>标准、</w:t>
      </w:r>
      <w:r>
        <w:rPr>
          <w:rFonts w:hint="eastAsia" w:ascii="宋体" w:hAnsi="宋体" w:cs="宋体"/>
          <w:b/>
          <w:color w:val="auto"/>
          <w:sz w:val="21"/>
          <w:szCs w:val="21"/>
          <w:highlight w:val="none"/>
          <w:lang w:val="en-US" w:eastAsia="zh-CN"/>
        </w:rPr>
        <w:t>工期</w:t>
      </w:r>
      <w:r>
        <w:rPr>
          <w:rFonts w:hint="eastAsia" w:ascii="宋体" w:hAnsi="宋体" w:cs="宋体"/>
          <w:b/>
          <w:color w:val="auto"/>
          <w:sz w:val="21"/>
          <w:szCs w:val="21"/>
          <w:highlight w:val="none"/>
        </w:rPr>
        <w:t>、效率等要求；</w:t>
      </w:r>
    </w:p>
    <w:p w14:paraId="102E5B41">
      <w:pPr>
        <w:keepNext w:val="0"/>
        <w:keepLines w:val="0"/>
        <w:pageBreakBefore w:val="0"/>
        <w:widowControl/>
        <w:kinsoku/>
        <w:wordWrap/>
        <w:overflowPunct/>
        <w:topLinePunct w:val="0"/>
        <w:autoSpaceDE/>
        <w:autoSpaceDN/>
        <w:bidi w:val="0"/>
        <w:snapToGrid/>
        <w:spacing w:line="500" w:lineRule="exact"/>
        <w:ind w:firstLine="420" w:firstLineChars="200"/>
        <w:textAlignment w:val="auto"/>
        <w:rPr>
          <w:rFonts w:hint="eastAsia"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1.质量标准：符合国家和行业相关技术标准、规范及要求，一次性验收合格。</w:t>
      </w:r>
    </w:p>
    <w:p w14:paraId="4D5A0139">
      <w:pPr>
        <w:keepNext w:val="0"/>
        <w:keepLines w:val="0"/>
        <w:pageBreakBefore w:val="0"/>
        <w:widowControl/>
        <w:kinsoku/>
        <w:wordWrap/>
        <w:overflowPunct/>
        <w:topLinePunct w:val="0"/>
        <w:autoSpaceDE/>
        <w:autoSpaceDN/>
        <w:bidi w:val="0"/>
        <w:snapToGrid/>
        <w:spacing w:line="500" w:lineRule="exact"/>
        <w:ind w:firstLine="420" w:firstLineChars="200"/>
        <w:textAlignment w:val="auto"/>
        <w:rPr>
          <w:rFonts w:hint="eastAsia" w:eastAsia="宋体" w:cs="宋体"/>
          <w:color w:val="auto"/>
          <w:kern w:val="2"/>
          <w:sz w:val="21"/>
          <w:szCs w:val="21"/>
          <w:highlight w:val="none"/>
          <w:lang w:val="en-US" w:eastAsia="zh-CN" w:bidi="ar-SA"/>
        </w:rPr>
      </w:pPr>
      <w:r>
        <w:rPr>
          <w:rFonts w:hint="eastAsia" w:eastAsia="宋体" w:cs="宋体"/>
          <w:color w:val="auto"/>
          <w:kern w:val="2"/>
          <w:sz w:val="21"/>
          <w:szCs w:val="21"/>
          <w:highlight w:val="none"/>
          <w:lang w:val="en-US" w:eastAsia="zh-CN" w:bidi="ar-SA"/>
        </w:rPr>
        <w:t>2.工期要求：</w:t>
      </w:r>
      <w:r>
        <w:rPr>
          <w:rFonts w:hint="eastAsia" w:cs="宋体"/>
          <w:color w:val="auto"/>
          <w:kern w:val="2"/>
          <w:sz w:val="21"/>
          <w:szCs w:val="21"/>
          <w:highlight w:val="none"/>
          <w:lang w:val="en-US" w:eastAsia="zh-CN" w:bidi="ar-SA"/>
        </w:rPr>
        <w:t>90日历天</w:t>
      </w:r>
      <w:r>
        <w:rPr>
          <w:rFonts w:hint="eastAsia" w:eastAsia="宋体" w:cs="宋体"/>
          <w:color w:val="auto"/>
          <w:kern w:val="2"/>
          <w:sz w:val="21"/>
          <w:szCs w:val="21"/>
          <w:highlight w:val="none"/>
          <w:lang w:val="en-US" w:eastAsia="zh-CN" w:bidi="ar-SA"/>
        </w:rPr>
        <w:t>。</w:t>
      </w:r>
    </w:p>
    <w:p w14:paraId="79281BDA">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六、采购标的的验收标准；</w:t>
      </w:r>
    </w:p>
    <w:p w14:paraId="77D54D46">
      <w:pPr>
        <w:pStyle w:val="11"/>
        <w:keepNext w:val="0"/>
        <w:keepLines w:val="0"/>
        <w:pageBreakBefore w:val="0"/>
        <w:kinsoku/>
        <w:wordWrap/>
        <w:overflowPunct/>
        <w:topLinePunct w:val="0"/>
        <w:autoSpaceDE/>
        <w:autoSpaceDN/>
        <w:bidi w:val="0"/>
        <w:snapToGrid/>
        <w:spacing w:line="500" w:lineRule="exact"/>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.验收标准：</w:t>
      </w:r>
      <w:r>
        <w:rPr>
          <w:rFonts w:hint="eastAsia" w:ascii="宋体" w:hAnsi="宋体" w:cs="宋体"/>
          <w:color w:val="auto"/>
          <w:kern w:val="2"/>
          <w:sz w:val="21"/>
          <w:szCs w:val="21"/>
          <w:highlight w:val="none"/>
          <w:lang w:val="en-US" w:eastAsia="zh-CN" w:bidi="ar"/>
        </w:rPr>
        <w:t>符合国家、地方、行业其他现行工程建设强制性标准、相关质量验收标准及规范要求，一次性验收合格。</w:t>
      </w:r>
    </w:p>
    <w:p w14:paraId="6A52D75A">
      <w:pPr>
        <w:pStyle w:val="76"/>
        <w:keepNext w:val="0"/>
        <w:keepLines w:val="0"/>
        <w:pageBreakBefore w:val="0"/>
        <w:kinsoku/>
        <w:wordWrap/>
        <w:overflowPunct/>
        <w:topLinePunct w:val="0"/>
        <w:autoSpaceDE/>
        <w:autoSpaceDN/>
        <w:bidi w:val="0"/>
        <w:snapToGrid/>
        <w:spacing w:line="500" w:lineRule="exact"/>
        <w:ind w:firstLine="420" w:firstLineChars="200"/>
        <w:textAlignment w:val="auto"/>
        <w:rPr>
          <w:color w:val="auto"/>
          <w:sz w:val="21"/>
          <w:szCs w:val="21"/>
          <w:highlight w:val="none"/>
          <w:shd w:val="clear" w:color="auto" w:fill="FFFFFF"/>
          <w:lang w:val="zh-CN"/>
        </w:rPr>
      </w:pPr>
      <w:r>
        <w:rPr>
          <w:rFonts w:hint="eastAsia" w:cs="宋体"/>
          <w:bCs w:val="0"/>
          <w:color w:val="auto"/>
          <w:sz w:val="21"/>
          <w:szCs w:val="21"/>
          <w:highlight w:val="none"/>
          <w:lang w:val="en-US" w:eastAsia="zh-CN"/>
        </w:rPr>
        <w:t>2</w:t>
      </w:r>
      <w:r>
        <w:rPr>
          <w:rFonts w:hint="eastAsia" w:cs="宋体"/>
          <w:bCs w:val="0"/>
          <w:color w:val="auto"/>
          <w:sz w:val="21"/>
          <w:szCs w:val="21"/>
          <w:highlight w:val="none"/>
        </w:rPr>
        <w:t>.</w:t>
      </w:r>
      <w:r>
        <w:rPr>
          <w:rFonts w:hint="eastAsia" w:cs="宋体"/>
          <w:bCs w:val="0"/>
          <w:color w:val="auto"/>
          <w:sz w:val="21"/>
          <w:szCs w:val="21"/>
          <w:highlight w:val="none"/>
          <w:lang w:val="en-US" w:eastAsia="zh-CN"/>
        </w:rPr>
        <w:t>验收内容：工程量清单中的全部内容</w:t>
      </w:r>
      <w:r>
        <w:rPr>
          <w:rFonts w:hint="eastAsia"/>
          <w:color w:val="auto"/>
          <w:sz w:val="21"/>
          <w:szCs w:val="21"/>
          <w:highlight w:val="none"/>
          <w:shd w:val="clear" w:color="auto" w:fill="FFFFFF"/>
          <w:lang w:val="zh-CN"/>
        </w:rPr>
        <w:t>。</w:t>
      </w:r>
    </w:p>
    <w:p w14:paraId="4D475DD6">
      <w:pPr>
        <w:keepNext w:val="0"/>
        <w:keepLines w:val="0"/>
        <w:pageBreakBefore w:val="0"/>
        <w:kinsoku/>
        <w:wordWrap/>
        <w:overflowPunct/>
        <w:topLinePunct w:val="0"/>
        <w:autoSpaceDE/>
        <w:autoSpaceDN/>
        <w:bidi w:val="0"/>
        <w:snapToGrid/>
        <w:spacing w:line="500" w:lineRule="exact"/>
        <w:ind w:firstLine="422" w:firstLineChars="200"/>
        <w:textAlignment w:val="auto"/>
        <w:rPr>
          <w:rFonts w:ascii="宋体" w:hAnsi="宋体" w:cs="宋体"/>
          <w:b/>
          <w:color w:val="auto"/>
          <w:sz w:val="21"/>
          <w:szCs w:val="21"/>
          <w:highlight w:val="none"/>
        </w:rPr>
      </w:pPr>
      <w:r>
        <w:rPr>
          <w:rFonts w:hint="eastAsia" w:ascii="宋体" w:hAnsi="宋体" w:cs="宋体"/>
          <w:b/>
          <w:color w:val="auto"/>
          <w:sz w:val="21"/>
          <w:szCs w:val="21"/>
          <w:highlight w:val="none"/>
        </w:rPr>
        <w:t>七、采购标的的其他技术等要求。</w:t>
      </w:r>
    </w:p>
    <w:p w14:paraId="5B013823">
      <w:pPr>
        <w:keepNext w:val="0"/>
        <w:keepLines w:val="0"/>
        <w:pageBreakBefore w:val="0"/>
        <w:kinsoku/>
        <w:wordWrap/>
        <w:overflowPunct/>
        <w:topLinePunct w:val="0"/>
        <w:autoSpaceDE/>
        <w:autoSpaceDN/>
        <w:bidi w:val="0"/>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rPr>
        <w:t>1.</w:t>
      </w:r>
      <w:r>
        <w:rPr>
          <w:rFonts w:hint="eastAsia" w:ascii="宋体" w:hAnsi="宋体" w:eastAsia="宋体" w:cs="宋体"/>
          <w:color w:val="auto"/>
          <w:sz w:val="21"/>
          <w:szCs w:val="21"/>
          <w:highlight w:val="none"/>
          <w:lang w:val="en-US" w:eastAsia="zh-CN"/>
        </w:rPr>
        <w:t>本项目的材料、设备、施工须达到现行中华人民共和国以及省、自治区、直辖市或行业的工程建设标准、规范的要求；严格遵照设计施工图及国家或行业有关标准、规范执行</w:t>
      </w:r>
      <w:r>
        <w:rPr>
          <w:rFonts w:hint="eastAsia" w:ascii="宋体" w:hAnsi="宋体" w:cs="宋体"/>
          <w:color w:val="auto"/>
          <w:sz w:val="21"/>
          <w:szCs w:val="21"/>
          <w:highlight w:val="none"/>
          <w:lang w:val="en-US" w:eastAsia="zh-CN"/>
        </w:rPr>
        <w:t>。</w:t>
      </w:r>
    </w:p>
    <w:p w14:paraId="6F12551F">
      <w:pPr>
        <w:keepNext w:val="0"/>
        <w:keepLines w:val="0"/>
        <w:pageBreakBefore w:val="0"/>
        <w:kinsoku/>
        <w:wordWrap/>
        <w:overflowPunct/>
        <w:topLinePunct w:val="0"/>
        <w:autoSpaceDE/>
        <w:autoSpaceDN/>
        <w:bidi w:val="0"/>
        <w:snapToGrid/>
        <w:spacing w:line="500" w:lineRule="exact"/>
        <w:ind w:firstLine="420" w:firstLineChars="200"/>
        <w:textAlignment w:val="auto"/>
        <w:rPr>
          <w:rFonts w:ascii="宋体" w:hAnsi="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cs="宋体"/>
          <w:color w:val="auto"/>
          <w:sz w:val="21"/>
          <w:szCs w:val="21"/>
          <w:highlight w:val="none"/>
        </w:rPr>
        <w:t>.</w:t>
      </w:r>
      <w:r>
        <w:rPr>
          <w:rFonts w:hint="eastAsia" w:ascii="宋体" w:hAnsi="宋体" w:eastAsia="宋体" w:cs="宋体"/>
          <w:color w:val="auto"/>
          <w:sz w:val="21"/>
          <w:szCs w:val="21"/>
          <w:highlight w:val="none"/>
          <w:lang w:val="en-US" w:eastAsia="zh-CN"/>
        </w:rPr>
        <w:t>本项目的安全生产、文明施工、环境保护措施应符合中华人民共和国以及省、市、自治区、直辖市或行业以及当地政府的有关法律、法规的要求</w:t>
      </w:r>
      <w:r>
        <w:rPr>
          <w:rFonts w:ascii="宋体" w:hAnsi="宋体" w:cs="宋体"/>
          <w:color w:val="auto"/>
          <w:sz w:val="21"/>
          <w:szCs w:val="21"/>
          <w:highlight w:val="none"/>
        </w:rPr>
        <w:t>。</w:t>
      </w:r>
    </w:p>
    <w:p w14:paraId="0684FD7F">
      <w:pPr>
        <w:keepNext w:val="0"/>
        <w:keepLines w:val="0"/>
        <w:pageBreakBefore w:val="0"/>
        <w:widowControl w:val="0"/>
        <w:kinsoku/>
        <w:wordWrap/>
        <w:overflowPunct/>
        <w:topLinePunct w:val="0"/>
        <w:bidi w:val="0"/>
        <w:snapToGrid/>
        <w:spacing w:line="480" w:lineRule="exact"/>
        <w:ind w:firstLine="420" w:firstLineChars="200"/>
        <w:jc w:val="left"/>
        <w:textAlignment w:val="auto"/>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.付款方式：</w:t>
      </w:r>
      <w:r>
        <w:rPr>
          <w:rFonts w:hint="eastAsia" w:asciiTheme="minorEastAsia" w:hAnsiTheme="minorEastAsia" w:eastAsiaTheme="minorEastAsia" w:cstheme="minorEastAsia"/>
          <w:i w:val="0"/>
          <w:iCs w:val="0"/>
          <w:color w:val="auto"/>
          <w:sz w:val="21"/>
          <w:szCs w:val="21"/>
          <w:highlight w:val="none"/>
          <w:lang w:val="en-US" w:eastAsia="zh-CN"/>
        </w:rPr>
        <w:t>按其合同约定支付。</w:t>
      </w:r>
      <w:bookmarkStart w:id="204" w:name="_Toc14742_WPSOffice_Level1"/>
      <w:bookmarkStart w:id="205" w:name="_Toc16726_WPSOffice_Level1"/>
    </w:p>
    <w:p w14:paraId="73DF3D63">
      <w:pPr>
        <w:pStyle w:val="2"/>
        <w:tabs>
          <w:tab w:val="left" w:pos="0"/>
        </w:tabs>
        <w:autoSpaceDE w:val="0"/>
        <w:autoSpaceDN w:val="0"/>
        <w:adjustRightInd w:val="0"/>
        <w:spacing w:before="0" w:after="0" w:line="240" w:lineRule="auto"/>
        <w:jc w:val="center"/>
        <w:rPr>
          <w:rFonts w:ascii="宋体" w:hAnsi="宋体" w:eastAsia="宋体"/>
          <w:color w:val="auto"/>
          <w:highlight w:val="none"/>
        </w:rPr>
      </w:pPr>
      <w:r>
        <w:rPr>
          <w:rFonts w:hint="eastAsia" w:ascii="宋体" w:hAnsi="宋体" w:eastAsia="宋体"/>
          <w:color w:val="auto"/>
          <w:highlight w:val="none"/>
        </w:rPr>
        <w:t>第四章 评审办法</w:t>
      </w:r>
      <w:bookmarkEnd w:id="204"/>
    </w:p>
    <w:p w14:paraId="34861CCB">
      <w:pPr>
        <w:rPr>
          <w:rFonts w:ascii="宋体" w:hAnsi="宋体" w:cs="宋体"/>
          <w:color w:val="auto"/>
          <w:sz w:val="24"/>
          <w:szCs w:val="32"/>
          <w:highlight w:val="none"/>
        </w:rPr>
      </w:pPr>
    </w:p>
    <w:p w14:paraId="779360F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1.根据《中华人民共和国政府采购法》及其实施条例、财政部第94、101号令、《政府采购竞争性磋商采购方式管理暂行办法》等现行相关</w:t>
      </w:r>
      <w:r>
        <w:rPr>
          <w:rFonts w:hint="eastAsia" w:ascii="宋体" w:hAnsi="宋体" w:eastAsia="宋体" w:cs="宋体"/>
          <w:color w:val="auto"/>
          <w:spacing w:val="0"/>
          <w:kern w:val="2"/>
          <w:sz w:val="21"/>
          <w:szCs w:val="21"/>
          <w:highlight w:val="none"/>
          <w:lang w:eastAsia="zh-CN"/>
        </w:rPr>
        <w:t>法律法规</w:t>
      </w:r>
      <w:r>
        <w:rPr>
          <w:rFonts w:hint="eastAsia" w:ascii="宋体" w:hAnsi="宋体" w:eastAsia="宋体" w:cs="宋体"/>
          <w:color w:val="auto"/>
          <w:spacing w:val="0"/>
          <w:kern w:val="2"/>
          <w:sz w:val="21"/>
          <w:szCs w:val="21"/>
          <w:highlight w:val="none"/>
        </w:rPr>
        <w:t>的规定及磋商文件制定本办法。</w:t>
      </w:r>
    </w:p>
    <w:p w14:paraId="6C9FE08A">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2.采购人将根据本次采购项目的性质和特点依法组建磋商小组，磋商小组按照</w:t>
      </w:r>
      <w:r>
        <w:rPr>
          <w:rFonts w:hint="eastAsia" w:ascii="宋体" w:hAnsi="宋体" w:eastAsia="宋体" w:cs="宋体"/>
          <w:color w:val="auto"/>
          <w:spacing w:val="0"/>
          <w:kern w:val="2"/>
          <w:sz w:val="21"/>
          <w:szCs w:val="21"/>
          <w:highlight w:val="none"/>
          <w:lang w:eastAsia="zh-CN"/>
        </w:rPr>
        <w:t>法律法规</w:t>
      </w:r>
      <w:r>
        <w:rPr>
          <w:rFonts w:hint="eastAsia" w:ascii="宋体" w:hAnsi="宋体" w:eastAsia="宋体" w:cs="宋体"/>
          <w:color w:val="auto"/>
          <w:spacing w:val="0"/>
          <w:kern w:val="2"/>
          <w:sz w:val="21"/>
          <w:szCs w:val="21"/>
          <w:highlight w:val="none"/>
        </w:rPr>
        <w:t>的规定，在严格的保密条件下进行评审工作，任何人及单位不得干扰磋商小组的正常工作。</w:t>
      </w:r>
    </w:p>
    <w:p w14:paraId="66D954EC">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3.</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原则：依照“公平、公正、科学、择优”的原则。</w:t>
      </w:r>
    </w:p>
    <w:p w14:paraId="67DC2903">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4.</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办法：采用综合评分法。</w:t>
      </w:r>
    </w:p>
    <w:p w14:paraId="03AD696E">
      <w:pPr>
        <w:pStyle w:val="39"/>
        <w:rPr>
          <w:rFonts w:hint="eastAsia" w:ascii="宋体" w:hAnsi="宋体" w:eastAsia="宋体" w:cs="宋体"/>
          <w:color w:val="auto"/>
          <w:spacing w:val="0"/>
          <w:kern w:val="2"/>
          <w:sz w:val="21"/>
          <w:szCs w:val="21"/>
          <w:highlight w:val="none"/>
          <w:lang w:val="zh-CN"/>
        </w:rPr>
      </w:pPr>
      <w:r>
        <w:rPr>
          <w:rFonts w:hint="eastAsia" w:ascii="宋体" w:hAnsi="宋体" w:eastAsia="宋体" w:cs="宋体"/>
          <w:color w:val="auto"/>
          <w:spacing w:val="0"/>
          <w:kern w:val="2"/>
          <w:sz w:val="21"/>
          <w:szCs w:val="21"/>
          <w:highlight w:val="none"/>
        </w:rPr>
        <w:t>磋商文件内容违反国家有关强制性规定的，磋商小组应当停止评审并向采购人或者采购代理机构说明情况。</w:t>
      </w:r>
    </w:p>
    <w:p w14:paraId="182577D6">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eastAsia="zh-CN"/>
        </w:rPr>
        <w:t>评审</w:t>
      </w:r>
      <w:r>
        <w:rPr>
          <w:rFonts w:hint="eastAsia" w:ascii="宋体" w:hAnsi="宋体" w:eastAsia="宋体" w:cs="宋体"/>
          <w:color w:val="auto"/>
          <w:spacing w:val="0"/>
          <w:kern w:val="2"/>
          <w:sz w:val="21"/>
          <w:szCs w:val="21"/>
          <w:highlight w:val="none"/>
        </w:rPr>
        <w:t>程序：初步评审→磋商过程→在规定的时间内提交最后磋商报价→详细评审。</w:t>
      </w:r>
    </w:p>
    <w:p w14:paraId="67448AAB">
      <w:pPr>
        <w:pStyle w:val="39"/>
        <w:rPr>
          <w:rFonts w:hint="eastAsia" w:ascii="宋体" w:hAnsi="宋体" w:eastAsia="宋体" w:cs="宋体"/>
          <w:color w:val="auto"/>
          <w:spacing w:val="0"/>
          <w:kern w:val="2"/>
          <w:sz w:val="21"/>
          <w:szCs w:val="21"/>
          <w:highlight w:val="none"/>
        </w:rPr>
      </w:pPr>
      <w:bookmarkStart w:id="206" w:name="_Toc26135_WPSOffice_Level3"/>
      <w:bookmarkStart w:id="207" w:name="_Toc32042_WPSOffice_Level3"/>
      <w:bookmarkStart w:id="208" w:name="_Toc20321_WPSOffice_Level3"/>
      <w:r>
        <w:rPr>
          <w:rFonts w:hint="eastAsia" w:ascii="宋体" w:hAnsi="宋体" w:eastAsia="宋体" w:cs="宋体"/>
          <w:color w:val="auto"/>
          <w:spacing w:val="0"/>
          <w:kern w:val="2"/>
          <w:sz w:val="21"/>
          <w:szCs w:val="21"/>
          <w:highlight w:val="none"/>
        </w:rPr>
        <w:t>5.1初步评审（分为资格评审、符合性评审）：具体内容详见评审标准</w:t>
      </w:r>
      <w:bookmarkEnd w:id="206"/>
      <w:bookmarkEnd w:id="207"/>
      <w:bookmarkEnd w:id="208"/>
      <w:r>
        <w:rPr>
          <w:rFonts w:hint="eastAsia" w:ascii="宋体" w:hAnsi="宋体" w:eastAsia="宋体" w:cs="宋体"/>
          <w:color w:val="auto"/>
          <w:spacing w:val="0"/>
          <w:kern w:val="2"/>
          <w:sz w:val="21"/>
          <w:szCs w:val="21"/>
          <w:highlight w:val="none"/>
        </w:rPr>
        <w:t>。</w:t>
      </w:r>
    </w:p>
    <w:p w14:paraId="770C34AB">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（1）资格评审：未通过资格评审的响应文件应作无效标处理。</w:t>
      </w:r>
    </w:p>
    <w:p w14:paraId="32DD52FA">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（2）符合性评审：未通过符合性评审的响应文件应作无效标处理。</w:t>
      </w:r>
    </w:p>
    <w:p w14:paraId="2946531F">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（3）只有通过初步评审的响应文件才能进入磋商过程及最后磋商报价。</w:t>
      </w:r>
    </w:p>
    <w:p w14:paraId="08F49127">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（4）如果响应文件实质上不响应磋商文件的要求，采购人将予以拒绝，并且不允许通过修正或撤销其不符合要求的差异或保留，使之成为具有响应性的投标。</w:t>
      </w:r>
    </w:p>
    <w:p w14:paraId="353E397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磋商小组在对响应文件的有效性、完整性和响应程度进行审查时，可以要求供应商对响应文件中含义不明确、同类问题表述不一致或者有明显文字和计算错误的内容等作出必要的澄清、说明或更正。供应商的澄清、说明或者更正不得超出响应文件的范围或者改变响应文件的实质性内容。（</w:t>
      </w:r>
      <w:r>
        <w:rPr>
          <w:rFonts w:hint="eastAsia" w:ascii="宋体" w:hAnsi="宋体" w:eastAsia="宋体" w:cs="宋体"/>
          <w:color w:val="auto"/>
          <w:spacing w:val="0"/>
          <w:kern w:val="2"/>
          <w:sz w:val="21"/>
          <w:szCs w:val="21"/>
          <w:highlight w:val="none"/>
        </w:rPr>
        <w:t>有关要求和答复均</w:t>
      </w:r>
      <w:r>
        <w:rPr>
          <w:rFonts w:hint="eastAsia" w:ascii="宋体" w:hAnsi="宋体" w:eastAsia="宋体" w:cs="宋体"/>
          <w:color w:val="auto"/>
          <w:spacing w:val="0"/>
          <w:kern w:val="2"/>
          <w:sz w:val="21"/>
          <w:szCs w:val="21"/>
          <w:highlight w:val="none"/>
          <w:lang w:val="en-US" w:eastAsia="zh-CN"/>
        </w:rPr>
        <w:t>在“政府采购云平台”（https://www.zcygov.cn/)</w:t>
      </w:r>
      <w:r>
        <w:rPr>
          <w:rFonts w:hint="eastAsia" w:ascii="宋体" w:hAnsi="宋体" w:eastAsia="宋体" w:cs="宋体"/>
          <w:color w:val="auto"/>
          <w:spacing w:val="0"/>
          <w:kern w:val="2"/>
          <w:sz w:val="21"/>
          <w:szCs w:val="21"/>
          <w:highlight w:val="none"/>
        </w:rPr>
        <w:t>进行。</w:t>
      </w:r>
      <w:r>
        <w:rPr>
          <w:rFonts w:hint="eastAsia" w:ascii="宋体" w:hAnsi="宋体" w:eastAsia="宋体" w:cs="宋体"/>
          <w:color w:val="auto"/>
          <w:spacing w:val="0"/>
          <w:kern w:val="2"/>
          <w:sz w:val="21"/>
          <w:szCs w:val="21"/>
          <w:highlight w:val="none"/>
          <w:lang w:val="en-US" w:eastAsia="zh-CN"/>
        </w:rPr>
        <w:t>）</w:t>
      </w:r>
    </w:p>
    <w:p w14:paraId="037E982D">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5.2磋商过程</w:t>
      </w:r>
    </w:p>
    <w:p w14:paraId="7CC8FB47">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通过资格审查及符合性审查的供应商在系统中等待磋商小组发起磋商，磋商小组所有成员集中与单一供应商分别进行磋商。在磋商中，磋商的任何一方不得透露与磋商有关的其他供应商的技术资料、价格、折扣和其他信息。</w:t>
      </w:r>
    </w:p>
    <w:p w14:paraId="02B68169">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rPr>
        <w:t>5.3最后磋商报价</w:t>
      </w:r>
    </w:p>
    <w:p w14:paraId="117A5264">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b/>
          <w:bCs/>
          <w:color w:val="auto"/>
          <w:spacing w:val="0"/>
          <w:kern w:val="2"/>
          <w:sz w:val="21"/>
          <w:szCs w:val="21"/>
          <w:highlight w:val="none"/>
        </w:rPr>
        <w:t>磋商结束后，通过资格审查及符合性审查的供应商在系统中等待磋商小组通知最后磋商报价，供应商报价时限为30分钟。</w:t>
      </w:r>
      <w:r>
        <w:rPr>
          <w:rFonts w:hint="eastAsia" w:ascii="宋体" w:hAnsi="宋体" w:eastAsia="宋体" w:cs="宋体"/>
          <w:color w:val="auto"/>
          <w:spacing w:val="0"/>
          <w:kern w:val="2"/>
          <w:sz w:val="21"/>
          <w:szCs w:val="21"/>
          <w:highlight w:val="none"/>
        </w:rPr>
        <w:t>经磋商确定最终采购需求和提交最后磋商报价的供应商后，由磋商小组采用综合评分法对提交最后磋商报价的供应商的响应文件和最后磋商报价进行综合评分。</w:t>
      </w:r>
    </w:p>
    <w:p w14:paraId="6EC0E86C">
      <w:pPr>
        <w:pStyle w:val="39"/>
        <w:rPr>
          <w:rFonts w:hint="eastAsia" w:ascii="宋体" w:hAnsi="宋体" w:eastAsia="宋体" w:cs="宋体"/>
          <w:b/>
          <w:bCs/>
          <w:color w:val="auto"/>
          <w:spacing w:val="0"/>
          <w:kern w:val="2"/>
          <w:sz w:val="21"/>
          <w:szCs w:val="21"/>
          <w:highlight w:val="none"/>
          <w:lang w:eastAsia="zh-CN"/>
        </w:rPr>
      </w:pPr>
      <w:r>
        <w:rPr>
          <w:rFonts w:hint="eastAsia" w:ascii="宋体" w:hAnsi="宋体" w:eastAsia="宋体" w:cs="宋体"/>
          <w:b/>
          <w:bCs/>
          <w:color w:val="auto"/>
          <w:spacing w:val="0"/>
          <w:kern w:val="2"/>
          <w:sz w:val="21"/>
          <w:szCs w:val="21"/>
          <w:highlight w:val="none"/>
        </w:rPr>
        <w:t>政府采购异常低价审查</w:t>
      </w:r>
      <w:r>
        <w:rPr>
          <w:rFonts w:hint="eastAsia" w:ascii="宋体" w:hAnsi="宋体" w:eastAsia="宋体" w:cs="宋体"/>
          <w:b/>
          <w:bCs/>
          <w:color w:val="auto"/>
          <w:spacing w:val="0"/>
          <w:kern w:val="2"/>
          <w:sz w:val="21"/>
          <w:szCs w:val="21"/>
          <w:highlight w:val="none"/>
          <w:lang w:eastAsia="zh-CN"/>
        </w:rPr>
        <w:t>（财库〔2026〕2号）：</w:t>
      </w:r>
    </w:p>
    <w:p w14:paraId="74400CC0">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政府采购评审中出现下列情形之一的，磋商小组应当启动异常低价投标（响应）审查程序：</w:t>
      </w:r>
    </w:p>
    <w:p w14:paraId="0DE53663">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0DC549E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76AF70D4">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（3）投标（响应）报价低于采购项目最高限价45%的，即投标（响应）报价&lt;采购项目最高限价×45%；</w:t>
      </w:r>
    </w:p>
    <w:p w14:paraId="2EDA18D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（4）磋商小组基于专业判断，认为供应商报价过低，有可能影响产品质量或者不能诚信履约的其他情形。</w:t>
      </w:r>
    </w:p>
    <w:p w14:paraId="1A0CD3C3">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采购人可以结合具体项目实际情况，提高上述第（1）项至第（3）项中启动异常低价投标（响应）审查的数值标准，但是最高不得超过65%。</w:t>
      </w:r>
    </w:p>
    <w:p w14:paraId="5EC3AE84">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相关法律法规对供应商报价有规定的，从其规定。</w:t>
      </w:r>
    </w:p>
    <w:p w14:paraId="47C44FBB">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6490B20">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288E01EF">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5D8BC5E3">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异常低价投标（响应）审查的启动原因、审查意见和审查结果应当在评审报告中记录，并随供应商提供的相关书面说明及证明材料，以及磋商小组有关互联网浏览、查询历史一并归档。</w:t>
      </w:r>
    </w:p>
    <w:p w14:paraId="09572670">
      <w:pPr>
        <w:pStyle w:val="39"/>
        <w:rPr>
          <w:rFonts w:hint="default" w:ascii="宋体" w:hAnsi="宋体" w:eastAsia="宋体" w:cs="宋体"/>
          <w:color w:val="auto"/>
          <w:spacing w:val="0"/>
          <w:kern w:val="2"/>
          <w:sz w:val="21"/>
          <w:szCs w:val="21"/>
          <w:highlight w:val="none"/>
          <w:lang w:val="en-US" w:eastAsia="zh-CN"/>
        </w:rPr>
      </w:pPr>
      <w:r>
        <w:rPr>
          <w:rFonts w:hint="default"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lang w:val="en-US" w:eastAsia="zh-CN"/>
        </w:rPr>
        <w:t>4详细评审</w:t>
      </w:r>
    </w:p>
    <w:p w14:paraId="1BC5318E">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磋商小组根据本章详细评审评分办法对通过初步评审及进行最后磋商报价的供应商进行量化打分。</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p>
    <w:p w14:paraId="6EA0E236">
      <w:pPr>
        <w:pStyle w:val="39"/>
        <w:rPr>
          <w:rFonts w:hint="eastAsia" w:ascii="宋体" w:hAnsi="宋体" w:eastAsia="宋体" w:cs="宋体"/>
          <w:color w:val="auto"/>
          <w:spacing w:val="0"/>
          <w:kern w:val="2"/>
          <w:sz w:val="21"/>
          <w:szCs w:val="21"/>
          <w:highlight w:val="none"/>
        </w:rPr>
      </w:pPr>
      <w:bookmarkStart w:id="209" w:name="_Toc25258_WPSOffice_Level3"/>
      <w:bookmarkStart w:id="210" w:name="_Toc5833_WPSOffice_Level3"/>
      <w:bookmarkStart w:id="211" w:name="_Toc27138_WPSOffice_Level3"/>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val="en-US" w:eastAsia="zh-CN"/>
        </w:rPr>
        <w:t>5</w:t>
      </w:r>
      <w:r>
        <w:rPr>
          <w:rFonts w:hint="eastAsia" w:ascii="宋体" w:hAnsi="宋体" w:eastAsia="宋体" w:cs="宋体"/>
          <w:color w:val="auto"/>
          <w:spacing w:val="0"/>
          <w:kern w:val="2"/>
          <w:sz w:val="21"/>
          <w:szCs w:val="21"/>
          <w:highlight w:val="none"/>
        </w:rPr>
        <w:t>推荐成交候选人</w:t>
      </w:r>
      <w:bookmarkEnd w:id="209"/>
      <w:bookmarkEnd w:id="210"/>
      <w:bookmarkEnd w:id="211"/>
    </w:p>
    <w:p w14:paraId="7A09A4B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w:t>
      </w:r>
      <w:r>
        <w:rPr>
          <w:rFonts w:hint="eastAsia" w:hAnsi="宋体" w:cs="宋体"/>
          <w:color w:val="auto"/>
          <w:spacing w:val="0"/>
          <w:kern w:val="2"/>
          <w:sz w:val="21"/>
          <w:szCs w:val="21"/>
          <w:highlight w:val="none"/>
        </w:rPr>
        <w:t>磋商小组应当根据综合评分情况，按照评审得分由高到低顺序推荐3名成交候选供应商，</w:t>
      </w:r>
      <w:r>
        <w:rPr>
          <w:rFonts w:hint="eastAsia" w:hAnsi="宋体" w:cs="宋体"/>
          <w:color w:val="auto"/>
          <w:spacing w:val="0"/>
          <w:kern w:val="2"/>
          <w:sz w:val="21"/>
          <w:szCs w:val="21"/>
          <w:highlight w:val="none"/>
          <w:lang w:val="en-US" w:eastAsia="zh-CN"/>
        </w:rPr>
        <w:t>由系统自动生成</w:t>
      </w:r>
      <w:r>
        <w:rPr>
          <w:rFonts w:hint="eastAsia" w:hAnsi="宋体" w:cs="宋体"/>
          <w:color w:val="auto"/>
          <w:spacing w:val="0"/>
          <w:kern w:val="2"/>
          <w:sz w:val="21"/>
          <w:szCs w:val="21"/>
          <w:highlight w:val="none"/>
        </w:rPr>
        <w:t>评审报告</w:t>
      </w:r>
      <w:r>
        <w:rPr>
          <w:rFonts w:hint="eastAsia" w:ascii="宋体" w:hAnsi="宋体" w:eastAsia="宋体" w:cs="宋体"/>
          <w:color w:val="auto"/>
          <w:spacing w:val="0"/>
          <w:kern w:val="2"/>
          <w:sz w:val="21"/>
          <w:szCs w:val="21"/>
          <w:highlight w:val="none"/>
          <w:lang w:val="en-US" w:eastAsia="zh-CN"/>
        </w:rPr>
        <w:t>。符合《政府采购竞争性磋商采购方式管理暂行办法》第二十一条第三款情形的，可以推荐2家成交候选供应商。评审得分相同的，按照最后磋商报价由低到高的顺序推荐。评审得分且最后磋商报价相同的，按照技术指标优劣顺序推荐。</w:t>
      </w:r>
    </w:p>
    <w:p w14:paraId="02D386E5">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评审报告应当包括以下主要内容：</w:t>
      </w:r>
    </w:p>
    <w:p w14:paraId="2BBA5C90">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(一)供应商参加采购活动的具体方式和相关情况；</w:t>
      </w:r>
    </w:p>
    <w:p w14:paraId="6C1E878D">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(二)响应文件开启日期和地点；</w:t>
      </w:r>
    </w:p>
    <w:p w14:paraId="16C2214B">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(三)获取磋商文件的供应商名单和磋商小组成员名单；</w:t>
      </w:r>
    </w:p>
    <w:p w14:paraId="699C5F1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(四)评审情况记录和说明，包括对供应商的资格审查情况、供应商响应文件评审情况、磋商情况、报价情况等；</w:t>
      </w:r>
    </w:p>
    <w:p w14:paraId="53842518">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 xml:space="preserve">(五)提出的成交候选供应商的排序名单及理由。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r>
        <w:rPr>
          <w:rFonts w:hint="eastAsia" w:ascii="宋体" w:hAnsi="宋体" w:eastAsia="宋体" w:cs="宋体"/>
          <w:color w:val="auto"/>
          <w:spacing w:val="0"/>
          <w:kern w:val="2"/>
          <w:sz w:val="21"/>
          <w:szCs w:val="21"/>
          <w:highlight w:val="none"/>
          <w:lang w:val="en-US" w:eastAsia="zh-CN"/>
        </w:rPr>
        <w:t xml:space="preserve"> </w:t>
      </w:r>
      <w:r>
        <w:rPr>
          <w:rFonts w:hint="default" w:ascii="宋体" w:hAnsi="宋体" w:eastAsia="宋体" w:cs="宋体"/>
          <w:color w:val="auto"/>
          <w:spacing w:val="0"/>
          <w:kern w:val="2"/>
          <w:sz w:val="21"/>
          <w:szCs w:val="21"/>
          <w:highlight w:val="none"/>
          <w:lang w:val="en-US" w:eastAsia="zh-CN"/>
        </w:rPr>
        <w:t xml:space="preserve"> </w:t>
      </w:r>
    </w:p>
    <w:p w14:paraId="78499E91">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（2）采购人依据磋商小组推荐的成交候选人排序确定第一成交候选人为本项目的成交人。</w:t>
      </w:r>
    </w:p>
    <w:p w14:paraId="2B0720EC">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（3）成交供应商确定后，成交结果将在发布磋商公告的媒介上发布，公告时间为发布公告之日起1个工作日。</w:t>
      </w:r>
    </w:p>
    <w:p w14:paraId="2322AEBC">
      <w:pPr>
        <w:pStyle w:val="39"/>
        <w:rPr>
          <w:rFonts w:hint="eastAsia" w:ascii="宋体" w:hAnsi="宋体" w:eastAsia="宋体" w:cs="宋体"/>
          <w:color w:val="auto"/>
          <w:spacing w:val="0"/>
          <w:kern w:val="2"/>
          <w:sz w:val="21"/>
          <w:szCs w:val="21"/>
          <w:highlight w:val="none"/>
        </w:rPr>
      </w:pPr>
      <w:bookmarkStart w:id="212" w:name="_Toc10650_WPSOffice_Level3"/>
      <w:bookmarkStart w:id="213" w:name="_Toc492634044"/>
      <w:bookmarkStart w:id="214" w:name="_Toc10253_WPSOffice_Level3"/>
      <w:bookmarkStart w:id="215" w:name="_Toc5864_WPSOffice_Level3"/>
      <w:r>
        <w:rPr>
          <w:rFonts w:hint="eastAsia" w:ascii="宋体" w:hAnsi="宋体" w:eastAsia="宋体" w:cs="宋体"/>
          <w:color w:val="auto"/>
          <w:spacing w:val="0"/>
          <w:kern w:val="2"/>
          <w:sz w:val="21"/>
          <w:szCs w:val="21"/>
          <w:highlight w:val="none"/>
        </w:rPr>
        <w:t>5.</w:t>
      </w:r>
      <w:r>
        <w:rPr>
          <w:rFonts w:hint="eastAsia" w:ascii="宋体" w:hAnsi="宋体" w:eastAsia="宋体" w:cs="宋体"/>
          <w:color w:val="auto"/>
          <w:spacing w:val="0"/>
          <w:kern w:val="2"/>
          <w:sz w:val="21"/>
          <w:szCs w:val="21"/>
          <w:highlight w:val="none"/>
          <w:lang w:val="en-US" w:eastAsia="zh-CN"/>
        </w:rPr>
        <w:t>6</w:t>
      </w:r>
      <w:r>
        <w:rPr>
          <w:rFonts w:hint="eastAsia" w:ascii="宋体" w:hAnsi="宋体" w:eastAsia="宋体" w:cs="宋体"/>
          <w:color w:val="auto"/>
          <w:spacing w:val="0"/>
          <w:kern w:val="2"/>
          <w:sz w:val="21"/>
          <w:szCs w:val="21"/>
          <w:highlight w:val="none"/>
        </w:rPr>
        <w:t>评标纪律</w:t>
      </w:r>
      <w:bookmarkEnd w:id="212"/>
      <w:bookmarkEnd w:id="213"/>
      <w:bookmarkEnd w:id="214"/>
      <w:bookmarkEnd w:id="215"/>
    </w:p>
    <w:p w14:paraId="62397FA6">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（1）开标和评审活动应当遵循公开、公平、公正和诚实信用原则。</w:t>
      </w:r>
    </w:p>
    <w:p w14:paraId="404BF547">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（2）遵守回避制度，凡参加评审会的磋商小组及有关工作人员与供应商有利害关系，或遇到需回避的情形，主动申请回避。</w:t>
      </w:r>
    </w:p>
    <w:p w14:paraId="56501112">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（3）磋商小组成员必须公平、公正评审。认真履行职责，严格按照磋商文件和有关</w:t>
      </w:r>
      <w:r>
        <w:rPr>
          <w:rFonts w:hint="eastAsia" w:hAnsi="宋体" w:cs="宋体"/>
          <w:color w:val="auto"/>
          <w:spacing w:val="0"/>
          <w:kern w:val="2"/>
          <w:sz w:val="21"/>
          <w:szCs w:val="21"/>
          <w:highlight w:val="none"/>
          <w:lang w:val="en-US" w:eastAsia="zh-CN"/>
        </w:rPr>
        <w:t>法律法规</w:t>
      </w:r>
      <w:r>
        <w:rPr>
          <w:rFonts w:hint="eastAsia" w:ascii="宋体" w:hAnsi="宋体" w:eastAsia="宋体" w:cs="宋体"/>
          <w:color w:val="auto"/>
          <w:spacing w:val="0"/>
          <w:kern w:val="2"/>
          <w:sz w:val="21"/>
          <w:szCs w:val="21"/>
          <w:highlight w:val="none"/>
          <w:lang w:val="en-US" w:eastAsia="zh-CN"/>
        </w:rPr>
        <w:t>的规定进行评审。</w:t>
      </w:r>
    </w:p>
    <w:p w14:paraId="0283A7B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（4）磋商小组成员在评审开始前，应关闭随身携带的各种通信工具。</w:t>
      </w:r>
    </w:p>
    <w:p w14:paraId="31C353E6">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（5）磋商小组成员在评审过程中，未经许可不得中途离开评审现场，不得迟到或早退。</w:t>
      </w:r>
    </w:p>
    <w:p w14:paraId="3CE9F30C">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（6）</w:t>
      </w:r>
      <w:r>
        <w:rPr>
          <w:rFonts w:hint="eastAsia" w:hAnsi="宋体" w:cs="宋体"/>
          <w:color w:val="auto"/>
          <w:spacing w:val="0"/>
          <w:kern w:val="2"/>
          <w:sz w:val="21"/>
          <w:szCs w:val="21"/>
          <w:highlight w:val="none"/>
        </w:rPr>
        <w:t>对有关</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的情况严格保密，</w:t>
      </w:r>
      <w:r>
        <w:rPr>
          <w:rFonts w:hint="eastAsia" w:hAnsi="宋体" w:cs="宋体"/>
          <w:color w:val="auto"/>
          <w:spacing w:val="0"/>
          <w:kern w:val="2"/>
          <w:sz w:val="21"/>
          <w:szCs w:val="21"/>
          <w:highlight w:val="none"/>
          <w:lang w:eastAsia="zh-CN"/>
        </w:rPr>
        <w:t>磋商小组</w:t>
      </w:r>
      <w:r>
        <w:rPr>
          <w:rFonts w:hint="eastAsia" w:hAnsi="宋体" w:cs="宋体"/>
          <w:color w:val="auto"/>
          <w:spacing w:val="0"/>
          <w:kern w:val="2"/>
          <w:sz w:val="21"/>
          <w:szCs w:val="21"/>
          <w:highlight w:val="none"/>
        </w:rPr>
        <w:t>和工作人员不得透露</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过程中的讨论情况和</w:t>
      </w:r>
      <w:r>
        <w:rPr>
          <w:rFonts w:hint="eastAsia" w:hAnsi="宋体" w:cs="宋体"/>
          <w:color w:val="auto"/>
          <w:spacing w:val="0"/>
          <w:kern w:val="2"/>
          <w:sz w:val="21"/>
          <w:szCs w:val="21"/>
          <w:highlight w:val="none"/>
          <w:lang w:eastAsia="zh-CN"/>
        </w:rPr>
        <w:t>评审</w:t>
      </w:r>
      <w:r>
        <w:rPr>
          <w:rFonts w:hint="eastAsia" w:hAnsi="宋体" w:cs="宋体"/>
          <w:color w:val="auto"/>
          <w:spacing w:val="0"/>
          <w:kern w:val="2"/>
          <w:sz w:val="21"/>
          <w:szCs w:val="21"/>
          <w:highlight w:val="none"/>
        </w:rPr>
        <w:t>结果</w:t>
      </w:r>
      <w:r>
        <w:rPr>
          <w:rFonts w:hint="eastAsia" w:ascii="宋体" w:hAnsi="宋体" w:eastAsia="宋体" w:cs="宋体"/>
          <w:color w:val="auto"/>
          <w:spacing w:val="0"/>
          <w:kern w:val="2"/>
          <w:sz w:val="21"/>
          <w:szCs w:val="21"/>
          <w:highlight w:val="none"/>
          <w:lang w:val="en-US" w:eastAsia="zh-CN"/>
        </w:rPr>
        <w:t>。</w:t>
      </w:r>
    </w:p>
    <w:p w14:paraId="73F23698">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（7）磋商小组成员在评审过程中不得将自己的观点，强加给其他成员，磋商小组成员应自主发表见解，根据民主集中制原则择优推荐成交人。</w:t>
      </w:r>
    </w:p>
    <w:p w14:paraId="3F6FFC58">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（8）及时反映或举报评审过程中出现违法违规行为和不正常现象</w:t>
      </w:r>
      <w:r>
        <w:rPr>
          <w:rFonts w:hint="eastAsia" w:ascii="宋体" w:hAnsi="宋体" w:eastAsia="宋体" w:cs="宋体"/>
          <w:color w:val="auto"/>
          <w:spacing w:val="0"/>
          <w:kern w:val="2"/>
          <w:sz w:val="21"/>
          <w:szCs w:val="21"/>
          <w:highlight w:val="none"/>
        </w:rPr>
        <w:t>。</w:t>
      </w:r>
    </w:p>
    <w:p w14:paraId="3FBB44FA">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rPr>
        <w:t>6.</w:t>
      </w:r>
      <w:r>
        <w:rPr>
          <w:rFonts w:hint="eastAsia" w:ascii="宋体" w:hAnsi="宋体" w:eastAsia="宋体" w:cs="宋体"/>
          <w:color w:val="auto"/>
          <w:spacing w:val="0"/>
          <w:kern w:val="2"/>
          <w:sz w:val="21"/>
          <w:szCs w:val="21"/>
          <w:highlight w:val="none"/>
          <w:lang w:val="en-US" w:eastAsia="zh-CN"/>
        </w:rPr>
        <w:t>磋商小组的职责</w:t>
      </w:r>
    </w:p>
    <w:p w14:paraId="0B00D69D">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磋商小组成员应当遵守评审工作纪律，不得泄露评审情况和评审中获悉的商业秘密。磋商小组在评审过程中发现供应商有行贿、提供虚假材料或者串通等违法行为的，应当及时向监管部门报告。磋商小组在评审过程中受到非法干涉的，应当及时向相关部门举报。</w:t>
      </w:r>
    </w:p>
    <w:p w14:paraId="1FC9B4EF">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A7F836">
      <w:pPr>
        <w:pStyle w:val="39"/>
        <w:rPr>
          <w:rFonts w:hint="default"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3）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F9B5317">
      <w:pPr>
        <w:pStyle w:val="39"/>
        <w:rPr>
          <w:rFonts w:hint="eastAsia" w:ascii="宋体" w:hAnsi="宋体" w:eastAsia="宋体" w:cs="宋体"/>
          <w:color w:val="auto"/>
          <w:spacing w:val="0"/>
          <w:kern w:val="2"/>
          <w:sz w:val="21"/>
          <w:szCs w:val="21"/>
          <w:highlight w:val="none"/>
        </w:rPr>
      </w:pPr>
      <w:r>
        <w:rPr>
          <w:rFonts w:hint="eastAsia" w:ascii="宋体" w:hAnsi="宋体" w:eastAsia="宋体" w:cs="宋体"/>
          <w:color w:val="auto"/>
          <w:spacing w:val="0"/>
          <w:kern w:val="2"/>
          <w:sz w:val="21"/>
          <w:szCs w:val="21"/>
          <w:highlight w:val="none"/>
          <w:lang w:val="en-US" w:eastAsia="zh-CN"/>
        </w:rPr>
        <w:t>7.</w:t>
      </w:r>
      <w:r>
        <w:rPr>
          <w:rFonts w:hint="eastAsia" w:ascii="宋体" w:hAnsi="宋体" w:eastAsia="宋体" w:cs="宋体"/>
          <w:color w:val="auto"/>
          <w:spacing w:val="0"/>
          <w:kern w:val="2"/>
          <w:sz w:val="21"/>
          <w:szCs w:val="21"/>
          <w:highlight w:val="none"/>
        </w:rPr>
        <w:t>统分原则</w:t>
      </w:r>
    </w:p>
    <w:p w14:paraId="38C1E6BF">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（1）除最后磋商报价得分外，技术部分由磋商小组自主评分并签字确认。</w:t>
      </w:r>
    </w:p>
    <w:p w14:paraId="2EF895E3">
      <w:pPr>
        <w:pStyle w:val="39"/>
        <w:rPr>
          <w:rFonts w:hint="eastAsia" w:ascii="宋体" w:hAnsi="宋体" w:eastAsia="宋体" w:cs="宋体"/>
          <w:color w:val="auto"/>
          <w:spacing w:val="0"/>
          <w:kern w:val="2"/>
          <w:sz w:val="21"/>
          <w:szCs w:val="21"/>
          <w:highlight w:val="none"/>
          <w:lang w:val="en-US" w:eastAsia="zh-CN"/>
        </w:rPr>
      </w:pPr>
      <w:r>
        <w:rPr>
          <w:rFonts w:hint="eastAsia" w:ascii="宋体" w:hAnsi="宋体" w:eastAsia="宋体" w:cs="宋体"/>
          <w:color w:val="auto"/>
          <w:spacing w:val="0"/>
          <w:kern w:val="2"/>
          <w:sz w:val="21"/>
          <w:szCs w:val="21"/>
          <w:highlight w:val="none"/>
          <w:lang w:val="en-US" w:eastAsia="zh-CN"/>
        </w:rPr>
        <w:t>（2）磋商小组所有成员有效评分的算术平均分值为供应商的技术部分的得分（保留小数点后两位）。</w:t>
      </w:r>
    </w:p>
    <w:p w14:paraId="60EEF2E4">
      <w:pPr>
        <w:pStyle w:val="39"/>
        <w:rPr>
          <w:rFonts w:ascii="宋体" w:hAnsi="宋体" w:cs="宋体"/>
          <w:color w:val="auto"/>
          <w:szCs w:val="21"/>
          <w:highlight w:val="none"/>
        </w:rPr>
      </w:pPr>
      <w:r>
        <w:rPr>
          <w:rFonts w:hint="eastAsia" w:ascii="宋体" w:hAnsi="宋体" w:eastAsia="宋体" w:cs="宋体"/>
          <w:color w:val="auto"/>
          <w:spacing w:val="0"/>
          <w:kern w:val="2"/>
          <w:sz w:val="21"/>
          <w:szCs w:val="21"/>
          <w:highlight w:val="none"/>
          <w:lang w:val="en-US" w:eastAsia="zh-CN"/>
        </w:rPr>
        <w:t>（3）最后得分统分办法：最后磋商报价得分和技术部分得分之和即为</w:t>
      </w:r>
      <w:r>
        <w:rPr>
          <w:rFonts w:hint="eastAsia" w:ascii="宋体" w:hAnsi="宋体" w:eastAsia="宋体" w:cs="宋体"/>
          <w:color w:val="auto"/>
          <w:spacing w:val="0"/>
          <w:kern w:val="2"/>
          <w:sz w:val="21"/>
          <w:szCs w:val="21"/>
          <w:highlight w:val="none"/>
          <w:lang w:eastAsia="zh-CN"/>
        </w:rPr>
        <w:t>供应商</w:t>
      </w:r>
      <w:r>
        <w:rPr>
          <w:rFonts w:hint="eastAsia" w:ascii="宋体" w:hAnsi="宋体" w:eastAsia="宋体" w:cs="宋体"/>
          <w:color w:val="auto"/>
          <w:spacing w:val="0"/>
          <w:kern w:val="2"/>
          <w:sz w:val="21"/>
          <w:szCs w:val="21"/>
          <w:highlight w:val="none"/>
          <w:lang w:val="en-US" w:eastAsia="zh-CN"/>
        </w:rPr>
        <w:t>最后得分。</w:t>
      </w:r>
    </w:p>
    <w:p w14:paraId="326085EE">
      <w:pPr>
        <w:pStyle w:val="24"/>
        <w:rPr>
          <w:rFonts w:ascii="宋体" w:hAnsi="宋体" w:cs="宋体"/>
          <w:color w:val="auto"/>
          <w:szCs w:val="21"/>
          <w:highlight w:val="none"/>
        </w:rPr>
      </w:pPr>
    </w:p>
    <w:p w14:paraId="66BB1434">
      <w:pPr>
        <w:pStyle w:val="24"/>
        <w:rPr>
          <w:rFonts w:ascii="宋体" w:hAnsi="宋体" w:cs="宋体"/>
          <w:color w:val="auto"/>
          <w:szCs w:val="21"/>
          <w:highlight w:val="none"/>
        </w:rPr>
      </w:pPr>
    </w:p>
    <w:p w14:paraId="601746A6">
      <w:pPr>
        <w:pStyle w:val="24"/>
        <w:rPr>
          <w:rFonts w:ascii="宋体" w:hAnsi="宋体" w:cs="宋体"/>
          <w:color w:val="auto"/>
          <w:szCs w:val="21"/>
          <w:highlight w:val="none"/>
        </w:rPr>
      </w:pPr>
    </w:p>
    <w:p w14:paraId="1D922946">
      <w:pPr>
        <w:pStyle w:val="24"/>
        <w:rPr>
          <w:rFonts w:ascii="宋体" w:hAnsi="宋体" w:cs="宋体"/>
          <w:color w:val="auto"/>
          <w:szCs w:val="21"/>
          <w:highlight w:val="none"/>
        </w:rPr>
      </w:pPr>
    </w:p>
    <w:p w14:paraId="6F57F810">
      <w:pPr>
        <w:pStyle w:val="39"/>
        <w:ind w:firstLine="0" w:firstLineChars="0"/>
        <w:rPr>
          <w:rFonts w:hAnsi="宋体" w:cs="宋体"/>
          <w:color w:val="auto"/>
          <w:sz w:val="21"/>
          <w:szCs w:val="21"/>
          <w:highlight w:val="none"/>
        </w:rPr>
      </w:pPr>
    </w:p>
    <w:p w14:paraId="4FC6F18E">
      <w:pPr>
        <w:pStyle w:val="39"/>
        <w:ind w:firstLine="0" w:firstLineChars="0"/>
        <w:rPr>
          <w:rFonts w:hAnsi="宋体" w:cs="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p>
    <w:p w14:paraId="273E08FD">
      <w:pPr>
        <w:pStyle w:val="13"/>
        <w:spacing w:after="0" w:line="520" w:lineRule="exact"/>
        <w:ind w:left="0" w:leftChars="0" w:firstLine="0" w:firstLineChars="0"/>
        <w:jc w:val="left"/>
        <w:rPr>
          <w:rFonts w:hint="eastAsia" w:ascii="宋体" w:hAnsi="宋体" w:cs="宋体"/>
          <w:b/>
          <w:bCs/>
          <w:color w:val="auto"/>
          <w:sz w:val="24"/>
          <w:highlight w:val="none"/>
          <w:lang w:eastAsia="zh-CN"/>
        </w:rPr>
      </w:pPr>
      <w:bookmarkStart w:id="216" w:name="_Toc1636_WPSOffice_Level3"/>
      <w:bookmarkStart w:id="217" w:name="_Toc27827_WPSOffice_Level3"/>
      <w:bookmarkStart w:id="218" w:name="_Toc3575_WPSOffice_Level3"/>
      <w:r>
        <w:rPr>
          <w:rFonts w:hint="eastAsia" w:ascii="宋体" w:hAnsi="宋体" w:cs="宋体"/>
          <w:b/>
          <w:bCs/>
          <w:color w:val="auto"/>
          <w:sz w:val="24"/>
          <w:highlight w:val="none"/>
          <w:lang w:eastAsia="zh-CN"/>
        </w:rPr>
        <w:t>初步评审：</w:t>
      </w:r>
    </w:p>
    <w:p w14:paraId="45A02126">
      <w:pPr>
        <w:pStyle w:val="13"/>
        <w:spacing w:after="0" w:line="520" w:lineRule="exact"/>
        <w:ind w:left="0" w:leftChars="0" w:firstLine="0" w:firstLineChars="0"/>
        <w:jc w:val="left"/>
        <w:rPr>
          <w:rFonts w:hint="eastAsia" w:ascii="宋体" w:hAnsi="宋体" w:cs="宋体"/>
          <w:b/>
          <w:bCs/>
          <w:color w:val="auto"/>
          <w:sz w:val="21"/>
          <w:highlight w:val="none"/>
        </w:rPr>
      </w:pPr>
      <w:r>
        <w:rPr>
          <w:rFonts w:hint="eastAsia" w:ascii="宋体" w:hAnsi="宋体" w:cs="宋体"/>
          <w:b/>
          <w:bCs/>
          <w:color w:val="auto"/>
          <w:sz w:val="21"/>
          <w:highlight w:val="none"/>
          <w:lang w:eastAsia="zh-CN"/>
        </w:rPr>
        <w:t>（</w:t>
      </w:r>
      <w:r>
        <w:rPr>
          <w:rFonts w:hint="eastAsia" w:ascii="宋体" w:hAnsi="宋体" w:cs="宋体"/>
          <w:b/>
          <w:bCs/>
          <w:color w:val="auto"/>
          <w:sz w:val="21"/>
          <w:highlight w:val="none"/>
          <w:lang w:val="en-US" w:eastAsia="zh-CN"/>
        </w:rPr>
        <w:t>一</w:t>
      </w:r>
      <w:r>
        <w:rPr>
          <w:rFonts w:hint="eastAsia" w:ascii="宋体" w:hAnsi="宋体" w:cs="宋体"/>
          <w:b/>
          <w:bCs/>
          <w:color w:val="auto"/>
          <w:sz w:val="21"/>
          <w:highlight w:val="none"/>
          <w:lang w:eastAsia="zh-CN"/>
        </w:rPr>
        <w:t>）</w:t>
      </w:r>
      <w:r>
        <w:rPr>
          <w:rFonts w:hint="eastAsia" w:ascii="宋体" w:hAnsi="宋体" w:cs="宋体"/>
          <w:b/>
          <w:bCs/>
          <w:color w:val="auto"/>
          <w:sz w:val="21"/>
          <w:highlight w:val="none"/>
        </w:rPr>
        <w:t>资格审查</w:t>
      </w:r>
    </w:p>
    <w:p w14:paraId="4D50ED34">
      <w:pPr>
        <w:pStyle w:val="13"/>
        <w:spacing w:after="0" w:line="520" w:lineRule="exact"/>
        <w:ind w:left="0" w:leftChars="0" w:firstLine="420" w:firstLineChars="200"/>
        <w:jc w:val="left"/>
        <w:rPr>
          <w:rFonts w:hint="eastAsia" w:ascii="宋体" w:hAnsi="宋体" w:cs="宋体"/>
          <w:color w:val="auto"/>
          <w:sz w:val="21"/>
          <w:highlight w:val="none"/>
          <w:lang w:val="en-US" w:eastAsia="zh-CN"/>
        </w:rPr>
      </w:pPr>
      <w:r>
        <w:rPr>
          <w:rFonts w:hint="eastAsia" w:ascii="宋体" w:hAnsi="宋体" w:cs="宋体"/>
          <w:color w:val="auto"/>
          <w:sz w:val="21"/>
          <w:highlight w:val="none"/>
          <w:lang w:val="en-US" w:eastAsia="zh-CN"/>
        </w:rPr>
        <w:t xml:space="preserve">不符合下列情形之一的响应文件不能通过资格审查： </w:t>
      </w:r>
    </w:p>
    <w:tbl>
      <w:tblPr>
        <w:tblStyle w:val="26"/>
        <w:tblW w:w="0" w:type="auto"/>
        <w:tblInd w:w="119"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348"/>
        <w:gridCol w:w="6592"/>
      </w:tblGrid>
      <w:tr w14:paraId="4BC426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11C07FD">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2348" w:type="dxa"/>
            <w:tcBorders>
              <w:tl2br w:val="nil"/>
              <w:tr2bl w:val="nil"/>
            </w:tcBorders>
            <w:noWrap w:val="0"/>
            <w:vAlign w:val="center"/>
          </w:tcPr>
          <w:p w14:paraId="790EDC99">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6592" w:type="dxa"/>
            <w:tcBorders>
              <w:tl2br w:val="nil"/>
              <w:tr2bl w:val="nil"/>
            </w:tcBorders>
            <w:noWrap w:val="0"/>
            <w:vAlign w:val="center"/>
          </w:tcPr>
          <w:p w14:paraId="1299479F">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资格评审标准</w:t>
            </w:r>
          </w:p>
        </w:tc>
      </w:tr>
      <w:tr w14:paraId="0C043D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80EF280">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348" w:type="dxa"/>
            <w:tcBorders>
              <w:tl2br w:val="nil"/>
              <w:tr2bl w:val="nil"/>
            </w:tcBorders>
            <w:noWrap w:val="0"/>
            <w:vAlign w:val="center"/>
          </w:tcPr>
          <w:p w14:paraId="496528FF">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具有独立承担民事责任的能力</w:t>
            </w:r>
          </w:p>
        </w:tc>
        <w:tc>
          <w:tcPr>
            <w:tcW w:w="6592" w:type="dxa"/>
            <w:tcBorders>
              <w:tl2br w:val="nil"/>
              <w:tr2bl w:val="nil"/>
            </w:tcBorders>
            <w:noWrap w:val="0"/>
            <w:vAlign w:val="center"/>
          </w:tcPr>
          <w:p w14:paraId="446696C7">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提供法人或者其他组织的营业执照等证明文件，自然人的身份证明</w:t>
            </w:r>
            <w:r>
              <w:rPr>
                <w:rFonts w:hint="eastAsia" w:ascii="宋体" w:hAnsi="宋体" w:cs="宋体"/>
                <w:color w:val="auto"/>
                <w:sz w:val="21"/>
                <w:szCs w:val="21"/>
                <w:highlight w:val="none"/>
                <w:lang w:eastAsia="zh-CN"/>
              </w:rPr>
              <w:t>。</w:t>
            </w:r>
          </w:p>
        </w:tc>
      </w:tr>
      <w:tr w14:paraId="360C4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4EBED619">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348" w:type="dxa"/>
            <w:tcBorders>
              <w:tl2br w:val="nil"/>
              <w:tr2bl w:val="nil"/>
            </w:tcBorders>
            <w:noWrap w:val="0"/>
            <w:vAlign w:val="center"/>
          </w:tcPr>
          <w:p w14:paraId="1D7C33AF">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具有良好的商业信誉</w:t>
            </w:r>
          </w:p>
        </w:tc>
        <w:tc>
          <w:tcPr>
            <w:tcW w:w="6592" w:type="dxa"/>
            <w:tcBorders>
              <w:tl2br w:val="nil"/>
              <w:tr2bl w:val="nil"/>
            </w:tcBorders>
            <w:noWrap w:val="0"/>
            <w:vAlign w:val="center"/>
          </w:tcPr>
          <w:p w14:paraId="7E0959D0">
            <w:pPr>
              <w:widowControl/>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应在“信用中国”（https://www.creditchina.gov.cn/）中未被列入重大税收违法失信主体。②供应商应在“中国政府采购网”（http://www.ccgp.gov.cn/）中未被列入政府采购严重违法失信行为记录名单。③供应商应在“中国执行信息公开网”（http://zxgk.court.gov.cn/）中未被列入失信被执行人（</w:t>
            </w:r>
            <w:r>
              <w:rPr>
                <w:rFonts w:hint="eastAsia" w:ascii="宋体" w:hAnsi="宋体" w:cs="宋体"/>
                <w:color w:val="auto"/>
                <w:sz w:val="21"/>
                <w:szCs w:val="21"/>
                <w:highlight w:val="none"/>
                <w:lang w:val="en-US" w:eastAsia="zh-CN"/>
              </w:rPr>
              <w:t>备注：以上网站均由磋商小组在资格审查时查询，若供应商有失信行为，则不满足资格要求</w:t>
            </w:r>
            <w:r>
              <w:rPr>
                <w:rFonts w:hint="eastAsia" w:ascii="宋体" w:hAnsi="宋体" w:eastAsia="宋体" w:cs="宋体"/>
                <w:color w:val="auto"/>
                <w:sz w:val="21"/>
                <w:szCs w:val="21"/>
                <w:highlight w:val="none"/>
                <w:lang w:val="en-US" w:eastAsia="zh-CN"/>
              </w:rPr>
              <w:t>）</w:t>
            </w:r>
          </w:p>
        </w:tc>
      </w:tr>
      <w:tr w14:paraId="3A446D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599F1557">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348" w:type="dxa"/>
            <w:tcBorders>
              <w:tl2br w:val="nil"/>
              <w:tr2bl w:val="nil"/>
            </w:tcBorders>
            <w:noWrap w:val="0"/>
            <w:vAlign w:val="center"/>
          </w:tcPr>
          <w:p w14:paraId="6B698D38">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健全的财务会计制度</w:t>
            </w:r>
          </w:p>
        </w:tc>
        <w:tc>
          <w:tcPr>
            <w:tcW w:w="6592" w:type="dxa"/>
            <w:tcBorders>
              <w:tl2br w:val="nil"/>
              <w:tr2bl w:val="nil"/>
            </w:tcBorders>
            <w:noWrap w:val="0"/>
            <w:vAlign w:val="center"/>
          </w:tcPr>
          <w:p w14:paraId="67250B20">
            <w:pPr>
              <w:widowControl/>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健全的财务会计制度（</w:t>
            </w:r>
            <w:r>
              <w:rPr>
                <w:rFonts w:hint="eastAsia" w:ascii="宋体" w:hAnsi="宋体" w:eastAsia="宋体" w:cs="宋体"/>
                <w:color w:val="auto"/>
                <w:sz w:val="21"/>
                <w:szCs w:val="21"/>
                <w:highlight w:val="none"/>
                <w:lang w:val="en-US" w:eastAsia="zh-CN"/>
              </w:rPr>
              <w:t>内容可为以下二者之一</w:t>
            </w:r>
            <w:r>
              <w:rPr>
                <w:rFonts w:hint="eastAsia" w:ascii="宋体" w:hAnsi="宋体" w:eastAsia="宋体" w:cs="宋体"/>
                <w:color w:val="auto"/>
                <w:sz w:val="21"/>
                <w:szCs w:val="21"/>
                <w:highlight w:val="none"/>
                <w:lang w:eastAsia="zh-CN"/>
              </w:rPr>
              <w:t>）：①提供2023年至今任意年度经第三方审计机构审计的</w:t>
            </w:r>
            <w:r>
              <w:rPr>
                <w:rFonts w:hint="eastAsia" w:ascii="宋体" w:hAnsi="宋体" w:cs="宋体"/>
                <w:color w:val="auto"/>
                <w:sz w:val="21"/>
                <w:szCs w:val="21"/>
                <w:highlight w:val="none"/>
                <w:lang w:eastAsia="zh-CN"/>
              </w:rPr>
              <w:t>财务状况报告</w:t>
            </w:r>
            <w:r>
              <w:rPr>
                <w:rFonts w:hint="eastAsia" w:ascii="宋体" w:hAnsi="宋体" w:eastAsia="宋体" w:cs="宋体"/>
                <w:color w:val="auto"/>
                <w:sz w:val="21"/>
                <w:szCs w:val="21"/>
                <w:highlight w:val="none"/>
                <w:lang w:eastAsia="zh-CN"/>
              </w:rPr>
              <w:t>（包括资产负债表、利润表、现金流量表），成立不满1年的供应商提供自行编制的自成立至今的财务报表(包括资产负债表、利润表、现金流量表)；②提供基本开户银行出具的资信证明</w:t>
            </w:r>
            <w:r>
              <w:rPr>
                <w:rFonts w:hint="eastAsia" w:ascii="宋体" w:hAnsi="宋体" w:eastAsia="宋体" w:cs="宋体"/>
                <w:color w:val="auto"/>
                <w:sz w:val="21"/>
                <w:szCs w:val="21"/>
                <w:highlight w:val="none"/>
                <w:lang w:val="en-US" w:eastAsia="zh-CN"/>
              </w:rPr>
              <w:t>。</w:t>
            </w:r>
          </w:p>
        </w:tc>
      </w:tr>
      <w:tr w14:paraId="731402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7D45BE4C">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348" w:type="dxa"/>
            <w:tcBorders>
              <w:tl2br w:val="nil"/>
              <w:tr2bl w:val="nil"/>
            </w:tcBorders>
            <w:noWrap w:val="0"/>
            <w:vAlign w:val="center"/>
          </w:tcPr>
          <w:p w14:paraId="6A6F7B0E">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具有履行合同所必</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z w:val="21"/>
                <w:szCs w:val="21"/>
                <w:highlight w:val="none"/>
              </w:rPr>
              <w:t>的设备和专业技术能力</w:t>
            </w:r>
          </w:p>
        </w:tc>
        <w:tc>
          <w:tcPr>
            <w:tcW w:w="6592" w:type="dxa"/>
            <w:tcBorders>
              <w:tl2br w:val="nil"/>
              <w:tr2bl w:val="nil"/>
            </w:tcBorders>
            <w:noWrap w:val="0"/>
            <w:vAlign w:val="center"/>
          </w:tcPr>
          <w:p w14:paraId="39AA50B7">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eastAsia="zh-CN"/>
              </w:rPr>
              <w:t>提供供应商具有履行合同所必需的设备和专业技术能力证明材料。</w:t>
            </w:r>
          </w:p>
        </w:tc>
      </w:tr>
      <w:tr w14:paraId="7FB264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3FE1A637">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348" w:type="dxa"/>
            <w:tcBorders>
              <w:tl2br w:val="nil"/>
              <w:tr2bl w:val="nil"/>
            </w:tcBorders>
            <w:noWrap w:val="0"/>
            <w:vAlign w:val="center"/>
          </w:tcPr>
          <w:p w14:paraId="0F408E1B">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具有依法缴纳税收和社会保障资金的良好记录</w:t>
            </w:r>
          </w:p>
        </w:tc>
        <w:tc>
          <w:tcPr>
            <w:tcW w:w="6592" w:type="dxa"/>
            <w:tcBorders>
              <w:tl2br w:val="nil"/>
              <w:tr2bl w:val="nil"/>
            </w:tcBorders>
            <w:noWrap w:val="0"/>
            <w:vAlign w:val="center"/>
          </w:tcPr>
          <w:p w14:paraId="21D255E6">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p>
        </w:tc>
      </w:tr>
      <w:tr w14:paraId="32BDA2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615E9ACF">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348" w:type="dxa"/>
            <w:tcBorders>
              <w:tl2br w:val="nil"/>
              <w:tr2bl w:val="nil"/>
            </w:tcBorders>
            <w:noWrap w:val="0"/>
            <w:vAlign w:val="center"/>
          </w:tcPr>
          <w:p w14:paraId="6AE3E351">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无重大违法记录声明</w:t>
            </w:r>
          </w:p>
        </w:tc>
        <w:tc>
          <w:tcPr>
            <w:tcW w:w="6592" w:type="dxa"/>
            <w:tcBorders>
              <w:tl2br w:val="nil"/>
              <w:tr2bl w:val="nil"/>
            </w:tcBorders>
            <w:noWrap w:val="0"/>
            <w:vAlign w:val="center"/>
          </w:tcPr>
          <w:p w14:paraId="7EDA29AE">
            <w:pPr>
              <w:widowControl/>
              <w:spacing w:line="360" w:lineRule="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highlight w:val="none"/>
              </w:rPr>
              <w:t>提供参加本次政府采购活动前三年内在经营活动中没有重大违法记录的书面声明</w:t>
            </w:r>
            <w:r>
              <w:rPr>
                <w:rFonts w:hint="eastAsia" w:ascii="宋体" w:hAnsi="宋体" w:cs="宋体"/>
                <w:color w:val="auto"/>
                <w:sz w:val="21"/>
                <w:highlight w:val="none"/>
                <w:lang w:eastAsia="zh-CN"/>
              </w:rPr>
              <w:t>。</w:t>
            </w:r>
          </w:p>
        </w:tc>
      </w:tr>
      <w:tr w14:paraId="5CC548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5" w:type="dxa"/>
            <w:tcBorders>
              <w:tl2br w:val="nil"/>
              <w:tr2bl w:val="nil"/>
            </w:tcBorders>
            <w:noWrap w:val="0"/>
            <w:vAlign w:val="center"/>
          </w:tcPr>
          <w:p w14:paraId="1140AED7">
            <w:pPr>
              <w:spacing w:line="360" w:lineRule="auto"/>
              <w:jc w:val="center"/>
              <w:rPr>
                <w:rFonts w:hint="default"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7</w:t>
            </w:r>
          </w:p>
        </w:tc>
        <w:tc>
          <w:tcPr>
            <w:tcW w:w="2348" w:type="dxa"/>
            <w:tcBorders>
              <w:tl2br w:val="nil"/>
              <w:tr2bl w:val="nil"/>
            </w:tcBorders>
            <w:noWrap w:val="0"/>
            <w:vAlign w:val="center"/>
          </w:tcPr>
          <w:p w14:paraId="4B6C9E83">
            <w:pPr>
              <w:widowControl/>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法律、行政法规规定的其他条件</w:t>
            </w:r>
          </w:p>
        </w:tc>
        <w:tc>
          <w:tcPr>
            <w:tcW w:w="6592" w:type="dxa"/>
            <w:tcBorders>
              <w:tl2br w:val="nil"/>
              <w:tr2bl w:val="nil"/>
            </w:tcBorders>
            <w:noWrap w:val="0"/>
            <w:vAlign w:val="center"/>
          </w:tcPr>
          <w:p w14:paraId="70A02714">
            <w:pPr>
              <w:pStyle w:val="13"/>
              <w:pageBreakBefore w:val="0"/>
              <w:kinsoku/>
              <w:wordWrap/>
              <w:topLinePunct w:val="0"/>
              <w:bidi w:val="0"/>
              <w:snapToGrid/>
              <w:spacing w:line="440" w:lineRule="exact"/>
              <w:ind w:left="0" w:leftChars="0" w:firstLine="0" w:firstLineChars="0"/>
              <w:rPr>
                <w:rFonts w:hint="eastAsia" w:ascii="宋体" w:hAnsi="宋体" w:cs="宋体"/>
                <w:color w:val="auto"/>
                <w:sz w:val="21"/>
                <w:szCs w:val="21"/>
                <w:highlight w:val="none"/>
                <w:lang w:val="en-US" w:eastAsia="zh-CN"/>
              </w:rPr>
            </w:pPr>
            <w:r>
              <w:rPr>
                <w:rFonts w:hint="default" w:ascii="宋体" w:hAnsi="宋体" w:cs="宋体"/>
                <w:color w:val="auto"/>
                <w:sz w:val="21"/>
                <w:szCs w:val="21"/>
                <w:highlight w:val="none"/>
                <w:lang w:val="en-US" w:eastAsia="zh-CN"/>
              </w:rPr>
              <w:t>①</w:t>
            </w:r>
            <w:r>
              <w:rPr>
                <w:rFonts w:hint="eastAsia" w:ascii="宋体" w:hAnsi="宋体" w:cs="宋体"/>
                <w:color w:val="auto"/>
                <w:sz w:val="21"/>
                <w:szCs w:val="21"/>
                <w:highlight w:val="none"/>
                <w:lang w:val="en-US" w:eastAsia="zh-CN"/>
              </w:rPr>
              <w:t>单位负责人为同一人或者存在直接控股、管理关系的不同供应商，不得参加同一合同项下的政府采购活动。</w:t>
            </w:r>
          </w:p>
          <w:p w14:paraId="1E8CDDB6">
            <w:pPr>
              <w:pStyle w:val="13"/>
              <w:pageBreakBefore w:val="0"/>
              <w:kinsoku/>
              <w:wordWrap/>
              <w:topLinePunct w:val="0"/>
              <w:bidi w:val="0"/>
              <w:snapToGrid/>
              <w:spacing w:line="440" w:lineRule="exact"/>
              <w:ind w:left="0" w:leftChars="0" w:firstLine="0" w:firstLineChars="0"/>
              <w:rPr>
                <w:rFonts w:hint="eastAsia" w:ascii="宋体" w:hAnsi="宋体" w:cs="宋体"/>
                <w:color w:val="auto"/>
                <w:sz w:val="21"/>
                <w:highlight w:val="none"/>
              </w:rPr>
            </w:pPr>
            <w:r>
              <w:rPr>
                <w:rFonts w:hint="default" w:ascii="宋体" w:hAnsi="宋体" w:cs="宋体"/>
                <w:color w:val="auto"/>
                <w:sz w:val="21"/>
                <w:szCs w:val="21"/>
                <w:highlight w:val="none"/>
                <w:lang w:val="en-US" w:eastAsia="zh-CN"/>
              </w:rPr>
              <w:t>②</w:t>
            </w:r>
            <w:r>
              <w:rPr>
                <w:rFonts w:hint="eastAsia" w:ascii="宋体" w:hAnsi="宋体" w:cs="宋体"/>
                <w:color w:val="auto"/>
                <w:sz w:val="21"/>
                <w:szCs w:val="21"/>
                <w:highlight w:val="none"/>
                <w:lang w:val="en-US" w:eastAsia="zh-CN"/>
              </w:rPr>
              <w:t>为采购项目提供整体设计、规范编制或者项目管理、监理、检测等服务的供应商，不得再参加该采购项目的其他采购活动。</w:t>
            </w:r>
          </w:p>
        </w:tc>
      </w:tr>
      <w:tr w14:paraId="7BF7317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trPr>
        <w:tc>
          <w:tcPr>
            <w:tcW w:w="795" w:type="dxa"/>
            <w:tcBorders>
              <w:tl2br w:val="nil"/>
              <w:tr2bl w:val="nil"/>
            </w:tcBorders>
            <w:noWrap w:val="0"/>
            <w:vAlign w:val="center"/>
          </w:tcPr>
          <w:p w14:paraId="060128E8">
            <w:pPr>
              <w:spacing w:line="360" w:lineRule="auto"/>
              <w:jc w:val="center"/>
              <w:rPr>
                <w:rFonts w:hint="eastAsia" w:ascii="宋体" w:hAnsi="宋体" w:eastAsia="宋体" w:cs="宋体"/>
                <w:color w:val="auto"/>
                <w:sz w:val="21"/>
                <w:szCs w:val="21"/>
                <w:highlight w:val="none"/>
                <w:vertAlign w:val="baseline"/>
                <w:lang w:val="en-US" w:eastAsia="zh-CN"/>
              </w:rPr>
            </w:pPr>
            <w:r>
              <w:rPr>
                <w:rFonts w:hint="eastAsia" w:ascii="宋体" w:hAnsi="宋体" w:cs="宋体"/>
                <w:color w:val="auto"/>
                <w:sz w:val="21"/>
                <w:szCs w:val="21"/>
                <w:highlight w:val="none"/>
                <w:vertAlign w:val="baseline"/>
                <w:lang w:val="en-US" w:eastAsia="zh-CN"/>
              </w:rPr>
              <w:t>8</w:t>
            </w:r>
          </w:p>
        </w:tc>
        <w:tc>
          <w:tcPr>
            <w:tcW w:w="2348" w:type="dxa"/>
            <w:tcBorders>
              <w:tl2br w:val="nil"/>
              <w:tr2bl w:val="nil"/>
            </w:tcBorders>
            <w:noWrap w:val="0"/>
            <w:vAlign w:val="center"/>
          </w:tcPr>
          <w:p w14:paraId="418C8618">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特定资格要求</w:t>
            </w:r>
          </w:p>
        </w:tc>
        <w:tc>
          <w:tcPr>
            <w:tcW w:w="6592" w:type="dxa"/>
            <w:tcBorders>
              <w:tl2br w:val="nil"/>
              <w:tr2bl w:val="nil"/>
            </w:tcBorders>
            <w:noWrap w:val="0"/>
            <w:vAlign w:val="center"/>
          </w:tcPr>
          <w:p w14:paraId="5841A4B5">
            <w:pPr>
              <w:pStyle w:val="13"/>
              <w:keepNext w:val="0"/>
              <w:keepLines w:val="0"/>
              <w:pageBreakBefore w:val="0"/>
              <w:kinsoku/>
              <w:wordWrap/>
              <w:topLinePunct w:val="0"/>
              <w:bidi w:val="0"/>
              <w:snapToGrid/>
              <w:spacing w:after="0" w:line="47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（1）企业资质：</w:t>
            </w:r>
            <w:r>
              <w:rPr>
                <w:rFonts w:hint="eastAsia" w:ascii="宋体" w:hAnsi="宋体" w:cs="宋体"/>
                <w:color w:val="auto"/>
                <w:sz w:val="21"/>
                <w:szCs w:val="21"/>
                <w:highlight w:val="none"/>
                <w:lang w:eastAsia="zh-CN"/>
              </w:rPr>
              <w:t>供应商须具备建设行政主管部门颁发的建筑工程施工总承包叁级及以上资质</w:t>
            </w:r>
            <w:r>
              <w:rPr>
                <w:rFonts w:hint="eastAsia" w:ascii="宋体" w:hAnsi="宋体" w:eastAsia="宋体" w:cs="宋体"/>
                <w:color w:val="auto"/>
                <w:kern w:val="2"/>
                <w:sz w:val="21"/>
                <w:szCs w:val="21"/>
                <w:highlight w:val="none"/>
                <w:lang w:val="en-US" w:eastAsia="zh-CN" w:bidi="ar-SA"/>
              </w:rPr>
              <w:t>；</w:t>
            </w:r>
          </w:p>
          <w:p w14:paraId="1E339A46">
            <w:pPr>
              <w:pStyle w:val="13"/>
              <w:keepNext w:val="0"/>
              <w:keepLines w:val="0"/>
              <w:pageBreakBefore w:val="0"/>
              <w:kinsoku/>
              <w:wordWrap/>
              <w:topLinePunct w:val="0"/>
              <w:bidi w:val="0"/>
              <w:snapToGrid/>
              <w:spacing w:after="0" w:line="47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（2）安全生产许可证：具备有效的安全生产许可证；当前未被建设行政主管部门取消投标资格；</w:t>
            </w:r>
          </w:p>
          <w:p w14:paraId="2FFBEC43">
            <w:pPr>
              <w:pStyle w:val="13"/>
              <w:keepNext w:val="0"/>
              <w:keepLines w:val="0"/>
              <w:pageBreakBefore w:val="0"/>
              <w:kinsoku/>
              <w:wordWrap/>
              <w:topLinePunct w:val="0"/>
              <w:bidi w:val="0"/>
              <w:snapToGrid/>
              <w:spacing w:after="0" w:line="47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（3）拟派项目经理资格：</w:t>
            </w:r>
            <w:r>
              <w:rPr>
                <w:rFonts w:hint="eastAsia" w:ascii="宋体" w:hAnsi="宋体" w:cs="宋体"/>
                <w:color w:val="auto"/>
                <w:sz w:val="21"/>
                <w:szCs w:val="21"/>
                <w:highlight w:val="none"/>
                <w:lang w:eastAsia="zh-CN"/>
              </w:rPr>
              <w:t>拟派的建造师（项目经理）必须具有建筑工程专业贰级（含贰级）以上注册建造师资格，具备合格有效的安全生产考核合格证书，承诺无在建工程，且是本单位的在职人员。</w:t>
            </w:r>
          </w:p>
        </w:tc>
      </w:tr>
    </w:tbl>
    <w:p w14:paraId="1639267D">
      <w:pPr>
        <w:pStyle w:val="13"/>
        <w:spacing w:after="0" w:line="520" w:lineRule="exact"/>
        <w:ind w:left="0" w:leftChars="0" w:firstLine="0" w:firstLineChars="0"/>
        <w:jc w:val="left"/>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lang w:val="en-US" w:eastAsia="zh-CN"/>
        </w:rPr>
        <w:t>二</w:t>
      </w:r>
      <w:r>
        <w:rPr>
          <w:rFonts w:hint="eastAsia" w:asciiTheme="minorEastAsia" w:hAnsiTheme="minorEastAsia" w:eastAsiaTheme="minorEastAsia" w:cstheme="minorEastAsia"/>
          <w:b/>
          <w:bCs/>
          <w:color w:val="auto"/>
          <w:sz w:val="24"/>
          <w:szCs w:val="24"/>
          <w:highlight w:val="none"/>
          <w:lang w:eastAsia="zh-CN"/>
        </w:rPr>
        <w:t>）符合性</w:t>
      </w:r>
      <w:r>
        <w:rPr>
          <w:rFonts w:hint="eastAsia" w:asciiTheme="minorEastAsia" w:hAnsiTheme="minorEastAsia" w:eastAsiaTheme="minorEastAsia" w:cstheme="minorEastAsia"/>
          <w:b/>
          <w:bCs/>
          <w:color w:val="auto"/>
          <w:sz w:val="24"/>
          <w:szCs w:val="24"/>
          <w:highlight w:val="none"/>
          <w:lang w:val="en-US" w:eastAsia="zh-CN"/>
        </w:rPr>
        <w:t>审查</w:t>
      </w:r>
    </w:p>
    <w:p w14:paraId="5184F3B1">
      <w:pPr>
        <w:pStyle w:val="13"/>
        <w:keepNext w:val="0"/>
        <w:keepLines w:val="0"/>
        <w:pageBreakBefore w:val="0"/>
        <w:widowControl w:val="0"/>
        <w:kinsoku/>
        <w:wordWrap/>
        <w:overflowPunct/>
        <w:topLinePunct w:val="0"/>
        <w:autoSpaceDE/>
        <w:autoSpaceDN/>
        <w:bidi w:val="0"/>
        <w:adjustRightInd/>
        <w:snapToGrid/>
        <w:spacing w:after="157" w:afterLines="50" w:line="520" w:lineRule="exact"/>
        <w:ind w:left="0" w:leftChars="0" w:firstLine="420" w:firstLineChars="200"/>
        <w:jc w:val="left"/>
        <w:textAlignment w:val="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磋商小组依据符合性评审标准对符合资格的供应商的响应文件进行符合性审查，有一项不符合评审标准的，磋商小组应当否决其投标。</w:t>
      </w:r>
    </w:p>
    <w:tbl>
      <w:tblPr>
        <w:tblStyle w:val="26"/>
        <w:tblW w:w="0" w:type="auto"/>
        <w:tblInd w:w="1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936"/>
        <w:gridCol w:w="7129"/>
      </w:tblGrid>
      <w:tr w14:paraId="799085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top"/>
          </w:tcPr>
          <w:p w14:paraId="3A07C0EF">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36" w:type="dxa"/>
            <w:tcBorders>
              <w:tl2br w:val="nil"/>
              <w:tr2bl w:val="nil"/>
            </w:tcBorders>
            <w:noWrap w:val="0"/>
            <w:vAlign w:val="top"/>
          </w:tcPr>
          <w:p w14:paraId="0972626B">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评审因素</w:t>
            </w:r>
          </w:p>
        </w:tc>
        <w:tc>
          <w:tcPr>
            <w:tcW w:w="7129" w:type="dxa"/>
            <w:tcBorders>
              <w:tl2br w:val="nil"/>
              <w:tr2bl w:val="nil"/>
            </w:tcBorders>
            <w:noWrap w:val="0"/>
            <w:vAlign w:val="top"/>
          </w:tcPr>
          <w:p w14:paraId="1DF1E618">
            <w:p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符合性评审标准</w:t>
            </w:r>
          </w:p>
        </w:tc>
      </w:tr>
      <w:tr w14:paraId="44D58A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35611B7C">
            <w:pPr>
              <w:adjustRightInd w:val="0"/>
              <w:snapToGrid w:val="0"/>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highlight w:val="none"/>
                <w:lang w:val="en-US" w:eastAsia="zh-CN"/>
              </w:rPr>
              <w:t>1</w:t>
            </w:r>
          </w:p>
        </w:tc>
        <w:tc>
          <w:tcPr>
            <w:tcW w:w="1936" w:type="dxa"/>
            <w:tcBorders>
              <w:tl2br w:val="nil"/>
              <w:tr2bl w:val="nil"/>
            </w:tcBorders>
            <w:noWrap w:val="0"/>
            <w:vAlign w:val="center"/>
          </w:tcPr>
          <w:p w14:paraId="30A237B1">
            <w:pPr>
              <w:spacing w:line="36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cs="宋体"/>
                <w:color w:val="auto"/>
                <w:highlight w:val="none"/>
                <w:lang w:eastAsia="zh-CN"/>
              </w:rPr>
              <w:t>供应商</w:t>
            </w:r>
            <w:r>
              <w:rPr>
                <w:rFonts w:hint="eastAsia" w:ascii="宋体" w:hAnsi="宋体" w:eastAsia="宋体" w:cs="宋体"/>
                <w:color w:val="auto"/>
                <w:highlight w:val="none"/>
              </w:rPr>
              <w:t>名称</w:t>
            </w:r>
          </w:p>
        </w:tc>
        <w:tc>
          <w:tcPr>
            <w:tcW w:w="7129" w:type="dxa"/>
            <w:tcBorders>
              <w:tl2br w:val="nil"/>
              <w:tr2bl w:val="nil"/>
            </w:tcBorders>
            <w:noWrap w:val="0"/>
            <w:vAlign w:val="center"/>
          </w:tcPr>
          <w:p w14:paraId="319FC8A1">
            <w:pPr>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独立承担民事责任的能力</w:t>
            </w:r>
            <w:r>
              <w:rPr>
                <w:rFonts w:hint="eastAsia" w:ascii="宋体" w:hAnsi="宋体" w:eastAsia="宋体" w:cs="宋体"/>
                <w:color w:val="auto"/>
                <w:highlight w:val="none"/>
                <w:lang w:eastAsia="zh-CN"/>
              </w:rPr>
              <w:t>”证明材料名称</w:t>
            </w:r>
            <w:r>
              <w:rPr>
                <w:rFonts w:hint="eastAsia" w:ascii="宋体" w:hAnsi="宋体" w:eastAsia="宋体" w:cs="宋体"/>
                <w:color w:val="auto"/>
                <w:highlight w:val="none"/>
              </w:rPr>
              <w:t>一致</w:t>
            </w:r>
          </w:p>
        </w:tc>
      </w:tr>
      <w:tr w14:paraId="3E8D3F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7CB2CB5A">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2</w:t>
            </w:r>
          </w:p>
        </w:tc>
        <w:tc>
          <w:tcPr>
            <w:tcW w:w="1936" w:type="dxa"/>
            <w:tcBorders>
              <w:tl2br w:val="nil"/>
              <w:tr2bl w:val="nil"/>
            </w:tcBorders>
            <w:noWrap w:val="0"/>
            <w:vAlign w:val="center"/>
          </w:tcPr>
          <w:p w14:paraId="1CE3F2B1">
            <w:pPr>
              <w:autoSpaceDE w:val="0"/>
              <w:autoSpaceDN w:val="0"/>
              <w:adjustRightInd w:val="0"/>
              <w:spacing w:before="43" w:line="360" w:lineRule="auto"/>
              <w:ind w:right="-20" w:righ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0"/>
                <w:highlight w:val="none"/>
                <w:lang w:eastAsia="zh-CN"/>
              </w:rPr>
              <w:t>磋商</w:t>
            </w:r>
            <w:r>
              <w:rPr>
                <w:rFonts w:hint="eastAsia" w:ascii="宋体" w:hAnsi="宋体" w:eastAsia="宋体" w:cs="宋体"/>
                <w:color w:val="auto"/>
                <w:kern w:val="0"/>
                <w:highlight w:val="none"/>
              </w:rPr>
              <w:t>保证金</w:t>
            </w:r>
          </w:p>
        </w:tc>
        <w:tc>
          <w:tcPr>
            <w:tcW w:w="7129" w:type="dxa"/>
            <w:tcBorders>
              <w:tl2br w:val="nil"/>
              <w:tr2bl w:val="nil"/>
            </w:tcBorders>
            <w:noWrap w:val="0"/>
            <w:vAlign w:val="center"/>
          </w:tcPr>
          <w:p w14:paraId="616BCD99">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按照</w:t>
            </w:r>
            <w:r>
              <w:rPr>
                <w:rFonts w:hint="eastAsia" w:ascii="宋体" w:hAnsi="宋体" w:cs="宋体"/>
                <w:color w:val="auto"/>
                <w:highlight w:val="none"/>
                <w:lang w:eastAsia="zh-CN"/>
              </w:rPr>
              <w:t>磋商</w:t>
            </w:r>
            <w:r>
              <w:rPr>
                <w:rFonts w:hint="eastAsia" w:ascii="宋体" w:hAnsi="宋体" w:eastAsia="宋体" w:cs="宋体"/>
                <w:color w:val="auto"/>
                <w:highlight w:val="none"/>
              </w:rPr>
              <w:t>文件第二章“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w:t>
            </w:r>
            <w:r>
              <w:rPr>
                <w:rFonts w:hint="eastAsia" w:ascii="宋体" w:hAnsi="宋体" w:eastAsia="宋体" w:cs="宋体"/>
                <w:color w:val="auto"/>
                <w:highlight w:val="none"/>
                <w:lang w:val="en-US" w:eastAsia="zh-CN"/>
              </w:rPr>
              <w:t>3.4.1</w:t>
            </w:r>
            <w:r>
              <w:rPr>
                <w:rFonts w:hint="eastAsia" w:ascii="宋体" w:hAnsi="宋体" w:eastAsia="宋体" w:cs="宋体"/>
                <w:color w:val="auto"/>
                <w:highlight w:val="none"/>
              </w:rPr>
              <w:t>项规定提交</w:t>
            </w:r>
            <w:r>
              <w:rPr>
                <w:rFonts w:hint="eastAsia" w:ascii="宋体" w:hAnsi="宋体" w:cs="宋体"/>
                <w:color w:val="auto"/>
                <w:highlight w:val="none"/>
                <w:lang w:eastAsia="zh-CN"/>
              </w:rPr>
              <w:t>磋商</w:t>
            </w:r>
            <w:r>
              <w:rPr>
                <w:rFonts w:hint="eastAsia" w:ascii="宋体" w:hAnsi="宋体" w:eastAsia="宋体" w:cs="宋体"/>
                <w:color w:val="auto"/>
                <w:highlight w:val="none"/>
              </w:rPr>
              <w:t>保证金</w:t>
            </w:r>
          </w:p>
        </w:tc>
      </w:tr>
      <w:tr w14:paraId="6F5586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59849E55">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3</w:t>
            </w:r>
          </w:p>
        </w:tc>
        <w:tc>
          <w:tcPr>
            <w:tcW w:w="1936" w:type="dxa"/>
            <w:tcBorders>
              <w:tl2br w:val="nil"/>
              <w:tr2bl w:val="nil"/>
            </w:tcBorders>
            <w:noWrap w:val="0"/>
            <w:vAlign w:val="center"/>
          </w:tcPr>
          <w:p w14:paraId="751A716D">
            <w:pPr>
              <w:tabs>
                <w:tab w:val="center" w:pos="4153"/>
                <w:tab w:val="right" w:pos="8306"/>
              </w:tabs>
              <w:snapToGrid w:val="0"/>
              <w:spacing w:before="62" w:beforeLines="20"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响应</w:t>
            </w:r>
            <w:r>
              <w:rPr>
                <w:rFonts w:hint="eastAsia" w:ascii="宋体" w:hAnsi="宋体" w:eastAsia="宋体" w:cs="宋体"/>
                <w:color w:val="auto"/>
                <w:highlight w:val="none"/>
              </w:rPr>
              <w:t>文件的</w:t>
            </w:r>
            <w:r>
              <w:rPr>
                <w:rFonts w:hint="eastAsia" w:ascii="宋体" w:hAnsi="宋体" w:eastAsia="宋体" w:cs="宋体"/>
                <w:color w:val="auto"/>
                <w:highlight w:val="none"/>
                <w:lang w:val="en-US" w:eastAsia="zh-CN"/>
              </w:rPr>
              <w:t>签章</w:t>
            </w:r>
          </w:p>
        </w:tc>
        <w:tc>
          <w:tcPr>
            <w:tcW w:w="7129" w:type="dxa"/>
            <w:tcBorders>
              <w:tl2br w:val="nil"/>
              <w:tr2bl w:val="nil"/>
            </w:tcBorders>
            <w:noWrap w:val="0"/>
            <w:vAlign w:val="center"/>
          </w:tcPr>
          <w:p w14:paraId="24AE3132">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按</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w:t>
            </w:r>
            <w:r>
              <w:rPr>
                <w:rFonts w:hint="eastAsia" w:ascii="宋体" w:hAnsi="宋体" w:eastAsia="宋体" w:cs="宋体"/>
                <w:color w:val="auto"/>
                <w:highlight w:val="none"/>
                <w:lang w:val="en-US" w:eastAsia="zh-CN"/>
              </w:rPr>
              <w:t>的</w:t>
            </w:r>
            <w:r>
              <w:rPr>
                <w:rFonts w:hint="eastAsia" w:ascii="宋体" w:hAnsi="宋体" w:eastAsia="宋体" w:cs="宋体"/>
                <w:color w:val="auto"/>
                <w:highlight w:val="none"/>
              </w:rPr>
              <w:t>要求签署、</w:t>
            </w:r>
            <w:r>
              <w:rPr>
                <w:rFonts w:hint="eastAsia" w:ascii="宋体" w:hAnsi="宋体" w:cs="宋体"/>
                <w:color w:val="auto"/>
                <w:highlight w:val="none"/>
                <w:lang w:val="en-US" w:eastAsia="zh-CN"/>
              </w:rPr>
              <w:t>盖章</w:t>
            </w:r>
          </w:p>
        </w:tc>
      </w:tr>
      <w:tr w14:paraId="23067E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1E9E20C2">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4</w:t>
            </w:r>
          </w:p>
        </w:tc>
        <w:tc>
          <w:tcPr>
            <w:tcW w:w="1936" w:type="dxa"/>
            <w:tcBorders>
              <w:tl2br w:val="nil"/>
              <w:tr2bl w:val="nil"/>
            </w:tcBorders>
            <w:noWrap w:val="0"/>
            <w:vAlign w:val="center"/>
          </w:tcPr>
          <w:p w14:paraId="23C5BC8F">
            <w:pPr>
              <w:adjustRightInd w:val="0"/>
              <w:snapToGrid w:val="0"/>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响应文件的完整性</w:t>
            </w:r>
          </w:p>
        </w:tc>
        <w:tc>
          <w:tcPr>
            <w:tcW w:w="7129" w:type="dxa"/>
            <w:tcBorders>
              <w:tl2br w:val="nil"/>
              <w:tr2bl w:val="nil"/>
            </w:tcBorders>
            <w:noWrap w:val="0"/>
            <w:vAlign w:val="center"/>
          </w:tcPr>
          <w:p w14:paraId="71A2B790">
            <w:pPr>
              <w:spacing w:line="360" w:lineRule="auto"/>
              <w:jc w:val="left"/>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响应</w:t>
            </w:r>
            <w:r>
              <w:rPr>
                <w:rFonts w:hint="default" w:ascii="宋体" w:hAnsi="宋体" w:eastAsia="宋体" w:cs="宋体"/>
                <w:color w:val="auto"/>
                <w:kern w:val="2"/>
                <w:sz w:val="21"/>
                <w:szCs w:val="21"/>
                <w:highlight w:val="none"/>
                <w:lang w:val="en-US" w:eastAsia="zh-CN" w:bidi="ar-SA"/>
              </w:rPr>
              <w:t>文件</w:t>
            </w:r>
            <w:r>
              <w:rPr>
                <w:rFonts w:hint="eastAsia" w:ascii="宋体" w:hAnsi="宋体" w:cs="宋体"/>
                <w:color w:val="auto"/>
                <w:kern w:val="2"/>
                <w:sz w:val="21"/>
                <w:szCs w:val="21"/>
                <w:highlight w:val="none"/>
                <w:lang w:val="en-US" w:eastAsia="zh-CN" w:bidi="ar-SA"/>
              </w:rPr>
              <w:t>内容</w:t>
            </w:r>
            <w:r>
              <w:rPr>
                <w:rFonts w:hint="default" w:ascii="宋体" w:hAnsi="宋体" w:eastAsia="宋体" w:cs="宋体"/>
                <w:color w:val="auto"/>
                <w:kern w:val="2"/>
                <w:sz w:val="21"/>
                <w:szCs w:val="21"/>
                <w:highlight w:val="none"/>
                <w:lang w:val="en-US" w:eastAsia="zh-CN" w:bidi="ar-SA"/>
              </w:rPr>
              <w:t>符合</w:t>
            </w:r>
            <w:r>
              <w:rPr>
                <w:rFonts w:hint="eastAsia" w:ascii="宋体" w:hAnsi="宋体" w:eastAsia="宋体" w:cs="宋体"/>
                <w:color w:val="auto"/>
                <w:kern w:val="2"/>
                <w:sz w:val="21"/>
                <w:szCs w:val="21"/>
                <w:highlight w:val="none"/>
                <w:lang w:val="en-US" w:eastAsia="zh-CN" w:bidi="ar-SA"/>
              </w:rPr>
              <w:t>磋商</w:t>
            </w:r>
            <w:r>
              <w:rPr>
                <w:rFonts w:hint="default" w:ascii="宋体" w:hAnsi="宋体" w:eastAsia="宋体" w:cs="宋体"/>
                <w:color w:val="auto"/>
                <w:kern w:val="2"/>
                <w:sz w:val="21"/>
                <w:szCs w:val="21"/>
                <w:highlight w:val="none"/>
                <w:lang w:val="en-US" w:eastAsia="zh-CN" w:bidi="ar-SA"/>
              </w:rPr>
              <w:t>文件要求</w:t>
            </w:r>
          </w:p>
        </w:tc>
      </w:tr>
      <w:tr w14:paraId="748E0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081E1274">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5</w:t>
            </w:r>
          </w:p>
        </w:tc>
        <w:tc>
          <w:tcPr>
            <w:tcW w:w="1936" w:type="dxa"/>
            <w:tcBorders>
              <w:tl2br w:val="nil"/>
              <w:tr2bl w:val="nil"/>
            </w:tcBorders>
            <w:noWrap w:val="0"/>
            <w:vAlign w:val="center"/>
          </w:tcPr>
          <w:p w14:paraId="0FE94194">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采购</w:t>
            </w:r>
            <w:r>
              <w:rPr>
                <w:rFonts w:hint="eastAsia" w:ascii="宋体" w:hAnsi="宋体" w:cs="宋体"/>
                <w:color w:val="auto"/>
                <w:highlight w:val="none"/>
                <w:lang w:val="en-US" w:eastAsia="zh-CN"/>
              </w:rPr>
              <w:t>需求</w:t>
            </w:r>
            <w:r>
              <w:rPr>
                <w:rFonts w:hint="eastAsia" w:ascii="宋体" w:hAnsi="宋体" w:eastAsia="宋体" w:cs="宋体"/>
                <w:color w:val="auto"/>
                <w:highlight w:val="none"/>
              </w:rPr>
              <w:t xml:space="preserve">  </w:t>
            </w:r>
          </w:p>
        </w:tc>
        <w:tc>
          <w:tcPr>
            <w:tcW w:w="7129" w:type="dxa"/>
            <w:tcBorders>
              <w:tl2br w:val="nil"/>
              <w:tr2bl w:val="nil"/>
            </w:tcBorders>
            <w:noWrap w:val="0"/>
            <w:vAlign w:val="center"/>
          </w:tcPr>
          <w:p w14:paraId="4FECE8B7">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须知前附表”第1.3.1项规定</w:t>
            </w:r>
          </w:p>
        </w:tc>
      </w:tr>
      <w:tr w14:paraId="6BF31E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4C242421">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6</w:t>
            </w:r>
          </w:p>
        </w:tc>
        <w:tc>
          <w:tcPr>
            <w:tcW w:w="1936" w:type="dxa"/>
            <w:tcBorders>
              <w:tl2br w:val="nil"/>
              <w:tr2bl w:val="nil"/>
            </w:tcBorders>
            <w:noWrap w:val="0"/>
            <w:vAlign w:val="center"/>
          </w:tcPr>
          <w:p w14:paraId="694B860E">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eastAsia="zh-CN"/>
              </w:rPr>
              <w:t>工期</w:t>
            </w:r>
          </w:p>
        </w:tc>
        <w:tc>
          <w:tcPr>
            <w:tcW w:w="7129" w:type="dxa"/>
            <w:tcBorders>
              <w:tl2br w:val="nil"/>
              <w:tr2bl w:val="nil"/>
            </w:tcBorders>
            <w:noWrap w:val="0"/>
            <w:vAlign w:val="center"/>
          </w:tcPr>
          <w:p w14:paraId="71DC9366">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项规定</w:t>
            </w:r>
          </w:p>
        </w:tc>
      </w:tr>
      <w:tr w14:paraId="0B061A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1B9CC20D">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7</w:t>
            </w:r>
          </w:p>
        </w:tc>
        <w:tc>
          <w:tcPr>
            <w:tcW w:w="1936" w:type="dxa"/>
            <w:tcBorders>
              <w:tl2br w:val="nil"/>
              <w:tr2bl w:val="nil"/>
            </w:tcBorders>
            <w:noWrap w:val="0"/>
            <w:vAlign w:val="center"/>
          </w:tcPr>
          <w:p w14:paraId="039233C7">
            <w:pPr>
              <w:spacing w:line="36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eastAsia="zh-CN"/>
              </w:rPr>
              <w:t>质量</w:t>
            </w:r>
            <w:r>
              <w:rPr>
                <w:rFonts w:hint="eastAsia" w:ascii="宋体" w:hAnsi="宋体" w:cs="宋体"/>
                <w:color w:val="auto"/>
                <w:highlight w:val="none"/>
                <w:lang w:val="en-US" w:eastAsia="zh-CN"/>
              </w:rPr>
              <w:t>标准</w:t>
            </w:r>
          </w:p>
        </w:tc>
        <w:tc>
          <w:tcPr>
            <w:tcW w:w="7129" w:type="dxa"/>
            <w:tcBorders>
              <w:tl2br w:val="nil"/>
              <w:tr2bl w:val="nil"/>
            </w:tcBorders>
            <w:noWrap w:val="0"/>
            <w:vAlign w:val="center"/>
          </w:tcPr>
          <w:p w14:paraId="779DC2BB">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符合第二章“</w:t>
            </w:r>
            <w:r>
              <w:rPr>
                <w:rFonts w:hint="eastAsia" w:ascii="宋体" w:hAnsi="宋体" w:cs="宋体"/>
                <w:color w:val="auto"/>
                <w:highlight w:val="none"/>
                <w:lang w:eastAsia="zh-CN"/>
              </w:rPr>
              <w:t>供应商</w:t>
            </w:r>
            <w:r>
              <w:rPr>
                <w:rFonts w:hint="eastAsia" w:ascii="宋体" w:hAnsi="宋体" w:eastAsia="宋体" w:cs="宋体"/>
                <w:color w:val="auto"/>
                <w:highlight w:val="none"/>
              </w:rPr>
              <w:t>须知前附表”第1.3.</w:t>
            </w:r>
            <w:r>
              <w:rPr>
                <w:rFonts w:hint="eastAsia" w:ascii="宋体" w:hAnsi="宋体" w:cs="宋体"/>
                <w:color w:val="auto"/>
                <w:highlight w:val="none"/>
                <w:lang w:val="en-US" w:eastAsia="zh-CN"/>
              </w:rPr>
              <w:t>3</w:t>
            </w:r>
            <w:r>
              <w:rPr>
                <w:rFonts w:hint="eastAsia" w:ascii="宋体" w:hAnsi="宋体" w:eastAsia="宋体" w:cs="宋体"/>
                <w:color w:val="auto"/>
                <w:highlight w:val="none"/>
              </w:rPr>
              <w:t>项规定</w:t>
            </w:r>
          </w:p>
        </w:tc>
      </w:tr>
      <w:tr w14:paraId="5FEA43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44DBA917">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8</w:t>
            </w:r>
          </w:p>
        </w:tc>
        <w:tc>
          <w:tcPr>
            <w:tcW w:w="1936" w:type="dxa"/>
            <w:tcBorders>
              <w:tl2br w:val="nil"/>
              <w:tr2bl w:val="nil"/>
            </w:tcBorders>
            <w:noWrap w:val="0"/>
            <w:vAlign w:val="center"/>
          </w:tcPr>
          <w:p w14:paraId="7A879CE3">
            <w:pPr>
              <w:widowControl/>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eastAsia="zh-CN"/>
              </w:rPr>
              <w:t>磋商</w:t>
            </w:r>
            <w:r>
              <w:rPr>
                <w:rFonts w:hint="eastAsia" w:ascii="宋体" w:hAnsi="宋体" w:eastAsia="宋体" w:cs="宋体"/>
                <w:color w:val="auto"/>
                <w:highlight w:val="none"/>
              </w:rPr>
              <w:t>有效期</w:t>
            </w:r>
          </w:p>
        </w:tc>
        <w:tc>
          <w:tcPr>
            <w:tcW w:w="7129" w:type="dxa"/>
            <w:tcBorders>
              <w:tl2br w:val="nil"/>
              <w:tr2bl w:val="nil"/>
            </w:tcBorders>
            <w:noWrap w:val="0"/>
            <w:vAlign w:val="center"/>
          </w:tcPr>
          <w:p w14:paraId="2F03066B">
            <w:pPr>
              <w:widowControl/>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highlight w:val="none"/>
                <w:lang w:val="en-US" w:eastAsia="zh-CN"/>
              </w:rPr>
              <w:t>磋商</w:t>
            </w:r>
            <w:r>
              <w:rPr>
                <w:rFonts w:hint="eastAsia" w:ascii="宋体" w:hAnsi="宋体" w:eastAsia="宋体" w:cs="宋体"/>
                <w:color w:val="auto"/>
                <w:highlight w:val="none"/>
              </w:rPr>
              <w:t>有效期应当不少于</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 xml:space="preserve">文件中载明的投标有效期                        </w:t>
            </w:r>
          </w:p>
        </w:tc>
      </w:tr>
      <w:tr w14:paraId="1F5182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15EE29E0">
            <w:pPr>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9</w:t>
            </w:r>
          </w:p>
        </w:tc>
        <w:tc>
          <w:tcPr>
            <w:tcW w:w="1936" w:type="dxa"/>
            <w:tcBorders>
              <w:tl2br w:val="nil"/>
              <w:tr2bl w:val="nil"/>
            </w:tcBorders>
            <w:noWrap w:val="0"/>
            <w:vAlign w:val="center"/>
          </w:tcPr>
          <w:p w14:paraId="6017F92C">
            <w:pPr>
              <w:widowControl/>
              <w:spacing w:line="360" w:lineRule="auto"/>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磋商报价</w:t>
            </w:r>
          </w:p>
        </w:tc>
        <w:tc>
          <w:tcPr>
            <w:tcW w:w="7129" w:type="dxa"/>
            <w:tcBorders>
              <w:tl2br w:val="nil"/>
              <w:tr2bl w:val="nil"/>
            </w:tcBorders>
            <w:noWrap w:val="0"/>
            <w:vAlign w:val="center"/>
          </w:tcPr>
          <w:p w14:paraId="5BA90AD5">
            <w:pPr>
              <w:widowControl/>
              <w:spacing w:line="360" w:lineRule="auto"/>
              <w:jc w:val="left"/>
              <w:rPr>
                <w:rFonts w:hint="eastAsia" w:ascii="宋体" w:hAnsi="宋体" w:cs="宋体"/>
                <w:color w:val="auto"/>
                <w:highlight w:val="none"/>
                <w:lang w:val="en-US" w:eastAsia="zh-CN"/>
              </w:rPr>
            </w:pPr>
            <w:r>
              <w:rPr>
                <w:rFonts w:hint="eastAsia" w:ascii="宋体" w:hAnsi="宋体" w:cs="宋体"/>
                <w:color w:val="auto"/>
              </w:rPr>
              <w:t>符合第二章“供应商须知前附表”第3.2项规定</w:t>
            </w:r>
          </w:p>
        </w:tc>
      </w:tr>
      <w:tr w14:paraId="4BE9AB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026706A5">
            <w:pPr>
              <w:adjustRightInd w:val="0"/>
              <w:snapToGrid w:val="0"/>
              <w:spacing w:line="360" w:lineRule="auto"/>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10</w:t>
            </w:r>
          </w:p>
        </w:tc>
        <w:tc>
          <w:tcPr>
            <w:tcW w:w="1936" w:type="dxa"/>
            <w:tcBorders>
              <w:tl2br w:val="nil"/>
              <w:tr2bl w:val="nil"/>
            </w:tcBorders>
            <w:noWrap w:val="0"/>
            <w:vAlign w:val="center"/>
          </w:tcPr>
          <w:p w14:paraId="7563D81A">
            <w:pPr>
              <w:widowControl/>
              <w:spacing w:line="360" w:lineRule="auto"/>
              <w:jc w:val="center"/>
              <w:rPr>
                <w:rFonts w:hint="eastAsia" w:ascii="宋体" w:hAnsi="宋体" w:cs="宋体"/>
                <w:color w:val="auto"/>
                <w:highlight w:val="none"/>
                <w:lang w:eastAsia="zh-CN"/>
              </w:rPr>
            </w:pPr>
            <w:r>
              <w:rPr>
                <w:rFonts w:hint="eastAsia" w:ascii="宋体" w:hAnsi="宋体" w:cs="宋体"/>
                <w:color w:val="auto"/>
                <w:highlight w:val="none"/>
                <w:lang w:eastAsia="zh-CN"/>
              </w:rPr>
              <w:t>工程量清单一致</w:t>
            </w:r>
          </w:p>
        </w:tc>
        <w:tc>
          <w:tcPr>
            <w:tcW w:w="7129" w:type="dxa"/>
            <w:tcBorders>
              <w:tl2br w:val="nil"/>
              <w:tr2bl w:val="nil"/>
            </w:tcBorders>
            <w:noWrap w:val="0"/>
            <w:vAlign w:val="center"/>
          </w:tcPr>
          <w:p w14:paraId="4E239F55">
            <w:pPr>
              <w:widowControl/>
              <w:spacing w:line="360" w:lineRule="auto"/>
              <w:jc w:val="left"/>
              <w:rPr>
                <w:rFonts w:hint="eastAsia" w:ascii="宋体" w:hAnsi="宋体" w:cs="宋体"/>
                <w:color w:val="auto"/>
                <w:highlight w:val="none"/>
                <w:lang w:val="en-US" w:eastAsia="zh-CN"/>
              </w:rPr>
            </w:pPr>
            <w:r>
              <w:rPr>
                <w:rFonts w:hint="eastAsia" w:ascii="宋体" w:hAnsi="宋体" w:cs="宋体"/>
                <w:color w:val="auto"/>
                <w:highlight w:val="none"/>
                <w:lang w:val="en-US" w:eastAsia="zh-CN"/>
              </w:rPr>
              <w:t>与采购人提供的工程量清单中项目名称、项目特征、计量单位和工程量完全一致。</w:t>
            </w:r>
          </w:p>
        </w:tc>
      </w:tr>
      <w:tr w14:paraId="7DD147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0" w:type="dxa"/>
            <w:tcBorders>
              <w:tl2br w:val="nil"/>
              <w:tr2bl w:val="nil"/>
            </w:tcBorders>
            <w:noWrap w:val="0"/>
            <w:vAlign w:val="center"/>
          </w:tcPr>
          <w:p w14:paraId="33C72D8A">
            <w:pPr>
              <w:adjustRightInd w:val="0"/>
              <w:snapToGri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w:t>
            </w:r>
          </w:p>
        </w:tc>
        <w:tc>
          <w:tcPr>
            <w:tcW w:w="1936" w:type="dxa"/>
            <w:tcBorders>
              <w:tl2br w:val="nil"/>
              <w:tr2bl w:val="nil"/>
            </w:tcBorders>
            <w:noWrap w:val="0"/>
            <w:vAlign w:val="center"/>
          </w:tcPr>
          <w:p w14:paraId="6F6EB58F">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rPr>
              <w:t>其他要求</w:t>
            </w:r>
          </w:p>
        </w:tc>
        <w:tc>
          <w:tcPr>
            <w:tcW w:w="7129" w:type="dxa"/>
            <w:tcBorders>
              <w:tl2br w:val="nil"/>
              <w:tr2bl w:val="nil"/>
            </w:tcBorders>
            <w:noWrap w:val="0"/>
            <w:vAlign w:val="center"/>
          </w:tcPr>
          <w:p w14:paraId="3EABFA93">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（1）响应文件未含有采购人不能接受的内容或附加条件；</w:t>
            </w:r>
          </w:p>
          <w:p w14:paraId="21E82FCC">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（2）无串通投标或弄虚作假或其他违法行为；</w:t>
            </w:r>
          </w:p>
          <w:p w14:paraId="525F5B7D">
            <w:pPr>
              <w:spacing w:line="360" w:lineRule="auto"/>
              <w:jc w:val="left"/>
              <w:rPr>
                <w:rFonts w:hint="eastAsia" w:ascii="宋体" w:hAnsi="宋体" w:eastAsia="宋体" w:cs="宋体"/>
                <w:color w:val="auto"/>
                <w:highlight w:val="none"/>
              </w:rPr>
            </w:pPr>
            <w:r>
              <w:rPr>
                <w:rFonts w:hint="eastAsia" w:ascii="宋体" w:hAnsi="宋体" w:eastAsia="宋体" w:cs="宋体"/>
                <w:color w:val="auto"/>
                <w:highlight w:val="none"/>
              </w:rPr>
              <w:t>（3）磋商小组要求澄清、说明或补正的。供应商的澄清、说明或者补正未超出采购文件的范围或者改变响应文件的实质性内容；</w:t>
            </w:r>
          </w:p>
          <w:p w14:paraId="567803AC">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（4）无本项目竞争性磋商文件第二章供应商须知正文1.4.3任一情形。</w:t>
            </w:r>
          </w:p>
        </w:tc>
      </w:tr>
    </w:tbl>
    <w:p w14:paraId="57D06CF3">
      <w:pPr>
        <w:spacing w:line="360" w:lineRule="auto"/>
        <w:rPr>
          <w:rFonts w:hint="eastAsia"/>
          <w:color w:val="auto"/>
          <w:highlight w:val="none"/>
        </w:rPr>
      </w:pPr>
      <w:r>
        <w:rPr>
          <w:rFonts w:hint="eastAsia" w:asciiTheme="minorEastAsia" w:hAnsiTheme="minorEastAsia" w:eastAsiaTheme="minorEastAsia" w:cstheme="minorEastAsia"/>
          <w:b/>
          <w:bCs/>
          <w:color w:val="auto"/>
          <w:sz w:val="24"/>
          <w:szCs w:val="24"/>
          <w:highlight w:val="none"/>
          <w:lang w:eastAsia="zh-CN"/>
        </w:rPr>
        <w:t>（三）</w:t>
      </w:r>
      <w:r>
        <w:rPr>
          <w:rFonts w:hint="eastAsia" w:ascii="宋体" w:hAnsi="宋体" w:cs="宋体"/>
          <w:b/>
          <w:bCs/>
          <w:color w:val="auto"/>
          <w:sz w:val="24"/>
          <w:highlight w:val="none"/>
        </w:rPr>
        <w:t>详细评审</w:t>
      </w:r>
    </w:p>
    <w:tbl>
      <w:tblPr>
        <w:tblStyle w:val="25"/>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310"/>
        <w:gridCol w:w="1350"/>
        <w:gridCol w:w="765"/>
        <w:gridCol w:w="5645"/>
      </w:tblGrid>
      <w:tr w14:paraId="692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40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553FECB">
            <w:pPr>
              <w:pStyle w:val="48"/>
              <w:numPr>
                <w:ilvl w:val="0"/>
                <w:numId w:val="0"/>
              </w:numPr>
              <w:snapToGrid w:val="0"/>
              <w:jc w:val="center"/>
              <w:rPr>
                <w:rFonts w:cs="宋体"/>
                <w:b/>
                <w:bCs/>
                <w:color w:val="auto"/>
                <w:highlight w:val="none"/>
              </w:rPr>
            </w:pPr>
            <w:r>
              <w:rPr>
                <w:rFonts w:hint="eastAsia" w:cs="宋体"/>
                <w:b/>
                <w:bCs/>
                <w:color w:val="auto"/>
                <w:highlight w:val="none"/>
              </w:rPr>
              <w:t>评 分 因 素</w:t>
            </w:r>
          </w:p>
        </w:tc>
        <w:tc>
          <w:tcPr>
            <w:tcW w:w="56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FF88ED">
            <w:pPr>
              <w:pStyle w:val="48"/>
              <w:numPr>
                <w:ilvl w:val="0"/>
                <w:numId w:val="0"/>
              </w:numPr>
              <w:snapToGrid w:val="0"/>
              <w:jc w:val="center"/>
              <w:rPr>
                <w:rFonts w:cs="宋体"/>
                <w:b/>
                <w:bCs/>
                <w:color w:val="auto"/>
                <w:highlight w:val="none"/>
              </w:rPr>
            </w:pPr>
            <w:r>
              <w:rPr>
                <w:rFonts w:hint="eastAsia" w:cs="宋体"/>
                <w:b/>
                <w:bCs/>
                <w:color w:val="auto"/>
                <w:highlight w:val="none"/>
              </w:rPr>
              <w:t>分 值 分 配</w:t>
            </w:r>
          </w:p>
        </w:tc>
      </w:tr>
      <w:tr w14:paraId="735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jc w:val="center"/>
        </w:trPr>
        <w:tc>
          <w:tcPr>
            <w:tcW w:w="40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EAA2B0A">
            <w:pPr>
              <w:pStyle w:val="48"/>
              <w:numPr>
                <w:ilvl w:val="0"/>
                <w:numId w:val="0"/>
              </w:numPr>
              <w:snapToGrid w:val="0"/>
              <w:jc w:val="center"/>
              <w:rPr>
                <w:rFonts w:cs="宋体"/>
                <w:color w:val="auto"/>
                <w:highlight w:val="none"/>
              </w:rPr>
            </w:pPr>
            <w:r>
              <w:rPr>
                <w:rFonts w:hint="eastAsia" w:cs="宋体"/>
                <w:color w:val="auto"/>
                <w:highlight w:val="none"/>
                <w:lang w:val="zh-CN" w:eastAsia="zh-CN"/>
              </w:rPr>
              <w:t>最后磋商报价</w:t>
            </w:r>
            <w:r>
              <w:rPr>
                <w:rFonts w:hint="eastAsia" w:cs="宋体"/>
                <w:color w:val="auto"/>
                <w:highlight w:val="none"/>
              </w:rPr>
              <w:t>部分得分</w:t>
            </w:r>
          </w:p>
        </w:tc>
        <w:tc>
          <w:tcPr>
            <w:tcW w:w="56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20CD6E">
            <w:pPr>
              <w:pStyle w:val="48"/>
              <w:numPr>
                <w:ilvl w:val="0"/>
                <w:numId w:val="0"/>
              </w:numPr>
              <w:snapToGrid w:val="0"/>
              <w:jc w:val="center"/>
              <w:rPr>
                <w:rFonts w:cs="宋体"/>
                <w:color w:val="auto"/>
                <w:highlight w:val="none"/>
              </w:rPr>
            </w:pPr>
            <w:r>
              <w:rPr>
                <w:rFonts w:hint="eastAsia" w:cs="宋体"/>
                <w:color w:val="auto"/>
                <w:highlight w:val="none"/>
              </w:rPr>
              <w:t>30</w:t>
            </w:r>
          </w:p>
        </w:tc>
      </w:tr>
      <w:tr w14:paraId="659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exact"/>
          <w:jc w:val="center"/>
        </w:trPr>
        <w:tc>
          <w:tcPr>
            <w:tcW w:w="40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83277A9">
            <w:pPr>
              <w:pStyle w:val="48"/>
              <w:numPr>
                <w:ilvl w:val="0"/>
                <w:numId w:val="0"/>
              </w:numPr>
              <w:snapToGrid w:val="0"/>
              <w:jc w:val="center"/>
              <w:rPr>
                <w:rFonts w:cs="宋体"/>
                <w:color w:val="auto"/>
                <w:highlight w:val="none"/>
              </w:rPr>
            </w:pPr>
            <w:r>
              <w:rPr>
                <w:rFonts w:hint="eastAsia" w:cs="宋体"/>
                <w:color w:val="auto"/>
                <w:highlight w:val="none"/>
                <w:lang w:val="en-US" w:eastAsia="zh-CN"/>
              </w:rPr>
              <w:t>技术</w:t>
            </w:r>
            <w:r>
              <w:rPr>
                <w:rFonts w:hint="eastAsia" w:cs="宋体"/>
                <w:color w:val="auto"/>
                <w:highlight w:val="none"/>
              </w:rPr>
              <w:t>部分得分</w:t>
            </w:r>
          </w:p>
        </w:tc>
        <w:tc>
          <w:tcPr>
            <w:tcW w:w="56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13A39F">
            <w:pPr>
              <w:pStyle w:val="48"/>
              <w:numPr>
                <w:ilvl w:val="0"/>
                <w:numId w:val="0"/>
              </w:numPr>
              <w:snapToGrid w:val="0"/>
              <w:jc w:val="center"/>
              <w:rPr>
                <w:rFonts w:cs="宋体"/>
                <w:color w:val="auto"/>
                <w:highlight w:val="none"/>
              </w:rPr>
            </w:pPr>
            <w:r>
              <w:rPr>
                <w:rFonts w:hint="eastAsia" w:cs="宋体"/>
                <w:color w:val="auto"/>
                <w:highlight w:val="none"/>
              </w:rPr>
              <w:t>70</w:t>
            </w:r>
          </w:p>
        </w:tc>
      </w:tr>
      <w:tr w14:paraId="0C1D0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exact"/>
          <w:jc w:val="center"/>
        </w:trPr>
        <w:tc>
          <w:tcPr>
            <w:tcW w:w="40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C719D59">
            <w:pPr>
              <w:pStyle w:val="48"/>
              <w:numPr>
                <w:ilvl w:val="0"/>
                <w:numId w:val="0"/>
              </w:numPr>
              <w:snapToGrid w:val="0"/>
              <w:jc w:val="center"/>
              <w:rPr>
                <w:rFonts w:cs="宋体"/>
                <w:color w:val="auto"/>
                <w:highlight w:val="none"/>
              </w:rPr>
            </w:pPr>
            <w:r>
              <w:rPr>
                <w:rFonts w:hint="eastAsia" w:cs="宋体"/>
                <w:color w:val="auto"/>
                <w:highlight w:val="none"/>
              </w:rPr>
              <w:t>合计</w:t>
            </w:r>
          </w:p>
        </w:tc>
        <w:tc>
          <w:tcPr>
            <w:tcW w:w="564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1F66BE">
            <w:pPr>
              <w:pStyle w:val="48"/>
              <w:numPr>
                <w:ilvl w:val="0"/>
                <w:numId w:val="0"/>
              </w:numPr>
              <w:snapToGrid w:val="0"/>
              <w:jc w:val="center"/>
              <w:rPr>
                <w:rFonts w:cs="宋体"/>
                <w:color w:val="auto"/>
                <w:highlight w:val="none"/>
              </w:rPr>
            </w:pPr>
            <w:r>
              <w:rPr>
                <w:rFonts w:hint="eastAsia" w:cs="宋体"/>
                <w:color w:val="auto"/>
                <w:highlight w:val="none"/>
              </w:rPr>
              <w:t>100</w:t>
            </w:r>
          </w:p>
        </w:tc>
      </w:tr>
      <w:tr w14:paraId="74BCE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609A48">
            <w:pPr>
              <w:pStyle w:val="48"/>
              <w:numPr>
                <w:ilvl w:val="0"/>
                <w:numId w:val="0"/>
              </w:numPr>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序号</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2C3F93C">
            <w:pPr>
              <w:pStyle w:val="48"/>
              <w:numPr>
                <w:ilvl w:val="0"/>
                <w:numId w:val="0"/>
              </w:numPr>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评分内容及分值</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9BF08AB">
            <w:pPr>
              <w:pStyle w:val="48"/>
              <w:numPr>
                <w:ilvl w:val="0"/>
                <w:numId w:val="0"/>
              </w:numPr>
              <w:snapToGrid w:val="0"/>
              <w:jc w:val="center"/>
              <w:rPr>
                <w:rFonts w:cs="宋体"/>
                <w:b/>
                <w:bCs/>
                <w:color w:val="auto"/>
                <w:highlight w:val="none"/>
              </w:rPr>
            </w:pPr>
            <w:r>
              <w:rPr>
                <w:rFonts w:hint="eastAsia" w:cs="宋体"/>
                <w:b/>
                <w:bCs/>
                <w:color w:val="auto"/>
                <w:highlight w:val="none"/>
              </w:rPr>
              <w:t>评分标准</w:t>
            </w:r>
          </w:p>
        </w:tc>
      </w:tr>
      <w:tr w14:paraId="7DF66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7F4BDF8">
            <w:pPr>
              <w:pStyle w:val="13"/>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1</w:t>
            </w:r>
          </w:p>
        </w:tc>
        <w:tc>
          <w:tcPr>
            <w:tcW w:w="131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E01426E">
            <w:pPr>
              <w:pStyle w:val="13"/>
              <w:spacing w:line="440" w:lineRule="exact"/>
              <w:ind w:left="0" w:leftChars="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lang w:val="zh-CN" w:eastAsia="zh-CN"/>
              </w:rPr>
              <w:t>最后</w:t>
            </w:r>
            <w:r>
              <w:rPr>
                <w:rFonts w:hint="eastAsia" w:ascii="宋体" w:hAnsi="宋体" w:eastAsia="宋体" w:cs="宋体"/>
                <w:b/>
                <w:bCs/>
                <w:color w:val="auto"/>
                <w:sz w:val="21"/>
                <w:szCs w:val="21"/>
                <w:highlight w:val="none"/>
                <w:lang w:val="zh-CN" w:eastAsia="zh-CN"/>
              </w:rPr>
              <w:t>磋商报价</w:t>
            </w:r>
            <w:r>
              <w:rPr>
                <w:rFonts w:hint="eastAsia" w:ascii="宋体" w:hAnsi="宋体" w:eastAsia="宋体" w:cs="宋体"/>
                <w:b/>
                <w:bCs/>
                <w:color w:val="auto"/>
                <w:sz w:val="21"/>
                <w:szCs w:val="21"/>
                <w:highlight w:val="none"/>
                <w:lang w:eastAsia="zh-CN"/>
              </w:rPr>
              <w:t>评分</w:t>
            </w:r>
          </w:p>
          <w:p w14:paraId="7B8AB32D">
            <w:pPr>
              <w:pStyle w:val="13"/>
              <w:spacing w:line="440" w:lineRule="exact"/>
              <w:ind w:left="0" w:leftChars="0" w:firstLine="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（30分）</w:t>
            </w:r>
          </w:p>
        </w:tc>
        <w:tc>
          <w:tcPr>
            <w:tcW w:w="7760" w:type="dxa"/>
            <w:gridSpan w:val="3"/>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2800F8A5">
            <w:pPr>
              <w:spacing w:line="360" w:lineRule="auto"/>
              <w:jc w:val="left"/>
              <w:rPr>
                <w:rFonts w:hint="eastAsia" w:ascii="宋体" w:hAnsi="宋体" w:eastAsia="宋体" w:cs="宋体"/>
                <w:color w:val="auto"/>
                <w:highlight w:val="none"/>
                <w:lang w:eastAsia="zh-CN"/>
              </w:rPr>
            </w:pPr>
            <w:r>
              <w:rPr>
                <w:rFonts w:hint="eastAsia" w:ascii="宋体" w:hAnsi="宋体" w:cs="宋体"/>
                <w:color w:val="auto"/>
                <w:highlight w:val="none"/>
                <w:lang w:eastAsia="zh-CN"/>
              </w:rPr>
              <w:t>最后磋商</w:t>
            </w:r>
            <w:r>
              <w:rPr>
                <w:rFonts w:hint="eastAsia" w:ascii="宋体" w:hAnsi="宋体" w:eastAsia="宋体" w:cs="宋体"/>
                <w:color w:val="auto"/>
                <w:highlight w:val="none"/>
                <w:lang w:eastAsia="zh-CN"/>
              </w:rPr>
              <w:t>报价评分采用低价优先法计算，即满足磋商文件要求且最后磋商价格最低的报价为磋商基准价，满足磋商基准价得满分；其他供应商的报价得分按照下列公式计算：</w:t>
            </w:r>
          </w:p>
          <w:p w14:paraId="1750433D">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最后磋商报价得分=（磋商基准价/最后磋商报价）×30分</w:t>
            </w:r>
          </w:p>
          <w:p w14:paraId="7769D6C1">
            <w:pPr>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4"/>
                <w:highlight w:val="none"/>
                <w:lang w:val="en-US" w:eastAsia="zh-CN"/>
              </w:rPr>
              <w:t>注：在计算磋商报价得分时，对小型或微型企业提供服务的价格给予3%的扣除，监狱企业、残疾人福利性单位均视同小型或微型企业。须提供《中小企业声明函》</w:t>
            </w:r>
            <w:r>
              <w:rPr>
                <w:rFonts w:hint="eastAsia" w:ascii="宋体" w:hAnsi="宋体" w:eastAsia="宋体" w:cs="宋体"/>
                <w:color w:val="auto"/>
                <w:highlight w:val="none"/>
                <w:lang w:val="en-US" w:eastAsia="zh-CN"/>
              </w:rPr>
              <w:t>。</w:t>
            </w:r>
          </w:p>
        </w:tc>
      </w:tr>
      <w:tr w14:paraId="5926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7FE2D299">
            <w:pPr>
              <w:ind w:firstLine="210" w:firstLineChars="100"/>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w:t>
            </w:r>
          </w:p>
        </w:tc>
        <w:tc>
          <w:tcPr>
            <w:tcW w:w="1310" w:type="dxa"/>
            <w:vMerge w:val="restart"/>
            <w:tcBorders>
              <w:top w:val="single" w:color="000000" w:sz="8" w:space="0"/>
              <w:left w:val="single" w:color="000000" w:sz="8" w:space="0"/>
              <w:right w:val="single" w:color="000000" w:sz="8" w:space="0"/>
            </w:tcBorders>
            <w:shd w:val="clear" w:color="auto" w:fill="FFFFFF"/>
            <w:tcMar>
              <w:top w:w="0" w:type="dxa"/>
              <w:left w:w="113" w:type="dxa"/>
              <w:bottom w:w="0" w:type="dxa"/>
              <w:right w:w="113" w:type="dxa"/>
            </w:tcMar>
            <w:vAlign w:val="center"/>
          </w:tcPr>
          <w:p w14:paraId="58C1027B">
            <w:pPr>
              <w:jc w:val="both"/>
              <w:rPr>
                <w:rFonts w:hint="eastAsia" w:ascii="宋体" w:hAnsi="宋体" w:cs="宋体"/>
                <w:b/>
                <w:color w:val="auto"/>
                <w:szCs w:val="21"/>
              </w:rPr>
            </w:pPr>
          </w:p>
          <w:p w14:paraId="621122B2">
            <w:pPr>
              <w:jc w:val="center"/>
              <w:rPr>
                <w:rFonts w:hint="eastAsia" w:ascii="宋体" w:hAnsi="宋体" w:cs="宋体"/>
                <w:b/>
                <w:color w:val="auto"/>
                <w:szCs w:val="21"/>
                <w:lang w:val="en-US" w:eastAsia="zh-CN"/>
              </w:rPr>
            </w:pPr>
            <w:r>
              <w:rPr>
                <w:rFonts w:hint="eastAsia" w:ascii="宋体" w:hAnsi="宋体" w:cs="宋体"/>
                <w:b/>
                <w:color w:val="auto"/>
                <w:szCs w:val="21"/>
                <w:lang w:val="en-US" w:eastAsia="zh-CN"/>
              </w:rPr>
              <w:t>技</w:t>
            </w:r>
          </w:p>
          <w:p w14:paraId="79466079">
            <w:pPr>
              <w:jc w:val="center"/>
              <w:rPr>
                <w:rFonts w:hint="eastAsia" w:ascii="宋体" w:hAnsi="宋体" w:cs="宋体"/>
                <w:b/>
                <w:color w:val="auto"/>
                <w:szCs w:val="21"/>
                <w:lang w:val="en-US" w:eastAsia="zh-CN"/>
              </w:rPr>
            </w:pPr>
            <w:r>
              <w:rPr>
                <w:rFonts w:hint="eastAsia" w:ascii="宋体" w:hAnsi="宋体" w:cs="宋体"/>
                <w:b/>
                <w:color w:val="auto"/>
                <w:szCs w:val="21"/>
                <w:lang w:val="en-US" w:eastAsia="zh-CN"/>
              </w:rPr>
              <w:t>术</w:t>
            </w:r>
          </w:p>
          <w:p w14:paraId="64144418">
            <w:pPr>
              <w:jc w:val="center"/>
              <w:rPr>
                <w:rFonts w:hint="eastAsia" w:ascii="宋体" w:hAnsi="宋体" w:cs="宋体"/>
                <w:b/>
                <w:color w:val="auto"/>
                <w:szCs w:val="21"/>
              </w:rPr>
            </w:pPr>
            <w:r>
              <w:rPr>
                <w:rFonts w:hint="eastAsia" w:ascii="宋体" w:hAnsi="宋体" w:cs="宋体"/>
                <w:b/>
                <w:color w:val="auto"/>
                <w:szCs w:val="21"/>
              </w:rPr>
              <w:t>部</w:t>
            </w:r>
          </w:p>
          <w:p w14:paraId="008AFAF8">
            <w:pPr>
              <w:jc w:val="center"/>
              <w:rPr>
                <w:rFonts w:hint="eastAsia" w:ascii="宋体" w:hAnsi="宋体" w:cs="宋体"/>
                <w:b/>
                <w:color w:val="auto"/>
                <w:szCs w:val="21"/>
              </w:rPr>
            </w:pPr>
            <w:r>
              <w:rPr>
                <w:rFonts w:hint="eastAsia" w:ascii="宋体" w:hAnsi="宋体" w:cs="宋体"/>
                <w:b/>
                <w:color w:val="auto"/>
                <w:szCs w:val="21"/>
              </w:rPr>
              <w:t>分</w:t>
            </w:r>
          </w:p>
          <w:p w14:paraId="6B630CCA">
            <w:pPr>
              <w:jc w:val="center"/>
              <w:rPr>
                <w:rFonts w:ascii="宋体" w:hAnsi="宋体" w:cs="宋体"/>
                <w:b/>
                <w:color w:val="auto"/>
                <w:szCs w:val="21"/>
              </w:rPr>
            </w:pPr>
            <w:r>
              <w:rPr>
                <w:rFonts w:hint="eastAsia" w:ascii="宋体" w:hAnsi="宋体" w:cs="宋体"/>
                <w:b/>
                <w:color w:val="auto"/>
                <w:szCs w:val="21"/>
              </w:rPr>
              <w:t>评</w:t>
            </w:r>
          </w:p>
          <w:p w14:paraId="00B2F252">
            <w:pPr>
              <w:jc w:val="center"/>
              <w:rPr>
                <w:rFonts w:ascii="宋体" w:hAnsi="宋体" w:cs="宋体"/>
                <w:b/>
                <w:color w:val="auto"/>
                <w:szCs w:val="21"/>
              </w:rPr>
            </w:pPr>
            <w:r>
              <w:rPr>
                <w:rFonts w:hint="eastAsia" w:ascii="宋体" w:hAnsi="宋体" w:cs="宋体"/>
                <w:b/>
                <w:color w:val="auto"/>
                <w:szCs w:val="21"/>
              </w:rPr>
              <w:t>分</w:t>
            </w:r>
          </w:p>
          <w:p w14:paraId="24DC5767">
            <w:pPr>
              <w:jc w:val="center"/>
              <w:rPr>
                <w:rFonts w:ascii="宋体" w:hAnsi="宋体" w:cs="宋体"/>
                <w:b/>
                <w:color w:val="auto"/>
                <w:szCs w:val="21"/>
              </w:rPr>
            </w:pPr>
          </w:p>
          <w:p w14:paraId="5D6F401F">
            <w:pPr>
              <w:jc w:val="center"/>
              <w:rPr>
                <w:rFonts w:hint="eastAsia" w:ascii="宋体" w:hAnsi="宋体" w:eastAsia="宋体" w:cs="宋体"/>
                <w:b/>
                <w:color w:val="auto"/>
                <w:kern w:val="2"/>
                <w:sz w:val="21"/>
                <w:szCs w:val="21"/>
                <w:highlight w:val="none"/>
                <w:lang w:val="en-US" w:eastAsia="zh-CN" w:bidi="ar-SA"/>
              </w:rPr>
            </w:pPr>
            <w:r>
              <w:rPr>
                <w:rFonts w:hint="eastAsia" w:ascii="宋体" w:hAnsi="宋体" w:cs="宋体"/>
                <w:b/>
                <w:color w:val="auto"/>
                <w:szCs w:val="21"/>
              </w:rPr>
              <w:t>（70分）</w:t>
            </w: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5BBB7F63">
            <w:pPr>
              <w:pStyle w:val="41"/>
              <w:jc w:val="center"/>
              <w:rPr>
                <w:rFonts w:hint="eastAsia" w:ascii="宋体" w:hAnsi="宋体" w:eastAsia="宋体" w:cs="宋体"/>
                <w:color w:val="auto"/>
                <w:sz w:val="21"/>
                <w:szCs w:val="21"/>
              </w:rPr>
            </w:pPr>
            <w:r>
              <w:rPr>
                <w:rFonts w:hint="eastAsia" w:ascii="宋体" w:hAnsi="宋体" w:eastAsia="宋体" w:cs="宋体"/>
                <w:color w:val="auto"/>
                <w:sz w:val="21"/>
                <w:szCs w:val="21"/>
              </w:rPr>
              <w:t>施工方案与技术措施评审</w:t>
            </w:r>
          </w:p>
          <w:p w14:paraId="05E6D1ED">
            <w:pPr>
              <w:pStyle w:val="41"/>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rPr>
              <w:t>（1</w:t>
            </w:r>
            <w:r>
              <w:rPr>
                <w:rFonts w:hint="eastAsia" w:cs="宋体"/>
                <w:color w:val="auto"/>
                <w:sz w:val="21"/>
                <w:szCs w:val="21"/>
                <w:lang w:val="en-US" w:eastAsia="zh-CN"/>
              </w:rPr>
              <w:t>0</w:t>
            </w:r>
            <w:r>
              <w:rPr>
                <w:rFonts w:hint="eastAsia" w:ascii="宋体" w:hAnsi="宋体" w:eastAsia="宋体" w:cs="宋体"/>
                <w:color w:val="auto"/>
                <w:sz w:val="21"/>
                <w:szCs w:val="21"/>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653AA726">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）对项目总体概况表述清晰、完整；部署及措施先进、可靠，采用了四新技术；对项目主要及关键方案有深入的表述，对重点、难点分析透彻，解决方案切实可行；切合环保、安全、文明生产要求的得1</w:t>
            </w:r>
            <w:r>
              <w:rPr>
                <w:rFonts w:hint="eastAsia" w:ascii="宋体" w:hAnsi="宋体" w:cs="宋体"/>
                <w:color w:val="auto"/>
                <w:highlight w:val="none"/>
                <w:lang w:val="en-US" w:eastAsia="zh-CN"/>
              </w:rPr>
              <w:t>0</w:t>
            </w:r>
            <w:r>
              <w:rPr>
                <w:rFonts w:hint="eastAsia" w:ascii="宋体" w:hAnsi="宋体" w:eastAsia="宋体" w:cs="宋体"/>
                <w:color w:val="auto"/>
                <w:highlight w:val="none"/>
                <w:lang w:eastAsia="zh-CN"/>
              </w:rPr>
              <w:t>分；</w:t>
            </w:r>
          </w:p>
          <w:p w14:paraId="6BD9C79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）对项目总体概况、部署及措施表述较清晰、完整；对项目主要及关键方案表述符合要求，对项目重点、难点的解决方案符合可行；符合环保、安全、文明生产要求的得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37D5F52E">
            <w:pPr>
              <w:spacing w:line="360" w:lineRule="auto"/>
              <w:jc w:val="left"/>
              <w:rPr>
                <w:rFonts w:hint="default"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）对项目总体概况、部署及措施表述基本清晰；对项目主要及关键方案表述基本符合要求，对项目重点、难点的解决方案基本清晰可行；基本符合环保、安全、文明生产要求的得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42995C11">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）对项目总体概况表述不够清晰；部署及措施不够具体；对项目主要及关键方案表述不够清晰、可行性不强的得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394B2047">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）对项目总体概况表述模糊；部署及措施不具体；对项目主要及关键方案表述不完整的得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46E263BE">
            <w:pPr>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施工方案与技术措施不满足采购需求或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6EB87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2D259A67">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E9BD19">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7F43C6BF">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质量管理体系与措施评审</w:t>
            </w:r>
          </w:p>
          <w:p w14:paraId="39CB964B">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DEE6A5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）质量目标符合竞争性磋商文件要求且目标明确；管理机构健全，职责分工明确；管理制度齐全；实施与监控措施全面、有效的得10分；</w:t>
            </w:r>
          </w:p>
          <w:p w14:paraId="27C904AF">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）质量目标符合竞争性磋商文件要求且目标明确；管理机构健全，职责分工较明确，管理制度较齐全，实施与监控措施较完整的得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eastAsia="zh-CN"/>
              </w:rPr>
              <w:t>分；</w:t>
            </w:r>
          </w:p>
          <w:p w14:paraId="60D0D034">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）质量目标符合竞争性磋商文件要求且目标基本明确；管理机构基本健全，职责分工基本明确，管理制度基本齐全，实施与监控措施基本完整的得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w:t>
            </w:r>
          </w:p>
          <w:p w14:paraId="2EDAC9D6">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）质量目标基本符合竞争性磋商文件要求且目标基本明确；管理机构不够健全，职责分工不够明确，管理制度不够齐全，实施与监控措施不够完整的得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分；</w:t>
            </w:r>
          </w:p>
          <w:p w14:paraId="03D50A1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）质量目标基本符合竞争性磋商文件要求且目标基本明确；</w:t>
            </w:r>
            <w:r>
              <w:rPr>
                <w:rFonts w:hint="eastAsia" w:ascii="宋体" w:hAnsi="宋体" w:cs="宋体"/>
                <w:color w:val="auto"/>
                <w:highlight w:val="none"/>
                <w:lang w:eastAsia="zh-CN"/>
              </w:rPr>
              <w:t>但</w:t>
            </w:r>
            <w:r>
              <w:rPr>
                <w:rFonts w:hint="eastAsia" w:ascii="宋体" w:hAnsi="宋体" w:eastAsia="宋体" w:cs="宋体"/>
                <w:color w:val="auto"/>
                <w:highlight w:val="none"/>
                <w:lang w:eastAsia="zh-CN"/>
              </w:rPr>
              <w:t>管理机构不健全，职责分工</w:t>
            </w:r>
            <w:r>
              <w:rPr>
                <w:rFonts w:hint="eastAsia" w:ascii="宋体" w:hAnsi="宋体" w:cs="宋体"/>
                <w:color w:val="auto"/>
                <w:highlight w:val="none"/>
                <w:lang w:eastAsia="zh-CN"/>
              </w:rPr>
              <w:t>模糊</w:t>
            </w:r>
            <w:r>
              <w:rPr>
                <w:rFonts w:hint="eastAsia" w:ascii="宋体" w:hAnsi="宋体" w:eastAsia="宋体" w:cs="宋体"/>
                <w:color w:val="auto"/>
                <w:highlight w:val="none"/>
                <w:lang w:eastAsia="zh-CN"/>
              </w:rPr>
              <w:t>，管理制度</w:t>
            </w:r>
            <w:r>
              <w:rPr>
                <w:rFonts w:hint="eastAsia" w:ascii="宋体" w:hAnsi="宋体" w:cs="宋体"/>
                <w:color w:val="auto"/>
                <w:highlight w:val="none"/>
                <w:lang w:eastAsia="zh-CN"/>
              </w:rPr>
              <w:t>缺失</w:t>
            </w:r>
            <w:r>
              <w:rPr>
                <w:rFonts w:hint="eastAsia" w:ascii="宋体" w:hAnsi="宋体" w:eastAsia="宋体" w:cs="宋体"/>
                <w:color w:val="auto"/>
                <w:highlight w:val="none"/>
                <w:lang w:eastAsia="zh-CN"/>
              </w:rPr>
              <w:t>不齐全，实施与监控措施</w:t>
            </w:r>
            <w:r>
              <w:rPr>
                <w:rFonts w:hint="eastAsia" w:ascii="宋体" w:hAnsi="宋体" w:cs="宋体"/>
                <w:color w:val="auto"/>
                <w:highlight w:val="none"/>
                <w:lang w:eastAsia="zh-CN"/>
              </w:rPr>
              <w:t>模糊、表述不完整</w:t>
            </w:r>
            <w:r>
              <w:rPr>
                <w:rFonts w:hint="eastAsia" w:ascii="宋体" w:hAnsi="宋体" w:eastAsia="宋体" w:cs="宋体"/>
                <w:color w:val="auto"/>
                <w:highlight w:val="none"/>
                <w:lang w:eastAsia="zh-CN"/>
              </w:rPr>
              <w:t>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分</w:t>
            </w:r>
            <w:r>
              <w:rPr>
                <w:rFonts w:hint="eastAsia" w:ascii="宋体" w:hAnsi="宋体" w:cs="宋体"/>
                <w:color w:val="auto"/>
                <w:highlight w:val="none"/>
                <w:lang w:eastAsia="zh-CN"/>
              </w:rPr>
              <w:t>；</w:t>
            </w:r>
          </w:p>
          <w:p w14:paraId="443545B9">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质量管理体系与措施不满足采购需求或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p>
        </w:tc>
      </w:tr>
      <w:tr w14:paraId="74A82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21D7E23">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EAA6CFC">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3C1D820">
            <w:pPr>
              <w:spacing w:line="360" w:lineRule="auto"/>
              <w:jc w:val="center"/>
              <w:rPr>
                <w:rFonts w:hint="eastAsia" w:ascii="宋体" w:hAnsi="宋体" w:eastAsia="宋体" w:cs="宋体"/>
                <w:color w:val="auto"/>
                <w:sz w:val="21"/>
                <w:szCs w:val="21"/>
                <w:highlight w:val="none"/>
                <w:lang w:val="en-US" w:eastAsia="zh-CN"/>
              </w:rPr>
            </w:pPr>
            <w:bookmarkStart w:id="1160" w:name="_GoBack"/>
            <w:r>
              <w:rPr>
                <w:rFonts w:hint="eastAsia" w:ascii="宋体" w:hAnsi="宋体" w:eastAsia="宋体" w:cs="宋体"/>
                <w:color w:val="auto"/>
                <w:sz w:val="21"/>
                <w:szCs w:val="21"/>
                <w:highlight w:val="none"/>
                <w:lang w:val="en-US" w:eastAsia="zh-CN"/>
              </w:rPr>
              <w:t>安全管理体系与措施评审</w:t>
            </w:r>
          </w:p>
          <w:bookmarkEnd w:id="1160"/>
          <w:p w14:paraId="43BBAFB6">
            <w:pPr>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48C205E">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）安全目标符合竞争性磋商文件的要求；安全管理机构健全，职责分工明确；管理制度齐全；实施与监控措施全面、有效的得10分；</w:t>
            </w:r>
          </w:p>
          <w:p w14:paraId="4C529F8C">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w:t>
            </w:r>
            <w:r>
              <w:rPr>
                <w:rFonts w:hint="eastAsia" w:ascii="宋体" w:hAnsi="宋体" w:eastAsia="宋体" w:cs="宋体"/>
                <w:color w:val="auto"/>
                <w:highlight w:val="none"/>
                <w:lang w:eastAsia="zh-CN"/>
              </w:rPr>
              <w:t>）安全目标符合竞争性磋商文件要求；管理机构健全，职责分工较明确；管理制度较齐全；实施与监控措施较完整的得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eastAsia="zh-CN"/>
              </w:rPr>
              <w:t>分；</w:t>
            </w:r>
          </w:p>
          <w:p w14:paraId="309B62F4">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eastAsia="zh-CN"/>
              </w:rPr>
              <w:t>）安全目标符合竞争性磋商文件要求；管理机构基本健全，职责分工基本明确；管理制度基本齐全；实施与监控措施基本完整的得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eastAsia="zh-CN"/>
              </w:rPr>
              <w:t>分；</w:t>
            </w:r>
          </w:p>
          <w:p w14:paraId="7D8F3460">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eastAsia="zh-CN"/>
              </w:rPr>
              <w:t>）安全目标符合竞争性磋商文件要求；管理机构不够健全，职责分工不够明确；管理制度不够齐全；实施与监控措施不够完整的得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eastAsia="zh-CN"/>
              </w:rPr>
              <w:t>分；</w:t>
            </w:r>
          </w:p>
          <w:p w14:paraId="4325224E">
            <w:pPr>
              <w:spacing w:line="360" w:lineRule="auto"/>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5</w:t>
            </w:r>
            <w:r>
              <w:rPr>
                <w:rFonts w:hint="eastAsia" w:ascii="宋体" w:hAnsi="宋体" w:eastAsia="宋体" w:cs="宋体"/>
                <w:color w:val="auto"/>
                <w:highlight w:val="none"/>
                <w:lang w:eastAsia="zh-CN"/>
              </w:rPr>
              <w:t>）安全目标符合竞争性磋商文件要求；</w:t>
            </w:r>
            <w:r>
              <w:rPr>
                <w:rFonts w:hint="eastAsia" w:ascii="宋体" w:hAnsi="宋体" w:cs="宋体"/>
                <w:color w:val="auto"/>
                <w:highlight w:val="none"/>
                <w:lang w:eastAsia="zh-CN"/>
              </w:rPr>
              <w:t>但</w:t>
            </w:r>
            <w:r>
              <w:rPr>
                <w:rFonts w:hint="eastAsia" w:ascii="宋体" w:hAnsi="宋体" w:eastAsia="宋体" w:cs="宋体"/>
                <w:color w:val="auto"/>
                <w:highlight w:val="none"/>
                <w:lang w:eastAsia="zh-CN"/>
              </w:rPr>
              <w:t>管理机构不健全，职责分工</w:t>
            </w:r>
            <w:r>
              <w:rPr>
                <w:rFonts w:hint="eastAsia" w:ascii="宋体" w:hAnsi="宋体" w:cs="宋体"/>
                <w:color w:val="auto"/>
                <w:highlight w:val="none"/>
                <w:lang w:eastAsia="zh-CN"/>
              </w:rPr>
              <w:t>模糊</w:t>
            </w:r>
            <w:r>
              <w:rPr>
                <w:rFonts w:hint="eastAsia" w:ascii="宋体" w:hAnsi="宋体" w:eastAsia="宋体" w:cs="宋体"/>
                <w:color w:val="auto"/>
                <w:highlight w:val="none"/>
                <w:lang w:eastAsia="zh-CN"/>
              </w:rPr>
              <w:t>，管理制度</w:t>
            </w:r>
            <w:r>
              <w:rPr>
                <w:rFonts w:hint="eastAsia" w:ascii="宋体" w:hAnsi="宋体" w:cs="宋体"/>
                <w:color w:val="auto"/>
                <w:highlight w:val="none"/>
                <w:lang w:eastAsia="zh-CN"/>
              </w:rPr>
              <w:t>缺失</w:t>
            </w:r>
            <w:r>
              <w:rPr>
                <w:rFonts w:hint="eastAsia" w:ascii="宋体" w:hAnsi="宋体" w:eastAsia="宋体" w:cs="宋体"/>
                <w:color w:val="auto"/>
                <w:highlight w:val="none"/>
                <w:lang w:eastAsia="zh-CN"/>
              </w:rPr>
              <w:t>不齐全，实施与监控措施</w:t>
            </w:r>
            <w:r>
              <w:rPr>
                <w:rFonts w:hint="eastAsia" w:ascii="宋体" w:hAnsi="宋体" w:cs="宋体"/>
                <w:color w:val="auto"/>
                <w:highlight w:val="none"/>
                <w:lang w:eastAsia="zh-CN"/>
              </w:rPr>
              <w:t>模糊、表述不完整</w:t>
            </w:r>
            <w:r>
              <w:rPr>
                <w:rFonts w:hint="eastAsia" w:ascii="宋体" w:hAnsi="宋体" w:eastAsia="宋体" w:cs="宋体"/>
                <w:color w:val="auto"/>
                <w:highlight w:val="none"/>
                <w:lang w:eastAsia="zh-CN"/>
              </w:rPr>
              <w:t>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分；</w:t>
            </w:r>
          </w:p>
          <w:p w14:paraId="64972690">
            <w:pPr>
              <w:spacing w:line="360" w:lineRule="auto"/>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eastAsia="zh-CN"/>
              </w:rPr>
              <w:t>）</w:t>
            </w:r>
            <w:r>
              <w:rPr>
                <w:rFonts w:hint="eastAsia" w:ascii="宋体" w:hAnsi="宋体" w:eastAsia="宋体" w:cs="宋体"/>
                <w:color w:val="auto"/>
                <w:sz w:val="21"/>
                <w:szCs w:val="21"/>
                <w:highlight w:val="none"/>
                <w:lang w:val="en-US" w:eastAsia="zh-CN"/>
              </w:rPr>
              <w:t>安全管理体系与措施不满足采购需求或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r>
              <w:rPr>
                <w:rFonts w:hint="eastAsia" w:ascii="宋体" w:hAnsi="宋体" w:eastAsia="宋体" w:cs="宋体"/>
                <w:color w:val="auto"/>
                <w:highlight w:val="none"/>
                <w:lang w:eastAsia="zh-CN"/>
              </w:rPr>
              <w:t>。</w:t>
            </w:r>
          </w:p>
        </w:tc>
      </w:tr>
      <w:tr w14:paraId="177EF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0C724E6D">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69BE1909">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24CAAC0">
            <w:pPr>
              <w:spacing w:line="360" w:lineRule="auto"/>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工程进度计划与保证措施评审</w:t>
            </w:r>
          </w:p>
          <w:p w14:paraId="15643AB1">
            <w:p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10</w:t>
            </w:r>
            <w:r>
              <w:rPr>
                <w:rFonts w:hint="eastAsia" w:ascii="宋体" w:hAnsi="宋体" w:eastAsia="宋体" w:cs="宋体"/>
                <w:color w:val="auto"/>
                <w:highlight w:val="none"/>
                <w:lang w:eastAsia="zh-CN"/>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9294C2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）总工期及节点工期满足竞争性磋商文件要求；施工进度计划内容全面，线路清晰、准确、完整，计划编制合理、可行；措施有力、合理、可行的得</w:t>
            </w:r>
            <w:r>
              <w:rPr>
                <w:rFonts w:hint="eastAsia" w:ascii="宋体" w:hAnsi="宋体" w:eastAsia="宋体" w:cs="宋体"/>
                <w:color w:val="auto"/>
                <w:highlight w:val="none"/>
                <w:lang w:val="en-US" w:eastAsia="zh-CN"/>
              </w:rPr>
              <w:t>10分；</w:t>
            </w:r>
          </w:p>
          <w:p w14:paraId="6DE2D87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）总工期及节点工期满足竞争性磋商文件要求；施工进度计划内容</w:t>
            </w:r>
            <w:r>
              <w:rPr>
                <w:rFonts w:hint="default" w:ascii="宋体" w:hAnsi="宋体" w:eastAsia="宋体" w:cs="宋体"/>
                <w:color w:val="auto"/>
                <w:highlight w:val="none"/>
                <w:lang w:val="en-US" w:eastAsia="zh-CN"/>
              </w:rPr>
              <w:t>较</w:t>
            </w:r>
            <w:r>
              <w:rPr>
                <w:rFonts w:hint="eastAsia" w:ascii="宋体" w:hAnsi="宋体" w:eastAsia="宋体" w:cs="宋体"/>
                <w:color w:val="auto"/>
                <w:highlight w:val="none"/>
                <w:lang w:eastAsia="zh-CN"/>
              </w:rPr>
              <w:t>全面，线路</w:t>
            </w:r>
            <w:r>
              <w:rPr>
                <w:rFonts w:hint="default" w:ascii="宋体" w:hAnsi="宋体" w:eastAsia="宋体" w:cs="宋体"/>
                <w:color w:val="auto"/>
                <w:highlight w:val="none"/>
                <w:lang w:val="en-US" w:eastAsia="zh-CN"/>
              </w:rPr>
              <w:t>较</w:t>
            </w:r>
            <w:r>
              <w:rPr>
                <w:rFonts w:hint="eastAsia" w:ascii="宋体" w:hAnsi="宋体" w:eastAsia="宋体" w:cs="宋体"/>
                <w:color w:val="auto"/>
                <w:highlight w:val="none"/>
                <w:lang w:eastAsia="zh-CN"/>
              </w:rPr>
              <w:t>清晰，计划编制较合理；措施较合理、可行的得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169917B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全面，线路</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清晰，计划编制</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基本</w:t>
            </w:r>
            <w:r>
              <w:rPr>
                <w:rFonts w:hint="eastAsia" w:ascii="宋体" w:hAnsi="宋体" w:eastAsia="宋体" w:cs="宋体"/>
                <w:color w:val="auto"/>
                <w:highlight w:val="none"/>
                <w:lang w:eastAsia="zh-CN"/>
              </w:rPr>
              <w:t>合理、可行的得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6DDB197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全面，计划编制</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不够</w:t>
            </w:r>
            <w:r>
              <w:rPr>
                <w:rFonts w:hint="eastAsia" w:ascii="宋体" w:hAnsi="宋体" w:eastAsia="宋体" w:cs="宋体"/>
                <w:color w:val="auto"/>
                <w:highlight w:val="none"/>
                <w:lang w:eastAsia="zh-CN"/>
              </w:rPr>
              <w:t>合理、可行的得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08AA279D">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）总工期及节点工期满足竞争性磋商文件要求；施工进度计划内容</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全面，计划编制</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合理；措施</w:t>
            </w:r>
            <w:r>
              <w:rPr>
                <w:rFonts w:hint="eastAsia" w:ascii="宋体" w:hAnsi="宋体" w:eastAsia="宋体" w:cs="宋体"/>
                <w:color w:val="auto"/>
                <w:highlight w:val="none"/>
                <w:lang w:val="en-US" w:eastAsia="zh-CN"/>
              </w:rPr>
              <w:t>不</w:t>
            </w:r>
            <w:r>
              <w:rPr>
                <w:rFonts w:hint="eastAsia" w:ascii="宋体" w:hAnsi="宋体" w:eastAsia="宋体" w:cs="宋体"/>
                <w:color w:val="auto"/>
                <w:highlight w:val="none"/>
                <w:lang w:eastAsia="zh-CN"/>
              </w:rPr>
              <w:t>合理、模糊的得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73AC2C2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）总工期及节点工期不满足竞争性磋商文件要求或未提供本项的得</w:t>
            </w:r>
            <w:r>
              <w:rPr>
                <w:rFonts w:hint="eastAsia" w:ascii="宋体" w:hAnsi="宋体" w:eastAsia="宋体" w:cs="宋体"/>
                <w:color w:val="auto"/>
                <w:highlight w:val="none"/>
                <w:lang w:val="en-US" w:eastAsia="zh-CN"/>
              </w:rPr>
              <w:t>0分。</w:t>
            </w:r>
          </w:p>
        </w:tc>
      </w:tr>
      <w:tr w14:paraId="274C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30271531">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5506B9BB">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4DF40B5">
            <w:pPr>
              <w:pStyle w:val="41"/>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环境保护管理体系与措施</w:t>
            </w:r>
            <w:r>
              <w:rPr>
                <w:rFonts w:hint="eastAsia" w:ascii="宋体" w:hAnsi="宋体" w:eastAsia="宋体" w:cs="宋体"/>
                <w:color w:val="auto"/>
                <w:sz w:val="21"/>
                <w:szCs w:val="21"/>
                <w:lang w:eastAsia="zh-CN"/>
              </w:rPr>
              <w:t>评审</w:t>
            </w:r>
          </w:p>
          <w:p w14:paraId="7A7B8B77">
            <w:pPr>
              <w:pStyle w:val="41"/>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07773A41">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）环境管理目标符合竞争性磋商文件及国家相关执行标准的要求；管理机构健全，职责分工明确；管理制度齐全；实施与监控措施全面、有效的得</w:t>
            </w:r>
            <w:r>
              <w:rPr>
                <w:rFonts w:hint="eastAsia" w:ascii="宋体" w:hAnsi="宋体" w:eastAsia="宋体" w:cs="宋体"/>
                <w:color w:val="auto"/>
                <w:highlight w:val="none"/>
                <w:lang w:val="en-US" w:eastAsia="zh-CN"/>
              </w:rPr>
              <w:t>10分；</w:t>
            </w:r>
          </w:p>
          <w:p w14:paraId="69A98235">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）环境管理目标符合竞争性磋商文件及国家相关执行标准的要求；管理机构较健全，职责分工较明确；管理制度较齐全；实施与监控措施合理、可行的得</w:t>
            </w:r>
            <w:r>
              <w:rPr>
                <w:rFonts w:hint="eastAsia" w:ascii="宋体" w:hAnsi="宋体" w:cs="宋体"/>
                <w:color w:val="auto"/>
                <w:highlight w:val="none"/>
                <w:lang w:val="en-US" w:eastAsia="zh-CN"/>
              </w:rPr>
              <w:t>9</w:t>
            </w:r>
            <w:r>
              <w:rPr>
                <w:rFonts w:hint="eastAsia" w:ascii="宋体" w:hAnsi="宋体" w:eastAsia="宋体" w:cs="宋体"/>
                <w:color w:val="auto"/>
                <w:highlight w:val="none"/>
                <w:lang w:val="en-US" w:eastAsia="zh-CN"/>
              </w:rPr>
              <w:t>分；</w:t>
            </w:r>
          </w:p>
          <w:p w14:paraId="43E27A8B">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）环境管理目标基本符合竞争性磋商文件及国家相关执行标准的要求；管理机构基本健全，职责分工基本明确；管理制度基本齐全；实施与监控措施基本完整的得</w:t>
            </w:r>
            <w:r>
              <w:rPr>
                <w:rFonts w:hint="eastAsia" w:ascii="宋体" w:hAnsi="宋体" w:cs="宋体"/>
                <w:color w:val="auto"/>
                <w:highlight w:val="none"/>
                <w:lang w:val="en-US" w:eastAsia="zh-CN"/>
              </w:rPr>
              <w:t>8</w:t>
            </w:r>
            <w:r>
              <w:rPr>
                <w:rFonts w:hint="eastAsia" w:ascii="宋体" w:hAnsi="宋体" w:eastAsia="宋体" w:cs="宋体"/>
                <w:color w:val="auto"/>
                <w:highlight w:val="none"/>
                <w:lang w:val="en-US" w:eastAsia="zh-CN"/>
              </w:rPr>
              <w:t>分；</w:t>
            </w:r>
          </w:p>
          <w:p w14:paraId="10C7508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）环境管理目标基本符合竞争性磋商文件及国家相关执行标准的要求；管理机构不够健全，职责分工不够明确；管理制度不够齐全；实施与监控措施不够完整的得</w:t>
            </w:r>
            <w:r>
              <w:rPr>
                <w:rFonts w:hint="eastAsia" w:ascii="宋体" w:hAnsi="宋体" w:cs="宋体"/>
                <w:color w:val="auto"/>
                <w:highlight w:val="none"/>
                <w:lang w:val="en-US" w:eastAsia="zh-CN"/>
              </w:rPr>
              <w:t>7</w:t>
            </w:r>
            <w:r>
              <w:rPr>
                <w:rFonts w:hint="eastAsia" w:ascii="宋体" w:hAnsi="宋体" w:eastAsia="宋体" w:cs="宋体"/>
                <w:color w:val="auto"/>
                <w:highlight w:val="none"/>
                <w:lang w:val="en-US" w:eastAsia="zh-CN"/>
              </w:rPr>
              <w:t>分；</w:t>
            </w:r>
          </w:p>
          <w:p w14:paraId="27340D2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）环境管理目标基本符合竞争性磋商文件及国家相关执行标准的要求；管理机构不健全，职责分工模糊；管理制度不齐全；实施与监控措施模糊、表述不完整的得</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分；</w:t>
            </w:r>
          </w:p>
          <w:p w14:paraId="6FB081A9">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）环境管理目标不符合竞争性磋商文件及国家相关执行标准的要求或</w:t>
            </w:r>
            <w:r>
              <w:rPr>
                <w:rFonts w:hint="eastAsia" w:ascii="宋体" w:hAnsi="宋体" w:cs="宋体"/>
                <w:color w:val="auto"/>
                <w:highlight w:val="none"/>
                <w:lang w:val="en-US" w:eastAsia="zh-CN"/>
              </w:rPr>
              <w:t>措施不满足采购需求或</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641A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B86F007">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5142620">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4F70DECA">
            <w:pPr>
              <w:pStyle w:val="41"/>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lang w:val="en-US" w:eastAsia="zh-CN" w:bidi="ar-SA"/>
              </w:rPr>
              <w:fldChar w:fldCharType="begin"/>
            </w:r>
            <w:r>
              <w:rPr>
                <w:rFonts w:hint="eastAsia" w:ascii="宋体" w:hAnsi="宋体" w:eastAsia="宋体" w:cs="宋体"/>
                <w:color w:val="auto"/>
                <w:sz w:val="21"/>
                <w:szCs w:val="21"/>
                <w:lang w:val="en-US" w:eastAsia="zh-CN" w:bidi="ar-SA"/>
              </w:rPr>
              <w:instrText xml:space="preserve"> HYPERLINK "https://baike.baidu.com/item/%E7%94%9F%E4%BA%A7%E5%AE%89%E5%85%A8%E4%BA%8B%E6%95%85%E5%BA%94%E6%80%A5%E9%A2%84%E6%A1%88%E7%AE%A1%E7%90%86%E5%8A%9E%E6%B3%95/4752455" \t "https://baike.baidu.com/item/%E5%BA%94%E6%80%A5%E9%A2%84%E6%A1%88%E8%AF%84%E5%AE%A1%E6%8C%87%E5%8D%97/_blank" </w:instrText>
            </w:r>
            <w:r>
              <w:rPr>
                <w:rFonts w:hint="eastAsia" w:ascii="宋体" w:hAnsi="宋体" w:eastAsia="宋体" w:cs="宋体"/>
                <w:color w:val="auto"/>
                <w:sz w:val="21"/>
                <w:szCs w:val="21"/>
                <w:lang w:val="en-US" w:eastAsia="zh-CN" w:bidi="ar-SA"/>
              </w:rPr>
              <w:fldChar w:fldCharType="separate"/>
            </w:r>
            <w:r>
              <w:rPr>
                <w:rFonts w:hint="eastAsia" w:ascii="宋体" w:hAnsi="宋体" w:eastAsia="宋体" w:cs="宋体"/>
                <w:color w:val="auto"/>
                <w:sz w:val="21"/>
                <w:szCs w:val="21"/>
                <w:lang w:val="en-US" w:eastAsia="zh-CN" w:bidi="ar-SA"/>
              </w:rPr>
              <w:t>生产安全事故应急预案</w:t>
            </w:r>
            <w:r>
              <w:rPr>
                <w:rFonts w:hint="eastAsia" w:cs="宋体"/>
                <w:color w:val="auto"/>
                <w:sz w:val="21"/>
                <w:szCs w:val="21"/>
                <w:lang w:val="en-US" w:eastAsia="zh-CN" w:bidi="ar-SA"/>
              </w:rPr>
              <w:t>评</w:t>
            </w:r>
            <w:r>
              <w:rPr>
                <w:rFonts w:hint="eastAsia" w:ascii="宋体" w:hAnsi="宋体" w:eastAsia="宋体" w:cs="宋体"/>
                <w:color w:val="auto"/>
                <w:sz w:val="21"/>
                <w:szCs w:val="21"/>
                <w:lang w:val="en-US" w:eastAsia="zh-CN" w:bidi="ar-SA"/>
              </w:rPr>
              <w:fldChar w:fldCharType="end"/>
            </w:r>
            <w:r>
              <w:rPr>
                <w:rFonts w:hint="eastAsia" w:cs="宋体"/>
                <w:color w:val="auto"/>
                <w:sz w:val="21"/>
                <w:szCs w:val="21"/>
                <w:lang w:val="en-US" w:eastAsia="zh-CN" w:bidi="ar-SA"/>
              </w:rPr>
              <w:t xml:space="preserve">审      </w:t>
            </w:r>
            <w:r>
              <w:rPr>
                <w:rFonts w:hint="eastAsia"/>
                <w:color w:val="auto"/>
                <w:sz w:val="21"/>
                <w:szCs w:val="21"/>
              </w:rPr>
              <w:t>(</w:t>
            </w:r>
            <w:r>
              <w:rPr>
                <w:rFonts w:hint="eastAsia"/>
                <w:color w:val="auto"/>
                <w:sz w:val="21"/>
                <w:szCs w:val="21"/>
                <w:lang w:val="en-US" w:eastAsia="zh-CN"/>
              </w:rPr>
              <w:t>10分</w:t>
            </w:r>
            <w:r>
              <w:rPr>
                <w:rFonts w:hint="eastAsia"/>
                <w:color w:val="auto"/>
                <w:sz w:val="21"/>
                <w:szCs w:val="21"/>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1B9F1F1B">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的要求，结合本项目应急预案内容合法、完整全面，操作性、针对性、实用性强，有科学性、衔接性，且</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"https://baike.baidu.com/item/%E4%B8%93%E9%A1%B9%E5%BA%94%E6%80%A5%E9%A2%84%E6%A1%88/4060388"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专项应急预案</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和现场处置方案形成体系，并与相关部门或单位应急预案相互衔接</w:t>
            </w:r>
            <w:r>
              <w:rPr>
                <w:rFonts w:hint="eastAsia" w:ascii="宋体" w:hAnsi="宋体" w:eastAsia="宋体" w:cs="宋体"/>
                <w:color w:val="auto"/>
                <w:highlight w:val="none"/>
                <w:lang w:val="en-US" w:eastAsia="zh-CN"/>
              </w:rPr>
              <w:t>的得10分；</w:t>
            </w:r>
          </w:p>
          <w:p w14:paraId="19914691">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的要求，结合本项目应急预案内容合法、完整的得9分；</w:t>
            </w:r>
          </w:p>
          <w:p w14:paraId="6D659B2A">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的要求，结合本项目应急预案内容基本完整，有操作性，但针对性、实用性欠佳的得8分；</w:t>
            </w:r>
          </w:p>
          <w:p w14:paraId="43BCBA9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的要求，结合本项目应急预案内容不够完整，缺乏操作性、针对性的得7分；</w:t>
            </w:r>
          </w:p>
          <w:p w14:paraId="10863BF8">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的要求，但结合本项目应急预案内容模糊不完整的得6分；</w:t>
            </w:r>
          </w:p>
          <w:p w14:paraId="1FDDC861">
            <w:pPr>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highlight w:val="none"/>
                <w:lang w:val="en-US" w:eastAsia="zh-CN"/>
              </w:rPr>
              <w:t>（6）不符合《</w:t>
            </w:r>
            <w:r>
              <w:rPr>
                <w:rFonts w:hint="default" w:ascii="宋体" w:hAnsi="宋体" w:eastAsia="宋体" w:cs="宋体"/>
                <w:color w:val="auto"/>
                <w:highlight w:val="none"/>
                <w:lang w:val="en-US" w:eastAsia="zh-CN"/>
              </w:rPr>
              <w:fldChar w:fldCharType="begin"/>
            </w:r>
            <w:r>
              <w:rPr>
                <w:rFonts w:hint="default" w:ascii="宋体" w:hAnsi="宋体" w:eastAsia="宋体" w:cs="宋体"/>
                <w:color w:val="auto"/>
                <w:highlight w:val="none"/>
                <w:lang w:val="en-US" w:eastAsia="zh-CN"/>
              </w:rPr>
              <w:instrText xml:space="preserve"> HYPERLINK "https://baike.baidu.com/item/%E7%94%9F%E4%BA%A7%E5%AE%89%E5%85%A8%E4%BA%8B%E6%95%85%E5%BA%94%E6%80%A5%E9%A2%84%E6%A1%88%E7%AE%A1%E7%90%86%E5%8A%9E%E6%B3%95/4752455" \t "https://baike.baidu.com/item/%E5%BA%94%E6%80%A5%E9%A2%84%E6%A1%88%E8%AF%84%E5%AE%A1%E6%8C%87%E5%8D%97/_blank" </w:instrText>
            </w:r>
            <w:r>
              <w:rPr>
                <w:rFonts w:hint="default" w:ascii="宋体" w:hAnsi="宋体" w:eastAsia="宋体" w:cs="宋体"/>
                <w:color w:val="auto"/>
                <w:highlight w:val="none"/>
                <w:lang w:val="en-US" w:eastAsia="zh-CN"/>
              </w:rPr>
              <w:fldChar w:fldCharType="separate"/>
            </w:r>
            <w:r>
              <w:rPr>
                <w:rFonts w:hint="default" w:ascii="宋体" w:hAnsi="宋体" w:eastAsia="宋体" w:cs="宋体"/>
                <w:color w:val="auto"/>
                <w:highlight w:val="none"/>
                <w:lang w:val="en-US" w:eastAsia="zh-CN"/>
              </w:rPr>
              <w:t>生产安全事故应急预案管理办法</w:t>
            </w:r>
            <w:r>
              <w:rPr>
                <w:rFonts w:hint="default" w:ascii="宋体" w:hAnsi="宋体" w:eastAsia="宋体" w:cs="宋体"/>
                <w:color w:val="auto"/>
                <w:highlight w:val="none"/>
                <w:lang w:val="en-US" w:eastAsia="zh-CN"/>
              </w:rPr>
              <w:fldChar w:fldCharType="end"/>
            </w:r>
            <w:r>
              <w:rPr>
                <w:rFonts w:hint="default" w:ascii="宋体" w:hAnsi="宋体" w:eastAsia="宋体" w:cs="宋体"/>
                <w:color w:val="auto"/>
                <w:highlight w:val="none"/>
                <w:lang w:val="en-US" w:eastAsia="zh-CN"/>
              </w:rPr>
              <w:t>》（国家安全监管总局令第17号）</w:t>
            </w:r>
            <w:r>
              <w:rPr>
                <w:rFonts w:hint="eastAsia" w:ascii="宋体" w:hAnsi="宋体" w:eastAsia="宋体" w:cs="宋体"/>
                <w:color w:val="auto"/>
                <w:highlight w:val="none"/>
                <w:lang w:val="en-US" w:eastAsia="zh-CN"/>
              </w:rPr>
              <w:t>的要求或与不满足项目需求，或未提供本项的得0分。</w:t>
            </w:r>
          </w:p>
        </w:tc>
      </w:tr>
      <w:tr w14:paraId="403B7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FB1C802">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4B4199F">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3A05F22">
            <w:pPr>
              <w:keepNext w:val="0"/>
              <w:keepLines w:val="0"/>
              <w:widowControl/>
              <w:suppressLineNumbers w:val="0"/>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风险防范处理措施</w:t>
            </w:r>
            <w:r>
              <w:rPr>
                <w:rFonts w:hint="eastAsia" w:ascii="宋体" w:hAnsi="宋体" w:cs="宋体"/>
                <w:color w:val="auto"/>
                <w:sz w:val="21"/>
                <w:szCs w:val="21"/>
                <w:lang w:val="en-US" w:eastAsia="zh-CN"/>
              </w:rPr>
              <w:t>评审</w:t>
            </w:r>
          </w:p>
          <w:p w14:paraId="12DEA658">
            <w:pPr>
              <w:pStyle w:val="41"/>
              <w:jc w:val="center"/>
              <w:rPr>
                <w:rFonts w:hint="eastAsia" w:ascii="宋体" w:hAnsi="宋体" w:eastAsia="宋体" w:cs="宋体"/>
                <w:color w:val="auto"/>
                <w:sz w:val="21"/>
                <w:szCs w:val="21"/>
                <w:lang w:val="en-US" w:eastAsia="zh-CN" w:bidi="ar-SA"/>
              </w:rPr>
            </w:pPr>
            <w:r>
              <w:rPr>
                <w:rFonts w:hint="eastAsia"/>
                <w:color w:val="auto"/>
                <w:sz w:val="21"/>
                <w:szCs w:val="21"/>
              </w:rPr>
              <w:t>(</w:t>
            </w:r>
            <w:r>
              <w:rPr>
                <w:rFonts w:hint="eastAsia"/>
                <w:color w:val="auto"/>
                <w:sz w:val="21"/>
                <w:szCs w:val="21"/>
                <w:lang w:val="en-US" w:eastAsia="zh-CN"/>
              </w:rPr>
              <w:t>5分</w:t>
            </w:r>
            <w:r>
              <w:rPr>
                <w:rFonts w:hint="eastAsia"/>
                <w:color w:val="auto"/>
                <w:sz w:val="21"/>
                <w:szCs w:val="21"/>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D8DA80F">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（1）对劳动纠纷、安全事故等方面的风险点分析到位，风险防范处理措施详细具体、合理可行、针对性强的得5分； </w:t>
            </w:r>
          </w:p>
          <w:p w14:paraId="3D7A3ACE">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（2）对劳动纠纷、安全事故等方面的风险点分析到位，风险防范处理措施基本完整，但针对性、可行性不强的得4分； </w:t>
            </w:r>
          </w:p>
          <w:p w14:paraId="78D6B9C0">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（3）对劳动纠纷、安全事故等方面的风险点分析基本到位，风险 </w:t>
            </w:r>
          </w:p>
          <w:p w14:paraId="766D44F2">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防范处理措施基本完整，合理但缺乏针对性、可行性的得3分； </w:t>
            </w:r>
          </w:p>
          <w:p w14:paraId="78F24B8A">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（4）对劳动纠纷、安全事故等方面的风险点分析不够到位，风险 </w:t>
            </w:r>
          </w:p>
          <w:p w14:paraId="5E1B6700">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防范处理措施不够完整，缺乏合理性、针对性的得2分；</w:t>
            </w:r>
          </w:p>
          <w:p w14:paraId="00CEC6D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（5）对劳动纠纷、安全事故等方面的风险点分析内容简单、缺项，无风险防范处理措施的得1分；</w:t>
            </w:r>
          </w:p>
          <w:p w14:paraId="50156D3C">
            <w:pPr>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lang w:eastAsia="zh-CN"/>
              </w:rPr>
              <w:t>未提供本项的得</w:t>
            </w:r>
            <w:r>
              <w:rPr>
                <w:rFonts w:hint="eastAsia" w:ascii="宋体" w:hAnsi="宋体" w:eastAsia="宋体" w:cs="宋体"/>
                <w:color w:val="auto"/>
                <w:highlight w:val="none"/>
                <w:lang w:val="en-US" w:eastAsia="zh-CN"/>
              </w:rPr>
              <w:t>0分。</w:t>
            </w:r>
          </w:p>
        </w:tc>
      </w:tr>
      <w:tr w14:paraId="59714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4" w:hRule="atLeast"/>
          <w:jc w:val="center"/>
        </w:trPr>
        <w:tc>
          <w:tcPr>
            <w:tcW w:w="576"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74BCEBE0">
            <w:pPr>
              <w:ind w:firstLine="210" w:firstLineChars="100"/>
              <w:rPr>
                <w:rFonts w:hint="eastAsia" w:ascii="宋体" w:hAnsi="宋体" w:cs="宋体"/>
                <w:color w:val="auto"/>
                <w:szCs w:val="21"/>
                <w:highlight w:val="none"/>
                <w:lang w:val="en-US" w:eastAsia="zh-CN"/>
              </w:rPr>
            </w:pPr>
          </w:p>
        </w:tc>
        <w:tc>
          <w:tcPr>
            <w:tcW w:w="1310" w:type="dxa"/>
            <w:vMerge w:val="continue"/>
            <w:tcBorders>
              <w:left w:val="single" w:color="000000" w:sz="8" w:space="0"/>
              <w:right w:val="single" w:color="000000" w:sz="8" w:space="0"/>
            </w:tcBorders>
            <w:shd w:val="clear" w:color="auto" w:fill="FFFFFF"/>
            <w:tcMar>
              <w:top w:w="0" w:type="dxa"/>
              <w:left w:w="113" w:type="dxa"/>
              <w:bottom w:w="0" w:type="dxa"/>
              <w:right w:w="113" w:type="dxa"/>
            </w:tcMar>
            <w:vAlign w:val="center"/>
          </w:tcPr>
          <w:p w14:paraId="40E16028">
            <w:pPr>
              <w:jc w:val="center"/>
              <w:rPr>
                <w:rFonts w:hint="eastAsia" w:ascii="宋体" w:hAnsi="宋体" w:cs="宋体"/>
                <w:b/>
                <w:color w:val="auto"/>
                <w:szCs w:val="21"/>
              </w:rPr>
            </w:pPr>
          </w:p>
        </w:tc>
        <w:tc>
          <w:tcPr>
            <w:tcW w:w="1350" w:type="dxa"/>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3B8FB11C">
            <w:pPr>
              <w:pStyle w:val="41"/>
              <w:jc w:val="center"/>
              <w:rPr>
                <w:rFonts w:hint="eastAsia" w:ascii="宋体" w:hAnsi="宋体" w:eastAsia="宋体" w:cs="宋体"/>
                <w:color w:val="auto"/>
                <w:sz w:val="21"/>
                <w:szCs w:val="21"/>
                <w:lang w:val="en-US" w:eastAsia="zh-CN" w:bidi="ar-SA"/>
              </w:rPr>
            </w:pPr>
            <w:r>
              <w:rPr>
                <w:rFonts w:hint="eastAsia" w:ascii="宋体" w:hAnsi="宋体" w:eastAsia="宋体" w:cs="宋体"/>
                <w:color w:val="auto"/>
                <w:sz w:val="21"/>
                <w:szCs w:val="21"/>
              </w:rPr>
              <w:t>施工总平面布置图</w:t>
            </w:r>
            <w:r>
              <w:rPr>
                <w:rFonts w:hint="eastAsia" w:ascii="宋体" w:hAnsi="宋体" w:eastAsia="宋体" w:cs="宋体"/>
                <w:color w:val="auto"/>
                <w:sz w:val="21"/>
                <w:szCs w:val="21"/>
                <w:lang w:eastAsia="zh-CN"/>
              </w:rPr>
              <w:t>评审</w:t>
            </w:r>
            <w:r>
              <w:rPr>
                <w:rFonts w:hint="eastAsia"/>
                <w:color w:val="auto"/>
                <w:sz w:val="21"/>
                <w:szCs w:val="21"/>
                <w:lang w:eastAsia="zh-CN"/>
              </w:rPr>
              <w:t>（</w:t>
            </w:r>
            <w:r>
              <w:rPr>
                <w:rFonts w:hint="eastAsia"/>
                <w:color w:val="auto"/>
                <w:sz w:val="21"/>
                <w:szCs w:val="21"/>
                <w:lang w:val="en-US" w:eastAsia="zh-CN"/>
              </w:rPr>
              <w:t>5分</w:t>
            </w:r>
            <w:r>
              <w:rPr>
                <w:rFonts w:hint="eastAsia"/>
                <w:color w:val="auto"/>
                <w:sz w:val="21"/>
                <w:szCs w:val="21"/>
                <w:lang w:eastAsia="zh-CN"/>
              </w:rPr>
              <w:t>）</w:t>
            </w:r>
          </w:p>
        </w:tc>
        <w:tc>
          <w:tcPr>
            <w:tcW w:w="641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113" w:type="dxa"/>
              <w:bottom w:w="0" w:type="dxa"/>
              <w:right w:w="113" w:type="dxa"/>
            </w:tcMar>
            <w:vAlign w:val="center"/>
          </w:tcPr>
          <w:p w14:paraId="50DEF66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（1）施工总平面图布置科学、全面、合理，图示标识全面、准确，且针对本工程实际现场勘探后或全面理解、了解本工程设计施工图纸后所布置的得5分；</w:t>
            </w:r>
          </w:p>
          <w:p w14:paraId="77741823">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（2）施工总平面图布置合理，图示标识准确，且针对本工程实际布置的得4分；</w:t>
            </w:r>
          </w:p>
          <w:p w14:paraId="5B2441EA">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（3）施工总平面图布置基本合理，图示标识准确，基本针对本工程实际布置的得3分；</w:t>
            </w:r>
          </w:p>
          <w:p w14:paraId="397DC154">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（4）施工总平面图布置不够合理，图示标识</w:t>
            </w:r>
            <w:r>
              <w:rPr>
                <w:rFonts w:hint="default" w:ascii="宋体" w:hAnsi="宋体" w:eastAsia="宋体" w:cs="宋体"/>
                <w:color w:val="auto"/>
                <w:highlight w:val="none"/>
                <w:lang w:val="en-US" w:eastAsia="zh-CN"/>
              </w:rPr>
              <w:t>不够清楚、</w:t>
            </w:r>
            <w:r>
              <w:rPr>
                <w:rFonts w:hint="eastAsia" w:ascii="宋体" w:hAnsi="宋体" w:eastAsia="宋体" w:cs="宋体"/>
                <w:color w:val="auto"/>
                <w:highlight w:val="none"/>
                <w:lang w:val="en-US" w:eastAsia="zh-CN"/>
              </w:rPr>
              <w:t>准确、</w:t>
            </w:r>
            <w:r>
              <w:rPr>
                <w:rFonts w:hint="default" w:ascii="宋体" w:hAnsi="宋体" w:eastAsia="宋体" w:cs="宋体"/>
                <w:color w:val="auto"/>
                <w:highlight w:val="none"/>
                <w:lang w:val="en-US" w:eastAsia="zh-CN"/>
              </w:rPr>
              <w:t>缺乏针对性</w:t>
            </w:r>
            <w:r>
              <w:rPr>
                <w:rFonts w:hint="eastAsia" w:ascii="宋体" w:hAnsi="宋体" w:eastAsia="宋体" w:cs="宋体"/>
                <w:color w:val="auto"/>
                <w:highlight w:val="none"/>
                <w:lang w:val="en-US" w:eastAsia="zh-CN"/>
              </w:rPr>
              <w:t>，未针对本工程实际布置的得2分；</w:t>
            </w:r>
          </w:p>
          <w:p w14:paraId="77A47D56">
            <w:pPr>
              <w:spacing w:line="360" w:lineRule="auto"/>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（5）施工总平面图布置不合理，图示标识不准确，未针对本工程实际布置的得1分；</w:t>
            </w:r>
          </w:p>
          <w:p w14:paraId="46594391">
            <w:pPr>
              <w:spacing w:line="360" w:lineRule="auto"/>
              <w:jc w:val="left"/>
              <w:rPr>
                <w:rFonts w:hint="eastAsia" w:ascii="宋体" w:hAnsi="宋体" w:eastAsia="宋体" w:cs="宋体"/>
                <w:color w:val="auto"/>
                <w:sz w:val="21"/>
                <w:szCs w:val="21"/>
                <w:lang w:val="en-US" w:eastAsia="zh-CN" w:bidi="ar-SA"/>
              </w:rPr>
            </w:pPr>
            <w:r>
              <w:rPr>
                <w:rFonts w:hint="eastAsia" w:ascii="宋体" w:hAnsi="宋体" w:eastAsia="宋体" w:cs="宋体"/>
                <w:color w:val="auto"/>
                <w:highlight w:val="none"/>
                <w:lang w:val="en-US" w:eastAsia="zh-CN"/>
              </w:rPr>
              <w:t>（6）未提供本项的得0分。</w:t>
            </w:r>
          </w:p>
        </w:tc>
      </w:tr>
    </w:tbl>
    <w:p w14:paraId="4C78169C">
      <w:pPr>
        <w:spacing w:line="360" w:lineRule="auto"/>
        <w:rPr>
          <w:rFonts w:hint="eastAsia"/>
          <w:color w:val="auto"/>
          <w:highlight w:val="none"/>
        </w:rPr>
      </w:pPr>
    </w:p>
    <w:bookmarkEnd w:id="216"/>
    <w:bookmarkEnd w:id="217"/>
    <w:bookmarkEnd w:id="218"/>
    <w:p w14:paraId="0410A5D9">
      <w:pPr>
        <w:pStyle w:val="11"/>
        <w:rPr>
          <w:rFonts w:ascii="宋体" w:hAnsi="宋体" w:cs="宋体"/>
          <w:b/>
          <w:bCs/>
          <w:color w:val="auto"/>
          <w:sz w:val="32"/>
          <w:szCs w:val="40"/>
          <w:highlight w:val="none"/>
        </w:rPr>
        <w:sectPr>
          <w:pgSz w:w="11906" w:h="16838"/>
          <w:pgMar w:top="1440" w:right="1080" w:bottom="1440" w:left="1080" w:header="851" w:footer="992" w:gutter="0"/>
          <w:pgNumType w:fmt="decimal"/>
          <w:cols w:space="720" w:num="1"/>
          <w:titlePg/>
          <w:docGrid w:type="lines" w:linePitch="312" w:charSpace="0"/>
        </w:sectPr>
      </w:pPr>
    </w:p>
    <w:p w14:paraId="34A601F3">
      <w:pPr>
        <w:pStyle w:val="2"/>
        <w:tabs>
          <w:tab w:val="left" w:pos="0"/>
        </w:tabs>
        <w:autoSpaceDE w:val="0"/>
        <w:autoSpaceDN w:val="0"/>
        <w:adjustRightInd w:val="0"/>
        <w:spacing w:before="0" w:after="0" w:line="240" w:lineRule="auto"/>
        <w:jc w:val="center"/>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highlight w:val="none"/>
        </w:rPr>
        <w:t>第五章 合同条款及格式</w:t>
      </w:r>
    </w:p>
    <w:p w14:paraId="368C1B1D">
      <w:pPr>
        <w:jc w:val="center"/>
        <w:rPr>
          <w:rFonts w:hint="eastAsia" w:ascii="宋体" w:hAnsi="宋体"/>
          <w:color w:val="auto"/>
          <w:sz w:val="24"/>
          <w:highlight w:val="none"/>
        </w:rPr>
      </w:pPr>
    </w:p>
    <w:p w14:paraId="6CFD8777">
      <w:pPr>
        <w:jc w:val="center"/>
        <w:rPr>
          <w:rFonts w:hint="eastAsia" w:ascii="宋体" w:hAnsi="宋体"/>
          <w:color w:val="auto"/>
          <w:sz w:val="24"/>
          <w:highlight w:val="none"/>
        </w:rPr>
      </w:pPr>
    </w:p>
    <w:p w14:paraId="63C1FCD7">
      <w:pPr>
        <w:jc w:val="center"/>
        <w:rPr>
          <w:rFonts w:hint="eastAsia" w:ascii="宋体" w:hAnsi="宋体"/>
          <w:b/>
          <w:bCs/>
          <w:color w:val="auto"/>
          <w:sz w:val="24"/>
          <w:highlight w:val="none"/>
        </w:rPr>
      </w:pPr>
      <w:r>
        <w:rPr>
          <w:rFonts w:hint="eastAsia" w:ascii="宋体" w:hAnsi="宋体"/>
          <w:b/>
          <w:bCs/>
          <w:color w:val="auto"/>
          <w:sz w:val="24"/>
          <w:highlight w:val="none"/>
        </w:rPr>
        <w:t>（仅供参考，具体内容与实际签订合同为准）</w:t>
      </w:r>
    </w:p>
    <w:p w14:paraId="08054B1C">
      <w:pPr>
        <w:pStyle w:val="24"/>
        <w:ind w:left="0" w:leftChars="0" w:firstLine="0" w:firstLineChars="0"/>
        <w:rPr>
          <w:rFonts w:hint="eastAsia" w:ascii="宋体" w:hAnsi="宋体"/>
          <w:b/>
          <w:bCs/>
          <w:color w:val="auto"/>
          <w:sz w:val="24"/>
          <w:highlight w:val="none"/>
        </w:rPr>
      </w:pPr>
    </w:p>
    <w:p w14:paraId="58B68062">
      <w:pPr>
        <w:rPr>
          <w:rFonts w:hint="eastAsia"/>
          <w:color w:val="auto"/>
          <w:highlight w:val="none"/>
        </w:rPr>
      </w:pPr>
    </w:p>
    <w:p w14:paraId="6F53C0DB">
      <w:pPr>
        <w:ind w:firstLine="240" w:firstLineChars="100"/>
        <w:rPr>
          <w:rFonts w:ascii="宋体" w:hAnsi="宋体" w:cs="Arial"/>
          <w:color w:val="auto"/>
          <w:sz w:val="24"/>
          <w:highlight w:val="none"/>
        </w:rPr>
      </w:pPr>
      <w:r>
        <w:rPr>
          <w:rFonts w:hint="eastAsia" w:ascii="宋体" w:hAnsi="宋体" w:cs="Arial"/>
          <w:color w:val="auto"/>
          <w:sz w:val="24"/>
          <w:highlight w:val="none"/>
        </w:rPr>
        <w:t xml:space="preserve">合同编号：                    合同自编号：                项目编号： </w:t>
      </w:r>
    </w:p>
    <w:p w14:paraId="0D41BAE9">
      <w:pPr>
        <w:spacing w:after="240"/>
        <w:ind w:firstLine="240" w:firstLineChars="100"/>
        <w:rPr>
          <w:rFonts w:ascii="宋体" w:hAnsi="宋体" w:cs="Arial"/>
          <w:color w:val="auto"/>
          <w:sz w:val="24"/>
          <w:highlight w:val="none"/>
        </w:rPr>
      </w:pPr>
      <w:r>
        <w:rPr>
          <w:rFonts w:hint="eastAsia" w:ascii="宋体" w:hAnsi="宋体" w:cs="Arial"/>
          <w:color w:val="auto"/>
          <w:sz w:val="24"/>
          <w:highlight w:val="none"/>
        </w:rPr>
        <w:t>●本合同须加盖甲乙双方骑缝章有效</w:t>
      </w:r>
    </w:p>
    <w:p w14:paraId="0F08F85E">
      <w:pPr>
        <w:keepNext w:val="0"/>
        <w:keepLines w:val="0"/>
        <w:pageBreakBefore w:val="0"/>
        <w:widowControl w:val="0"/>
        <w:kinsoku/>
        <w:wordWrap/>
        <w:overflowPunct/>
        <w:topLinePunct w:val="0"/>
        <w:autoSpaceDE/>
        <w:autoSpaceDN/>
        <w:bidi w:val="0"/>
        <w:adjustRightInd/>
        <w:snapToGrid w:val="0"/>
        <w:spacing w:after="240" w:line="400" w:lineRule="exact"/>
        <w:textAlignment w:val="auto"/>
        <w:rPr>
          <w:rFonts w:ascii="宋体" w:hAnsi="宋体"/>
          <w:color w:val="auto"/>
          <w:sz w:val="40"/>
          <w:szCs w:val="40"/>
          <w:highlight w:val="none"/>
        </w:rPr>
      </w:pPr>
    </w:p>
    <w:p w14:paraId="2AC30528">
      <w:pPr>
        <w:keepNext w:val="0"/>
        <w:keepLines w:val="0"/>
        <w:pageBreakBefore w:val="0"/>
        <w:widowControl w:val="0"/>
        <w:kinsoku/>
        <w:wordWrap/>
        <w:overflowPunct/>
        <w:topLinePunct w:val="0"/>
        <w:autoSpaceDE/>
        <w:autoSpaceDN/>
        <w:bidi w:val="0"/>
        <w:adjustRightInd/>
        <w:snapToGrid w:val="0"/>
        <w:spacing w:before="157" w:beforeLines="50" w:after="10"/>
        <w:jc w:val="center"/>
        <w:textAlignment w:val="auto"/>
        <w:rPr>
          <w:rFonts w:ascii="宋体" w:hAnsi="宋体"/>
          <w:b/>
          <w:bCs/>
          <w:color w:val="auto"/>
          <w:sz w:val="36"/>
          <w:szCs w:val="36"/>
          <w:highlight w:val="none"/>
        </w:rPr>
      </w:pPr>
      <w:r>
        <w:rPr>
          <w:rFonts w:hint="eastAsia" w:ascii="宋体" w:hAnsi="宋体"/>
          <w:b/>
          <w:bCs/>
          <w:color w:val="auto"/>
          <w:sz w:val="36"/>
          <w:szCs w:val="36"/>
          <w:highlight w:val="none"/>
          <w:lang w:val="en-US" w:eastAsia="zh-CN"/>
        </w:rPr>
        <w:t>瑞丽市人民医院肾内科血液净化中心改造项目</w:t>
      </w:r>
    </w:p>
    <w:p w14:paraId="70DCDCBD">
      <w:pPr>
        <w:pStyle w:val="39"/>
        <w:rPr>
          <w:color w:val="auto"/>
          <w:highlight w:val="none"/>
        </w:rPr>
      </w:pPr>
    </w:p>
    <w:p w14:paraId="17F3DC12">
      <w:pPr>
        <w:pStyle w:val="39"/>
        <w:rPr>
          <w:color w:val="auto"/>
          <w:highlight w:val="none"/>
        </w:rPr>
      </w:pPr>
    </w:p>
    <w:p w14:paraId="47443278">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合</w:t>
      </w:r>
    </w:p>
    <w:p w14:paraId="74C26287">
      <w:pPr>
        <w:snapToGrid w:val="0"/>
        <w:jc w:val="center"/>
        <w:rPr>
          <w:rFonts w:ascii="宋体" w:hAnsi="宋体"/>
          <w:color w:val="auto"/>
          <w:sz w:val="24"/>
          <w:highlight w:val="none"/>
        </w:rPr>
      </w:pPr>
    </w:p>
    <w:p w14:paraId="31C44E44">
      <w:pPr>
        <w:snapToGrid w:val="0"/>
        <w:spacing w:after="240" w:line="900" w:lineRule="exact"/>
        <w:jc w:val="center"/>
        <w:rPr>
          <w:rFonts w:ascii="宋体" w:hAnsi="宋体"/>
          <w:color w:val="auto"/>
          <w:sz w:val="63"/>
          <w:szCs w:val="63"/>
          <w:highlight w:val="none"/>
        </w:rPr>
      </w:pPr>
      <w:r>
        <w:rPr>
          <w:rFonts w:hint="eastAsia" w:ascii="宋体" w:hAnsi="宋体"/>
          <w:color w:val="auto"/>
          <w:sz w:val="63"/>
          <w:szCs w:val="63"/>
          <w:highlight w:val="none"/>
        </w:rPr>
        <w:t>同</w:t>
      </w:r>
    </w:p>
    <w:p w14:paraId="34DE7AA2">
      <w:pPr>
        <w:snapToGrid w:val="0"/>
        <w:jc w:val="center"/>
        <w:rPr>
          <w:rFonts w:ascii="宋体" w:hAnsi="宋体"/>
          <w:color w:val="auto"/>
          <w:sz w:val="24"/>
          <w:highlight w:val="none"/>
        </w:rPr>
      </w:pPr>
    </w:p>
    <w:p w14:paraId="1FDD5862">
      <w:pPr>
        <w:snapToGrid w:val="0"/>
        <w:spacing w:after="240" w:line="900" w:lineRule="exact"/>
        <w:jc w:val="center"/>
        <w:rPr>
          <w:rFonts w:ascii="宋体" w:hAnsi="宋体"/>
          <w:color w:val="auto"/>
          <w:sz w:val="18"/>
          <w:szCs w:val="18"/>
          <w:highlight w:val="none"/>
        </w:rPr>
      </w:pPr>
      <w:r>
        <w:rPr>
          <w:rFonts w:hint="eastAsia" w:ascii="宋体" w:hAnsi="宋体"/>
          <w:color w:val="auto"/>
          <w:sz w:val="63"/>
          <w:szCs w:val="63"/>
          <w:highlight w:val="none"/>
        </w:rPr>
        <w:t>书</w:t>
      </w:r>
    </w:p>
    <w:p w14:paraId="233D00EB">
      <w:pPr>
        <w:pStyle w:val="39"/>
        <w:rPr>
          <w:color w:val="auto"/>
          <w:highlight w:val="none"/>
        </w:rPr>
      </w:pPr>
    </w:p>
    <w:p w14:paraId="0CF25870">
      <w:pPr>
        <w:pStyle w:val="39"/>
        <w:rPr>
          <w:color w:val="auto"/>
          <w:highlight w:val="none"/>
        </w:rPr>
      </w:pPr>
    </w:p>
    <w:p w14:paraId="780F6FE9">
      <w:pPr>
        <w:snapToGrid w:val="0"/>
        <w:spacing w:after="240"/>
        <w:jc w:val="center"/>
        <w:rPr>
          <w:rFonts w:ascii="宋体" w:hAnsi="宋体"/>
          <w:b/>
          <w:bCs/>
          <w:color w:val="auto"/>
          <w:sz w:val="27"/>
          <w:szCs w:val="27"/>
          <w:highlight w:val="none"/>
        </w:rPr>
      </w:pPr>
    </w:p>
    <w:p w14:paraId="39BC47FD">
      <w:pPr>
        <w:pStyle w:val="13"/>
        <w:rPr>
          <w:color w:val="auto"/>
          <w:highlight w:val="none"/>
        </w:rPr>
      </w:pPr>
    </w:p>
    <w:p w14:paraId="78DE15DA">
      <w:pPr>
        <w:snapToGrid w:val="0"/>
        <w:spacing w:after="240"/>
        <w:ind w:firstLine="1620" w:firstLineChars="600"/>
        <w:jc w:val="left"/>
        <w:rPr>
          <w:rFonts w:ascii="宋体" w:hAnsi="宋体"/>
          <w:b w:val="0"/>
          <w:bCs w:val="0"/>
          <w:color w:val="auto"/>
          <w:sz w:val="18"/>
          <w:szCs w:val="18"/>
          <w:highlight w:val="none"/>
        </w:rPr>
      </w:pPr>
      <w:r>
        <w:rPr>
          <w:rFonts w:hint="eastAsia" w:ascii="宋体" w:hAnsi="宋体"/>
          <w:b w:val="0"/>
          <w:bCs w:val="0"/>
          <w:color w:val="auto"/>
          <w:sz w:val="27"/>
          <w:szCs w:val="27"/>
          <w:highlight w:val="none"/>
        </w:rPr>
        <w:t xml:space="preserve">签订地点： </w:t>
      </w:r>
    </w:p>
    <w:p w14:paraId="72DADCDB">
      <w:pPr>
        <w:rPr>
          <w:rFonts w:hint="eastAsia" w:ascii="宋体" w:hAnsi="宋体" w:eastAsia="宋体" w:cs="Times New Roman"/>
          <w:b w:val="0"/>
          <w:bCs w:val="0"/>
          <w:color w:val="auto"/>
          <w:sz w:val="27"/>
          <w:szCs w:val="27"/>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rPr>
        <w:t xml:space="preserve"> </w:t>
      </w:r>
      <w:r>
        <w:rPr>
          <w:rFonts w:hint="eastAsia" w:ascii="宋体" w:hAnsi="宋体" w:eastAsia="宋体" w:cs="Times New Roman"/>
          <w:b w:val="0"/>
          <w:bCs w:val="0"/>
          <w:color w:val="auto"/>
          <w:sz w:val="27"/>
          <w:szCs w:val="27"/>
          <w:highlight w:val="none"/>
          <w:lang w:val="en-US" w:eastAsia="zh-CN"/>
        </w:rPr>
        <w:t xml:space="preserve">          </w:t>
      </w:r>
      <w:r>
        <w:rPr>
          <w:rFonts w:hint="eastAsia" w:ascii="宋体" w:hAnsi="宋体" w:eastAsia="宋体" w:cs="Times New Roman"/>
          <w:b w:val="0"/>
          <w:bCs w:val="0"/>
          <w:color w:val="auto"/>
          <w:sz w:val="27"/>
          <w:szCs w:val="27"/>
          <w:highlight w:val="none"/>
        </w:rPr>
        <w:t>签订日期：      年   月   日</w:t>
      </w:r>
    </w:p>
    <w:p w14:paraId="7D3DEE87">
      <w:pPr>
        <w:spacing w:line="360" w:lineRule="auto"/>
        <w:ind w:firstLine="422" w:firstLineChars="200"/>
        <w:rPr>
          <w:rFonts w:ascii="宋体" w:hAnsi="宋体"/>
          <w:color w:val="auto"/>
          <w:sz w:val="21"/>
          <w:szCs w:val="21"/>
          <w:highlight w:val="none"/>
        </w:rPr>
      </w:pPr>
      <w:r>
        <w:rPr>
          <w:rFonts w:hint="eastAsia" w:ascii="宋体" w:hAnsi="宋体"/>
          <w:b/>
          <w:color w:val="auto"/>
          <w:sz w:val="21"/>
          <w:szCs w:val="21"/>
          <w:highlight w:val="none"/>
        </w:rPr>
        <w:t>合同签订：</w:t>
      </w:r>
      <w:r>
        <w:rPr>
          <w:rFonts w:hint="eastAsia" w:ascii="宋体" w:hAnsi="宋体"/>
          <w:color w:val="auto"/>
          <w:sz w:val="21"/>
          <w:szCs w:val="21"/>
          <w:highlight w:val="none"/>
        </w:rPr>
        <w:t>依据《</w:t>
      </w:r>
      <w:r>
        <w:rPr>
          <w:rFonts w:hint="eastAsia" w:ascii="宋体" w:hAnsi="宋体"/>
          <w:color w:val="auto"/>
          <w:sz w:val="21"/>
          <w:szCs w:val="21"/>
          <w:highlight w:val="none"/>
          <w:lang w:val="en-US" w:eastAsia="zh-CN"/>
        </w:rPr>
        <w:t>竞争性磋商</w:t>
      </w:r>
      <w:r>
        <w:rPr>
          <w:rFonts w:hint="eastAsia" w:ascii="宋体" w:hAnsi="宋体"/>
          <w:color w:val="auto"/>
          <w:sz w:val="21"/>
          <w:szCs w:val="21"/>
          <w:highlight w:val="none"/>
        </w:rPr>
        <w:t>文件》、《</w:t>
      </w:r>
      <w:r>
        <w:rPr>
          <w:rFonts w:hint="eastAsia" w:ascii="宋体" w:hAnsi="宋体"/>
          <w:color w:val="auto"/>
          <w:sz w:val="21"/>
          <w:szCs w:val="21"/>
          <w:highlight w:val="none"/>
          <w:lang w:val="en-US" w:eastAsia="zh-CN"/>
        </w:rPr>
        <w:t>竞争性</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响应文件》、以及</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过程中所承诺的内容进行签订合同文本采用中华人民共和国建设部和国家工商行政管理局联合制定的《建设工程施工合同》</w:t>
      </w:r>
      <w:r>
        <w:rPr>
          <w:rFonts w:hint="eastAsia" w:ascii="宋体" w:hAnsi="宋体"/>
          <w:b/>
          <w:color w:val="auto"/>
          <w:sz w:val="21"/>
          <w:szCs w:val="21"/>
          <w:highlight w:val="none"/>
        </w:rPr>
        <w:t>（示范文本）（GF－2017－0201）</w:t>
      </w:r>
      <w:r>
        <w:rPr>
          <w:rFonts w:hint="eastAsia" w:ascii="宋体" w:hAnsi="宋体"/>
          <w:color w:val="auto"/>
          <w:sz w:val="21"/>
          <w:szCs w:val="21"/>
          <w:highlight w:val="none"/>
        </w:rPr>
        <w:t>。合同文本由第一部分“协议书”、第二部分“通用条款”、第三部分“专用条款”共三部分组成，通用合同条款直接引用示范文本第二部分“通用条款”，其余主要条款及格式以如下内容为基础进行</w:t>
      </w: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和签订。</w:t>
      </w:r>
    </w:p>
    <w:p w14:paraId="1872BFAE">
      <w:pPr>
        <w:pStyle w:val="13"/>
        <w:ind w:left="0" w:leftChars="0" w:firstLine="0" w:firstLineChars="0"/>
        <w:rPr>
          <w:rFonts w:hint="eastAsia"/>
          <w:color w:val="auto"/>
          <w:highlight w:val="none"/>
        </w:rPr>
        <w:sectPr>
          <w:pgSz w:w="11906" w:h="16838"/>
          <w:pgMar w:top="1440" w:right="1080" w:bottom="1440" w:left="1080" w:header="851" w:footer="992" w:gutter="0"/>
          <w:pgNumType w:fmt="decimal"/>
          <w:cols w:space="720" w:num="1"/>
          <w:titlePg/>
          <w:docGrid w:type="lines" w:linePitch="312" w:charSpace="0"/>
        </w:sectPr>
      </w:pPr>
    </w:p>
    <w:bookmarkEnd w:id="205"/>
    <w:p w14:paraId="7C55E86F">
      <w:pPr>
        <w:pStyle w:val="4"/>
        <w:ind w:firstLine="0" w:firstLineChars="0"/>
        <w:rPr>
          <w:rFonts w:ascii="宋体" w:hAnsi="宋体"/>
          <w:b w:val="0"/>
          <w:bCs/>
          <w:color w:val="auto"/>
          <w:sz w:val="21"/>
          <w:szCs w:val="21"/>
          <w:highlight w:val="none"/>
        </w:rPr>
      </w:pPr>
      <w:bookmarkStart w:id="219" w:name="_Toc12404_WPSOffice_Level1"/>
      <w:r>
        <w:rPr>
          <w:rFonts w:hAnsi="宋体"/>
          <w:color w:val="auto"/>
          <w:sz w:val="30"/>
          <w:szCs w:val="30"/>
          <w:highlight w:val="none"/>
        </w:rPr>
        <w:t>第一部分 合同协议书</w:t>
      </w:r>
    </w:p>
    <w:p w14:paraId="16F3F46C">
      <w:pPr>
        <w:pageBreakBefore w:val="0"/>
        <w:tabs>
          <w:tab w:val="left" w:pos="7027"/>
        </w:tabs>
        <w:kinsoku/>
        <w:wordWrap/>
        <w:topLinePunct w:val="0"/>
        <w:bidi w:val="0"/>
        <w:snapToGrid/>
        <w:spacing w:line="440" w:lineRule="exact"/>
        <w:rPr>
          <w:rFonts w:hint="eastAsia" w:ascii="宋体" w:hAnsi="宋体" w:eastAsia="宋体"/>
          <w:b w:val="0"/>
          <w:bCs/>
          <w:color w:val="auto"/>
          <w:sz w:val="21"/>
          <w:szCs w:val="21"/>
          <w:highlight w:val="none"/>
          <w:u w:val="single"/>
          <w:lang w:val="en-US" w:eastAsia="zh-CN"/>
        </w:rPr>
      </w:pPr>
      <w:r>
        <w:rPr>
          <w:rFonts w:ascii="宋体" w:hAnsi="宋体"/>
          <w:b w:val="0"/>
          <w:bCs/>
          <w:color w:val="auto"/>
          <w:sz w:val="21"/>
          <w:szCs w:val="21"/>
          <w:highlight w:val="none"/>
        </w:rPr>
        <w:t>发包人（全称）：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F4563A3">
      <w:pPr>
        <w:pageBreakBefore w:val="0"/>
        <w:kinsoku/>
        <w:wordWrap/>
        <w:topLinePunct w:val="0"/>
        <w:bidi w:val="0"/>
        <w:snapToGrid/>
        <w:spacing w:line="440" w:lineRule="exact"/>
        <w:rPr>
          <w:rFonts w:ascii="宋体" w:hAnsi="宋体"/>
          <w:b w:val="0"/>
          <w:bCs/>
          <w:color w:val="auto"/>
          <w:sz w:val="21"/>
          <w:szCs w:val="21"/>
          <w:highlight w:val="none"/>
          <w:u w:val="single"/>
        </w:rPr>
      </w:pPr>
      <w:r>
        <w:rPr>
          <w:rFonts w:ascii="宋体" w:hAnsi="宋体"/>
          <w:b w:val="0"/>
          <w:bCs/>
          <w:color w:val="auto"/>
          <w:sz w:val="21"/>
          <w:szCs w:val="21"/>
          <w:highlight w:val="none"/>
        </w:rPr>
        <w:t>承包人（全称）：</w:t>
      </w:r>
      <w:r>
        <w:rPr>
          <w:rFonts w:ascii="宋体" w:hAnsi="宋体"/>
          <w:b w:val="0"/>
          <w:bCs/>
          <w:color w:val="auto"/>
          <w:sz w:val="21"/>
          <w:szCs w:val="21"/>
          <w:highlight w:val="none"/>
          <w:u w:val="single"/>
        </w:rPr>
        <w:t xml:space="preserve"> </w:t>
      </w:r>
      <w:r>
        <w:rPr>
          <w:rFonts w:hint="eastAsia" w:ascii="宋体" w:hAnsi="宋体"/>
          <w:b w:val="0"/>
          <w:bCs/>
          <w:color w:val="auto"/>
          <w:sz w:val="21"/>
          <w:szCs w:val="21"/>
          <w:highlight w:val="none"/>
          <w:u w:val="single"/>
        </w:rPr>
        <w:t xml:space="preserve">                                </w:t>
      </w:r>
    </w:p>
    <w:p w14:paraId="450F6BE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根据《中华人民共和国</w:t>
      </w:r>
      <w:r>
        <w:rPr>
          <w:rFonts w:hint="eastAsia" w:ascii="宋体" w:hAnsi="宋体"/>
          <w:color w:val="auto"/>
          <w:sz w:val="21"/>
          <w:szCs w:val="21"/>
          <w:highlight w:val="none"/>
          <w:lang w:val="en-US" w:eastAsia="zh-CN"/>
        </w:rPr>
        <w:t>民</w:t>
      </w:r>
      <w:r>
        <w:rPr>
          <w:rFonts w:ascii="宋体" w:hAnsi="宋体"/>
          <w:color w:val="auto"/>
          <w:sz w:val="21"/>
          <w:szCs w:val="21"/>
          <w:highlight w:val="none"/>
        </w:rPr>
        <w:t>法</w:t>
      </w:r>
      <w:r>
        <w:rPr>
          <w:rFonts w:hint="eastAsia" w:ascii="宋体" w:hAnsi="宋体"/>
          <w:color w:val="auto"/>
          <w:sz w:val="21"/>
          <w:szCs w:val="21"/>
          <w:highlight w:val="none"/>
          <w:lang w:val="en-US" w:eastAsia="zh-CN"/>
        </w:rPr>
        <w:t>典</w:t>
      </w:r>
      <w:r>
        <w:rPr>
          <w:rFonts w:ascii="宋体" w:hAnsi="宋体"/>
          <w:color w:val="auto"/>
          <w:sz w:val="21"/>
          <w:szCs w:val="21"/>
          <w:highlight w:val="none"/>
        </w:rPr>
        <w:t>》及有关法律规定，遵循平等、自愿、公平和诚实信用的原则，双方就</w:t>
      </w:r>
      <w:r>
        <w:rPr>
          <w:rFonts w:hint="eastAsia" w:ascii="宋体" w:hAnsi="宋体"/>
          <w:color w:val="auto"/>
          <w:sz w:val="21"/>
          <w:szCs w:val="21"/>
          <w:highlight w:val="none"/>
          <w:lang w:eastAsia="zh-CN"/>
        </w:rPr>
        <w:t>瑞丽市人民医院肾内科血液净化中心改造项目</w:t>
      </w:r>
      <w:r>
        <w:rPr>
          <w:rFonts w:ascii="宋体" w:hAnsi="宋体"/>
          <w:color w:val="auto"/>
          <w:sz w:val="21"/>
          <w:szCs w:val="21"/>
          <w:highlight w:val="none"/>
        </w:rPr>
        <w:t>工程施工及有关事项协商一致</w:t>
      </w:r>
      <w:r>
        <w:rPr>
          <w:rFonts w:hint="eastAsia" w:ascii="宋体" w:hAnsi="宋体"/>
          <w:color w:val="auto"/>
          <w:sz w:val="21"/>
          <w:szCs w:val="21"/>
          <w:highlight w:val="none"/>
        </w:rPr>
        <w:t>，</w:t>
      </w:r>
      <w:r>
        <w:rPr>
          <w:rFonts w:ascii="宋体" w:hAnsi="宋体"/>
          <w:color w:val="auto"/>
          <w:sz w:val="21"/>
          <w:szCs w:val="21"/>
          <w:highlight w:val="none"/>
        </w:rPr>
        <w:t>共同达成如下协议：</w:t>
      </w:r>
    </w:p>
    <w:p w14:paraId="7361377A">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20" w:name="_Toc351203481"/>
      <w:r>
        <w:rPr>
          <w:rFonts w:ascii="宋体" w:hAnsi="宋体" w:eastAsia="宋体"/>
          <w:bCs w:val="0"/>
          <w:color w:val="auto"/>
          <w:sz w:val="21"/>
          <w:szCs w:val="21"/>
          <w:highlight w:val="none"/>
        </w:rPr>
        <w:t>一、工程概况</w:t>
      </w:r>
      <w:bookmarkEnd w:id="220"/>
    </w:p>
    <w:p w14:paraId="556AD665">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1.</w:t>
      </w:r>
      <w:r>
        <w:rPr>
          <w:rFonts w:hint="eastAsia" w:ascii="宋体" w:hAnsi="宋体"/>
          <w:bCs/>
          <w:color w:val="auto"/>
          <w:sz w:val="21"/>
          <w:szCs w:val="21"/>
          <w:highlight w:val="none"/>
          <w:lang w:eastAsia="zh-CN"/>
        </w:rPr>
        <w:t>项目名称</w:t>
      </w:r>
      <w:r>
        <w:rPr>
          <w:rFonts w:ascii="宋体" w:hAnsi="宋体"/>
          <w:b w:val="0"/>
          <w:bCs w:val="0"/>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 w:val="0"/>
          <w:bCs w:val="0"/>
          <w:color w:val="auto"/>
          <w:sz w:val="21"/>
          <w:szCs w:val="21"/>
          <w:highlight w:val="none"/>
        </w:rPr>
        <w:t>。</w:t>
      </w:r>
      <w:r>
        <w:rPr>
          <w:rFonts w:hint="eastAsia" w:ascii="宋体" w:hAnsi="宋体"/>
          <w:color w:val="auto"/>
          <w:sz w:val="21"/>
          <w:szCs w:val="21"/>
          <w:highlight w:val="none"/>
        </w:rPr>
        <w:t xml:space="preserve">               </w:t>
      </w:r>
    </w:p>
    <w:p w14:paraId="32BE703B">
      <w:pPr>
        <w:pageBreakBefore w:val="0"/>
        <w:kinsoku/>
        <w:wordWrap/>
        <w:topLinePunct w:val="0"/>
        <w:bidi w:val="0"/>
        <w:snapToGrid/>
        <w:spacing w:line="440" w:lineRule="exact"/>
        <w:ind w:firstLine="411" w:firstLineChars="196"/>
        <w:rPr>
          <w:rFonts w:ascii="宋体" w:hAnsi="宋体"/>
          <w:color w:val="auto"/>
          <w:sz w:val="21"/>
          <w:szCs w:val="21"/>
          <w:highlight w:val="none"/>
          <w:u w:val="single"/>
        </w:rPr>
      </w:pPr>
      <w:r>
        <w:rPr>
          <w:rFonts w:ascii="宋体" w:hAnsi="宋体"/>
          <w:bCs/>
          <w:color w:val="auto"/>
          <w:sz w:val="21"/>
          <w:szCs w:val="21"/>
          <w:highlight w:val="none"/>
        </w:rPr>
        <w:t>2.工程地点：</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70E5FAC9">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3.工程立项批准文号：</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p>
    <w:p w14:paraId="40885ADB">
      <w:pPr>
        <w:pageBreakBefore w:val="0"/>
        <w:kinsoku/>
        <w:wordWrap/>
        <w:topLinePunct w:val="0"/>
        <w:bidi w:val="0"/>
        <w:snapToGrid/>
        <w:spacing w:line="440" w:lineRule="exact"/>
        <w:ind w:firstLine="411" w:firstLineChars="196"/>
        <w:rPr>
          <w:rFonts w:ascii="宋体" w:hAnsi="宋体"/>
          <w:bCs/>
          <w:color w:val="auto"/>
          <w:sz w:val="21"/>
          <w:szCs w:val="21"/>
          <w:highlight w:val="none"/>
        </w:rPr>
      </w:pPr>
      <w:r>
        <w:rPr>
          <w:rFonts w:ascii="宋体" w:hAnsi="宋体"/>
          <w:bCs/>
          <w:color w:val="auto"/>
          <w:sz w:val="21"/>
          <w:szCs w:val="21"/>
          <w:highlight w:val="none"/>
        </w:rPr>
        <w:t>4.资金来源：</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hint="eastAsia" w:ascii="宋体" w:hAnsi="宋体"/>
          <w:bCs/>
          <w:color w:val="auto"/>
          <w:sz w:val="21"/>
          <w:szCs w:val="21"/>
          <w:highlight w:val="none"/>
        </w:rPr>
        <w:t>。</w:t>
      </w:r>
    </w:p>
    <w:p w14:paraId="01B2A348">
      <w:pPr>
        <w:pageBreakBefore w:val="0"/>
        <w:kinsoku/>
        <w:wordWrap/>
        <w:topLinePunct w:val="0"/>
        <w:bidi w:val="0"/>
        <w:snapToGrid/>
        <w:spacing w:line="440" w:lineRule="exact"/>
        <w:ind w:firstLine="411" w:firstLineChars="196"/>
        <w:rPr>
          <w:rFonts w:ascii="宋体" w:hAnsi="宋体"/>
          <w:bCs/>
          <w:color w:val="auto"/>
          <w:sz w:val="21"/>
          <w:szCs w:val="21"/>
          <w:highlight w:val="none"/>
          <w:u w:val="single"/>
        </w:rPr>
      </w:pPr>
      <w:r>
        <w:rPr>
          <w:rFonts w:hint="eastAsia" w:ascii="宋体" w:hAnsi="宋体"/>
          <w:bCs/>
          <w:color w:val="auto"/>
          <w:sz w:val="21"/>
          <w:szCs w:val="21"/>
          <w:highlight w:val="none"/>
        </w:rPr>
        <w:t>5.工程内容：</w:t>
      </w:r>
      <w:r>
        <w:rPr>
          <w:rFonts w:hint="eastAsia" w:ascii="宋体" w:hAnsi="宋体"/>
          <w:color w:val="auto"/>
          <w:sz w:val="21"/>
          <w:szCs w:val="21"/>
          <w:highlight w:val="none"/>
          <w:u w:val="single"/>
        </w:rPr>
        <w:t xml:space="preserve">                </w:t>
      </w:r>
      <w:r>
        <w:rPr>
          <w:rFonts w:hint="eastAsia" w:ascii="宋体" w:hAnsi="宋体"/>
          <w:bCs/>
          <w:color w:val="auto"/>
          <w:sz w:val="21"/>
          <w:szCs w:val="21"/>
          <w:highlight w:val="none"/>
          <w:u w:val="none"/>
          <w:lang w:val="en-US" w:eastAsia="zh-CN"/>
        </w:rPr>
        <w:t>。</w:t>
      </w:r>
    </w:p>
    <w:p w14:paraId="64B150FF">
      <w:pPr>
        <w:pStyle w:val="39"/>
        <w:pageBreakBefore w:val="0"/>
        <w:kinsoku/>
        <w:wordWrap/>
        <w:topLinePunct w:val="0"/>
        <w:bidi w:val="0"/>
        <w:snapToGrid/>
        <w:spacing w:line="440" w:lineRule="exact"/>
        <w:ind w:firstLine="528"/>
        <w:rPr>
          <w:color w:val="auto"/>
          <w:sz w:val="21"/>
          <w:szCs w:val="21"/>
          <w:highlight w:val="none"/>
        </w:rPr>
      </w:pPr>
      <w:r>
        <w:rPr>
          <w:color w:val="auto"/>
          <w:sz w:val="21"/>
          <w:szCs w:val="21"/>
          <w:highlight w:val="none"/>
        </w:rPr>
        <w:t>群体工程应附《承包人承揽工程项目一览表</w:t>
      </w:r>
      <w:r>
        <w:rPr>
          <w:rFonts w:hint="eastAsia"/>
          <w:color w:val="auto"/>
          <w:sz w:val="21"/>
          <w:szCs w:val="21"/>
          <w:highlight w:val="none"/>
        </w:rPr>
        <w:t>》。</w:t>
      </w:r>
    </w:p>
    <w:p w14:paraId="59D604E5">
      <w:pPr>
        <w:pageBreakBefore w:val="0"/>
        <w:numPr>
          <w:ilvl w:val="0"/>
          <w:numId w:val="5"/>
        </w:numPr>
        <w:kinsoku/>
        <w:wordWrap/>
        <w:topLinePunct w:val="0"/>
        <w:bidi w:val="0"/>
        <w:snapToGrid/>
        <w:spacing w:line="440" w:lineRule="exact"/>
        <w:ind w:firstLine="420" w:firstLineChars="200"/>
        <w:rPr>
          <w:color w:val="auto"/>
          <w:sz w:val="21"/>
          <w:szCs w:val="21"/>
          <w:highlight w:val="none"/>
        </w:rPr>
      </w:pPr>
      <w:r>
        <w:rPr>
          <w:rFonts w:ascii="宋体" w:hAnsi="宋体"/>
          <w:bCs/>
          <w:color w:val="auto"/>
          <w:sz w:val="21"/>
          <w:szCs w:val="21"/>
          <w:highlight w:val="none"/>
        </w:rPr>
        <w:t>工程承包范围：</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A5CECEC">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bookmarkStart w:id="221" w:name="_Toc351203482"/>
      <w:r>
        <w:rPr>
          <w:rFonts w:ascii="宋体" w:hAnsi="宋体" w:eastAsia="宋体"/>
          <w:bCs w:val="0"/>
          <w:color w:val="auto"/>
          <w:sz w:val="21"/>
          <w:szCs w:val="21"/>
          <w:highlight w:val="none"/>
        </w:rPr>
        <w:t xml:space="preserve">    二、合同工期</w:t>
      </w:r>
      <w:bookmarkEnd w:id="221"/>
    </w:p>
    <w:p w14:paraId="05255CD5">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计划开工日期：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6C93B967">
      <w:pPr>
        <w:pageBreakBefore w:val="0"/>
        <w:kinsoku/>
        <w:wordWrap/>
        <w:topLinePunct w:val="0"/>
        <w:bidi w:val="0"/>
        <w:snapToGrid/>
        <w:spacing w:line="440" w:lineRule="exact"/>
        <w:ind w:firstLine="459"/>
        <w:rPr>
          <w:color w:val="auto"/>
          <w:sz w:val="21"/>
          <w:szCs w:val="21"/>
          <w:highlight w:val="none"/>
        </w:rPr>
      </w:pPr>
      <w:r>
        <w:rPr>
          <w:rFonts w:ascii="宋体" w:hAnsi="宋体"/>
          <w:color w:val="auto"/>
          <w:sz w:val="21"/>
          <w:szCs w:val="21"/>
          <w:highlight w:val="none"/>
        </w:rPr>
        <w:t>计划竣工日期：</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rPr>
        <w:t>日</w:t>
      </w:r>
      <w:r>
        <w:rPr>
          <w:rFonts w:hint="eastAsia" w:hAnsi="宋体"/>
          <w:color w:val="auto"/>
          <w:sz w:val="21"/>
          <w:szCs w:val="21"/>
          <w:highlight w:val="none"/>
        </w:rPr>
        <w:t>（</w:t>
      </w:r>
      <w:r>
        <w:rPr>
          <w:rFonts w:hint="eastAsia" w:hAnsi="宋体"/>
          <w:color w:val="auto"/>
          <w:sz w:val="21"/>
          <w:szCs w:val="21"/>
          <w:highlight w:val="none"/>
          <w:lang w:eastAsia="zh-CN"/>
        </w:rPr>
        <w:t>以</w:t>
      </w:r>
      <w:r>
        <w:rPr>
          <w:rFonts w:hint="eastAsia" w:hAnsi="宋体"/>
          <w:color w:val="auto"/>
          <w:sz w:val="21"/>
          <w:szCs w:val="21"/>
          <w:highlight w:val="none"/>
        </w:rPr>
        <w:t>监理发出开工令日期为准）。</w:t>
      </w:r>
    </w:p>
    <w:p w14:paraId="3E66DF22">
      <w:pPr>
        <w:pageBreakBefore w:val="0"/>
        <w:kinsoku/>
        <w:wordWrap/>
        <w:topLinePunct w:val="0"/>
        <w:bidi w:val="0"/>
        <w:snapToGrid/>
        <w:spacing w:line="440" w:lineRule="exact"/>
        <w:ind w:firstLine="459"/>
        <w:rPr>
          <w:rFonts w:ascii="宋体" w:hAnsi="宋体"/>
          <w:color w:val="auto"/>
          <w:sz w:val="21"/>
          <w:szCs w:val="21"/>
          <w:highlight w:val="none"/>
        </w:rPr>
      </w:pPr>
      <w:r>
        <w:rPr>
          <w:rFonts w:ascii="宋体" w:hAnsi="宋体"/>
          <w:color w:val="auto"/>
          <w:sz w:val="21"/>
          <w:szCs w:val="21"/>
          <w:highlight w:val="none"/>
        </w:rPr>
        <w:t>工期总日历天数：</w:t>
      </w:r>
      <w:r>
        <w:rPr>
          <w:rFonts w:hint="eastAsia" w:ascii="宋体" w:hAnsi="宋体"/>
          <w:color w:val="auto"/>
          <w:sz w:val="21"/>
          <w:szCs w:val="21"/>
          <w:highlight w:val="none"/>
          <w:u w:val="single"/>
        </w:rPr>
        <w:t xml:space="preserve">      </w:t>
      </w:r>
      <w:r>
        <w:rPr>
          <w:rFonts w:ascii="宋体" w:hAnsi="宋体"/>
          <w:color w:val="auto"/>
          <w:sz w:val="21"/>
          <w:szCs w:val="21"/>
          <w:highlight w:val="none"/>
        </w:rPr>
        <w:t>天。工期总日历天数与根据前述计划开竣工日期计算的工期天数不一致的，以工期总日历天数为准。</w:t>
      </w:r>
    </w:p>
    <w:p w14:paraId="7F28FDF9">
      <w:pPr>
        <w:pStyle w:val="5"/>
        <w:pageBreakBefore w:val="0"/>
        <w:kinsoku/>
        <w:wordWrap/>
        <w:topLinePunct w:val="0"/>
        <w:bidi w:val="0"/>
        <w:snapToGrid/>
        <w:spacing w:before="0" w:after="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22" w:name="_Toc351203483"/>
      <w:r>
        <w:rPr>
          <w:rFonts w:ascii="宋体" w:hAnsi="宋体" w:eastAsia="宋体" w:cs="Times New Roman"/>
          <w:bCs w:val="0"/>
          <w:color w:val="auto"/>
          <w:sz w:val="21"/>
          <w:szCs w:val="21"/>
          <w:highlight w:val="none"/>
        </w:rPr>
        <w:t>三、质量标准</w:t>
      </w:r>
      <w:bookmarkEnd w:id="222"/>
    </w:p>
    <w:p w14:paraId="35E6208E">
      <w:pPr>
        <w:pageBreakBefore w:val="0"/>
        <w:kinsoku/>
        <w:wordWrap/>
        <w:topLinePunct w:val="0"/>
        <w:bidi w:val="0"/>
        <w:snapToGrid/>
        <w:spacing w:line="440" w:lineRule="exact"/>
        <w:ind w:firstLine="459"/>
        <w:rPr>
          <w:rFonts w:hint="default" w:ascii="宋体" w:hAnsi="宋体"/>
          <w:color w:val="auto"/>
          <w:sz w:val="21"/>
          <w:szCs w:val="21"/>
          <w:highlight w:val="none"/>
          <w:lang w:val="en-US"/>
        </w:rPr>
      </w:pPr>
      <w:r>
        <w:rPr>
          <w:rFonts w:ascii="宋体" w:hAnsi="宋体"/>
          <w:color w:val="auto"/>
          <w:sz w:val="21"/>
          <w:szCs w:val="21"/>
          <w:highlight w:val="none"/>
        </w:rPr>
        <w:t>工程质量符合</w:t>
      </w:r>
      <w:r>
        <w:rPr>
          <w:rFonts w:hint="eastAsia" w:ascii="宋体" w:hAnsi="宋体"/>
          <w:b/>
          <w:bCs/>
          <w:color w:val="auto"/>
          <w:sz w:val="21"/>
          <w:szCs w:val="21"/>
          <w:highlight w:val="none"/>
          <w:u w:val="single"/>
          <w:lang w:val="en-US" w:eastAsia="zh-CN"/>
        </w:rPr>
        <w:t xml:space="preserve">                                                    </w:t>
      </w:r>
      <w:r>
        <w:rPr>
          <w:rFonts w:hint="eastAsia" w:ascii="宋体" w:hAnsi="宋体"/>
          <w:b/>
          <w:bCs/>
          <w:color w:val="auto"/>
          <w:sz w:val="21"/>
          <w:szCs w:val="21"/>
          <w:highlight w:val="none"/>
          <w:u w:val="none"/>
          <w:lang w:val="en-US" w:eastAsia="zh-CN"/>
        </w:rPr>
        <w:t>。</w:t>
      </w:r>
    </w:p>
    <w:p w14:paraId="3E7A368F">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3" w:name="_Toc351203484"/>
      <w:r>
        <w:rPr>
          <w:rFonts w:ascii="宋体" w:hAnsi="宋体" w:eastAsia="宋体" w:cs="Times New Roman"/>
          <w:bCs w:val="0"/>
          <w:color w:val="auto"/>
          <w:sz w:val="21"/>
          <w:szCs w:val="21"/>
          <w:highlight w:val="none"/>
        </w:rPr>
        <w:t>四、签约合同价与合同价格形式</w:t>
      </w:r>
      <w:bookmarkEnd w:id="223"/>
      <w:r>
        <w:rPr>
          <w:rFonts w:ascii="宋体" w:hAnsi="宋体" w:eastAsia="宋体"/>
          <w:b w:val="0"/>
          <w:color w:val="auto"/>
          <w:sz w:val="21"/>
          <w:szCs w:val="21"/>
          <w:highlight w:val="none"/>
        </w:rPr>
        <w:tab/>
      </w:r>
    </w:p>
    <w:p w14:paraId="5C471100">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1.签约合同价为：</w:t>
      </w:r>
    </w:p>
    <w:p w14:paraId="159DBF2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7E8A6F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其中：</w:t>
      </w:r>
    </w:p>
    <w:p w14:paraId="06D815C0">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（1）安全文明施工费：</w:t>
      </w:r>
    </w:p>
    <w:p w14:paraId="41DE6A8E">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B14EBA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（2）材料和工程设备暂估价金额：</w:t>
      </w:r>
    </w:p>
    <w:p w14:paraId="2AC15F4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7A535598">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（3）专业工程暂估价金额：</w:t>
      </w:r>
    </w:p>
    <w:p w14:paraId="45829DF5">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4F535C2">
      <w:pPr>
        <w:pageBreakBefore w:val="0"/>
        <w:kinsoku/>
        <w:wordWrap/>
        <w:topLinePunct w:val="0"/>
        <w:bidi w:val="0"/>
        <w:snapToGrid/>
        <w:spacing w:line="440" w:lineRule="exact"/>
        <w:ind w:firstLine="420" w:firstLineChars="200"/>
        <w:rPr>
          <w:rFonts w:ascii="宋体" w:hAnsi="宋体"/>
          <w:color w:val="auto"/>
          <w:sz w:val="21"/>
          <w:szCs w:val="21"/>
          <w:highlight w:val="none"/>
          <w:u w:val="single"/>
        </w:rPr>
      </w:pPr>
      <w:r>
        <w:rPr>
          <w:rFonts w:hint="eastAsia" w:ascii="宋体" w:hAnsi="宋体"/>
          <w:color w:val="auto"/>
          <w:sz w:val="21"/>
          <w:szCs w:val="21"/>
          <w:highlight w:val="none"/>
        </w:rPr>
        <w:t>（4）暂列金额：</w:t>
      </w:r>
    </w:p>
    <w:p w14:paraId="739EF67B">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人民币（大写）</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元)。</w:t>
      </w:r>
    </w:p>
    <w:p w14:paraId="1DADAB46">
      <w:pPr>
        <w:pageBreakBefore w:val="0"/>
        <w:numPr>
          <w:ilvl w:val="0"/>
          <w:numId w:val="3"/>
        </w:numPr>
        <w:kinsoku/>
        <w:wordWrap/>
        <w:topLinePunct w:val="0"/>
        <w:bidi w:val="0"/>
        <w:snapToGrid/>
        <w:spacing w:line="440" w:lineRule="exact"/>
        <w:ind w:left="0" w:leftChars="0" w:firstLine="0" w:firstLineChars="0"/>
        <w:rPr>
          <w:rFonts w:hint="eastAsia" w:ascii="宋体" w:hAnsi="宋体"/>
          <w:color w:val="auto"/>
          <w:sz w:val="21"/>
          <w:szCs w:val="21"/>
          <w:highlight w:val="none"/>
        </w:rPr>
      </w:pPr>
      <w:r>
        <w:rPr>
          <w:rFonts w:hint="eastAsia" w:ascii="宋体" w:hAnsi="宋体"/>
          <w:color w:val="auto"/>
          <w:sz w:val="21"/>
          <w:szCs w:val="21"/>
          <w:highlight w:val="none"/>
        </w:rPr>
        <w:t>合同价格形式：</w:t>
      </w:r>
      <w:r>
        <w:rPr>
          <w:rFonts w:hint="eastAsia" w:ascii="宋体" w:hAnsi="宋体" w:eastAsia="宋体" w:cs="Times New Roman"/>
          <w:b/>
          <w:bCs/>
          <w:color w:val="auto"/>
          <w:sz w:val="21"/>
          <w:szCs w:val="21"/>
          <w:highlight w:val="none"/>
          <w:u w:val="single"/>
          <w:lang w:val="en-US" w:eastAsia="zh-CN"/>
        </w:rPr>
        <w:t>固定</w:t>
      </w:r>
      <w:r>
        <w:rPr>
          <w:rFonts w:hint="eastAsia" w:ascii="宋体" w:hAnsi="宋体" w:eastAsia="宋体" w:cs="Times New Roman"/>
          <w:b/>
          <w:bCs/>
          <w:color w:val="auto"/>
          <w:sz w:val="21"/>
          <w:szCs w:val="21"/>
          <w:highlight w:val="none"/>
          <w:u w:val="single"/>
          <w:lang w:val="en-US" w:eastAsia="zh-CN"/>
        </w:rPr>
        <w:fldChar w:fldCharType="begin"/>
      </w:r>
      <w:r>
        <w:rPr>
          <w:rFonts w:hint="eastAsia" w:ascii="宋体" w:hAnsi="宋体" w:eastAsia="宋体" w:cs="Times New Roman"/>
          <w:b/>
          <w:bCs/>
          <w:color w:val="auto"/>
          <w:sz w:val="21"/>
          <w:szCs w:val="21"/>
          <w:highlight w:val="none"/>
          <w:u w:val="single"/>
          <w:lang w:val="en-US" w:eastAsia="zh-CN"/>
        </w:rPr>
        <w:instrText xml:space="preserve"> AUTOTEXT  input681 \* MERGEFORMAT </w:instrText>
      </w:r>
      <w:r>
        <w:rPr>
          <w:rFonts w:hint="eastAsia" w:ascii="宋体" w:hAnsi="宋体" w:eastAsia="宋体" w:cs="Times New Roman"/>
          <w:b/>
          <w:bCs/>
          <w:color w:val="auto"/>
          <w:sz w:val="21"/>
          <w:szCs w:val="21"/>
          <w:highlight w:val="none"/>
          <w:u w:val="single"/>
          <w:lang w:val="en-US" w:eastAsia="zh-CN"/>
        </w:rPr>
        <w:fldChar w:fldCharType="separate"/>
      </w:r>
      <w:r>
        <w:rPr>
          <w:rFonts w:hint="eastAsia" w:ascii="宋体" w:hAnsi="宋体" w:eastAsia="宋体" w:cs="Times New Roman"/>
          <w:b/>
          <w:bCs/>
          <w:color w:val="auto"/>
          <w:sz w:val="21"/>
          <w:szCs w:val="21"/>
          <w:highlight w:val="none"/>
          <w:u w:val="single"/>
          <w:lang w:val="en-US" w:eastAsia="zh-CN"/>
        </w:rPr>
        <w:t>单价合同</w:t>
      </w:r>
      <w:r>
        <w:rPr>
          <w:rFonts w:hint="eastAsia" w:ascii="宋体" w:hAnsi="宋体" w:eastAsia="宋体" w:cs="Times New Roman"/>
          <w:b/>
          <w:bCs/>
          <w:color w:val="auto"/>
          <w:sz w:val="21"/>
          <w:szCs w:val="21"/>
          <w:highlight w:val="none"/>
          <w:u w:val="single"/>
          <w:lang w:val="en-US" w:eastAsia="zh-CN"/>
        </w:rPr>
        <w:fldChar w:fldCharType="end"/>
      </w:r>
      <w:r>
        <w:rPr>
          <w:rFonts w:hint="eastAsia" w:ascii="宋体" w:hAnsi="宋体"/>
          <w:color w:val="auto"/>
          <w:sz w:val="21"/>
          <w:szCs w:val="21"/>
          <w:highlight w:val="none"/>
        </w:rPr>
        <w:t>。</w:t>
      </w:r>
    </w:p>
    <w:p w14:paraId="45F1D183">
      <w:pPr>
        <w:pageBreakBefore w:val="0"/>
        <w:numPr>
          <w:ilvl w:val="0"/>
          <w:numId w:val="0"/>
        </w:numPr>
        <w:kinsoku/>
        <w:wordWrap/>
        <w:topLinePunct w:val="0"/>
        <w:bidi w:val="0"/>
        <w:snapToGrid/>
        <w:spacing w:line="440" w:lineRule="exact"/>
        <w:ind w:leftChars="0" w:firstLine="422" w:firstLineChars="200"/>
        <w:rPr>
          <w:rFonts w:hint="eastAsia" w:ascii="宋体" w:hAnsi="宋体" w:eastAsia="宋体" w:cs="Times New Roman"/>
          <w:b/>
          <w:bCs/>
          <w:color w:val="auto"/>
          <w:sz w:val="21"/>
          <w:szCs w:val="21"/>
          <w:highlight w:val="none"/>
          <w:u w:val="single"/>
          <w:lang w:val="en-US" w:eastAsia="zh-CN"/>
        </w:rPr>
      </w:pPr>
      <w:r>
        <w:rPr>
          <w:rFonts w:hint="eastAsia" w:ascii="宋体" w:hAnsi="宋体" w:eastAsia="宋体" w:cs="Times New Roman"/>
          <w:b/>
          <w:bCs/>
          <w:color w:val="auto"/>
          <w:sz w:val="21"/>
          <w:szCs w:val="21"/>
          <w:highlight w:val="none"/>
          <w:u w:val="single"/>
          <w:lang w:val="en-US" w:eastAsia="zh-CN"/>
        </w:rPr>
        <w:t>结算方式：最终结算价=合同一致实际完成工程量×</w:t>
      </w:r>
      <w:r>
        <w:rPr>
          <w:rFonts w:hint="eastAsia" w:ascii="宋体" w:hAnsi="宋体" w:cs="Times New Roman"/>
          <w:b/>
          <w:bCs/>
          <w:color w:val="auto"/>
          <w:sz w:val="21"/>
          <w:szCs w:val="21"/>
          <w:highlight w:val="none"/>
          <w:u w:val="single"/>
          <w:lang w:val="en-US" w:eastAsia="zh-CN"/>
        </w:rPr>
        <w:t>响应文件</w:t>
      </w:r>
      <w:r>
        <w:rPr>
          <w:rFonts w:hint="eastAsia" w:ascii="宋体" w:hAnsi="宋体" w:eastAsia="宋体" w:cs="Times New Roman"/>
          <w:b/>
          <w:bCs/>
          <w:color w:val="auto"/>
          <w:sz w:val="21"/>
          <w:szCs w:val="21"/>
          <w:highlight w:val="none"/>
          <w:u w:val="single"/>
          <w:lang w:val="en-US" w:eastAsia="zh-CN"/>
        </w:rPr>
        <w:t>中初次报价的综合单价×【1-下浮率（%）】+合同外新增工程量×新增单价×（签约合同价÷招标控制价）</w:t>
      </w:r>
    </w:p>
    <w:p w14:paraId="2C831AD6">
      <w:pPr>
        <w:numPr>
          <w:ilvl w:val="0"/>
          <w:numId w:val="0"/>
        </w:numPr>
        <w:spacing w:line="360" w:lineRule="auto"/>
        <w:ind w:leftChars="0" w:firstLine="632" w:firstLineChars="300"/>
        <w:rPr>
          <w:rFonts w:hint="eastAsia" w:ascii="宋体" w:hAnsi="宋体" w:eastAsia="宋体" w:cs="宋体"/>
          <w:b/>
          <w:color w:val="auto"/>
          <w:sz w:val="24"/>
          <w:szCs w:val="24"/>
          <w:highlight w:val="none"/>
          <w:u w:val="single"/>
          <w:lang w:eastAsia="zh-CN"/>
        </w:rPr>
      </w:pPr>
      <w:r>
        <w:rPr>
          <w:rFonts w:hint="eastAsia" w:ascii="宋体" w:hAnsi="宋体" w:eastAsia="宋体" w:cs="Times New Roman"/>
          <w:b/>
          <w:bCs/>
          <w:color w:val="auto"/>
          <w:sz w:val="21"/>
          <w:szCs w:val="21"/>
          <w:highlight w:val="none"/>
          <w:u w:val="single"/>
          <w:lang w:val="en-US" w:eastAsia="zh-CN"/>
        </w:rPr>
        <w:t>注：下浮率指：最后磋商报价是投标人在初次报价（清单报价）的基础上对该工程进行下浮报价，报出下浮率，计算出最后磋商报价的价格。新增单价=按预算编制办法组价×（签约合同价÷招标控制价）</w:t>
      </w:r>
      <w:r>
        <w:rPr>
          <w:rFonts w:hint="eastAsia" w:ascii="宋体" w:hAnsi="宋体" w:eastAsia="宋体" w:cs="宋体"/>
          <w:b/>
          <w:color w:val="auto"/>
          <w:sz w:val="24"/>
          <w:szCs w:val="24"/>
          <w:highlight w:val="none"/>
          <w:u w:val="none"/>
          <w:lang w:eastAsia="zh-CN"/>
        </w:rPr>
        <w:t>。</w:t>
      </w:r>
    </w:p>
    <w:p w14:paraId="66DC48F6">
      <w:pPr>
        <w:pStyle w:val="5"/>
        <w:pageBreakBefore w:val="0"/>
        <w:kinsoku/>
        <w:wordWrap/>
        <w:topLinePunct w:val="0"/>
        <w:bidi w:val="0"/>
        <w:snapToGrid/>
        <w:spacing w:before="120" w:after="120" w:line="440" w:lineRule="exact"/>
        <w:rPr>
          <w:rFonts w:ascii="宋体" w:hAnsi="宋体" w:eastAsia="宋体"/>
          <w:b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4" w:name="_Toc351203485"/>
      <w:r>
        <w:rPr>
          <w:rFonts w:ascii="宋体" w:hAnsi="宋体" w:eastAsia="宋体" w:cs="Times New Roman"/>
          <w:bCs w:val="0"/>
          <w:color w:val="auto"/>
          <w:sz w:val="21"/>
          <w:szCs w:val="21"/>
          <w:highlight w:val="none"/>
        </w:rPr>
        <w:t>五、</w:t>
      </w:r>
      <w:bookmarkEnd w:id="224"/>
      <w:r>
        <w:rPr>
          <w:rFonts w:ascii="宋体" w:hAnsi="宋体" w:eastAsia="宋体" w:cs="Times New Roman"/>
          <w:bCs w:val="0"/>
          <w:color w:val="auto"/>
          <w:sz w:val="21"/>
          <w:szCs w:val="21"/>
          <w:highlight w:val="none"/>
        </w:rPr>
        <w:t>项目经理</w:t>
      </w:r>
    </w:p>
    <w:p w14:paraId="1394F22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ascii="宋体" w:hAnsi="宋体"/>
          <w:color w:val="auto"/>
          <w:sz w:val="21"/>
          <w:szCs w:val="21"/>
          <w:highlight w:val="none"/>
        </w:rPr>
        <w:t>承包人项目经理：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p>
    <w:p w14:paraId="3AA58C6F">
      <w:pPr>
        <w:pStyle w:val="5"/>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25" w:name="_Toc351203486"/>
      <w:r>
        <w:rPr>
          <w:rFonts w:ascii="宋体" w:hAnsi="宋体" w:eastAsia="宋体" w:cs="Times New Roman"/>
          <w:bCs w:val="0"/>
          <w:color w:val="auto"/>
          <w:sz w:val="21"/>
          <w:szCs w:val="21"/>
          <w:highlight w:val="none"/>
        </w:rPr>
        <w:t>六、合同文件构成</w:t>
      </w:r>
      <w:bookmarkEnd w:id="225"/>
    </w:p>
    <w:p w14:paraId="510C67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本协议书与下列文件一起构成合同文件：</w:t>
      </w:r>
    </w:p>
    <w:p w14:paraId="75A44444">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（1）中标（成交）通知书（如果有）；</w:t>
      </w:r>
    </w:p>
    <w:p w14:paraId="56A064E1">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z w:val="21"/>
          <w:szCs w:val="21"/>
          <w:highlight w:val="none"/>
          <w:lang w:eastAsia="zh-CN"/>
        </w:rPr>
        <w:t>磋商</w:t>
      </w:r>
      <w:r>
        <w:rPr>
          <w:rFonts w:hint="eastAsia" w:ascii="宋体" w:hAnsi="宋体"/>
          <w:color w:val="auto"/>
          <w:sz w:val="21"/>
          <w:szCs w:val="21"/>
          <w:highlight w:val="none"/>
        </w:rPr>
        <w:t xml:space="preserve">函及其附录（如果有）； </w:t>
      </w:r>
    </w:p>
    <w:p w14:paraId="1AAD2DCA">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（3）专用合同条款及其附件；</w:t>
      </w:r>
    </w:p>
    <w:p w14:paraId="24F4ED33">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（4）通用合同条款；</w:t>
      </w:r>
    </w:p>
    <w:p w14:paraId="09503BD9">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（5）技术标准和要求；</w:t>
      </w:r>
    </w:p>
    <w:p w14:paraId="1DC24A4F">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（6）图纸；</w:t>
      </w:r>
    </w:p>
    <w:p w14:paraId="6463176C">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（7）已标价工程量清单或预算书；</w:t>
      </w:r>
    </w:p>
    <w:p w14:paraId="3EE84C4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（8）其他合同文件。</w:t>
      </w:r>
    </w:p>
    <w:p w14:paraId="48A6CD38">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在合同订立及履行过程中形成的与合同有关的文件均构成合同文件组成部分。</w:t>
      </w:r>
    </w:p>
    <w:p w14:paraId="5BB166B6">
      <w:pPr>
        <w:pageBreakBefore w:val="0"/>
        <w:kinsoku/>
        <w:wordWrap/>
        <w:topLinePunct w:val="0"/>
        <w:bidi w:val="0"/>
        <w:snapToGrid/>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628FBA53">
      <w:pPr>
        <w:pStyle w:val="5"/>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r>
        <w:rPr>
          <w:rFonts w:ascii="宋体" w:hAnsi="宋体" w:eastAsia="宋体"/>
          <w:b w:val="0"/>
          <w:bCs w:val="0"/>
          <w:color w:val="auto"/>
          <w:sz w:val="21"/>
          <w:szCs w:val="21"/>
          <w:highlight w:val="none"/>
        </w:rPr>
        <w:t xml:space="preserve">   </w:t>
      </w:r>
      <w:r>
        <w:rPr>
          <w:rFonts w:ascii="宋体" w:hAnsi="宋体" w:eastAsia="宋体"/>
          <w:b w:val="0"/>
          <w:color w:val="auto"/>
          <w:sz w:val="21"/>
          <w:szCs w:val="21"/>
          <w:highlight w:val="none"/>
        </w:rPr>
        <w:t xml:space="preserve"> </w:t>
      </w:r>
      <w:bookmarkStart w:id="226" w:name="_Toc351203487"/>
      <w:r>
        <w:rPr>
          <w:rFonts w:ascii="宋体" w:hAnsi="宋体" w:eastAsia="宋体" w:cs="Times New Roman"/>
          <w:bCs w:val="0"/>
          <w:color w:val="auto"/>
          <w:sz w:val="21"/>
          <w:szCs w:val="21"/>
          <w:highlight w:val="none"/>
        </w:rPr>
        <w:t>七、承诺</w:t>
      </w:r>
      <w:bookmarkEnd w:id="226"/>
    </w:p>
    <w:p w14:paraId="623E4482">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1.发包人承诺按照法律规定履行项目审批手续、筹集工程建设资金并按照合同约定的期限和方式支付合同价款。</w:t>
      </w:r>
    </w:p>
    <w:p w14:paraId="44F0CD26">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2.承包人承诺按照法律规定及合同约定组织完成工程施工，确保工程质量和安全，不进行转包及违法分包，并在缺陷责任期及保修期内承担相应的工程维修责任。</w:t>
      </w:r>
    </w:p>
    <w:p w14:paraId="7D84961F">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hint="eastAsia" w:ascii="宋体" w:hAnsi="宋体"/>
          <w:bCs/>
          <w:color w:val="auto"/>
          <w:sz w:val="21"/>
          <w:szCs w:val="21"/>
          <w:highlight w:val="none"/>
        </w:rPr>
        <w:t>3.发包人和承包人通过招投标形式签订合同的，双方理解并承诺不再就同一工程另行签订与合同实质性内容相背离的协议。</w:t>
      </w:r>
    </w:p>
    <w:p w14:paraId="09410CCE">
      <w:pPr>
        <w:pStyle w:val="5"/>
        <w:pageBreakBefore w:val="0"/>
        <w:kinsoku/>
        <w:wordWrap/>
        <w:topLinePunct w:val="0"/>
        <w:bidi w:val="0"/>
        <w:snapToGrid/>
        <w:spacing w:before="120" w:after="120" w:line="440" w:lineRule="exact"/>
        <w:rPr>
          <w:rFonts w:ascii="宋体" w:hAnsi="宋体" w:eastAsia="宋体"/>
          <w:b w:val="0"/>
          <w:bCs w:val="0"/>
          <w:color w:val="auto"/>
          <w:sz w:val="21"/>
          <w:szCs w:val="21"/>
          <w:highlight w:val="none"/>
        </w:rPr>
      </w:pPr>
      <w:bookmarkStart w:id="227" w:name="_Toc351203488"/>
      <w:r>
        <w:rPr>
          <w:rFonts w:ascii="宋体" w:hAnsi="宋体" w:eastAsia="宋体"/>
          <w:b w:val="0"/>
          <w:bCs w:val="0"/>
          <w:color w:val="auto"/>
          <w:sz w:val="21"/>
          <w:szCs w:val="21"/>
          <w:highlight w:val="none"/>
        </w:rPr>
        <w:t xml:space="preserve">   </w:t>
      </w:r>
      <w:r>
        <w:rPr>
          <w:rFonts w:ascii="宋体" w:hAnsi="宋体" w:eastAsia="宋体" w:cs="Times New Roman"/>
          <w:bCs w:val="0"/>
          <w:color w:val="auto"/>
          <w:sz w:val="21"/>
          <w:szCs w:val="21"/>
          <w:highlight w:val="none"/>
        </w:rPr>
        <w:t xml:space="preserve"> 八、词语含义</w:t>
      </w:r>
      <w:bookmarkEnd w:id="227"/>
    </w:p>
    <w:p w14:paraId="35F9C7AB">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本协议书中词语含义与第二部分通用合同条款中赋予的含义相同。</w:t>
      </w:r>
    </w:p>
    <w:p w14:paraId="6F8B61BD">
      <w:pPr>
        <w:pStyle w:val="5"/>
        <w:pageBreakBefore w:val="0"/>
        <w:kinsoku/>
        <w:wordWrap/>
        <w:topLinePunct w:val="0"/>
        <w:bidi w:val="0"/>
        <w:snapToGrid/>
        <w:spacing w:before="120" w:after="120" w:line="440" w:lineRule="exact"/>
        <w:rPr>
          <w:rFonts w:ascii="宋体" w:hAnsi="宋体" w:eastAsia="宋体" w:cs="Times New Roman"/>
          <w:bCs w:val="0"/>
          <w:color w:val="auto"/>
          <w:sz w:val="21"/>
          <w:szCs w:val="21"/>
          <w:highlight w:val="none"/>
        </w:rPr>
      </w:pPr>
      <w:r>
        <w:rPr>
          <w:rFonts w:ascii="宋体" w:hAnsi="宋体" w:eastAsia="宋体" w:cs="Times New Roman"/>
          <w:bCs w:val="0"/>
          <w:color w:val="auto"/>
          <w:sz w:val="21"/>
          <w:szCs w:val="21"/>
          <w:highlight w:val="none"/>
        </w:rPr>
        <w:t xml:space="preserve">    </w:t>
      </w:r>
      <w:bookmarkStart w:id="228" w:name="_Toc351203489"/>
      <w:r>
        <w:rPr>
          <w:rFonts w:ascii="宋体" w:hAnsi="宋体" w:eastAsia="宋体" w:cs="Times New Roman"/>
          <w:bCs w:val="0"/>
          <w:color w:val="auto"/>
          <w:sz w:val="21"/>
          <w:szCs w:val="21"/>
          <w:highlight w:val="none"/>
        </w:rPr>
        <w:t>九、签订时间</w:t>
      </w:r>
      <w:bookmarkEnd w:id="228"/>
    </w:p>
    <w:p w14:paraId="115DD440">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本合同于</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年</w:t>
      </w:r>
      <w:r>
        <w:rPr>
          <w:rFonts w:ascii="宋体" w:hAnsi="宋体"/>
          <w:bCs/>
          <w:color w:val="auto"/>
          <w:sz w:val="21"/>
          <w:szCs w:val="21"/>
          <w:highlight w:val="none"/>
          <w:u w:val="single"/>
        </w:rPr>
        <w:t xml:space="preserve">    </w:t>
      </w:r>
      <w:r>
        <w:rPr>
          <w:rFonts w:ascii="宋体" w:hAnsi="宋体"/>
          <w:bCs/>
          <w:color w:val="auto"/>
          <w:sz w:val="21"/>
          <w:szCs w:val="21"/>
          <w:highlight w:val="none"/>
        </w:rPr>
        <w:t>月</w:t>
      </w:r>
      <w:r>
        <w:rPr>
          <w:rFonts w:ascii="宋体" w:hAnsi="宋体"/>
          <w:bCs/>
          <w:color w:val="auto"/>
          <w:sz w:val="21"/>
          <w:szCs w:val="21"/>
          <w:highlight w:val="none"/>
          <w:u w:val="single"/>
        </w:rPr>
        <w:t xml:space="preserve">    </w:t>
      </w:r>
      <w:r>
        <w:rPr>
          <w:rFonts w:ascii="宋体" w:hAnsi="宋体"/>
          <w:bCs/>
          <w:color w:val="auto"/>
          <w:sz w:val="21"/>
          <w:szCs w:val="21"/>
          <w:highlight w:val="none"/>
        </w:rPr>
        <w:t>日签订。</w:t>
      </w:r>
    </w:p>
    <w:p w14:paraId="64D25415">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29" w:name="_Toc351203490"/>
      <w:r>
        <w:rPr>
          <w:rFonts w:ascii="宋体" w:hAnsi="宋体" w:eastAsia="宋体" w:cs="Times New Roman"/>
          <w:bCs w:val="0"/>
          <w:color w:val="auto"/>
          <w:sz w:val="21"/>
          <w:szCs w:val="21"/>
          <w:highlight w:val="none"/>
        </w:rPr>
        <w:t>十、签订地点</w:t>
      </w:r>
      <w:bookmarkEnd w:id="229"/>
    </w:p>
    <w:p w14:paraId="04C2522A">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本合同在</w:t>
      </w:r>
      <w:r>
        <w:rPr>
          <w:rFonts w:ascii="宋体" w:hAnsi="宋体"/>
          <w:bCs/>
          <w:color w:val="auto"/>
          <w:sz w:val="21"/>
          <w:szCs w:val="21"/>
          <w:highlight w:val="none"/>
          <w:u w:val="single"/>
        </w:rPr>
        <w:t xml:space="preserve">   </w:t>
      </w:r>
      <w:r>
        <w:rPr>
          <w:rFonts w:hint="eastAsia" w:ascii="宋体" w:hAnsi="宋体"/>
          <w:b/>
          <w:bCs w:val="0"/>
          <w:color w:val="auto"/>
          <w:sz w:val="21"/>
          <w:szCs w:val="21"/>
          <w:highlight w:val="none"/>
          <w:u w:val="single"/>
          <w:lang w:val="en-US" w:eastAsia="zh-CN"/>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签订。</w:t>
      </w:r>
    </w:p>
    <w:p w14:paraId="2A99F082">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bookmarkStart w:id="230" w:name="_Toc351203491"/>
      <w:r>
        <w:rPr>
          <w:rFonts w:ascii="宋体" w:hAnsi="宋体" w:eastAsia="宋体" w:cs="Times New Roman"/>
          <w:bCs w:val="0"/>
          <w:color w:val="auto"/>
          <w:sz w:val="21"/>
          <w:szCs w:val="21"/>
          <w:highlight w:val="none"/>
        </w:rPr>
        <w:t>十一、补充协议</w:t>
      </w:r>
      <w:bookmarkEnd w:id="230"/>
    </w:p>
    <w:p w14:paraId="2376D828">
      <w:pPr>
        <w:pageBreakBefore w:val="0"/>
        <w:kinsoku/>
        <w:wordWrap/>
        <w:topLinePunct w:val="0"/>
        <w:bidi w:val="0"/>
        <w:snapToGrid/>
        <w:spacing w:line="440" w:lineRule="exact"/>
        <w:ind w:firstLine="420" w:firstLineChars="200"/>
        <w:rPr>
          <w:rFonts w:ascii="宋体" w:hAnsi="宋体"/>
          <w:b/>
          <w:bCs/>
          <w:color w:val="auto"/>
          <w:sz w:val="21"/>
          <w:szCs w:val="21"/>
          <w:highlight w:val="none"/>
        </w:rPr>
      </w:pPr>
      <w:r>
        <w:rPr>
          <w:rFonts w:ascii="宋体" w:hAnsi="宋体"/>
          <w:bCs/>
          <w:color w:val="auto"/>
          <w:sz w:val="21"/>
          <w:szCs w:val="21"/>
          <w:highlight w:val="none"/>
        </w:rPr>
        <w:t>合同未尽事宜，合同当事人另行签订补充协议</w:t>
      </w:r>
      <w:r>
        <w:rPr>
          <w:rFonts w:hint="eastAsia" w:ascii="宋体" w:hAnsi="宋体"/>
          <w:bCs/>
          <w:color w:val="auto"/>
          <w:sz w:val="21"/>
          <w:szCs w:val="21"/>
          <w:highlight w:val="none"/>
        </w:rPr>
        <w:t>，</w:t>
      </w:r>
      <w:r>
        <w:rPr>
          <w:rFonts w:ascii="宋体" w:hAnsi="宋体"/>
          <w:bCs/>
          <w:color w:val="auto"/>
          <w:sz w:val="21"/>
          <w:szCs w:val="21"/>
          <w:highlight w:val="none"/>
        </w:rPr>
        <w:t>补充协议是合同的组成部分。</w:t>
      </w:r>
    </w:p>
    <w:p w14:paraId="53C01E4C">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31" w:name="_Toc351203492"/>
      <w:r>
        <w:rPr>
          <w:rFonts w:ascii="宋体" w:hAnsi="宋体" w:eastAsia="宋体" w:cs="Times New Roman"/>
          <w:bCs w:val="0"/>
          <w:color w:val="auto"/>
          <w:sz w:val="21"/>
          <w:szCs w:val="21"/>
          <w:highlight w:val="none"/>
        </w:rPr>
        <w:t>十二、合同生效</w:t>
      </w:r>
      <w:bookmarkEnd w:id="231"/>
    </w:p>
    <w:p w14:paraId="6CA838B8">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本合同自</w:t>
      </w:r>
      <w:r>
        <w:rPr>
          <w:rFonts w:hint="eastAsia" w:ascii="宋体" w:hAnsi="宋体"/>
          <w:bCs/>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生效。</w:t>
      </w:r>
    </w:p>
    <w:p w14:paraId="60839006">
      <w:pPr>
        <w:pStyle w:val="5"/>
        <w:pageBreakBefore w:val="0"/>
        <w:kinsoku/>
        <w:wordWrap/>
        <w:topLinePunct w:val="0"/>
        <w:bidi w:val="0"/>
        <w:snapToGrid/>
        <w:spacing w:before="120" w:after="120" w:line="440" w:lineRule="exact"/>
        <w:rPr>
          <w:rFonts w:ascii="宋体" w:hAnsi="宋体" w:eastAsia="宋体"/>
          <w:bCs w:val="0"/>
          <w:color w:val="auto"/>
          <w:sz w:val="21"/>
          <w:szCs w:val="21"/>
          <w:highlight w:val="none"/>
        </w:rPr>
      </w:pPr>
      <w:r>
        <w:rPr>
          <w:rFonts w:ascii="宋体" w:hAnsi="宋体" w:eastAsia="宋体"/>
          <w:bCs w:val="0"/>
          <w:color w:val="auto"/>
          <w:sz w:val="21"/>
          <w:szCs w:val="21"/>
          <w:highlight w:val="none"/>
        </w:rPr>
        <w:t xml:space="preserve">   </w:t>
      </w:r>
      <w:r>
        <w:rPr>
          <w:rFonts w:ascii="宋体" w:hAnsi="宋体" w:eastAsia="宋体" w:cs="Times New Roman"/>
          <w:bCs w:val="0"/>
          <w:color w:val="auto"/>
          <w:sz w:val="21"/>
          <w:szCs w:val="21"/>
          <w:highlight w:val="none"/>
        </w:rPr>
        <w:t xml:space="preserve"> </w:t>
      </w:r>
      <w:bookmarkStart w:id="232" w:name="_Toc351203493"/>
      <w:r>
        <w:rPr>
          <w:rFonts w:ascii="宋体" w:hAnsi="宋体" w:eastAsia="宋体" w:cs="Times New Roman"/>
          <w:bCs w:val="0"/>
          <w:color w:val="auto"/>
          <w:sz w:val="21"/>
          <w:szCs w:val="21"/>
          <w:highlight w:val="none"/>
        </w:rPr>
        <w:t>十三、合同份数</w:t>
      </w:r>
      <w:bookmarkEnd w:id="232"/>
    </w:p>
    <w:p w14:paraId="5E159B1E">
      <w:pPr>
        <w:pageBreakBefore w:val="0"/>
        <w:kinsoku/>
        <w:wordWrap/>
        <w:topLinePunct w:val="0"/>
        <w:bidi w:val="0"/>
        <w:snapToGrid/>
        <w:spacing w:line="440" w:lineRule="exact"/>
        <w:ind w:firstLine="420" w:firstLineChars="200"/>
        <w:rPr>
          <w:rFonts w:ascii="宋体" w:hAnsi="宋体"/>
          <w:bCs/>
          <w:color w:val="auto"/>
          <w:sz w:val="21"/>
          <w:szCs w:val="21"/>
          <w:highlight w:val="none"/>
        </w:rPr>
      </w:pPr>
      <w:r>
        <w:rPr>
          <w:rFonts w:ascii="宋体" w:hAnsi="宋体"/>
          <w:bCs/>
          <w:color w:val="auto"/>
          <w:sz w:val="21"/>
          <w:szCs w:val="21"/>
          <w:highlight w:val="none"/>
        </w:rPr>
        <w:t>本合同一式</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份，均具有同等法律效力，发包人执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份，承包人执</w:t>
      </w:r>
      <w:r>
        <w:rPr>
          <w:rFonts w:ascii="宋体" w:hAnsi="宋体"/>
          <w:bCs/>
          <w:color w:val="auto"/>
          <w:sz w:val="21"/>
          <w:szCs w:val="21"/>
          <w:highlight w:val="none"/>
          <w:u w:val="single"/>
        </w:rPr>
        <w:t xml:space="preserve">  </w:t>
      </w:r>
      <w:r>
        <w:rPr>
          <w:rFonts w:hint="eastAsia" w:ascii="宋体" w:hAnsi="宋体"/>
          <w:bCs/>
          <w:color w:val="auto"/>
          <w:sz w:val="21"/>
          <w:szCs w:val="21"/>
          <w:highlight w:val="none"/>
          <w:u w:val="single"/>
        </w:rPr>
        <w:t xml:space="preserve"> </w:t>
      </w:r>
      <w:r>
        <w:rPr>
          <w:rFonts w:ascii="宋体" w:hAnsi="宋体"/>
          <w:bCs/>
          <w:color w:val="auto"/>
          <w:sz w:val="21"/>
          <w:szCs w:val="21"/>
          <w:highlight w:val="none"/>
          <w:u w:val="single"/>
        </w:rPr>
        <w:t xml:space="preserve"> </w:t>
      </w:r>
      <w:r>
        <w:rPr>
          <w:rFonts w:ascii="宋体" w:hAnsi="宋体"/>
          <w:bCs/>
          <w:color w:val="auto"/>
          <w:sz w:val="21"/>
          <w:szCs w:val="21"/>
          <w:highlight w:val="none"/>
        </w:rPr>
        <w:t>份。</w:t>
      </w:r>
    </w:p>
    <w:p w14:paraId="0990E778">
      <w:pPr>
        <w:pStyle w:val="41"/>
        <w:pageBreakBefore w:val="0"/>
        <w:kinsoku/>
        <w:wordWrap/>
        <w:topLinePunct w:val="0"/>
        <w:bidi w:val="0"/>
        <w:snapToGrid/>
        <w:spacing w:line="440" w:lineRule="exact"/>
        <w:rPr>
          <w:bCs/>
          <w:color w:val="auto"/>
          <w:sz w:val="21"/>
          <w:szCs w:val="21"/>
          <w:highlight w:val="none"/>
        </w:rPr>
      </w:pPr>
    </w:p>
    <w:p w14:paraId="5DB8D306">
      <w:pPr>
        <w:pStyle w:val="41"/>
        <w:pageBreakBefore w:val="0"/>
        <w:kinsoku/>
        <w:wordWrap/>
        <w:topLinePunct w:val="0"/>
        <w:bidi w:val="0"/>
        <w:snapToGrid/>
        <w:spacing w:line="440" w:lineRule="exact"/>
        <w:rPr>
          <w:bCs/>
          <w:color w:val="auto"/>
          <w:sz w:val="21"/>
          <w:szCs w:val="21"/>
          <w:highlight w:val="none"/>
        </w:rPr>
      </w:pPr>
    </w:p>
    <w:p w14:paraId="690102EB">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发包人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r>
        <w:rPr>
          <w:rFonts w:ascii="宋体" w:hAnsi="宋体"/>
          <w:color w:val="auto"/>
          <w:sz w:val="21"/>
          <w:szCs w:val="21"/>
          <w:highlight w:val="none"/>
        </w:rPr>
        <w:t>承包人</w:t>
      </w:r>
      <w:r>
        <w:rPr>
          <w:rFonts w:hint="eastAsia" w:ascii="宋体" w:hAnsi="宋体"/>
          <w:color w:val="auto"/>
          <w:sz w:val="21"/>
          <w:szCs w:val="21"/>
          <w:highlight w:val="none"/>
        </w:rPr>
        <w:t xml:space="preserve">：  </w:t>
      </w:r>
      <w:r>
        <w:rPr>
          <w:rFonts w:ascii="宋体" w:hAnsi="宋体"/>
          <w:color w:val="auto"/>
          <w:sz w:val="21"/>
          <w:szCs w:val="21"/>
          <w:highlight w:val="none"/>
        </w:rPr>
        <w:t>(公章)</w:t>
      </w:r>
      <w:r>
        <w:rPr>
          <w:rFonts w:hint="eastAsia" w:ascii="宋体" w:hAnsi="宋体"/>
          <w:color w:val="auto"/>
          <w:sz w:val="21"/>
          <w:szCs w:val="21"/>
          <w:highlight w:val="none"/>
        </w:rPr>
        <w:t xml:space="preserve">  </w:t>
      </w:r>
    </w:p>
    <w:p w14:paraId="6502FCF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 xml:space="preserve">法定代表人或其委托代理人：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法定代表人或其委托代理人：</w:t>
      </w:r>
    </w:p>
    <w:p w14:paraId="7FECDCD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 xml:space="preserve">（签字）                    </w:t>
      </w:r>
      <w:r>
        <w:rPr>
          <w:rFonts w:hint="eastAsia" w:ascii="宋体" w:hAnsi="宋体"/>
          <w:color w:val="auto"/>
          <w:sz w:val="21"/>
          <w:szCs w:val="21"/>
          <w:highlight w:val="none"/>
          <w:lang w:val="en-US" w:eastAsia="zh-CN"/>
        </w:rPr>
        <w:t xml:space="preserve">       </w:t>
      </w:r>
      <w:r>
        <w:rPr>
          <w:rFonts w:hint="eastAsia" w:ascii="宋体" w:hAnsi="宋体"/>
          <w:color w:val="auto"/>
          <w:sz w:val="21"/>
          <w:szCs w:val="21"/>
          <w:highlight w:val="none"/>
        </w:rPr>
        <w:t>（签字）</w:t>
      </w:r>
    </w:p>
    <w:p w14:paraId="49A24C42">
      <w:pPr>
        <w:pageBreakBefore w:val="0"/>
        <w:tabs>
          <w:tab w:val="left" w:pos="4410"/>
        </w:tabs>
        <w:kinsoku/>
        <w:wordWrap/>
        <w:topLinePunct w:val="0"/>
        <w:bidi w:val="0"/>
        <w:snapToGrid/>
        <w:spacing w:line="440" w:lineRule="exact"/>
        <w:ind w:firstLine="210" w:firstLineChars="100"/>
        <w:rPr>
          <w:rFonts w:ascii="宋体" w:hAnsi="宋体"/>
          <w:color w:val="auto"/>
          <w:sz w:val="21"/>
          <w:szCs w:val="21"/>
          <w:highlight w:val="none"/>
        </w:rPr>
      </w:pP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组织机构代码：</w:t>
      </w:r>
      <w:r>
        <w:rPr>
          <w:rFonts w:hint="eastAsia" w:ascii="宋体" w:hAnsi="宋体"/>
          <w:color w:val="auto"/>
          <w:sz w:val="21"/>
          <w:szCs w:val="21"/>
          <w:highlight w:val="none"/>
          <w:u w:val="single"/>
        </w:rPr>
        <w:t xml:space="preserve">                     </w:t>
      </w:r>
    </w:p>
    <w:p w14:paraId="71217004">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r>
        <w:rPr>
          <w:rFonts w:ascii="宋体" w:hAnsi="宋体"/>
          <w:color w:val="auto"/>
          <w:sz w:val="21"/>
          <w:szCs w:val="21"/>
          <w:highlight w:val="none"/>
        </w:rPr>
        <w:t>地  址：</w:t>
      </w:r>
      <w:r>
        <w:rPr>
          <w:rFonts w:hint="eastAsia" w:ascii="宋体" w:hAnsi="宋体"/>
          <w:color w:val="auto"/>
          <w:sz w:val="21"/>
          <w:szCs w:val="21"/>
          <w:highlight w:val="none"/>
          <w:u w:val="single"/>
        </w:rPr>
        <w:t xml:space="preserve">                           </w:t>
      </w:r>
    </w:p>
    <w:p w14:paraId="4D0B7F7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r>
        <w:rPr>
          <w:rFonts w:ascii="宋体" w:hAnsi="宋体"/>
          <w:color w:val="auto"/>
          <w:sz w:val="21"/>
          <w:szCs w:val="21"/>
          <w:highlight w:val="none"/>
        </w:rPr>
        <w:t>邮政编码：</w:t>
      </w:r>
      <w:r>
        <w:rPr>
          <w:rFonts w:hint="eastAsia" w:ascii="宋体" w:hAnsi="宋体"/>
          <w:color w:val="auto"/>
          <w:sz w:val="21"/>
          <w:szCs w:val="21"/>
          <w:highlight w:val="none"/>
          <w:u w:val="single"/>
        </w:rPr>
        <w:t xml:space="preserve">                         </w:t>
      </w:r>
    </w:p>
    <w:p w14:paraId="2647BC66">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ascii="宋体" w:hAnsi="宋体"/>
          <w:color w:val="auto"/>
          <w:sz w:val="21"/>
          <w:szCs w:val="21"/>
          <w:highlight w:val="none"/>
        </w:rPr>
        <w:t>法定代表人：</w:t>
      </w:r>
      <w:r>
        <w:rPr>
          <w:rFonts w:hint="eastAsia" w:ascii="宋体" w:hAnsi="宋体"/>
          <w:color w:val="auto"/>
          <w:sz w:val="21"/>
          <w:szCs w:val="21"/>
          <w:highlight w:val="none"/>
          <w:u w:val="single"/>
        </w:rPr>
        <w:t xml:space="preserve">                       </w:t>
      </w:r>
    </w:p>
    <w:p w14:paraId="45955AE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r>
        <w:rPr>
          <w:rFonts w:ascii="宋体" w:hAnsi="宋体"/>
          <w:color w:val="auto"/>
          <w:sz w:val="21"/>
          <w:szCs w:val="21"/>
          <w:highlight w:val="none"/>
        </w:rPr>
        <w:t>委托代理人：</w:t>
      </w:r>
      <w:r>
        <w:rPr>
          <w:rFonts w:hint="eastAsia" w:ascii="宋体" w:hAnsi="宋体"/>
          <w:color w:val="auto"/>
          <w:sz w:val="21"/>
          <w:szCs w:val="21"/>
          <w:highlight w:val="none"/>
          <w:u w:val="single"/>
        </w:rPr>
        <w:t xml:space="preserve">                       </w:t>
      </w:r>
    </w:p>
    <w:p w14:paraId="3C80DAC5">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r>
        <w:rPr>
          <w:rFonts w:ascii="宋体" w:hAnsi="宋体"/>
          <w:color w:val="auto"/>
          <w:sz w:val="21"/>
          <w:szCs w:val="21"/>
          <w:highlight w:val="none"/>
        </w:rPr>
        <w:t>电  话：</w:t>
      </w:r>
      <w:r>
        <w:rPr>
          <w:rFonts w:hint="eastAsia" w:ascii="宋体" w:hAnsi="宋体"/>
          <w:color w:val="auto"/>
          <w:sz w:val="21"/>
          <w:szCs w:val="21"/>
          <w:highlight w:val="none"/>
          <w:u w:val="single"/>
        </w:rPr>
        <w:t xml:space="preserve">                           </w:t>
      </w:r>
    </w:p>
    <w:p w14:paraId="5AA981B9">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r>
        <w:rPr>
          <w:rFonts w:ascii="宋体" w:hAnsi="宋体"/>
          <w:color w:val="auto"/>
          <w:sz w:val="21"/>
          <w:szCs w:val="21"/>
          <w:highlight w:val="none"/>
        </w:rPr>
        <w:t>传  真：</w:t>
      </w:r>
      <w:r>
        <w:rPr>
          <w:rFonts w:hint="eastAsia" w:ascii="宋体" w:hAnsi="宋体"/>
          <w:color w:val="auto"/>
          <w:sz w:val="21"/>
          <w:szCs w:val="21"/>
          <w:highlight w:val="none"/>
          <w:u w:val="single"/>
        </w:rPr>
        <w:t xml:space="preserve">                           </w:t>
      </w:r>
    </w:p>
    <w:p w14:paraId="35EBA928">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r>
        <w:rPr>
          <w:rFonts w:ascii="宋体" w:hAnsi="宋体"/>
          <w:color w:val="auto"/>
          <w:sz w:val="21"/>
          <w:szCs w:val="21"/>
          <w:highlight w:val="none"/>
        </w:rPr>
        <w:t>电子信箱：</w:t>
      </w:r>
      <w:r>
        <w:rPr>
          <w:rFonts w:hint="eastAsia" w:ascii="宋体" w:hAnsi="宋体"/>
          <w:color w:val="auto"/>
          <w:sz w:val="21"/>
          <w:szCs w:val="21"/>
          <w:highlight w:val="none"/>
          <w:u w:val="single"/>
        </w:rPr>
        <w:t xml:space="preserve">                         </w:t>
      </w:r>
    </w:p>
    <w:p w14:paraId="178A6EF0">
      <w:pPr>
        <w:pageBreakBefore w:val="0"/>
        <w:kinsoku/>
        <w:wordWrap/>
        <w:topLinePunct w:val="0"/>
        <w:bidi w:val="0"/>
        <w:snapToGrid/>
        <w:spacing w:line="440" w:lineRule="exact"/>
        <w:ind w:firstLine="210" w:firstLineChars="100"/>
        <w:rPr>
          <w:rFonts w:ascii="宋体" w:hAnsi="宋体"/>
          <w:color w:val="auto"/>
          <w:sz w:val="21"/>
          <w:szCs w:val="21"/>
          <w:highlight w:val="none"/>
        </w:rPr>
      </w:pP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r>
        <w:rPr>
          <w:rFonts w:ascii="宋体" w:hAnsi="宋体"/>
          <w:color w:val="auto"/>
          <w:sz w:val="21"/>
          <w:szCs w:val="21"/>
          <w:highlight w:val="none"/>
        </w:rPr>
        <w:t>开户银行：</w:t>
      </w:r>
      <w:r>
        <w:rPr>
          <w:rFonts w:hint="eastAsia" w:ascii="宋体" w:hAnsi="宋体"/>
          <w:color w:val="auto"/>
          <w:sz w:val="21"/>
          <w:szCs w:val="21"/>
          <w:highlight w:val="none"/>
          <w:u w:val="single"/>
        </w:rPr>
        <w:t xml:space="preserve">                         </w:t>
      </w:r>
    </w:p>
    <w:p w14:paraId="2FB99A6A">
      <w:pPr>
        <w:pageBreakBefore w:val="0"/>
        <w:kinsoku/>
        <w:wordWrap/>
        <w:topLinePunct w:val="0"/>
        <w:bidi w:val="0"/>
        <w:snapToGrid/>
        <w:spacing w:line="440" w:lineRule="exact"/>
        <w:ind w:firstLine="210" w:firstLineChars="100"/>
        <w:rPr>
          <w:rFonts w:ascii="宋体" w:hAnsi="宋体"/>
          <w:color w:val="auto"/>
          <w:sz w:val="21"/>
          <w:szCs w:val="21"/>
          <w:highlight w:val="none"/>
          <w:u w:val="single"/>
        </w:rPr>
      </w:pPr>
      <w:r>
        <w:rPr>
          <w:rFonts w:ascii="宋体" w:hAnsi="宋体"/>
          <w:color w:val="auto"/>
          <w:sz w:val="21"/>
          <w:szCs w:val="21"/>
          <w:highlight w:val="none"/>
        </w:rPr>
        <w:t>账  号：</w:t>
      </w:r>
      <w:r>
        <w:rPr>
          <w:rFonts w:hint="eastAsia" w:ascii="宋体" w:hAnsi="宋体"/>
          <w:color w:val="auto"/>
          <w:sz w:val="21"/>
          <w:szCs w:val="21"/>
          <w:highlight w:val="none"/>
          <w:u w:val="single"/>
        </w:rPr>
        <w:t xml:space="preserve">                           </w:t>
      </w:r>
      <w:r>
        <w:rPr>
          <w:rFonts w:ascii="宋体" w:hAnsi="宋体"/>
          <w:color w:val="auto"/>
          <w:sz w:val="21"/>
          <w:szCs w:val="21"/>
          <w:highlight w:val="none"/>
        </w:rPr>
        <w:t>账</w:t>
      </w:r>
      <w:r>
        <w:rPr>
          <w:rFonts w:hint="eastAsia" w:ascii="宋体" w:hAnsi="宋体"/>
          <w:color w:val="auto"/>
          <w:sz w:val="21"/>
          <w:szCs w:val="21"/>
          <w:highlight w:val="none"/>
        </w:rPr>
        <w:t xml:space="preserve"> </w:t>
      </w:r>
      <w:r>
        <w:rPr>
          <w:rFonts w:ascii="宋体" w:hAnsi="宋体"/>
          <w:color w:val="auto"/>
          <w:sz w:val="21"/>
          <w:szCs w:val="21"/>
          <w:highlight w:val="none"/>
        </w:rPr>
        <w:t xml:space="preserve"> 号：</w:t>
      </w:r>
      <w:bookmarkStart w:id="233" w:name="_Toc351203632"/>
      <w:r>
        <w:rPr>
          <w:rFonts w:hint="eastAsia" w:ascii="宋体" w:hAnsi="宋体"/>
          <w:color w:val="auto"/>
          <w:sz w:val="21"/>
          <w:szCs w:val="21"/>
          <w:highlight w:val="none"/>
          <w:u w:val="single"/>
        </w:rPr>
        <w:t xml:space="preserve">                           </w:t>
      </w:r>
    </w:p>
    <w:p w14:paraId="7D12C43D">
      <w:pPr>
        <w:spacing w:line="360" w:lineRule="auto"/>
        <w:rPr>
          <w:rFonts w:ascii="宋体" w:hAnsi="宋体"/>
          <w:color w:val="auto"/>
          <w:sz w:val="21"/>
          <w:szCs w:val="21"/>
          <w:highlight w:val="none"/>
        </w:rPr>
      </w:pPr>
    </w:p>
    <w:p w14:paraId="43ACBBB6">
      <w:pPr>
        <w:pStyle w:val="4"/>
        <w:ind w:firstLine="0" w:firstLineChars="0"/>
        <w:rPr>
          <w:rFonts w:hAnsi="宋体"/>
          <w:color w:val="auto"/>
          <w:sz w:val="30"/>
          <w:szCs w:val="30"/>
          <w:highlight w:val="none"/>
        </w:rPr>
      </w:pPr>
      <w:bookmarkStart w:id="234" w:name="_Toc493593787"/>
      <w:bookmarkStart w:id="235" w:name="_Toc15824625"/>
      <w:bookmarkStart w:id="236" w:name="_Toc405056342"/>
      <w:bookmarkStart w:id="237" w:name="_Toc495488671"/>
      <w:r>
        <w:rPr>
          <w:rFonts w:hAnsi="宋体"/>
          <w:color w:val="auto"/>
          <w:sz w:val="30"/>
          <w:szCs w:val="30"/>
          <w:highlight w:val="none"/>
        </w:rPr>
        <w:t xml:space="preserve">第二部分 </w:t>
      </w:r>
      <w:r>
        <w:rPr>
          <w:rFonts w:hint="eastAsia" w:hAnsi="宋体"/>
          <w:color w:val="auto"/>
          <w:sz w:val="30"/>
          <w:szCs w:val="30"/>
          <w:highlight w:val="none"/>
        </w:rPr>
        <w:t>通用合同条款</w:t>
      </w:r>
      <w:bookmarkEnd w:id="233"/>
      <w:bookmarkEnd w:id="234"/>
      <w:bookmarkEnd w:id="235"/>
      <w:bookmarkEnd w:id="236"/>
      <w:bookmarkEnd w:id="237"/>
    </w:p>
    <w:p w14:paraId="2AD19CE5">
      <w:pPr>
        <w:rPr>
          <w:color w:val="auto"/>
          <w:sz w:val="21"/>
          <w:szCs w:val="21"/>
          <w:highlight w:val="none"/>
        </w:rPr>
      </w:pPr>
    </w:p>
    <w:p w14:paraId="7A6D19AD">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宋体" w:hAnsi="宋体"/>
          <w:b/>
          <w:color w:val="auto"/>
          <w:sz w:val="32"/>
          <w:szCs w:val="32"/>
          <w:highlight w:val="none"/>
        </w:rPr>
      </w:pPr>
      <w:bookmarkStart w:id="238" w:name="_Toc3949"/>
      <w:bookmarkStart w:id="239" w:name="_Toc4368"/>
      <w:bookmarkStart w:id="240" w:name="_Toc17534"/>
      <w:r>
        <w:rPr>
          <w:rFonts w:hint="eastAsia" w:ascii="宋体" w:hAnsi="宋体"/>
          <w:b/>
          <w:color w:val="auto"/>
          <w:sz w:val="32"/>
          <w:szCs w:val="32"/>
          <w:highlight w:val="none"/>
        </w:rPr>
        <w:t>1. 一般约定</w:t>
      </w:r>
      <w:bookmarkEnd w:id="238"/>
      <w:bookmarkEnd w:id="239"/>
      <w:bookmarkEnd w:id="240"/>
    </w:p>
    <w:p w14:paraId="070E640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eastAsia="黑体"/>
          <w:b w:val="0"/>
          <w:color w:val="auto"/>
          <w:sz w:val="21"/>
          <w:szCs w:val="21"/>
          <w:highlight w:val="none"/>
        </w:rPr>
      </w:pPr>
      <w:r>
        <w:rPr>
          <w:rFonts w:eastAsia="黑体"/>
          <w:b w:val="0"/>
          <w:color w:val="auto"/>
          <w:sz w:val="21"/>
          <w:szCs w:val="21"/>
          <w:highlight w:val="none"/>
        </w:rPr>
        <w:t>1.1</w:t>
      </w:r>
      <w:r>
        <w:rPr>
          <w:rFonts w:hint="eastAsia" w:eastAsia="黑体"/>
          <w:b w:val="0"/>
          <w:color w:val="auto"/>
          <w:sz w:val="21"/>
          <w:szCs w:val="21"/>
          <w:highlight w:val="none"/>
        </w:rPr>
        <w:t>词语定义与解释</w:t>
      </w:r>
    </w:p>
    <w:p w14:paraId="65F619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合同协议书、通用合同条款、专用合同条款中的下列词语具有本款所赋予的含义：</w:t>
      </w:r>
    </w:p>
    <w:p w14:paraId="70FADBB4">
      <w:pPr>
        <w:keepNext w:val="0"/>
        <w:keepLines w:val="0"/>
        <w:pageBreakBefore w:val="0"/>
        <w:widowControl w:val="0"/>
        <w:kinsoku/>
        <w:wordWrap/>
        <w:overflowPunct/>
        <w:topLinePunct w:val="0"/>
        <w:autoSpaceDE w:val="0"/>
        <w:autoSpaceDN w:val="0"/>
        <w:bidi w:val="0"/>
        <w:adjustRightInd w:val="0"/>
        <w:spacing w:line="440" w:lineRule="exact"/>
        <w:ind w:left="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1.1.1 </w:t>
      </w:r>
      <w:r>
        <w:rPr>
          <w:rFonts w:hint="eastAsia" w:asciiTheme="minorEastAsia" w:hAnsiTheme="minorEastAsia" w:eastAsiaTheme="minorEastAsia"/>
          <w:color w:val="auto"/>
          <w:kern w:val="0"/>
          <w:szCs w:val="21"/>
          <w:highlight w:val="none"/>
        </w:rPr>
        <w:t>合同</w:t>
      </w:r>
    </w:p>
    <w:p w14:paraId="6A253BD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1.1.1.1 </w:t>
      </w:r>
      <w:r>
        <w:rPr>
          <w:rFonts w:hint="eastAsia" w:asciiTheme="minorEastAsia" w:hAnsiTheme="minorEastAsia" w:eastAsiaTheme="minorEastAsia"/>
          <w:color w:val="auto"/>
          <w:kern w:val="0"/>
          <w:szCs w:val="21"/>
          <w:highlight w:val="none"/>
        </w:rPr>
        <w:t>合同：是指根据法律规定和合同当事人约定具有约束力的文件，构成合同的文件包括合同协议书、中标通知书（如果有）、投标函及其附录（如果有）、专用合同条款及其附件、通用合同条款、技术标准和要求、图纸、已标价工程量清单或预算书以及其他合同文件。</w:t>
      </w:r>
    </w:p>
    <w:p w14:paraId="5DBB273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1.1.1.2 </w:t>
      </w:r>
      <w:r>
        <w:rPr>
          <w:rFonts w:hint="eastAsia" w:asciiTheme="minorEastAsia" w:hAnsiTheme="minorEastAsia" w:eastAsiaTheme="minorEastAsia"/>
          <w:color w:val="auto"/>
          <w:kern w:val="0"/>
          <w:szCs w:val="21"/>
          <w:highlight w:val="none"/>
        </w:rPr>
        <w:t>合同协议书：是指构成合同的由发包人和承包人共同签署的称为</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合同协议书</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的书面文件。</w:t>
      </w:r>
    </w:p>
    <w:p w14:paraId="2D4D0EF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1.1.1.3 </w:t>
      </w:r>
      <w:r>
        <w:rPr>
          <w:rFonts w:hint="eastAsia" w:asciiTheme="minorEastAsia" w:hAnsiTheme="minorEastAsia" w:eastAsiaTheme="minorEastAsia"/>
          <w:color w:val="auto"/>
          <w:kern w:val="0"/>
          <w:szCs w:val="21"/>
          <w:highlight w:val="none"/>
        </w:rPr>
        <w:t>中标通知书：是指构成合同的由发包人通知承包人中标的书面文件。</w:t>
      </w:r>
    </w:p>
    <w:p w14:paraId="160C1FF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1.1.1.4 </w:t>
      </w:r>
      <w:r>
        <w:rPr>
          <w:rFonts w:hint="eastAsia" w:asciiTheme="minorEastAsia" w:hAnsiTheme="minorEastAsia" w:eastAsiaTheme="minorEastAsia"/>
          <w:color w:val="auto"/>
          <w:kern w:val="0"/>
          <w:szCs w:val="21"/>
          <w:highlight w:val="none"/>
        </w:rPr>
        <w:t>投标函：是指构成合同的由承包人填写并签署的用于投标的称为</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投标函</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的文件。</w:t>
      </w:r>
    </w:p>
    <w:p w14:paraId="5929769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1.1.1.5 </w:t>
      </w:r>
      <w:r>
        <w:rPr>
          <w:rFonts w:hint="eastAsia" w:asciiTheme="minorEastAsia" w:hAnsiTheme="minorEastAsia" w:eastAsiaTheme="minorEastAsia"/>
          <w:color w:val="auto"/>
          <w:kern w:val="0"/>
          <w:szCs w:val="21"/>
          <w:highlight w:val="none"/>
        </w:rPr>
        <w:t>投标函附录：是指构成合同的附在投标函后的称为</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投标函附录</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的文件。</w:t>
      </w:r>
    </w:p>
    <w:p w14:paraId="6DF6312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1.1.1.6 </w:t>
      </w:r>
      <w:r>
        <w:rPr>
          <w:rFonts w:hint="eastAsia" w:asciiTheme="minorEastAsia" w:hAnsiTheme="minorEastAsia" w:eastAsiaTheme="minorEastAsia"/>
          <w:color w:val="auto"/>
          <w:kern w:val="0"/>
          <w:szCs w:val="21"/>
          <w:highlight w:val="none"/>
        </w:rPr>
        <w:t>技术标准和要求：是指构成合同的施工应当遵守的或指导施工的国家、行业或地方的技术标准和要求，以及合同约定的技术标准和要求。</w:t>
      </w:r>
    </w:p>
    <w:p w14:paraId="6659F96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1.1.1.7 </w:t>
      </w:r>
      <w:r>
        <w:rPr>
          <w:rFonts w:hint="eastAsia" w:asciiTheme="minorEastAsia" w:hAnsiTheme="minorEastAsia" w:eastAsiaTheme="minorEastAsia"/>
          <w:color w:val="auto"/>
          <w:kern w:val="0"/>
          <w:szCs w:val="21"/>
          <w:highlight w:val="none"/>
        </w:rPr>
        <w:t>图纸：是指构成合同的图纸，包括由发包人按照合同约定提供或经发包人批准的设计文件、施工图、鸟瞰图及模型等，以及在合同履行过程中形成的图纸文件。图纸应当按照法律规定审查合格。</w:t>
      </w:r>
    </w:p>
    <w:p w14:paraId="1A683F76">
      <w:pPr>
        <w:keepNext w:val="0"/>
        <w:keepLines w:val="0"/>
        <w:pageBreakBefore w:val="0"/>
        <w:widowControl w:val="0"/>
        <w:kinsoku/>
        <w:wordWrap/>
        <w:overflowPunct/>
        <w:topLinePunct w:val="0"/>
        <w:autoSpaceDE w:val="0"/>
        <w:autoSpaceDN w:val="0"/>
        <w:bidi w:val="0"/>
        <w:adjustRightInd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1.1.1.8 </w:t>
      </w:r>
      <w:r>
        <w:rPr>
          <w:rFonts w:hint="eastAsia" w:asciiTheme="minorEastAsia" w:hAnsiTheme="minorEastAsia" w:eastAsiaTheme="minorEastAsia"/>
          <w:color w:val="auto"/>
          <w:kern w:val="0"/>
          <w:szCs w:val="21"/>
          <w:highlight w:val="none"/>
        </w:rPr>
        <w:t>已标价工程量清单：是指构成合同的由承包人按照规定的格式和要求填写并标明价格的工程量清单，包括说明和表格。</w:t>
      </w:r>
    </w:p>
    <w:p w14:paraId="0605D61F">
      <w:pPr>
        <w:keepNext w:val="0"/>
        <w:keepLines w:val="0"/>
        <w:pageBreakBefore w:val="0"/>
        <w:widowControl w:val="0"/>
        <w:kinsoku/>
        <w:wordWrap/>
        <w:overflowPunct/>
        <w:topLinePunct w:val="0"/>
        <w:autoSpaceDE w:val="0"/>
        <w:autoSpaceDN w:val="0"/>
        <w:bidi w:val="0"/>
        <w:adjustRightInd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1.1.1.9 </w:t>
      </w:r>
      <w:r>
        <w:rPr>
          <w:rFonts w:hint="eastAsia" w:asciiTheme="minorEastAsia" w:hAnsiTheme="minorEastAsia" w:eastAsiaTheme="minorEastAsia"/>
          <w:color w:val="auto"/>
          <w:kern w:val="0"/>
          <w:szCs w:val="21"/>
          <w:highlight w:val="none"/>
        </w:rPr>
        <w:t>预算书：是指构成合同的由承包人按照发包人规定的格式和要求编制的工程预算文件。</w:t>
      </w:r>
    </w:p>
    <w:p w14:paraId="7FDB47F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1.1.1.10 </w:t>
      </w:r>
      <w:r>
        <w:rPr>
          <w:rFonts w:hint="eastAsia" w:asciiTheme="minorEastAsia" w:hAnsiTheme="minorEastAsia" w:eastAsiaTheme="minorEastAsia"/>
          <w:color w:val="auto"/>
          <w:kern w:val="0"/>
          <w:szCs w:val="21"/>
          <w:highlight w:val="none"/>
        </w:rPr>
        <w:t>其他合同文件：是指经合同当事人约定的与工程施工有关的具有合同约束力的文件或书面协议。合同当事人可以在专用合同条款中进行约定。</w:t>
      </w:r>
    </w:p>
    <w:p w14:paraId="460EA13D">
      <w:pPr>
        <w:keepNext w:val="0"/>
        <w:keepLines w:val="0"/>
        <w:pageBreakBefore w:val="0"/>
        <w:widowControl w:val="0"/>
        <w:kinsoku/>
        <w:wordWrap/>
        <w:overflowPunct/>
        <w:topLinePunct w:val="0"/>
        <w:autoSpaceDE w:val="0"/>
        <w:autoSpaceDN w:val="0"/>
        <w:bidi w:val="0"/>
        <w:adjustRightInd w:val="0"/>
        <w:spacing w:line="440" w:lineRule="exact"/>
        <w:ind w:left="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1.1.2 </w:t>
      </w:r>
      <w:r>
        <w:rPr>
          <w:rFonts w:hint="eastAsia" w:asciiTheme="minorEastAsia" w:hAnsiTheme="minorEastAsia" w:eastAsiaTheme="minorEastAsia"/>
          <w:color w:val="auto"/>
          <w:kern w:val="0"/>
          <w:szCs w:val="21"/>
          <w:highlight w:val="none"/>
        </w:rPr>
        <w:t>合同当事人及其他相关方</w:t>
      </w:r>
    </w:p>
    <w:p w14:paraId="6C283F5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1.1.2.1 </w:t>
      </w:r>
      <w:r>
        <w:rPr>
          <w:rFonts w:hint="eastAsia" w:asciiTheme="minorEastAsia" w:hAnsiTheme="minorEastAsia" w:eastAsiaTheme="minorEastAsia"/>
          <w:color w:val="auto"/>
          <w:kern w:val="0"/>
          <w:szCs w:val="21"/>
          <w:highlight w:val="none"/>
        </w:rPr>
        <w:t>合同当事人：是指发包人和（或）承包人。</w:t>
      </w:r>
    </w:p>
    <w:p w14:paraId="2DC73A9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1.1.2.2 </w:t>
      </w:r>
      <w:r>
        <w:rPr>
          <w:rFonts w:hint="eastAsia" w:asciiTheme="minorEastAsia" w:hAnsiTheme="minorEastAsia" w:eastAsiaTheme="minorEastAsia"/>
          <w:color w:val="auto"/>
          <w:kern w:val="0"/>
          <w:szCs w:val="21"/>
          <w:highlight w:val="none"/>
        </w:rPr>
        <w:t>发包人：是指与承包人签订合同协议书的当事人及取得该当事人资格的合法继承人。</w:t>
      </w:r>
    </w:p>
    <w:p w14:paraId="22E4132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1.1.2.3 </w:t>
      </w:r>
      <w:r>
        <w:rPr>
          <w:rFonts w:hint="eastAsia" w:asciiTheme="minorEastAsia" w:hAnsiTheme="minorEastAsia" w:eastAsiaTheme="minorEastAsia"/>
          <w:color w:val="auto"/>
          <w:kern w:val="0"/>
          <w:szCs w:val="21"/>
          <w:highlight w:val="none"/>
        </w:rPr>
        <w:t>承包人：是指与发包人签订合同协议书的，具有相应工程施工承包资质的当事人及取得该当事人资格的合法继承人。</w:t>
      </w:r>
    </w:p>
    <w:p w14:paraId="063F6C3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1.1.2.4 </w:t>
      </w:r>
      <w:r>
        <w:rPr>
          <w:rFonts w:hint="eastAsia" w:asciiTheme="minorEastAsia" w:hAnsiTheme="minorEastAsia" w:eastAsiaTheme="minorEastAsia"/>
          <w:color w:val="auto"/>
          <w:kern w:val="0"/>
          <w:szCs w:val="21"/>
          <w:highlight w:val="none"/>
        </w:rPr>
        <w:t>监理人：是指在专用合同条款中指明的，受发包人委托按照法律规定进行工程监督管理的法人或其他组织。</w:t>
      </w:r>
    </w:p>
    <w:p w14:paraId="6722252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1.1.2.5 </w:t>
      </w:r>
      <w:r>
        <w:rPr>
          <w:rFonts w:hint="eastAsia" w:asciiTheme="minorEastAsia" w:hAnsiTheme="minorEastAsia" w:eastAsiaTheme="minorEastAsia"/>
          <w:color w:val="auto"/>
          <w:kern w:val="0"/>
          <w:szCs w:val="21"/>
          <w:highlight w:val="none"/>
        </w:rPr>
        <w:t>设计人：是指在专用合同条款中指明的，受发包人委托负责工程设计并具备相应工程设计资质的法人或其他组织。</w:t>
      </w:r>
    </w:p>
    <w:p w14:paraId="2C27F7CC">
      <w:pPr>
        <w:keepNext w:val="0"/>
        <w:keepLines w:val="0"/>
        <w:pageBreakBefore w:val="0"/>
        <w:widowControl w:val="0"/>
        <w:kinsoku/>
        <w:wordWrap/>
        <w:overflowPunct/>
        <w:topLinePunct w:val="0"/>
        <w:bidi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1.1.2.6 </w:t>
      </w:r>
      <w:r>
        <w:rPr>
          <w:rFonts w:hint="eastAsia" w:asciiTheme="minorEastAsia" w:hAnsiTheme="minorEastAsia" w:eastAsiaTheme="minorEastAsia"/>
          <w:color w:val="auto"/>
          <w:kern w:val="0"/>
          <w:szCs w:val="21"/>
          <w:highlight w:val="none"/>
        </w:rPr>
        <w:t>分包人：是指按照法律规定和合同约定，分包部分工程或工作，并与承包人签订分包合同的具有相应资质的法人。</w:t>
      </w:r>
    </w:p>
    <w:p w14:paraId="63FA2A6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1.1.2.7 </w:t>
      </w:r>
      <w:r>
        <w:rPr>
          <w:rFonts w:hint="eastAsia" w:asciiTheme="minorEastAsia" w:hAnsiTheme="minorEastAsia" w:eastAsiaTheme="minorEastAsia"/>
          <w:color w:val="auto"/>
          <w:kern w:val="0"/>
          <w:szCs w:val="21"/>
          <w:highlight w:val="none"/>
        </w:rPr>
        <w:t>发包人代表：是指由发包人任命并派驻施工现场在发包人授权范围内行使发包人权利的人。</w:t>
      </w:r>
    </w:p>
    <w:p w14:paraId="20A343D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1.1.2.8 </w:t>
      </w:r>
      <w:r>
        <w:rPr>
          <w:rFonts w:hint="eastAsia" w:asciiTheme="minorEastAsia" w:hAnsiTheme="minorEastAsia" w:eastAsiaTheme="minorEastAsia"/>
          <w:color w:val="auto"/>
          <w:kern w:val="0"/>
          <w:szCs w:val="21"/>
          <w:highlight w:val="none"/>
        </w:rPr>
        <w:t>项目经理：是指由承包人任命并派驻施工现场，在承包人授权范围内负责合同履行，且按照法律规定具有相应资格的项目负责人。</w:t>
      </w:r>
    </w:p>
    <w:p w14:paraId="2A2A415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1.1.2.9 </w:t>
      </w:r>
      <w:r>
        <w:rPr>
          <w:rFonts w:hint="eastAsia" w:asciiTheme="minorEastAsia" w:hAnsiTheme="minorEastAsia" w:eastAsiaTheme="minorEastAsia"/>
          <w:color w:val="auto"/>
          <w:kern w:val="0"/>
          <w:szCs w:val="21"/>
          <w:highlight w:val="none"/>
        </w:rPr>
        <w:t>总监理工程师：是指由监理人任命并派驻施工现场进行工程监理的总负责人。</w:t>
      </w:r>
    </w:p>
    <w:p w14:paraId="14C9420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 </w:t>
      </w:r>
      <w:r>
        <w:rPr>
          <w:rFonts w:hint="eastAsia" w:asciiTheme="minorEastAsia" w:hAnsiTheme="minorEastAsia" w:eastAsiaTheme="minorEastAsia"/>
          <w:color w:val="auto"/>
          <w:kern w:val="0"/>
          <w:szCs w:val="21"/>
          <w:highlight w:val="none"/>
        </w:rPr>
        <w:t>工程和设备</w:t>
      </w:r>
    </w:p>
    <w:p w14:paraId="34011CF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1.1.3.1 </w:t>
      </w:r>
      <w:r>
        <w:rPr>
          <w:rFonts w:hint="eastAsia" w:asciiTheme="minorEastAsia" w:hAnsiTheme="minorEastAsia" w:eastAsiaTheme="minorEastAsia"/>
          <w:color w:val="auto"/>
          <w:kern w:val="0"/>
          <w:szCs w:val="21"/>
          <w:highlight w:val="none"/>
        </w:rPr>
        <w:t>工程：是指与合同协议书中工程承包范围对应的永久工程和（或）临时工程。</w:t>
      </w:r>
    </w:p>
    <w:p w14:paraId="0FF5E4C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1.1.3.2 </w:t>
      </w:r>
      <w:r>
        <w:rPr>
          <w:rFonts w:hint="eastAsia" w:asciiTheme="minorEastAsia" w:hAnsiTheme="minorEastAsia" w:eastAsiaTheme="minorEastAsia"/>
          <w:color w:val="auto"/>
          <w:kern w:val="0"/>
          <w:szCs w:val="21"/>
          <w:highlight w:val="none"/>
        </w:rPr>
        <w:t>永久工程：是指按合同约定建造并移交给发包人的工程，包括工程设备。</w:t>
      </w:r>
    </w:p>
    <w:p w14:paraId="63B6612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1.1.3.3 </w:t>
      </w:r>
      <w:r>
        <w:rPr>
          <w:rFonts w:hint="eastAsia" w:asciiTheme="minorEastAsia" w:hAnsiTheme="minorEastAsia" w:eastAsiaTheme="minorEastAsia"/>
          <w:color w:val="auto"/>
          <w:kern w:val="0"/>
          <w:szCs w:val="21"/>
          <w:highlight w:val="none"/>
        </w:rPr>
        <w:t>临时工程：是指为完成合同约定的永久工程所修建的各类临时性工程，不包括施工设备。</w:t>
      </w:r>
    </w:p>
    <w:p w14:paraId="38EDA33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1.1.3.4 </w:t>
      </w:r>
      <w:r>
        <w:rPr>
          <w:rFonts w:hint="eastAsia" w:asciiTheme="minorEastAsia" w:hAnsiTheme="minorEastAsia" w:eastAsiaTheme="minorEastAsia"/>
          <w:color w:val="auto"/>
          <w:kern w:val="0"/>
          <w:szCs w:val="21"/>
          <w:highlight w:val="none"/>
        </w:rPr>
        <w:t>单位工程：是指在合同协议书中指明的，具备独立施工条件并能形成独立使用功能的永久工程。</w:t>
      </w:r>
    </w:p>
    <w:p w14:paraId="655936B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1.1.3.5 </w:t>
      </w:r>
      <w:r>
        <w:rPr>
          <w:rFonts w:hint="eastAsia" w:asciiTheme="minorEastAsia" w:hAnsiTheme="minorEastAsia" w:eastAsiaTheme="minorEastAsia"/>
          <w:color w:val="auto"/>
          <w:kern w:val="0"/>
          <w:szCs w:val="21"/>
          <w:highlight w:val="none"/>
        </w:rPr>
        <w:t>工程设备：是指构成永久工程的机电设备、金属结构设备、仪器及其他类似的设备和装置。</w:t>
      </w:r>
    </w:p>
    <w:p w14:paraId="72AFE1C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1.1.3.6 </w:t>
      </w:r>
      <w:r>
        <w:rPr>
          <w:rFonts w:hint="eastAsia" w:asciiTheme="minorEastAsia" w:hAnsiTheme="minorEastAsia" w:eastAsiaTheme="minorEastAsia"/>
          <w:color w:val="auto"/>
          <w:kern w:val="0"/>
          <w:szCs w:val="21"/>
          <w:highlight w:val="none"/>
        </w:rPr>
        <w:t>施工设备：是指为完成合同约定的各项工作所需的设备、器具和其他物品，但不包括工程设备、临时工程和材料。</w:t>
      </w:r>
    </w:p>
    <w:p w14:paraId="221C622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1.1.3.7 </w:t>
      </w:r>
      <w:r>
        <w:rPr>
          <w:rFonts w:hint="eastAsia" w:asciiTheme="minorEastAsia" w:hAnsiTheme="minorEastAsia" w:eastAsiaTheme="minorEastAsia"/>
          <w:color w:val="auto"/>
          <w:kern w:val="0"/>
          <w:szCs w:val="21"/>
          <w:highlight w:val="none"/>
        </w:rPr>
        <w:t>施工现场：是指用于工程施工的场所，以及在专用合同条款中指明作为施工场所组成部分的其他场所，包括永久占地和临时占地。</w:t>
      </w:r>
    </w:p>
    <w:p w14:paraId="1E57D05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1.1.3.8</w:t>
      </w:r>
      <w:r>
        <w:rPr>
          <w:rFonts w:hint="eastAsia" w:asciiTheme="minorEastAsia" w:hAnsiTheme="minorEastAsia" w:eastAsiaTheme="minorEastAsia"/>
          <w:color w:val="auto"/>
          <w:kern w:val="0"/>
          <w:szCs w:val="21"/>
          <w:highlight w:val="none"/>
        </w:rPr>
        <w:t>临时设施：是指为完成合同约定的各项工作所服务的临时性生产和生活设施。</w:t>
      </w:r>
    </w:p>
    <w:p w14:paraId="71594AD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1.1.3.9 </w:t>
      </w:r>
      <w:r>
        <w:rPr>
          <w:rFonts w:hint="eastAsia" w:asciiTheme="minorEastAsia" w:hAnsiTheme="minorEastAsia" w:eastAsiaTheme="minorEastAsia"/>
          <w:color w:val="auto"/>
          <w:kern w:val="0"/>
          <w:szCs w:val="21"/>
          <w:highlight w:val="none"/>
        </w:rPr>
        <w:t>永久占地：是指专用合同条款中指明为实施工程需永久占用的土地。</w:t>
      </w:r>
    </w:p>
    <w:p w14:paraId="5E3BA46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1.1.3.10 </w:t>
      </w:r>
      <w:r>
        <w:rPr>
          <w:rFonts w:hint="eastAsia" w:asciiTheme="minorEastAsia" w:hAnsiTheme="minorEastAsia" w:eastAsiaTheme="minorEastAsia"/>
          <w:color w:val="auto"/>
          <w:kern w:val="0"/>
          <w:szCs w:val="21"/>
          <w:highlight w:val="none"/>
        </w:rPr>
        <w:t>临时占地：是指专用合同条款中指明为实施工程需要临时占用的土地。</w:t>
      </w:r>
    </w:p>
    <w:p w14:paraId="356FFAA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 </w:t>
      </w:r>
      <w:r>
        <w:rPr>
          <w:rFonts w:hint="eastAsia" w:asciiTheme="minorEastAsia" w:hAnsiTheme="minorEastAsia" w:eastAsiaTheme="minorEastAsia"/>
          <w:color w:val="auto"/>
          <w:kern w:val="0"/>
          <w:szCs w:val="21"/>
          <w:highlight w:val="none"/>
        </w:rPr>
        <w:t>日期和期限</w:t>
      </w:r>
    </w:p>
    <w:p w14:paraId="497C00B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1.1.4.1 </w:t>
      </w:r>
      <w:r>
        <w:rPr>
          <w:rFonts w:hint="eastAsia" w:asciiTheme="minorEastAsia" w:hAnsiTheme="minorEastAsia" w:eastAsiaTheme="minorEastAsia"/>
          <w:color w:val="auto"/>
          <w:kern w:val="0"/>
          <w:szCs w:val="21"/>
          <w:highlight w:val="none"/>
        </w:rPr>
        <w:t>开工日期：包括计划开工日期和实际开工日期。计划开工日期是指合同协议书约定的开工日期；实际开工日期是指监理人按照第</w:t>
      </w:r>
      <w:r>
        <w:rPr>
          <w:rFonts w:asciiTheme="minorEastAsia" w:hAnsiTheme="minorEastAsia" w:eastAsiaTheme="minorEastAsia"/>
          <w:color w:val="auto"/>
          <w:kern w:val="0"/>
          <w:szCs w:val="21"/>
          <w:highlight w:val="none"/>
        </w:rPr>
        <w:t>7.3.2</w:t>
      </w:r>
      <w:r>
        <w:rPr>
          <w:rFonts w:hint="eastAsia" w:asciiTheme="minorEastAsia" w:hAnsiTheme="minorEastAsia" w:eastAsiaTheme="minorEastAsia"/>
          <w:color w:val="auto"/>
          <w:kern w:val="0"/>
          <w:szCs w:val="21"/>
          <w:highlight w:val="none"/>
        </w:rPr>
        <w:t>项〔开工通知〕约定发出的符合法律规定的开工通知中载明的开工日期。</w:t>
      </w:r>
    </w:p>
    <w:p w14:paraId="743EA37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1.1.4.2 </w:t>
      </w:r>
      <w:r>
        <w:rPr>
          <w:rFonts w:hint="eastAsia" w:asciiTheme="minorEastAsia" w:hAnsiTheme="minorEastAsia" w:eastAsiaTheme="minorEastAsia"/>
          <w:color w:val="auto"/>
          <w:kern w:val="0"/>
          <w:szCs w:val="21"/>
          <w:highlight w:val="none"/>
        </w:rPr>
        <w:t>竣工日期：包括计划竣工日期和实际竣工日期。计划竣工日期是指合同协议书约定的竣工日期；实际竣工日期按照第</w:t>
      </w:r>
      <w:r>
        <w:rPr>
          <w:rFonts w:asciiTheme="minorEastAsia" w:hAnsiTheme="minorEastAsia" w:eastAsiaTheme="minorEastAsia"/>
          <w:color w:val="auto"/>
          <w:kern w:val="0"/>
          <w:szCs w:val="21"/>
          <w:highlight w:val="none"/>
        </w:rPr>
        <w:t>13.2.3</w:t>
      </w:r>
      <w:r>
        <w:rPr>
          <w:rFonts w:hint="eastAsia" w:asciiTheme="minorEastAsia" w:hAnsiTheme="minorEastAsia" w:eastAsiaTheme="minorEastAsia"/>
          <w:color w:val="auto"/>
          <w:kern w:val="0"/>
          <w:szCs w:val="21"/>
          <w:highlight w:val="none"/>
        </w:rPr>
        <w:t>项〔竣工日期〕的约定确定。</w:t>
      </w:r>
      <w:r>
        <w:rPr>
          <w:rFonts w:asciiTheme="minorEastAsia" w:hAnsiTheme="minorEastAsia" w:eastAsiaTheme="minorEastAsia"/>
          <w:color w:val="auto"/>
          <w:kern w:val="0"/>
          <w:szCs w:val="21"/>
          <w:highlight w:val="none"/>
        </w:rPr>
        <w:t xml:space="preserve"> </w:t>
      </w:r>
    </w:p>
    <w:p w14:paraId="5C855B90">
      <w:pPr>
        <w:keepNext w:val="0"/>
        <w:keepLines w:val="0"/>
        <w:pageBreakBefore w:val="0"/>
        <w:widowControl w:val="0"/>
        <w:kinsoku/>
        <w:wordWrap/>
        <w:overflowPunct/>
        <w:topLinePunct w:val="0"/>
        <w:bidi w:val="0"/>
        <w:spacing w:line="440" w:lineRule="exact"/>
        <w:ind w:left="0" w:firstLine="426" w:firstLineChars="203"/>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1.1.4.3 </w:t>
      </w:r>
      <w:r>
        <w:rPr>
          <w:rFonts w:hint="eastAsia" w:asciiTheme="minorEastAsia" w:hAnsiTheme="minorEastAsia" w:eastAsiaTheme="minorEastAsia"/>
          <w:color w:val="auto"/>
          <w:kern w:val="0"/>
          <w:szCs w:val="21"/>
          <w:highlight w:val="none"/>
        </w:rPr>
        <w:t>工期：是指在合同协议书约定的承包人完成工程所需的期限，包括按照合同约定所作的期限变更。</w:t>
      </w:r>
    </w:p>
    <w:p w14:paraId="2F1D09D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1.1.4.4 </w:t>
      </w:r>
      <w:r>
        <w:rPr>
          <w:rFonts w:hint="eastAsia" w:asciiTheme="minorEastAsia" w:hAnsiTheme="minorEastAsia" w:eastAsiaTheme="minorEastAsia"/>
          <w:color w:val="auto"/>
          <w:kern w:val="0"/>
          <w:szCs w:val="21"/>
          <w:highlight w:val="none"/>
        </w:rPr>
        <w:t>缺陷责任期：是指承包人按照合同约定承担缺陷修复义务，且发包人预留质量保证金（已缴纳履约保证金的除外）的期限，自工程实际竣工日期起计算。</w:t>
      </w:r>
    </w:p>
    <w:p w14:paraId="386D39F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1.1.4.5 </w:t>
      </w:r>
      <w:r>
        <w:rPr>
          <w:rFonts w:hint="eastAsia" w:asciiTheme="minorEastAsia" w:hAnsiTheme="minorEastAsia" w:eastAsiaTheme="minorEastAsia"/>
          <w:color w:val="auto"/>
          <w:kern w:val="0"/>
          <w:szCs w:val="21"/>
          <w:highlight w:val="none"/>
        </w:rPr>
        <w:t>保修期：是指承包人按照合同约定对工程承担保修责任的期限，从工程竣工验收合格之日起计算。</w:t>
      </w:r>
    </w:p>
    <w:p w14:paraId="76F644E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1.1.4.6 </w:t>
      </w:r>
      <w:r>
        <w:rPr>
          <w:rFonts w:hint="eastAsia" w:asciiTheme="minorEastAsia" w:hAnsiTheme="minorEastAsia" w:eastAsiaTheme="minorEastAsia"/>
          <w:color w:val="auto"/>
          <w:kern w:val="0"/>
          <w:szCs w:val="21"/>
          <w:highlight w:val="none"/>
        </w:rPr>
        <w:t>基准日期：招标发包的工程以投标截止日前</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天的日期为基准日期，直接发包的工程以合同签订日前</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天的日期为基准日期。</w:t>
      </w:r>
    </w:p>
    <w:p w14:paraId="26636B2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1.1.4.7 </w:t>
      </w:r>
      <w:r>
        <w:rPr>
          <w:rFonts w:hint="eastAsia" w:asciiTheme="minorEastAsia" w:hAnsiTheme="minorEastAsia" w:eastAsiaTheme="minorEastAsia"/>
          <w:color w:val="auto"/>
          <w:kern w:val="0"/>
          <w:szCs w:val="21"/>
          <w:highlight w:val="none"/>
        </w:rPr>
        <w:t>天：除特别指明外，均指日历天。合同中按天计算时间的，开始当天不计入，从次日开始计算，期限最后一天的截止时间为当天</w:t>
      </w:r>
      <w:r>
        <w:rPr>
          <w:rFonts w:asciiTheme="minorEastAsia" w:hAnsiTheme="minorEastAsia" w:eastAsiaTheme="minorEastAsia"/>
          <w:color w:val="auto"/>
          <w:kern w:val="0"/>
          <w:szCs w:val="21"/>
          <w:highlight w:val="none"/>
        </w:rPr>
        <w:t>24:00</w:t>
      </w:r>
      <w:r>
        <w:rPr>
          <w:rFonts w:hint="eastAsia" w:asciiTheme="minorEastAsia" w:hAnsiTheme="minorEastAsia" w:eastAsiaTheme="minorEastAsia"/>
          <w:color w:val="auto"/>
          <w:kern w:val="0"/>
          <w:szCs w:val="21"/>
          <w:highlight w:val="none"/>
        </w:rPr>
        <w:t>时。</w:t>
      </w:r>
    </w:p>
    <w:p w14:paraId="5A0335A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 </w:t>
      </w:r>
      <w:r>
        <w:rPr>
          <w:rFonts w:hint="eastAsia" w:asciiTheme="minorEastAsia" w:hAnsiTheme="minorEastAsia" w:eastAsiaTheme="minorEastAsia"/>
          <w:color w:val="auto"/>
          <w:kern w:val="0"/>
          <w:szCs w:val="21"/>
          <w:highlight w:val="none"/>
        </w:rPr>
        <w:t>合同价格和费用</w:t>
      </w:r>
    </w:p>
    <w:p w14:paraId="1F0ABCE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1.1.5.1 </w:t>
      </w:r>
      <w:r>
        <w:rPr>
          <w:rFonts w:hint="eastAsia" w:asciiTheme="minorEastAsia" w:hAnsiTheme="minorEastAsia" w:eastAsiaTheme="minorEastAsia"/>
          <w:color w:val="auto"/>
          <w:kern w:val="0"/>
          <w:szCs w:val="21"/>
          <w:highlight w:val="none"/>
        </w:rPr>
        <w:t>签约合同价：是指发包人和承包人在合同协议书中确定的总金额，包括安全文明施工费、暂估价及暂列金额等。</w:t>
      </w:r>
    </w:p>
    <w:p w14:paraId="71ADA83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1.1.5.2 </w:t>
      </w:r>
      <w:r>
        <w:rPr>
          <w:rFonts w:hint="eastAsia" w:asciiTheme="minorEastAsia" w:hAnsiTheme="minorEastAsia" w:eastAsiaTheme="minorEastAsia"/>
          <w:color w:val="auto"/>
          <w:kern w:val="0"/>
          <w:szCs w:val="21"/>
          <w:highlight w:val="none"/>
        </w:rPr>
        <w:t>合同价格：是指发包人用于支付承包人按照合同约定完成承包范围内全部工作的金额，包括合同履行过程中按合同约定发生的价格变化。</w:t>
      </w:r>
    </w:p>
    <w:p w14:paraId="333003F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1.1.5.3 </w:t>
      </w:r>
      <w:r>
        <w:rPr>
          <w:rFonts w:hint="eastAsia" w:asciiTheme="minorEastAsia" w:hAnsiTheme="minorEastAsia" w:eastAsiaTheme="minorEastAsia"/>
          <w:color w:val="auto"/>
          <w:kern w:val="0"/>
          <w:szCs w:val="21"/>
          <w:highlight w:val="none"/>
        </w:rPr>
        <w:t>费用：是指为履行合同所发生的或将要发生的所有必需的开支，包括管理费和应分摊的其他费用，但不包括利润。</w:t>
      </w:r>
    </w:p>
    <w:p w14:paraId="0634F77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1.1.5.4 </w:t>
      </w:r>
      <w:r>
        <w:rPr>
          <w:rFonts w:hint="eastAsia" w:asciiTheme="minorEastAsia" w:hAnsiTheme="minorEastAsia" w:eastAsiaTheme="minorEastAsia"/>
          <w:color w:val="auto"/>
          <w:kern w:val="0"/>
          <w:szCs w:val="21"/>
          <w:highlight w:val="none"/>
        </w:rPr>
        <w:t>暂估价：是指发包人在工程量清单或预算书中提供的用于支付必然发生但暂时不能确定价格的材料、工程设备的单价、专业工程以及服务工作的金额。</w:t>
      </w:r>
    </w:p>
    <w:p w14:paraId="33706F3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1.1.5.5 </w:t>
      </w:r>
      <w:r>
        <w:rPr>
          <w:rFonts w:hint="eastAsia" w:asciiTheme="minorEastAsia" w:hAnsiTheme="minorEastAsia" w:eastAsiaTheme="minorEastAsia"/>
          <w:color w:val="auto"/>
          <w:kern w:val="0"/>
          <w:szCs w:val="21"/>
          <w:highlight w:val="none"/>
        </w:rPr>
        <w:t>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37599AE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1.1.5.6 </w:t>
      </w:r>
      <w:r>
        <w:rPr>
          <w:rFonts w:hint="eastAsia" w:asciiTheme="minorEastAsia" w:hAnsiTheme="minorEastAsia" w:eastAsiaTheme="minorEastAsia"/>
          <w:color w:val="auto"/>
          <w:kern w:val="0"/>
          <w:szCs w:val="21"/>
          <w:highlight w:val="none"/>
        </w:rPr>
        <w:t>计日工：是指合同履行过程中，承包人完成发包人提出的零星工作或需要采用计日工计价的变更工作时，按合同中约定的单价计价的一种方式。</w:t>
      </w:r>
    </w:p>
    <w:p w14:paraId="64F99CC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1.1.5.7 </w:t>
      </w:r>
      <w:r>
        <w:rPr>
          <w:rFonts w:hint="eastAsia" w:asciiTheme="minorEastAsia" w:hAnsiTheme="minorEastAsia" w:eastAsiaTheme="minorEastAsia"/>
          <w:color w:val="auto"/>
          <w:kern w:val="0"/>
          <w:szCs w:val="21"/>
          <w:highlight w:val="none"/>
        </w:rPr>
        <w:t>质量保证金：是指按照第</w:t>
      </w:r>
      <w:r>
        <w:rPr>
          <w:rFonts w:asciiTheme="minorEastAsia" w:hAnsiTheme="minorEastAsia" w:eastAsiaTheme="minorEastAsia"/>
          <w:color w:val="auto"/>
          <w:kern w:val="0"/>
          <w:szCs w:val="21"/>
          <w:highlight w:val="none"/>
        </w:rPr>
        <w:t>15.3</w:t>
      </w:r>
      <w:r>
        <w:rPr>
          <w:rFonts w:hint="eastAsia" w:asciiTheme="minorEastAsia" w:hAnsiTheme="minorEastAsia" w:eastAsiaTheme="minorEastAsia"/>
          <w:color w:val="auto"/>
          <w:kern w:val="0"/>
          <w:szCs w:val="21"/>
          <w:highlight w:val="none"/>
        </w:rPr>
        <w:t>款〔质量保证金〕约定承包人用于保证其在缺陷责任期内履行缺陷修补义务的担保。</w:t>
      </w:r>
    </w:p>
    <w:p w14:paraId="6615CE1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1.1.5.8 </w:t>
      </w:r>
      <w:r>
        <w:rPr>
          <w:rFonts w:hint="eastAsia" w:asciiTheme="minorEastAsia" w:hAnsiTheme="minorEastAsia" w:eastAsiaTheme="minorEastAsia"/>
          <w:color w:val="auto"/>
          <w:kern w:val="0"/>
          <w:szCs w:val="21"/>
          <w:highlight w:val="none"/>
        </w:rPr>
        <w:t>总价项目：是指在现行国家、行业以及地方的计量规则中无工程量计算规则，在已标价工程量清单或预算书中以总价或以费率形式计算的项目。</w:t>
      </w:r>
    </w:p>
    <w:p w14:paraId="7BC6332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1.1.6 </w:t>
      </w:r>
      <w:r>
        <w:rPr>
          <w:rFonts w:hint="eastAsia" w:asciiTheme="minorEastAsia" w:hAnsiTheme="minorEastAsia" w:eastAsiaTheme="minorEastAsia"/>
          <w:color w:val="auto"/>
          <w:szCs w:val="21"/>
          <w:highlight w:val="none"/>
        </w:rPr>
        <w:t>其他</w:t>
      </w:r>
    </w:p>
    <w:p w14:paraId="32F9CDA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1.1.6.1 </w:t>
      </w:r>
      <w:r>
        <w:rPr>
          <w:rFonts w:hint="eastAsia" w:asciiTheme="minorEastAsia" w:hAnsiTheme="minorEastAsia" w:eastAsiaTheme="minorEastAsia"/>
          <w:color w:val="auto"/>
          <w:szCs w:val="21"/>
          <w:highlight w:val="none"/>
        </w:rPr>
        <w:t>书面形式：是指合同文件、信函、电报、传真等可以有形地表现所载内容的形式。</w:t>
      </w:r>
    </w:p>
    <w:p w14:paraId="1D345830">
      <w:pPr>
        <w:pStyle w:val="6"/>
        <w:keepNext w:val="0"/>
        <w:keepLines w:val="0"/>
        <w:pageBreakBefore w:val="0"/>
        <w:widowControl w:val="0"/>
        <w:kinsoku/>
        <w:wordWrap/>
        <w:overflowPunct/>
        <w:topLinePunct w:val="0"/>
        <w:bidi w:val="0"/>
        <w:spacing w:before="0" w:after="0" w:line="440" w:lineRule="exact"/>
        <w:ind w:left="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1.2</w:t>
      </w:r>
      <w:r>
        <w:rPr>
          <w:rFonts w:hint="eastAsia" w:asciiTheme="minorEastAsia" w:hAnsiTheme="minorEastAsia" w:eastAsiaTheme="minorEastAsia"/>
          <w:b w:val="0"/>
          <w:color w:val="auto"/>
          <w:sz w:val="21"/>
          <w:szCs w:val="21"/>
          <w:highlight w:val="none"/>
        </w:rPr>
        <w:t>语言文字</w:t>
      </w:r>
    </w:p>
    <w:p w14:paraId="44E73B3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合同以中国的汉语简体文字编写、解释和说明。合同当事人在专用合同条款中约定使用两种以上语言时，汉语为优先解释和说明合同的语言。</w:t>
      </w:r>
    </w:p>
    <w:p w14:paraId="5132170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1.3</w:t>
      </w:r>
      <w:r>
        <w:rPr>
          <w:rFonts w:hint="eastAsia" w:asciiTheme="minorEastAsia" w:hAnsiTheme="minorEastAsia" w:eastAsiaTheme="minorEastAsia"/>
          <w:b w:val="0"/>
          <w:color w:val="auto"/>
          <w:sz w:val="21"/>
          <w:szCs w:val="21"/>
          <w:highlight w:val="none"/>
        </w:rPr>
        <w:t>法律</w:t>
      </w:r>
    </w:p>
    <w:p w14:paraId="6A2A6E3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合同所称法律是指中华人民共和国法律、行政法规、部门规章，以及工程所在地的地方性法规、自治条例、单行条例和地方政府规章等。</w:t>
      </w:r>
    </w:p>
    <w:p w14:paraId="370CB3A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合同当事人可以在专用合同条款中约定合同适用的其他规范性文件。</w:t>
      </w:r>
    </w:p>
    <w:p w14:paraId="319E3B7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1.4 </w:t>
      </w:r>
      <w:r>
        <w:rPr>
          <w:rFonts w:hint="eastAsia" w:asciiTheme="minorEastAsia" w:hAnsiTheme="minorEastAsia" w:eastAsiaTheme="minorEastAsia"/>
          <w:b w:val="0"/>
          <w:color w:val="auto"/>
          <w:sz w:val="21"/>
          <w:szCs w:val="21"/>
          <w:highlight w:val="none"/>
        </w:rPr>
        <w:t>标准和规范</w:t>
      </w:r>
    </w:p>
    <w:p w14:paraId="58C1134B">
      <w:pPr>
        <w:keepNext w:val="0"/>
        <w:keepLines w:val="0"/>
        <w:pageBreakBefore w:val="0"/>
        <w:widowControl w:val="0"/>
        <w:kinsoku/>
        <w:wordWrap/>
        <w:overflowPunct/>
        <w:topLinePunct w:val="0"/>
        <w:autoSpaceDE w:val="0"/>
        <w:autoSpaceDN w:val="0"/>
        <w:bidi w:val="0"/>
        <w:adjustRightInd w:val="0"/>
        <w:spacing w:line="440" w:lineRule="exact"/>
        <w:ind w:left="0" w:firstLine="64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1.4.1 </w:t>
      </w:r>
      <w:r>
        <w:rPr>
          <w:rFonts w:hint="eastAsia" w:asciiTheme="minorEastAsia" w:hAnsiTheme="minorEastAsia" w:eastAsiaTheme="minorEastAsia"/>
          <w:color w:val="auto"/>
          <w:kern w:val="0"/>
          <w:szCs w:val="21"/>
          <w:highlight w:val="none"/>
        </w:rPr>
        <w:t>适用于工程的国家标准、行业标准、工程所在地的地方性标准，以及相应的规范、规程等，合同当事人有特别要求的，应在专用合同条款中约定。</w:t>
      </w:r>
    </w:p>
    <w:p w14:paraId="3B80D3B6">
      <w:pPr>
        <w:keepNext w:val="0"/>
        <w:keepLines w:val="0"/>
        <w:pageBreakBefore w:val="0"/>
        <w:widowControl w:val="0"/>
        <w:kinsoku/>
        <w:wordWrap/>
        <w:overflowPunct/>
        <w:topLinePunct w:val="0"/>
        <w:autoSpaceDE w:val="0"/>
        <w:autoSpaceDN w:val="0"/>
        <w:bidi w:val="0"/>
        <w:adjustRightInd w:val="0"/>
        <w:spacing w:line="440" w:lineRule="exact"/>
        <w:ind w:left="0" w:firstLine="64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1.4.2 </w:t>
      </w:r>
      <w:r>
        <w:rPr>
          <w:rFonts w:hint="eastAsia" w:asciiTheme="minorEastAsia" w:hAnsiTheme="minorEastAsia" w:eastAsiaTheme="minorEastAsia"/>
          <w:color w:val="auto"/>
          <w:kern w:val="0"/>
          <w:szCs w:val="21"/>
          <w:highlight w:val="none"/>
        </w:rPr>
        <w:t>发包人要求使用国外标准、规范的，发包人负责提供原文版本和中文译本，并在专用合同条款中约定提供标准规范的名称、份数和时间。</w:t>
      </w:r>
    </w:p>
    <w:p w14:paraId="78D16BA6">
      <w:pPr>
        <w:keepNext w:val="0"/>
        <w:keepLines w:val="0"/>
        <w:pageBreakBefore w:val="0"/>
        <w:widowControl w:val="0"/>
        <w:kinsoku/>
        <w:wordWrap/>
        <w:overflowPunct/>
        <w:topLinePunct w:val="0"/>
        <w:autoSpaceDE w:val="0"/>
        <w:autoSpaceDN w:val="0"/>
        <w:bidi w:val="0"/>
        <w:adjustRightInd w:val="0"/>
        <w:spacing w:line="440" w:lineRule="exact"/>
        <w:ind w:left="0" w:firstLine="64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1.4.3 </w:t>
      </w:r>
      <w:r>
        <w:rPr>
          <w:rFonts w:hint="eastAsia" w:asciiTheme="minorEastAsia" w:hAnsiTheme="minorEastAsia" w:eastAsiaTheme="minorEastAsia"/>
          <w:color w:val="auto"/>
          <w:kern w:val="0"/>
          <w:szCs w:val="21"/>
          <w:highlight w:val="none"/>
        </w:rPr>
        <w:t>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260680F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1.5 </w:t>
      </w:r>
      <w:r>
        <w:rPr>
          <w:rFonts w:hint="eastAsia" w:asciiTheme="minorEastAsia" w:hAnsiTheme="minorEastAsia" w:eastAsiaTheme="minorEastAsia"/>
          <w:b w:val="0"/>
          <w:color w:val="auto"/>
          <w:sz w:val="21"/>
          <w:szCs w:val="21"/>
          <w:highlight w:val="none"/>
        </w:rPr>
        <w:t>合同文件的优先顺序</w:t>
      </w:r>
    </w:p>
    <w:p w14:paraId="72009B5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组成合同的各项文件应互相解释，互为说明。除专用合同条款另有约定外，解释合同文件的优先顺序如下：</w:t>
      </w:r>
    </w:p>
    <w:p w14:paraId="21ECC73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）合同协议书；</w:t>
      </w:r>
    </w:p>
    <w:p w14:paraId="04CCECA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）中标通知书（如果有）；</w:t>
      </w:r>
    </w:p>
    <w:p w14:paraId="09F0204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）投标函及其附录（如果有）；</w:t>
      </w:r>
    </w:p>
    <w:p w14:paraId="7F61C80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）专用合同条款及其附件；</w:t>
      </w:r>
    </w:p>
    <w:p w14:paraId="4A59EDE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）通用合同条款；</w:t>
      </w:r>
    </w:p>
    <w:p w14:paraId="7B1A81B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）技术标准和要求；</w:t>
      </w:r>
    </w:p>
    <w:p w14:paraId="7D61CD3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）图纸；</w:t>
      </w:r>
    </w:p>
    <w:p w14:paraId="69C3936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8</w:t>
      </w:r>
      <w:r>
        <w:rPr>
          <w:rFonts w:hint="eastAsia" w:asciiTheme="minorEastAsia" w:hAnsiTheme="minorEastAsia" w:eastAsiaTheme="minorEastAsia"/>
          <w:color w:val="auto"/>
          <w:kern w:val="0"/>
          <w:szCs w:val="21"/>
          <w:highlight w:val="none"/>
        </w:rPr>
        <w:t>）已标价工程量清单或预算书；</w:t>
      </w:r>
    </w:p>
    <w:p w14:paraId="4F5EC6C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9</w:t>
      </w:r>
      <w:r>
        <w:rPr>
          <w:rFonts w:hint="eastAsia" w:asciiTheme="minorEastAsia" w:hAnsiTheme="minorEastAsia" w:eastAsiaTheme="minorEastAsia"/>
          <w:color w:val="auto"/>
          <w:kern w:val="0"/>
          <w:szCs w:val="21"/>
          <w:highlight w:val="none"/>
        </w:rPr>
        <w:t>）其他合同文件。</w:t>
      </w:r>
    </w:p>
    <w:p w14:paraId="75F64B00">
      <w:pPr>
        <w:keepNext w:val="0"/>
        <w:keepLines w:val="0"/>
        <w:pageBreakBefore w:val="0"/>
        <w:widowControl w:val="0"/>
        <w:kinsoku/>
        <w:wordWrap/>
        <w:overflowPunct/>
        <w:topLinePunct w:val="0"/>
        <w:bidi w:val="0"/>
        <w:spacing w:line="440" w:lineRule="exact"/>
        <w:ind w:left="0" w:firstLine="447" w:firstLineChars="213"/>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上述各项合同文件包括合同当事人就该项合同文件所作出的补充和修改，属于同一类内容的文件，应以最新签署的为准。</w:t>
      </w:r>
    </w:p>
    <w:p w14:paraId="30C03AA7">
      <w:pPr>
        <w:keepNext w:val="0"/>
        <w:keepLines w:val="0"/>
        <w:pageBreakBefore w:val="0"/>
        <w:widowControl w:val="0"/>
        <w:kinsoku/>
        <w:wordWrap/>
        <w:overflowPunct/>
        <w:topLinePunct w:val="0"/>
        <w:bidi w:val="0"/>
        <w:spacing w:line="440" w:lineRule="exact"/>
        <w:ind w:left="0" w:firstLine="447" w:firstLineChars="213"/>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在合同订立及履行过程中形成的与合同有关的文件均构成合同文件组成部分，并根据其性质确定优先解释顺序。</w:t>
      </w:r>
    </w:p>
    <w:p w14:paraId="7430E90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1.6</w:t>
      </w:r>
      <w:r>
        <w:rPr>
          <w:rFonts w:hint="eastAsia" w:asciiTheme="minorEastAsia" w:hAnsiTheme="minorEastAsia" w:eastAsiaTheme="minorEastAsia"/>
          <w:b w:val="0"/>
          <w:color w:val="auto"/>
          <w:sz w:val="21"/>
          <w:szCs w:val="21"/>
          <w:highlight w:val="none"/>
        </w:rPr>
        <w:t>图纸和承包人文件</w:t>
      </w:r>
    </w:p>
    <w:p w14:paraId="5F2E16D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1.6.1 </w:t>
      </w:r>
      <w:r>
        <w:rPr>
          <w:rFonts w:hint="eastAsia" w:asciiTheme="minorEastAsia" w:hAnsiTheme="minorEastAsia" w:eastAsiaTheme="minorEastAsia"/>
          <w:color w:val="auto"/>
          <w:kern w:val="0"/>
          <w:szCs w:val="21"/>
          <w:highlight w:val="none"/>
        </w:rPr>
        <w:t>图纸的提供和交底</w:t>
      </w:r>
    </w:p>
    <w:p w14:paraId="4973790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发包人应按照专用合同条款约定的期限、数量和内容向承包人免费提供图纸，并组织承包人、监理人和设计人进行图纸会审和设计交底。发包人至迟不得晚于第</w:t>
      </w:r>
      <w:r>
        <w:rPr>
          <w:rFonts w:asciiTheme="minorEastAsia" w:hAnsiTheme="minorEastAsia" w:eastAsiaTheme="minorEastAsia"/>
          <w:color w:val="auto"/>
          <w:kern w:val="0"/>
          <w:szCs w:val="21"/>
          <w:highlight w:val="none"/>
        </w:rPr>
        <w:t>7.3.2</w:t>
      </w:r>
      <w:r>
        <w:rPr>
          <w:rFonts w:hint="eastAsia" w:asciiTheme="minorEastAsia" w:hAnsiTheme="minorEastAsia" w:eastAsiaTheme="minorEastAsia"/>
          <w:color w:val="auto"/>
          <w:kern w:val="0"/>
          <w:szCs w:val="21"/>
          <w:highlight w:val="none"/>
        </w:rPr>
        <w:t>项〔开工通知〕载明的开工日期前</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天向承包人提供图纸。</w:t>
      </w:r>
    </w:p>
    <w:p w14:paraId="5951FD1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因发包人未按合同约定提供图纸导致承包人费用增加和（或）工期延误的，按照第</w:t>
      </w:r>
      <w:r>
        <w:rPr>
          <w:rFonts w:asciiTheme="minorEastAsia" w:hAnsiTheme="minorEastAsia" w:eastAsiaTheme="minorEastAsia"/>
          <w:color w:val="auto"/>
          <w:kern w:val="0"/>
          <w:szCs w:val="21"/>
          <w:highlight w:val="none"/>
        </w:rPr>
        <w:t>7.5.1</w:t>
      </w:r>
      <w:r>
        <w:rPr>
          <w:rFonts w:hint="eastAsia" w:asciiTheme="minorEastAsia" w:hAnsiTheme="minorEastAsia" w:eastAsiaTheme="minorEastAsia"/>
          <w:color w:val="auto"/>
          <w:kern w:val="0"/>
          <w:szCs w:val="21"/>
          <w:highlight w:val="none"/>
        </w:rPr>
        <w:t>项〔因发包人原因导致工期延误〕约定办理。</w:t>
      </w:r>
    </w:p>
    <w:p w14:paraId="5A83D8D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1.6.2 </w:t>
      </w:r>
      <w:r>
        <w:rPr>
          <w:rFonts w:hint="eastAsia" w:asciiTheme="minorEastAsia" w:hAnsiTheme="minorEastAsia" w:eastAsiaTheme="minorEastAsia"/>
          <w:color w:val="auto"/>
          <w:kern w:val="0"/>
          <w:szCs w:val="21"/>
          <w:highlight w:val="none"/>
        </w:rPr>
        <w:t>图纸的错误</w:t>
      </w:r>
    </w:p>
    <w:p w14:paraId="2000959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在收到发包人提供的图纸后，发现图纸存在差错、遗漏或缺陷的，应及时通知监理人。监理人接到该通知后，应附具相关意见并立即报送发包人，发包人应在收到监理人报送的通知后的合理时间内作出决定。合理时间是指发包人在收到监理人的报送通知后，尽其努力且不懈怠地完成图纸修改补充所需的时间。</w:t>
      </w:r>
    </w:p>
    <w:p w14:paraId="380AEFA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1.6.3 </w:t>
      </w:r>
      <w:r>
        <w:rPr>
          <w:rFonts w:hint="eastAsia" w:asciiTheme="minorEastAsia" w:hAnsiTheme="minorEastAsia" w:eastAsiaTheme="minorEastAsia"/>
          <w:color w:val="auto"/>
          <w:kern w:val="0"/>
          <w:szCs w:val="21"/>
          <w:highlight w:val="none"/>
        </w:rPr>
        <w:t>图纸的修改和补充</w:t>
      </w:r>
    </w:p>
    <w:p w14:paraId="65D4E58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图纸需要修改和补充的，应经图纸原设计人及审批部门同意，并由监理人在工程或工程相应部位施工前将修改后的图纸或补充图纸提交给承包人，承包人应按修改或补充后的图纸施工。</w:t>
      </w:r>
    </w:p>
    <w:p w14:paraId="0B1FC8D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1.6.4 </w:t>
      </w:r>
      <w:r>
        <w:rPr>
          <w:rFonts w:hint="eastAsia" w:asciiTheme="minorEastAsia" w:hAnsiTheme="minorEastAsia" w:eastAsiaTheme="minorEastAsia"/>
          <w:color w:val="auto"/>
          <w:kern w:val="0"/>
          <w:szCs w:val="21"/>
          <w:highlight w:val="none"/>
        </w:rPr>
        <w:t>承包人文件</w:t>
      </w:r>
    </w:p>
    <w:p w14:paraId="1BBDC79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承包人应按照专用合同条款的约定提供应当由其编制的与工程施工有关的文件，并按照专用合同条款约定的期限、数量和形式提交监理人，并由监理人报送发包人。</w:t>
      </w:r>
    </w:p>
    <w:p w14:paraId="26E856E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除专用合同条款另有约定外，监理人应在收到承包人文件后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天内审查完毕，监理人对承包人文件有异议的，承包人应予以修改，并重新报送监理人。监理人的审查并不减轻或免除承包人根据合同约定应当承担的责任。</w:t>
      </w:r>
    </w:p>
    <w:p w14:paraId="6C72A75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1.6.5 </w:t>
      </w:r>
      <w:r>
        <w:rPr>
          <w:rFonts w:hint="eastAsia" w:asciiTheme="minorEastAsia" w:hAnsiTheme="minorEastAsia" w:eastAsiaTheme="minorEastAsia"/>
          <w:color w:val="auto"/>
          <w:kern w:val="0"/>
          <w:szCs w:val="21"/>
          <w:highlight w:val="none"/>
        </w:rPr>
        <w:t>图纸和承包人文件的保管</w:t>
      </w:r>
    </w:p>
    <w:p w14:paraId="50CDFB0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除专用合同条款另有约定外，承包人应在施工现场另外保存一套完整的图纸和承包人文件，供发包人、监理人及有关人员进行工程检查时使用。</w:t>
      </w:r>
    </w:p>
    <w:p w14:paraId="4A9BD83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1.7</w:t>
      </w:r>
      <w:r>
        <w:rPr>
          <w:rFonts w:hint="eastAsia" w:asciiTheme="minorEastAsia" w:hAnsiTheme="minorEastAsia" w:eastAsiaTheme="minorEastAsia"/>
          <w:b w:val="0"/>
          <w:color w:val="auto"/>
          <w:sz w:val="21"/>
          <w:szCs w:val="21"/>
          <w:highlight w:val="none"/>
        </w:rPr>
        <w:t>联络</w:t>
      </w:r>
    </w:p>
    <w:p w14:paraId="6D790E4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1.7.1 </w:t>
      </w:r>
      <w:r>
        <w:rPr>
          <w:rFonts w:hint="eastAsia" w:asciiTheme="minorEastAsia" w:hAnsiTheme="minorEastAsia" w:eastAsiaTheme="minorEastAsia"/>
          <w:color w:val="auto"/>
          <w:kern w:val="0"/>
          <w:szCs w:val="21"/>
          <w:highlight w:val="none"/>
        </w:rPr>
        <w:t>与合同有关的通知、批准、证明、证书、指示、指令、要求、请求、同意、意见、确定和决定等，均应采用书面形式，并应在合同约定的期限内送达接收人和送达地点。</w:t>
      </w:r>
    </w:p>
    <w:p w14:paraId="2B864DA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1.7.2 </w:t>
      </w:r>
      <w:r>
        <w:rPr>
          <w:rFonts w:hint="eastAsia" w:asciiTheme="minorEastAsia" w:hAnsiTheme="minorEastAsia" w:eastAsiaTheme="minorEastAsia"/>
          <w:color w:val="auto"/>
          <w:kern w:val="0"/>
          <w:szCs w:val="21"/>
          <w:highlight w:val="none"/>
        </w:rPr>
        <w:t>发包人和承包人应在专用合同条款中约定各自的送达接收人和送达地点。任何一方合同当事人指定的接收人或送达地点发生变动的，应提前</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天以书面形式通知对方。</w:t>
      </w:r>
    </w:p>
    <w:p w14:paraId="527EC52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1.7.3 </w:t>
      </w:r>
      <w:r>
        <w:rPr>
          <w:rFonts w:hint="eastAsia" w:asciiTheme="minorEastAsia" w:hAnsiTheme="minorEastAsia" w:eastAsiaTheme="minorEastAsia"/>
          <w:color w:val="auto"/>
          <w:kern w:val="0"/>
          <w:szCs w:val="21"/>
          <w:highlight w:val="none"/>
        </w:rPr>
        <w:t>发包人和承包人应当及时签收另一方送达至送达地点和指定接收人的来往信函。拒不签收的，由此增加的费用和（或）延误的工期由拒绝接收一方承担。</w:t>
      </w:r>
    </w:p>
    <w:p w14:paraId="0B923FAA">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1.8</w:t>
      </w:r>
      <w:r>
        <w:rPr>
          <w:rFonts w:hint="eastAsia" w:asciiTheme="minorEastAsia" w:hAnsiTheme="minorEastAsia" w:eastAsiaTheme="minorEastAsia"/>
          <w:b w:val="0"/>
          <w:color w:val="auto"/>
          <w:sz w:val="21"/>
          <w:szCs w:val="21"/>
          <w:highlight w:val="none"/>
        </w:rPr>
        <w:t>严禁贿赂</w:t>
      </w:r>
    </w:p>
    <w:p w14:paraId="163A91B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合同当事人不得以贿赂或变相贿赂的方式，谋取非法利益或损害对方权益。因一方合同当事人的贿赂造成对方损失的，应赔偿损失，并承担相应的法律责任。</w:t>
      </w:r>
    </w:p>
    <w:p w14:paraId="1745D21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承包人不得与监理人或发包人聘请的第三方串通损害发包人利益。未经发包人书面同意，承包人不得为监理人提供合同约定以外的通讯设备、交通工具及其他任何形式的利益，不得向监理人支付报酬。</w:t>
      </w:r>
    </w:p>
    <w:p w14:paraId="77F6E0A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1.9</w:t>
      </w:r>
      <w:r>
        <w:rPr>
          <w:rFonts w:hint="eastAsia" w:asciiTheme="minorEastAsia" w:hAnsiTheme="minorEastAsia" w:eastAsiaTheme="minorEastAsia"/>
          <w:b w:val="0"/>
          <w:color w:val="auto"/>
          <w:sz w:val="21"/>
          <w:szCs w:val="21"/>
          <w:highlight w:val="none"/>
        </w:rPr>
        <w:t>化石、文物</w:t>
      </w:r>
    </w:p>
    <w:p w14:paraId="18EDE1B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6BBE92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发包人、监理人和承包人应按有关政府行政管理部门要求采取妥善的保护措施，由此增加的费用和（或）延误的工期由发包人承担。</w:t>
      </w:r>
    </w:p>
    <w:p w14:paraId="6CAC1F6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承包人发现文物后不及时报告或隐瞒不报，致使文物丢失或损坏的，应赔偿损失，并承担相应的法律责任。</w:t>
      </w:r>
    </w:p>
    <w:p w14:paraId="730F0BE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1.10</w:t>
      </w:r>
      <w:r>
        <w:rPr>
          <w:rFonts w:hint="eastAsia" w:asciiTheme="minorEastAsia" w:hAnsiTheme="minorEastAsia" w:eastAsiaTheme="minorEastAsia"/>
          <w:b w:val="0"/>
          <w:color w:val="auto"/>
          <w:sz w:val="21"/>
          <w:szCs w:val="21"/>
          <w:highlight w:val="none"/>
        </w:rPr>
        <w:t>交通运输</w:t>
      </w:r>
    </w:p>
    <w:p w14:paraId="4F3B25D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1.10.1 </w:t>
      </w:r>
      <w:r>
        <w:rPr>
          <w:rFonts w:hint="eastAsia" w:asciiTheme="minorEastAsia" w:hAnsiTheme="minorEastAsia" w:eastAsiaTheme="minorEastAsia"/>
          <w:color w:val="auto"/>
          <w:kern w:val="0"/>
          <w:szCs w:val="21"/>
          <w:highlight w:val="none"/>
        </w:rPr>
        <w:t>出入现场的权利</w:t>
      </w:r>
    </w:p>
    <w:p w14:paraId="33280E5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7328750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承包人应在订立合同前查勘施工现场，并根据工程规模及技术参数合理预见工程施工所需的进出施工现场的方式、手段、路径等。因承包人未合理预见所增加的费用和（或）延误的工期由承包人承担。</w:t>
      </w:r>
    </w:p>
    <w:p w14:paraId="65678A8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1.10.2 </w:t>
      </w:r>
      <w:r>
        <w:rPr>
          <w:rFonts w:hint="eastAsia" w:asciiTheme="minorEastAsia" w:hAnsiTheme="minorEastAsia" w:eastAsiaTheme="minorEastAsia"/>
          <w:color w:val="auto"/>
          <w:kern w:val="0"/>
          <w:szCs w:val="21"/>
          <w:highlight w:val="none"/>
        </w:rPr>
        <w:t>场外交通</w:t>
      </w:r>
    </w:p>
    <w:p w14:paraId="3F2D726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4C2BF7A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1.10.3</w:t>
      </w:r>
      <w:r>
        <w:rPr>
          <w:rFonts w:hint="eastAsia" w:asciiTheme="minorEastAsia" w:hAnsiTheme="minorEastAsia" w:eastAsiaTheme="minorEastAsia"/>
          <w:color w:val="auto"/>
          <w:kern w:val="0"/>
          <w:szCs w:val="21"/>
          <w:highlight w:val="none"/>
        </w:rPr>
        <w:t>场内交通</w:t>
      </w:r>
    </w:p>
    <w:p w14:paraId="4CEB943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78272E2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29BEA02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场外交通和场内交通的边界由合同当事人在专用合同条款中约定。</w:t>
      </w:r>
    </w:p>
    <w:p w14:paraId="2F3A56C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1.10.4 </w:t>
      </w:r>
      <w:r>
        <w:rPr>
          <w:rFonts w:hint="eastAsia" w:asciiTheme="minorEastAsia" w:hAnsiTheme="minorEastAsia" w:eastAsiaTheme="minorEastAsia"/>
          <w:color w:val="auto"/>
          <w:kern w:val="0"/>
          <w:szCs w:val="21"/>
          <w:highlight w:val="none"/>
        </w:rPr>
        <w:t>超大件和超重件的运输</w:t>
      </w:r>
    </w:p>
    <w:p w14:paraId="6BF313C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613B745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1.10.5 </w:t>
      </w:r>
      <w:r>
        <w:rPr>
          <w:rFonts w:hint="eastAsia" w:asciiTheme="minorEastAsia" w:hAnsiTheme="minorEastAsia" w:eastAsiaTheme="minorEastAsia"/>
          <w:color w:val="auto"/>
          <w:kern w:val="0"/>
          <w:szCs w:val="21"/>
          <w:highlight w:val="none"/>
        </w:rPr>
        <w:t>道路和桥梁的损坏责任</w:t>
      </w:r>
    </w:p>
    <w:p w14:paraId="77FD84B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因承包人运输造成施工场地内外公共道路和桥梁损坏的，由承包人承担修复损坏的全部费用和可能引起的赔偿。</w:t>
      </w:r>
    </w:p>
    <w:p w14:paraId="3672EDD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1.10.6 </w:t>
      </w:r>
      <w:r>
        <w:rPr>
          <w:rFonts w:hint="eastAsia" w:asciiTheme="minorEastAsia" w:hAnsiTheme="minorEastAsia" w:eastAsiaTheme="minorEastAsia"/>
          <w:color w:val="auto"/>
          <w:kern w:val="0"/>
          <w:szCs w:val="21"/>
          <w:highlight w:val="none"/>
        </w:rPr>
        <w:t>水路和航空运输</w:t>
      </w:r>
    </w:p>
    <w:p w14:paraId="7ADBE9D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本款前述各项的内容适用于水路运输和航空运输，其中</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道路</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一词的涵义包括河道、航线、船闸、机场、码头、堤防以及水路或航空运输中其他相似结构物；</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车辆</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一词的涵义包括船舶和飞机等。</w:t>
      </w:r>
    </w:p>
    <w:p w14:paraId="24E6731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1.11</w:t>
      </w:r>
      <w:r>
        <w:rPr>
          <w:rFonts w:hint="eastAsia" w:asciiTheme="minorEastAsia" w:hAnsiTheme="minorEastAsia" w:eastAsiaTheme="minorEastAsia"/>
          <w:b w:val="0"/>
          <w:color w:val="auto"/>
          <w:sz w:val="21"/>
          <w:szCs w:val="21"/>
          <w:highlight w:val="none"/>
        </w:rPr>
        <w:t>知识产权</w:t>
      </w:r>
      <w:r>
        <w:rPr>
          <w:rFonts w:asciiTheme="minorEastAsia" w:hAnsiTheme="minorEastAsia" w:eastAsiaTheme="minorEastAsia"/>
          <w:b w:val="0"/>
          <w:color w:val="auto"/>
          <w:sz w:val="21"/>
          <w:szCs w:val="21"/>
          <w:highlight w:val="none"/>
        </w:rPr>
        <w:t xml:space="preserve"> </w:t>
      </w:r>
    </w:p>
    <w:p w14:paraId="44DB5AC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1.11.1 </w:t>
      </w:r>
      <w:r>
        <w:rPr>
          <w:rFonts w:hint="eastAsia" w:asciiTheme="minorEastAsia" w:hAnsiTheme="minorEastAsia" w:eastAsiaTheme="minorEastAsia"/>
          <w:color w:val="auto"/>
          <w:kern w:val="0"/>
          <w:szCs w:val="21"/>
          <w:highlight w:val="none"/>
        </w:rPr>
        <w:t>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344AF65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1.11.2 </w:t>
      </w:r>
      <w:r>
        <w:rPr>
          <w:rFonts w:hint="eastAsia" w:asciiTheme="minorEastAsia" w:hAnsiTheme="minorEastAsia" w:eastAsiaTheme="minorEastAsia"/>
          <w:color w:val="auto"/>
          <w:kern w:val="0"/>
          <w:szCs w:val="21"/>
          <w:highlight w:val="none"/>
        </w:rPr>
        <w:t>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5D3F744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1.11.3 </w:t>
      </w:r>
      <w:r>
        <w:rPr>
          <w:rFonts w:hint="eastAsia" w:asciiTheme="minorEastAsia" w:hAnsiTheme="minorEastAsia" w:eastAsiaTheme="minorEastAsia"/>
          <w:color w:val="auto"/>
          <w:kern w:val="0"/>
          <w:szCs w:val="21"/>
          <w:highlight w:val="none"/>
        </w:rPr>
        <w:t>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BC980C7">
      <w:pPr>
        <w:keepNext w:val="0"/>
        <w:keepLines w:val="0"/>
        <w:pageBreakBefore w:val="0"/>
        <w:widowControl w:val="0"/>
        <w:kinsoku/>
        <w:wordWrap/>
        <w:overflowPunct/>
        <w:topLinePunct w:val="0"/>
        <w:bidi w:val="0"/>
        <w:spacing w:line="440" w:lineRule="exact"/>
        <w:ind w:left="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    1.11.4 </w:t>
      </w:r>
      <w:r>
        <w:rPr>
          <w:rFonts w:hint="eastAsia" w:asciiTheme="minorEastAsia" w:hAnsiTheme="minorEastAsia" w:eastAsiaTheme="minorEastAsia"/>
          <w:color w:val="auto"/>
          <w:szCs w:val="21"/>
          <w:highlight w:val="none"/>
        </w:rPr>
        <w:t>除专用合同条款另有约定外，承包人在合同签订前和签订时已确定采用的专利、专有技术、技术秘密的使用费已包含在签约合同价中。</w:t>
      </w:r>
    </w:p>
    <w:p w14:paraId="3D4C701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1.12</w:t>
      </w:r>
      <w:r>
        <w:rPr>
          <w:rFonts w:hint="eastAsia" w:asciiTheme="minorEastAsia" w:hAnsiTheme="minorEastAsia" w:eastAsiaTheme="minorEastAsia"/>
          <w:b w:val="0"/>
          <w:color w:val="auto"/>
          <w:sz w:val="21"/>
          <w:szCs w:val="21"/>
          <w:highlight w:val="none"/>
        </w:rPr>
        <w:t>保密</w:t>
      </w:r>
    </w:p>
    <w:p w14:paraId="3017AE5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除法律规定或合同另有约定外，未经发包人同意，承包人不得将发包人提供的图纸、文件以及声明需要保密的资料信息等商业秘密泄露给第三方。</w:t>
      </w:r>
    </w:p>
    <w:p w14:paraId="24A130B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除法律规定或合同另有约定外，未经承包人同意，发包人不得将承包人提供的技术秘密及声明需要保密的资料信息等商业秘密泄露给第三方。</w:t>
      </w:r>
    </w:p>
    <w:p w14:paraId="7582A34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1.13</w:t>
      </w:r>
      <w:r>
        <w:rPr>
          <w:rFonts w:hint="eastAsia" w:asciiTheme="minorEastAsia" w:hAnsiTheme="minorEastAsia" w:eastAsiaTheme="minorEastAsia"/>
          <w:b w:val="0"/>
          <w:color w:val="auto"/>
          <w:sz w:val="21"/>
          <w:szCs w:val="21"/>
          <w:highlight w:val="none"/>
        </w:rPr>
        <w:t>工程量清单错误的修正</w:t>
      </w:r>
    </w:p>
    <w:p w14:paraId="7FF7B69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除专用合同条款另有约定外，发包人提供的工程量清单，应被认为是准确的和完整的。出现下列情形之一时，发包人应予以修正，并相应调整合同价格：</w:t>
      </w:r>
    </w:p>
    <w:p w14:paraId="59D7091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）工程量清单存在缺项、漏项的；</w:t>
      </w:r>
    </w:p>
    <w:p w14:paraId="111B70A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）工程量清单偏差超出专用合同条款约定的工程量偏差范围的；</w:t>
      </w:r>
    </w:p>
    <w:p w14:paraId="7A525FD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）未按照国家现行计量规范强制性规定计量的。</w:t>
      </w:r>
    </w:p>
    <w:p w14:paraId="38DB127D">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41" w:name="_Toc4992"/>
      <w:bookmarkStart w:id="242" w:name="_Toc4192"/>
      <w:bookmarkStart w:id="243" w:name="_Toc22668"/>
      <w:r>
        <w:rPr>
          <w:rFonts w:hint="eastAsia" w:asciiTheme="minorEastAsia" w:hAnsiTheme="minorEastAsia" w:eastAsiaTheme="minorEastAsia"/>
          <w:b/>
          <w:color w:val="auto"/>
          <w:szCs w:val="21"/>
          <w:highlight w:val="none"/>
        </w:rPr>
        <w:t>2. 发包人</w:t>
      </w:r>
      <w:bookmarkEnd w:id="241"/>
      <w:bookmarkEnd w:id="242"/>
      <w:bookmarkEnd w:id="243"/>
    </w:p>
    <w:p w14:paraId="00A0FB7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2.1 </w:t>
      </w:r>
      <w:r>
        <w:rPr>
          <w:rFonts w:hint="eastAsia" w:asciiTheme="minorEastAsia" w:hAnsiTheme="minorEastAsia" w:eastAsiaTheme="minorEastAsia"/>
          <w:b w:val="0"/>
          <w:color w:val="auto"/>
          <w:sz w:val="21"/>
          <w:szCs w:val="21"/>
          <w:highlight w:val="none"/>
        </w:rPr>
        <w:t>许可或批准</w:t>
      </w:r>
    </w:p>
    <w:p w14:paraId="7AD5A63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607A8E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因发包人原因未能及时办理完毕前述许可、批准或备案，由发包人承担由此增加的费用和（或）延误的工期，并支付承包人合理的利润。</w:t>
      </w:r>
    </w:p>
    <w:p w14:paraId="444B007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2.2 </w:t>
      </w:r>
      <w:r>
        <w:rPr>
          <w:rFonts w:hint="eastAsia" w:asciiTheme="minorEastAsia" w:hAnsiTheme="minorEastAsia" w:eastAsiaTheme="minorEastAsia"/>
          <w:b w:val="0"/>
          <w:color w:val="auto"/>
          <w:sz w:val="21"/>
          <w:szCs w:val="21"/>
          <w:highlight w:val="none"/>
        </w:rPr>
        <w:t>发包人代表</w:t>
      </w:r>
    </w:p>
    <w:p w14:paraId="3277616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天书面通知承包人。</w:t>
      </w:r>
    </w:p>
    <w:p w14:paraId="566ECEA7">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发包人代表不能按照合同约定履行其职责及义务，并导致合同无法继续正常履行的，承包人可以要求发包人撤换发包人代表。</w:t>
      </w:r>
    </w:p>
    <w:p w14:paraId="174AAAE8">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不属于法定必须监理的工程，监理人的职权可以由发包人代表或发包人指定的其他人员行使。</w:t>
      </w:r>
    </w:p>
    <w:p w14:paraId="63EA2B6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2.3 </w:t>
      </w:r>
      <w:r>
        <w:rPr>
          <w:rFonts w:hint="eastAsia" w:asciiTheme="minorEastAsia" w:hAnsiTheme="minorEastAsia" w:eastAsiaTheme="minorEastAsia"/>
          <w:b w:val="0"/>
          <w:color w:val="auto"/>
          <w:sz w:val="21"/>
          <w:szCs w:val="21"/>
          <w:highlight w:val="none"/>
        </w:rPr>
        <w:t>发包人人员</w:t>
      </w:r>
    </w:p>
    <w:p w14:paraId="5BEA06C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发包人应要求在施工现场的发包人人员遵守法律及有关安全、质量、环境保护、文明施工等规定，并保障承包人免于承受因发包人人员未遵守上述要求给承包人造成的损失和责任。</w:t>
      </w:r>
    </w:p>
    <w:p w14:paraId="0E6F265B">
      <w:pPr>
        <w:keepNext w:val="0"/>
        <w:keepLines w:val="0"/>
        <w:pageBreakBefore w:val="0"/>
        <w:widowControl w:val="0"/>
        <w:kinsoku/>
        <w:wordWrap/>
        <w:overflowPunct/>
        <w:topLinePunct w:val="0"/>
        <w:bidi w:val="0"/>
        <w:spacing w:line="440" w:lineRule="exact"/>
        <w:ind w:left="0" w:firstLine="64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发包人人员包括发包人代表及其他由发包人派驻施工现场的人员。</w:t>
      </w:r>
    </w:p>
    <w:p w14:paraId="600358F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2.4 </w:t>
      </w:r>
      <w:r>
        <w:rPr>
          <w:rFonts w:hint="eastAsia" w:asciiTheme="minorEastAsia" w:hAnsiTheme="minorEastAsia" w:eastAsiaTheme="minorEastAsia"/>
          <w:b w:val="0"/>
          <w:color w:val="auto"/>
          <w:sz w:val="21"/>
          <w:szCs w:val="21"/>
          <w:highlight w:val="none"/>
        </w:rPr>
        <w:t>施工现场、施工条件和基础资料的提供</w:t>
      </w:r>
      <w:r>
        <w:rPr>
          <w:rFonts w:asciiTheme="minorEastAsia" w:hAnsiTheme="minorEastAsia" w:eastAsiaTheme="minorEastAsia"/>
          <w:b w:val="0"/>
          <w:color w:val="auto"/>
          <w:sz w:val="21"/>
          <w:szCs w:val="21"/>
          <w:highlight w:val="none"/>
        </w:rPr>
        <w:t xml:space="preserve">  </w:t>
      </w:r>
    </w:p>
    <w:p w14:paraId="47F87DB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2.4.1 </w:t>
      </w:r>
      <w:r>
        <w:rPr>
          <w:rFonts w:hint="eastAsia" w:asciiTheme="minorEastAsia" w:hAnsiTheme="minorEastAsia" w:eastAsiaTheme="minorEastAsia"/>
          <w:color w:val="auto"/>
          <w:kern w:val="0"/>
          <w:szCs w:val="21"/>
          <w:highlight w:val="none"/>
        </w:rPr>
        <w:t>提供施工现场</w:t>
      </w:r>
    </w:p>
    <w:p w14:paraId="00D7E88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除专用合同条款另有约定外，发包人应最迟于开工日期</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天前向承包人移交施工现场。</w:t>
      </w:r>
    </w:p>
    <w:p w14:paraId="096C861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2.4.2 </w:t>
      </w:r>
      <w:r>
        <w:rPr>
          <w:rFonts w:hint="eastAsia" w:asciiTheme="minorEastAsia" w:hAnsiTheme="minorEastAsia" w:eastAsiaTheme="minorEastAsia"/>
          <w:color w:val="auto"/>
          <w:kern w:val="0"/>
          <w:szCs w:val="21"/>
          <w:highlight w:val="none"/>
        </w:rPr>
        <w:t>提供施工条件</w:t>
      </w:r>
    </w:p>
    <w:p w14:paraId="7FC1C53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除专用合同条款另有约定外，发包人应负责提供施工所需要的条件，包括：</w:t>
      </w:r>
    </w:p>
    <w:p w14:paraId="5684944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）将施工用水、电力、通讯线路等施工所必需的条件接至施工现场内；</w:t>
      </w:r>
    </w:p>
    <w:p w14:paraId="7849E41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）保证向承包人提供正常施工所需要的进入施工现场的交通条件；</w:t>
      </w:r>
    </w:p>
    <w:p w14:paraId="3227A6D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）协调处理施工现场周围地下管线和邻近建筑物、构筑物、古树名木的保护工作，并承担相关费用；</w:t>
      </w:r>
    </w:p>
    <w:p w14:paraId="4290EAC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）按照专用合同条款约定应提供的其他设施和条件。</w:t>
      </w:r>
    </w:p>
    <w:p w14:paraId="0E2B484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2.4.3 </w:t>
      </w:r>
      <w:r>
        <w:rPr>
          <w:rFonts w:hint="eastAsia" w:asciiTheme="minorEastAsia" w:hAnsiTheme="minorEastAsia" w:eastAsiaTheme="minorEastAsia"/>
          <w:color w:val="auto"/>
          <w:kern w:val="0"/>
          <w:szCs w:val="21"/>
          <w:highlight w:val="none"/>
        </w:rPr>
        <w:t>提供基础资料</w:t>
      </w:r>
    </w:p>
    <w:p w14:paraId="23C0F8E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D9DBEE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按照法律规定确需在开工后方能提供的基础资料，发包人应尽其努力及时地在相应工程施工前的合理期限内提供，合理期限应以不影响承包人的正常施工为限。</w:t>
      </w:r>
    </w:p>
    <w:p w14:paraId="7F4FACB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2.4.4 </w:t>
      </w:r>
      <w:r>
        <w:rPr>
          <w:rFonts w:hint="eastAsia" w:asciiTheme="minorEastAsia" w:hAnsiTheme="minorEastAsia" w:eastAsiaTheme="minorEastAsia"/>
          <w:color w:val="auto"/>
          <w:kern w:val="0"/>
          <w:szCs w:val="21"/>
          <w:highlight w:val="none"/>
        </w:rPr>
        <w:t>逾期提供的责任</w:t>
      </w:r>
    </w:p>
    <w:p w14:paraId="48B5F86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因发包人原因未能按合同约定及时向承包人提供施工现场、施工条件、基础资料的，由发包人承担由此增加的费用和（或）延误的工期。</w:t>
      </w:r>
    </w:p>
    <w:p w14:paraId="010D249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2.5 </w:t>
      </w:r>
      <w:r>
        <w:rPr>
          <w:rFonts w:hint="eastAsia" w:asciiTheme="minorEastAsia" w:hAnsiTheme="minorEastAsia" w:eastAsiaTheme="minorEastAsia"/>
          <w:b w:val="0"/>
          <w:color w:val="auto"/>
          <w:sz w:val="21"/>
          <w:szCs w:val="21"/>
          <w:highlight w:val="none"/>
        </w:rPr>
        <w:t>资金来源证明及支付担保</w:t>
      </w:r>
    </w:p>
    <w:p w14:paraId="317F9D6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除专用合同条款另有约定外，发包人应在收到承包人要求提供资金来源证明的书面通知后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天内，向承包人提供能够按照合同约定支付合同价款的相应资金来源证明。</w:t>
      </w:r>
    </w:p>
    <w:p w14:paraId="7430DD9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除专用合同条款另有约定外，发包人要求承包人提供履约担保的，发包人应当向承包人提供支付担保。支付担保可以采用银行保函或担保公司担保等形式，具体由合同当事人在专用合同条款中约定。</w:t>
      </w:r>
    </w:p>
    <w:p w14:paraId="4744E88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2.6 </w:t>
      </w:r>
      <w:r>
        <w:rPr>
          <w:rFonts w:hint="eastAsia" w:asciiTheme="minorEastAsia" w:hAnsiTheme="minorEastAsia" w:eastAsiaTheme="minorEastAsia"/>
          <w:b w:val="0"/>
          <w:color w:val="auto"/>
          <w:sz w:val="21"/>
          <w:szCs w:val="21"/>
          <w:highlight w:val="none"/>
        </w:rPr>
        <w:t>支付合同价款</w:t>
      </w:r>
    </w:p>
    <w:p w14:paraId="46DD09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发包人应按合同约定向承包人及时支付合同价款。</w:t>
      </w:r>
    </w:p>
    <w:p w14:paraId="1514D74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2.7 </w:t>
      </w:r>
      <w:r>
        <w:rPr>
          <w:rFonts w:hint="eastAsia" w:asciiTheme="minorEastAsia" w:hAnsiTheme="minorEastAsia" w:eastAsiaTheme="minorEastAsia"/>
          <w:b w:val="0"/>
          <w:color w:val="auto"/>
          <w:sz w:val="21"/>
          <w:szCs w:val="21"/>
          <w:highlight w:val="none"/>
        </w:rPr>
        <w:t>组织竣工验收</w:t>
      </w:r>
    </w:p>
    <w:p w14:paraId="2C98663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发包人应按合同约定及时组织竣工验收。</w:t>
      </w:r>
    </w:p>
    <w:p w14:paraId="3BCD537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2.8 </w:t>
      </w:r>
      <w:r>
        <w:rPr>
          <w:rFonts w:hint="eastAsia" w:asciiTheme="minorEastAsia" w:hAnsiTheme="minorEastAsia" w:eastAsiaTheme="minorEastAsia"/>
          <w:b w:val="0"/>
          <w:color w:val="auto"/>
          <w:sz w:val="21"/>
          <w:szCs w:val="21"/>
          <w:highlight w:val="none"/>
        </w:rPr>
        <w:t>现场统一管理协议</w:t>
      </w:r>
    </w:p>
    <w:p w14:paraId="3FF0CA7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发包人应与承包人、由发包人直接发包的专业工程的承包人签订施工现场统一管理协议，明确各方的权利义务。施工现场统一管理协议作为专用合同条款的附件。</w:t>
      </w:r>
    </w:p>
    <w:p w14:paraId="61B16346">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44" w:name="_Toc5072"/>
      <w:bookmarkStart w:id="245" w:name="_Toc12177"/>
      <w:bookmarkStart w:id="246" w:name="_Toc425"/>
      <w:r>
        <w:rPr>
          <w:rFonts w:hint="eastAsia" w:asciiTheme="minorEastAsia" w:hAnsiTheme="minorEastAsia" w:eastAsiaTheme="minorEastAsia"/>
          <w:b/>
          <w:color w:val="auto"/>
          <w:szCs w:val="21"/>
          <w:highlight w:val="none"/>
        </w:rPr>
        <w:t>3. 承包人</w:t>
      </w:r>
      <w:bookmarkEnd w:id="244"/>
      <w:bookmarkEnd w:id="245"/>
      <w:bookmarkEnd w:id="246"/>
    </w:p>
    <w:p w14:paraId="609722E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3.1 </w:t>
      </w:r>
      <w:r>
        <w:rPr>
          <w:rFonts w:hint="eastAsia" w:asciiTheme="minorEastAsia" w:hAnsiTheme="minorEastAsia" w:eastAsiaTheme="minorEastAsia"/>
          <w:b w:val="0"/>
          <w:color w:val="auto"/>
          <w:sz w:val="21"/>
          <w:szCs w:val="21"/>
          <w:highlight w:val="none"/>
        </w:rPr>
        <w:t>承包人的一般义务</w:t>
      </w:r>
    </w:p>
    <w:p w14:paraId="54B7ED7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承包人在履行合同过程中应遵守法律和工程建设标准规范，并履行以下义务：</w:t>
      </w:r>
    </w:p>
    <w:p w14:paraId="2A0F5EF1">
      <w:pPr>
        <w:keepNext w:val="0"/>
        <w:keepLines w:val="0"/>
        <w:pageBreakBefore w:val="0"/>
        <w:widowControl w:val="0"/>
        <w:numPr>
          <w:ilvl w:val="0"/>
          <w:numId w:val="6"/>
        </w:numPr>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办理法律规定应由承包人办理的许可和批准，并将办理结果书面报送发包人留存；</w:t>
      </w:r>
    </w:p>
    <w:p w14:paraId="426D9FB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）按法律规定和合同约定完成工程，并在保修期内承担保修义务；</w:t>
      </w:r>
    </w:p>
    <w:p w14:paraId="18B85C2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）按法律规定和合同约定采取施工安全和环境保护措施，办理工伤保险，确保工程及人员、材料、设备和设施的安全；</w:t>
      </w:r>
    </w:p>
    <w:p w14:paraId="0E22F7E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）按合同约定的工作内容和施工进度要求，编制施工组织设计和施工措施计划，并对所有施工作业和施工方法的完备性和安全可靠性负责；</w:t>
      </w:r>
    </w:p>
    <w:p w14:paraId="689BF47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1C9DAD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）按照第</w:t>
      </w:r>
      <w:r>
        <w:rPr>
          <w:rFonts w:asciiTheme="minorEastAsia" w:hAnsiTheme="minorEastAsia" w:eastAsiaTheme="minorEastAsia"/>
          <w:color w:val="auto"/>
          <w:kern w:val="0"/>
          <w:szCs w:val="21"/>
          <w:highlight w:val="none"/>
        </w:rPr>
        <w:t>6.3</w:t>
      </w:r>
      <w:r>
        <w:rPr>
          <w:rFonts w:hint="eastAsia" w:asciiTheme="minorEastAsia" w:hAnsiTheme="minorEastAsia" w:eastAsiaTheme="minorEastAsia"/>
          <w:color w:val="auto"/>
          <w:kern w:val="0"/>
          <w:szCs w:val="21"/>
          <w:highlight w:val="none"/>
        </w:rPr>
        <w:t>款〔环境保护〕约定负责施工场地及其周边环境与生态的保护工作；</w:t>
      </w:r>
    </w:p>
    <w:p w14:paraId="63D4E80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）按第</w:t>
      </w:r>
      <w:r>
        <w:rPr>
          <w:rFonts w:asciiTheme="minorEastAsia" w:hAnsiTheme="minorEastAsia" w:eastAsiaTheme="minorEastAsia"/>
          <w:color w:val="auto"/>
          <w:kern w:val="0"/>
          <w:szCs w:val="21"/>
          <w:highlight w:val="none"/>
        </w:rPr>
        <w:t>6.1</w:t>
      </w:r>
      <w:r>
        <w:rPr>
          <w:rFonts w:hint="eastAsia" w:asciiTheme="minorEastAsia" w:hAnsiTheme="minorEastAsia" w:eastAsiaTheme="minorEastAsia"/>
          <w:color w:val="auto"/>
          <w:kern w:val="0"/>
          <w:szCs w:val="21"/>
          <w:highlight w:val="none"/>
        </w:rPr>
        <w:t>款〔安全文明施工〕约定采取施工安全措施，确保工程及其人员、材料、设备和设施的安全，防止因工程施工造成的人身伤害和财产损失；</w:t>
      </w:r>
    </w:p>
    <w:p w14:paraId="2268B26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8</w:t>
      </w:r>
      <w:r>
        <w:rPr>
          <w:rFonts w:hint="eastAsia" w:asciiTheme="minorEastAsia" w:hAnsiTheme="minorEastAsia" w:eastAsiaTheme="minorEastAsia"/>
          <w:color w:val="auto"/>
          <w:kern w:val="0"/>
          <w:szCs w:val="21"/>
          <w:highlight w:val="none"/>
        </w:rPr>
        <w:t>）将发包人按合同约定支付的各项价款专用于合同工程，且应及时支付其雇用人员工资，并及时向分包人支付合同价款；</w:t>
      </w:r>
    </w:p>
    <w:p w14:paraId="3B0936F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9</w:t>
      </w:r>
      <w:r>
        <w:rPr>
          <w:rFonts w:hint="eastAsia" w:asciiTheme="minorEastAsia" w:hAnsiTheme="minorEastAsia" w:eastAsiaTheme="minorEastAsia"/>
          <w:color w:val="auto"/>
          <w:kern w:val="0"/>
          <w:szCs w:val="21"/>
          <w:highlight w:val="none"/>
        </w:rPr>
        <w:t>）按照法律规定和合同约定编制竣工资料，完成竣工资料立卷及归档，并按专用合同条款约定的竣工资料的套数、内容、时间等要求移交发包人；</w:t>
      </w:r>
    </w:p>
    <w:p w14:paraId="65C80EE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10</w:t>
      </w:r>
      <w:r>
        <w:rPr>
          <w:rFonts w:hint="eastAsia" w:asciiTheme="minorEastAsia" w:hAnsiTheme="minorEastAsia" w:eastAsiaTheme="minorEastAsia"/>
          <w:color w:val="auto"/>
          <w:kern w:val="0"/>
          <w:szCs w:val="21"/>
          <w:highlight w:val="none"/>
        </w:rPr>
        <w:t>）应履行的其他义务。</w:t>
      </w:r>
    </w:p>
    <w:p w14:paraId="77E015C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3.2 </w:t>
      </w:r>
      <w:r>
        <w:rPr>
          <w:rFonts w:hint="eastAsia" w:asciiTheme="minorEastAsia" w:hAnsiTheme="minorEastAsia" w:eastAsiaTheme="minorEastAsia"/>
          <w:b w:val="0"/>
          <w:color w:val="auto"/>
          <w:sz w:val="21"/>
          <w:szCs w:val="21"/>
          <w:highlight w:val="none"/>
        </w:rPr>
        <w:t>项目经理</w:t>
      </w:r>
    </w:p>
    <w:p w14:paraId="4EA5382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3.2.1 </w:t>
      </w:r>
      <w:r>
        <w:rPr>
          <w:rFonts w:hint="eastAsia" w:asciiTheme="minorEastAsia" w:hAnsiTheme="minorEastAsia" w:eastAsiaTheme="minorEastAsia"/>
          <w:color w:val="auto"/>
          <w:kern w:val="0"/>
          <w:szCs w:val="21"/>
          <w:highlight w:val="none"/>
        </w:rPr>
        <w:t>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312E968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FECFE2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承包人违反上述约定的，应按照专用合同条款的约定，承担违约责任。</w:t>
      </w:r>
    </w:p>
    <w:p w14:paraId="631A6C8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3.2.2 </w:t>
      </w:r>
      <w:r>
        <w:rPr>
          <w:rFonts w:hint="eastAsia" w:asciiTheme="minorEastAsia" w:hAnsiTheme="minorEastAsia" w:eastAsiaTheme="minorEastAsia"/>
          <w:color w:val="auto"/>
          <w:kern w:val="0"/>
          <w:szCs w:val="21"/>
          <w:highlight w:val="none"/>
        </w:rPr>
        <w:t>项目经理按合同约定组织工程实施。在紧急情况下为确保施工安全和人员安全，在无法与发包人代表和总监理工程师及时取得联系时，项目经理有权采取必要的措施保证与工程有关的人身、财产和工程的安全，但应在</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小时内向发包人代表和总监理工程师提交书面报告。</w:t>
      </w:r>
    </w:p>
    <w:p w14:paraId="7CDA6FF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3.2.3 </w:t>
      </w:r>
      <w:r>
        <w:rPr>
          <w:rFonts w:hint="eastAsia" w:asciiTheme="minorEastAsia" w:hAnsiTheme="minorEastAsia" w:eastAsiaTheme="minorEastAsia"/>
          <w:color w:val="auto"/>
          <w:kern w:val="0"/>
          <w:szCs w:val="21"/>
          <w:highlight w:val="none"/>
        </w:rPr>
        <w:t>承包人需要更换项目经理的，应提前</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天书面通知发包人和监理人，并征得发包人书面同意。通知中应当载明继任项目经理的注册执业资格、管理经验等资料，继任项目经理继续履行第</w:t>
      </w:r>
      <w:r>
        <w:rPr>
          <w:rFonts w:asciiTheme="minorEastAsia" w:hAnsiTheme="minorEastAsia" w:eastAsiaTheme="minorEastAsia"/>
          <w:color w:val="auto"/>
          <w:kern w:val="0"/>
          <w:szCs w:val="21"/>
          <w:highlight w:val="none"/>
        </w:rPr>
        <w:t>3.2.1</w:t>
      </w:r>
      <w:r>
        <w:rPr>
          <w:rFonts w:hint="eastAsia" w:asciiTheme="minorEastAsia" w:hAnsiTheme="minorEastAsia" w:eastAsiaTheme="minorEastAsia"/>
          <w:color w:val="auto"/>
          <w:kern w:val="0"/>
          <w:szCs w:val="21"/>
          <w:highlight w:val="none"/>
        </w:rPr>
        <w:t>项约定的职责。未经发包人书面同意，承包人不得擅自更换项目经理。承包人擅自更换项目经理的，应按照专用合同条款的约定承担违约责任。</w:t>
      </w:r>
    </w:p>
    <w:p w14:paraId="543F6B4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3.2.4 </w:t>
      </w:r>
      <w:r>
        <w:rPr>
          <w:rFonts w:hint="eastAsia" w:asciiTheme="minorEastAsia" w:hAnsiTheme="minorEastAsia" w:eastAsiaTheme="minorEastAsia"/>
          <w:color w:val="auto"/>
          <w:kern w:val="0"/>
          <w:szCs w:val="21"/>
          <w:highlight w:val="none"/>
        </w:rPr>
        <w:t>发包人有权书面通知承包人更换其认为不称职的项目经理，通知中应当载明要求更换的理由。承包人应在接到更换通知后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天内向发包人提出书面的改进报告。发包人收到改进报告后仍要求更换的，承包人应在接到第二次更换通知的</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天内进行更换，并将新任命的项目经理的注册执业资格、管理经验等资料书面通知发包人。继任项目经理继续履行第</w:t>
      </w:r>
      <w:r>
        <w:rPr>
          <w:rFonts w:asciiTheme="minorEastAsia" w:hAnsiTheme="minorEastAsia" w:eastAsiaTheme="minorEastAsia"/>
          <w:color w:val="auto"/>
          <w:kern w:val="0"/>
          <w:szCs w:val="21"/>
          <w:highlight w:val="none"/>
        </w:rPr>
        <w:t>3.2.1</w:t>
      </w:r>
      <w:r>
        <w:rPr>
          <w:rFonts w:hint="eastAsia" w:asciiTheme="minorEastAsia" w:hAnsiTheme="minorEastAsia" w:eastAsiaTheme="minorEastAsia"/>
          <w:color w:val="auto"/>
          <w:kern w:val="0"/>
          <w:szCs w:val="21"/>
          <w:highlight w:val="none"/>
        </w:rPr>
        <w:t>项约定的职责。承包人无正当理由拒绝更换项目经理的，应按照专用合同条款的约定承担违约责任。</w:t>
      </w:r>
    </w:p>
    <w:p w14:paraId="20ACA48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3.2.5 </w:t>
      </w:r>
      <w:r>
        <w:rPr>
          <w:rFonts w:hint="eastAsia" w:asciiTheme="minorEastAsia" w:hAnsiTheme="minorEastAsia" w:eastAsiaTheme="minorEastAsia"/>
          <w:color w:val="auto"/>
          <w:kern w:val="0"/>
          <w:szCs w:val="21"/>
          <w:highlight w:val="none"/>
        </w:rPr>
        <w:t>项目经理因特殊情况授权其下属人员履行其某项工作职责的，该下属人员应具备履行相应职责的能力，并应提前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天将上述人员的姓名和授权范围书面通知监理人，并征得发包人书面同意。</w:t>
      </w:r>
    </w:p>
    <w:p w14:paraId="4C2C6B3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3.3 </w:t>
      </w:r>
      <w:r>
        <w:rPr>
          <w:rFonts w:hint="eastAsia" w:asciiTheme="minorEastAsia" w:hAnsiTheme="minorEastAsia" w:eastAsiaTheme="minorEastAsia"/>
          <w:b w:val="0"/>
          <w:color w:val="auto"/>
          <w:sz w:val="21"/>
          <w:szCs w:val="21"/>
          <w:highlight w:val="none"/>
        </w:rPr>
        <w:t>承包人人员</w:t>
      </w:r>
    </w:p>
    <w:p w14:paraId="610EE3E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3.3.1 </w:t>
      </w:r>
      <w:r>
        <w:rPr>
          <w:rFonts w:hint="eastAsia" w:asciiTheme="minorEastAsia" w:hAnsiTheme="minorEastAsia" w:eastAsiaTheme="minorEastAsia"/>
          <w:color w:val="auto"/>
          <w:kern w:val="0"/>
          <w:szCs w:val="21"/>
          <w:highlight w:val="none"/>
        </w:rPr>
        <w:t>除专用合同条款另有约定外，承包人应在接到开工通知后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1262DB7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3.3.2 </w:t>
      </w:r>
      <w:r>
        <w:rPr>
          <w:rFonts w:hint="eastAsia" w:asciiTheme="minorEastAsia" w:hAnsiTheme="minorEastAsia" w:eastAsiaTheme="minorEastAsia"/>
          <w:color w:val="auto"/>
          <w:kern w:val="0"/>
          <w:szCs w:val="21"/>
          <w:highlight w:val="none"/>
        </w:rPr>
        <w:t>承包人派驻到施工现场的主要施工管理人员应相对稳定。施工过程中如有变动，承包人应及时向监理人提交施工现场人员变动情况的报告。承包人更换主要施工管理人员时，应提前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天书面通知监理人，并征得发包人书面同意。通知中应当载明继任人员的注册执业资格、管理经验等资料。</w:t>
      </w:r>
    </w:p>
    <w:p w14:paraId="47A4BAD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特殊工种作业人员均应持有相应的资格证明，监理人可以随时检查。</w:t>
      </w:r>
    </w:p>
    <w:p w14:paraId="694B104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3.3.3 </w:t>
      </w:r>
      <w:r>
        <w:rPr>
          <w:rFonts w:hint="eastAsia" w:asciiTheme="minorEastAsia" w:hAnsiTheme="minorEastAsia" w:eastAsiaTheme="minorEastAsia"/>
          <w:color w:val="auto"/>
          <w:kern w:val="0"/>
          <w:szCs w:val="21"/>
          <w:highlight w:val="none"/>
        </w:rPr>
        <w:t>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6DD0F09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3.3.4 </w:t>
      </w:r>
      <w:r>
        <w:rPr>
          <w:rFonts w:hint="eastAsia" w:asciiTheme="minorEastAsia" w:hAnsiTheme="minorEastAsia" w:eastAsiaTheme="minorEastAsia"/>
          <w:color w:val="auto"/>
          <w:kern w:val="0"/>
          <w:szCs w:val="21"/>
          <w:highlight w:val="none"/>
        </w:rPr>
        <w:t>除专用合同条款另有约定外，承包人的主要施工管理人员离开施工现场每月累计不超过</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天的，应报监理人同意；离开施工现场每月累计超过</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天的，应通知监理人，并征得发包人书面同意。主要施工管理人员离开施工现场前应指定一名有经验的人员临时代行其职责，该人员应具备履行相应职责的资格和能力，且应征得监理人或发包人的同意。</w:t>
      </w:r>
    </w:p>
    <w:p w14:paraId="650583F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3.3.5 </w:t>
      </w:r>
      <w:r>
        <w:rPr>
          <w:rFonts w:hint="eastAsia" w:asciiTheme="minorEastAsia" w:hAnsiTheme="minorEastAsia" w:eastAsiaTheme="minorEastAsia"/>
          <w:color w:val="auto"/>
          <w:kern w:val="0"/>
          <w:szCs w:val="21"/>
          <w:highlight w:val="none"/>
        </w:rPr>
        <w:t>承包人擅自更换主要施工管理人员，或前述人员未经监理人或发包人同意擅自离开施工现场的，应按照专用合同条款约定承担违约责任。</w:t>
      </w:r>
    </w:p>
    <w:p w14:paraId="5705625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3.4 </w:t>
      </w:r>
      <w:r>
        <w:rPr>
          <w:rFonts w:hint="eastAsia" w:asciiTheme="minorEastAsia" w:hAnsiTheme="minorEastAsia" w:eastAsiaTheme="minorEastAsia"/>
          <w:b w:val="0"/>
          <w:color w:val="auto"/>
          <w:sz w:val="21"/>
          <w:szCs w:val="21"/>
          <w:highlight w:val="none"/>
        </w:rPr>
        <w:t>承包人现场查勘</w:t>
      </w:r>
    </w:p>
    <w:p w14:paraId="2D07E8E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承包人应对基于发包人按照第</w:t>
      </w:r>
      <w:r>
        <w:rPr>
          <w:rFonts w:asciiTheme="minorEastAsia" w:hAnsiTheme="minorEastAsia" w:eastAsiaTheme="minorEastAsia"/>
          <w:color w:val="auto"/>
          <w:kern w:val="0"/>
          <w:szCs w:val="21"/>
          <w:highlight w:val="none"/>
        </w:rPr>
        <w:t>2.4.3</w:t>
      </w:r>
      <w:r>
        <w:rPr>
          <w:rFonts w:hint="eastAsia" w:asciiTheme="minorEastAsia" w:hAnsiTheme="minorEastAsia" w:eastAsiaTheme="minorEastAsia"/>
          <w:color w:val="auto"/>
          <w:kern w:val="0"/>
          <w:szCs w:val="21"/>
          <w:highlight w:val="none"/>
        </w:rPr>
        <w:t>项〔提供基础资料〕提交的基础资料所做出的解释和推断负责，但因基础资料存在错误、遗漏导致承包人解释或推断失实的，由发包人承担责任。</w:t>
      </w:r>
    </w:p>
    <w:p w14:paraId="766DAD1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19BB5A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3.5 </w:t>
      </w:r>
      <w:r>
        <w:rPr>
          <w:rFonts w:hint="eastAsia" w:asciiTheme="minorEastAsia" w:hAnsiTheme="minorEastAsia" w:eastAsiaTheme="minorEastAsia"/>
          <w:b w:val="0"/>
          <w:color w:val="auto"/>
          <w:sz w:val="21"/>
          <w:szCs w:val="21"/>
          <w:highlight w:val="none"/>
        </w:rPr>
        <w:t>分包</w:t>
      </w:r>
    </w:p>
    <w:p w14:paraId="3A803AF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3.5.1 </w:t>
      </w:r>
      <w:r>
        <w:rPr>
          <w:rFonts w:hint="eastAsia" w:asciiTheme="minorEastAsia" w:hAnsiTheme="minorEastAsia" w:eastAsiaTheme="minorEastAsia"/>
          <w:color w:val="auto"/>
          <w:kern w:val="0"/>
          <w:szCs w:val="21"/>
          <w:highlight w:val="none"/>
        </w:rPr>
        <w:t>分包的一般约定</w:t>
      </w:r>
    </w:p>
    <w:p w14:paraId="0D204FC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7FD3A08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承包人不得以劳务分包的名义转包或违法分包工程。</w:t>
      </w:r>
    </w:p>
    <w:p w14:paraId="26CAEBE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3.5.2 </w:t>
      </w:r>
      <w:r>
        <w:rPr>
          <w:rFonts w:hint="eastAsia" w:asciiTheme="minorEastAsia" w:hAnsiTheme="minorEastAsia" w:eastAsiaTheme="minorEastAsia"/>
          <w:color w:val="auto"/>
          <w:kern w:val="0"/>
          <w:szCs w:val="21"/>
          <w:highlight w:val="none"/>
        </w:rPr>
        <w:t>分包的确定</w:t>
      </w:r>
    </w:p>
    <w:p w14:paraId="23C629C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承包人应按专用合同条款的约定进行分包，确定分包人。已标价工程量清单或预算书中给定暂估价的专业工程，按照第</w:t>
      </w:r>
      <w:r>
        <w:rPr>
          <w:rFonts w:asciiTheme="minorEastAsia" w:hAnsiTheme="minorEastAsia" w:eastAsiaTheme="minorEastAsia"/>
          <w:color w:val="auto"/>
          <w:kern w:val="0"/>
          <w:szCs w:val="21"/>
          <w:highlight w:val="none"/>
        </w:rPr>
        <w:t>10.7</w:t>
      </w:r>
      <w:r>
        <w:rPr>
          <w:rFonts w:hint="eastAsia" w:asciiTheme="minorEastAsia" w:hAnsiTheme="minorEastAsia" w:eastAsiaTheme="minorEastAsia"/>
          <w:color w:val="auto"/>
          <w:kern w:val="0"/>
          <w:szCs w:val="21"/>
          <w:highlight w:val="none"/>
        </w:rPr>
        <w:t>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天内向发包人和监理人提交分包合同副本。</w:t>
      </w:r>
    </w:p>
    <w:p w14:paraId="78873AE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3.5.3 </w:t>
      </w:r>
      <w:r>
        <w:rPr>
          <w:rFonts w:hint="eastAsia" w:asciiTheme="minorEastAsia" w:hAnsiTheme="minorEastAsia" w:eastAsiaTheme="minorEastAsia"/>
          <w:color w:val="auto"/>
          <w:kern w:val="0"/>
          <w:szCs w:val="21"/>
          <w:highlight w:val="none"/>
        </w:rPr>
        <w:t>分包管理</w:t>
      </w:r>
    </w:p>
    <w:p w14:paraId="0262E08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承包人应向监理人提交分包人的主要施工管理人员表，并对分包人的施工人员进行实名制管理，包括但不限于进出场管理、登记造册以及各种证照的办理。</w:t>
      </w:r>
    </w:p>
    <w:p w14:paraId="2C7CF9C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3.5.4 </w:t>
      </w:r>
      <w:r>
        <w:rPr>
          <w:rFonts w:hint="eastAsia" w:asciiTheme="minorEastAsia" w:hAnsiTheme="minorEastAsia" w:eastAsiaTheme="minorEastAsia"/>
          <w:color w:val="auto"/>
          <w:kern w:val="0"/>
          <w:szCs w:val="21"/>
          <w:highlight w:val="none"/>
        </w:rPr>
        <w:t>分包合同价款</w:t>
      </w:r>
    </w:p>
    <w:p w14:paraId="39487C1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）除本项第（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）目约定的情况或专用合同条款另有约定外，分包合同价款由承包人与分包人结算，未经承包人同意，发包人不得向分包人支付分包工程价款；</w:t>
      </w:r>
    </w:p>
    <w:p w14:paraId="4760FD3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）生效法律文书要求发包人向分包人支付分包合同价款的，发包人有权从应付承包人工程款中扣除该部分款项。</w:t>
      </w:r>
    </w:p>
    <w:p w14:paraId="18DECDF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3.5.5 </w:t>
      </w:r>
      <w:r>
        <w:rPr>
          <w:rFonts w:hint="eastAsia" w:asciiTheme="minorEastAsia" w:hAnsiTheme="minorEastAsia" w:eastAsiaTheme="minorEastAsia"/>
          <w:color w:val="auto"/>
          <w:kern w:val="0"/>
          <w:szCs w:val="21"/>
          <w:highlight w:val="none"/>
        </w:rPr>
        <w:t>分包合同权益的转让</w:t>
      </w:r>
    </w:p>
    <w:p w14:paraId="20A17B1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p>
    <w:p w14:paraId="5005DF6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3.6 </w:t>
      </w:r>
      <w:r>
        <w:rPr>
          <w:rFonts w:hint="eastAsia" w:asciiTheme="minorEastAsia" w:hAnsiTheme="minorEastAsia" w:eastAsiaTheme="minorEastAsia"/>
          <w:b w:val="0"/>
          <w:color w:val="auto"/>
          <w:sz w:val="21"/>
          <w:szCs w:val="21"/>
          <w:highlight w:val="none"/>
        </w:rPr>
        <w:t>工程照管与成品、半成品保护</w:t>
      </w:r>
    </w:p>
    <w:p w14:paraId="31E7F9D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）除专用合同条款另有约定外，自发包人向承包人移交施工现场之日起，承包人应负责照管工程及工程相关的材料、工程设备，直到颁发工程接收证书之日止。</w:t>
      </w:r>
    </w:p>
    <w:p w14:paraId="6F0FA1C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）在承包人负责照管期间，因承包人原因造成工程、材料、工程设备损坏的，由承包人负责修复或更换，并承担由此增加的费用和（或）延误的工期。</w:t>
      </w:r>
    </w:p>
    <w:p w14:paraId="752CB73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）对合同内分期完成的成品和半成品，在工程接收证书颁发前，由承包人承担保护责任。因承包人原因造成成品或半成品损坏的，由承包人负责修复或更换，并承担由此增加的费用和（或）延误的工期。</w:t>
      </w:r>
    </w:p>
    <w:p w14:paraId="6FD4D03D">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3.7 </w:t>
      </w:r>
      <w:r>
        <w:rPr>
          <w:rFonts w:hint="eastAsia" w:asciiTheme="minorEastAsia" w:hAnsiTheme="minorEastAsia" w:eastAsiaTheme="minorEastAsia"/>
          <w:b w:val="0"/>
          <w:color w:val="auto"/>
          <w:sz w:val="21"/>
          <w:szCs w:val="21"/>
          <w:highlight w:val="none"/>
        </w:rPr>
        <w:t>履约担保</w:t>
      </w:r>
    </w:p>
    <w:p w14:paraId="2F05FDB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6C21503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因承包人原因导致工期延长的，继续提供履约担保所增加的费用由承包人承担；非因承包人原因导致工期延长的，继续提供履约担保所增加的费用由发包人承担。</w:t>
      </w:r>
    </w:p>
    <w:p w14:paraId="1A2801D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3.8 </w:t>
      </w:r>
      <w:r>
        <w:rPr>
          <w:rFonts w:hint="eastAsia" w:asciiTheme="minorEastAsia" w:hAnsiTheme="minorEastAsia" w:eastAsiaTheme="minorEastAsia"/>
          <w:b w:val="0"/>
          <w:color w:val="auto"/>
          <w:sz w:val="21"/>
          <w:szCs w:val="21"/>
          <w:highlight w:val="none"/>
        </w:rPr>
        <w:t>联合体</w:t>
      </w:r>
    </w:p>
    <w:p w14:paraId="7023D00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3.8.1 </w:t>
      </w:r>
      <w:r>
        <w:rPr>
          <w:rFonts w:hint="eastAsia" w:asciiTheme="minorEastAsia" w:hAnsiTheme="minorEastAsia" w:eastAsiaTheme="minorEastAsia"/>
          <w:color w:val="auto"/>
          <w:kern w:val="0"/>
          <w:szCs w:val="21"/>
          <w:highlight w:val="none"/>
        </w:rPr>
        <w:t>联合体各方应共同与发包人签订合同协议书。联合体各方应为履行合同向发包人承担连带责任。</w:t>
      </w:r>
    </w:p>
    <w:p w14:paraId="4C6A8E5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3.8.2 </w:t>
      </w:r>
      <w:r>
        <w:rPr>
          <w:rFonts w:hint="eastAsia" w:asciiTheme="minorEastAsia" w:hAnsiTheme="minorEastAsia" w:eastAsiaTheme="minorEastAsia"/>
          <w:color w:val="auto"/>
          <w:kern w:val="0"/>
          <w:szCs w:val="21"/>
          <w:highlight w:val="none"/>
        </w:rPr>
        <w:t>联合体协议经发包人确认后作为合同附件。在履行合同过程中，未经发包人同意，不得修改联合体协议。</w:t>
      </w:r>
    </w:p>
    <w:p w14:paraId="0ABDE64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3.8.3 </w:t>
      </w:r>
      <w:r>
        <w:rPr>
          <w:rFonts w:hint="eastAsia" w:asciiTheme="minorEastAsia" w:hAnsiTheme="minorEastAsia" w:eastAsiaTheme="minorEastAsia"/>
          <w:color w:val="auto"/>
          <w:kern w:val="0"/>
          <w:szCs w:val="21"/>
          <w:highlight w:val="none"/>
        </w:rPr>
        <w:t>联合体牵头人负责与发包人和监理人联系，并接受指示，负责组织联合体各成员全面履行合同。</w:t>
      </w:r>
    </w:p>
    <w:p w14:paraId="4D1D2BD6">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47" w:name="_Toc9199"/>
      <w:bookmarkStart w:id="248" w:name="_Toc15406"/>
      <w:bookmarkStart w:id="249" w:name="_Toc24466"/>
      <w:r>
        <w:rPr>
          <w:rFonts w:hint="eastAsia" w:asciiTheme="minorEastAsia" w:hAnsiTheme="minorEastAsia" w:eastAsiaTheme="minorEastAsia"/>
          <w:b/>
          <w:color w:val="auto"/>
          <w:szCs w:val="21"/>
          <w:highlight w:val="none"/>
        </w:rPr>
        <w:t>4. 监理人</w:t>
      </w:r>
      <w:bookmarkEnd w:id="247"/>
      <w:bookmarkEnd w:id="248"/>
      <w:bookmarkEnd w:id="249"/>
    </w:p>
    <w:p w14:paraId="03E0267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4.1</w:t>
      </w:r>
      <w:r>
        <w:rPr>
          <w:rFonts w:hint="eastAsia" w:asciiTheme="minorEastAsia" w:hAnsiTheme="minorEastAsia" w:eastAsiaTheme="minorEastAsia"/>
          <w:b w:val="0"/>
          <w:color w:val="auto"/>
          <w:sz w:val="21"/>
          <w:szCs w:val="21"/>
          <w:highlight w:val="none"/>
        </w:rPr>
        <w:t>监理人的一般规定</w:t>
      </w:r>
    </w:p>
    <w:p w14:paraId="121A63D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3D0D6E8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除专用合同条款另有约定外，监理人在施工现场的办公场所、生活场所由承包人提供，所发生的费用由发包人承担。</w:t>
      </w:r>
    </w:p>
    <w:p w14:paraId="50D9B1D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4.2</w:t>
      </w:r>
      <w:r>
        <w:rPr>
          <w:rFonts w:hint="eastAsia" w:asciiTheme="minorEastAsia" w:hAnsiTheme="minorEastAsia" w:eastAsiaTheme="minorEastAsia"/>
          <w:b w:val="0"/>
          <w:color w:val="auto"/>
          <w:sz w:val="21"/>
          <w:szCs w:val="21"/>
          <w:highlight w:val="none"/>
        </w:rPr>
        <w:t>监理人员</w:t>
      </w:r>
    </w:p>
    <w:p w14:paraId="6E4C082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天书面通知承包人；更换其他监理人员，监理人应提前</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小时书面通知承包人。</w:t>
      </w:r>
    </w:p>
    <w:p w14:paraId="0919D0D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4.3</w:t>
      </w:r>
      <w:r>
        <w:rPr>
          <w:rFonts w:hint="eastAsia" w:asciiTheme="minorEastAsia" w:hAnsiTheme="minorEastAsia" w:eastAsiaTheme="minorEastAsia"/>
          <w:b w:val="0"/>
          <w:color w:val="auto"/>
          <w:sz w:val="21"/>
          <w:szCs w:val="21"/>
          <w:highlight w:val="none"/>
        </w:rPr>
        <w:t>监理人的指示</w:t>
      </w:r>
    </w:p>
    <w:p w14:paraId="7DDA120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小时内补发书面监理指示，补发的书面监理指示应与口头指示一致。</w:t>
      </w:r>
    </w:p>
    <w:p w14:paraId="6DF9FBD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款〔商定或确定〕约定应由总监理工程师作出确定的权力授权或委托给其他监理人员。</w:t>
      </w:r>
    </w:p>
    <w:p w14:paraId="568B7C2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承包人对监理人发出的指示有疑问的，应向监理人提出书面异议，监理人应在</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小时内对该指示予以确认、更改或撤销，监理人逾期未回复的，承包人有权拒绝执行上述指示。</w:t>
      </w:r>
    </w:p>
    <w:p w14:paraId="322E6EC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监理人对承包人的任何工作、工程或其采用的材料和工程设备未在约定的或合理期限内提出意见的，视为批准，但不免除或减轻承包人对该工作、工程、材料、工程设备等应承担的责任和义务。</w:t>
      </w:r>
    </w:p>
    <w:p w14:paraId="524EC34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4.4 </w:t>
      </w:r>
      <w:r>
        <w:rPr>
          <w:rFonts w:hint="eastAsia" w:asciiTheme="minorEastAsia" w:hAnsiTheme="minorEastAsia" w:eastAsiaTheme="minorEastAsia"/>
          <w:b w:val="0"/>
          <w:color w:val="auto"/>
          <w:sz w:val="21"/>
          <w:szCs w:val="21"/>
          <w:highlight w:val="none"/>
        </w:rPr>
        <w:t>商定或确定</w:t>
      </w:r>
    </w:p>
    <w:p w14:paraId="1BCBDA8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合同当事人进行商定或确定时，总监理工程师应当会同合同当事人尽量通过协商达成一致，不能达成一致的，由总监理工程师按照合同约定审慎做出公正的确定。</w:t>
      </w:r>
    </w:p>
    <w:p w14:paraId="0E2CB8D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总监理工程师应将确定以书面形式通知发包人和承包人，并附详细依据。合同当事人对总监理工程师的确定没有异议的，按照总监理工程师的确定执行。任何一方合同当事人有异议，按照第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条〔争议解决〕约定处理。争议解决前，合同当事人暂按总监理工程师的确定执行；争议解决后，争议解决的结果与总监理工程师的确定不一致的，按照争议解决的结果执行，由此造成的损失由责任人承担。</w:t>
      </w:r>
    </w:p>
    <w:p w14:paraId="11FA3304">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50" w:name="_Toc3407"/>
      <w:bookmarkStart w:id="251" w:name="_Toc30016"/>
      <w:bookmarkStart w:id="252" w:name="_Toc3009"/>
      <w:r>
        <w:rPr>
          <w:rFonts w:hint="eastAsia" w:asciiTheme="minorEastAsia" w:hAnsiTheme="minorEastAsia" w:eastAsiaTheme="minorEastAsia"/>
          <w:b/>
          <w:color w:val="auto"/>
          <w:szCs w:val="21"/>
          <w:highlight w:val="none"/>
        </w:rPr>
        <w:t>5. 工程质量</w:t>
      </w:r>
      <w:bookmarkEnd w:id="250"/>
      <w:bookmarkEnd w:id="251"/>
      <w:bookmarkEnd w:id="252"/>
    </w:p>
    <w:p w14:paraId="77AB1C7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5.1</w:t>
      </w:r>
      <w:r>
        <w:rPr>
          <w:rFonts w:hint="eastAsia" w:asciiTheme="minorEastAsia" w:hAnsiTheme="minorEastAsia" w:eastAsiaTheme="minorEastAsia"/>
          <w:b w:val="0"/>
          <w:color w:val="auto"/>
          <w:sz w:val="21"/>
          <w:szCs w:val="21"/>
          <w:highlight w:val="none"/>
        </w:rPr>
        <w:t>质量要求</w:t>
      </w:r>
    </w:p>
    <w:p w14:paraId="7F7F987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5.1.1 </w:t>
      </w:r>
      <w:r>
        <w:rPr>
          <w:rFonts w:hint="eastAsia" w:asciiTheme="minorEastAsia" w:hAnsiTheme="minorEastAsia" w:eastAsiaTheme="minorEastAsia"/>
          <w:color w:val="auto"/>
          <w:kern w:val="0"/>
          <w:szCs w:val="21"/>
          <w:highlight w:val="none"/>
        </w:rPr>
        <w:t>工程质量标准必须符合现行国家有关工程施工质量验收规范和标准的要求。有关工程质量的特殊标准或要求由合同当事人在专用合同条款中约定。</w:t>
      </w:r>
    </w:p>
    <w:p w14:paraId="73D5895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5.1.2 </w:t>
      </w:r>
      <w:r>
        <w:rPr>
          <w:rFonts w:hint="eastAsia" w:asciiTheme="minorEastAsia" w:hAnsiTheme="minorEastAsia" w:eastAsiaTheme="minorEastAsia"/>
          <w:color w:val="auto"/>
          <w:kern w:val="0"/>
          <w:szCs w:val="21"/>
          <w:highlight w:val="none"/>
        </w:rPr>
        <w:t>因发包人原因造成工程质量未达到合同约定标准的，由发包人承担由此增加的费用和（或）延误的工期，并支付承包人合理的利润。</w:t>
      </w:r>
    </w:p>
    <w:p w14:paraId="2505029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5.1.3 </w:t>
      </w:r>
      <w:r>
        <w:rPr>
          <w:rFonts w:hint="eastAsia" w:asciiTheme="minorEastAsia" w:hAnsiTheme="minorEastAsia" w:eastAsiaTheme="minorEastAsia"/>
          <w:color w:val="auto"/>
          <w:kern w:val="0"/>
          <w:szCs w:val="21"/>
          <w:highlight w:val="none"/>
        </w:rPr>
        <w:t>因承包人原因造成工程质量未达到合同约定标准的，发包人有权要求承包人返工直至工程质量达到合同约定的标准为止，并由承包人承担由此增加的费用和（或）延误的工期。</w:t>
      </w:r>
    </w:p>
    <w:p w14:paraId="76F0A87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5.2</w:t>
      </w:r>
      <w:r>
        <w:rPr>
          <w:rFonts w:hint="eastAsia" w:asciiTheme="minorEastAsia" w:hAnsiTheme="minorEastAsia" w:eastAsiaTheme="minorEastAsia"/>
          <w:b w:val="0"/>
          <w:color w:val="auto"/>
          <w:sz w:val="21"/>
          <w:szCs w:val="21"/>
          <w:highlight w:val="none"/>
        </w:rPr>
        <w:t>质量保证措施</w:t>
      </w:r>
    </w:p>
    <w:p w14:paraId="0AA92A6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5.2.1 </w:t>
      </w:r>
      <w:r>
        <w:rPr>
          <w:rFonts w:hint="eastAsia" w:asciiTheme="minorEastAsia" w:hAnsiTheme="minorEastAsia" w:eastAsiaTheme="minorEastAsia"/>
          <w:color w:val="auto"/>
          <w:kern w:val="0"/>
          <w:szCs w:val="21"/>
          <w:highlight w:val="none"/>
        </w:rPr>
        <w:t>发包人的质量管理</w:t>
      </w:r>
    </w:p>
    <w:p w14:paraId="0CB7794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发包人应按照法律规定及合同约定完成与工程质量有关的各项工作。</w:t>
      </w:r>
    </w:p>
    <w:p w14:paraId="6D47A0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5.2.2 </w:t>
      </w:r>
      <w:r>
        <w:rPr>
          <w:rFonts w:hint="eastAsia" w:asciiTheme="minorEastAsia" w:hAnsiTheme="minorEastAsia" w:eastAsiaTheme="minorEastAsia"/>
          <w:color w:val="auto"/>
          <w:kern w:val="0"/>
          <w:szCs w:val="21"/>
          <w:highlight w:val="none"/>
        </w:rPr>
        <w:t>承包人的质量管理</w:t>
      </w:r>
    </w:p>
    <w:p w14:paraId="502CCCF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承包人按照第</w:t>
      </w:r>
      <w:r>
        <w:rPr>
          <w:rFonts w:asciiTheme="minorEastAsia" w:hAnsiTheme="minorEastAsia" w:eastAsiaTheme="minorEastAsia"/>
          <w:color w:val="auto"/>
          <w:kern w:val="0"/>
          <w:szCs w:val="21"/>
          <w:highlight w:val="none"/>
        </w:rPr>
        <w:t>7.1</w:t>
      </w:r>
      <w:r>
        <w:rPr>
          <w:rFonts w:hint="eastAsia" w:asciiTheme="minorEastAsia" w:hAnsiTheme="minorEastAsia" w:eastAsiaTheme="minorEastAsia"/>
          <w:color w:val="auto"/>
          <w:kern w:val="0"/>
          <w:szCs w:val="21"/>
          <w:highlight w:val="none"/>
        </w:rPr>
        <w:t>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75E63F8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承包人应对施工人员进行质量教育和技术培训，定期考核施工人员的劳动技能，严格执行施工规范和操作规程。</w:t>
      </w:r>
    </w:p>
    <w:p w14:paraId="4BD1199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4BDED74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5.2.3 </w:t>
      </w:r>
      <w:r>
        <w:rPr>
          <w:rFonts w:hint="eastAsia" w:asciiTheme="minorEastAsia" w:hAnsiTheme="minorEastAsia" w:eastAsiaTheme="minorEastAsia"/>
          <w:color w:val="auto"/>
          <w:kern w:val="0"/>
          <w:szCs w:val="21"/>
          <w:highlight w:val="none"/>
        </w:rPr>
        <w:t>监理人的质量检查和检验</w:t>
      </w:r>
    </w:p>
    <w:p w14:paraId="7FD95BC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4A944DC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39E6399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5.3 </w:t>
      </w:r>
      <w:r>
        <w:rPr>
          <w:rFonts w:hint="eastAsia" w:asciiTheme="minorEastAsia" w:hAnsiTheme="minorEastAsia" w:eastAsiaTheme="minorEastAsia"/>
          <w:b w:val="0"/>
          <w:color w:val="auto"/>
          <w:sz w:val="21"/>
          <w:szCs w:val="21"/>
          <w:highlight w:val="none"/>
        </w:rPr>
        <w:t>隐蔽工程检查</w:t>
      </w:r>
    </w:p>
    <w:p w14:paraId="519F85A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5.3.1</w:t>
      </w:r>
      <w:r>
        <w:rPr>
          <w:rFonts w:hint="eastAsia" w:asciiTheme="minorEastAsia" w:hAnsiTheme="minorEastAsia" w:eastAsiaTheme="minorEastAsia"/>
          <w:color w:val="auto"/>
          <w:kern w:val="0"/>
          <w:szCs w:val="21"/>
          <w:highlight w:val="none"/>
        </w:rPr>
        <w:t>承包人自检</w:t>
      </w:r>
    </w:p>
    <w:p w14:paraId="69625AF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承包人应当对工程隐蔽部位进行自检，并经自检确认是否具备覆盖条件。</w:t>
      </w:r>
    </w:p>
    <w:p w14:paraId="7335300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5.3.2</w:t>
      </w:r>
      <w:r>
        <w:rPr>
          <w:rFonts w:hint="eastAsia" w:asciiTheme="minorEastAsia" w:hAnsiTheme="minorEastAsia" w:eastAsiaTheme="minorEastAsia"/>
          <w:color w:val="auto"/>
          <w:kern w:val="0"/>
          <w:szCs w:val="21"/>
          <w:highlight w:val="none"/>
        </w:rPr>
        <w:t>检查程序</w:t>
      </w:r>
    </w:p>
    <w:p w14:paraId="04DAC49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除专用合同条款另有约定外，工程隐蔽部位经承包人自检确认具备覆盖条件的，承包人应在共同检查前</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小时书面通知监理人检查，通知中应载明隐蔽检查的内容、时间和地点，并应附有自检记录和必要的检查资料。</w:t>
      </w:r>
    </w:p>
    <w:p w14:paraId="08A43B0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051D5E6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除专用合同条款另有约定外，监理人不能按时进行检查的，应在检查前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小时向承包人提交书面延期要求，但延期不能超过</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w:t>
      </w:r>
      <w:r>
        <w:rPr>
          <w:rFonts w:asciiTheme="minorEastAsia" w:hAnsiTheme="minorEastAsia" w:eastAsiaTheme="minorEastAsia"/>
          <w:color w:val="auto"/>
          <w:kern w:val="0"/>
          <w:szCs w:val="21"/>
          <w:highlight w:val="none"/>
        </w:rPr>
        <w:t>5.3.3</w:t>
      </w:r>
      <w:r>
        <w:rPr>
          <w:rFonts w:hint="eastAsia" w:asciiTheme="minorEastAsia" w:hAnsiTheme="minorEastAsia" w:eastAsiaTheme="minorEastAsia"/>
          <w:color w:val="auto"/>
          <w:kern w:val="0"/>
          <w:szCs w:val="21"/>
          <w:highlight w:val="none"/>
        </w:rPr>
        <w:t>项〔重新检查〕的约定重新检查。</w:t>
      </w:r>
    </w:p>
    <w:p w14:paraId="5044BDA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5.3.3 </w:t>
      </w:r>
      <w:r>
        <w:rPr>
          <w:rFonts w:hint="eastAsia" w:asciiTheme="minorEastAsia" w:hAnsiTheme="minorEastAsia" w:eastAsiaTheme="minorEastAsia"/>
          <w:color w:val="auto"/>
          <w:kern w:val="0"/>
          <w:szCs w:val="21"/>
          <w:highlight w:val="none"/>
        </w:rPr>
        <w:t>重新检查</w:t>
      </w:r>
    </w:p>
    <w:p w14:paraId="1426FD4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329CDF4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5.3.4 </w:t>
      </w:r>
      <w:r>
        <w:rPr>
          <w:rFonts w:hint="eastAsia" w:asciiTheme="minorEastAsia" w:hAnsiTheme="minorEastAsia" w:eastAsiaTheme="minorEastAsia"/>
          <w:color w:val="auto"/>
          <w:kern w:val="0"/>
          <w:szCs w:val="21"/>
          <w:highlight w:val="none"/>
        </w:rPr>
        <w:t>承包人私自覆盖</w:t>
      </w:r>
    </w:p>
    <w:p w14:paraId="4DDF7D2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承包人未通知监理人到场检查，私自将工程隐蔽部位覆盖的，监理人有权指示承包人钻孔探测或揭开检查，无论工程隐蔽部位质量是否合格，由此增加的费用和（或）延误的工期均由承包人承担。</w:t>
      </w:r>
    </w:p>
    <w:p w14:paraId="474BAEE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5.4</w:t>
      </w:r>
      <w:r>
        <w:rPr>
          <w:rFonts w:hint="eastAsia" w:asciiTheme="minorEastAsia" w:hAnsiTheme="minorEastAsia" w:eastAsiaTheme="minorEastAsia"/>
          <w:b w:val="0"/>
          <w:color w:val="auto"/>
          <w:sz w:val="21"/>
          <w:szCs w:val="21"/>
          <w:highlight w:val="none"/>
        </w:rPr>
        <w:t>不合格工程的处理</w:t>
      </w:r>
    </w:p>
    <w:p w14:paraId="67F9D18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5.4.1 </w:t>
      </w:r>
      <w:r>
        <w:rPr>
          <w:rFonts w:hint="eastAsia" w:asciiTheme="minorEastAsia" w:hAnsiTheme="minorEastAsia" w:eastAsiaTheme="minorEastAsia"/>
          <w:color w:val="auto"/>
          <w:kern w:val="0"/>
          <w:szCs w:val="21"/>
          <w:highlight w:val="none"/>
        </w:rPr>
        <w:t>因承包人原因造成工程不合格的，发包人有权随时要求承包人采取补救措施，直至达到合同要求的质量标准，由此增加的费用和（或）延误的工期由承包人承担。无法补救的，按照第</w:t>
      </w:r>
      <w:r>
        <w:rPr>
          <w:rFonts w:asciiTheme="minorEastAsia" w:hAnsiTheme="minorEastAsia" w:eastAsiaTheme="minorEastAsia"/>
          <w:color w:val="auto"/>
          <w:kern w:val="0"/>
          <w:szCs w:val="21"/>
          <w:highlight w:val="none"/>
        </w:rPr>
        <w:t>13.2.4</w:t>
      </w:r>
      <w:r>
        <w:rPr>
          <w:rFonts w:hint="eastAsia" w:asciiTheme="minorEastAsia" w:hAnsiTheme="minorEastAsia" w:eastAsiaTheme="minorEastAsia"/>
          <w:color w:val="auto"/>
          <w:kern w:val="0"/>
          <w:szCs w:val="21"/>
          <w:highlight w:val="none"/>
        </w:rPr>
        <w:t>项〔拒绝接收全部或部分工程〕约定执行。</w:t>
      </w:r>
      <w:r>
        <w:rPr>
          <w:rFonts w:asciiTheme="minorEastAsia" w:hAnsiTheme="minorEastAsia" w:eastAsiaTheme="minorEastAsia"/>
          <w:color w:val="auto"/>
          <w:kern w:val="0"/>
          <w:szCs w:val="21"/>
          <w:highlight w:val="none"/>
        </w:rPr>
        <w:t xml:space="preserve"> </w:t>
      </w:r>
    </w:p>
    <w:p w14:paraId="0D2E34D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5.4.2 </w:t>
      </w:r>
      <w:r>
        <w:rPr>
          <w:rFonts w:hint="eastAsia" w:asciiTheme="minorEastAsia" w:hAnsiTheme="minorEastAsia" w:eastAsiaTheme="minorEastAsia"/>
          <w:color w:val="auto"/>
          <w:kern w:val="0"/>
          <w:szCs w:val="21"/>
          <w:highlight w:val="none"/>
        </w:rPr>
        <w:t>因发包人原因造成工程不合格的，由此增加的费用和（或）延误的工期由发包人承担，并支付承包人合理的利润。</w:t>
      </w:r>
    </w:p>
    <w:p w14:paraId="1E0CBCB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5.5 </w:t>
      </w:r>
      <w:r>
        <w:rPr>
          <w:rFonts w:hint="eastAsia" w:asciiTheme="minorEastAsia" w:hAnsiTheme="minorEastAsia" w:eastAsiaTheme="minorEastAsia"/>
          <w:b w:val="0"/>
          <w:color w:val="auto"/>
          <w:sz w:val="21"/>
          <w:szCs w:val="21"/>
          <w:highlight w:val="none"/>
        </w:rPr>
        <w:t>质量争议检测</w:t>
      </w:r>
    </w:p>
    <w:p w14:paraId="42CC38F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合同当事人对工程质量有争议的，由双方协商确定的工程质量检测机构鉴定，由此产生的费用及因此造成的损失，由责任方承担。</w:t>
      </w:r>
    </w:p>
    <w:p w14:paraId="359F1BD0">
      <w:pPr>
        <w:keepNext w:val="0"/>
        <w:keepLines w:val="0"/>
        <w:pageBreakBefore w:val="0"/>
        <w:widowControl w:val="0"/>
        <w:kinsoku/>
        <w:wordWrap/>
        <w:overflowPunct/>
        <w:topLinePunct w:val="0"/>
        <w:autoSpaceDE w:val="0"/>
        <w:autoSpaceDN w:val="0"/>
        <w:bidi w:val="0"/>
        <w:adjustRightInd w:val="0"/>
        <w:spacing w:line="440" w:lineRule="exact"/>
        <w:ind w:left="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合同当事人均有责任的，由双方根据其责任分别承担。合同当事人无法达成一致的，按照第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款〔商定或确定〕执行。</w:t>
      </w:r>
    </w:p>
    <w:p w14:paraId="328B2C6F">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53" w:name="_Toc25550"/>
      <w:bookmarkStart w:id="254" w:name="_Toc26098"/>
      <w:bookmarkStart w:id="255" w:name="_Toc10447"/>
      <w:r>
        <w:rPr>
          <w:rFonts w:hint="eastAsia" w:asciiTheme="minorEastAsia" w:hAnsiTheme="minorEastAsia" w:eastAsiaTheme="minorEastAsia"/>
          <w:b/>
          <w:color w:val="auto"/>
          <w:szCs w:val="21"/>
          <w:highlight w:val="none"/>
        </w:rPr>
        <w:t>6. 安全文明施工与环境保护</w:t>
      </w:r>
      <w:bookmarkEnd w:id="253"/>
      <w:bookmarkEnd w:id="254"/>
      <w:bookmarkEnd w:id="255"/>
    </w:p>
    <w:p w14:paraId="22A768E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6.1</w:t>
      </w:r>
      <w:r>
        <w:rPr>
          <w:rFonts w:hint="eastAsia" w:asciiTheme="minorEastAsia" w:hAnsiTheme="minorEastAsia" w:eastAsiaTheme="minorEastAsia"/>
          <w:b w:val="0"/>
          <w:color w:val="auto"/>
          <w:sz w:val="21"/>
          <w:szCs w:val="21"/>
          <w:highlight w:val="none"/>
        </w:rPr>
        <w:t>安全文明施工</w:t>
      </w:r>
    </w:p>
    <w:p w14:paraId="0D87DED7">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6.1.1</w:t>
      </w:r>
      <w:r>
        <w:rPr>
          <w:rFonts w:hint="eastAsia" w:asciiTheme="minorEastAsia" w:hAnsiTheme="minorEastAsia" w:eastAsiaTheme="minorEastAsia"/>
          <w:color w:val="auto"/>
          <w:szCs w:val="21"/>
          <w:highlight w:val="none"/>
        </w:rPr>
        <w:t>安全生产要求</w:t>
      </w:r>
    </w:p>
    <w:p w14:paraId="2A6A4209">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092C26A">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在施工过程中，如遇到突发的地质变动、事先未知的地下施工障碍等影响施工安全的紧急情况，承包人应及时报告监理人和发包人，发包人应当及时下令停工并报</w:t>
      </w:r>
      <w:r>
        <w:rPr>
          <w:rFonts w:hint="eastAsia" w:asciiTheme="minorEastAsia" w:hAnsiTheme="minorEastAsia" w:eastAsiaTheme="minorEastAsia"/>
          <w:color w:val="auto"/>
          <w:kern w:val="0"/>
          <w:szCs w:val="21"/>
          <w:highlight w:val="none"/>
        </w:rPr>
        <w:t>政府有关行政管理部门采取应急措施。</w:t>
      </w:r>
    </w:p>
    <w:p w14:paraId="4DDFC449">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因安全生产需要暂停施工的，按照第</w:t>
      </w:r>
      <w:r>
        <w:rPr>
          <w:rFonts w:asciiTheme="minorEastAsia" w:hAnsiTheme="minorEastAsia" w:eastAsiaTheme="minorEastAsia"/>
          <w:color w:val="auto"/>
          <w:szCs w:val="21"/>
          <w:highlight w:val="none"/>
        </w:rPr>
        <w:t>7.8</w:t>
      </w:r>
      <w:r>
        <w:rPr>
          <w:rFonts w:hint="eastAsia" w:asciiTheme="minorEastAsia" w:hAnsiTheme="minorEastAsia" w:eastAsiaTheme="minorEastAsia"/>
          <w:color w:val="auto"/>
          <w:szCs w:val="21"/>
          <w:highlight w:val="none"/>
        </w:rPr>
        <w:t>款〔暂停施工〕的约定执行。</w:t>
      </w:r>
    </w:p>
    <w:p w14:paraId="4B8974A9">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6.1.2 </w:t>
      </w:r>
      <w:r>
        <w:rPr>
          <w:rFonts w:hint="eastAsia" w:asciiTheme="minorEastAsia" w:hAnsiTheme="minorEastAsia" w:eastAsiaTheme="minorEastAsia"/>
          <w:color w:val="auto"/>
          <w:szCs w:val="21"/>
          <w:highlight w:val="none"/>
        </w:rPr>
        <w:t>安全生产保证措施</w:t>
      </w:r>
    </w:p>
    <w:p w14:paraId="46E68E7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承包人应当按照有关</w:t>
      </w:r>
      <w:r>
        <w:rPr>
          <w:rFonts w:hint="eastAsia" w:asciiTheme="minorEastAsia" w:hAnsiTheme="minorEastAsia" w:eastAsiaTheme="minorEastAsia"/>
          <w:color w:val="auto"/>
          <w:kern w:val="0"/>
          <w:szCs w:val="21"/>
          <w:highlight w:val="none"/>
        </w:rPr>
        <w:t>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5A48E79F">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6.1.3</w:t>
      </w:r>
      <w:r>
        <w:rPr>
          <w:rFonts w:hint="eastAsia" w:asciiTheme="minorEastAsia" w:hAnsiTheme="minorEastAsia" w:eastAsiaTheme="minorEastAsia"/>
          <w:color w:val="auto"/>
          <w:szCs w:val="21"/>
          <w:highlight w:val="none"/>
        </w:rPr>
        <w:t>特别安全生产事项</w:t>
      </w:r>
    </w:p>
    <w:p w14:paraId="20643021">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6D490D87">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承包人在动力设备、输电线路、地下管道、密封防震车间、易燃易爆地段以及临街交通要道附近施工时，施工开始前应向发包人和监理人提出安全防护措施，经发包人认可后实施。</w:t>
      </w:r>
      <w:r>
        <w:rPr>
          <w:rFonts w:asciiTheme="minorEastAsia" w:hAnsiTheme="minorEastAsia" w:eastAsiaTheme="minorEastAsia"/>
          <w:color w:val="auto"/>
          <w:szCs w:val="21"/>
          <w:highlight w:val="none"/>
        </w:rPr>
        <w:t xml:space="preserve"> </w:t>
      </w:r>
    </w:p>
    <w:p w14:paraId="097913DD">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实施爆破作业，在放射、毒害性环境中施工（含储存、运输、使用）及使用毒害性、腐蚀性物品施工时，承包人应在施工前</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天以书面通知发包人和监理人，并报送相应的安全防护措施，经发包人认可后实施。</w:t>
      </w:r>
    </w:p>
    <w:p w14:paraId="37569642">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需单独编制危险性较大分部分项专项工程施工方案的，及要求进行专家论证的超过一定规模的危险性较大的分部分项工程，承包人应及时编制和组织论证。</w:t>
      </w:r>
    </w:p>
    <w:p w14:paraId="6DF2ADF8">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6.1.4 </w:t>
      </w:r>
      <w:r>
        <w:rPr>
          <w:rFonts w:hint="eastAsia" w:asciiTheme="minorEastAsia" w:hAnsiTheme="minorEastAsia" w:eastAsiaTheme="minorEastAsia"/>
          <w:color w:val="auto"/>
          <w:szCs w:val="21"/>
          <w:highlight w:val="none"/>
        </w:rPr>
        <w:t>治安保卫</w:t>
      </w:r>
    </w:p>
    <w:p w14:paraId="571FF7EB">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除专用合同条款另有约定外，发包人应与当地公安部门协商，在现场建立治安管理机构或联防组织，统一管理施工场地的治安保卫事项，履行合同工程的治安保卫职责。</w:t>
      </w:r>
    </w:p>
    <w:p w14:paraId="2306C2CE">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发包人和承包人除应协助现场治安管理机构或联防组织维护施工场地的社会治安外，还应做好包括生活区在内的各自管辖区的治安保卫工作。</w:t>
      </w:r>
    </w:p>
    <w:p w14:paraId="777A7D99">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除专用合同条款另有约定外，发包人和承包人应在工程开工后</w:t>
      </w:r>
      <w:r>
        <w:rPr>
          <w:rFonts w:asciiTheme="minorEastAsia" w:hAnsiTheme="minorEastAsia" w:eastAsiaTheme="minorEastAsia"/>
          <w:color w:val="auto"/>
          <w:szCs w:val="21"/>
          <w:highlight w:val="none"/>
        </w:rPr>
        <w:t>7</w:t>
      </w:r>
      <w:r>
        <w:rPr>
          <w:rFonts w:hint="eastAsia" w:asciiTheme="minorEastAsia" w:hAnsiTheme="minorEastAsia" w:eastAsiaTheme="minorEastAsia"/>
          <w:color w:val="auto"/>
          <w:szCs w:val="21"/>
          <w:highlight w:val="none"/>
        </w:rPr>
        <w:t>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562C1CE6">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 xml:space="preserve">6.1.5 </w:t>
      </w:r>
      <w:r>
        <w:rPr>
          <w:rFonts w:hint="eastAsia" w:asciiTheme="minorEastAsia" w:hAnsiTheme="minorEastAsia" w:eastAsiaTheme="minorEastAsia"/>
          <w:color w:val="auto"/>
          <w:szCs w:val="21"/>
          <w:highlight w:val="none"/>
        </w:rPr>
        <w:t>文明施工</w:t>
      </w:r>
    </w:p>
    <w:p w14:paraId="6AB0960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3CB09A2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64A0C10E">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6.1.6 </w:t>
      </w:r>
      <w:r>
        <w:rPr>
          <w:rFonts w:hint="eastAsia" w:asciiTheme="minorEastAsia" w:hAnsiTheme="minorEastAsia" w:eastAsiaTheme="minorEastAsia"/>
          <w:color w:val="auto"/>
          <w:szCs w:val="21"/>
          <w:highlight w:val="none"/>
        </w:rPr>
        <w:t>安全文明施工费</w:t>
      </w:r>
    </w:p>
    <w:p w14:paraId="1719E33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安全文明施工费由发包人承担，发包人不得以任何形式扣减该部分费用。因基准日期后合同所适用的法律或政府有关规定发生变化，增加的安全文明施工费由发包人承担。</w:t>
      </w:r>
    </w:p>
    <w:p w14:paraId="6CE9D31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2D16821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除专用合同条款另有约定外，发包人应在开工后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天内预付安全文明施工费总额的</w:t>
      </w:r>
      <w:r>
        <w:rPr>
          <w:rFonts w:asciiTheme="minorEastAsia" w:hAnsiTheme="minorEastAsia" w:eastAsiaTheme="minorEastAsia"/>
          <w:color w:val="auto"/>
          <w:kern w:val="0"/>
          <w:szCs w:val="21"/>
          <w:highlight w:val="none"/>
        </w:rPr>
        <w:t>50%</w:t>
      </w:r>
      <w:r>
        <w:rPr>
          <w:rFonts w:hint="eastAsia" w:asciiTheme="minorEastAsia" w:hAnsiTheme="minorEastAsia" w:eastAsiaTheme="minorEastAsia"/>
          <w:color w:val="auto"/>
          <w:kern w:val="0"/>
          <w:szCs w:val="21"/>
          <w:highlight w:val="none"/>
        </w:rPr>
        <w:t>，其余部分与进度款同期支付。发包人逾期支付安全文明施工费超过</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天的，承包人有权向发包人发出要求预付的催告通知，发包人收到通知后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天内仍未支付的，承包人有权暂停施工，并按第</w:t>
      </w:r>
      <w:r>
        <w:rPr>
          <w:rFonts w:asciiTheme="minorEastAsia" w:hAnsiTheme="minorEastAsia" w:eastAsiaTheme="minorEastAsia"/>
          <w:color w:val="auto"/>
          <w:kern w:val="0"/>
          <w:szCs w:val="21"/>
          <w:highlight w:val="none"/>
        </w:rPr>
        <w:t>16.1.1</w:t>
      </w:r>
      <w:r>
        <w:rPr>
          <w:rFonts w:hint="eastAsia" w:asciiTheme="minorEastAsia" w:hAnsiTheme="minorEastAsia" w:eastAsiaTheme="minorEastAsia"/>
          <w:color w:val="auto"/>
          <w:kern w:val="0"/>
          <w:szCs w:val="21"/>
          <w:highlight w:val="none"/>
        </w:rPr>
        <w:t>项〔发包人违约的情形〕执行。</w:t>
      </w:r>
    </w:p>
    <w:p w14:paraId="1E3E5BA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16E8CF8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6.1.7 </w:t>
      </w:r>
      <w:r>
        <w:rPr>
          <w:rFonts w:hint="eastAsia" w:asciiTheme="minorEastAsia" w:hAnsiTheme="minorEastAsia" w:eastAsiaTheme="minorEastAsia"/>
          <w:color w:val="auto"/>
          <w:kern w:val="0"/>
          <w:szCs w:val="21"/>
          <w:highlight w:val="none"/>
        </w:rPr>
        <w:t>紧急情况处理</w:t>
      </w:r>
    </w:p>
    <w:p w14:paraId="5789C56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16D0EBD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6.1.8 </w:t>
      </w:r>
      <w:r>
        <w:rPr>
          <w:rFonts w:hint="eastAsia" w:asciiTheme="minorEastAsia" w:hAnsiTheme="minorEastAsia" w:eastAsiaTheme="minorEastAsia"/>
          <w:color w:val="auto"/>
          <w:kern w:val="0"/>
          <w:szCs w:val="21"/>
          <w:highlight w:val="none"/>
        </w:rPr>
        <w:t>事故处理</w:t>
      </w:r>
    </w:p>
    <w:p w14:paraId="310FDAA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F31C7E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6.1.9 </w:t>
      </w:r>
      <w:r>
        <w:rPr>
          <w:rFonts w:hint="eastAsia" w:asciiTheme="minorEastAsia" w:hAnsiTheme="minorEastAsia" w:eastAsiaTheme="minorEastAsia"/>
          <w:color w:val="auto"/>
          <w:kern w:val="0"/>
          <w:szCs w:val="21"/>
          <w:highlight w:val="none"/>
        </w:rPr>
        <w:t>安全生产责任</w:t>
      </w:r>
    </w:p>
    <w:p w14:paraId="26A257D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6.1.9.1 </w:t>
      </w:r>
      <w:r>
        <w:rPr>
          <w:rFonts w:hint="eastAsia" w:asciiTheme="minorEastAsia" w:hAnsiTheme="minorEastAsia" w:eastAsiaTheme="minorEastAsia"/>
          <w:color w:val="auto"/>
          <w:kern w:val="0"/>
          <w:szCs w:val="21"/>
          <w:highlight w:val="none"/>
        </w:rPr>
        <w:t>发包人的安全责任</w:t>
      </w:r>
    </w:p>
    <w:p w14:paraId="60187112">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发包人应负责赔偿以下各种情况造成的损失：</w:t>
      </w:r>
    </w:p>
    <w:p w14:paraId="153865B6">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）工程或工程的任何部分对土地的占用所造成的第三者财产损失；</w:t>
      </w:r>
    </w:p>
    <w:p w14:paraId="74E49641">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）由于发包人原因在施工场地及其毗邻地带造成的第三者人身伤亡和财产损失；</w:t>
      </w:r>
    </w:p>
    <w:p w14:paraId="13181B67">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）由于发包人原因对承包人、监理人造成的人员人身伤亡和财产损失；</w:t>
      </w:r>
    </w:p>
    <w:p w14:paraId="77FCB47A">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）由于发包人原因造成的发包人自身人员的人身伤害以及财产损失。</w:t>
      </w:r>
    </w:p>
    <w:p w14:paraId="119E87C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6.1.9.2 </w:t>
      </w:r>
      <w:r>
        <w:rPr>
          <w:rFonts w:hint="eastAsia" w:asciiTheme="minorEastAsia" w:hAnsiTheme="minorEastAsia" w:eastAsiaTheme="minorEastAsia"/>
          <w:color w:val="auto"/>
          <w:kern w:val="0"/>
          <w:szCs w:val="21"/>
          <w:highlight w:val="none"/>
        </w:rPr>
        <w:t>承包人的安全责任</w:t>
      </w:r>
    </w:p>
    <w:p w14:paraId="2822093A">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由于承包人原因在施工场地内及其毗邻地带造成的发包人、监理人以及第三者人员伤亡和财产损失，由承包人负责赔偿。</w:t>
      </w:r>
    </w:p>
    <w:p w14:paraId="3149777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6.2 </w:t>
      </w:r>
      <w:r>
        <w:rPr>
          <w:rFonts w:hint="eastAsia" w:asciiTheme="minorEastAsia" w:hAnsiTheme="minorEastAsia" w:eastAsiaTheme="minorEastAsia"/>
          <w:b w:val="0"/>
          <w:color w:val="auto"/>
          <w:sz w:val="21"/>
          <w:szCs w:val="21"/>
          <w:highlight w:val="none"/>
        </w:rPr>
        <w:t>职业健康</w:t>
      </w:r>
    </w:p>
    <w:p w14:paraId="7A7C03E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6.2.1 </w:t>
      </w:r>
      <w:r>
        <w:rPr>
          <w:rFonts w:hint="eastAsia" w:asciiTheme="minorEastAsia" w:hAnsiTheme="minorEastAsia" w:eastAsiaTheme="minorEastAsia"/>
          <w:color w:val="auto"/>
          <w:kern w:val="0"/>
          <w:szCs w:val="21"/>
          <w:highlight w:val="none"/>
        </w:rPr>
        <w:t>劳动保护</w:t>
      </w:r>
    </w:p>
    <w:p w14:paraId="01AD1E7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007F97B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承包人应按照法律规定保障现场施工人员的劳动安全，并提供劳动保护</w:t>
      </w:r>
      <w:r>
        <w:rPr>
          <w:rFonts w:asciiTheme="minorEastAsia" w:hAnsiTheme="minorEastAsia" w:eastAsiaTheme="minorEastAsia"/>
          <w:color w:val="auto"/>
          <w:kern w:val="0"/>
          <w:szCs w:val="21"/>
          <w:highlight w:val="none"/>
        </w:rPr>
        <w:t>,</w:t>
      </w:r>
      <w:r>
        <w:rPr>
          <w:rFonts w:hint="eastAsia" w:asciiTheme="minorEastAsia" w:hAnsiTheme="minorEastAsia" w:eastAsiaTheme="minorEastAsia"/>
          <w:color w:val="auto"/>
          <w:kern w:val="0"/>
          <w:szCs w:val="21"/>
          <w:highlight w:val="none"/>
        </w:rPr>
        <w:t>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4F7209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承包人应按法律规定安排工作时间，保证其雇佣人员享有休息和休假的权利。因工程施工的特殊需要占用休假日或延长工作时间的，应不超过法律规定的限度，并按法律规定给予补休或付酬。</w:t>
      </w:r>
    </w:p>
    <w:p w14:paraId="31FB3D6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6.2.2 </w:t>
      </w:r>
      <w:r>
        <w:rPr>
          <w:rFonts w:hint="eastAsia" w:asciiTheme="minorEastAsia" w:hAnsiTheme="minorEastAsia" w:eastAsiaTheme="minorEastAsia"/>
          <w:color w:val="auto"/>
          <w:kern w:val="0"/>
          <w:szCs w:val="21"/>
          <w:highlight w:val="none"/>
        </w:rPr>
        <w:t>生活条件</w:t>
      </w:r>
    </w:p>
    <w:p w14:paraId="4F9ED6B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承包人应为其履行合同所雇用的人员提供必要的膳宿条件和生活环境；承包人应采取有效措施预防传染病，保证施工人员的健康，并定期对施工现场、施工人员生活基地和工程进行防疫和卫生的专业检查和处理</w:t>
      </w: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在远离城镇的施工场地，还应配备必要的伤病防治和急救的医务人员与医疗设施。</w:t>
      </w:r>
    </w:p>
    <w:p w14:paraId="5B94340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6.3 </w:t>
      </w:r>
      <w:r>
        <w:rPr>
          <w:rFonts w:hint="eastAsia" w:asciiTheme="minorEastAsia" w:hAnsiTheme="minorEastAsia" w:eastAsiaTheme="minorEastAsia"/>
          <w:b w:val="0"/>
          <w:color w:val="auto"/>
          <w:sz w:val="21"/>
          <w:szCs w:val="21"/>
          <w:highlight w:val="none"/>
        </w:rPr>
        <w:t>环境保护</w:t>
      </w:r>
    </w:p>
    <w:p w14:paraId="6D572A5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16E1EDA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承包人应当承担因其原因引起的环境污染侵权损害赔偿责任，因上述环境污染引起纠纷而导致暂停施工的，由此增加的费用和（或）延误的工期由承包人承担。</w:t>
      </w:r>
    </w:p>
    <w:p w14:paraId="2DF366CC">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56" w:name="_Toc14041"/>
      <w:bookmarkStart w:id="257" w:name="_Toc21068"/>
      <w:bookmarkStart w:id="258" w:name="_Toc26847"/>
      <w:r>
        <w:rPr>
          <w:rFonts w:hint="eastAsia" w:asciiTheme="minorEastAsia" w:hAnsiTheme="minorEastAsia" w:eastAsiaTheme="minorEastAsia"/>
          <w:b/>
          <w:color w:val="auto"/>
          <w:szCs w:val="21"/>
          <w:highlight w:val="none"/>
        </w:rPr>
        <w:t>7. 工期和进度</w:t>
      </w:r>
      <w:bookmarkEnd w:id="256"/>
      <w:bookmarkEnd w:id="257"/>
      <w:bookmarkEnd w:id="258"/>
    </w:p>
    <w:p w14:paraId="7BB7528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7.1</w:t>
      </w:r>
      <w:r>
        <w:rPr>
          <w:rFonts w:hint="eastAsia" w:asciiTheme="minorEastAsia" w:hAnsiTheme="minorEastAsia" w:eastAsiaTheme="minorEastAsia"/>
          <w:b w:val="0"/>
          <w:color w:val="auto"/>
          <w:sz w:val="21"/>
          <w:szCs w:val="21"/>
          <w:highlight w:val="none"/>
        </w:rPr>
        <w:t>施工组织设计</w:t>
      </w:r>
    </w:p>
    <w:p w14:paraId="5241FD7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 xml:space="preserve">7.1.1 </w:t>
      </w:r>
      <w:r>
        <w:rPr>
          <w:rFonts w:hint="eastAsia" w:asciiTheme="minorEastAsia" w:hAnsiTheme="minorEastAsia" w:eastAsiaTheme="minorEastAsia"/>
          <w:color w:val="auto"/>
          <w:kern w:val="0"/>
          <w:szCs w:val="21"/>
          <w:highlight w:val="none"/>
        </w:rPr>
        <w:t>施工组织设计的内容</w:t>
      </w:r>
    </w:p>
    <w:p w14:paraId="5BE4233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施工组织设计应包含以下内容：</w:t>
      </w:r>
    </w:p>
    <w:p w14:paraId="49A1BDA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）施工方案；</w:t>
      </w:r>
      <w:r>
        <w:rPr>
          <w:rFonts w:asciiTheme="minorEastAsia" w:hAnsiTheme="minorEastAsia" w:eastAsiaTheme="minorEastAsia"/>
          <w:color w:val="auto"/>
          <w:kern w:val="0"/>
          <w:szCs w:val="21"/>
          <w:highlight w:val="none"/>
        </w:rPr>
        <w:t xml:space="preserve"> </w:t>
      </w:r>
    </w:p>
    <w:p w14:paraId="57A834F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）施工现场平面布置图；</w:t>
      </w:r>
    </w:p>
    <w:p w14:paraId="47CC3D2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）施工进度计划和保证措施；</w:t>
      </w:r>
      <w:r>
        <w:rPr>
          <w:rFonts w:asciiTheme="minorEastAsia" w:hAnsiTheme="minorEastAsia" w:eastAsiaTheme="minorEastAsia"/>
          <w:color w:val="auto"/>
          <w:kern w:val="0"/>
          <w:szCs w:val="21"/>
          <w:highlight w:val="none"/>
        </w:rPr>
        <w:t xml:space="preserve"> </w:t>
      </w:r>
    </w:p>
    <w:p w14:paraId="520AACB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）劳动力及材料供应计划；</w:t>
      </w:r>
    </w:p>
    <w:p w14:paraId="6516E11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）施工机械设备的选用；</w:t>
      </w:r>
    </w:p>
    <w:p w14:paraId="3BC7FF6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）质量保证体系及措施；</w:t>
      </w:r>
    </w:p>
    <w:p w14:paraId="31DD1B9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）安全生产、文明施工措施；</w:t>
      </w:r>
    </w:p>
    <w:p w14:paraId="5D6012D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8</w:t>
      </w:r>
      <w:r>
        <w:rPr>
          <w:rFonts w:hint="eastAsia" w:asciiTheme="minorEastAsia" w:hAnsiTheme="minorEastAsia" w:eastAsiaTheme="minorEastAsia"/>
          <w:color w:val="auto"/>
          <w:kern w:val="0"/>
          <w:szCs w:val="21"/>
          <w:highlight w:val="none"/>
        </w:rPr>
        <w:t>）环境保护、成本控制措施；</w:t>
      </w:r>
    </w:p>
    <w:p w14:paraId="0661DAD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9</w:t>
      </w:r>
      <w:r>
        <w:rPr>
          <w:rFonts w:hint="eastAsia" w:asciiTheme="minorEastAsia" w:hAnsiTheme="minorEastAsia" w:eastAsiaTheme="minorEastAsia"/>
          <w:color w:val="auto"/>
          <w:kern w:val="0"/>
          <w:szCs w:val="21"/>
          <w:highlight w:val="none"/>
        </w:rPr>
        <w:t>）合同当事人约定的其他内容。</w:t>
      </w:r>
    </w:p>
    <w:p w14:paraId="40AD8C4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 xml:space="preserve">7.1.2 </w:t>
      </w:r>
      <w:r>
        <w:rPr>
          <w:rFonts w:hint="eastAsia" w:asciiTheme="minorEastAsia" w:hAnsiTheme="minorEastAsia" w:eastAsiaTheme="minorEastAsia"/>
          <w:color w:val="auto"/>
          <w:kern w:val="0"/>
          <w:szCs w:val="21"/>
          <w:highlight w:val="none"/>
        </w:rPr>
        <w:t>施工组织设计的提交和修改</w:t>
      </w:r>
    </w:p>
    <w:p w14:paraId="4395184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除专用合同条款另有约定外，承包人应在合同签订后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天内，但至迟不得晚于第</w:t>
      </w:r>
      <w:r>
        <w:rPr>
          <w:rFonts w:asciiTheme="minorEastAsia" w:hAnsiTheme="minorEastAsia" w:eastAsiaTheme="minorEastAsia"/>
          <w:color w:val="auto"/>
          <w:kern w:val="0"/>
          <w:szCs w:val="21"/>
          <w:highlight w:val="none"/>
        </w:rPr>
        <w:t>7.3.2</w:t>
      </w:r>
      <w:r>
        <w:rPr>
          <w:rFonts w:hint="eastAsia" w:asciiTheme="minorEastAsia" w:hAnsiTheme="minorEastAsia" w:eastAsiaTheme="minorEastAsia"/>
          <w:color w:val="auto"/>
          <w:kern w:val="0"/>
          <w:szCs w:val="21"/>
          <w:highlight w:val="none"/>
        </w:rPr>
        <w:t>项〔开工通知〕载明的开工日期前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天，向监理人提交详细的施工组织设计，并由监理人报送发包人。除专用合同条款另有约定外，发包人和监理人应在监理人收到施工组织设计后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天内确认或提出修改意见。对发包人和监理人提出的合理意见和要求，承包人应自费修改完善。根据工程实际情况需要修改施工组织设计的，承包人应向发包人和监理人提交修改后的施工组织设计。</w:t>
      </w:r>
    </w:p>
    <w:p w14:paraId="77F14F2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施工进度计划的编制和修改按照第</w:t>
      </w:r>
      <w:r>
        <w:rPr>
          <w:rFonts w:asciiTheme="minorEastAsia" w:hAnsiTheme="minorEastAsia" w:eastAsiaTheme="minorEastAsia"/>
          <w:color w:val="auto"/>
          <w:kern w:val="0"/>
          <w:szCs w:val="21"/>
          <w:highlight w:val="none"/>
        </w:rPr>
        <w:t>7.2</w:t>
      </w:r>
      <w:r>
        <w:rPr>
          <w:rFonts w:hint="eastAsia" w:asciiTheme="minorEastAsia" w:hAnsiTheme="minorEastAsia" w:eastAsiaTheme="minorEastAsia"/>
          <w:color w:val="auto"/>
          <w:kern w:val="0"/>
          <w:szCs w:val="21"/>
          <w:highlight w:val="none"/>
        </w:rPr>
        <w:t>款〔施工进度计划〕执行。</w:t>
      </w:r>
    </w:p>
    <w:p w14:paraId="7DDFFE4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7.2 </w:t>
      </w:r>
      <w:r>
        <w:rPr>
          <w:rFonts w:hint="eastAsia" w:asciiTheme="minorEastAsia" w:hAnsiTheme="minorEastAsia" w:eastAsiaTheme="minorEastAsia"/>
          <w:b w:val="0"/>
          <w:color w:val="auto"/>
          <w:sz w:val="21"/>
          <w:szCs w:val="21"/>
          <w:highlight w:val="none"/>
        </w:rPr>
        <w:t>施工进度计划</w:t>
      </w:r>
    </w:p>
    <w:p w14:paraId="20A2123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7.2.1 </w:t>
      </w:r>
      <w:r>
        <w:rPr>
          <w:rFonts w:hint="eastAsia" w:asciiTheme="minorEastAsia" w:hAnsiTheme="minorEastAsia" w:eastAsiaTheme="minorEastAsia"/>
          <w:color w:val="auto"/>
          <w:kern w:val="0"/>
          <w:szCs w:val="21"/>
          <w:highlight w:val="none"/>
        </w:rPr>
        <w:t>施工进度计划的编制</w:t>
      </w:r>
    </w:p>
    <w:p w14:paraId="775F5B1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承包人应按照第</w:t>
      </w:r>
      <w:r>
        <w:rPr>
          <w:rFonts w:asciiTheme="minorEastAsia" w:hAnsiTheme="minorEastAsia" w:eastAsiaTheme="minorEastAsia"/>
          <w:color w:val="auto"/>
          <w:kern w:val="0"/>
          <w:szCs w:val="21"/>
          <w:highlight w:val="none"/>
        </w:rPr>
        <w:t>7.1</w:t>
      </w:r>
      <w:r>
        <w:rPr>
          <w:rFonts w:hint="eastAsia" w:asciiTheme="minorEastAsia" w:hAnsiTheme="minorEastAsia" w:eastAsiaTheme="minorEastAsia"/>
          <w:color w:val="auto"/>
          <w:kern w:val="0"/>
          <w:szCs w:val="21"/>
          <w:highlight w:val="none"/>
        </w:rPr>
        <w:t>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13252BD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 xml:space="preserve">7.2.2 </w:t>
      </w:r>
      <w:r>
        <w:rPr>
          <w:rFonts w:hint="eastAsia" w:asciiTheme="minorEastAsia" w:hAnsiTheme="minorEastAsia" w:eastAsiaTheme="minorEastAsia"/>
          <w:color w:val="auto"/>
          <w:szCs w:val="21"/>
          <w:highlight w:val="none"/>
        </w:rPr>
        <w:t>施工进度计划的修订</w:t>
      </w:r>
    </w:p>
    <w:p w14:paraId="4A134FF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天内完成审核和批准或提出修改意见。发包人和监理人对承包人提交的施工进度计划的确认，不能减轻或免除承包人根据法律规定和合同约定应承担的任何责任或义务。</w:t>
      </w:r>
    </w:p>
    <w:p w14:paraId="78BB535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7.3 </w:t>
      </w:r>
      <w:r>
        <w:rPr>
          <w:rFonts w:hint="eastAsia" w:asciiTheme="minorEastAsia" w:hAnsiTheme="minorEastAsia" w:eastAsiaTheme="minorEastAsia"/>
          <w:b w:val="0"/>
          <w:color w:val="auto"/>
          <w:sz w:val="21"/>
          <w:szCs w:val="21"/>
          <w:highlight w:val="none"/>
        </w:rPr>
        <w:t>开工</w:t>
      </w:r>
    </w:p>
    <w:p w14:paraId="615EA112">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7.3.1 </w:t>
      </w:r>
      <w:r>
        <w:rPr>
          <w:rFonts w:hint="eastAsia" w:asciiTheme="minorEastAsia" w:hAnsiTheme="minorEastAsia" w:eastAsiaTheme="minorEastAsia"/>
          <w:color w:val="auto"/>
          <w:kern w:val="0"/>
          <w:szCs w:val="21"/>
          <w:highlight w:val="none"/>
        </w:rPr>
        <w:t>开工准备</w:t>
      </w:r>
    </w:p>
    <w:p w14:paraId="324D7E8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除专用合同条款另有约定外，承包人应按照第</w:t>
      </w:r>
      <w:r>
        <w:rPr>
          <w:rFonts w:asciiTheme="minorEastAsia" w:hAnsiTheme="minorEastAsia" w:eastAsiaTheme="minorEastAsia"/>
          <w:color w:val="auto"/>
          <w:kern w:val="0"/>
          <w:szCs w:val="21"/>
          <w:highlight w:val="none"/>
        </w:rPr>
        <w:t>7.1</w:t>
      </w:r>
      <w:r>
        <w:rPr>
          <w:rFonts w:hint="eastAsia" w:asciiTheme="minorEastAsia" w:hAnsiTheme="minorEastAsia" w:eastAsiaTheme="minorEastAsia"/>
          <w:color w:val="auto"/>
          <w:kern w:val="0"/>
          <w:szCs w:val="21"/>
          <w:highlight w:val="none"/>
        </w:rPr>
        <w:t>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29FABD2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除专用合同条款另有约定外，合同当事人应按约定完成开工准备工作。</w:t>
      </w:r>
    </w:p>
    <w:p w14:paraId="09E93EC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7.3.2 </w:t>
      </w:r>
      <w:r>
        <w:rPr>
          <w:rFonts w:hint="eastAsia" w:asciiTheme="minorEastAsia" w:hAnsiTheme="minorEastAsia" w:eastAsiaTheme="minorEastAsia"/>
          <w:color w:val="auto"/>
          <w:kern w:val="0"/>
          <w:szCs w:val="21"/>
          <w:highlight w:val="none"/>
        </w:rPr>
        <w:t>开工通知</w:t>
      </w:r>
    </w:p>
    <w:p w14:paraId="386ABF3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发包人应按照法律规定获得工程施工所需的许可。经发包人同意后，监理人发出的开工通知应符合法律规定。监理人应在计划开工日期</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天前向承包人发出开工通知，工期自开工通知中载明的开工日期起算。</w:t>
      </w:r>
    </w:p>
    <w:p w14:paraId="03FD00D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除专用合同条款另有约定外，因发包人原因造成监理人未能在计划开工日期之日起</w:t>
      </w:r>
      <w:r>
        <w:rPr>
          <w:rFonts w:asciiTheme="minorEastAsia" w:hAnsiTheme="minorEastAsia" w:eastAsiaTheme="minorEastAsia"/>
          <w:color w:val="auto"/>
          <w:kern w:val="0"/>
          <w:szCs w:val="21"/>
          <w:highlight w:val="none"/>
        </w:rPr>
        <w:t>90</w:t>
      </w:r>
      <w:r>
        <w:rPr>
          <w:rFonts w:hint="eastAsia" w:asciiTheme="minorEastAsia" w:hAnsiTheme="minorEastAsia" w:eastAsiaTheme="minorEastAsia"/>
          <w:color w:val="auto"/>
          <w:kern w:val="0"/>
          <w:szCs w:val="21"/>
          <w:highlight w:val="none"/>
        </w:rPr>
        <w:t>天内发出开工通知的，承包人有权提出价格调整要求，或者解除合同。发包人应当承担由此增加的费用和（或）延误的工期，并向承包人支付合理利润。</w:t>
      </w:r>
    </w:p>
    <w:p w14:paraId="2666289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7.4</w:t>
      </w:r>
      <w:r>
        <w:rPr>
          <w:rFonts w:hint="eastAsia" w:asciiTheme="minorEastAsia" w:hAnsiTheme="minorEastAsia" w:eastAsiaTheme="minorEastAsia"/>
          <w:b w:val="0"/>
          <w:color w:val="auto"/>
          <w:sz w:val="21"/>
          <w:szCs w:val="21"/>
          <w:highlight w:val="none"/>
        </w:rPr>
        <w:t>测量放线</w:t>
      </w:r>
    </w:p>
    <w:p w14:paraId="6F470D2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7.4.1 </w:t>
      </w:r>
      <w:r>
        <w:rPr>
          <w:rFonts w:hint="eastAsia" w:asciiTheme="minorEastAsia" w:hAnsiTheme="minorEastAsia" w:eastAsiaTheme="minorEastAsia"/>
          <w:color w:val="auto"/>
          <w:kern w:val="0"/>
          <w:szCs w:val="21"/>
          <w:highlight w:val="none"/>
        </w:rPr>
        <w:t>除专用合同条款另有约定外，发包人应在至迟不得晚于第</w:t>
      </w:r>
      <w:r>
        <w:rPr>
          <w:rFonts w:asciiTheme="minorEastAsia" w:hAnsiTheme="minorEastAsia" w:eastAsiaTheme="minorEastAsia"/>
          <w:color w:val="auto"/>
          <w:kern w:val="0"/>
          <w:szCs w:val="21"/>
          <w:highlight w:val="none"/>
        </w:rPr>
        <w:t>7.3.2</w:t>
      </w:r>
      <w:r>
        <w:rPr>
          <w:rFonts w:hint="eastAsia" w:asciiTheme="minorEastAsia" w:hAnsiTheme="minorEastAsia" w:eastAsiaTheme="minorEastAsia"/>
          <w:color w:val="auto"/>
          <w:kern w:val="0"/>
          <w:szCs w:val="21"/>
          <w:highlight w:val="none"/>
        </w:rPr>
        <w:t>项〔开工通知〕载明的开工日期前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天通过监理人向承包人提供测量基准点、基准线和水准点及其书面资料。发包人应对其提供的测量基准点、基准线和水准点及其书面资料的真实性、准确性和完整性负责。</w:t>
      </w:r>
    </w:p>
    <w:p w14:paraId="74B7C75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13956C1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7.4.2 </w:t>
      </w:r>
      <w:r>
        <w:rPr>
          <w:rFonts w:hint="eastAsia" w:asciiTheme="minorEastAsia" w:hAnsiTheme="minorEastAsia" w:eastAsiaTheme="minorEastAsia"/>
          <w:color w:val="auto"/>
          <w:kern w:val="0"/>
          <w:szCs w:val="21"/>
          <w:highlight w:val="none"/>
        </w:rPr>
        <w:t>承包人负责施工过程中的全部施工测量放线工作，并配置具有相应资质的人员、合格的仪器、设备和其他物品。承包人应矫正工程的位置、标高、尺寸或准线中出现的任何差错，并对工程各部分的定位负责。</w:t>
      </w:r>
    </w:p>
    <w:p w14:paraId="1E24D78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施工过程中对施工现场内水准点等测量标志物的保护工作由承包人负责。</w:t>
      </w:r>
    </w:p>
    <w:p w14:paraId="2062A82A">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7.5 </w:t>
      </w:r>
      <w:r>
        <w:rPr>
          <w:rFonts w:hint="eastAsia" w:asciiTheme="minorEastAsia" w:hAnsiTheme="minorEastAsia" w:eastAsiaTheme="minorEastAsia"/>
          <w:b w:val="0"/>
          <w:color w:val="auto"/>
          <w:sz w:val="21"/>
          <w:szCs w:val="21"/>
          <w:highlight w:val="none"/>
        </w:rPr>
        <w:t>工期延误</w:t>
      </w:r>
    </w:p>
    <w:p w14:paraId="32D2651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7.5.1 </w:t>
      </w:r>
      <w:r>
        <w:rPr>
          <w:rFonts w:hint="eastAsia" w:asciiTheme="minorEastAsia" w:hAnsiTheme="minorEastAsia" w:eastAsiaTheme="minorEastAsia"/>
          <w:color w:val="auto"/>
          <w:kern w:val="0"/>
          <w:szCs w:val="21"/>
          <w:highlight w:val="none"/>
        </w:rPr>
        <w:t>因发包人原因导致工期延误</w:t>
      </w:r>
    </w:p>
    <w:p w14:paraId="13CC5FC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在合同履行过程中，因下列情况导致工期延误和（或）费用增加的，由发包人承担由此延误的工期和（或）增加的费用，且发包人应支付承包人合理的利润：</w:t>
      </w:r>
      <w:r>
        <w:rPr>
          <w:rFonts w:asciiTheme="minorEastAsia" w:hAnsiTheme="minorEastAsia" w:eastAsiaTheme="minorEastAsia"/>
          <w:color w:val="auto"/>
          <w:kern w:val="0"/>
          <w:szCs w:val="21"/>
          <w:highlight w:val="none"/>
        </w:rPr>
        <w:t xml:space="preserve"> </w:t>
      </w:r>
    </w:p>
    <w:p w14:paraId="639FA05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）发包人未能按合同约定提供图纸或所提供图纸不符合合同约定的；</w:t>
      </w:r>
    </w:p>
    <w:p w14:paraId="7890A06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）发包人未能按合同约定提供施工现场、施工条件、基础资料、许可、批准等开工条件的；</w:t>
      </w:r>
    </w:p>
    <w:p w14:paraId="347C388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）发包人提供的测量基准点、基准线和水准点及其书面资料存在错误或疏漏的；</w:t>
      </w:r>
    </w:p>
    <w:p w14:paraId="3738652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）发包人未能在计划开工日期之日起</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天内同意下达开工通知的；</w:t>
      </w:r>
    </w:p>
    <w:p w14:paraId="3359608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）发包人未能按合同约定日期支付工程预付款、进度款或竣工结算款的；</w:t>
      </w:r>
    </w:p>
    <w:p w14:paraId="481C4EB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）监理人未按合同约定发出指示、批准等文件的；</w:t>
      </w:r>
    </w:p>
    <w:p w14:paraId="03E9D4F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）专用合同条款中约定的其他情形。</w:t>
      </w:r>
    </w:p>
    <w:p w14:paraId="5D16665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因发包人原因未按计划开工日期开工的，发包人应按实际开工日期顺延竣工日期，确保实际工期不低于合同约定的工期总日历天数。因发包人原因导致工期延误需要修订施工进度计划的，按照第</w:t>
      </w:r>
      <w:r>
        <w:rPr>
          <w:rFonts w:asciiTheme="minorEastAsia" w:hAnsiTheme="minorEastAsia" w:eastAsiaTheme="minorEastAsia"/>
          <w:color w:val="auto"/>
          <w:kern w:val="0"/>
          <w:szCs w:val="21"/>
          <w:highlight w:val="none"/>
        </w:rPr>
        <w:t>7.2.2</w:t>
      </w:r>
      <w:r>
        <w:rPr>
          <w:rFonts w:hint="eastAsia" w:asciiTheme="minorEastAsia" w:hAnsiTheme="minorEastAsia" w:eastAsiaTheme="minorEastAsia"/>
          <w:color w:val="auto"/>
          <w:kern w:val="0"/>
          <w:szCs w:val="21"/>
          <w:highlight w:val="none"/>
        </w:rPr>
        <w:t>项〔施工进度计划的修订〕执行。</w:t>
      </w:r>
    </w:p>
    <w:p w14:paraId="1EB78C2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7.5.2 </w:t>
      </w:r>
      <w:r>
        <w:rPr>
          <w:rFonts w:hint="eastAsia" w:asciiTheme="minorEastAsia" w:hAnsiTheme="minorEastAsia" w:eastAsiaTheme="minorEastAsia"/>
          <w:color w:val="auto"/>
          <w:kern w:val="0"/>
          <w:szCs w:val="21"/>
          <w:highlight w:val="none"/>
        </w:rPr>
        <w:t>因承包人原因导致工期延误</w:t>
      </w:r>
    </w:p>
    <w:p w14:paraId="1025513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因承包人原因造成工期延误的，可以在专用合同条款中约定逾期竣工违约金的计算方法和逾期竣工违约金的上限。承包人支付逾期竣工违约金后，不免除承包人继续完成工程及修补缺陷的义务。</w:t>
      </w:r>
    </w:p>
    <w:p w14:paraId="6CE47C0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7.6 </w:t>
      </w:r>
      <w:r>
        <w:rPr>
          <w:rFonts w:hint="eastAsia" w:asciiTheme="minorEastAsia" w:hAnsiTheme="minorEastAsia" w:eastAsiaTheme="minorEastAsia"/>
          <w:b w:val="0"/>
          <w:color w:val="auto"/>
          <w:sz w:val="21"/>
          <w:szCs w:val="21"/>
          <w:highlight w:val="none"/>
        </w:rPr>
        <w:t>不利物质条件</w:t>
      </w:r>
    </w:p>
    <w:p w14:paraId="21C8434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364105D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w:t>
      </w:r>
      <w:r>
        <w:rPr>
          <w:rFonts w:asciiTheme="minorEastAsia" w:hAnsiTheme="minorEastAsia" w:eastAsiaTheme="minorEastAsia"/>
          <w:color w:val="auto"/>
          <w:kern w:val="0"/>
          <w:szCs w:val="21"/>
          <w:highlight w:val="none"/>
        </w:rPr>
        <w:t>10</w:t>
      </w:r>
      <w:r>
        <w:rPr>
          <w:rFonts w:hint="eastAsia" w:asciiTheme="minorEastAsia" w:hAnsiTheme="minorEastAsia" w:eastAsiaTheme="minorEastAsia"/>
          <w:color w:val="auto"/>
          <w:kern w:val="0"/>
          <w:szCs w:val="21"/>
          <w:highlight w:val="none"/>
        </w:rPr>
        <w:t>条〔变更〕约定执行。承包人因采取合理措施而增加的费用和（或）延误的工期由发包人承担。</w:t>
      </w:r>
    </w:p>
    <w:p w14:paraId="2BF8CE7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7.7 </w:t>
      </w:r>
      <w:r>
        <w:rPr>
          <w:rFonts w:hint="eastAsia" w:asciiTheme="minorEastAsia" w:hAnsiTheme="minorEastAsia" w:eastAsiaTheme="minorEastAsia"/>
          <w:b w:val="0"/>
          <w:color w:val="auto"/>
          <w:sz w:val="21"/>
          <w:szCs w:val="21"/>
          <w:highlight w:val="none"/>
        </w:rPr>
        <w:t>异常恶劣的气候条件</w:t>
      </w:r>
    </w:p>
    <w:p w14:paraId="6CC5B0F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0F89DA5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承包人应采取克服异常恶劣的气候条件的合理措施继续施工，并及时通知发包人和监理人。监理人经发包人同意后应当及时发出指示，指示构成变更的，按第</w:t>
      </w:r>
      <w:r>
        <w:rPr>
          <w:rFonts w:asciiTheme="minorEastAsia" w:hAnsiTheme="minorEastAsia" w:eastAsiaTheme="minorEastAsia"/>
          <w:color w:val="auto"/>
          <w:kern w:val="0"/>
          <w:szCs w:val="21"/>
          <w:highlight w:val="none"/>
        </w:rPr>
        <w:t>10</w:t>
      </w:r>
      <w:r>
        <w:rPr>
          <w:rFonts w:hint="eastAsia" w:asciiTheme="minorEastAsia" w:hAnsiTheme="minorEastAsia" w:eastAsiaTheme="minorEastAsia"/>
          <w:color w:val="auto"/>
          <w:kern w:val="0"/>
          <w:szCs w:val="21"/>
          <w:highlight w:val="none"/>
        </w:rPr>
        <w:t>条〔变更〕约定办理。承包人因采取合理措施而增加的费用和（或）延误的工期由发包人承担。</w:t>
      </w:r>
    </w:p>
    <w:p w14:paraId="25DA636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7.8 </w:t>
      </w:r>
      <w:r>
        <w:rPr>
          <w:rFonts w:hint="eastAsia" w:asciiTheme="minorEastAsia" w:hAnsiTheme="minorEastAsia" w:eastAsiaTheme="minorEastAsia"/>
          <w:b w:val="0"/>
          <w:color w:val="auto"/>
          <w:sz w:val="21"/>
          <w:szCs w:val="21"/>
          <w:highlight w:val="none"/>
        </w:rPr>
        <w:t>暂停施工</w:t>
      </w:r>
    </w:p>
    <w:p w14:paraId="3FAA39D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7.8.1</w:t>
      </w:r>
      <w:r>
        <w:rPr>
          <w:rFonts w:hint="eastAsia" w:asciiTheme="minorEastAsia" w:hAnsiTheme="minorEastAsia" w:eastAsiaTheme="minorEastAsia"/>
          <w:color w:val="auto"/>
          <w:kern w:val="0"/>
          <w:szCs w:val="21"/>
          <w:highlight w:val="none"/>
        </w:rPr>
        <w:t>发包人原因引起的暂停施工</w:t>
      </w:r>
    </w:p>
    <w:p w14:paraId="452CB92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因发包人原因引起暂停施工的，监理人经发包人同意后，应及时下达暂停施工指示。情况紧急且监理人未及时下达暂停施工指示的，按照第</w:t>
      </w:r>
      <w:r>
        <w:rPr>
          <w:rFonts w:asciiTheme="minorEastAsia" w:hAnsiTheme="minorEastAsia" w:eastAsiaTheme="minorEastAsia"/>
          <w:color w:val="auto"/>
          <w:kern w:val="0"/>
          <w:szCs w:val="21"/>
          <w:highlight w:val="none"/>
        </w:rPr>
        <w:t>7.8.4</w:t>
      </w:r>
      <w:r>
        <w:rPr>
          <w:rFonts w:hint="eastAsia" w:asciiTheme="minorEastAsia" w:hAnsiTheme="minorEastAsia" w:eastAsiaTheme="minorEastAsia"/>
          <w:color w:val="auto"/>
          <w:kern w:val="0"/>
          <w:szCs w:val="21"/>
          <w:highlight w:val="none"/>
        </w:rPr>
        <w:t>项〔紧急情况下的暂停施工〕执行。</w:t>
      </w:r>
    </w:p>
    <w:p w14:paraId="20AB70E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因发包人原因引起的暂停施工，发包人应承担由此增加的费用和（或）延误的工期，并支付承包人合理的利润。</w:t>
      </w:r>
    </w:p>
    <w:p w14:paraId="6B8DED9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7.8.2 </w:t>
      </w:r>
      <w:r>
        <w:rPr>
          <w:rFonts w:hint="eastAsia" w:asciiTheme="minorEastAsia" w:hAnsiTheme="minorEastAsia" w:eastAsiaTheme="minorEastAsia"/>
          <w:color w:val="auto"/>
          <w:kern w:val="0"/>
          <w:szCs w:val="21"/>
          <w:highlight w:val="none"/>
        </w:rPr>
        <w:t>承包人原因引起的暂停施工</w:t>
      </w:r>
    </w:p>
    <w:p w14:paraId="654CF61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因承包人原因引起的暂停施工，承包人应承担由此增加的费用和（或）延误的工期，且承包人在收到监理人复工指示后</w:t>
      </w:r>
      <w:r>
        <w:rPr>
          <w:rFonts w:asciiTheme="minorEastAsia" w:hAnsiTheme="minorEastAsia" w:eastAsiaTheme="minorEastAsia"/>
          <w:color w:val="auto"/>
          <w:kern w:val="0"/>
          <w:szCs w:val="21"/>
          <w:highlight w:val="none"/>
        </w:rPr>
        <w:t>84</w:t>
      </w:r>
      <w:r>
        <w:rPr>
          <w:rFonts w:hint="eastAsia" w:asciiTheme="minorEastAsia" w:hAnsiTheme="minorEastAsia" w:eastAsiaTheme="minorEastAsia"/>
          <w:color w:val="auto"/>
          <w:kern w:val="0"/>
          <w:szCs w:val="21"/>
          <w:highlight w:val="none"/>
        </w:rPr>
        <w:t>天内仍未复工的，视为第</w:t>
      </w:r>
      <w:r>
        <w:rPr>
          <w:rFonts w:asciiTheme="minorEastAsia" w:hAnsiTheme="minorEastAsia" w:eastAsiaTheme="minorEastAsia"/>
          <w:color w:val="auto"/>
          <w:kern w:val="0"/>
          <w:szCs w:val="21"/>
          <w:highlight w:val="none"/>
        </w:rPr>
        <w:t>16.2.1</w:t>
      </w:r>
      <w:r>
        <w:rPr>
          <w:rFonts w:hint="eastAsia" w:asciiTheme="minorEastAsia" w:hAnsiTheme="minorEastAsia" w:eastAsiaTheme="minorEastAsia"/>
          <w:color w:val="auto"/>
          <w:kern w:val="0"/>
          <w:szCs w:val="21"/>
          <w:highlight w:val="none"/>
        </w:rPr>
        <w:t>项〔承包人违约的情形〕第（</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）目约定的承包人无法继续履行合同的情形。</w:t>
      </w:r>
    </w:p>
    <w:p w14:paraId="5CB2179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7.8.3 </w:t>
      </w:r>
      <w:r>
        <w:rPr>
          <w:rFonts w:hint="eastAsia" w:asciiTheme="minorEastAsia" w:hAnsiTheme="minorEastAsia" w:eastAsiaTheme="minorEastAsia"/>
          <w:color w:val="auto"/>
          <w:kern w:val="0"/>
          <w:szCs w:val="21"/>
          <w:highlight w:val="none"/>
        </w:rPr>
        <w:t>指示暂停施工</w:t>
      </w:r>
    </w:p>
    <w:p w14:paraId="61DF23E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监理人认为有必要时，并经发包人批准后，可向承包人作出暂停施工的指示，承包人应按监理人指示暂停施工。</w:t>
      </w:r>
    </w:p>
    <w:p w14:paraId="4FFC1D1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7.8.4 </w:t>
      </w:r>
      <w:r>
        <w:rPr>
          <w:rFonts w:hint="eastAsia" w:asciiTheme="minorEastAsia" w:hAnsiTheme="minorEastAsia" w:eastAsiaTheme="minorEastAsia"/>
          <w:color w:val="auto"/>
          <w:kern w:val="0"/>
          <w:szCs w:val="21"/>
          <w:highlight w:val="none"/>
        </w:rPr>
        <w:t>紧急情况下的暂停施工</w:t>
      </w:r>
    </w:p>
    <w:p w14:paraId="7229413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因紧急情况需暂停施工，且监理人未及时下达暂停施工指示的，承包人可先暂停施工，并及时通知监理人。监理人应在接到通知后</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小时内发出指示，逾期未发出指示，视为同意承包人暂停施工。监理人不同意承包人暂停施工的，应说明理由，承包人对监理人的答复有异议，按照第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条〔争议解决〕约定处理。</w:t>
      </w:r>
    </w:p>
    <w:p w14:paraId="5AD557C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7.8.5 </w:t>
      </w:r>
      <w:r>
        <w:rPr>
          <w:rFonts w:hint="eastAsia" w:asciiTheme="minorEastAsia" w:hAnsiTheme="minorEastAsia" w:eastAsiaTheme="minorEastAsia"/>
          <w:color w:val="auto"/>
          <w:kern w:val="0"/>
          <w:szCs w:val="21"/>
          <w:highlight w:val="none"/>
        </w:rPr>
        <w:t>暂停施工后的复工</w:t>
      </w:r>
    </w:p>
    <w:p w14:paraId="27C29B8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42CD1B7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承包人无故拖延和拒绝复工的，承包人承担由此增加的费用和（或）延误的工期；因发包人原因无法按时复工的，按照第</w:t>
      </w:r>
      <w:r>
        <w:rPr>
          <w:rFonts w:asciiTheme="minorEastAsia" w:hAnsiTheme="minorEastAsia" w:eastAsiaTheme="minorEastAsia"/>
          <w:color w:val="auto"/>
          <w:kern w:val="0"/>
          <w:szCs w:val="21"/>
          <w:highlight w:val="none"/>
        </w:rPr>
        <w:t>7.5.1</w:t>
      </w:r>
      <w:r>
        <w:rPr>
          <w:rFonts w:hint="eastAsia" w:asciiTheme="minorEastAsia" w:hAnsiTheme="minorEastAsia" w:eastAsiaTheme="minorEastAsia"/>
          <w:color w:val="auto"/>
          <w:kern w:val="0"/>
          <w:szCs w:val="21"/>
          <w:highlight w:val="none"/>
        </w:rPr>
        <w:t>项〔因发包人原因导致工期延误〕约定办理。</w:t>
      </w:r>
    </w:p>
    <w:p w14:paraId="116AC52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7.8.6 </w:t>
      </w:r>
      <w:r>
        <w:rPr>
          <w:rFonts w:hint="eastAsia" w:asciiTheme="minorEastAsia" w:hAnsiTheme="minorEastAsia" w:eastAsiaTheme="minorEastAsia"/>
          <w:color w:val="auto"/>
          <w:kern w:val="0"/>
          <w:szCs w:val="21"/>
          <w:highlight w:val="none"/>
        </w:rPr>
        <w:t>暂停施工持续</w:t>
      </w:r>
      <w:r>
        <w:rPr>
          <w:rFonts w:asciiTheme="minorEastAsia" w:hAnsiTheme="minorEastAsia" w:eastAsiaTheme="minorEastAsia"/>
          <w:color w:val="auto"/>
          <w:kern w:val="0"/>
          <w:szCs w:val="21"/>
          <w:highlight w:val="none"/>
        </w:rPr>
        <w:t>56</w:t>
      </w:r>
      <w:r>
        <w:rPr>
          <w:rFonts w:hint="eastAsia" w:asciiTheme="minorEastAsia" w:hAnsiTheme="minorEastAsia" w:eastAsiaTheme="minorEastAsia"/>
          <w:color w:val="auto"/>
          <w:kern w:val="0"/>
          <w:szCs w:val="21"/>
          <w:highlight w:val="none"/>
        </w:rPr>
        <w:t>天以上</w:t>
      </w:r>
    </w:p>
    <w:p w14:paraId="458A23F0">
      <w:pPr>
        <w:keepNext w:val="0"/>
        <w:keepLines w:val="0"/>
        <w:pageBreakBefore w:val="0"/>
        <w:widowControl w:val="0"/>
        <w:kinsoku/>
        <w:wordWrap/>
        <w:overflowPunct/>
        <w:topLinePunct w:val="0"/>
        <w:bidi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监理人发出暂停施工指示后</w:t>
      </w:r>
      <w:r>
        <w:rPr>
          <w:rFonts w:asciiTheme="minorEastAsia" w:hAnsiTheme="minorEastAsia" w:eastAsiaTheme="minorEastAsia"/>
          <w:color w:val="auto"/>
          <w:kern w:val="0"/>
          <w:szCs w:val="21"/>
          <w:highlight w:val="none"/>
        </w:rPr>
        <w:t>56</w:t>
      </w:r>
      <w:r>
        <w:rPr>
          <w:rFonts w:hint="eastAsia" w:asciiTheme="minorEastAsia" w:hAnsiTheme="minorEastAsia" w:eastAsiaTheme="minorEastAsia"/>
          <w:color w:val="auto"/>
          <w:kern w:val="0"/>
          <w:szCs w:val="21"/>
          <w:highlight w:val="none"/>
        </w:rPr>
        <w:t>天内未向承包人发出复工通知，除该项停工属于第</w:t>
      </w:r>
      <w:r>
        <w:rPr>
          <w:rFonts w:asciiTheme="minorEastAsia" w:hAnsiTheme="minorEastAsia" w:eastAsiaTheme="minorEastAsia"/>
          <w:color w:val="auto"/>
          <w:kern w:val="0"/>
          <w:szCs w:val="21"/>
          <w:highlight w:val="none"/>
        </w:rPr>
        <w:t>7.8.2</w:t>
      </w:r>
      <w:r>
        <w:rPr>
          <w:rFonts w:hint="eastAsia" w:asciiTheme="minorEastAsia" w:hAnsiTheme="minorEastAsia" w:eastAsiaTheme="minorEastAsia"/>
          <w:color w:val="auto"/>
          <w:kern w:val="0"/>
          <w:szCs w:val="21"/>
          <w:highlight w:val="none"/>
        </w:rPr>
        <w:t>项〔承包人原因引起的暂停施工〕及第</w:t>
      </w:r>
      <w:r>
        <w:rPr>
          <w:rFonts w:asciiTheme="minorEastAsia" w:hAnsiTheme="minorEastAsia" w:eastAsiaTheme="minorEastAsia"/>
          <w:color w:val="auto"/>
          <w:kern w:val="0"/>
          <w:szCs w:val="21"/>
          <w:highlight w:val="none"/>
        </w:rPr>
        <w:t>17</w:t>
      </w:r>
      <w:r>
        <w:rPr>
          <w:rFonts w:hint="eastAsia" w:asciiTheme="minorEastAsia" w:hAnsiTheme="minorEastAsia" w:eastAsiaTheme="minorEastAsia"/>
          <w:color w:val="auto"/>
          <w:kern w:val="0"/>
          <w:szCs w:val="21"/>
          <w:highlight w:val="none"/>
        </w:rPr>
        <w:t>条〔不可抗力〕约定的情形外，承包人可向发包人提交书面通知，要求发包人在收到书面通知后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天内准许已暂停施工的部分或全部工程继续施工。发包人逾期不予批准的，则承包人可以通知发包人，将工程受影响的部分视为按第</w:t>
      </w:r>
      <w:r>
        <w:rPr>
          <w:rFonts w:asciiTheme="minorEastAsia" w:hAnsiTheme="minorEastAsia" w:eastAsiaTheme="minorEastAsia"/>
          <w:color w:val="auto"/>
          <w:kern w:val="0"/>
          <w:szCs w:val="21"/>
          <w:highlight w:val="none"/>
        </w:rPr>
        <w:t>10.1</w:t>
      </w:r>
      <w:r>
        <w:rPr>
          <w:rFonts w:hint="eastAsia" w:asciiTheme="minorEastAsia" w:hAnsiTheme="minorEastAsia" w:eastAsiaTheme="minorEastAsia"/>
          <w:color w:val="auto"/>
          <w:kern w:val="0"/>
          <w:szCs w:val="21"/>
          <w:highlight w:val="none"/>
        </w:rPr>
        <w:t>款〔变更的范围〕第（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）项的可取消工作。</w:t>
      </w:r>
    </w:p>
    <w:p w14:paraId="67DFB64E">
      <w:pPr>
        <w:keepNext w:val="0"/>
        <w:keepLines w:val="0"/>
        <w:pageBreakBefore w:val="0"/>
        <w:widowControl w:val="0"/>
        <w:kinsoku/>
        <w:wordWrap/>
        <w:overflowPunct/>
        <w:topLinePunct w:val="0"/>
        <w:bidi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暂停施工持续</w:t>
      </w:r>
      <w:r>
        <w:rPr>
          <w:rFonts w:asciiTheme="minorEastAsia" w:hAnsiTheme="minorEastAsia" w:eastAsiaTheme="minorEastAsia"/>
          <w:color w:val="auto"/>
          <w:kern w:val="0"/>
          <w:szCs w:val="21"/>
          <w:highlight w:val="none"/>
        </w:rPr>
        <w:t>84</w:t>
      </w:r>
      <w:r>
        <w:rPr>
          <w:rFonts w:hint="eastAsia" w:asciiTheme="minorEastAsia" w:hAnsiTheme="minorEastAsia" w:eastAsiaTheme="minorEastAsia"/>
          <w:color w:val="auto"/>
          <w:kern w:val="0"/>
          <w:szCs w:val="21"/>
          <w:highlight w:val="none"/>
        </w:rPr>
        <w:t>天以上不复工的，且不属于第</w:t>
      </w:r>
      <w:r>
        <w:rPr>
          <w:rFonts w:asciiTheme="minorEastAsia" w:hAnsiTheme="minorEastAsia" w:eastAsiaTheme="minorEastAsia"/>
          <w:color w:val="auto"/>
          <w:kern w:val="0"/>
          <w:szCs w:val="21"/>
          <w:highlight w:val="none"/>
        </w:rPr>
        <w:t>7.8.2</w:t>
      </w:r>
      <w:r>
        <w:rPr>
          <w:rFonts w:hint="eastAsia" w:asciiTheme="minorEastAsia" w:hAnsiTheme="minorEastAsia" w:eastAsiaTheme="minorEastAsia"/>
          <w:color w:val="auto"/>
          <w:kern w:val="0"/>
          <w:szCs w:val="21"/>
          <w:highlight w:val="none"/>
        </w:rPr>
        <w:t>项〔承包人原因引起的暂停施工〕及第</w:t>
      </w:r>
      <w:r>
        <w:rPr>
          <w:rFonts w:asciiTheme="minorEastAsia" w:hAnsiTheme="minorEastAsia" w:eastAsiaTheme="minorEastAsia"/>
          <w:color w:val="auto"/>
          <w:kern w:val="0"/>
          <w:szCs w:val="21"/>
          <w:highlight w:val="none"/>
        </w:rPr>
        <w:t>17</w:t>
      </w:r>
      <w:r>
        <w:rPr>
          <w:rFonts w:hint="eastAsia" w:asciiTheme="minorEastAsia" w:hAnsiTheme="minorEastAsia" w:eastAsiaTheme="minorEastAsia"/>
          <w:color w:val="auto"/>
          <w:kern w:val="0"/>
          <w:szCs w:val="21"/>
          <w:highlight w:val="none"/>
        </w:rPr>
        <w:t>条〔不可抗力〕约定的情形，并影响到整个工程以及合同目的实现的，承包人有权提出价格调整要求，或者解除合同。解除合同的，按照第</w:t>
      </w:r>
      <w:r>
        <w:rPr>
          <w:rFonts w:asciiTheme="minorEastAsia" w:hAnsiTheme="minorEastAsia" w:eastAsiaTheme="minorEastAsia"/>
          <w:color w:val="auto"/>
          <w:kern w:val="0"/>
          <w:szCs w:val="21"/>
          <w:highlight w:val="none"/>
        </w:rPr>
        <w:t>16.1.3</w:t>
      </w:r>
      <w:r>
        <w:rPr>
          <w:rFonts w:hint="eastAsia" w:asciiTheme="minorEastAsia" w:hAnsiTheme="minorEastAsia" w:eastAsiaTheme="minorEastAsia"/>
          <w:color w:val="auto"/>
          <w:kern w:val="0"/>
          <w:szCs w:val="21"/>
          <w:highlight w:val="none"/>
        </w:rPr>
        <w:t>项〔因发包人违约解除合同〕执行。</w:t>
      </w:r>
    </w:p>
    <w:p w14:paraId="577B2976">
      <w:pPr>
        <w:keepNext w:val="0"/>
        <w:keepLines w:val="0"/>
        <w:pageBreakBefore w:val="0"/>
        <w:widowControl w:val="0"/>
        <w:kinsoku/>
        <w:wordWrap/>
        <w:overflowPunct/>
        <w:topLinePunct w:val="0"/>
        <w:bidi w:val="0"/>
        <w:spacing w:line="440" w:lineRule="exact"/>
        <w:ind w:left="0" w:firstLine="409" w:firstLineChars="195"/>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7.8.7 </w:t>
      </w:r>
      <w:r>
        <w:rPr>
          <w:rFonts w:hint="eastAsia" w:asciiTheme="minorEastAsia" w:hAnsiTheme="minorEastAsia" w:eastAsiaTheme="minorEastAsia"/>
          <w:color w:val="auto"/>
          <w:kern w:val="0"/>
          <w:szCs w:val="21"/>
          <w:highlight w:val="none"/>
        </w:rPr>
        <w:t>暂停施工期间的工程照管</w:t>
      </w:r>
    </w:p>
    <w:p w14:paraId="4B2C97D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暂停施工期间，承包人应负责妥善照管工程并提供安全保障，由此增加的费用由责任方承担。</w:t>
      </w:r>
    </w:p>
    <w:p w14:paraId="1C7592E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7.8.8 </w:t>
      </w:r>
      <w:r>
        <w:rPr>
          <w:rFonts w:hint="eastAsia" w:asciiTheme="minorEastAsia" w:hAnsiTheme="minorEastAsia" w:eastAsiaTheme="minorEastAsia"/>
          <w:color w:val="auto"/>
          <w:kern w:val="0"/>
          <w:szCs w:val="21"/>
          <w:highlight w:val="none"/>
        </w:rPr>
        <w:t>暂停施工的措施</w:t>
      </w:r>
    </w:p>
    <w:p w14:paraId="2EC5C80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暂停施工期间，发包人和承包人均应采取必要的措施确保工程质量及安全，防止因暂停施工扩大损失。</w:t>
      </w:r>
    </w:p>
    <w:p w14:paraId="4814B2C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7.9</w:t>
      </w:r>
      <w:r>
        <w:rPr>
          <w:rFonts w:hint="eastAsia" w:asciiTheme="minorEastAsia" w:hAnsiTheme="minorEastAsia" w:eastAsiaTheme="minorEastAsia"/>
          <w:b w:val="0"/>
          <w:color w:val="auto"/>
          <w:sz w:val="21"/>
          <w:szCs w:val="21"/>
          <w:highlight w:val="none"/>
        </w:rPr>
        <w:t>提前竣工</w:t>
      </w:r>
    </w:p>
    <w:p w14:paraId="0C9DA28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7.9.1 </w:t>
      </w:r>
      <w:r>
        <w:rPr>
          <w:rFonts w:hint="eastAsia" w:asciiTheme="minorEastAsia" w:hAnsiTheme="minorEastAsia" w:eastAsiaTheme="minorEastAsia"/>
          <w:color w:val="auto"/>
          <w:kern w:val="0"/>
          <w:szCs w:val="21"/>
          <w:highlight w:val="none"/>
        </w:rPr>
        <w:t>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天内予以答复。任何情况下，发包人不得压缩合理工期。</w:t>
      </w:r>
    </w:p>
    <w:p w14:paraId="289BE0B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7.9.2 </w:t>
      </w:r>
      <w:r>
        <w:rPr>
          <w:rFonts w:hint="eastAsia" w:asciiTheme="minorEastAsia" w:hAnsiTheme="minorEastAsia" w:eastAsiaTheme="minorEastAsia"/>
          <w:color w:val="auto"/>
          <w:kern w:val="0"/>
          <w:szCs w:val="21"/>
          <w:highlight w:val="none"/>
        </w:rPr>
        <w:t>发包人要求承包人提前竣工，或承包人提出提前竣工的建议能够给发包人带来效益的，合同当事人可以在专用合同条款中约定提前竣工的奖励。</w:t>
      </w:r>
    </w:p>
    <w:p w14:paraId="77BB62B0">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59" w:name="_Toc906"/>
      <w:bookmarkStart w:id="260" w:name="_Toc6205"/>
      <w:bookmarkStart w:id="261" w:name="_Toc15758"/>
      <w:r>
        <w:rPr>
          <w:rFonts w:hint="eastAsia" w:asciiTheme="minorEastAsia" w:hAnsiTheme="minorEastAsia" w:eastAsiaTheme="minorEastAsia"/>
          <w:b/>
          <w:color w:val="auto"/>
          <w:szCs w:val="21"/>
          <w:highlight w:val="none"/>
        </w:rPr>
        <w:t>8. 材料与设备</w:t>
      </w:r>
      <w:bookmarkEnd w:id="259"/>
      <w:bookmarkEnd w:id="260"/>
      <w:bookmarkEnd w:id="261"/>
    </w:p>
    <w:p w14:paraId="47A6BB2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8.1</w:t>
      </w:r>
      <w:r>
        <w:rPr>
          <w:rFonts w:hint="eastAsia" w:asciiTheme="minorEastAsia" w:hAnsiTheme="minorEastAsia" w:eastAsiaTheme="minorEastAsia"/>
          <w:b w:val="0"/>
          <w:color w:val="auto"/>
          <w:sz w:val="21"/>
          <w:szCs w:val="21"/>
          <w:highlight w:val="none"/>
        </w:rPr>
        <w:t>发包人供应材料与工程设备</w:t>
      </w:r>
    </w:p>
    <w:p w14:paraId="29AB734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发包人自行供应材料、工程设备的，应在签订合同时在专用合同条款的附件《发包人供应材料设备一览表》中明确材料、工程设备的品种、规格、型号、数量、单价、质量等级和送达地点。</w:t>
      </w:r>
    </w:p>
    <w:p w14:paraId="45F22DB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承包人应提前</w:t>
      </w:r>
      <w:r>
        <w:rPr>
          <w:rFonts w:asciiTheme="minorEastAsia" w:hAnsiTheme="minorEastAsia" w:eastAsiaTheme="minorEastAsia"/>
          <w:color w:val="auto"/>
          <w:kern w:val="0"/>
          <w:szCs w:val="21"/>
          <w:highlight w:val="none"/>
        </w:rPr>
        <w:t>30</w:t>
      </w:r>
      <w:r>
        <w:rPr>
          <w:rFonts w:hint="eastAsia" w:asciiTheme="minorEastAsia" w:hAnsiTheme="minorEastAsia" w:eastAsiaTheme="minorEastAsia"/>
          <w:color w:val="auto"/>
          <w:kern w:val="0"/>
          <w:szCs w:val="21"/>
          <w:highlight w:val="none"/>
        </w:rPr>
        <w:t>天通过监理人以书面形式通知发包人供应材料与工程设备进场。承包人按照第</w:t>
      </w:r>
      <w:r>
        <w:rPr>
          <w:rFonts w:asciiTheme="minorEastAsia" w:hAnsiTheme="minorEastAsia" w:eastAsiaTheme="minorEastAsia"/>
          <w:color w:val="auto"/>
          <w:kern w:val="0"/>
          <w:szCs w:val="21"/>
          <w:highlight w:val="none"/>
        </w:rPr>
        <w:t>7.2.2</w:t>
      </w:r>
      <w:r>
        <w:rPr>
          <w:rFonts w:hint="eastAsia" w:asciiTheme="minorEastAsia" w:hAnsiTheme="minorEastAsia" w:eastAsiaTheme="minorEastAsia"/>
          <w:color w:val="auto"/>
          <w:kern w:val="0"/>
          <w:szCs w:val="21"/>
          <w:highlight w:val="none"/>
        </w:rPr>
        <w:t>项〔施工进度计划的修订〕约定修订施工进度计划时，需同时提交经修订后的发包人供应材料与工程设备的进场计划。</w:t>
      </w:r>
    </w:p>
    <w:p w14:paraId="2D8AF07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b w:val="0"/>
          <w:color w:val="auto"/>
          <w:sz w:val="21"/>
          <w:szCs w:val="21"/>
          <w:highlight w:val="none"/>
        </w:rPr>
        <w:t>8.2</w:t>
      </w:r>
      <w:r>
        <w:rPr>
          <w:rFonts w:hint="eastAsia" w:asciiTheme="minorEastAsia" w:hAnsiTheme="minorEastAsia" w:eastAsiaTheme="minorEastAsia"/>
          <w:b w:val="0"/>
          <w:color w:val="auto"/>
          <w:sz w:val="21"/>
          <w:szCs w:val="21"/>
          <w:highlight w:val="none"/>
        </w:rPr>
        <w:t>承包人采购材料与工程设备</w:t>
      </w:r>
    </w:p>
    <w:p w14:paraId="12AC45D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1030F36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8.3</w:t>
      </w:r>
      <w:r>
        <w:rPr>
          <w:rFonts w:hint="eastAsia" w:asciiTheme="minorEastAsia" w:hAnsiTheme="minorEastAsia" w:eastAsiaTheme="minorEastAsia"/>
          <w:b w:val="0"/>
          <w:color w:val="auto"/>
          <w:sz w:val="21"/>
          <w:szCs w:val="21"/>
          <w:highlight w:val="none"/>
        </w:rPr>
        <w:t>材料与工程设备的接收与拒收</w:t>
      </w:r>
    </w:p>
    <w:p w14:paraId="32BF0DA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8.3.1 </w:t>
      </w:r>
      <w:r>
        <w:rPr>
          <w:rFonts w:hint="eastAsia" w:asciiTheme="minorEastAsia" w:hAnsiTheme="minorEastAsia" w:eastAsiaTheme="minorEastAsia"/>
          <w:color w:val="auto"/>
          <w:kern w:val="0"/>
          <w:szCs w:val="21"/>
          <w:highlight w:val="none"/>
        </w:rPr>
        <w:t>发包人应按《发包人供应材料设备一览表》约定的内容提供材料和工程设备，并向承包人提供产品合格证明及出厂证明，对其质量负责。发包人应提前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小时以书面形式通知承包人、监理人材料和工程设备到货时间，承包人负责材料和工程设备的清点、检验和接收。</w:t>
      </w:r>
    </w:p>
    <w:p w14:paraId="7385BC1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发包人提供的材料和工程设备的规格、数量或质量不符合合同约定的，或因发包人原因导致交货日期延误或交货地点变更等情况的，按照第</w:t>
      </w:r>
      <w:r>
        <w:rPr>
          <w:rFonts w:asciiTheme="minorEastAsia" w:hAnsiTheme="minorEastAsia" w:eastAsiaTheme="minorEastAsia"/>
          <w:color w:val="auto"/>
          <w:kern w:val="0"/>
          <w:szCs w:val="21"/>
          <w:highlight w:val="none"/>
        </w:rPr>
        <w:t>16.1</w:t>
      </w:r>
      <w:r>
        <w:rPr>
          <w:rFonts w:hint="eastAsia" w:asciiTheme="minorEastAsia" w:hAnsiTheme="minorEastAsia" w:eastAsiaTheme="minorEastAsia"/>
          <w:color w:val="auto"/>
          <w:kern w:val="0"/>
          <w:szCs w:val="21"/>
          <w:highlight w:val="none"/>
        </w:rPr>
        <w:t>款〔发包人违约〕约定办理。</w:t>
      </w:r>
    </w:p>
    <w:p w14:paraId="4E6FAFE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8.3.2 </w:t>
      </w:r>
      <w:r>
        <w:rPr>
          <w:rFonts w:hint="eastAsia" w:asciiTheme="minorEastAsia" w:hAnsiTheme="minorEastAsia" w:eastAsiaTheme="minorEastAsia"/>
          <w:color w:val="auto"/>
          <w:kern w:val="0"/>
          <w:szCs w:val="21"/>
          <w:highlight w:val="none"/>
        </w:rPr>
        <w:t>承包人采购的材料和工程设备，应保证产品质量合格，承包人应在材料和工程设备到货前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小时通知监理人检验。承包人进行永久设备、材料的制造和生产的，应符合相关质量标准，并向监理人提交材料的样本以及有关资料，并应在使用该材料或工程设备之前获得监理人同意。</w:t>
      </w:r>
    </w:p>
    <w:p w14:paraId="6E28A363">
      <w:pPr>
        <w:keepNext w:val="0"/>
        <w:keepLines w:val="0"/>
        <w:pageBreakBefore w:val="0"/>
        <w:widowControl w:val="0"/>
        <w:kinsoku/>
        <w:wordWrap/>
        <w:overflowPunct/>
        <w:topLinePunct w:val="0"/>
        <w:autoSpaceDE w:val="0"/>
        <w:autoSpaceDN w:val="0"/>
        <w:bidi w:val="0"/>
        <w:adjustRightInd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37C6B3A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8.4</w:t>
      </w:r>
      <w:r>
        <w:rPr>
          <w:rFonts w:hint="eastAsia" w:asciiTheme="minorEastAsia" w:hAnsiTheme="minorEastAsia" w:eastAsiaTheme="minorEastAsia"/>
          <w:b w:val="0"/>
          <w:color w:val="auto"/>
          <w:sz w:val="21"/>
          <w:szCs w:val="21"/>
          <w:highlight w:val="none"/>
        </w:rPr>
        <w:t>材料与工程设备的保管与使用</w:t>
      </w:r>
    </w:p>
    <w:p w14:paraId="4AC2DD7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8.4.1 </w:t>
      </w:r>
      <w:r>
        <w:rPr>
          <w:rFonts w:hint="eastAsia" w:asciiTheme="minorEastAsia" w:hAnsiTheme="minorEastAsia" w:eastAsiaTheme="minorEastAsia"/>
          <w:color w:val="auto"/>
          <w:kern w:val="0"/>
          <w:szCs w:val="21"/>
          <w:highlight w:val="none"/>
        </w:rPr>
        <w:t>发包人供应材料与工程设备的保管与使用</w:t>
      </w:r>
    </w:p>
    <w:p w14:paraId="3568870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4F99C49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发包人供应的材料和工程设备使用前，由承包人负责检验，检验费用由发包人承担，不合格的不得使用。</w:t>
      </w:r>
    </w:p>
    <w:p w14:paraId="75FD4ED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8.4.2 </w:t>
      </w:r>
      <w:r>
        <w:rPr>
          <w:rFonts w:hint="eastAsia" w:asciiTheme="minorEastAsia" w:hAnsiTheme="minorEastAsia" w:eastAsiaTheme="minorEastAsia"/>
          <w:color w:val="auto"/>
          <w:kern w:val="0"/>
          <w:szCs w:val="21"/>
          <w:highlight w:val="none"/>
        </w:rPr>
        <w:t>承包人采购材料与工程设备的保管与使用</w:t>
      </w:r>
    </w:p>
    <w:p w14:paraId="24FA172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6C8B554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发包人或监理人发现承包人使用不符合设计或有关标准要求的材料和工程设备时，有权要求承包人进行修复、拆除或重新采购，由此增加的费用和（或）延误的工期，由承包人承担。</w:t>
      </w:r>
    </w:p>
    <w:p w14:paraId="724D1A8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8.5</w:t>
      </w:r>
      <w:r>
        <w:rPr>
          <w:rFonts w:hint="eastAsia" w:asciiTheme="minorEastAsia" w:hAnsiTheme="minorEastAsia" w:eastAsiaTheme="minorEastAsia"/>
          <w:b w:val="0"/>
          <w:color w:val="auto"/>
          <w:sz w:val="21"/>
          <w:szCs w:val="21"/>
          <w:highlight w:val="none"/>
        </w:rPr>
        <w:t>禁止使用不合格的材料和工程设备</w:t>
      </w:r>
    </w:p>
    <w:p w14:paraId="6FA6444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8.5.1 </w:t>
      </w:r>
      <w:r>
        <w:rPr>
          <w:rFonts w:hint="eastAsia" w:asciiTheme="minorEastAsia" w:hAnsiTheme="minorEastAsia" w:eastAsiaTheme="minorEastAsia"/>
          <w:color w:val="auto"/>
          <w:kern w:val="0"/>
          <w:szCs w:val="21"/>
          <w:highlight w:val="none"/>
        </w:rPr>
        <w:t>监理人有权拒绝承包人提供的不合格材料或工程设备，并要求承包人立即进行更换。监理人应在更换后再次进行检查和检验，由此增加的费用和（或）延误的工期由承包人承担。</w:t>
      </w:r>
    </w:p>
    <w:p w14:paraId="2E7F41E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8.5.2 </w:t>
      </w:r>
      <w:r>
        <w:rPr>
          <w:rFonts w:hint="eastAsia" w:asciiTheme="minorEastAsia" w:hAnsiTheme="minorEastAsia" w:eastAsiaTheme="minorEastAsia"/>
          <w:color w:val="auto"/>
          <w:kern w:val="0"/>
          <w:szCs w:val="21"/>
          <w:highlight w:val="none"/>
        </w:rPr>
        <w:t>监理人发现承包人使用了不合格的材料和工程设备，承包人应按照监理人的指示立即改正，并禁止在工程中继续使用不合格的材料和工程设备。</w:t>
      </w:r>
    </w:p>
    <w:p w14:paraId="272F9ED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8.5.3 </w:t>
      </w:r>
      <w:r>
        <w:rPr>
          <w:rFonts w:hint="eastAsia" w:asciiTheme="minorEastAsia" w:hAnsiTheme="minorEastAsia" w:eastAsiaTheme="minorEastAsia"/>
          <w:color w:val="auto"/>
          <w:kern w:val="0"/>
          <w:szCs w:val="21"/>
          <w:highlight w:val="none"/>
        </w:rPr>
        <w:t>发包人提供的材料或工程设备不符合合同要求的，承包人有权拒绝，并可要求发包人更换，由此增加的费用和（或）延误的工期由发包人承担，并支付承包人合理的利润。</w:t>
      </w:r>
    </w:p>
    <w:p w14:paraId="3000158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8.6 </w:t>
      </w:r>
      <w:r>
        <w:rPr>
          <w:rFonts w:hint="eastAsia" w:asciiTheme="minorEastAsia" w:hAnsiTheme="minorEastAsia" w:eastAsiaTheme="minorEastAsia"/>
          <w:b w:val="0"/>
          <w:color w:val="auto"/>
          <w:sz w:val="21"/>
          <w:szCs w:val="21"/>
          <w:highlight w:val="none"/>
        </w:rPr>
        <w:t>样品</w:t>
      </w:r>
    </w:p>
    <w:p w14:paraId="62907A8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8.6.1</w:t>
      </w:r>
      <w:r>
        <w:rPr>
          <w:rFonts w:asciiTheme="minorEastAsia" w:hAnsiTheme="minorEastAsia" w:eastAsiaTheme="minorEastAsia"/>
          <w:color w:val="auto"/>
          <w:kern w:val="0"/>
          <w:szCs w:val="21"/>
          <w:highlight w:val="none"/>
        </w:rPr>
        <w:tab/>
      </w:r>
      <w:r>
        <w:rPr>
          <w:rFonts w:hint="eastAsia" w:asciiTheme="minorEastAsia" w:hAnsiTheme="minorEastAsia" w:eastAsiaTheme="minorEastAsia"/>
          <w:color w:val="auto"/>
          <w:kern w:val="0"/>
          <w:szCs w:val="21"/>
          <w:highlight w:val="none"/>
        </w:rPr>
        <w:t>样品的报送与封存</w:t>
      </w:r>
    </w:p>
    <w:p w14:paraId="2629B6C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需要承包人报送样品的材料或工程设备，样品的种类、名称、规格、数量等要求均应在专用合同条款中约定。样品的报送程序如下：</w:t>
      </w:r>
    </w:p>
    <w:p w14:paraId="69CF36A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）承包人应在计划采购前</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天向监理人报送样品。承包人报送的样品均应来自供应材料的实际生产地，且提供的样品的规格、数量足以表明材料或工程设备的质量、型号、颜色、表面处理、质地、误差和其他要求的特征。</w:t>
      </w:r>
    </w:p>
    <w:p w14:paraId="6F7FE8F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）承包人每次报送样品时应随附申报单，申报单应载明报送样品的相关数据和资料，并标明每件样品对应的图纸号，预留监理人批复意见栏。监理人应在收到承包人报送的样品后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天向承包人回复经发包人签认的样品审批意见。</w:t>
      </w:r>
    </w:p>
    <w:p w14:paraId="77F83B6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）经发包人和监理人审批确认的样品应按约定的方法封样，封存的样品作为检验工程相关部分的标准之一。承包人在施工过程中不得使用与样品不符的材料或工程设备。</w:t>
      </w:r>
    </w:p>
    <w:p w14:paraId="31D88AE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22DDDCF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8.6.2 </w:t>
      </w:r>
      <w:r>
        <w:rPr>
          <w:rFonts w:hint="eastAsia" w:asciiTheme="minorEastAsia" w:hAnsiTheme="minorEastAsia" w:eastAsiaTheme="minorEastAsia"/>
          <w:color w:val="auto"/>
          <w:kern w:val="0"/>
          <w:szCs w:val="21"/>
          <w:highlight w:val="none"/>
        </w:rPr>
        <w:t>样品的保管</w:t>
      </w:r>
    </w:p>
    <w:p w14:paraId="4A1360F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经批准的样品应由监理人负责封存于现场，承包人应在现场为保存样品提供适当和固定的场所并保持适当和良好的存储环境条件。</w:t>
      </w:r>
    </w:p>
    <w:p w14:paraId="74556B1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8.7</w:t>
      </w:r>
      <w:r>
        <w:rPr>
          <w:rFonts w:hint="eastAsia" w:asciiTheme="minorEastAsia" w:hAnsiTheme="minorEastAsia" w:eastAsiaTheme="minorEastAsia"/>
          <w:b w:val="0"/>
          <w:color w:val="auto"/>
          <w:sz w:val="21"/>
          <w:szCs w:val="21"/>
          <w:highlight w:val="none"/>
        </w:rPr>
        <w:t>材料与工程设备的替代</w:t>
      </w:r>
    </w:p>
    <w:p w14:paraId="29E1122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8.7.1 </w:t>
      </w:r>
      <w:r>
        <w:rPr>
          <w:rFonts w:hint="eastAsia" w:asciiTheme="minorEastAsia" w:hAnsiTheme="minorEastAsia" w:eastAsiaTheme="minorEastAsia"/>
          <w:color w:val="auto"/>
          <w:kern w:val="0"/>
          <w:szCs w:val="21"/>
          <w:highlight w:val="none"/>
        </w:rPr>
        <w:t>出现下列情况需要使用替代材料和工程设备的，承包人应按照第</w:t>
      </w:r>
      <w:r>
        <w:rPr>
          <w:rFonts w:asciiTheme="minorEastAsia" w:hAnsiTheme="minorEastAsia" w:eastAsiaTheme="minorEastAsia"/>
          <w:color w:val="auto"/>
          <w:kern w:val="0"/>
          <w:szCs w:val="21"/>
          <w:highlight w:val="none"/>
        </w:rPr>
        <w:t>8.7.2</w:t>
      </w:r>
      <w:r>
        <w:rPr>
          <w:rFonts w:hint="eastAsia" w:asciiTheme="minorEastAsia" w:hAnsiTheme="minorEastAsia" w:eastAsiaTheme="minorEastAsia"/>
          <w:color w:val="auto"/>
          <w:kern w:val="0"/>
          <w:szCs w:val="21"/>
          <w:highlight w:val="none"/>
        </w:rPr>
        <w:t>项约定的程序执行：</w:t>
      </w:r>
    </w:p>
    <w:p w14:paraId="797F50E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）基准日期后生效的法律规定禁止使用的；</w:t>
      </w:r>
    </w:p>
    <w:p w14:paraId="13A7124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）发包人要求使用替代品的；</w:t>
      </w:r>
    </w:p>
    <w:p w14:paraId="59331B0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）因其他原因必须使用替代品的。</w:t>
      </w:r>
    </w:p>
    <w:p w14:paraId="04733F4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8.7.2 </w:t>
      </w:r>
      <w:r>
        <w:rPr>
          <w:rFonts w:hint="eastAsia" w:asciiTheme="minorEastAsia" w:hAnsiTheme="minorEastAsia" w:eastAsiaTheme="minorEastAsia"/>
          <w:color w:val="auto"/>
          <w:kern w:val="0"/>
          <w:szCs w:val="21"/>
          <w:highlight w:val="none"/>
        </w:rPr>
        <w:t>承包人应在使用替代材料和工程设备</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天前书面通知监理人，并附下列文件：</w:t>
      </w:r>
    </w:p>
    <w:p w14:paraId="119D177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）被替代的材料和工程设备的名称、数量、规格、型号、品牌、性能、价格及其他相关资料；</w:t>
      </w:r>
    </w:p>
    <w:p w14:paraId="05570EF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）替代品的名称、数量、规格、型号、品牌、性能、价格及其他相关资料；</w:t>
      </w:r>
    </w:p>
    <w:p w14:paraId="3FE28CF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）替代品与被替代产品之间的差异以及使用替代品可能对工程产生的影响；</w:t>
      </w:r>
    </w:p>
    <w:p w14:paraId="10375B5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）替代品与被替代产品的价格差异；</w:t>
      </w:r>
    </w:p>
    <w:p w14:paraId="6ACB48C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）使用替代品的理由和原因说明；</w:t>
      </w:r>
    </w:p>
    <w:p w14:paraId="14357F2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）监理人要求的其他文件。</w:t>
      </w:r>
    </w:p>
    <w:p w14:paraId="66B420C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监理人应在收到通知后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天内向承包人发出经发包人签认的书面指示；监理人逾期发出书面指示的，视为发包人和监理人同意使用替代品。</w:t>
      </w:r>
    </w:p>
    <w:p w14:paraId="74EE4AD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8.7.3 </w:t>
      </w:r>
      <w:r>
        <w:rPr>
          <w:rFonts w:hint="eastAsia" w:asciiTheme="minorEastAsia" w:hAnsiTheme="minorEastAsia" w:eastAsiaTheme="minorEastAsia"/>
          <w:color w:val="auto"/>
          <w:kern w:val="0"/>
          <w:szCs w:val="21"/>
          <w:highlight w:val="none"/>
        </w:rPr>
        <w:t>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款〔商定或确定〕确定价格。</w:t>
      </w:r>
    </w:p>
    <w:p w14:paraId="0438DFF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8.8</w:t>
      </w:r>
      <w:r>
        <w:rPr>
          <w:rFonts w:hint="eastAsia" w:asciiTheme="minorEastAsia" w:hAnsiTheme="minorEastAsia" w:eastAsiaTheme="minorEastAsia"/>
          <w:b w:val="0"/>
          <w:color w:val="auto"/>
          <w:sz w:val="21"/>
          <w:szCs w:val="21"/>
          <w:highlight w:val="none"/>
        </w:rPr>
        <w:t>施工设备和临时设施</w:t>
      </w:r>
    </w:p>
    <w:p w14:paraId="1C0CE23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8.8.1 </w:t>
      </w:r>
      <w:r>
        <w:rPr>
          <w:rFonts w:hint="eastAsia" w:asciiTheme="minorEastAsia" w:hAnsiTheme="minorEastAsia" w:eastAsiaTheme="minorEastAsia"/>
          <w:color w:val="auto"/>
          <w:kern w:val="0"/>
          <w:szCs w:val="21"/>
          <w:highlight w:val="none"/>
        </w:rPr>
        <w:t>承包人提供的施工设备和临时设施</w:t>
      </w:r>
    </w:p>
    <w:p w14:paraId="4FD26DE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承包人应按合同进度计划的要求，及时配置施工设备和修建临时设施。进入施工场地的承包人设备需经监理人核查后才能投入使用。承包人更换合同约定的承包人设备的，应报监理人批准。</w:t>
      </w:r>
    </w:p>
    <w:p w14:paraId="59104E2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除专用合同条款另有约定外，承包人应自行承担修建临时设施的费用，需要临时占地的，应由发包人办理申请手续并承担相应费用。</w:t>
      </w:r>
    </w:p>
    <w:p w14:paraId="06683B4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8.8.2</w:t>
      </w:r>
      <w:r>
        <w:rPr>
          <w:rFonts w:hint="eastAsia" w:asciiTheme="minorEastAsia" w:hAnsiTheme="minorEastAsia" w:eastAsiaTheme="minorEastAsia"/>
          <w:color w:val="auto"/>
          <w:kern w:val="0"/>
          <w:szCs w:val="21"/>
          <w:highlight w:val="none"/>
        </w:rPr>
        <w:t>发包人提供的施工设备和临时设施</w:t>
      </w:r>
    </w:p>
    <w:p w14:paraId="48A37C5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发包人提供的施工设备或临时设施在专用合同条款中约定。</w:t>
      </w:r>
    </w:p>
    <w:p w14:paraId="73BD116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8.8.3</w:t>
      </w:r>
      <w:r>
        <w:rPr>
          <w:rFonts w:hint="eastAsia" w:asciiTheme="minorEastAsia" w:hAnsiTheme="minorEastAsia" w:eastAsiaTheme="minorEastAsia"/>
          <w:color w:val="auto"/>
          <w:kern w:val="0"/>
          <w:szCs w:val="21"/>
          <w:highlight w:val="none"/>
        </w:rPr>
        <w:t>要求承包人增加或更换施工设备</w:t>
      </w:r>
    </w:p>
    <w:p w14:paraId="2FF24F8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承包人使用的施工设备不能满足合同进度计划和（或）质量要求时，监理人有权要求承包人增加或更换施工设备，承包人应及时增加或更换，由此增加的费用和（或）延误的工期由承包人承担。</w:t>
      </w:r>
    </w:p>
    <w:p w14:paraId="17F5511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8.9</w:t>
      </w:r>
      <w:r>
        <w:rPr>
          <w:rFonts w:hint="eastAsia" w:asciiTheme="minorEastAsia" w:hAnsiTheme="minorEastAsia" w:eastAsiaTheme="minorEastAsia"/>
          <w:b w:val="0"/>
          <w:color w:val="auto"/>
          <w:sz w:val="21"/>
          <w:szCs w:val="21"/>
          <w:highlight w:val="none"/>
        </w:rPr>
        <w:t>材料与设备专用要求</w:t>
      </w:r>
    </w:p>
    <w:p w14:paraId="55D09B1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运入施工现场的材料、工程设备、施工设备以及在施工场地建设的临时设施，包括备品备件、安装工具与资料，必须专用于工程。未经发包人批准，承包人不得运出施工现场或挪作他用；经发包人批准，承包人可以根据施工进度计划撤走闲置的施工设备和其他物品。</w:t>
      </w:r>
    </w:p>
    <w:p w14:paraId="63A9920D">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62" w:name="_Toc18309"/>
      <w:bookmarkStart w:id="263" w:name="_Toc12221"/>
      <w:bookmarkStart w:id="264" w:name="_Toc31783"/>
      <w:r>
        <w:rPr>
          <w:rFonts w:hint="eastAsia" w:asciiTheme="minorEastAsia" w:hAnsiTheme="minorEastAsia" w:eastAsiaTheme="minorEastAsia"/>
          <w:b/>
          <w:color w:val="auto"/>
          <w:szCs w:val="21"/>
          <w:highlight w:val="none"/>
        </w:rPr>
        <w:t>9. 试验与检验</w:t>
      </w:r>
      <w:bookmarkEnd w:id="262"/>
      <w:bookmarkEnd w:id="263"/>
      <w:bookmarkEnd w:id="264"/>
    </w:p>
    <w:p w14:paraId="79D61C0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9.1</w:t>
      </w:r>
      <w:r>
        <w:rPr>
          <w:rFonts w:hint="eastAsia" w:asciiTheme="minorEastAsia" w:hAnsiTheme="minorEastAsia" w:eastAsiaTheme="minorEastAsia"/>
          <w:b w:val="0"/>
          <w:color w:val="auto"/>
          <w:sz w:val="21"/>
          <w:szCs w:val="21"/>
          <w:highlight w:val="none"/>
        </w:rPr>
        <w:t>试验设备与试验人员</w:t>
      </w:r>
    </w:p>
    <w:p w14:paraId="1D91FD6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9.1.1 </w:t>
      </w:r>
      <w:r>
        <w:rPr>
          <w:rFonts w:hint="eastAsia" w:asciiTheme="minorEastAsia" w:hAnsiTheme="minorEastAsia" w:eastAsiaTheme="minorEastAsia"/>
          <w:color w:val="auto"/>
          <w:kern w:val="0"/>
          <w:szCs w:val="21"/>
          <w:highlight w:val="none"/>
        </w:rPr>
        <w:t>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4EEA98D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9.1.2 </w:t>
      </w:r>
      <w:r>
        <w:rPr>
          <w:rFonts w:hint="eastAsia" w:asciiTheme="minorEastAsia" w:hAnsiTheme="minorEastAsia" w:eastAsiaTheme="minorEastAsia"/>
          <w:color w:val="auto"/>
          <w:kern w:val="0"/>
          <w:szCs w:val="21"/>
          <w:highlight w:val="none"/>
        </w:rPr>
        <w:t>承包人应按专用合同条款的约定提供试验设备、取样装置、试验场所和试验条件，并向监理人提交相应进场计划表。</w:t>
      </w:r>
    </w:p>
    <w:p w14:paraId="1E05593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承包人配置的试验设备要符合相应试验规程的要求并经过具有资质的检测单位检测，且在正式使用该试验设备前，需要经过监理人与承包人共同校定。</w:t>
      </w:r>
    </w:p>
    <w:p w14:paraId="1EAE57F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9.1.3 </w:t>
      </w:r>
      <w:r>
        <w:rPr>
          <w:rFonts w:hint="eastAsia" w:asciiTheme="minorEastAsia" w:hAnsiTheme="minorEastAsia" w:eastAsiaTheme="minorEastAsia"/>
          <w:color w:val="auto"/>
          <w:kern w:val="0"/>
          <w:szCs w:val="21"/>
          <w:highlight w:val="none"/>
        </w:rPr>
        <w:t>承包人应向监理人提交试验人员的名单及其岗位、资格等证明资料，试验人员必须能够熟练进行相应的检测试验，承包人对试验人员的试验程序和试验结果的正确性负责。</w:t>
      </w:r>
    </w:p>
    <w:p w14:paraId="405044A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9.2</w:t>
      </w:r>
      <w:r>
        <w:rPr>
          <w:rFonts w:hint="eastAsia" w:asciiTheme="minorEastAsia" w:hAnsiTheme="minorEastAsia" w:eastAsiaTheme="minorEastAsia"/>
          <w:b w:val="0"/>
          <w:color w:val="auto"/>
          <w:sz w:val="21"/>
          <w:szCs w:val="21"/>
          <w:highlight w:val="none"/>
        </w:rPr>
        <w:t>取样</w:t>
      </w:r>
    </w:p>
    <w:p w14:paraId="6861A65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试验属于自检性质的，承包人可以单独取样。试验属于监理人抽检性质的，可由监理人取样，也可由承包人的试验人员在监理人的监督下取样。</w:t>
      </w:r>
    </w:p>
    <w:p w14:paraId="7D81787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9.3</w:t>
      </w:r>
      <w:r>
        <w:rPr>
          <w:rFonts w:hint="eastAsia" w:asciiTheme="minorEastAsia" w:hAnsiTheme="minorEastAsia" w:eastAsiaTheme="minorEastAsia"/>
          <w:b w:val="0"/>
          <w:color w:val="auto"/>
          <w:sz w:val="21"/>
          <w:szCs w:val="21"/>
          <w:highlight w:val="none"/>
        </w:rPr>
        <w:t>材料、工程设备和工程的试验和检验</w:t>
      </w:r>
    </w:p>
    <w:p w14:paraId="117946B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9.3.1</w:t>
      </w:r>
      <w:r>
        <w:rPr>
          <w:rFonts w:hint="eastAsia" w:asciiTheme="minorEastAsia" w:hAnsiTheme="minorEastAsia" w:eastAsiaTheme="minorEastAsia"/>
          <w:color w:val="auto"/>
          <w:kern w:val="0"/>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FFE799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9.3.2</w:t>
      </w:r>
      <w:r>
        <w:rPr>
          <w:rFonts w:hint="eastAsia" w:asciiTheme="minorEastAsia" w:hAnsiTheme="minorEastAsia" w:eastAsiaTheme="minorEastAsia"/>
          <w:color w:val="auto"/>
          <w:kern w:val="0"/>
          <w:szCs w:val="21"/>
          <w:highlight w:val="none"/>
        </w:rPr>
        <w:t>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66C18F8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9.3.3</w:t>
      </w:r>
      <w:r>
        <w:rPr>
          <w:rFonts w:hint="eastAsia" w:asciiTheme="minorEastAsia" w:hAnsiTheme="minorEastAsia" w:eastAsiaTheme="minorEastAsia"/>
          <w:color w:val="auto"/>
          <w:kern w:val="0"/>
          <w:szCs w:val="21"/>
          <w:highlight w:val="none"/>
        </w:rPr>
        <w:t>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5DC27F1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9.4</w:t>
      </w:r>
      <w:r>
        <w:rPr>
          <w:rFonts w:hint="eastAsia" w:asciiTheme="minorEastAsia" w:hAnsiTheme="minorEastAsia" w:eastAsiaTheme="minorEastAsia"/>
          <w:b w:val="0"/>
          <w:color w:val="auto"/>
          <w:sz w:val="21"/>
          <w:szCs w:val="21"/>
          <w:highlight w:val="none"/>
        </w:rPr>
        <w:t>现场工艺试验</w:t>
      </w:r>
    </w:p>
    <w:p w14:paraId="33BA18B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承包人应按合同约定或监理人指示进行现场工艺试验。对大型的现场工艺试验，监理人认为必要时，承包人应根据监理人提出的工艺试验要求，编制工艺试验措施计划，报送监理人审查。</w:t>
      </w:r>
    </w:p>
    <w:p w14:paraId="6D6A5169">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65" w:name="_Toc20545"/>
      <w:bookmarkStart w:id="266" w:name="_Toc13973"/>
      <w:bookmarkStart w:id="267" w:name="_Toc27403"/>
      <w:r>
        <w:rPr>
          <w:rFonts w:hint="eastAsia" w:asciiTheme="minorEastAsia" w:hAnsiTheme="minorEastAsia" w:eastAsiaTheme="minorEastAsia"/>
          <w:b/>
          <w:color w:val="auto"/>
          <w:szCs w:val="21"/>
          <w:highlight w:val="none"/>
        </w:rPr>
        <w:t>10. 变更</w:t>
      </w:r>
      <w:bookmarkEnd w:id="265"/>
      <w:bookmarkEnd w:id="266"/>
      <w:bookmarkEnd w:id="267"/>
    </w:p>
    <w:p w14:paraId="063C97B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10.1</w:t>
      </w:r>
      <w:r>
        <w:rPr>
          <w:rFonts w:hint="eastAsia" w:asciiTheme="minorEastAsia" w:hAnsiTheme="minorEastAsia" w:eastAsiaTheme="minorEastAsia"/>
          <w:b w:val="0"/>
          <w:color w:val="auto"/>
          <w:sz w:val="21"/>
          <w:szCs w:val="21"/>
          <w:highlight w:val="none"/>
        </w:rPr>
        <w:t>变更的范围</w:t>
      </w:r>
    </w:p>
    <w:p w14:paraId="26E32BC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除专用合同条款另有约定外，合同履行过程中发生以下情形的，应按照本条约定进行变更：</w:t>
      </w:r>
    </w:p>
    <w:p w14:paraId="49840C3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）增加或减少合同中任何工作，或追加额外的工作；</w:t>
      </w:r>
    </w:p>
    <w:p w14:paraId="1148826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）取消合同中任何工作，但转由他人实施的工作除外；</w:t>
      </w:r>
    </w:p>
    <w:p w14:paraId="5503864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）改变合同中任何工作的质量标准或其他特性；</w:t>
      </w:r>
    </w:p>
    <w:p w14:paraId="27E44FD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）改变工程的基线、标高、位置和尺寸；</w:t>
      </w:r>
    </w:p>
    <w:p w14:paraId="1290752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）改变工程的时间安排或实施顺序。</w:t>
      </w:r>
    </w:p>
    <w:p w14:paraId="770BAFD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10.2</w:t>
      </w:r>
      <w:r>
        <w:rPr>
          <w:rFonts w:hint="eastAsia" w:asciiTheme="minorEastAsia" w:hAnsiTheme="minorEastAsia" w:eastAsiaTheme="minorEastAsia"/>
          <w:b w:val="0"/>
          <w:color w:val="auto"/>
          <w:sz w:val="21"/>
          <w:szCs w:val="21"/>
          <w:highlight w:val="none"/>
        </w:rPr>
        <w:t>变更权</w:t>
      </w:r>
    </w:p>
    <w:p w14:paraId="4DEE26B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77CD41F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涉及设计变更的，应由设计人提供变更后的图纸和说明。如变更超过原设计标准或批准的建设规模时，发包人应及时办理规划、设计变更等审批手续。</w:t>
      </w:r>
    </w:p>
    <w:p w14:paraId="07D8482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10.3</w:t>
      </w:r>
      <w:r>
        <w:rPr>
          <w:rFonts w:hint="eastAsia" w:asciiTheme="minorEastAsia" w:hAnsiTheme="minorEastAsia" w:eastAsiaTheme="minorEastAsia"/>
          <w:b w:val="0"/>
          <w:color w:val="auto"/>
          <w:sz w:val="21"/>
          <w:szCs w:val="21"/>
          <w:highlight w:val="none"/>
        </w:rPr>
        <w:t>变更程序</w:t>
      </w:r>
    </w:p>
    <w:p w14:paraId="6D4E2D5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10</w:t>
      </w:r>
      <w:r>
        <w:rPr>
          <w:rFonts w:asciiTheme="minorEastAsia" w:hAnsiTheme="minorEastAsia" w:eastAsiaTheme="minorEastAsia"/>
          <w:color w:val="auto"/>
          <w:kern w:val="0"/>
          <w:szCs w:val="21"/>
          <w:highlight w:val="none"/>
        </w:rPr>
        <w:t xml:space="preserve">.3.1 </w:t>
      </w:r>
      <w:r>
        <w:rPr>
          <w:rFonts w:hint="eastAsia" w:asciiTheme="minorEastAsia" w:hAnsiTheme="minorEastAsia" w:eastAsiaTheme="minorEastAsia"/>
          <w:color w:val="auto"/>
          <w:kern w:val="0"/>
          <w:szCs w:val="21"/>
          <w:highlight w:val="none"/>
        </w:rPr>
        <w:t>发包人提出变更</w:t>
      </w:r>
    </w:p>
    <w:p w14:paraId="0FF36EA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发包人提出变更的，应通过监理人向承包人发出变更指示，变更指示应说明计划变更的工程范围和变更的内容。</w:t>
      </w:r>
    </w:p>
    <w:p w14:paraId="2D0A64D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10</w:t>
      </w:r>
      <w:r>
        <w:rPr>
          <w:rFonts w:asciiTheme="minorEastAsia" w:hAnsiTheme="minorEastAsia" w:eastAsiaTheme="minorEastAsia"/>
          <w:color w:val="auto"/>
          <w:kern w:val="0"/>
          <w:szCs w:val="21"/>
          <w:highlight w:val="none"/>
        </w:rPr>
        <w:t xml:space="preserve">.3.2 </w:t>
      </w:r>
      <w:r>
        <w:rPr>
          <w:rFonts w:hint="eastAsia" w:asciiTheme="minorEastAsia" w:hAnsiTheme="minorEastAsia" w:eastAsiaTheme="minorEastAsia"/>
          <w:color w:val="auto"/>
          <w:kern w:val="0"/>
          <w:szCs w:val="21"/>
          <w:highlight w:val="none"/>
        </w:rPr>
        <w:t>监理人提出变更建议</w:t>
      </w:r>
    </w:p>
    <w:p w14:paraId="681005F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6BB0AE4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10.3.3 </w:t>
      </w:r>
      <w:r>
        <w:rPr>
          <w:rFonts w:hint="eastAsia" w:asciiTheme="minorEastAsia" w:hAnsiTheme="minorEastAsia" w:eastAsiaTheme="minorEastAsia"/>
          <w:color w:val="auto"/>
          <w:szCs w:val="21"/>
          <w:highlight w:val="none"/>
        </w:rPr>
        <w:t>变更执行</w:t>
      </w:r>
    </w:p>
    <w:p w14:paraId="17C657D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承包人收到监理人下达的变更指示后，认为不能执行，应立即提出不能执行该变更指示的理由。承包人认为可以执行变更的，应当书面说明实施该变更指示对合同价格和工期的影响，且合同当事人应当按照第</w:t>
      </w:r>
      <w:r>
        <w:rPr>
          <w:rFonts w:asciiTheme="minorEastAsia" w:hAnsiTheme="minorEastAsia" w:eastAsiaTheme="minorEastAsia"/>
          <w:color w:val="auto"/>
          <w:kern w:val="0"/>
          <w:szCs w:val="21"/>
          <w:highlight w:val="none"/>
        </w:rPr>
        <w:t>10.4</w:t>
      </w:r>
      <w:r>
        <w:rPr>
          <w:rFonts w:hint="eastAsia" w:asciiTheme="minorEastAsia" w:hAnsiTheme="minorEastAsia" w:eastAsiaTheme="minorEastAsia"/>
          <w:color w:val="auto"/>
          <w:kern w:val="0"/>
          <w:szCs w:val="21"/>
          <w:highlight w:val="none"/>
        </w:rPr>
        <w:t>款〔变更估价〕约定确定变更估价。</w:t>
      </w:r>
    </w:p>
    <w:p w14:paraId="5ADD7A4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10.4</w:t>
      </w:r>
      <w:r>
        <w:rPr>
          <w:rFonts w:hint="eastAsia" w:asciiTheme="minorEastAsia" w:hAnsiTheme="minorEastAsia" w:eastAsiaTheme="minorEastAsia"/>
          <w:b w:val="0"/>
          <w:color w:val="auto"/>
          <w:sz w:val="21"/>
          <w:szCs w:val="21"/>
          <w:highlight w:val="none"/>
        </w:rPr>
        <w:t>变更估价</w:t>
      </w:r>
    </w:p>
    <w:p w14:paraId="0691BCD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10.4.1 </w:t>
      </w:r>
      <w:r>
        <w:rPr>
          <w:rFonts w:hint="eastAsia" w:asciiTheme="minorEastAsia" w:hAnsiTheme="minorEastAsia" w:eastAsiaTheme="minorEastAsia"/>
          <w:color w:val="auto"/>
          <w:kern w:val="0"/>
          <w:szCs w:val="21"/>
          <w:highlight w:val="none"/>
        </w:rPr>
        <w:t>变更估价原则</w:t>
      </w:r>
    </w:p>
    <w:p w14:paraId="19D86D3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除专用合同条款另有约定外，变更估价按照本款约定处理：</w:t>
      </w:r>
    </w:p>
    <w:p w14:paraId="265B64F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）已标价工程量清单或预算书有相同项目的，按照相同项目单价认定；</w:t>
      </w:r>
    </w:p>
    <w:p w14:paraId="27AB25F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）已标价工程量清单或预算书中无相同项目，但有类似项目的，参照类似项目的单价认定；</w:t>
      </w:r>
    </w:p>
    <w:p w14:paraId="699BC22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）变更导致实际完成的变更工程量与已标价工程量清单或预算书中列明的该项目工程量的变化幅度超过</w:t>
      </w:r>
      <w:r>
        <w:rPr>
          <w:rFonts w:asciiTheme="minorEastAsia" w:hAnsiTheme="minorEastAsia" w:eastAsiaTheme="minorEastAsia"/>
          <w:color w:val="auto"/>
          <w:kern w:val="0"/>
          <w:szCs w:val="21"/>
          <w:highlight w:val="none"/>
        </w:rPr>
        <w:t>15%</w:t>
      </w:r>
      <w:r>
        <w:rPr>
          <w:rFonts w:hint="eastAsia" w:asciiTheme="minorEastAsia" w:hAnsiTheme="minorEastAsia" w:eastAsiaTheme="minorEastAsia"/>
          <w:color w:val="auto"/>
          <w:kern w:val="0"/>
          <w:szCs w:val="21"/>
          <w:highlight w:val="none"/>
        </w:rPr>
        <w:t>的，或已标价工程量清单或预算书中无相同项目及类似项目单价的，按照合理的成本与利润构成的原则，由合同当事人按照第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款〔商定或确定〕确定变更工作的单价。</w:t>
      </w:r>
    </w:p>
    <w:p w14:paraId="4DD3FA5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10.4.2 </w:t>
      </w:r>
      <w:r>
        <w:rPr>
          <w:rFonts w:hint="eastAsia" w:asciiTheme="minorEastAsia" w:hAnsiTheme="minorEastAsia" w:eastAsiaTheme="minorEastAsia"/>
          <w:color w:val="auto"/>
          <w:kern w:val="0"/>
          <w:szCs w:val="21"/>
          <w:highlight w:val="none"/>
        </w:rPr>
        <w:t>变更估价程序</w:t>
      </w:r>
    </w:p>
    <w:p w14:paraId="4667CE0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承包人应在收到变更指示后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天内，向监理人提交变更估价申请。监理人应在收到承包人提交的变更估价申请后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天内审查完毕并报送发包人，监理人对变更估价申请有异议，通知承包人修改后重新提交。发包人应在承包人提交变更估价申请后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天内审批完毕。发包人逾期未完成审批或未提出异议的，视为认可承包人提交的变更估价申请。</w:t>
      </w:r>
    </w:p>
    <w:p w14:paraId="78D69CA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因变更引起的价格调整应计入最近一期的进度款中支付。</w:t>
      </w:r>
    </w:p>
    <w:p w14:paraId="1CD455F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10.5</w:t>
      </w:r>
      <w:r>
        <w:rPr>
          <w:rFonts w:hint="eastAsia" w:asciiTheme="minorEastAsia" w:hAnsiTheme="minorEastAsia" w:eastAsiaTheme="minorEastAsia"/>
          <w:b w:val="0"/>
          <w:color w:val="auto"/>
          <w:sz w:val="21"/>
          <w:szCs w:val="21"/>
          <w:highlight w:val="none"/>
        </w:rPr>
        <w:t>承包人的合理化建议</w:t>
      </w:r>
    </w:p>
    <w:p w14:paraId="74C6392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承包人提出合理化建议的，应向监理人提交合理化建议说明，说明建议的内容和理由，以及实施该建议对合同价格和工期的影响。</w:t>
      </w:r>
    </w:p>
    <w:p w14:paraId="625570C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除专用合同条款另有约定外，监理人应在收到承包人提交的合理化建议后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天内审查完毕并报送发包人，发现其中存在技术上的缺陷，应通知承包人修改。发包人应在收到监理人报送的合理化建议后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天内审批完毕。合理化建议经发包人批准的，监理人应及时发出变更指示，由此引起的合同价格调整按照第</w:t>
      </w:r>
      <w:r>
        <w:rPr>
          <w:rFonts w:asciiTheme="minorEastAsia" w:hAnsiTheme="minorEastAsia" w:eastAsiaTheme="minorEastAsia"/>
          <w:color w:val="auto"/>
          <w:kern w:val="0"/>
          <w:szCs w:val="21"/>
          <w:highlight w:val="none"/>
        </w:rPr>
        <w:t>10.4</w:t>
      </w:r>
      <w:r>
        <w:rPr>
          <w:rFonts w:hint="eastAsia" w:asciiTheme="minorEastAsia" w:hAnsiTheme="minorEastAsia" w:eastAsiaTheme="minorEastAsia"/>
          <w:color w:val="auto"/>
          <w:kern w:val="0"/>
          <w:szCs w:val="21"/>
          <w:highlight w:val="none"/>
        </w:rPr>
        <w:t>款〔变更估价〕约定执行。发包人不同意变更的，监理人应书面通知承包人。</w:t>
      </w:r>
    </w:p>
    <w:p w14:paraId="050D9D0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合理化建议降低了合同价格或者提高了工程经济效益的，发包人可对承包人给予奖励，奖励的方法和金额在专用合同条款中约定。</w:t>
      </w:r>
    </w:p>
    <w:p w14:paraId="1559C85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color w:val="auto"/>
          <w:sz w:val="21"/>
          <w:szCs w:val="21"/>
          <w:highlight w:val="none"/>
        </w:rPr>
      </w:pPr>
      <w:r>
        <w:rPr>
          <w:rFonts w:asciiTheme="minorEastAsia" w:hAnsiTheme="minorEastAsia" w:eastAsiaTheme="minorEastAsia"/>
          <w:b w:val="0"/>
          <w:color w:val="auto"/>
          <w:sz w:val="21"/>
          <w:szCs w:val="21"/>
          <w:highlight w:val="none"/>
        </w:rPr>
        <w:t>10.6</w:t>
      </w:r>
      <w:r>
        <w:rPr>
          <w:rFonts w:hint="eastAsia" w:asciiTheme="minorEastAsia" w:hAnsiTheme="minorEastAsia" w:eastAsiaTheme="minorEastAsia"/>
          <w:b w:val="0"/>
          <w:color w:val="auto"/>
          <w:sz w:val="21"/>
          <w:szCs w:val="21"/>
          <w:highlight w:val="none"/>
        </w:rPr>
        <w:t>变更引起的工期调整</w:t>
      </w:r>
      <w:r>
        <w:rPr>
          <w:rFonts w:asciiTheme="minorEastAsia" w:hAnsiTheme="minorEastAsia" w:eastAsiaTheme="minorEastAsia"/>
          <w:b w:val="0"/>
          <w:color w:val="auto"/>
          <w:sz w:val="21"/>
          <w:szCs w:val="21"/>
          <w:highlight w:val="none"/>
        </w:rPr>
        <w:t xml:space="preserve">  </w:t>
      </w:r>
      <w:r>
        <w:rPr>
          <w:rFonts w:asciiTheme="minorEastAsia" w:hAnsiTheme="minorEastAsia" w:eastAsiaTheme="minorEastAsia"/>
          <w:color w:val="auto"/>
          <w:sz w:val="21"/>
          <w:szCs w:val="21"/>
          <w:highlight w:val="none"/>
        </w:rPr>
        <w:t xml:space="preserve"> </w:t>
      </w:r>
    </w:p>
    <w:p w14:paraId="4436650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因变更引起工期变化的，合同当事人均可要求调整合同工期，由合同当事人按照第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款〔商定或确定〕并参考工程所在地的工期定额标准确定增减工期天数。</w:t>
      </w:r>
    </w:p>
    <w:p w14:paraId="0203DC9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10.7</w:t>
      </w:r>
      <w:r>
        <w:rPr>
          <w:rFonts w:hint="eastAsia" w:asciiTheme="minorEastAsia" w:hAnsiTheme="minorEastAsia" w:eastAsiaTheme="minorEastAsia"/>
          <w:b w:val="0"/>
          <w:color w:val="auto"/>
          <w:sz w:val="21"/>
          <w:szCs w:val="21"/>
          <w:highlight w:val="none"/>
        </w:rPr>
        <w:t>暂估价</w:t>
      </w:r>
    </w:p>
    <w:p w14:paraId="2C697A3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暂估价专业分包工程、服务、材料和工程设备的明细由合同当事人在专用合同条款中约定。</w:t>
      </w:r>
    </w:p>
    <w:p w14:paraId="28AE80E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10.7.1</w:t>
      </w: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依法必须招标的暂估价项目</w:t>
      </w:r>
    </w:p>
    <w:p w14:paraId="537FCD8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对于依法必须招标的暂估价项目，采取以下第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种方式确定。合同当事人也可以在专用合同条款中选择其他招标方式。</w:t>
      </w:r>
    </w:p>
    <w:p w14:paraId="0D308B5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种方式：对于依法必须招标的暂估价项目，由承包人招标，对该暂估价项目的确认和批准按照以下约定执行：</w:t>
      </w:r>
    </w:p>
    <w:p w14:paraId="5A3725D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）承包人应当根据施工进度计划，在招标工作启动前</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天将招标方案通过监理人报送发包人审查，发包人应当在收到承包人报送的招标方案后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天内批准或提出修改意见。承包人应当按照经过发包人批准的招标方案开展招标工作；</w:t>
      </w:r>
    </w:p>
    <w:p w14:paraId="5151A0A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）承包人应当根据施工进度计划，提前</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天将招标文件通过监理人报送发包人审批，发包人应当在收到承包人报送的相关文件后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天内完成审批或提出修改意见；发包人有权确定招标控制价并按照法律规定参加评标；</w:t>
      </w:r>
    </w:p>
    <w:p w14:paraId="287A1BAD">
      <w:pPr>
        <w:keepNext w:val="0"/>
        <w:keepLines w:val="0"/>
        <w:pageBreakBefore w:val="0"/>
        <w:widowControl w:val="0"/>
        <w:kinsoku/>
        <w:wordWrap/>
        <w:overflowPunct/>
        <w:topLinePunct w:val="0"/>
        <w:bidi w:val="0"/>
        <w:spacing w:line="440" w:lineRule="exact"/>
        <w:ind w:left="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）承包人与供应商、分包人在签订暂估价合同前，应当提前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天将确定的中标候选供应商或中标候选分包人的资料报送发包人，发包人应在收到资料后</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天内与承包人共同确定中标人；承包人应当在签订合同后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天内，将暂估价合同副本报送发包人留存。</w:t>
      </w:r>
    </w:p>
    <w:p w14:paraId="5B30B81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种方式：对于依法必须招标的暂估价项目，由发包人和承包人共同招标确定暂估价供应商或分包人的，承包人应按照施工进度计划，在招标工作启动前</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天通知发包人，并提交暂估价招标方案和工作分工。发包人应在收到后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天内确认。确定中标人后，由发包人、承包人与中标人共同签订暂估价合同。</w:t>
      </w:r>
    </w:p>
    <w:p w14:paraId="44059AC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10.7.2</w:t>
      </w:r>
      <w:r>
        <w:rPr>
          <w:rFonts w:hint="eastAsia" w:asciiTheme="minorEastAsia" w:hAnsiTheme="minorEastAsia" w:eastAsiaTheme="minorEastAsia"/>
          <w:color w:val="auto"/>
          <w:kern w:val="0"/>
          <w:szCs w:val="21"/>
          <w:highlight w:val="none"/>
        </w:rPr>
        <w:t>不属于依法必须招标的暂估价项目</w:t>
      </w:r>
    </w:p>
    <w:p w14:paraId="0DC7AF6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除专用合同条款另有约定外，对于不属于依法必须招标的暂估价项目，采取以下第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种方式确定：</w:t>
      </w:r>
      <w:r>
        <w:rPr>
          <w:rFonts w:asciiTheme="minorEastAsia" w:hAnsiTheme="minorEastAsia" w:eastAsiaTheme="minorEastAsia"/>
          <w:color w:val="auto"/>
          <w:kern w:val="0"/>
          <w:szCs w:val="21"/>
          <w:highlight w:val="none"/>
        </w:rPr>
        <w:t xml:space="preserve"> </w:t>
      </w:r>
    </w:p>
    <w:p w14:paraId="4333D45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种方式：对于不属于依法必须招标的暂估价项目，按本项约定确认和批准：</w:t>
      </w:r>
    </w:p>
    <w:p w14:paraId="5407E73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）承包人应根据施工进度计划，在签订暂估价项目的采购合同、分包合同前</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天向监理人提出书面申请。监理人应当在收到申请后</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天内报送发包人，发包人应当在收到申请后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天内给予批准或提出修改意见，发包人逾期未予批准或提出修改意见的，视为该书面申请已获得同意；</w:t>
      </w:r>
    </w:p>
    <w:p w14:paraId="3D9E8D4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）发包人认为承包人确定的供应商、分包人无法满足工程质量或合同要求的，发包人可以要求承包人重新确定暂估价项目的供应商、分包人</w:t>
      </w:r>
      <w:r>
        <w:rPr>
          <w:rFonts w:asciiTheme="minorEastAsia" w:hAnsiTheme="minorEastAsia" w:eastAsiaTheme="minorEastAsia"/>
          <w:color w:val="auto"/>
          <w:kern w:val="0"/>
          <w:szCs w:val="21"/>
          <w:highlight w:val="none"/>
        </w:rPr>
        <w:t>;</w:t>
      </w:r>
    </w:p>
    <w:p w14:paraId="36B04AB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）承包人应当在签订暂估价合同后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天内，将暂估价合同副本报送发包人留存。</w:t>
      </w:r>
    </w:p>
    <w:p w14:paraId="5CFF620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种方式：承包人按照第</w:t>
      </w:r>
      <w:r>
        <w:rPr>
          <w:rFonts w:asciiTheme="minorEastAsia" w:hAnsiTheme="minorEastAsia" w:eastAsiaTheme="minorEastAsia"/>
          <w:color w:val="auto"/>
          <w:kern w:val="0"/>
          <w:szCs w:val="21"/>
          <w:highlight w:val="none"/>
        </w:rPr>
        <w:t>10.7.1</w:t>
      </w:r>
      <w:r>
        <w:rPr>
          <w:rFonts w:hint="eastAsia" w:asciiTheme="minorEastAsia" w:hAnsiTheme="minorEastAsia" w:eastAsiaTheme="minorEastAsia"/>
          <w:color w:val="auto"/>
          <w:kern w:val="0"/>
          <w:szCs w:val="21"/>
          <w:highlight w:val="none"/>
        </w:rPr>
        <w:t>项〔依法必须招标的暂估价项目〕约定的第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种方式确定暂估价项目。</w:t>
      </w:r>
    </w:p>
    <w:p w14:paraId="3BE659A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第</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种方式：</w:t>
      </w:r>
      <w:r>
        <w:rPr>
          <w:rFonts w:hint="eastAsia" w:asciiTheme="minorEastAsia" w:hAnsiTheme="minorEastAsia" w:eastAsiaTheme="minorEastAsia"/>
          <w:color w:val="auto"/>
          <w:kern w:val="0"/>
          <w:szCs w:val="21"/>
          <w:highlight w:val="none"/>
        </w:rPr>
        <w:t>承包人直接实施的暂估价项目</w:t>
      </w:r>
    </w:p>
    <w:p w14:paraId="21EBAA6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承包人具备实施暂估价项目的资格和条件的，经发包人和承包人协商一致后，可由承包人自行实施暂估价项目，合同当事人可以在专用合同条款约定具体事项。</w:t>
      </w:r>
    </w:p>
    <w:p w14:paraId="6667FDB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10.7.3 </w:t>
      </w:r>
      <w:r>
        <w:rPr>
          <w:rFonts w:hint="eastAsia" w:asciiTheme="minorEastAsia" w:hAnsiTheme="minorEastAsia" w:eastAsiaTheme="minorEastAsia"/>
          <w:color w:val="auto"/>
          <w:kern w:val="0"/>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2B82A19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10.8</w:t>
      </w:r>
      <w:r>
        <w:rPr>
          <w:rFonts w:hint="eastAsia" w:asciiTheme="minorEastAsia" w:hAnsiTheme="minorEastAsia" w:eastAsiaTheme="minorEastAsia"/>
          <w:b w:val="0"/>
          <w:color w:val="auto"/>
          <w:sz w:val="21"/>
          <w:szCs w:val="21"/>
          <w:highlight w:val="none"/>
        </w:rPr>
        <w:t>暂列金额</w:t>
      </w:r>
    </w:p>
    <w:p w14:paraId="6D92C7F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暂列金额应按照发包人的要求使用，发包人的要求应通过监理人发出。合同当事人可以在专用合同条款中协商确定有关事项。</w:t>
      </w:r>
    </w:p>
    <w:p w14:paraId="267A9FA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10.9</w:t>
      </w:r>
      <w:r>
        <w:rPr>
          <w:rFonts w:hint="eastAsia" w:asciiTheme="minorEastAsia" w:hAnsiTheme="minorEastAsia" w:eastAsiaTheme="minorEastAsia"/>
          <w:b w:val="0"/>
          <w:color w:val="auto"/>
          <w:sz w:val="21"/>
          <w:szCs w:val="21"/>
          <w:highlight w:val="none"/>
        </w:rPr>
        <w:t>计日工</w:t>
      </w:r>
      <w:r>
        <w:rPr>
          <w:rFonts w:asciiTheme="minorEastAsia" w:hAnsiTheme="minorEastAsia" w:eastAsiaTheme="minorEastAsia"/>
          <w:b w:val="0"/>
          <w:color w:val="auto"/>
          <w:sz w:val="21"/>
          <w:szCs w:val="21"/>
          <w:highlight w:val="none"/>
        </w:rPr>
        <w:t xml:space="preserve"> </w:t>
      </w:r>
    </w:p>
    <w:p w14:paraId="5E1FE18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款〔商定或确定〕确定计日工的单价。</w:t>
      </w:r>
    </w:p>
    <w:p w14:paraId="70FAF79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采用计日工计价的任何一项工作，承包人应在该项工作实施过程中，每天提交以下报表和有关凭证报送监理人审查：</w:t>
      </w:r>
    </w:p>
    <w:p w14:paraId="244338BC">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）工作名称、内容和数量；</w:t>
      </w:r>
    </w:p>
    <w:p w14:paraId="6A435C89">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）投入该工作的所有人员的姓名、专业、工种、级别和耗用工时；</w:t>
      </w:r>
    </w:p>
    <w:p w14:paraId="79D9E090">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）投入该工作的材料类别和数量；</w:t>
      </w:r>
    </w:p>
    <w:p w14:paraId="0C83681D">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）投入该工作的施工设备型号、台数和耗用台时；</w:t>
      </w:r>
    </w:p>
    <w:p w14:paraId="3D925DAA">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）其他有关资料和凭证。</w:t>
      </w:r>
    </w:p>
    <w:p w14:paraId="06276464">
      <w:pPr>
        <w:keepNext w:val="0"/>
        <w:keepLines w:val="0"/>
        <w:pageBreakBefore w:val="0"/>
        <w:widowControl w:val="0"/>
        <w:kinsoku/>
        <w:wordWrap/>
        <w:overflowPunct/>
        <w:topLinePunct w:val="0"/>
        <w:bidi w:val="0"/>
        <w:spacing w:line="440" w:lineRule="exact"/>
        <w:ind w:left="0" w:firstLine="315" w:firstLineChars="15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计日工由承包人汇总后，列入最近一期进度付款申请单，由监理人审查并经发包人批准后列入进度付款。</w:t>
      </w:r>
    </w:p>
    <w:p w14:paraId="4E10E8D7">
      <w:pPr>
        <w:keepNext w:val="0"/>
        <w:keepLines w:val="0"/>
        <w:pageBreakBefore w:val="0"/>
        <w:widowControl w:val="0"/>
        <w:kinsoku/>
        <w:wordWrap/>
        <w:overflowPunct/>
        <w:topLinePunct w:val="0"/>
        <w:bidi w:val="0"/>
        <w:adjustRightInd w:val="0"/>
        <w:snapToGrid w:val="0"/>
        <w:spacing w:line="440" w:lineRule="exact"/>
        <w:ind w:left="0"/>
        <w:jc w:val="left"/>
        <w:textAlignment w:val="auto"/>
        <w:rPr>
          <w:rFonts w:asciiTheme="minorEastAsia" w:hAnsiTheme="minorEastAsia" w:eastAsiaTheme="minorEastAsia"/>
          <w:color w:val="auto"/>
          <w:szCs w:val="21"/>
          <w:highlight w:val="none"/>
        </w:rPr>
      </w:pPr>
    </w:p>
    <w:p w14:paraId="0B33705C">
      <w:pPr>
        <w:keepNext w:val="0"/>
        <w:keepLines w:val="0"/>
        <w:pageBreakBefore w:val="0"/>
        <w:widowControl w:val="0"/>
        <w:kinsoku/>
        <w:wordWrap/>
        <w:overflowPunct/>
        <w:topLinePunct w:val="0"/>
        <w:bidi w:val="0"/>
        <w:adjustRightInd w:val="0"/>
        <w:snapToGrid w:val="0"/>
        <w:spacing w:line="440" w:lineRule="exact"/>
        <w:ind w:left="0"/>
        <w:jc w:val="left"/>
        <w:textAlignment w:val="auto"/>
        <w:rPr>
          <w:rFonts w:asciiTheme="minorEastAsia" w:hAnsiTheme="minorEastAsia" w:eastAsiaTheme="minorEastAsia"/>
          <w:color w:val="auto"/>
          <w:szCs w:val="21"/>
          <w:highlight w:val="none"/>
        </w:rPr>
      </w:pPr>
    </w:p>
    <w:p w14:paraId="25837B72">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68" w:name="_Toc12791"/>
      <w:bookmarkStart w:id="269" w:name="_Toc15464"/>
      <w:bookmarkStart w:id="270" w:name="_Toc11150"/>
      <w:r>
        <w:rPr>
          <w:rFonts w:hint="eastAsia" w:asciiTheme="minorEastAsia" w:hAnsiTheme="minorEastAsia" w:eastAsiaTheme="minorEastAsia"/>
          <w:b/>
          <w:color w:val="auto"/>
          <w:szCs w:val="21"/>
          <w:highlight w:val="none"/>
        </w:rPr>
        <w:t>11. 价格调整</w:t>
      </w:r>
      <w:bookmarkEnd w:id="268"/>
      <w:bookmarkEnd w:id="269"/>
      <w:bookmarkEnd w:id="270"/>
    </w:p>
    <w:p w14:paraId="7EF4EB5D">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11.1</w:t>
      </w:r>
      <w:r>
        <w:rPr>
          <w:rFonts w:hint="eastAsia" w:asciiTheme="minorEastAsia" w:hAnsiTheme="minorEastAsia" w:eastAsiaTheme="minorEastAsia"/>
          <w:b w:val="0"/>
          <w:color w:val="auto"/>
          <w:sz w:val="21"/>
          <w:szCs w:val="21"/>
          <w:highlight w:val="none"/>
        </w:rPr>
        <w:t>市场价格波动引起的调整</w:t>
      </w:r>
    </w:p>
    <w:p w14:paraId="3361C08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除专用合同条款另有约定外，市场价格波动超过合同当事人约定的范围，合同价格应当调整。合同当事人可以在专用合同条款中约定选择以下一种方式对合同价格进行调整：</w:t>
      </w:r>
    </w:p>
    <w:p w14:paraId="17A25F1E">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种方式：采用价格指数进行价格调整。</w:t>
      </w:r>
    </w:p>
    <w:p w14:paraId="56E5692B">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）价格调整公式</w:t>
      </w:r>
    </w:p>
    <w:p w14:paraId="74A3E442">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因人工、材料和设备等价格波动影响合同价格时，根据专用合同条款中约定的数据，按以下公式计算差额并调整合同价格：</w:t>
      </w:r>
    </w:p>
    <w:p w14:paraId="4F32CB74">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position w:val="-30"/>
          <w:szCs w:val="21"/>
          <w:highlight w:val="none"/>
        </w:rPr>
        <w:object>
          <v:shape id="_x0000_i1025" o:spt="75" type="#_x0000_t75" style="height:43.5pt;width:360pt;" o:ole="t" filled="f" o:preferrelative="t" stroked="f" coordsize="21600,21600">
            <v:path/>
            <v:fill on="f" focussize="0,0"/>
            <v:stroke on="f" joinstyle="miter"/>
            <v:imagedata r:id="rId19" o:title=""/>
            <o:lock v:ext="edit" aspectratio="t"/>
            <w10:wrap type="none"/>
            <w10:anchorlock/>
          </v:shape>
          <o:OLEObject Type="Embed" ProgID="Equation.3" ShapeID="_x0000_i1025" DrawAspect="Content" ObjectID="_1468075725" r:id="rId18">
            <o:LockedField>false</o:LockedField>
          </o:OLEObject>
        </w:object>
      </w:r>
    </w:p>
    <w:p w14:paraId="20FC71BF">
      <w:pPr>
        <w:keepNext w:val="0"/>
        <w:keepLines w:val="0"/>
        <w:pageBreakBefore w:val="0"/>
        <w:widowControl w:val="0"/>
        <w:tabs>
          <w:tab w:val="left" w:pos="0"/>
          <w:tab w:val="left" w:pos="360"/>
          <w:tab w:val="left" w:pos="540"/>
        </w:tabs>
        <w:kinsoku/>
        <w:wordWrap/>
        <w:overflowPunct/>
        <w:topLinePunct w:val="0"/>
        <w:bidi w:val="0"/>
        <w:spacing w:line="440" w:lineRule="exact"/>
        <w:ind w:left="0" w:firstLine="64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公式中：</w:t>
      </w:r>
      <w:r>
        <w:rPr>
          <w:rFonts w:asciiTheme="minorEastAsia" w:hAnsiTheme="minorEastAsia" w:eastAsiaTheme="minorEastAsia"/>
          <w:color w:val="auto"/>
          <w:szCs w:val="21"/>
          <w:highlight w:val="none"/>
        </w:rPr>
        <w:t>ΔP——</w:t>
      </w:r>
      <w:r>
        <w:rPr>
          <w:rFonts w:hint="eastAsia" w:asciiTheme="minorEastAsia" w:hAnsiTheme="minorEastAsia" w:eastAsiaTheme="minorEastAsia"/>
          <w:color w:val="auto"/>
          <w:szCs w:val="21"/>
          <w:highlight w:val="none"/>
        </w:rPr>
        <w:t>需调整的价格差额；</w:t>
      </w:r>
    </w:p>
    <w:p w14:paraId="14AE15C7">
      <w:pPr>
        <w:keepNext w:val="0"/>
        <w:keepLines w:val="0"/>
        <w:pageBreakBefore w:val="0"/>
        <w:widowControl w:val="0"/>
        <w:tabs>
          <w:tab w:val="left" w:pos="0"/>
          <w:tab w:val="left" w:pos="360"/>
          <w:tab w:val="left" w:pos="540"/>
        </w:tabs>
        <w:kinsoku/>
        <w:wordWrap/>
        <w:overflowPunct/>
        <w:topLinePunct w:val="0"/>
        <w:bidi w:val="0"/>
        <w:spacing w:line="440" w:lineRule="exact"/>
        <w:ind w:left="0" w:firstLine="1260" w:firstLineChars="6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position w:val="-6"/>
          <w:szCs w:val="21"/>
          <w:highlight w:val="none"/>
        </w:rPr>
        <w:object>
          <v:shape id="_x0000_i1026" o:spt="75" type="#_x0000_t75" style="height:14.25pt;width:14.25pt;" o:ole="t" filled="f" o:preferrelative="t" stroked="f" coordsize="21600,21600">
            <v:path/>
            <v:fill on="f" focussize="0,0"/>
            <v:stroke on="f" joinstyle="miter"/>
            <v:imagedata r:id="rId21" o:title=""/>
            <o:lock v:ext="edit" aspectratio="t"/>
            <w10:wrap type="none"/>
            <w10:anchorlock/>
          </v:shape>
          <o:OLEObject Type="Embed" ProgID="Equation.3" ShapeID="_x0000_i1026" DrawAspect="Content" ObjectID="_1468075726" r:id="rId20">
            <o:LockedField>false</o:LockedField>
          </o:OLEObject>
        </w:objec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约定的付款证书中承包人应得到的已完成工程量的金额。此项金额应不包括价格调整、不计质量保证金的扣留和支付、预付款的支付和扣回。约定的变更及其他金额已按现行价格计价的，也不计在内；</w:t>
      </w:r>
    </w:p>
    <w:p w14:paraId="6EE552CE">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A——</w:t>
      </w:r>
      <w:r>
        <w:rPr>
          <w:rFonts w:hint="eastAsia" w:asciiTheme="minorEastAsia" w:hAnsiTheme="minorEastAsia" w:eastAsiaTheme="minorEastAsia"/>
          <w:color w:val="auto"/>
          <w:szCs w:val="21"/>
          <w:highlight w:val="none"/>
        </w:rPr>
        <w:t>定值权重（即不调部分的权重）；</w:t>
      </w:r>
    </w:p>
    <w:p w14:paraId="04872884">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position w:val="-10"/>
          <w:szCs w:val="21"/>
          <w:highlight w:val="none"/>
        </w:rPr>
        <w:object>
          <v:shape id="_x0000_i1027" o:spt="75" type="#_x0000_t75" style="height:21.75pt;width:100.5pt;" o:ole="t" filled="f" o:preferrelative="t" stroked="f" coordsize="21600,21600">
            <v:path/>
            <v:fill on="f" focussize="0,0"/>
            <v:stroke on="f" joinstyle="miter"/>
            <v:imagedata r:id="rId23" o:title=""/>
            <o:lock v:ext="edit" aspectratio="t"/>
            <w10:wrap type="none"/>
            <w10:anchorlock/>
          </v:shape>
          <o:OLEObject Type="Embed" ProgID="Equation.3" ShapeID="_x0000_i1027" DrawAspect="Content" ObjectID="_1468075727" r:id="rId22">
            <o:LockedField>false</o:LockedField>
          </o:OLEObject>
        </w:objec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各可调因子的变值权重（即可调部分的权重），为各可调因子在签约合同价中所占的比例；</w:t>
      </w:r>
    </w:p>
    <w:p w14:paraId="770A30B3">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position w:val="-10"/>
          <w:szCs w:val="21"/>
          <w:highlight w:val="none"/>
        </w:rPr>
        <w:object>
          <v:shape id="_x0000_i1028" o:spt="75" type="#_x0000_t75" style="height:21.75pt;width:100.5pt;" o:ole="t" filled="f" o:preferrelative="t" stroked="f" coordsize="21600,21600">
            <v:path/>
            <v:fill on="f" focussize="0,0"/>
            <v:stroke on="f" joinstyle="miter"/>
            <v:imagedata r:id="rId25" o:title=""/>
            <o:lock v:ext="edit" aspectratio="t"/>
            <w10:wrap type="none"/>
            <w10:anchorlock/>
          </v:shape>
          <o:OLEObject Type="Embed" ProgID="Equation.3" ShapeID="_x0000_i1028" DrawAspect="Content" ObjectID="_1468075728" r:id="rId24">
            <o:LockedField>false</o:LockedField>
          </o:OLEObject>
        </w:objec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各可调因子的现行价格指数，指约定的付款证书相关周期最后一天的前</w:t>
      </w:r>
      <w:r>
        <w:rPr>
          <w:rFonts w:asciiTheme="minorEastAsia" w:hAnsiTheme="minorEastAsia" w:eastAsiaTheme="minorEastAsia"/>
          <w:color w:val="auto"/>
          <w:szCs w:val="21"/>
          <w:highlight w:val="none"/>
        </w:rPr>
        <w:t>42</w:t>
      </w:r>
      <w:r>
        <w:rPr>
          <w:rFonts w:hint="eastAsia" w:asciiTheme="minorEastAsia" w:hAnsiTheme="minorEastAsia" w:eastAsiaTheme="minorEastAsia"/>
          <w:color w:val="auto"/>
          <w:szCs w:val="21"/>
          <w:highlight w:val="none"/>
        </w:rPr>
        <w:t>天的各可调因子的价格指数；</w:t>
      </w:r>
    </w:p>
    <w:p w14:paraId="24B511E0">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position w:val="-10"/>
          <w:szCs w:val="21"/>
          <w:highlight w:val="none"/>
        </w:rPr>
        <w:object>
          <v:shape id="_x0000_i1029" o:spt="75" type="#_x0000_t75" style="height:21.75pt;width:108pt;" o:ole="t" filled="f" o:preferrelative="t" stroked="f" coordsize="21600,21600">
            <v:path/>
            <v:fill on="f" focussize="0,0"/>
            <v:stroke on="f" joinstyle="miter"/>
            <v:imagedata r:id="rId27" o:title=""/>
            <o:lock v:ext="edit" aspectratio="t"/>
            <w10:wrap type="none"/>
            <w10:anchorlock/>
          </v:shape>
          <o:OLEObject Type="Embed" ProgID="Equation.3" ShapeID="_x0000_i1029" DrawAspect="Content" ObjectID="_1468075729" r:id="rId26">
            <o:LockedField>false</o:LockedField>
          </o:OLEObject>
        </w:object>
      </w:r>
      <w:r>
        <w:rPr>
          <w:rFonts w:asciiTheme="minorEastAsia" w:hAnsiTheme="minorEastAsia" w:eastAsiaTheme="minorEastAsia"/>
          <w:color w:val="auto"/>
          <w:szCs w:val="21"/>
          <w:highlight w:val="none"/>
        </w:rPr>
        <w:t>——</w:t>
      </w:r>
      <w:r>
        <w:rPr>
          <w:rFonts w:hint="eastAsia" w:asciiTheme="minorEastAsia" w:hAnsiTheme="minorEastAsia" w:eastAsiaTheme="minorEastAsia"/>
          <w:color w:val="auto"/>
          <w:szCs w:val="21"/>
          <w:highlight w:val="none"/>
        </w:rPr>
        <w:t>各可调因子的基本价格指数，指基准日期的各可调因子的价格指数。</w:t>
      </w:r>
    </w:p>
    <w:p w14:paraId="0BFA0A43">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187378D2">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）暂时确定调整差额</w:t>
      </w:r>
    </w:p>
    <w:p w14:paraId="6EF28E2C">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在计算调整差额时无现行价格指数的，合同当事人同意暂用前次价格指数计算。实际价格指数有调整的，合同当事人进行相应调整。</w:t>
      </w:r>
    </w:p>
    <w:p w14:paraId="06C63954">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）权重的调整</w:t>
      </w:r>
    </w:p>
    <w:p w14:paraId="4D9F6046">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因变更导致合同约定的权重不合理时，按照第</w:t>
      </w:r>
      <w:r>
        <w:rPr>
          <w:rFonts w:asciiTheme="minorEastAsia" w:hAnsiTheme="minorEastAsia" w:eastAsiaTheme="minorEastAsia"/>
          <w:color w:val="auto"/>
          <w:szCs w:val="21"/>
          <w:highlight w:val="none"/>
        </w:rPr>
        <w:t>4.4</w:t>
      </w:r>
      <w:r>
        <w:rPr>
          <w:rFonts w:hint="eastAsia" w:asciiTheme="minorEastAsia" w:hAnsiTheme="minorEastAsia" w:eastAsiaTheme="minorEastAsia"/>
          <w:color w:val="auto"/>
          <w:szCs w:val="21"/>
          <w:highlight w:val="none"/>
        </w:rPr>
        <w:t>款〔商定或确定〕执行。</w:t>
      </w:r>
    </w:p>
    <w:p w14:paraId="7216B372">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）因承包人原因工期延误后的价格调整</w:t>
      </w:r>
    </w:p>
    <w:p w14:paraId="64C533D7">
      <w:pPr>
        <w:keepNext w:val="0"/>
        <w:keepLines w:val="0"/>
        <w:pageBreakBefore w:val="0"/>
        <w:widowControl w:val="0"/>
        <w:tabs>
          <w:tab w:val="left" w:pos="0"/>
          <w:tab w:val="left" w:pos="360"/>
          <w:tab w:val="left" w:pos="540"/>
        </w:tabs>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因承包人原因未按期竣工的，对合同约定的竣工日期后继续施工的工程，在使用价格调整公式时，应采用计划竣工日期与实际竣工日期的两个价格指数中较低的一个作为现行价格指数。</w:t>
      </w:r>
    </w:p>
    <w:p w14:paraId="57461EBF">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种方式：采用造价信息进行价格调整。</w:t>
      </w:r>
    </w:p>
    <w:p w14:paraId="1D462223">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48BFF9A6">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25A2A566">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）材料、工程设备价格变化的价款调整按照发包人提供的基准价格，按以下风险范围规定执行</w:t>
      </w:r>
      <w:r>
        <w:rPr>
          <w:rFonts w:asciiTheme="minorEastAsia" w:hAnsiTheme="minorEastAsia" w:eastAsiaTheme="minorEastAsia"/>
          <w:color w:val="auto"/>
          <w:szCs w:val="21"/>
          <w:highlight w:val="none"/>
        </w:rPr>
        <w:t>:</w:t>
      </w:r>
    </w:p>
    <w:p w14:paraId="59046E25">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①</w:t>
      </w:r>
      <w:r>
        <w:rPr>
          <w:rFonts w:hint="eastAsia" w:asciiTheme="minorEastAsia" w:hAnsiTheme="minorEastAsia" w:eastAsiaTheme="minorEastAsia"/>
          <w:color w:val="auto"/>
          <w:szCs w:val="21"/>
          <w:highlight w:val="none"/>
        </w:rPr>
        <w:t>承包人在已标价工程量清单或预算书中载明材料单价低于基准价格的：除专用合同条款另有约定外，合同履行期间材料单价涨幅以基准价格为基础超过</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时，或材料单价跌幅以在已标价工程量清单或预算书中载明材料单价为基础超过</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时，其超过部分据实调整。</w:t>
      </w:r>
    </w:p>
    <w:p w14:paraId="335F0DC7">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②</w:t>
      </w:r>
      <w:r>
        <w:rPr>
          <w:rFonts w:hint="eastAsia" w:asciiTheme="minorEastAsia" w:hAnsiTheme="minorEastAsia" w:eastAsiaTheme="minorEastAsia"/>
          <w:color w:val="auto"/>
          <w:szCs w:val="21"/>
          <w:highlight w:val="none"/>
        </w:rPr>
        <w:t>承包人在已标价工程量清单或预算书中载明材料单价高于基准价格的：除专用合同条款另有约定外，合同履行期间材料单价跌幅以基准价格为基础超过</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时，材料单价涨幅以在已标价工程量清单或预算书中载明材料单价为基础超过</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时，其超过部分据实调整。</w:t>
      </w:r>
    </w:p>
    <w:p w14:paraId="6D7351E8">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③</w:t>
      </w:r>
      <w:r>
        <w:rPr>
          <w:rFonts w:hint="eastAsia" w:asciiTheme="minorEastAsia" w:hAnsiTheme="minorEastAsia" w:eastAsiaTheme="minorEastAsia"/>
          <w:color w:val="auto"/>
          <w:szCs w:val="21"/>
          <w:highlight w:val="none"/>
        </w:rPr>
        <w:t>承包人在已标价工程量清单或预算书中载明材料单价等于基准价格的：除专用合同条款另有约定外，合同履行期间材料单价涨跌幅以基准价格为基础超过</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时，其超过部分据实调整。</w:t>
      </w:r>
    </w:p>
    <w:p w14:paraId="677B349F">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④</w:t>
      </w:r>
      <w:r>
        <w:rPr>
          <w:rFonts w:hint="eastAsia" w:asciiTheme="minorEastAsia" w:hAnsiTheme="minorEastAsia" w:eastAsiaTheme="minorEastAsia"/>
          <w:color w:val="auto"/>
          <w:szCs w:val="21"/>
          <w:highlight w:val="none"/>
        </w:rPr>
        <w:t>承包人应在采购材料前将采购数量和新的材料单价报发包人核对，发包人确认用于工程时，发包人应确认采购材料的数量和单价。发包人在收到承包人报送的确认资料后</w:t>
      </w:r>
      <w:r>
        <w:rPr>
          <w:rFonts w:asciiTheme="minorEastAsia" w:hAnsiTheme="minorEastAsia" w:eastAsiaTheme="minorEastAsia"/>
          <w:color w:val="auto"/>
          <w:szCs w:val="21"/>
          <w:highlight w:val="none"/>
        </w:rPr>
        <w:t>5</w:t>
      </w:r>
      <w:r>
        <w:rPr>
          <w:rFonts w:hint="eastAsia" w:asciiTheme="minorEastAsia" w:hAnsiTheme="minorEastAsia" w:eastAsiaTheme="minorEastAsia"/>
          <w:color w:val="auto"/>
          <w:szCs w:val="21"/>
          <w:highlight w:val="none"/>
        </w:rPr>
        <w:t>天内不予答复的视为认可，作为调整合同价格的依据。未经发包人事先核对，承包人自行采购材料的，发包人有权不予调整合同价格。发包人同意的，可以调整合同价格。</w:t>
      </w:r>
    </w:p>
    <w:p w14:paraId="0EE223BC">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bookmarkStart w:id="271" w:name="OLE_LINK3"/>
      <w:r>
        <w:rPr>
          <w:rFonts w:hint="eastAsia" w:asciiTheme="minorEastAsia" w:hAnsiTheme="minorEastAsia" w:eastAsiaTheme="minorEastAsia"/>
          <w:color w:val="auto"/>
          <w:szCs w:val="21"/>
          <w:highlight w:val="none"/>
        </w:rPr>
        <w:t>前述基准价格是指由发包人在招标文件或专用合同条款中给定的材料、工程设备的价格，该价格原则上应当按照省级或行业建设主管部门或其授权的工程造价管理机构发布的信息价编制。</w:t>
      </w:r>
    </w:p>
    <w:p w14:paraId="5007240C">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）施工机械台班单价或施工机械使用费发生变化超过省级或行业建设主管部门或其授权的工程造价管理机构规定的范围时，按规定调整合同价格。</w:t>
      </w:r>
    </w:p>
    <w:p w14:paraId="57FE3EF0">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第</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种方式：专用合同条款约定的其他方式。</w:t>
      </w:r>
    </w:p>
    <w:p w14:paraId="1576D11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11.2</w:t>
      </w:r>
      <w:r>
        <w:rPr>
          <w:rFonts w:hint="eastAsia" w:asciiTheme="minorEastAsia" w:hAnsiTheme="minorEastAsia" w:eastAsiaTheme="minorEastAsia"/>
          <w:b w:val="0"/>
          <w:color w:val="auto"/>
          <w:sz w:val="21"/>
          <w:szCs w:val="21"/>
          <w:highlight w:val="none"/>
        </w:rPr>
        <w:t>法律变化引起的调整</w:t>
      </w:r>
    </w:p>
    <w:p w14:paraId="425DF4AE">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基准日期后，法律变化导致承包人在合同履行过程中所需要的费用发生除第</w:t>
      </w:r>
      <w:r>
        <w:rPr>
          <w:rFonts w:asciiTheme="minorEastAsia" w:hAnsiTheme="minorEastAsia" w:eastAsiaTheme="minorEastAsia"/>
          <w:color w:val="auto"/>
          <w:szCs w:val="21"/>
          <w:highlight w:val="none"/>
        </w:rPr>
        <w:t>11.1</w:t>
      </w:r>
      <w:r>
        <w:rPr>
          <w:rFonts w:hint="eastAsia" w:asciiTheme="minorEastAsia" w:hAnsiTheme="minorEastAsia" w:eastAsiaTheme="minorEastAsia"/>
          <w:color w:val="auto"/>
          <w:szCs w:val="21"/>
          <w:highlight w:val="none"/>
        </w:rPr>
        <w:t>款〔市场价格波动引起的调整〕约定以外的增加时，由发包人承担由此增加的费用；减少时，应从合同价格中予以扣减。基准日期后，因法律变化造成工期延误时，工期应予以顺延。</w:t>
      </w:r>
    </w:p>
    <w:p w14:paraId="4AC25FC6">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因法律变化引起的合同价格和工期调整，合同当事人无法达成一致的，由总监理工程师按第</w:t>
      </w:r>
      <w:r>
        <w:rPr>
          <w:rFonts w:asciiTheme="minorEastAsia" w:hAnsiTheme="minorEastAsia" w:eastAsiaTheme="minorEastAsia"/>
          <w:color w:val="auto"/>
          <w:szCs w:val="21"/>
          <w:highlight w:val="none"/>
        </w:rPr>
        <w:t>4.4</w:t>
      </w:r>
      <w:r>
        <w:rPr>
          <w:rFonts w:hint="eastAsia" w:asciiTheme="minorEastAsia" w:hAnsiTheme="minorEastAsia" w:eastAsiaTheme="minorEastAsia"/>
          <w:color w:val="auto"/>
          <w:szCs w:val="21"/>
          <w:highlight w:val="none"/>
        </w:rPr>
        <w:t>款〔商定或确定〕的约定处理。</w:t>
      </w:r>
    </w:p>
    <w:p w14:paraId="43929BE3">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因承包人原因造成工期延误，在工期延误期间出现法律变化的，由此增加的费用和（或）延误的工期由承包人承担。</w:t>
      </w:r>
    </w:p>
    <w:p w14:paraId="71E27DBD">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72" w:name="_Toc22480"/>
      <w:bookmarkStart w:id="273" w:name="_Toc7823"/>
      <w:bookmarkStart w:id="274" w:name="_Toc25704"/>
      <w:r>
        <w:rPr>
          <w:rFonts w:hint="eastAsia" w:asciiTheme="minorEastAsia" w:hAnsiTheme="minorEastAsia" w:eastAsiaTheme="minorEastAsia"/>
          <w:b/>
          <w:color w:val="auto"/>
          <w:szCs w:val="21"/>
          <w:highlight w:val="none"/>
        </w:rPr>
        <w:t>12. 合同价格、计量与支付</w:t>
      </w:r>
      <w:bookmarkEnd w:id="272"/>
      <w:bookmarkEnd w:id="273"/>
      <w:bookmarkEnd w:id="274"/>
    </w:p>
    <w:p w14:paraId="33A41C5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12.1 </w:t>
      </w:r>
      <w:r>
        <w:rPr>
          <w:rFonts w:hint="eastAsia" w:asciiTheme="minorEastAsia" w:hAnsiTheme="minorEastAsia" w:eastAsiaTheme="minorEastAsia"/>
          <w:b w:val="0"/>
          <w:color w:val="auto"/>
          <w:sz w:val="21"/>
          <w:szCs w:val="21"/>
          <w:highlight w:val="none"/>
        </w:rPr>
        <w:t>合同价格形式</w:t>
      </w:r>
    </w:p>
    <w:p w14:paraId="2121D93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发包人和承包人应在合同协议书中选择下列一种合同价格形式：</w:t>
      </w:r>
      <w:r>
        <w:rPr>
          <w:rFonts w:asciiTheme="minorEastAsia" w:hAnsiTheme="minorEastAsia" w:eastAsiaTheme="minorEastAsia"/>
          <w:color w:val="auto"/>
          <w:kern w:val="0"/>
          <w:szCs w:val="21"/>
          <w:highlight w:val="none"/>
        </w:rPr>
        <w:t xml:space="preserve"> </w:t>
      </w:r>
    </w:p>
    <w:p w14:paraId="3696657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单价合同</w:t>
      </w:r>
    </w:p>
    <w:p w14:paraId="4C1C917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单价合同是指合同当事人约定以工程量清单及其综合单价进行合同价格计算、调整和确认的建设工程施工合同，</w:t>
      </w:r>
      <w:r>
        <w:rPr>
          <w:rFonts w:hint="eastAsia" w:asciiTheme="minorEastAsia" w:hAnsiTheme="minorEastAsia" w:eastAsiaTheme="minorEastAsia"/>
          <w:color w:val="auto"/>
          <w:szCs w:val="21"/>
          <w:highlight w:val="none"/>
        </w:rPr>
        <w:t>在约定的范围内合同单价不作调整</w:t>
      </w:r>
      <w:r>
        <w:rPr>
          <w:rFonts w:hint="eastAsia" w:asciiTheme="minorEastAsia" w:hAnsiTheme="minorEastAsia" w:eastAsiaTheme="minorEastAsia"/>
          <w:color w:val="auto"/>
          <w:kern w:val="0"/>
          <w:szCs w:val="21"/>
          <w:highlight w:val="none"/>
        </w:rPr>
        <w:t>。合同当事人应在专用合同条款中约定综合单价包含的风险范围和风险费用的计算方法</w:t>
      </w:r>
      <w:r>
        <w:rPr>
          <w:rFonts w:hint="eastAsia" w:asciiTheme="minorEastAsia" w:hAnsiTheme="minorEastAsia" w:eastAsiaTheme="minorEastAsia"/>
          <w:color w:val="auto"/>
          <w:szCs w:val="21"/>
          <w:highlight w:val="none"/>
        </w:rPr>
        <w:t>，</w:t>
      </w:r>
      <w:r>
        <w:rPr>
          <w:rFonts w:hint="eastAsia" w:asciiTheme="minorEastAsia" w:hAnsiTheme="minorEastAsia" w:eastAsiaTheme="minorEastAsia"/>
          <w:color w:val="auto"/>
          <w:kern w:val="0"/>
          <w:szCs w:val="21"/>
          <w:highlight w:val="none"/>
        </w:rPr>
        <w:t>并约定风险范围以外的合同价格的调整方法，其中因市场价格波动引起的调整按第</w:t>
      </w:r>
      <w:r>
        <w:rPr>
          <w:rFonts w:asciiTheme="minorEastAsia" w:hAnsiTheme="minorEastAsia" w:eastAsiaTheme="minorEastAsia"/>
          <w:color w:val="auto"/>
          <w:kern w:val="0"/>
          <w:szCs w:val="21"/>
          <w:highlight w:val="none"/>
        </w:rPr>
        <w:t>11.1</w:t>
      </w:r>
      <w:r>
        <w:rPr>
          <w:rFonts w:hint="eastAsia" w:asciiTheme="minorEastAsia" w:hAnsiTheme="minorEastAsia" w:eastAsiaTheme="minorEastAsia"/>
          <w:color w:val="auto"/>
          <w:kern w:val="0"/>
          <w:szCs w:val="21"/>
          <w:highlight w:val="none"/>
        </w:rPr>
        <w:t>款〔市场价格波动引起的调整〕约定执行。</w:t>
      </w:r>
    </w:p>
    <w:p w14:paraId="7A78F9F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总价合同</w:t>
      </w:r>
    </w:p>
    <w:p w14:paraId="5B8CAB2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总价合同是指合同当事人约定以施工图、已标价工程量清单或预算书及有关条件进行合同价格计算、调整和确认的建设工程施工合同，</w:t>
      </w:r>
      <w:r>
        <w:rPr>
          <w:rFonts w:hint="eastAsia" w:asciiTheme="minorEastAsia" w:hAnsiTheme="minorEastAsia" w:eastAsiaTheme="minorEastAsia"/>
          <w:color w:val="auto"/>
          <w:szCs w:val="21"/>
          <w:highlight w:val="none"/>
        </w:rPr>
        <w:t>在约定的范围内合同总价不作调整</w:t>
      </w:r>
      <w:r>
        <w:rPr>
          <w:rFonts w:hint="eastAsia" w:asciiTheme="minorEastAsia" w:hAnsiTheme="minorEastAsia" w:eastAsiaTheme="minorEastAsia"/>
          <w:color w:val="auto"/>
          <w:kern w:val="0"/>
          <w:szCs w:val="21"/>
          <w:highlight w:val="none"/>
        </w:rPr>
        <w:t>。合同当事人应在专用合同条款中约定总价包含的风险范围和风险费用的计算方法，并约定风险范围以外的合同价格的调整方法，其中因市场价格波动引起的调整按第</w:t>
      </w:r>
      <w:r>
        <w:rPr>
          <w:rFonts w:asciiTheme="minorEastAsia" w:hAnsiTheme="minorEastAsia" w:eastAsiaTheme="minorEastAsia"/>
          <w:color w:val="auto"/>
          <w:kern w:val="0"/>
          <w:szCs w:val="21"/>
          <w:highlight w:val="none"/>
        </w:rPr>
        <w:t>11.1</w:t>
      </w:r>
      <w:r>
        <w:rPr>
          <w:rFonts w:hint="eastAsia" w:asciiTheme="minorEastAsia" w:hAnsiTheme="minorEastAsia" w:eastAsiaTheme="minorEastAsia"/>
          <w:color w:val="auto"/>
          <w:kern w:val="0"/>
          <w:szCs w:val="21"/>
          <w:highlight w:val="none"/>
        </w:rPr>
        <w:t>款〔市场价格波动引起的调整〕、因法律变化引起的调整按第</w:t>
      </w:r>
      <w:r>
        <w:rPr>
          <w:rFonts w:asciiTheme="minorEastAsia" w:hAnsiTheme="minorEastAsia" w:eastAsiaTheme="minorEastAsia"/>
          <w:color w:val="auto"/>
          <w:kern w:val="0"/>
          <w:szCs w:val="21"/>
          <w:highlight w:val="none"/>
        </w:rPr>
        <w:t>11.2</w:t>
      </w:r>
      <w:r>
        <w:rPr>
          <w:rFonts w:hint="eastAsia" w:asciiTheme="minorEastAsia" w:hAnsiTheme="minorEastAsia" w:eastAsiaTheme="minorEastAsia"/>
          <w:color w:val="auto"/>
          <w:kern w:val="0"/>
          <w:szCs w:val="21"/>
          <w:highlight w:val="none"/>
        </w:rPr>
        <w:t>款〔法律变化引起的调整〕约定执行。</w:t>
      </w:r>
    </w:p>
    <w:p w14:paraId="07FD25D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其它价格形式</w:t>
      </w:r>
    </w:p>
    <w:p w14:paraId="1AAA582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合同当事人可在专用合同条款中约定其他合同价格形式。</w:t>
      </w:r>
    </w:p>
    <w:p w14:paraId="7F36EFA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12.2</w:t>
      </w:r>
      <w:r>
        <w:rPr>
          <w:rFonts w:hint="eastAsia" w:asciiTheme="minorEastAsia" w:hAnsiTheme="minorEastAsia" w:eastAsiaTheme="minorEastAsia"/>
          <w:b w:val="0"/>
          <w:color w:val="auto"/>
          <w:sz w:val="21"/>
          <w:szCs w:val="21"/>
          <w:highlight w:val="none"/>
        </w:rPr>
        <w:t>预付款</w:t>
      </w:r>
    </w:p>
    <w:p w14:paraId="6FED8D4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12.2.</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预付款的支付</w:t>
      </w:r>
    </w:p>
    <w:p w14:paraId="032B4EB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预付款的支付按照专用合同条款约定执行，但至迟应在开工通知载明的开工日期</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天前支付。预付款应当用于材料、工程设备、施工设备的采购及修建临时工程、组织施工队伍进场等。</w:t>
      </w:r>
    </w:p>
    <w:p w14:paraId="0C05654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除专用合同条款另有约定外，预付款在进度付款中同比例扣回。</w:t>
      </w:r>
      <w:bookmarkEnd w:id="271"/>
      <w:r>
        <w:rPr>
          <w:rFonts w:hint="eastAsia" w:asciiTheme="minorEastAsia" w:hAnsiTheme="minorEastAsia" w:eastAsiaTheme="minorEastAsia"/>
          <w:color w:val="auto"/>
          <w:kern w:val="0"/>
          <w:szCs w:val="21"/>
          <w:highlight w:val="none"/>
        </w:rPr>
        <w:t>在颁发工程接收证书前，提前解除合同的，尚未扣完的预付款应与合同价款一并结算。</w:t>
      </w:r>
    </w:p>
    <w:p w14:paraId="118EB94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发包人逾期支付预付款超过</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天的，承包人有权向发包人发出要求预付的催告通知，发包人收到通知后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天内仍未支付的，承包人有权暂停施工，并按第</w:t>
      </w:r>
      <w:r>
        <w:rPr>
          <w:rFonts w:asciiTheme="minorEastAsia" w:hAnsiTheme="minorEastAsia" w:eastAsiaTheme="minorEastAsia"/>
          <w:color w:val="auto"/>
          <w:kern w:val="0"/>
          <w:szCs w:val="21"/>
          <w:highlight w:val="none"/>
        </w:rPr>
        <w:t>16.1.1</w:t>
      </w:r>
      <w:r>
        <w:rPr>
          <w:rFonts w:hint="eastAsia" w:asciiTheme="minorEastAsia" w:hAnsiTheme="minorEastAsia" w:eastAsiaTheme="minorEastAsia"/>
          <w:color w:val="auto"/>
          <w:kern w:val="0"/>
          <w:szCs w:val="21"/>
          <w:highlight w:val="none"/>
        </w:rPr>
        <w:t>项〔发包人违约的情形〕执行。</w:t>
      </w:r>
    </w:p>
    <w:p w14:paraId="4E37761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12.2.2 </w:t>
      </w:r>
      <w:r>
        <w:rPr>
          <w:rFonts w:hint="eastAsia" w:asciiTheme="minorEastAsia" w:hAnsiTheme="minorEastAsia" w:eastAsiaTheme="minorEastAsia"/>
          <w:color w:val="auto"/>
          <w:szCs w:val="21"/>
          <w:highlight w:val="none"/>
        </w:rPr>
        <w:t>预付款担保</w:t>
      </w:r>
    </w:p>
    <w:p w14:paraId="0DCEDF0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发包人要求承包人提供预付款担保的，承包人应在发包人支付预付款</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天前提供预付款担保，专用合同条款另有约定除外。预付款担保可采用银行保函、担保公司担保等形式，具体由合同当事人在专用合同条款中约定。在预付款完全扣回之前，承包人应保证预付款担保持续有效。</w:t>
      </w:r>
    </w:p>
    <w:p w14:paraId="27B1BDA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发包人在工程款中逐期扣回预付款后，预付款担保额度应相应减少，但剩余的预付款担保金额不得低于未被扣回的预付款金额。</w:t>
      </w:r>
    </w:p>
    <w:p w14:paraId="4DC5234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12.3</w:t>
      </w:r>
      <w:r>
        <w:rPr>
          <w:rFonts w:hint="eastAsia" w:asciiTheme="minorEastAsia" w:hAnsiTheme="minorEastAsia" w:eastAsiaTheme="minorEastAsia"/>
          <w:b w:val="0"/>
          <w:color w:val="auto"/>
          <w:sz w:val="21"/>
          <w:szCs w:val="21"/>
          <w:highlight w:val="none"/>
        </w:rPr>
        <w:t>计量</w:t>
      </w:r>
    </w:p>
    <w:p w14:paraId="4D21C99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12.3.1 </w:t>
      </w:r>
      <w:r>
        <w:rPr>
          <w:rFonts w:hint="eastAsia" w:asciiTheme="minorEastAsia" w:hAnsiTheme="minorEastAsia" w:eastAsiaTheme="minorEastAsia"/>
          <w:color w:val="auto"/>
          <w:kern w:val="0"/>
          <w:szCs w:val="21"/>
          <w:highlight w:val="none"/>
        </w:rPr>
        <w:t>计量原则</w:t>
      </w:r>
    </w:p>
    <w:p w14:paraId="3FB057D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工程量计量按照合同约定的工程量计算规则、图纸及变更指示等进行计量。工程量计算规则应以相关的国家标准、行业标准等为依据，由合同当事人在专用合同条款中约定。</w:t>
      </w:r>
    </w:p>
    <w:p w14:paraId="7171A37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12.3.2 </w:t>
      </w:r>
      <w:r>
        <w:rPr>
          <w:rFonts w:hint="eastAsia" w:asciiTheme="minorEastAsia" w:hAnsiTheme="minorEastAsia" w:eastAsiaTheme="minorEastAsia"/>
          <w:color w:val="auto"/>
          <w:kern w:val="0"/>
          <w:szCs w:val="21"/>
          <w:highlight w:val="none"/>
        </w:rPr>
        <w:t>计量周期</w:t>
      </w:r>
    </w:p>
    <w:p w14:paraId="322B299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除专用合同条款另有约定外，工程量的计量按月进行。</w:t>
      </w:r>
    </w:p>
    <w:p w14:paraId="4AEDD0F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12.3.3 </w:t>
      </w:r>
      <w:r>
        <w:rPr>
          <w:rFonts w:hint="eastAsia" w:asciiTheme="minorEastAsia" w:hAnsiTheme="minorEastAsia" w:eastAsiaTheme="minorEastAsia"/>
          <w:color w:val="auto"/>
          <w:kern w:val="0"/>
          <w:szCs w:val="21"/>
          <w:highlight w:val="none"/>
        </w:rPr>
        <w:t>单价合同的计量</w:t>
      </w:r>
    </w:p>
    <w:p w14:paraId="0883D36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除专用合同条款另有约定外，单价合同的计量按照本项约定执行：</w:t>
      </w:r>
    </w:p>
    <w:p w14:paraId="49EB945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）承包人应于每月</w:t>
      </w:r>
      <w:r>
        <w:rPr>
          <w:rFonts w:asciiTheme="minorEastAsia" w:hAnsiTheme="minorEastAsia" w:eastAsiaTheme="minorEastAsia"/>
          <w:color w:val="auto"/>
          <w:kern w:val="0"/>
          <w:szCs w:val="21"/>
          <w:highlight w:val="none"/>
        </w:rPr>
        <w:t>25</w:t>
      </w:r>
      <w:r>
        <w:rPr>
          <w:rFonts w:hint="eastAsia" w:asciiTheme="minorEastAsia" w:hAnsiTheme="minorEastAsia" w:eastAsiaTheme="minorEastAsia"/>
          <w:color w:val="auto"/>
          <w:kern w:val="0"/>
          <w:szCs w:val="21"/>
          <w:highlight w:val="none"/>
        </w:rPr>
        <w:t>日向监理人报送上月</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日至当月</w:t>
      </w:r>
      <w:r>
        <w:rPr>
          <w:rFonts w:asciiTheme="minorEastAsia" w:hAnsiTheme="minorEastAsia" w:eastAsiaTheme="minorEastAsia"/>
          <w:color w:val="auto"/>
          <w:kern w:val="0"/>
          <w:szCs w:val="21"/>
          <w:highlight w:val="none"/>
        </w:rPr>
        <w:t>19</w:t>
      </w:r>
      <w:r>
        <w:rPr>
          <w:rFonts w:hint="eastAsia" w:asciiTheme="minorEastAsia" w:hAnsiTheme="minorEastAsia" w:eastAsiaTheme="minorEastAsia"/>
          <w:color w:val="auto"/>
          <w:kern w:val="0"/>
          <w:szCs w:val="21"/>
          <w:highlight w:val="none"/>
        </w:rPr>
        <w:t>日已完成的工程量报告，并附具进度付款申请单、已完成工程量报表和有关资料。</w:t>
      </w:r>
    </w:p>
    <w:p w14:paraId="1F290DE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）监理人应在收到承包人提交的工程量报告后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7078B7D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）监理人未在收到承包人提交的工程量报表后的</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天内完成审核的，承包人报送的工程量报告中的工程量视为承包人实际完成的工程量，据此计算工程价款。</w:t>
      </w:r>
    </w:p>
    <w:p w14:paraId="7F3E812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12.3.4 </w:t>
      </w:r>
      <w:r>
        <w:rPr>
          <w:rFonts w:hint="eastAsia" w:asciiTheme="minorEastAsia" w:hAnsiTheme="minorEastAsia" w:eastAsiaTheme="minorEastAsia"/>
          <w:color w:val="auto"/>
          <w:kern w:val="0"/>
          <w:szCs w:val="21"/>
          <w:highlight w:val="none"/>
        </w:rPr>
        <w:t>总价合同的计量</w:t>
      </w:r>
    </w:p>
    <w:p w14:paraId="69782AD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除专用合同条款另有约定外，按月计量支付的总价合同，按照本项约定执行：</w:t>
      </w:r>
    </w:p>
    <w:p w14:paraId="1071EE0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）承包人应于每月</w:t>
      </w:r>
      <w:r>
        <w:rPr>
          <w:rFonts w:asciiTheme="minorEastAsia" w:hAnsiTheme="minorEastAsia" w:eastAsiaTheme="minorEastAsia"/>
          <w:color w:val="auto"/>
          <w:kern w:val="0"/>
          <w:szCs w:val="21"/>
          <w:highlight w:val="none"/>
        </w:rPr>
        <w:t>25</w:t>
      </w:r>
      <w:r>
        <w:rPr>
          <w:rFonts w:hint="eastAsia" w:asciiTheme="minorEastAsia" w:hAnsiTheme="minorEastAsia" w:eastAsiaTheme="minorEastAsia"/>
          <w:color w:val="auto"/>
          <w:kern w:val="0"/>
          <w:szCs w:val="21"/>
          <w:highlight w:val="none"/>
        </w:rPr>
        <w:t>日向监理人报送上月</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日至当月</w:t>
      </w:r>
      <w:r>
        <w:rPr>
          <w:rFonts w:asciiTheme="minorEastAsia" w:hAnsiTheme="minorEastAsia" w:eastAsiaTheme="minorEastAsia"/>
          <w:color w:val="auto"/>
          <w:kern w:val="0"/>
          <w:szCs w:val="21"/>
          <w:highlight w:val="none"/>
        </w:rPr>
        <w:t>19</w:t>
      </w:r>
      <w:r>
        <w:rPr>
          <w:rFonts w:hint="eastAsia" w:asciiTheme="minorEastAsia" w:hAnsiTheme="minorEastAsia" w:eastAsiaTheme="minorEastAsia"/>
          <w:color w:val="auto"/>
          <w:kern w:val="0"/>
          <w:szCs w:val="21"/>
          <w:highlight w:val="none"/>
        </w:rPr>
        <w:t>日已完成的工程量报告，并附具进度付款申请单、已完成工程量报表和有关资料。</w:t>
      </w:r>
    </w:p>
    <w:p w14:paraId="2A46818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）监理人应在收到承包人提交的工程量报告后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2A65384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）监理人未在收到承包人提交的工程量报表后的</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天内完成复核的，承包人提交的工程量报告中的工程量视为承包人实际完成的工程量。</w:t>
      </w:r>
    </w:p>
    <w:p w14:paraId="33A9B50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12.3.5 </w:t>
      </w:r>
      <w:r>
        <w:rPr>
          <w:rFonts w:hint="eastAsia" w:asciiTheme="minorEastAsia" w:hAnsiTheme="minorEastAsia" w:eastAsiaTheme="minorEastAsia"/>
          <w:color w:val="auto"/>
          <w:kern w:val="0"/>
          <w:szCs w:val="21"/>
          <w:highlight w:val="none"/>
        </w:rPr>
        <w:t>总价合同采用支付分解表计量支付的，可以按照第</w:t>
      </w:r>
      <w:r>
        <w:rPr>
          <w:rFonts w:asciiTheme="minorEastAsia" w:hAnsiTheme="minorEastAsia" w:eastAsiaTheme="minorEastAsia"/>
          <w:color w:val="auto"/>
          <w:kern w:val="0"/>
          <w:szCs w:val="21"/>
          <w:highlight w:val="none"/>
        </w:rPr>
        <w:t>12.3.4</w:t>
      </w:r>
      <w:r>
        <w:rPr>
          <w:rFonts w:hint="eastAsia" w:asciiTheme="minorEastAsia" w:hAnsiTheme="minorEastAsia" w:eastAsiaTheme="minorEastAsia"/>
          <w:color w:val="auto"/>
          <w:kern w:val="0"/>
          <w:szCs w:val="21"/>
          <w:highlight w:val="none"/>
        </w:rPr>
        <w:t>项〔总价合同的计量〕约定进行计量，但合同价款按照支付分解表进行支付。</w:t>
      </w:r>
    </w:p>
    <w:p w14:paraId="58FB514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12.3.6 </w:t>
      </w:r>
      <w:r>
        <w:rPr>
          <w:rFonts w:hint="eastAsia" w:asciiTheme="minorEastAsia" w:hAnsiTheme="minorEastAsia" w:eastAsiaTheme="minorEastAsia"/>
          <w:color w:val="auto"/>
          <w:kern w:val="0"/>
          <w:szCs w:val="21"/>
          <w:highlight w:val="none"/>
        </w:rPr>
        <w:t>其他价格形式合同的计量</w:t>
      </w:r>
    </w:p>
    <w:p w14:paraId="0A270DC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合同当事人可在专用合同条款中约定其他价格形式合同的计量方式和程序。</w:t>
      </w:r>
    </w:p>
    <w:p w14:paraId="3255823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12.4</w:t>
      </w:r>
      <w:r>
        <w:rPr>
          <w:rFonts w:hint="eastAsia" w:asciiTheme="minorEastAsia" w:hAnsiTheme="minorEastAsia" w:eastAsiaTheme="minorEastAsia"/>
          <w:b w:val="0"/>
          <w:color w:val="auto"/>
          <w:sz w:val="21"/>
          <w:szCs w:val="21"/>
          <w:highlight w:val="none"/>
        </w:rPr>
        <w:t>工程进度款支付</w:t>
      </w:r>
    </w:p>
    <w:p w14:paraId="52FB698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12.4.1 </w:t>
      </w:r>
      <w:r>
        <w:rPr>
          <w:rFonts w:hint="eastAsia" w:asciiTheme="minorEastAsia" w:hAnsiTheme="minorEastAsia" w:eastAsiaTheme="minorEastAsia"/>
          <w:color w:val="auto"/>
          <w:szCs w:val="21"/>
          <w:highlight w:val="none"/>
        </w:rPr>
        <w:t>付款周期</w:t>
      </w:r>
    </w:p>
    <w:p w14:paraId="7825238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除专用合同条款另有约定外，付款周期应按照第</w:t>
      </w:r>
      <w:r>
        <w:rPr>
          <w:rFonts w:asciiTheme="minorEastAsia" w:hAnsiTheme="minorEastAsia" w:eastAsiaTheme="minorEastAsia"/>
          <w:color w:val="auto"/>
          <w:kern w:val="0"/>
          <w:szCs w:val="21"/>
          <w:highlight w:val="none"/>
        </w:rPr>
        <w:t>12.3.2</w:t>
      </w:r>
      <w:r>
        <w:rPr>
          <w:rFonts w:hint="eastAsia" w:asciiTheme="minorEastAsia" w:hAnsiTheme="minorEastAsia" w:eastAsiaTheme="minorEastAsia"/>
          <w:color w:val="auto"/>
          <w:kern w:val="0"/>
          <w:szCs w:val="21"/>
          <w:highlight w:val="none"/>
        </w:rPr>
        <w:t>项〔计量周期〕的约定与计量周期保持一致。</w:t>
      </w:r>
    </w:p>
    <w:p w14:paraId="0FFDCA7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12.4</w:t>
      </w:r>
      <w:r>
        <w:rPr>
          <w:rFonts w:asciiTheme="minorEastAsia" w:hAnsiTheme="minorEastAsia" w:eastAsiaTheme="minorEastAsia"/>
          <w:color w:val="auto"/>
          <w:kern w:val="0"/>
          <w:szCs w:val="21"/>
          <w:highlight w:val="none"/>
        </w:rPr>
        <w:t xml:space="preserve">.2 </w:t>
      </w:r>
      <w:r>
        <w:rPr>
          <w:rFonts w:hint="eastAsia" w:asciiTheme="minorEastAsia" w:hAnsiTheme="minorEastAsia" w:eastAsiaTheme="minorEastAsia"/>
          <w:color w:val="auto"/>
          <w:kern w:val="0"/>
          <w:szCs w:val="21"/>
          <w:highlight w:val="none"/>
        </w:rPr>
        <w:t>进度付款申请单的编制</w:t>
      </w:r>
    </w:p>
    <w:p w14:paraId="15792A9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除专用合同条款另有约定外，进度付款申请单应包括下列内容：</w:t>
      </w:r>
    </w:p>
    <w:p w14:paraId="5410E8F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）截至本次付款周期已完成工作对应的金额；</w:t>
      </w:r>
    </w:p>
    <w:p w14:paraId="7EBFF98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）根据第</w:t>
      </w:r>
      <w:r>
        <w:rPr>
          <w:rFonts w:asciiTheme="minorEastAsia" w:hAnsiTheme="minorEastAsia" w:eastAsiaTheme="minorEastAsia"/>
          <w:color w:val="auto"/>
          <w:kern w:val="0"/>
          <w:szCs w:val="21"/>
          <w:highlight w:val="none"/>
        </w:rPr>
        <w:t>10</w:t>
      </w:r>
      <w:r>
        <w:rPr>
          <w:rFonts w:hint="eastAsia" w:asciiTheme="minorEastAsia" w:hAnsiTheme="minorEastAsia" w:eastAsiaTheme="minorEastAsia"/>
          <w:color w:val="auto"/>
          <w:kern w:val="0"/>
          <w:szCs w:val="21"/>
          <w:highlight w:val="none"/>
        </w:rPr>
        <w:t>条〔变更〕应增加和扣减的变更金额；</w:t>
      </w:r>
    </w:p>
    <w:p w14:paraId="58D514F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）根据第</w:t>
      </w:r>
      <w:r>
        <w:rPr>
          <w:rFonts w:asciiTheme="minorEastAsia" w:hAnsiTheme="minorEastAsia" w:eastAsiaTheme="minorEastAsia"/>
          <w:color w:val="auto"/>
          <w:kern w:val="0"/>
          <w:szCs w:val="21"/>
          <w:highlight w:val="none"/>
        </w:rPr>
        <w:t>12.2</w:t>
      </w:r>
      <w:r>
        <w:rPr>
          <w:rFonts w:hint="eastAsia" w:asciiTheme="minorEastAsia" w:hAnsiTheme="minorEastAsia" w:eastAsiaTheme="minorEastAsia"/>
          <w:color w:val="auto"/>
          <w:kern w:val="0"/>
          <w:szCs w:val="21"/>
          <w:highlight w:val="none"/>
        </w:rPr>
        <w:t>款〔预付款〕约定应支付的预付款和扣减的返还预付款；</w:t>
      </w:r>
    </w:p>
    <w:p w14:paraId="0FF8FA7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）根据第</w:t>
      </w:r>
      <w:r>
        <w:rPr>
          <w:rFonts w:asciiTheme="minorEastAsia" w:hAnsiTheme="minorEastAsia" w:eastAsiaTheme="minorEastAsia"/>
          <w:color w:val="auto"/>
          <w:kern w:val="0"/>
          <w:szCs w:val="21"/>
          <w:highlight w:val="none"/>
        </w:rPr>
        <w:t>15.3</w:t>
      </w:r>
      <w:r>
        <w:rPr>
          <w:rFonts w:hint="eastAsia" w:asciiTheme="minorEastAsia" w:hAnsiTheme="minorEastAsia" w:eastAsiaTheme="minorEastAsia"/>
          <w:color w:val="auto"/>
          <w:kern w:val="0"/>
          <w:szCs w:val="21"/>
          <w:highlight w:val="none"/>
        </w:rPr>
        <w:t>款〔质量保证金〕约定应扣减的质量保证金；</w:t>
      </w:r>
    </w:p>
    <w:p w14:paraId="6D78AE3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）根据第</w:t>
      </w:r>
      <w:r>
        <w:rPr>
          <w:rFonts w:asciiTheme="minorEastAsia" w:hAnsiTheme="minorEastAsia" w:eastAsiaTheme="minorEastAsia"/>
          <w:color w:val="auto"/>
          <w:kern w:val="0"/>
          <w:szCs w:val="21"/>
          <w:highlight w:val="none"/>
        </w:rPr>
        <w:t>19</w:t>
      </w:r>
      <w:r>
        <w:rPr>
          <w:rFonts w:hint="eastAsia" w:asciiTheme="minorEastAsia" w:hAnsiTheme="minorEastAsia" w:eastAsiaTheme="minorEastAsia"/>
          <w:color w:val="auto"/>
          <w:kern w:val="0"/>
          <w:szCs w:val="21"/>
          <w:highlight w:val="none"/>
        </w:rPr>
        <w:t>条〔索赔〕应增加和扣减的索赔金额；</w:t>
      </w:r>
    </w:p>
    <w:p w14:paraId="2309DFE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）对已签发的进度款支付证书中出现错误的修正，应在本次进度付款中支付或扣除的金额；</w:t>
      </w:r>
    </w:p>
    <w:p w14:paraId="28D4677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）根据合同约定应增加和扣减的其他金额。</w:t>
      </w:r>
    </w:p>
    <w:p w14:paraId="17104B1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12.4.3 </w:t>
      </w:r>
      <w:r>
        <w:rPr>
          <w:rFonts w:hint="eastAsia" w:asciiTheme="minorEastAsia" w:hAnsiTheme="minorEastAsia" w:eastAsiaTheme="minorEastAsia"/>
          <w:color w:val="auto"/>
          <w:szCs w:val="21"/>
          <w:highlight w:val="none"/>
        </w:rPr>
        <w:t>进度付款申请单的提交</w:t>
      </w:r>
    </w:p>
    <w:p w14:paraId="15BF5E8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）单价合同进度付款申请单的提交</w:t>
      </w:r>
    </w:p>
    <w:p w14:paraId="3B46874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单价合同的进度付款申请单，按照第</w:t>
      </w:r>
      <w:r>
        <w:rPr>
          <w:rFonts w:asciiTheme="minorEastAsia" w:hAnsiTheme="minorEastAsia" w:eastAsiaTheme="minorEastAsia"/>
          <w:color w:val="auto"/>
          <w:kern w:val="0"/>
          <w:szCs w:val="21"/>
          <w:highlight w:val="none"/>
        </w:rPr>
        <w:t>12.3.3</w:t>
      </w:r>
      <w:r>
        <w:rPr>
          <w:rFonts w:hint="eastAsia" w:asciiTheme="minorEastAsia" w:hAnsiTheme="minorEastAsia" w:eastAsiaTheme="minorEastAsia"/>
          <w:color w:val="auto"/>
          <w:kern w:val="0"/>
          <w:szCs w:val="21"/>
          <w:highlight w:val="none"/>
        </w:rPr>
        <w:t>项〔单价合同的计量〕约定的时间按月向监理人提交，并附上已完成工程量报表和有关资料。单价合同中的总价项目按月进行支付分解，并汇总列入当期进度付款申请单。</w:t>
      </w:r>
    </w:p>
    <w:p w14:paraId="7CB81EF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）总价合同进度付款申请单的提交</w:t>
      </w:r>
    </w:p>
    <w:p w14:paraId="3916FC1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总价合同按月计量支付的，承包人按照第</w:t>
      </w:r>
      <w:r>
        <w:rPr>
          <w:rFonts w:asciiTheme="minorEastAsia" w:hAnsiTheme="minorEastAsia" w:eastAsiaTheme="minorEastAsia"/>
          <w:color w:val="auto"/>
          <w:kern w:val="0"/>
          <w:szCs w:val="21"/>
          <w:highlight w:val="none"/>
        </w:rPr>
        <w:t>12.3.4</w:t>
      </w:r>
      <w:r>
        <w:rPr>
          <w:rFonts w:hint="eastAsia" w:asciiTheme="minorEastAsia" w:hAnsiTheme="minorEastAsia" w:eastAsiaTheme="minorEastAsia"/>
          <w:color w:val="auto"/>
          <w:kern w:val="0"/>
          <w:szCs w:val="21"/>
          <w:highlight w:val="none"/>
        </w:rPr>
        <w:t>项〔总价合同的计量〕约定的时间按月向监理人提交进度付款申请单，并附上已完成工程量报表和有关资料。</w:t>
      </w:r>
    </w:p>
    <w:p w14:paraId="58C1269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总价合同按支付分解表支付的，承包人应按照第</w:t>
      </w:r>
      <w:r>
        <w:rPr>
          <w:rFonts w:asciiTheme="minorEastAsia" w:hAnsiTheme="minorEastAsia" w:eastAsiaTheme="minorEastAsia"/>
          <w:color w:val="auto"/>
          <w:kern w:val="0"/>
          <w:szCs w:val="21"/>
          <w:highlight w:val="none"/>
        </w:rPr>
        <w:t>12.4.6</w:t>
      </w:r>
      <w:r>
        <w:rPr>
          <w:rFonts w:hint="eastAsia" w:asciiTheme="minorEastAsia" w:hAnsiTheme="minorEastAsia" w:eastAsiaTheme="minorEastAsia"/>
          <w:color w:val="auto"/>
          <w:kern w:val="0"/>
          <w:szCs w:val="21"/>
          <w:highlight w:val="none"/>
        </w:rPr>
        <w:t>项〔支付分解表〕及第</w:t>
      </w:r>
      <w:r>
        <w:rPr>
          <w:rFonts w:asciiTheme="minorEastAsia" w:hAnsiTheme="minorEastAsia" w:eastAsiaTheme="minorEastAsia"/>
          <w:color w:val="auto"/>
          <w:kern w:val="0"/>
          <w:szCs w:val="21"/>
          <w:highlight w:val="none"/>
        </w:rPr>
        <w:t>12.4.2</w:t>
      </w:r>
      <w:r>
        <w:rPr>
          <w:rFonts w:hint="eastAsia" w:asciiTheme="minorEastAsia" w:hAnsiTheme="minorEastAsia" w:eastAsiaTheme="minorEastAsia"/>
          <w:color w:val="auto"/>
          <w:kern w:val="0"/>
          <w:szCs w:val="21"/>
          <w:highlight w:val="none"/>
        </w:rPr>
        <w:t>项〔进度付款申请单的编制〕的约定向监理人提交进度付款申请单。</w:t>
      </w:r>
    </w:p>
    <w:p w14:paraId="56D720D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）其他价格形式合同的进度付款申请单的提交</w:t>
      </w:r>
    </w:p>
    <w:p w14:paraId="78130A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合同当事人可在专用合同条款中约定其他价格形式合同的进度付款申请单的编制和提交程序。</w:t>
      </w:r>
    </w:p>
    <w:p w14:paraId="34B8D79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szCs w:val="21"/>
          <w:highlight w:val="none"/>
        </w:rPr>
        <w:t>12.4</w:t>
      </w:r>
      <w:r>
        <w:rPr>
          <w:rFonts w:asciiTheme="minorEastAsia" w:hAnsiTheme="minorEastAsia" w:eastAsiaTheme="minorEastAsia"/>
          <w:color w:val="auto"/>
          <w:kern w:val="0"/>
          <w:szCs w:val="21"/>
          <w:highlight w:val="none"/>
        </w:rPr>
        <w:t xml:space="preserve">.4 </w:t>
      </w:r>
      <w:r>
        <w:rPr>
          <w:rFonts w:hint="eastAsia" w:asciiTheme="minorEastAsia" w:hAnsiTheme="minorEastAsia" w:eastAsiaTheme="minorEastAsia"/>
          <w:color w:val="auto"/>
          <w:kern w:val="0"/>
          <w:szCs w:val="21"/>
          <w:highlight w:val="none"/>
        </w:rPr>
        <w:t>进度款审核和支付</w:t>
      </w:r>
    </w:p>
    <w:p w14:paraId="08CCD6D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）除专用合同条款另有约定外，监理人应在收到承包人进度付款申请单以及相关资料后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天内完成审查并报送发包人，发包人应在收到后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天内完成审批并签发进度款支付证书。发包人逾期未完成审批且未提出异议的，视为已签发进度款支付证书。</w:t>
      </w:r>
    </w:p>
    <w:p w14:paraId="578DF44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发包人和监理人对承包人的进度付款申请单有异议的，有权要求承包人修正和提供补充资料，承包人应提交修正后的进度付款申请单。监理人应在收到承包人修正后的进度付款申请单及相关资料后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天内完成审查并报送发包人，发包人应在收到监理人报送的进度付款申请单及相关资料后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天内，向承包人签发无异议部分的临时进度款支付证书。存在争议的部分，按照第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条〔争议解决〕的约定处理。</w:t>
      </w:r>
    </w:p>
    <w:p w14:paraId="6602101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）除专用合同条款另有约定外，发包人应在进度款支付证书或临时进度款支付证书签发后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天内完成支付，发包人逾期支付进度款的，应按照中国人民银行发布的同期同类贷款基准利率支付违约金。</w:t>
      </w:r>
    </w:p>
    <w:p w14:paraId="7FBEFC7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）发包人签发进度款支付证书或临时进度款支付证书，不表明发包人已同意、批准或接受了承包人完成的相应部分的工作。</w:t>
      </w:r>
    </w:p>
    <w:p w14:paraId="38351F0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12.4.5 </w:t>
      </w:r>
      <w:r>
        <w:rPr>
          <w:rFonts w:hint="eastAsia" w:asciiTheme="minorEastAsia" w:hAnsiTheme="minorEastAsia" w:eastAsiaTheme="minorEastAsia"/>
          <w:color w:val="auto"/>
          <w:kern w:val="0"/>
          <w:szCs w:val="21"/>
          <w:highlight w:val="none"/>
        </w:rPr>
        <w:t>进度付款的修正</w:t>
      </w:r>
    </w:p>
    <w:p w14:paraId="74DC7F0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14:paraId="04FD57E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12.4.6 </w:t>
      </w:r>
      <w:r>
        <w:rPr>
          <w:rFonts w:hint="eastAsia" w:asciiTheme="minorEastAsia" w:hAnsiTheme="minorEastAsia" w:eastAsiaTheme="minorEastAsia"/>
          <w:color w:val="auto"/>
          <w:kern w:val="0"/>
          <w:szCs w:val="21"/>
          <w:highlight w:val="none"/>
        </w:rPr>
        <w:t>支付分解表</w:t>
      </w:r>
    </w:p>
    <w:p w14:paraId="6C93E7C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支付分解表的编制要求</w:t>
      </w:r>
    </w:p>
    <w:p w14:paraId="792A55B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）支付分解表中所列的每期付款金额，应为第</w:t>
      </w:r>
      <w:r>
        <w:rPr>
          <w:rFonts w:asciiTheme="minorEastAsia" w:hAnsiTheme="minorEastAsia" w:eastAsiaTheme="minorEastAsia"/>
          <w:color w:val="auto"/>
          <w:kern w:val="0"/>
          <w:szCs w:val="21"/>
          <w:highlight w:val="none"/>
        </w:rPr>
        <w:t>12.4.2</w:t>
      </w:r>
      <w:r>
        <w:rPr>
          <w:rFonts w:hint="eastAsia" w:asciiTheme="minorEastAsia" w:hAnsiTheme="minorEastAsia" w:eastAsiaTheme="minorEastAsia"/>
          <w:color w:val="auto"/>
          <w:kern w:val="0"/>
          <w:szCs w:val="21"/>
          <w:highlight w:val="none"/>
        </w:rPr>
        <w:t>项〔进度付款申请单的编制〕第（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）目的估算金额；</w:t>
      </w:r>
    </w:p>
    <w:p w14:paraId="717D60B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）实际进度与施工进度计划不一致的，合同当事人可按照第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款〔商定或确定〕修改支付分解表；</w:t>
      </w:r>
    </w:p>
    <w:p w14:paraId="7587C7E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）不采用支付分解表的，承包人应向发包人和监理人提交按季度编制的支付估算分解表，用于支付参考。</w:t>
      </w:r>
    </w:p>
    <w:p w14:paraId="0570C2D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总价合同支付分解表的编制与审批</w:t>
      </w:r>
    </w:p>
    <w:p w14:paraId="2F38E0B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）除专用合同条款另有约定外，承包人应根据第</w:t>
      </w:r>
      <w:r>
        <w:rPr>
          <w:rFonts w:asciiTheme="minorEastAsia" w:hAnsiTheme="minorEastAsia" w:eastAsiaTheme="minorEastAsia"/>
          <w:color w:val="auto"/>
          <w:kern w:val="0"/>
          <w:szCs w:val="21"/>
          <w:highlight w:val="none"/>
        </w:rPr>
        <w:t>7.2</w:t>
      </w:r>
      <w:r>
        <w:rPr>
          <w:rFonts w:hint="eastAsia" w:asciiTheme="minorEastAsia" w:hAnsiTheme="minorEastAsia" w:eastAsiaTheme="minorEastAsia"/>
          <w:color w:val="auto"/>
          <w:kern w:val="0"/>
          <w:szCs w:val="21"/>
          <w:highlight w:val="none"/>
        </w:rPr>
        <w:t>款〔施工进度计划〕约定的施工进度计划、签约合同价和工程量等因素对总价合同按月进行分解，编制支付分解表。承包人应当在收到监理人和发包人批准的施工进度计划后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天内，将支付分解表及编制支付分解表的支持性资料报送监理人。</w:t>
      </w:r>
    </w:p>
    <w:p w14:paraId="695750A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）监理人应在收到支付分解表后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天内完成审核并报送发包人。发包人应在收到经监理人审核的支付分解表后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天内完成审批，经发包人批准的支付分解表为有约束力的支付分解表。</w:t>
      </w:r>
    </w:p>
    <w:p w14:paraId="46C5A6F8">
      <w:pPr>
        <w:keepNext w:val="0"/>
        <w:keepLines w:val="0"/>
        <w:pageBreakBefore w:val="0"/>
        <w:widowControl w:val="0"/>
        <w:kinsoku/>
        <w:wordWrap/>
        <w:overflowPunct/>
        <w:topLinePunct w:val="0"/>
        <w:bidi w:val="0"/>
        <w:spacing w:line="440" w:lineRule="exact"/>
        <w:ind w:left="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    </w:t>
      </w: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）发包人逾期未完成支付分解表审批的，也未及时要求承包人进行修正和提供补充资料的，则承包人提交的支付分解表视为已经获得发包人批准。</w:t>
      </w:r>
    </w:p>
    <w:p w14:paraId="581C142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单价合同的总价项目支付分解表的编制与审批</w:t>
      </w:r>
    </w:p>
    <w:p w14:paraId="245DEA9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3ACA1BD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12.5</w:t>
      </w:r>
      <w:r>
        <w:rPr>
          <w:rFonts w:hint="eastAsia" w:asciiTheme="minorEastAsia" w:hAnsiTheme="minorEastAsia" w:eastAsiaTheme="minorEastAsia"/>
          <w:b w:val="0"/>
          <w:color w:val="auto"/>
          <w:sz w:val="21"/>
          <w:szCs w:val="21"/>
          <w:highlight w:val="none"/>
        </w:rPr>
        <w:t>支付账户</w:t>
      </w:r>
    </w:p>
    <w:p w14:paraId="4B8F7C0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发包人应将合同价款支付至合同协议书中约定的承包人账户。</w:t>
      </w:r>
    </w:p>
    <w:p w14:paraId="53CC2C72">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75" w:name="_Toc30095"/>
      <w:bookmarkStart w:id="276" w:name="_Toc17540"/>
      <w:bookmarkStart w:id="277" w:name="_Toc2362"/>
      <w:r>
        <w:rPr>
          <w:rFonts w:hint="eastAsia" w:asciiTheme="minorEastAsia" w:hAnsiTheme="minorEastAsia" w:eastAsiaTheme="minorEastAsia"/>
          <w:b/>
          <w:color w:val="auto"/>
          <w:szCs w:val="21"/>
          <w:highlight w:val="none"/>
        </w:rPr>
        <w:t>13. 验收和工程试车</w:t>
      </w:r>
      <w:bookmarkEnd w:id="275"/>
      <w:bookmarkEnd w:id="276"/>
      <w:bookmarkEnd w:id="277"/>
    </w:p>
    <w:p w14:paraId="69CB670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13.1</w:t>
      </w:r>
      <w:r>
        <w:rPr>
          <w:rFonts w:hint="eastAsia" w:asciiTheme="minorEastAsia" w:hAnsiTheme="minorEastAsia" w:eastAsiaTheme="minorEastAsia"/>
          <w:b w:val="0"/>
          <w:color w:val="auto"/>
          <w:sz w:val="21"/>
          <w:szCs w:val="21"/>
          <w:highlight w:val="none"/>
        </w:rPr>
        <w:t>分部分项工程验收</w:t>
      </w:r>
    </w:p>
    <w:p w14:paraId="429A358F">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13.1.1 </w:t>
      </w:r>
      <w:r>
        <w:rPr>
          <w:rFonts w:hint="eastAsia" w:asciiTheme="minorEastAsia" w:hAnsiTheme="minorEastAsia" w:eastAsiaTheme="minorEastAsia"/>
          <w:color w:val="auto"/>
          <w:szCs w:val="21"/>
          <w:highlight w:val="none"/>
        </w:rPr>
        <w:t>分部分项工程质量应符合国家有关工程施工验收规范、标准及合同约定，承包人应按照施工组织设计的要求完成分部分项工程施工。</w:t>
      </w:r>
    </w:p>
    <w:p w14:paraId="36A21DA9">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 xml:space="preserve">13.1.2 </w:t>
      </w:r>
      <w:r>
        <w:rPr>
          <w:rFonts w:hint="eastAsia" w:asciiTheme="minorEastAsia" w:hAnsiTheme="minorEastAsia" w:eastAsiaTheme="minorEastAsia"/>
          <w:color w:val="auto"/>
          <w:szCs w:val="21"/>
          <w:highlight w:val="none"/>
        </w:rPr>
        <w:t>除专用合同条款另有约定外，分部分项工程经承包人自检合格并具备验收条件的，承包人应提前</w:t>
      </w:r>
      <w:r>
        <w:rPr>
          <w:rFonts w:asciiTheme="minorEastAsia" w:hAnsiTheme="minorEastAsia" w:eastAsiaTheme="minorEastAsia"/>
          <w:color w:val="auto"/>
          <w:szCs w:val="21"/>
          <w:highlight w:val="none"/>
        </w:rPr>
        <w:t>48</w:t>
      </w:r>
      <w:r>
        <w:rPr>
          <w:rFonts w:hint="eastAsia" w:asciiTheme="minorEastAsia" w:hAnsiTheme="minorEastAsia" w:eastAsiaTheme="minorEastAsia"/>
          <w:color w:val="auto"/>
          <w:szCs w:val="21"/>
          <w:highlight w:val="none"/>
        </w:rPr>
        <w:t>小时通知监理人进行验收。</w:t>
      </w:r>
      <w:r>
        <w:rPr>
          <w:rFonts w:hint="eastAsia" w:asciiTheme="minorEastAsia" w:hAnsiTheme="minorEastAsia" w:eastAsiaTheme="minorEastAsia"/>
          <w:color w:val="auto"/>
          <w:kern w:val="0"/>
          <w:szCs w:val="21"/>
          <w:highlight w:val="none"/>
        </w:rPr>
        <w:t>监理人不能按时进行验收的，应在验收前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小时向承包人提交书面延期要求，但延期不能超过</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小时。监理人未按时进行验收，也未提出延期要求的，承包人有权自行验收，监理人应认可验收结果。分部分项工程未经验收的，不得进入下一道工序施工。</w:t>
      </w:r>
    </w:p>
    <w:p w14:paraId="2061223F">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分部分项工程的验收资料应当作为竣工资料的组成部分。</w:t>
      </w:r>
    </w:p>
    <w:p w14:paraId="2EE0500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13.2</w:t>
      </w:r>
      <w:r>
        <w:rPr>
          <w:rFonts w:hint="eastAsia" w:asciiTheme="minorEastAsia" w:hAnsiTheme="minorEastAsia" w:eastAsiaTheme="minorEastAsia"/>
          <w:b w:val="0"/>
          <w:color w:val="auto"/>
          <w:sz w:val="21"/>
          <w:szCs w:val="21"/>
          <w:highlight w:val="none"/>
        </w:rPr>
        <w:t>竣工验收</w:t>
      </w:r>
    </w:p>
    <w:p w14:paraId="0F54E3F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13.2.1</w:t>
      </w:r>
      <w:r>
        <w:rPr>
          <w:rFonts w:hint="eastAsia" w:asciiTheme="minorEastAsia" w:hAnsiTheme="minorEastAsia" w:eastAsiaTheme="minorEastAsia"/>
          <w:color w:val="auto"/>
          <w:kern w:val="0"/>
          <w:szCs w:val="21"/>
          <w:highlight w:val="none"/>
        </w:rPr>
        <w:t>竣工验收条件</w:t>
      </w:r>
    </w:p>
    <w:p w14:paraId="3C6D76B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工程具备以下条件的，承包人可以申请竣工验收：</w:t>
      </w:r>
    </w:p>
    <w:p w14:paraId="057590F6">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）除发包人同意的甩项工作和缺陷修补工作外，合同范围内的全部工程以及有关工作，包括合同要求的试验、试运行以及检验均已完成，并符合合同要求；</w:t>
      </w:r>
    </w:p>
    <w:p w14:paraId="790C9FD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）已按合同约定编制了甩项工作和缺陷修补工作清单以及相应的施工计划；</w:t>
      </w:r>
    </w:p>
    <w:p w14:paraId="44325BA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）已按合同约定的内容和份数备齐竣工资料。</w:t>
      </w:r>
    </w:p>
    <w:p w14:paraId="0E3B18A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13.2.2</w:t>
      </w:r>
      <w:r>
        <w:rPr>
          <w:rFonts w:hint="eastAsia" w:asciiTheme="minorEastAsia" w:hAnsiTheme="minorEastAsia" w:eastAsiaTheme="minorEastAsia"/>
          <w:color w:val="auto"/>
          <w:kern w:val="0"/>
          <w:szCs w:val="21"/>
          <w:highlight w:val="none"/>
        </w:rPr>
        <w:t>竣工验收程序</w:t>
      </w:r>
    </w:p>
    <w:p w14:paraId="32891DA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除专用合同条款另有约定外，承包人申请竣工验收的，应当按照以下程序进行：</w:t>
      </w:r>
    </w:p>
    <w:p w14:paraId="4313200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）承包人向监理人报送竣工验收申请报告，监理人应在收到竣工验收申请报告后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天内完成审查并报送发包人。监理人审查后认为尚不具备验收条件的，应通知承包人在竣工验收前承包人还需完成的工作内容，承包人应在完成监理人通知的全部工作内容后，再次提交竣工验收申请报告。</w:t>
      </w:r>
    </w:p>
    <w:p w14:paraId="6BA91D6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）监理人审查后认为已具备竣工验收条件的，应将竣工验收申请报告提交发包人，发包人应在收到经监理人审核的竣工验收申请报告后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天内审批完毕并组织监理人、承包人、设计人等相关单位完成竣工验收。</w:t>
      </w:r>
    </w:p>
    <w:p w14:paraId="252C935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）竣工验收合格的，发包人应在验收合格后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天内向承包人签发工程接收证书。发包人无正当理由逾期不颁发工程接收证书的，自验收合格后第</w:t>
      </w:r>
      <w:r>
        <w:rPr>
          <w:rFonts w:asciiTheme="minorEastAsia" w:hAnsiTheme="minorEastAsia" w:eastAsiaTheme="minorEastAsia"/>
          <w:color w:val="auto"/>
          <w:kern w:val="0"/>
          <w:szCs w:val="21"/>
          <w:highlight w:val="none"/>
        </w:rPr>
        <w:t>15</w:t>
      </w:r>
      <w:r>
        <w:rPr>
          <w:rFonts w:hint="eastAsia" w:asciiTheme="minorEastAsia" w:hAnsiTheme="minorEastAsia" w:eastAsiaTheme="minorEastAsia"/>
          <w:color w:val="auto"/>
          <w:kern w:val="0"/>
          <w:szCs w:val="21"/>
          <w:highlight w:val="none"/>
        </w:rPr>
        <w:t>天起视为已颁发工程接收证书。</w:t>
      </w:r>
    </w:p>
    <w:p w14:paraId="2AAC678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6E1F063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）工程未经验收或验收不合格，发包人擅自使用的，应在转移占有工程后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天内向承包人颁发工程接收证书；发包人无正当理由逾期不颁发工程接收证书的，自转移占有后第</w:t>
      </w:r>
      <w:r>
        <w:rPr>
          <w:rFonts w:asciiTheme="minorEastAsia" w:hAnsiTheme="minorEastAsia" w:eastAsiaTheme="minorEastAsia"/>
          <w:color w:val="auto"/>
          <w:kern w:val="0"/>
          <w:szCs w:val="21"/>
          <w:highlight w:val="none"/>
        </w:rPr>
        <w:t>15</w:t>
      </w:r>
      <w:r>
        <w:rPr>
          <w:rFonts w:hint="eastAsia" w:asciiTheme="minorEastAsia" w:hAnsiTheme="minorEastAsia" w:eastAsiaTheme="minorEastAsia"/>
          <w:color w:val="auto"/>
          <w:kern w:val="0"/>
          <w:szCs w:val="21"/>
          <w:highlight w:val="none"/>
        </w:rPr>
        <w:t>天起视为已颁发工程接收证书。</w:t>
      </w:r>
    </w:p>
    <w:p w14:paraId="5554C22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除专用合同条款另有约定外，发包人不按照本项约定组织竣工验收、颁发工程接收证书的，每逾期一天，应以签约合同价为基数，按照中国人民银行发布的同期同类贷款基准利率支付违约金。</w:t>
      </w:r>
    </w:p>
    <w:p w14:paraId="5AE7312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13.2.3</w:t>
      </w:r>
      <w:r>
        <w:rPr>
          <w:rFonts w:hint="eastAsia" w:asciiTheme="minorEastAsia" w:hAnsiTheme="minorEastAsia" w:eastAsiaTheme="minorEastAsia"/>
          <w:color w:val="auto"/>
          <w:kern w:val="0"/>
          <w:szCs w:val="21"/>
          <w:highlight w:val="none"/>
        </w:rPr>
        <w:t>竣工日期</w:t>
      </w:r>
    </w:p>
    <w:p w14:paraId="15C7FC8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工程经竣工验收合格的，以承包人提交竣工验收申请报告之日为实际竣工日期，并在工程接收证书中载明；因发包人原因，未在监理人收到承包人提交的竣工验收申请报告</w:t>
      </w:r>
      <w:r>
        <w:rPr>
          <w:rFonts w:asciiTheme="minorEastAsia" w:hAnsiTheme="minorEastAsia" w:eastAsiaTheme="minorEastAsia"/>
          <w:color w:val="auto"/>
          <w:kern w:val="0"/>
          <w:szCs w:val="21"/>
          <w:highlight w:val="none"/>
        </w:rPr>
        <w:t>42</w:t>
      </w:r>
      <w:r>
        <w:rPr>
          <w:rFonts w:hint="eastAsia" w:asciiTheme="minorEastAsia" w:hAnsiTheme="minorEastAsia" w:eastAsiaTheme="minorEastAsia"/>
          <w:color w:val="auto"/>
          <w:kern w:val="0"/>
          <w:szCs w:val="21"/>
          <w:highlight w:val="none"/>
        </w:rPr>
        <w:t>天内完成竣工验收，或完成竣工验收不予签发工程接收证书的，以提交竣工验收申请报告的日期为实际竣工日期；工程未经竣工验收，发包人擅自使用的，以转移占有工程之日为实际竣工日期。</w:t>
      </w:r>
    </w:p>
    <w:p w14:paraId="2C74BF3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13.2.4 </w:t>
      </w:r>
      <w:r>
        <w:rPr>
          <w:rFonts w:hint="eastAsia" w:asciiTheme="minorEastAsia" w:hAnsiTheme="minorEastAsia" w:eastAsiaTheme="minorEastAsia"/>
          <w:color w:val="auto"/>
          <w:kern w:val="0"/>
          <w:szCs w:val="21"/>
          <w:highlight w:val="none"/>
        </w:rPr>
        <w:t>拒绝接收全部或部分工程</w:t>
      </w:r>
    </w:p>
    <w:p w14:paraId="1322BE3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6DF42A8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13.2.5 </w:t>
      </w:r>
      <w:r>
        <w:rPr>
          <w:rFonts w:hint="eastAsia" w:asciiTheme="minorEastAsia" w:hAnsiTheme="minorEastAsia" w:eastAsiaTheme="minorEastAsia"/>
          <w:color w:val="auto"/>
          <w:kern w:val="0"/>
          <w:szCs w:val="21"/>
          <w:highlight w:val="none"/>
        </w:rPr>
        <w:t>移交、接收全部与部分工程</w:t>
      </w:r>
    </w:p>
    <w:p w14:paraId="39B5F95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除专用合同条款另有约定外，合同当事人应当在颁发工程接收证书后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天内完成工程的移交。</w:t>
      </w:r>
    </w:p>
    <w:p w14:paraId="77C66A1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发包人无正当理由不接收工程的，发包人自应当接收工程之日起，承担工程照管、成品保护、保管等与工程有关的各项费用，合同当事人可以在专用合同条款中另行约定发包人逾期接收工程的违约责任。</w:t>
      </w:r>
    </w:p>
    <w:p w14:paraId="4F829E5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承包人无正当理由不移交工程的，承包人应承担工程照管、成品保护、保管等与工程有关的各项费用，合同当事人可以在专用合同条款中另行约定承包人无正当理由不移交工程的违约责任。</w:t>
      </w:r>
    </w:p>
    <w:p w14:paraId="6DB789F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13.3</w:t>
      </w:r>
      <w:r>
        <w:rPr>
          <w:rFonts w:hint="eastAsia" w:asciiTheme="minorEastAsia" w:hAnsiTheme="minorEastAsia" w:eastAsiaTheme="minorEastAsia"/>
          <w:b w:val="0"/>
          <w:color w:val="auto"/>
          <w:sz w:val="21"/>
          <w:szCs w:val="21"/>
          <w:highlight w:val="none"/>
        </w:rPr>
        <w:t>工程试车</w:t>
      </w:r>
    </w:p>
    <w:p w14:paraId="50501F6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13.3.1</w:t>
      </w:r>
      <w:r>
        <w:rPr>
          <w:rFonts w:hint="eastAsia" w:asciiTheme="minorEastAsia" w:hAnsiTheme="minorEastAsia" w:eastAsiaTheme="minorEastAsia"/>
          <w:color w:val="auto"/>
          <w:kern w:val="0"/>
          <w:szCs w:val="21"/>
          <w:highlight w:val="none"/>
        </w:rPr>
        <w:t>试车程序</w:t>
      </w:r>
    </w:p>
    <w:p w14:paraId="094EA55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工程需要试车的，除专用合同条款另有约定外，试车内容应与承包人承包范围相一致，试车费用由承包人承担。工程试车应按如下程序进行：</w:t>
      </w:r>
    </w:p>
    <w:p w14:paraId="3B56C8F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）具备单机无负荷试车条件，承包人组织试车，并在试车前</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书面通知监理人，通知中应载明试车内容、时间、地点。承包人准备试车记录，发包人根据承包人要求为试车提供必要条件。试车合格的，监理人在试车记录上签字。监理人在试车合格后不在试车记录上签字，自试车结束满</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小时后视为监理人已经认可试车记录，承包人可继续施工或办理竣工验收手续。</w:t>
      </w:r>
    </w:p>
    <w:p w14:paraId="377BABB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监理人不能按时参加试车，应在试车前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小时以书面形式向承包人提出延期要求，但延期不能超过</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小时，由此导致工期延误的，工期应予以顺延。监理人未能在前述期限内提出延期要求，又不参加试车的，视为认可试车记录。</w:t>
      </w:r>
    </w:p>
    <w:p w14:paraId="6B3DF5D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）具备无负荷联动试车条件，发包人组织试车，并在试车前</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以书面形式通知承包人。通知中应载明试车内容、时间、地点和对承包人的要求，承包人按要求做好准备工作。试车合格，合同当事人在试车记录上签字。承包人无正当理由不参加试车的，视为认可试车记录。</w:t>
      </w:r>
    </w:p>
    <w:p w14:paraId="1790EB8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13.3.2 </w:t>
      </w:r>
      <w:r>
        <w:rPr>
          <w:rFonts w:hint="eastAsia" w:asciiTheme="minorEastAsia" w:hAnsiTheme="minorEastAsia" w:eastAsiaTheme="minorEastAsia"/>
          <w:color w:val="auto"/>
          <w:kern w:val="0"/>
          <w:szCs w:val="21"/>
          <w:highlight w:val="none"/>
        </w:rPr>
        <w:t>试车中的责任</w:t>
      </w:r>
    </w:p>
    <w:p w14:paraId="558C79B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2D333C7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5459D96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13.3.3 </w:t>
      </w:r>
      <w:r>
        <w:rPr>
          <w:rFonts w:hint="eastAsia" w:asciiTheme="minorEastAsia" w:hAnsiTheme="minorEastAsia" w:eastAsiaTheme="minorEastAsia"/>
          <w:color w:val="auto"/>
          <w:kern w:val="0"/>
          <w:szCs w:val="21"/>
          <w:highlight w:val="none"/>
        </w:rPr>
        <w:t>投料试车</w:t>
      </w:r>
    </w:p>
    <w:p w14:paraId="2E336D0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如需进行投料试车的，发包人应在工程竣工验收后组织投料试车。发包人要求在工程竣工验收前进行或需要承包人配合时，应征得承包人同意，并在专用合同条款中约定有关事项。</w:t>
      </w:r>
    </w:p>
    <w:p w14:paraId="747E3BE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4085A81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13.4</w:t>
      </w:r>
      <w:r>
        <w:rPr>
          <w:rFonts w:hint="eastAsia" w:asciiTheme="minorEastAsia" w:hAnsiTheme="minorEastAsia" w:eastAsiaTheme="minorEastAsia"/>
          <w:b w:val="0"/>
          <w:color w:val="auto"/>
          <w:sz w:val="21"/>
          <w:szCs w:val="21"/>
          <w:highlight w:val="none"/>
        </w:rPr>
        <w:t>提前交付单位工程的验收</w:t>
      </w:r>
    </w:p>
    <w:p w14:paraId="31ABE31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13.4.1 </w:t>
      </w:r>
      <w:r>
        <w:rPr>
          <w:rFonts w:hint="eastAsia" w:asciiTheme="minorEastAsia" w:hAnsiTheme="minorEastAsia" w:eastAsiaTheme="minorEastAsia"/>
          <w:color w:val="auto"/>
          <w:kern w:val="0"/>
          <w:szCs w:val="21"/>
          <w:highlight w:val="none"/>
        </w:rPr>
        <w:t>发包人需要在工程竣工前使用单位工程的，或承包人提出提前交付已经竣工的单位工程且经发包人同意的，可进行单位工程验收，验收的程序按照第</w:t>
      </w:r>
      <w:r>
        <w:rPr>
          <w:rFonts w:asciiTheme="minorEastAsia" w:hAnsiTheme="minorEastAsia" w:eastAsiaTheme="minorEastAsia"/>
          <w:color w:val="auto"/>
          <w:kern w:val="0"/>
          <w:szCs w:val="21"/>
          <w:highlight w:val="none"/>
        </w:rPr>
        <w:t>13.2</w:t>
      </w:r>
      <w:r>
        <w:rPr>
          <w:rFonts w:hint="eastAsia" w:asciiTheme="minorEastAsia" w:hAnsiTheme="minorEastAsia" w:eastAsiaTheme="minorEastAsia"/>
          <w:color w:val="auto"/>
          <w:kern w:val="0"/>
          <w:szCs w:val="21"/>
          <w:highlight w:val="none"/>
        </w:rPr>
        <w:t>款〔竣工验收〕的约定进行。</w:t>
      </w:r>
    </w:p>
    <w:p w14:paraId="012ABD8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验收合格后，由监理人向承包人出具经发包人签认的单位工程接收证书。已签发单位工程接收证书的单位工程由发包人负责照管。单位工程的验收成果和结论作为整体工程竣工验收申请报告的附件。</w:t>
      </w:r>
    </w:p>
    <w:p w14:paraId="0157894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13.4.2 </w:t>
      </w:r>
      <w:r>
        <w:rPr>
          <w:rFonts w:hint="eastAsia" w:asciiTheme="minorEastAsia" w:hAnsiTheme="minorEastAsia" w:eastAsiaTheme="minorEastAsia"/>
          <w:color w:val="auto"/>
          <w:kern w:val="0"/>
          <w:szCs w:val="21"/>
          <w:highlight w:val="none"/>
        </w:rPr>
        <w:t>发包人要求在工程竣工前交付单位工程，由此导致承包人费用增加和（或）工期延误的，由发包人承担由此增加的费用和（或）延误的工期，并支付承包人合理的利润。</w:t>
      </w:r>
    </w:p>
    <w:p w14:paraId="0906EF2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13.5 </w:t>
      </w:r>
      <w:r>
        <w:rPr>
          <w:rFonts w:hint="eastAsia" w:asciiTheme="minorEastAsia" w:hAnsiTheme="minorEastAsia" w:eastAsiaTheme="minorEastAsia"/>
          <w:b w:val="0"/>
          <w:color w:val="auto"/>
          <w:sz w:val="21"/>
          <w:szCs w:val="21"/>
          <w:highlight w:val="none"/>
        </w:rPr>
        <w:t>施工期运行</w:t>
      </w:r>
    </w:p>
    <w:p w14:paraId="2C2ACEE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13.5.1 </w:t>
      </w:r>
      <w:r>
        <w:rPr>
          <w:rFonts w:hint="eastAsia" w:asciiTheme="minorEastAsia" w:hAnsiTheme="minorEastAsia" w:eastAsiaTheme="minorEastAsia"/>
          <w:color w:val="auto"/>
          <w:kern w:val="0"/>
          <w:szCs w:val="21"/>
          <w:highlight w:val="none"/>
        </w:rPr>
        <w:t>施工期运行是指合同工程尚未全部竣工，其中某项或某几项单位工程或工程设备安装已竣工，根据专用合同条款约定，需要投入施工期运行的，经发包人按第</w:t>
      </w:r>
      <w:r>
        <w:rPr>
          <w:rFonts w:asciiTheme="minorEastAsia" w:hAnsiTheme="minorEastAsia" w:eastAsiaTheme="minorEastAsia"/>
          <w:color w:val="auto"/>
          <w:kern w:val="0"/>
          <w:szCs w:val="21"/>
          <w:highlight w:val="none"/>
        </w:rPr>
        <w:t>13.4</w:t>
      </w:r>
      <w:r>
        <w:rPr>
          <w:rFonts w:hint="eastAsia" w:asciiTheme="minorEastAsia" w:hAnsiTheme="minorEastAsia" w:eastAsiaTheme="minorEastAsia"/>
          <w:color w:val="auto"/>
          <w:kern w:val="0"/>
          <w:szCs w:val="21"/>
          <w:highlight w:val="none"/>
        </w:rPr>
        <w:t>款〔提前交付单位工程的验收〕的约定验收合格，证明能确保安全后，才能在施工期投入运行。</w:t>
      </w:r>
    </w:p>
    <w:p w14:paraId="3A39B54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13.5.2 </w:t>
      </w:r>
      <w:r>
        <w:rPr>
          <w:rFonts w:hint="eastAsia" w:asciiTheme="minorEastAsia" w:hAnsiTheme="minorEastAsia" w:eastAsiaTheme="minorEastAsia"/>
          <w:color w:val="auto"/>
          <w:kern w:val="0"/>
          <w:szCs w:val="21"/>
          <w:highlight w:val="none"/>
        </w:rPr>
        <w:t>在施工期运行中发现工程或工程设备损坏或存在缺陷的，由承包人按第</w:t>
      </w:r>
      <w:r>
        <w:rPr>
          <w:rFonts w:asciiTheme="minorEastAsia" w:hAnsiTheme="minorEastAsia" w:eastAsiaTheme="minorEastAsia"/>
          <w:color w:val="auto"/>
          <w:kern w:val="0"/>
          <w:szCs w:val="21"/>
          <w:highlight w:val="none"/>
        </w:rPr>
        <w:t>15.2</w:t>
      </w:r>
      <w:r>
        <w:rPr>
          <w:rFonts w:hint="eastAsia" w:asciiTheme="minorEastAsia" w:hAnsiTheme="minorEastAsia" w:eastAsiaTheme="minorEastAsia"/>
          <w:color w:val="auto"/>
          <w:kern w:val="0"/>
          <w:szCs w:val="21"/>
          <w:highlight w:val="none"/>
        </w:rPr>
        <w:t>款〔缺陷责任期〕约定进行修复。</w:t>
      </w:r>
    </w:p>
    <w:p w14:paraId="099286B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13.6 </w:t>
      </w:r>
      <w:r>
        <w:rPr>
          <w:rFonts w:hint="eastAsia" w:asciiTheme="minorEastAsia" w:hAnsiTheme="minorEastAsia" w:eastAsiaTheme="minorEastAsia"/>
          <w:b w:val="0"/>
          <w:color w:val="auto"/>
          <w:sz w:val="21"/>
          <w:szCs w:val="21"/>
          <w:highlight w:val="none"/>
        </w:rPr>
        <w:t>竣工退场</w:t>
      </w:r>
    </w:p>
    <w:p w14:paraId="54C6A2D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13.6.1 </w:t>
      </w:r>
      <w:r>
        <w:rPr>
          <w:rFonts w:hint="eastAsia" w:asciiTheme="minorEastAsia" w:hAnsiTheme="minorEastAsia" w:eastAsiaTheme="minorEastAsia"/>
          <w:color w:val="auto"/>
          <w:kern w:val="0"/>
          <w:szCs w:val="21"/>
          <w:highlight w:val="none"/>
        </w:rPr>
        <w:t>竣工退场</w:t>
      </w:r>
    </w:p>
    <w:p w14:paraId="2AC12F2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颁发工程接收证书后，承包人应按以下要求对施工现场进行清理：</w:t>
      </w:r>
    </w:p>
    <w:p w14:paraId="328D16B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）施工现场内残留的垃圾已全部清除出场；</w:t>
      </w:r>
    </w:p>
    <w:p w14:paraId="341355F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）临时工程已拆除，场地已进行清理、平整或复原；</w:t>
      </w:r>
    </w:p>
    <w:p w14:paraId="76A8D64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）按合同约定应撤离的人员、承包人施工设备和剩余的材料，包括废弃的施工设备和材料，已按计划撤离施工现场；</w:t>
      </w:r>
    </w:p>
    <w:p w14:paraId="7188305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）施工现场周边及其附近道路、河道的施工堆积物，已全部清理；</w:t>
      </w:r>
    </w:p>
    <w:p w14:paraId="3E80912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）施工现场其他场地清理工作已全部完成。</w:t>
      </w:r>
    </w:p>
    <w:p w14:paraId="2E8FCEA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4000746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13.6.2 </w:t>
      </w:r>
      <w:r>
        <w:rPr>
          <w:rFonts w:hint="eastAsia" w:asciiTheme="minorEastAsia" w:hAnsiTheme="minorEastAsia" w:eastAsiaTheme="minorEastAsia"/>
          <w:color w:val="auto"/>
          <w:kern w:val="0"/>
          <w:szCs w:val="21"/>
          <w:highlight w:val="none"/>
        </w:rPr>
        <w:t>地表还原</w:t>
      </w:r>
    </w:p>
    <w:p w14:paraId="723BC41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承包人应按发包人要求恢复临时占地及清理场地，承包人未按发包人的要求恢复临时占地，或者场地清理未达到合同约定要求的，发包人有权委托其他人恢复或清理，所发生的费用由承包人承担。</w:t>
      </w:r>
    </w:p>
    <w:p w14:paraId="24E74750">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78" w:name="_Toc2890"/>
      <w:bookmarkStart w:id="279" w:name="_Toc20056"/>
      <w:bookmarkStart w:id="280" w:name="_Toc27816"/>
      <w:r>
        <w:rPr>
          <w:rFonts w:hint="eastAsia" w:asciiTheme="minorEastAsia" w:hAnsiTheme="minorEastAsia" w:eastAsiaTheme="minorEastAsia"/>
          <w:b/>
          <w:color w:val="auto"/>
          <w:szCs w:val="21"/>
          <w:highlight w:val="none"/>
        </w:rPr>
        <w:t>14. 竣工结算</w:t>
      </w:r>
      <w:bookmarkEnd w:id="278"/>
      <w:bookmarkEnd w:id="279"/>
      <w:bookmarkEnd w:id="280"/>
    </w:p>
    <w:p w14:paraId="3D9124E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14.1 </w:t>
      </w:r>
      <w:r>
        <w:rPr>
          <w:rFonts w:hint="eastAsia" w:asciiTheme="minorEastAsia" w:hAnsiTheme="minorEastAsia" w:eastAsiaTheme="minorEastAsia"/>
          <w:b w:val="0"/>
          <w:color w:val="auto"/>
          <w:sz w:val="21"/>
          <w:szCs w:val="21"/>
          <w:highlight w:val="none"/>
        </w:rPr>
        <w:t>竣工结算申请</w:t>
      </w:r>
    </w:p>
    <w:p w14:paraId="2FAC647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kern w:val="0"/>
          <w:szCs w:val="21"/>
          <w:highlight w:val="none"/>
        </w:rPr>
        <w:t>除专用合同条款另有约定外，承包人应在工程竣工验收合格后</w:t>
      </w:r>
      <w:r>
        <w:rPr>
          <w:rFonts w:asciiTheme="minorEastAsia" w:hAnsiTheme="minorEastAsia" w:eastAsiaTheme="minorEastAsia"/>
          <w:color w:val="auto"/>
          <w:szCs w:val="21"/>
          <w:highlight w:val="none"/>
        </w:rPr>
        <w:t>28</w:t>
      </w:r>
      <w:r>
        <w:rPr>
          <w:rFonts w:hint="eastAsia" w:asciiTheme="minorEastAsia" w:hAnsiTheme="minorEastAsia" w:eastAsiaTheme="minorEastAsia"/>
          <w:color w:val="auto"/>
          <w:szCs w:val="21"/>
          <w:highlight w:val="none"/>
        </w:rPr>
        <w:t>天内向发包人和监理人提交竣工结算申请单，并提交完整的结算资料，有关竣工结算申请单的资料清单和份数等要求由合同当事人在专用合同条款中约定。</w:t>
      </w:r>
    </w:p>
    <w:p w14:paraId="22A340C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除专用合同条款另有约定外，竣工结算申请单应包括以下内容：</w:t>
      </w:r>
    </w:p>
    <w:p w14:paraId="07996FF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1</w:t>
      </w:r>
      <w:r>
        <w:rPr>
          <w:rFonts w:hint="eastAsia" w:asciiTheme="minorEastAsia" w:hAnsiTheme="minorEastAsia" w:eastAsiaTheme="minorEastAsia"/>
          <w:color w:val="auto"/>
          <w:szCs w:val="21"/>
          <w:highlight w:val="none"/>
        </w:rPr>
        <w:t>）竣工结算合同价格；</w:t>
      </w:r>
    </w:p>
    <w:p w14:paraId="44EB902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2</w:t>
      </w:r>
      <w:r>
        <w:rPr>
          <w:rFonts w:hint="eastAsia" w:asciiTheme="minorEastAsia" w:hAnsiTheme="minorEastAsia" w:eastAsiaTheme="minorEastAsia"/>
          <w:color w:val="auto"/>
          <w:szCs w:val="21"/>
          <w:highlight w:val="none"/>
        </w:rPr>
        <w:t>）发包人已支付承包人的款项；</w:t>
      </w:r>
    </w:p>
    <w:p w14:paraId="2E70053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3</w:t>
      </w:r>
      <w:r>
        <w:rPr>
          <w:rFonts w:hint="eastAsia" w:asciiTheme="minorEastAsia" w:hAnsiTheme="minorEastAsia" w:eastAsiaTheme="minorEastAsia"/>
          <w:color w:val="auto"/>
          <w:szCs w:val="21"/>
          <w:highlight w:val="none"/>
        </w:rPr>
        <w:t>）应扣留的质量保证金。已缴纳履约保证金的或提供其他工程质量担保方式的除外；</w:t>
      </w:r>
      <w:r>
        <w:rPr>
          <w:rFonts w:asciiTheme="minorEastAsia" w:hAnsiTheme="minorEastAsia" w:eastAsiaTheme="minorEastAsia"/>
          <w:color w:val="auto"/>
          <w:szCs w:val="21"/>
          <w:highlight w:val="none"/>
        </w:rPr>
        <w:t xml:space="preserve"> </w:t>
      </w:r>
    </w:p>
    <w:p w14:paraId="3025F7E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w:t>
      </w:r>
      <w:r>
        <w:rPr>
          <w:rFonts w:asciiTheme="minorEastAsia" w:hAnsiTheme="minorEastAsia" w:eastAsiaTheme="minorEastAsia"/>
          <w:color w:val="auto"/>
          <w:szCs w:val="21"/>
          <w:highlight w:val="none"/>
        </w:rPr>
        <w:t>4</w:t>
      </w:r>
      <w:r>
        <w:rPr>
          <w:rFonts w:hint="eastAsia" w:asciiTheme="minorEastAsia" w:hAnsiTheme="minorEastAsia" w:eastAsiaTheme="minorEastAsia"/>
          <w:color w:val="auto"/>
          <w:szCs w:val="21"/>
          <w:highlight w:val="none"/>
        </w:rPr>
        <w:t>）发包人应支付承包人的合同价款。</w:t>
      </w:r>
    </w:p>
    <w:p w14:paraId="6FA362B8">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14.2 </w:t>
      </w:r>
      <w:r>
        <w:rPr>
          <w:rFonts w:hint="eastAsia" w:asciiTheme="minorEastAsia" w:hAnsiTheme="minorEastAsia" w:eastAsiaTheme="minorEastAsia"/>
          <w:b w:val="0"/>
          <w:color w:val="auto"/>
          <w:sz w:val="21"/>
          <w:szCs w:val="21"/>
          <w:highlight w:val="none"/>
        </w:rPr>
        <w:t>竣工结算审核</w:t>
      </w:r>
    </w:p>
    <w:p w14:paraId="411A475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）除专用合同条款另有约定外，监理人应在收到竣工结算申请单后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天内完成核查并报送发包人。发包人应在收到监理人提交的经审核的竣工结算申请单后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天内完成审批，并由监理人向承包人签发经发包人签认的竣工付款证书。监理人或发包人对竣工结算申请单有异议的，有权要求承包人进行修正和提供补充资料，承包人应提交修正后的竣工结算申请单。</w:t>
      </w:r>
    </w:p>
    <w:p w14:paraId="0521824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发包人在收到承包人提交竣工结算申请书后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天内未完成审批且未提出异议的，视为发包人认可承包人提交的竣工结算申请单，并自发包人收到承包人提交的竣工结算申请单后第</w:t>
      </w:r>
      <w:r>
        <w:rPr>
          <w:rFonts w:asciiTheme="minorEastAsia" w:hAnsiTheme="minorEastAsia" w:eastAsiaTheme="minorEastAsia"/>
          <w:color w:val="auto"/>
          <w:kern w:val="0"/>
          <w:szCs w:val="21"/>
          <w:highlight w:val="none"/>
        </w:rPr>
        <w:t>29</w:t>
      </w:r>
      <w:r>
        <w:rPr>
          <w:rFonts w:hint="eastAsia" w:asciiTheme="minorEastAsia" w:hAnsiTheme="minorEastAsia" w:eastAsiaTheme="minorEastAsia"/>
          <w:color w:val="auto"/>
          <w:kern w:val="0"/>
          <w:szCs w:val="21"/>
          <w:highlight w:val="none"/>
        </w:rPr>
        <w:t>天起视为已签发竣工付款证书。</w:t>
      </w:r>
    </w:p>
    <w:p w14:paraId="3A945DA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）除专用合同条款另有约定外，发包人应在签发竣工付款证书后的</w:t>
      </w:r>
      <w:r>
        <w:rPr>
          <w:rFonts w:asciiTheme="minorEastAsia" w:hAnsiTheme="minorEastAsia" w:eastAsiaTheme="minorEastAsia"/>
          <w:color w:val="auto"/>
          <w:kern w:val="0"/>
          <w:szCs w:val="21"/>
          <w:highlight w:val="none"/>
        </w:rPr>
        <w:t xml:space="preserve">14 </w:t>
      </w:r>
      <w:r>
        <w:rPr>
          <w:rFonts w:hint="eastAsia" w:asciiTheme="minorEastAsia" w:hAnsiTheme="minorEastAsia" w:eastAsiaTheme="minorEastAsia"/>
          <w:color w:val="auto"/>
          <w:kern w:val="0"/>
          <w:szCs w:val="21"/>
          <w:highlight w:val="none"/>
        </w:rPr>
        <w:t>天内，完成对承包人的竣工付款。发包人逾期支付的，按照中国人民银行发布的同期同类贷款基准利率支付违约金；逾期支付超过</w:t>
      </w:r>
      <w:r>
        <w:rPr>
          <w:rFonts w:asciiTheme="minorEastAsia" w:hAnsiTheme="minorEastAsia" w:eastAsiaTheme="minorEastAsia"/>
          <w:color w:val="auto"/>
          <w:kern w:val="0"/>
          <w:szCs w:val="21"/>
          <w:highlight w:val="none"/>
        </w:rPr>
        <w:t>56</w:t>
      </w:r>
      <w:r>
        <w:rPr>
          <w:rFonts w:hint="eastAsia" w:asciiTheme="minorEastAsia" w:hAnsiTheme="minorEastAsia" w:eastAsiaTheme="minorEastAsia"/>
          <w:color w:val="auto"/>
          <w:kern w:val="0"/>
          <w:szCs w:val="21"/>
          <w:highlight w:val="none"/>
        </w:rPr>
        <w:t>天的，按照中国人民银行发布的同期同类贷款基准利率的两倍支付违约金。</w:t>
      </w:r>
    </w:p>
    <w:p w14:paraId="79865F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）承包人对发包人签认的竣工付款证书有异议的，对于有异议部分应在收到发包人签认的竣工付款证书后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天内提出异议，并由合同当事人按照专用合同条款约定的方式和程序进行复核，或按照第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条〔争议解决〕约定处理。对于无异议部分，发包人应签发临时竣工付款证书，并按本款第（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）项完成付款。承包人逾期未提出异议的，视为认可发包人的审批结果。</w:t>
      </w:r>
    </w:p>
    <w:p w14:paraId="73045F7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14.3 </w:t>
      </w:r>
      <w:r>
        <w:rPr>
          <w:rFonts w:hint="eastAsia" w:asciiTheme="minorEastAsia" w:hAnsiTheme="minorEastAsia" w:eastAsiaTheme="minorEastAsia"/>
          <w:b w:val="0"/>
          <w:color w:val="auto"/>
          <w:sz w:val="21"/>
          <w:szCs w:val="21"/>
          <w:highlight w:val="none"/>
        </w:rPr>
        <w:t>甩项竣工协议</w:t>
      </w:r>
    </w:p>
    <w:p w14:paraId="34F503CD">
      <w:pPr>
        <w:keepNext w:val="0"/>
        <w:keepLines w:val="0"/>
        <w:pageBreakBefore w:val="0"/>
        <w:widowControl w:val="0"/>
        <w:kinsoku/>
        <w:wordWrap/>
        <w:overflowPunct/>
        <w:topLinePunct w:val="0"/>
        <w:autoSpaceDE w:val="0"/>
        <w:autoSpaceDN w:val="0"/>
        <w:bidi w:val="0"/>
        <w:adjustRightInd w:val="0"/>
        <w:spacing w:line="440" w:lineRule="exact"/>
        <w:ind w:left="0" w:firstLine="411" w:firstLineChars="196"/>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szCs w:val="21"/>
          <w:highlight w:val="none"/>
        </w:rPr>
        <w:t>发包人要求甩项竣工的，合同当事人应签订甩项竣工协议。在甩项竣工协议中应明确，合同当事人按照第</w:t>
      </w:r>
      <w:r>
        <w:rPr>
          <w:rFonts w:asciiTheme="minorEastAsia" w:hAnsiTheme="minorEastAsia" w:eastAsiaTheme="minorEastAsia"/>
          <w:color w:val="auto"/>
          <w:szCs w:val="21"/>
          <w:highlight w:val="none"/>
        </w:rPr>
        <w:t>14.1</w:t>
      </w:r>
      <w:r>
        <w:rPr>
          <w:rFonts w:hint="eastAsia" w:asciiTheme="minorEastAsia" w:hAnsiTheme="minorEastAsia" w:eastAsiaTheme="minorEastAsia"/>
          <w:color w:val="auto"/>
          <w:szCs w:val="21"/>
          <w:highlight w:val="none"/>
        </w:rPr>
        <w:t>款〔竣工结算申请〕及</w:t>
      </w:r>
      <w:r>
        <w:rPr>
          <w:rFonts w:asciiTheme="minorEastAsia" w:hAnsiTheme="minorEastAsia" w:eastAsiaTheme="minorEastAsia"/>
          <w:color w:val="auto"/>
          <w:szCs w:val="21"/>
          <w:highlight w:val="none"/>
        </w:rPr>
        <w:t>14.2</w:t>
      </w:r>
      <w:r>
        <w:rPr>
          <w:rFonts w:hint="eastAsia" w:asciiTheme="minorEastAsia" w:hAnsiTheme="minorEastAsia" w:eastAsiaTheme="minorEastAsia"/>
          <w:color w:val="auto"/>
          <w:szCs w:val="21"/>
          <w:highlight w:val="none"/>
        </w:rPr>
        <w:t>款〔竣工结算审核〕的约定，对已完合格工程进行结算，并支付相应合同价款。</w:t>
      </w:r>
    </w:p>
    <w:p w14:paraId="7FB355D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14.4 </w:t>
      </w:r>
      <w:r>
        <w:rPr>
          <w:rFonts w:hint="eastAsia" w:asciiTheme="minorEastAsia" w:hAnsiTheme="minorEastAsia" w:eastAsiaTheme="minorEastAsia"/>
          <w:b w:val="0"/>
          <w:color w:val="auto"/>
          <w:sz w:val="21"/>
          <w:szCs w:val="21"/>
          <w:highlight w:val="none"/>
        </w:rPr>
        <w:t>最终结清</w:t>
      </w:r>
    </w:p>
    <w:p w14:paraId="3EEA7F4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14.4.1 </w:t>
      </w:r>
      <w:r>
        <w:rPr>
          <w:rFonts w:hint="eastAsia" w:asciiTheme="minorEastAsia" w:hAnsiTheme="minorEastAsia" w:eastAsiaTheme="minorEastAsia"/>
          <w:color w:val="auto"/>
          <w:kern w:val="0"/>
          <w:szCs w:val="21"/>
          <w:highlight w:val="none"/>
        </w:rPr>
        <w:t>最终结清申请单</w:t>
      </w:r>
    </w:p>
    <w:p w14:paraId="5463689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）除专用合同条款另有约定外，承包人应在缺陷责任期终止证书颁发后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天内，按专用合同条款约定的份数向发包人提交最终结清申请单，并提供相关证明材料。</w:t>
      </w:r>
    </w:p>
    <w:p w14:paraId="59BFB77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w:t>
      </w:r>
      <w:r>
        <w:rPr>
          <w:rFonts w:hint="eastAsia" w:asciiTheme="minorEastAsia" w:hAnsiTheme="minorEastAsia" w:eastAsiaTheme="minorEastAsia"/>
          <w:color w:val="auto"/>
          <w:kern w:val="0"/>
          <w:szCs w:val="21"/>
          <w:highlight w:val="none"/>
        </w:rPr>
        <w:t>最终结清申请单应列明质量保证金、应扣除的质量保证金、缺陷责任期内发生的增减费用。</w:t>
      </w:r>
    </w:p>
    <w:p w14:paraId="2E7BEFE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）发包人对最终结清申请单内容有异议的，有权要求承包人进行修正和提供补充资料，承包人应向发包人提交修正后的最终结清申请单。</w:t>
      </w:r>
    </w:p>
    <w:p w14:paraId="03DABD3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14.4.2 </w:t>
      </w:r>
      <w:r>
        <w:rPr>
          <w:rFonts w:hint="eastAsia" w:asciiTheme="minorEastAsia" w:hAnsiTheme="minorEastAsia" w:eastAsiaTheme="minorEastAsia"/>
          <w:color w:val="auto"/>
          <w:kern w:val="0"/>
          <w:szCs w:val="21"/>
          <w:highlight w:val="none"/>
        </w:rPr>
        <w:t>最终结清证书和支付</w:t>
      </w:r>
    </w:p>
    <w:p w14:paraId="2D34441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）除专用合同条款另有约定外，发包人应在收到承包人提交的最终结清申请单后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天内完成审批并向承包人颁发最终结清证书。发包人逾期未完成审批，又未提出修改意见的，视为发包人同意承包人提交的最终结清申请单，且自发包人收到承包人提交的最终结清申请单后</w:t>
      </w:r>
      <w:r>
        <w:rPr>
          <w:rFonts w:asciiTheme="minorEastAsia" w:hAnsiTheme="minorEastAsia" w:eastAsiaTheme="minorEastAsia"/>
          <w:color w:val="auto"/>
          <w:kern w:val="0"/>
          <w:szCs w:val="21"/>
          <w:highlight w:val="none"/>
        </w:rPr>
        <w:t>15</w:t>
      </w:r>
      <w:r>
        <w:rPr>
          <w:rFonts w:hint="eastAsia" w:asciiTheme="minorEastAsia" w:hAnsiTheme="minorEastAsia" w:eastAsiaTheme="minorEastAsia"/>
          <w:color w:val="auto"/>
          <w:kern w:val="0"/>
          <w:szCs w:val="21"/>
          <w:highlight w:val="none"/>
        </w:rPr>
        <w:t>天起视为已颁发最终结清证书。</w:t>
      </w:r>
    </w:p>
    <w:p w14:paraId="2EFA75C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）除专用合同条款另有约定外，发包人应在颁发最终结清证书后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天内完成支付。发包人逾期支付的，按照中国人民银行发布的同期同类贷款基准利率支付违约金；逾期支付超过</w:t>
      </w:r>
      <w:r>
        <w:rPr>
          <w:rFonts w:asciiTheme="minorEastAsia" w:hAnsiTheme="minorEastAsia" w:eastAsiaTheme="minorEastAsia"/>
          <w:color w:val="auto"/>
          <w:kern w:val="0"/>
          <w:szCs w:val="21"/>
          <w:highlight w:val="none"/>
        </w:rPr>
        <w:t>56</w:t>
      </w:r>
      <w:r>
        <w:rPr>
          <w:rFonts w:hint="eastAsia" w:asciiTheme="minorEastAsia" w:hAnsiTheme="minorEastAsia" w:eastAsiaTheme="minorEastAsia"/>
          <w:color w:val="auto"/>
          <w:kern w:val="0"/>
          <w:szCs w:val="21"/>
          <w:highlight w:val="none"/>
        </w:rPr>
        <w:t>天的，按照中国人民银行发布的同期同类贷款基准利率的两倍支付违约金。</w:t>
      </w:r>
    </w:p>
    <w:p w14:paraId="61BEA4A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）承包人对发包人颁发的最终结清证书有异议的，按第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条〔争议解决〕的约定办理。</w:t>
      </w:r>
    </w:p>
    <w:p w14:paraId="4EB986F9">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81" w:name="_Toc8542"/>
      <w:bookmarkStart w:id="282" w:name="_Toc1186"/>
      <w:bookmarkStart w:id="283" w:name="_Toc26675"/>
      <w:r>
        <w:rPr>
          <w:rFonts w:hint="eastAsia" w:asciiTheme="minorEastAsia" w:hAnsiTheme="minorEastAsia" w:eastAsiaTheme="minorEastAsia"/>
          <w:b/>
          <w:color w:val="auto"/>
          <w:szCs w:val="21"/>
          <w:highlight w:val="none"/>
        </w:rPr>
        <w:t>15. 缺陷责任与保修</w:t>
      </w:r>
      <w:bookmarkEnd w:id="281"/>
      <w:bookmarkEnd w:id="282"/>
      <w:bookmarkEnd w:id="283"/>
    </w:p>
    <w:p w14:paraId="2BF9377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15.1 </w:t>
      </w:r>
      <w:r>
        <w:rPr>
          <w:rFonts w:hint="eastAsia" w:asciiTheme="minorEastAsia" w:hAnsiTheme="minorEastAsia" w:eastAsiaTheme="minorEastAsia"/>
          <w:b w:val="0"/>
          <w:color w:val="auto"/>
          <w:sz w:val="21"/>
          <w:szCs w:val="21"/>
          <w:highlight w:val="none"/>
        </w:rPr>
        <w:t>工程保修的原则</w:t>
      </w:r>
    </w:p>
    <w:p w14:paraId="4D0120E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在工程移交发包人后，因承包人原因产生的质量缺陷，承包人应承担质量缺陷责任和保修义务。缺陷责任期届满，承包人仍应按合同约定的工程各部位保修年限承担保修义务。</w:t>
      </w:r>
    </w:p>
    <w:p w14:paraId="322753F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15.2 </w:t>
      </w:r>
      <w:r>
        <w:rPr>
          <w:rFonts w:hint="eastAsia" w:asciiTheme="minorEastAsia" w:hAnsiTheme="minorEastAsia" w:eastAsiaTheme="minorEastAsia"/>
          <w:b w:val="0"/>
          <w:color w:val="auto"/>
          <w:sz w:val="21"/>
          <w:szCs w:val="21"/>
          <w:highlight w:val="none"/>
        </w:rPr>
        <w:t>缺陷责任期</w:t>
      </w:r>
    </w:p>
    <w:p w14:paraId="4B366CE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15.2.1 </w:t>
      </w:r>
      <w:r>
        <w:rPr>
          <w:rFonts w:hint="eastAsia" w:asciiTheme="minorEastAsia" w:hAnsiTheme="minorEastAsia" w:eastAsiaTheme="minorEastAsia"/>
          <w:color w:val="auto"/>
          <w:kern w:val="0"/>
          <w:szCs w:val="21"/>
          <w:highlight w:val="none"/>
        </w:rPr>
        <w:t>缺陷责任期从工程通过竣工验收之日起计算，合同当事人应在专用合同条款约定缺陷责任期的具体期限，但该期限最长不超过</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个月。</w:t>
      </w:r>
    </w:p>
    <w:p w14:paraId="70FA913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w:t>
      </w:r>
      <w:r>
        <w:rPr>
          <w:rFonts w:asciiTheme="minorEastAsia" w:hAnsiTheme="minorEastAsia" w:eastAsiaTheme="minorEastAsia"/>
          <w:color w:val="auto"/>
          <w:kern w:val="0"/>
          <w:szCs w:val="21"/>
          <w:highlight w:val="none"/>
        </w:rPr>
        <w:t>90</w:t>
      </w:r>
      <w:r>
        <w:rPr>
          <w:rFonts w:hint="eastAsia" w:asciiTheme="minorEastAsia" w:hAnsiTheme="minorEastAsia" w:eastAsiaTheme="minorEastAsia"/>
          <w:color w:val="auto"/>
          <w:kern w:val="0"/>
          <w:szCs w:val="21"/>
          <w:highlight w:val="none"/>
        </w:rPr>
        <w:t>天后，工程自动进入缺陷责任期；发包人未经竣工验收擅自使用工程的，缺陷责任期自工程转移占有之日起开始计算。</w:t>
      </w:r>
    </w:p>
    <w:p w14:paraId="3FBF8FF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15.2.2</w:t>
      </w:r>
      <w:r>
        <w:rPr>
          <w:rFonts w:hint="eastAsia" w:asciiTheme="minorEastAsia" w:hAnsiTheme="minorEastAsia" w:eastAsiaTheme="minorEastAsia"/>
          <w:color w:val="auto"/>
          <w:kern w:val="0"/>
          <w:szCs w:val="21"/>
          <w:highlight w:val="none"/>
        </w:rPr>
        <w:t>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Theme="minorEastAsia" w:hAnsiTheme="minorEastAsia" w:eastAsiaTheme="minorEastAsia"/>
          <w:bCs/>
          <w:color w:val="auto"/>
          <w:kern w:val="0"/>
          <w:szCs w:val="21"/>
          <w:highlight w:val="none"/>
        </w:rPr>
        <w:t>包人延长缺陷责任期，</w:t>
      </w:r>
      <w:r>
        <w:rPr>
          <w:rFonts w:hint="eastAsia" w:asciiTheme="minorEastAsia" w:hAnsiTheme="minorEastAsia" w:eastAsiaTheme="minorEastAsia"/>
          <w:color w:val="auto"/>
          <w:kern w:val="0"/>
          <w:szCs w:val="21"/>
          <w:highlight w:val="none"/>
        </w:rPr>
        <w:t>并应在原缺陷责任期届满前发出延长通知。</w:t>
      </w:r>
      <w:r>
        <w:rPr>
          <w:rFonts w:hint="eastAsia" w:asciiTheme="minorEastAsia" w:hAnsiTheme="minorEastAsia" w:eastAsiaTheme="minorEastAsia"/>
          <w:bCs/>
          <w:color w:val="auto"/>
          <w:kern w:val="0"/>
          <w:szCs w:val="21"/>
          <w:highlight w:val="none"/>
        </w:rPr>
        <w:t>但缺陷责任期（含延长部分）最长</w:t>
      </w:r>
      <w:r>
        <w:rPr>
          <w:rFonts w:hint="eastAsia" w:asciiTheme="minorEastAsia" w:hAnsiTheme="minorEastAsia" w:eastAsiaTheme="minorEastAsia"/>
          <w:color w:val="auto"/>
          <w:kern w:val="0"/>
          <w:szCs w:val="21"/>
          <w:highlight w:val="none"/>
        </w:rPr>
        <w:t>不能超过</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个月。</w:t>
      </w:r>
    </w:p>
    <w:p w14:paraId="338BFCC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由他人原因造成的缺陷，发包人负责组织维修，承包人不承担费用，且发包人不得从保证金中扣除费用。</w:t>
      </w:r>
    </w:p>
    <w:p w14:paraId="321E38C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15.2.3 </w:t>
      </w:r>
      <w:r>
        <w:rPr>
          <w:rFonts w:hint="eastAsia" w:asciiTheme="minorEastAsia" w:hAnsiTheme="minorEastAsia" w:eastAsiaTheme="minorEastAsia"/>
          <w:color w:val="auto"/>
          <w:kern w:val="0"/>
          <w:szCs w:val="21"/>
          <w:highlight w:val="none"/>
        </w:rPr>
        <w:t>任何一项缺陷或损坏修复后，经检查证明其影响了工程或工程设备的使用性能，承包人应重新进行合同约定的试验和试运行，试验和试运行的全部费用应由责任方承担。</w:t>
      </w:r>
    </w:p>
    <w:p w14:paraId="25967BC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15.2.4 </w:t>
      </w:r>
      <w:r>
        <w:rPr>
          <w:rFonts w:hint="eastAsia" w:asciiTheme="minorEastAsia" w:hAnsiTheme="minorEastAsia" w:eastAsiaTheme="minorEastAsia"/>
          <w:color w:val="auto"/>
          <w:kern w:val="0"/>
          <w:szCs w:val="21"/>
          <w:highlight w:val="none"/>
        </w:rPr>
        <w:t>除专用合同条款另有约定外，承包人应于缺陷责任期届满后</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天内向发包人发出缺陷责任期届满通知，发包人应在收到缺陷责任期满通知后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天内核实承包人是否履行缺陷修复义务，承包人未能履行缺陷修复义务的，发包人有权扣除相应金额的维修费用。发包人应在收到缺陷责任期届满通知后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天内，向承包人颁发缺陷责任期终止证书。</w:t>
      </w:r>
    </w:p>
    <w:p w14:paraId="326A9E7B">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15.3 </w:t>
      </w:r>
      <w:r>
        <w:rPr>
          <w:rFonts w:hint="eastAsia" w:asciiTheme="minorEastAsia" w:hAnsiTheme="minorEastAsia" w:eastAsiaTheme="minorEastAsia"/>
          <w:b w:val="0"/>
          <w:color w:val="auto"/>
          <w:sz w:val="21"/>
          <w:szCs w:val="21"/>
          <w:highlight w:val="none"/>
        </w:rPr>
        <w:t>质量保证金</w:t>
      </w:r>
    </w:p>
    <w:p w14:paraId="148E69B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经合同当事人协商一致扣留质量保证金的，应在专用合同条款中予以明确。</w:t>
      </w:r>
    </w:p>
    <w:p w14:paraId="4BF1A96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在工程项目竣工前，承包人已经提供履约担保的，发包人不得同时预留工程质量保证金。</w:t>
      </w:r>
    </w:p>
    <w:p w14:paraId="333618F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p>
    <w:p w14:paraId="401CB0A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15.3.1 </w:t>
      </w:r>
      <w:r>
        <w:rPr>
          <w:rFonts w:hint="eastAsia" w:asciiTheme="minorEastAsia" w:hAnsiTheme="minorEastAsia" w:eastAsiaTheme="minorEastAsia"/>
          <w:color w:val="auto"/>
          <w:kern w:val="0"/>
          <w:szCs w:val="21"/>
          <w:highlight w:val="none"/>
        </w:rPr>
        <w:t>承包人提供质量保证金的方式</w:t>
      </w:r>
    </w:p>
    <w:p w14:paraId="1006B03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承包人提供质量保证金有以下三种方式：</w:t>
      </w:r>
    </w:p>
    <w:p w14:paraId="7FBFB44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）质量保证金保函；</w:t>
      </w:r>
      <w:r>
        <w:rPr>
          <w:rFonts w:asciiTheme="minorEastAsia" w:hAnsiTheme="minorEastAsia" w:eastAsiaTheme="minorEastAsia"/>
          <w:color w:val="auto"/>
          <w:kern w:val="0"/>
          <w:szCs w:val="21"/>
          <w:highlight w:val="none"/>
        </w:rPr>
        <w:t xml:space="preserve"> </w:t>
      </w:r>
    </w:p>
    <w:p w14:paraId="0F984F8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）相应比例的工程款；</w:t>
      </w:r>
    </w:p>
    <w:p w14:paraId="4CAB920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）双方约定的其他方式。</w:t>
      </w:r>
    </w:p>
    <w:p w14:paraId="2D35FCC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除专用合同条款另有约定外，质量保证金原则上采用上述第（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w:t>
      </w:r>
    </w:p>
    <w:p w14:paraId="61634EC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15.3.2 </w:t>
      </w:r>
      <w:r>
        <w:rPr>
          <w:rFonts w:hint="eastAsia" w:asciiTheme="minorEastAsia" w:hAnsiTheme="minorEastAsia" w:eastAsiaTheme="minorEastAsia"/>
          <w:color w:val="auto"/>
          <w:kern w:val="0"/>
          <w:szCs w:val="21"/>
          <w:highlight w:val="none"/>
        </w:rPr>
        <w:t>质量保证金的扣留</w:t>
      </w:r>
    </w:p>
    <w:p w14:paraId="5690946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质量保证金的扣留有以下三种方式：</w:t>
      </w:r>
    </w:p>
    <w:p w14:paraId="0B3BBB9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）在支付工程进度款时逐次扣留，在此情形下，质量保证金的计算基数不包括预付款的支付、扣回以及价格调整的金额；</w:t>
      </w:r>
    </w:p>
    <w:p w14:paraId="1D6968E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）工程竣工结算时一次性扣留质量保证金；</w:t>
      </w:r>
    </w:p>
    <w:p w14:paraId="2DB83C5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）双方约定的其他扣留方式。</w:t>
      </w:r>
    </w:p>
    <w:p w14:paraId="2933B38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除专用合同条款另有约定外，质量保证金的扣留原则上采用上述第（</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）种方式。</w:t>
      </w:r>
    </w:p>
    <w:p w14:paraId="0055864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发包人累计扣留的质量保证金不得超过工程价款结算总额的</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。如承包人在发包人签发竣工付款证书后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天内提交质量保证金保函，发包人应同时退还扣留的作为质量保证金的工程价款；保函金额不得超过工程价款结算总额的</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w:t>
      </w:r>
    </w:p>
    <w:p w14:paraId="58B5D96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发包人在退还质量保证金的同时按照中国人民银行发布的同期同类贷款基准利率支付利息。</w:t>
      </w:r>
    </w:p>
    <w:p w14:paraId="190E212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15.3.3 </w:t>
      </w:r>
      <w:r>
        <w:rPr>
          <w:rFonts w:hint="eastAsia" w:asciiTheme="minorEastAsia" w:hAnsiTheme="minorEastAsia" w:eastAsiaTheme="minorEastAsia"/>
          <w:color w:val="auto"/>
          <w:szCs w:val="21"/>
          <w:highlight w:val="none"/>
        </w:rPr>
        <w:t>质量保证金</w:t>
      </w:r>
      <w:r>
        <w:rPr>
          <w:rFonts w:hint="eastAsia" w:asciiTheme="minorEastAsia" w:hAnsiTheme="minorEastAsia" w:eastAsiaTheme="minorEastAsia"/>
          <w:color w:val="auto"/>
          <w:kern w:val="0"/>
          <w:szCs w:val="21"/>
          <w:highlight w:val="none"/>
        </w:rPr>
        <w:t>的退还</w:t>
      </w:r>
    </w:p>
    <w:p w14:paraId="3B1E745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缺陷责任期内，承包人认真履行合同约定的责任，到期后，承包人可向发包人申请返还保证金。</w:t>
      </w:r>
    </w:p>
    <w:p w14:paraId="227FDBD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发包人在接到承包人返还保证金申请后，应于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天内会同承包人按照合同约定的内容进行核实。如无异议，发包人应当按照约定将保证金返还给承包人。对返还期限没有约定或者约定不明确的，发包人应当在核实后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天内将保证金返还承包人，逾期未返还的，依法承担违约责任。发包人在接到承包人返还保证金申请后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天内不予答复，经催告后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天内仍不予答复，视同认可承包人的返还保证金申请。</w:t>
      </w:r>
    </w:p>
    <w:p w14:paraId="68B8312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发包人和承包人对保证金预留、返还以及工程维修质量、费用有争议的，按本合同第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条约定的争议和纠纷解决程序处理。</w:t>
      </w:r>
    </w:p>
    <w:p w14:paraId="592CF0C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15.4 </w:t>
      </w:r>
      <w:r>
        <w:rPr>
          <w:rFonts w:hint="eastAsia" w:asciiTheme="minorEastAsia" w:hAnsiTheme="minorEastAsia" w:eastAsiaTheme="minorEastAsia"/>
          <w:b w:val="0"/>
          <w:color w:val="auto"/>
          <w:sz w:val="21"/>
          <w:szCs w:val="21"/>
          <w:highlight w:val="none"/>
        </w:rPr>
        <w:t>保修</w:t>
      </w:r>
    </w:p>
    <w:p w14:paraId="55D1526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15.4.1</w:t>
      </w:r>
      <w:r>
        <w:rPr>
          <w:rFonts w:hint="eastAsia" w:asciiTheme="minorEastAsia" w:hAnsiTheme="minorEastAsia" w:eastAsiaTheme="minorEastAsia"/>
          <w:color w:val="auto"/>
          <w:kern w:val="0"/>
          <w:szCs w:val="21"/>
          <w:highlight w:val="none"/>
        </w:rPr>
        <w:t>保修责任</w:t>
      </w:r>
    </w:p>
    <w:p w14:paraId="7CFE883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38062B9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发包人未经竣工验收擅自使用工程的，保修期自</w:t>
      </w:r>
      <w:r>
        <w:rPr>
          <w:rFonts w:hint="eastAsia" w:asciiTheme="minorEastAsia" w:hAnsiTheme="minorEastAsia" w:eastAsiaTheme="minorEastAsia"/>
          <w:color w:val="auto"/>
          <w:kern w:val="0"/>
          <w:szCs w:val="21"/>
          <w:highlight w:val="none"/>
        </w:rPr>
        <w:t>转移占有之日起算。</w:t>
      </w:r>
    </w:p>
    <w:p w14:paraId="5542DAF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15.4.2 </w:t>
      </w:r>
      <w:r>
        <w:rPr>
          <w:rFonts w:hint="eastAsia" w:asciiTheme="minorEastAsia" w:hAnsiTheme="minorEastAsia" w:eastAsiaTheme="minorEastAsia"/>
          <w:color w:val="auto"/>
          <w:kern w:val="0"/>
          <w:szCs w:val="21"/>
          <w:highlight w:val="none"/>
        </w:rPr>
        <w:t>修复费用</w:t>
      </w:r>
    </w:p>
    <w:p w14:paraId="5C37ED2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保修期内，修复的费用按照以下约定处理：</w:t>
      </w:r>
    </w:p>
    <w:p w14:paraId="48268A9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）保修期内，因承包人原因造成工程的缺陷、损坏，承包人应负责修复，并承担修复的费用以及因工程的缺陷、损坏造成的人身伤害和财产损失；</w:t>
      </w:r>
    </w:p>
    <w:p w14:paraId="473A3FA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）保修期内，因发包人使用不当造成工程的缺陷、损坏，可以委托承包人修复，但发包人应承担修复的费用，并支付承包人合理利润；</w:t>
      </w:r>
    </w:p>
    <w:p w14:paraId="0FED298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）因其他原因造成工程的缺陷、损坏，可以委托承包人修复，发包人应承担修复的费用，并支付承包人合理的利润，因工程的缺陷、损坏造成的人身伤害和财产损失由责任方承担。</w:t>
      </w:r>
    </w:p>
    <w:p w14:paraId="5ADBAC3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15.4.3 </w:t>
      </w:r>
      <w:r>
        <w:rPr>
          <w:rFonts w:hint="eastAsia" w:asciiTheme="minorEastAsia" w:hAnsiTheme="minorEastAsia" w:eastAsiaTheme="minorEastAsia"/>
          <w:color w:val="auto"/>
          <w:kern w:val="0"/>
          <w:szCs w:val="21"/>
          <w:highlight w:val="none"/>
        </w:rPr>
        <w:t>修复通知</w:t>
      </w:r>
    </w:p>
    <w:p w14:paraId="67BAB97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在保修期内，发包人在使用过程中，发现已接收的工程存在缺陷或损坏的，应书面通知承包人予以修复，但情况紧急必须立即修复缺陷或损坏的，发包人可以口头通知承包人并在口头通知后</w:t>
      </w:r>
      <w:r>
        <w:rPr>
          <w:rFonts w:asciiTheme="minorEastAsia" w:hAnsiTheme="minorEastAsia" w:eastAsiaTheme="minorEastAsia"/>
          <w:color w:val="auto"/>
          <w:kern w:val="0"/>
          <w:szCs w:val="21"/>
          <w:highlight w:val="none"/>
        </w:rPr>
        <w:t>48</w:t>
      </w:r>
      <w:r>
        <w:rPr>
          <w:rFonts w:hint="eastAsia" w:asciiTheme="minorEastAsia" w:hAnsiTheme="minorEastAsia" w:eastAsiaTheme="minorEastAsia"/>
          <w:color w:val="auto"/>
          <w:kern w:val="0"/>
          <w:szCs w:val="21"/>
          <w:highlight w:val="none"/>
        </w:rPr>
        <w:t>小时内书面确认，承包人应在专用合同条款约定的合理期限内到达工程现场并修复缺陷或损坏。</w:t>
      </w:r>
    </w:p>
    <w:p w14:paraId="7AF65594">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15.4.4 </w:t>
      </w:r>
      <w:r>
        <w:rPr>
          <w:rFonts w:hint="eastAsia" w:asciiTheme="minorEastAsia" w:hAnsiTheme="minorEastAsia" w:eastAsiaTheme="minorEastAsia"/>
          <w:color w:val="auto"/>
          <w:kern w:val="0"/>
          <w:szCs w:val="21"/>
          <w:highlight w:val="none"/>
        </w:rPr>
        <w:t>未能修复</w:t>
      </w:r>
    </w:p>
    <w:p w14:paraId="6702CBB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5FA68EE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15.4.5 </w:t>
      </w:r>
      <w:r>
        <w:rPr>
          <w:rFonts w:hint="eastAsia" w:asciiTheme="minorEastAsia" w:hAnsiTheme="minorEastAsia" w:eastAsiaTheme="minorEastAsia"/>
          <w:color w:val="auto"/>
          <w:kern w:val="0"/>
          <w:szCs w:val="21"/>
          <w:highlight w:val="none"/>
        </w:rPr>
        <w:t>承包人出入权</w:t>
      </w:r>
    </w:p>
    <w:p w14:paraId="1AEC0B0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在保修期内，为了修复缺陷或损坏，承包人有权出入工程现场，除情况紧急必须立即修复缺陷或损坏外，承包人应提前</w:t>
      </w:r>
      <w:r>
        <w:rPr>
          <w:rFonts w:asciiTheme="minorEastAsia" w:hAnsiTheme="minorEastAsia" w:eastAsiaTheme="minorEastAsia"/>
          <w:color w:val="auto"/>
          <w:kern w:val="0"/>
          <w:szCs w:val="21"/>
          <w:highlight w:val="none"/>
        </w:rPr>
        <w:t>24</w:t>
      </w:r>
      <w:r>
        <w:rPr>
          <w:rFonts w:hint="eastAsia" w:asciiTheme="minorEastAsia" w:hAnsiTheme="minorEastAsia" w:eastAsiaTheme="minorEastAsia"/>
          <w:color w:val="auto"/>
          <w:kern w:val="0"/>
          <w:szCs w:val="21"/>
          <w:highlight w:val="none"/>
        </w:rPr>
        <w:t>小时通知发包人进场修复的时间。承包人进入工程现场前应获得发包人同意，且不应影响发包人正常的生产经营，并应遵守发包人有关保安和保密等规定。</w:t>
      </w:r>
    </w:p>
    <w:p w14:paraId="0AD09C05">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84" w:name="_Toc19018"/>
      <w:bookmarkStart w:id="285" w:name="_Toc4790"/>
      <w:bookmarkStart w:id="286" w:name="_Toc4909"/>
      <w:r>
        <w:rPr>
          <w:rFonts w:hint="eastAsia" w:asciiTheme="minorEastAsia" w:hAnsiTheme="minorEastAsia" w:eastAsiaTheme="minorEastAsia"/>
          <w:b/>
          <w:color w:val="auto"/>
          <w:szCs w:val="21"/>
          <w:highlight w:val="none"/>
        </w:rPr>
        <w:t>16. 违约</w:t>
      </w:r>
      <w:bookmarkEnd w:id="284"/>
      <w:bookmarkEnd w:id="285"/>
      <w:bookmarkEnd w:id="286"/>
    </w:p>
    <w:p w14:paraId="1D61423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16.1 </w:t>
      </w:r>
      <w:r>
        <w:rPr>
          <w:rFonts w:hint="eastAsia" w:asciiTheme="minorEastAsia" w:hAnsiTheme="minorEastAsia" w:eastAsiaTheme="minorEastAsia"/>
          <w:b w:val="0"/>
          <w:color w:val="auto"/>
          <w:sz w:val="21"/>
          <w:szCs w:val="21"/>
          <w:highlight w:val="none"/>
        </w:rPr>
        <w:t>发包人违约</w:t>
      </w:r>
    </w:p>
    <w:p w14:paraId="3607BD5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16.1.1 </w:t>
      </w:r>
      <w:r>
        <w:rPr>
          <w:rFonts w:hint="eastAsia" w:asciiTheme="minorEastAsia" w:hAnsiTheme="minorEastAsia" w:eastAsiaTheme="minorEastAsia"/>
          <w:color w:val="auto"/>
          <w:kern w:val="0"/>
          <w:szCs w:val="21"/>
          <w:highlight w:val="none"/>
        </w:rPr>
        <w:t>发包人违约的情形</w:t>
      </w:r>
    </w:p>
    <w:p w14:paraId="58247F2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在合同履行过程中发生的下列情形，属于发包人违约：</w:t>
      </w:r>
    </w:p>
    <w:p w14:paraId="3846001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）因发包人原因未能在计划开工日期前</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天内下达开工通知的；</w:t>
      </w:r>
    </w:p>
    <w:p w14:paraId="63E1A8A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）因发包人原因未能按合同约定支付合同价款的；</w:t>
      </w:r>
    </w:p>
    <w:p w14:paraId="32FAD19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）发包人违反第</w:t>
      </w:r>
      <w:r>
        <w:rPr>
          <w:rFonts w:asciiTheme="minorEastAsia" w:hAnsiTheme="minorEastAsia" w:eastAsiaTheme="minorEastAsia"/>
          <w:color w:val="auto"/>
          <w:kern w:val="0"/>
          <w:szCs w:val="21"/>
          <w:highlight w:val="none"/>
        </w:rPr>
        <w:t>10.1</w:t>
      </w:r>
      <w:r>
        <w:rPr>
          <w:rFonts w:hint="eastAsia" w:asciiTheme="minorEastAsia" w:hAnsiTheme="minorEastAsia" w:eastAsiaTheme="minorEastAsia"/>
          <w:color w:val="auto"/>
          <w:kern w:val="0"/>
          <w:szCs w:val="21"/>
          <w:highlight w:val="none"/>
        </w:rPr>
        <w:t>款〔变更的范围〕第（</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）项约定，自行实施被取消的工作或转由他人实施的；</w:t>
      </w:r>
    </w:p>
    <w:p w14:paraId="157FC9B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）发包人提供的材料、工程设备的规格、数量或质量不符合合同约定，或因发包人原因导致交货日期延误或交货地点变更等情况的；</w:t>
      </w:r>
    </w:p>
    <w:p w14:paraId="5875793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）因发包人违反合同约定造成暂停施工的；</w:t>
      </w:r>
    </w:p>
    <w:p w14:paraId="0074C25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）发包人无正当理由没有在约定期限内发出复工指示，导致承包人无法复工的；</w:t>
      </w:r>
    </w:p>
    <w:p w14:paraId="3B5CBDF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）发包人明确表示或者以其行为表明不履行合同主要义务的；</w:t>
      </w:r>
    </w:p>
    <w:p w14:paraId="717A649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8</w:t>
      </w:r>
      <w:r>
        <w:rPr>
          <w:rFonts w:hint="eastAsia" w:asciiTheme="minorEastAsia" w:hAnsiTheme="minorEastAsia" w:eastAsiaTheme="minorEastAsia"/>
          <w:color w:val="auto"/>
          <w:kern w:val="0"/>
          <w:szCs w:val="21"/>
          <w:highlight w:val="none"/>
        </w:rPr>
        <w:t>）发包人未能按照合同约定履行其他义务的。</w:t>
      </w:r>
    </w:p>
    <w:p w14:paraId="69E5546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发包人发生除本项第（</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）目以外的违约情况时，承包人可向发包人发出通知，要求发包人采取有效措施纠正违约行为。发包人收到承包人通知后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天内仍不纠正违约行为的，承包人有权暂停相应部位工程施工，并通知监理人。</w:t>
      </w:r>
    </w:p>
    <w:p w14:paraId="01B1195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16.1.2 </w:t>
      </w:r>
      <w:r>
        <w:rPr>
          <w:rFonts w:hint="eastAsia" w:asciiTheme="minorEastAsia" w:hAnsiTheme="minorEastAsia" w:eastAsiaTheme="minorEastAsia"/>
          <w:color w:val="auto"/>
          <w:kern w:val="0"/>
          <w:szCs w:val="21"/>
          <w:highlight w:val="none"/>
        </w:rPr>
        <w:t>发包人违约的责任</w:t>
      </w:r>
    </w:p>
    <w:p w14:paraId="4D39381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发包人应承担因其违约给承包人增加的费用和（或）延误的工期，并支付承包人合理的利润。此外，合同当事人可在专用合同条款中另行约定发包人违约责任的承担方式和计算方法。</w:t>
      </w:r>
    </w:p>
    <w:p w14:paraId="6E46673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16.1.3 </w:t>
      </w:r>
      <w:r>
        <w:rPr>
          <w:rFonts w:hint="eastAsia" w:asciiTheme="minorEastAsia" w:hAnsiTheme="minorEastAsia" w:eastAsiaTheme="minorEastAsia"/>
          <w:color w:val="auto"/>
          <w:kern w:val="0"/>
          <w:szCs w:val="21"/>
          <w:highlight w:val="none"/>
        </w:rPr>
        <w:t>因发包人违约解除合同</w:t>
      </w:r>
    </w:p>
    <w:p w14:paraId="7E90531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除专用合同条款另有约定外，承包人按第</w:t>
      </w:r>
      <w:r>
        <w:rPr>
          <w:rFonts w:asciiTheme="minorEastAsia" w:hAnsiTheme="minorEastAsia" w:eastAsiaTheme="minorEastAsia"/>
          <w:color w:val="auto"/>
          <w:kern w:val="0"/>
          <w:szCs w:val="21"/>
          <w:highlight w:val="none"/>
        </w:rPr>
        <w:t>16.1.1</w:t>
      </w:r>
      <w:r>
        <w:rPr>
          <w:rFonts w:hint="eastAsia" w:asciiTheme="minorEastAsia" w:hAnsiTheme="minorEastAsia" w:eastAsiaTheme="minorEastAsia"/>
          <w:color w:val="auto"/>
          <w:kern w:val="0"/>
          <w:szCs w:val="21"/>
          <w:highlight w:val="none"/>
        </w:rPr>
        <w:t>项〔发包人违约的情形〕约定暂停施工满</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天后，发包人仍不纠正其违约行为并致使合同目的不能实现的，或出现第</w:t>
      </w:r>
      <w:r>
        <w:rPr>
          <w:rFonts w:asciiTheme="minorEastAsia" w:hAnsiTheme="minorEastAsia" w:eastAsiaTheme="minorEastAsia"/>
          <w:color w:val="auto"/>
          <w:kern w:val="0"/>
          <w:szCs w:val="21"/>
          <w:highlight w:val="none"/>
        </w:rPr>
        <w:t>16.1.1</w:t>
      </w:r>
      <w:r>
        <w:rPr>
          <w:rFonts w:hint="eastAsia" w:asciiTheme="minorEastAsia" w:hAnsiTheme="minorEastAsia" w:eastAsiaTheme="minorEastAsia"/>
          <w:color w:val="auto"/>
          <w:kern w:val="0"/>
          <w:szCs w:val="21"/>
          <w:highlight w:val="none"/>
        </w:rPr>
        <w:t>项〔发包人违约的情形〕第（</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）目约定的违约情况，承包人有权解除合同，发包人应承担由此增加的费用，并支付承包人合理的利润。</w:t>
      </w:r>
    </w:p>
    <w:p w14:paraId="027FD94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kern w:val="0"/>
          <w:szCs w:val="21"/>
          <w:highlight w:val="none"/>
        </w:rPr>
        <w:t xml:space="preserve">16.1.4 </w:t>
      </w:r>
      <w:r>
        <w:rPr>
          <w:rFonts w:hint="eastAsia" w:asciiTheme="minorEastAsia" w:hAnsiTheme="minorEastAsia" w:eastAsiaTheme="minorEastAsia"/>
          <w:color w:val="auto"/>
          <w:kern w:val="0"/>
          <w:szCs w:val="21"/>
          <w:highlight w:val="none"/>
        </w:rPr>
        <w:t>因发包人违约解除合同后的付款</w:t>
      </w:r>
    </w:p>
    <w:p w14:paraId="7F16E34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承包人按照本款约定解除合同的，发包人应在解除合同后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天内支付下列款项，并解除履约担保：</w:t>
      </w:r>
    </w:p>
    <w:p w14:paraId="357ACCF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）合同解除前所完成工作的价款；</w:t>
      </w:r>
    </w:p>
    <w:p w14:paraId="47811AF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）承包人为工程施工订购并已付款的材料、工程设备和其他物品的价款；</w:t>
      </w:r>
    </w:p>
    <w:p w14:paraId="752CFFF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）承包人撤离施工现场以及遣散承包人人员的款项；</w:t>
      </w:r>
    </w:p>
    <w:p w14:paraId="28F9458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）按照合同约定在合同解除前应支付的违约金；</w:t>
      </w:r>
    </w:p>
    <w:p w14:paraId="4E9BB79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）按照合同约定应当支付给承包人的其他款项；</w:t>
      </w:r>
    </w:p>
    <w:p w14:paraId="778C31B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）按照合同约定应退还的质量保证金；</w:t>
      </w:r>
    </w:p>
    <w:p w14:paraId="670F347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）因解除合同给承包人造成的损失。</w:t>
      </w:r>
    </w:p>
    <w:p w14:paraId="6253639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合同当事人未能就解除合同后的结清达成一致的，按照第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条〔争议解决〕的约定处理。</w:t>
      </w:r>
    </w:p>
    <w:p w14:paraId="5AD745F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承包人应妥善做好已完工程和与工程有关的已购材料、工程设备的保护和移交工作，并将施工设备和人员撤出施工现场，发包人应为承包人撤出提供必要条件。</w:t>
      </w:r>
    </w:p>
    <w:p w14:paraId="39AC514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16.2 </w:t>
      </w:r>
      <w:r>
        <w:rPr>
          <w:rFonts w:hint="eastAsia" w:asciiTheme="minorEastAsia" w:hAnsiTheme="minorEastAsia" w:eastAsiaTheme="minorEastAsia"/>
          <w:b w:val="0"/>
          <w:color w:val="auto"/>
          <w:sz w:val="21"/>
          <w:szCs w:val="21"/>
          <w:highlight w:val="none"/>
        </w:rPr>
        <w:t>承包人违约</w:t>
      </w:r>
    </w:p>
    <w:p w14:paraId="520C5FC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16.2.1 </w:t>
      </w:r>
      <w:r>
        <w:rPr>
          <w:rFonts w:hint="eastAsia" w:asciiTheme="minorEastAsia" w:hAnsiTheme="minorEastAsia" w:eastAsiaTheme="minorEastAsia"/>
          <w:color w:val="auto"/>
          <w:kern w:val="0"/>
          <w:szCs w:val="21"/>
          <w:highlight w:val="none"/>
        </w:rPr>
        <w:t>承包人违约的情形</w:t>
      </w:r>
    </w:p>
    <w:p w14:paraId="7DF22CB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在合同履行过程中发生的下列情形，属于承包人违约：</w:t>
      </w:r>
    </w:p>
    <w:p w14:paraId="36DE974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）承包人违反合同约定进行转包或违法分包的；</w:t>
      </w:r>
    </w:p>
    <w:p w14:paraId="707599C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）承包人违反合同约定采购和使用不合格的材料和工程设备的；</w:t>
      </w:r>
    </w:p>
    <w:p w14:paraId="54D32CA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）因承包人原因导致工程质量不符合合同要求的；</w:t>
      </w:r>
      <w:r>
        <w:rPr>
          <w:rFonts w:asciiTheme="minorEastAsia" w:hAnsiTheme="minorEastAsia" w:eastAsiaTheme="minorEastAsia"/>
          <w:color w:val="auto"/>
          <w:kern w:val="0"/>
          <w:szCs w:val="21"/>
          <w:highlight w:val="none"/>
        </w:rPr>
        <w:t xml:space="preserve"> </w:t>
      </w:r>
    </w:p>
    <w:p w14:paraId="6D7BCD9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）承包人违反第</w:t>
      </w:r>
      <w:r>
        <w:rPr>
          <w:rFonts w:asciiTheme="minorEastAsia" w:hAnsiTheme="minorEastAsia" w:eastAsiaTheme="minorEastAsia"/>
          <w:color w:val="auto"/>
          <w:kern w:val="0"/>
          <w:szCs w:val="21"/>
          <w:highlight w:val="none"/>
        </w:rPr>
        <w:t>8.9</w:t>
      </w:r>
      <w:r>
        <w:rPr>
          <w:rFonts w:hint="eastAsia" w:asciiTheme="minorEastAsia" w:hAnsiTheme="minorEastAsia" w:eastAsiaTheme="minorEastAsia"/>
          <w:color w:val="auto"/>
          <w:kern w:val="0"/>
          <w:szCs w:val="21"/>
          <w:highlight w:val="none"/>
        </w:rPr>
        <w:t>款〔材料与设备专用要求〕的约定，未经批准，私自将已按照合同约定进入施工现场的材料或设备撤离施工现场的；</w:t>
      </w:r>
    </w:p>
    <w:p w14:paraId="6B25E75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）承包人未能按施工进度计划及时完成合同约定的工作，造成工期延误的；</w:t>
      </w:r>
    </w:p>
    <w:p w14:paraId="340687F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）承包人在缺陷责任期及保修期内，未能在合理期限对工程缺陷进行修复，或拒绝按发包人要求进行修复的；</w:t>
      </w:r>
    </w:p>
    <w:p w14:paraId="7C30F69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）承包人明确表示或者以其行为表明不履行合同主要义务的；</w:t>
      </w:r>
    </w:p>
    <w:p w14:paraId="09D2C10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8</w:t>
      </w:r>
      <w:r>
        <w:rPr>
          <w:rFonts w:hint="eastAsia" w:asciiTheme="minorEastAsia" w:hAnsiTheme="minorEastAsia" w:eastAsiaTheme="minorEastAsia"/>
          <w:color w:val="auto"/>
          <w:kern w:val="0"/>
          <w:szCs w:val="21"/>
          <w:highlight w:val="none"/>
        </w:rPr>
        <w:t>）承包人未能按照合同约定履行其他义务的。</w:t>
      </w:r>
    </w:p>
    <w:p w14:paraId="76D9111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承包人发生除本项第（</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）目约定以外的其他违约情况时，监理人可向承包人发出整改通知，要求其在指定的期限内改正。</w:t>
      </w:r>
    </w:p>
    <w:p w14:paraId="6D9FE0A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16.2.2 </w:t>
      </w:r>
      <w:r>
        <w:rPr>
          <w:rFonts w:hint="eastAsia" w:asciiTheme="minorEastAsia" w:hAnsiTheme="minorEastAsia" w:eastAsiaTheme="minorEastAsia"/>
          <w:color w:val="auto"/>
          <w:kern w:val="0"/>
          <w:szCs w:val="21"/>
          <w:highlight w:val="none"/>
        </w:rPr>
        <w:t>承包人违约的责任</w:t>
      </w:r>
    </w:p>
    <w:p w14:paraId="2BEA6A5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承包人应承担因其违约行为而增加的费用和（或）延误的工期。此外，合同当事人可在专用合同条款中另行约定承包人违约责任的承担方式和计算方法。</w:t>
      </w:r>
    </w:p>
    <w:p w14:paraId="57926DF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16.2.3 </w:t>
      </w:r>
      <w:r>
        <w:rPr>
          <w:rFonts w:hint="eastAsia" w:asciiTheme="minorEastAsia" w:hAnsiTheme="minorEastAsia" w:eastAsiaTheme="minorEastAsia"/>
          <w:color w:val="auto"/>
          <w:kern w:val="0"/>
          <w:szCs w:val="21"/>
          <w:highlight w:val="none"/>
        </w:rPr>
        <w:t>因承包人违约解除合同</w:t>
      </w:r>
    </w:p>
    <w:p w14:paraId="106EABA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除专用合同条款另有约定外，出现第</w:t>
      </w:r>
      <w:r>
        <w:rPr>
          <w:rFonts w:asciiTheme="minorEastAsia" w:hAnsiTheme="minorEastAsia" w:eastAsiaTheme="minorEastAsia"/>
          <w:color w:val="auto"/>
          <w:kern w:val="0"/>
          <w:szCs w:val="21"/>
          <w:highlight w:val="none"/>
        </w:rPr>
        <w:t>16.2.1</w:t>
      </w:r>
      <w:r>
        <w:rPr>
          <w:rFonts w:hint="eastAsia" w:asciiTheme="minorEastAsia" w:hAnsiTheme="minorEastAsia" w:eastAsiaTheme="minorEastAsia"/>
          <w:color w:val="auto"/>
          <w:kern w:val="0"/>
          <w:szCs w:val="21"/>
          <w:highlight w:val="none"/>
        </w:rPr>
        <w:t>项〔承包人违约的情形〕第（</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427BE53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16.2.4</w:t>
      </w:r>
      <w:r>
        <w:rPr>
          <w:rFonts w:hint="eastAsia" w:asciiTheme="minorEastAsia" w:hAnsiTheme="minorEastAsia" w:eastAsiaTheme="minorEastAsia"/>
          <w:color w:val="auto"/>
          <w:kern w:val="0"/>
          <w:szCs w:val="21"/>
          <w:highlight w:val="none"/>
        </w:rPr>
        <w:t>因承包人违约解除合同后的处理</w:t>
      </w:r>
    </w:p>
    <w:p w14:paraId="3994642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因承包人原因导致合同解除的，则合同当事人应在合同解除后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天内完成估价、付款和清算，并按以下约定执行：</w:t>
      </w:r>
    </w:p>
    <w:p w14:paraId="47475D2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）合同解除后，按第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款〔商定或确定〕商定或确定承包人实际完成工作对应的合同价款，以及承包人已提供的材料、工程设备、施工设备和临时工程等的价值；</w:t>
      </w:r>
    </w:p>
    <w:p w14:paraId="33D2F11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）合同解除后，承包人应支付的违约金；</w:t>
      </w:r>
    </w:p>
    <w:p w14:paraId="2C340D8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）合同解除后，因解除合同给发包人造成的损失；</w:t>
      </w:r>
    </w:p>
    <w:p w14:paraId="02FB6DF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）合同解除后，承包人应按照发包人要求和监理人的指示完成现场的清理和撤离；</w:t>
      </w:r>
    </w:p>
    <w:p w14:paraId="6C140B47">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）发包人和承包人应在合同解除后进行清算，出具最终结清付款证书，结清全部款项。</w:t>
      </w:r>
    </w:p>
    <w:p w14:paraId="494FD20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因承包人违约解除合同的，发包人有权暂停对承包人的付款，查清各项付款和已扣款项。发包人和承包人未能就合同解除后的清算和款项支付达成一致的，按照第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条〔争议解决〕的约定处理。</w:t>
      </w:r>
    </w:p>
    <w:p w14:paraId="1C8FAE9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16.2.5</w:t>
      </w:r>
      <w:r>
        <w:rPr>
          <w:rFonts w:hint="eastAsia" w:asciiTheme="minorEastAsia" w:hAnsiTheme="minorEastAsia" w:eastAsiaTheme="minorEastAsia"/>
          <w:color w:val="auto"/>
          <w:kern w:val="0"/>
          <w:szCs w:val="21"/>
          <w:highlight w:val="none"/>
        </w:rPr>
        <w:t>采购合同权益转让</w:t>
      </w:r>
    </w:p>
    <w:p w14:paraId="6C171E4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因承包人违约解除合同的，发包人有权要求承包人将其为实施合同而签订的材料和设备的采购合同的权益转让给发包人，承包人应在收到解除合同通知后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天内，协助发包人与采购合同的供应商达成相关的转让协议。</w:t>
      </w:r>
    </w:p>
    <w:p w14:paraId="04F032ED">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16.3 </w:t>
      </w:r>
      <w:r>
        <w:rPr>
          <w:rFonts w:hint="eastAsia" w:asciiTheme="minorEastAsia" w:hAnsiTheme="minorEastAsia" w:eastAsiaTheme="minorEastAsia"/>
          <w:b w:val="0"/>
          <w:color w:val="auto"/>
          <w:sz w:val="21"/>
          <w:szCs w:val="21"/>
          <w:highlight w:val="none"/>
        </w:rPr>
        <w:t>第三人造成的违约</w:t>
      </w:r>
    </w:p>
    <w:p w14:paraId="24540DD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在履行合同过程中，一方当事人因第三人的原因造成违约的，应当向对方当事人承担违约责任。一方当事人和第三人之间的纠纷，依照法律规定或者按照约定解决。</w:t>
      </w:r>
    </w:p>
    <w:p w14:paraId="59341255">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87" w:name="_Toc20237"/>
      <w:bookmarkStart w:id="288" w:name="_Toc20498"/>
      <w:bookmarkStart w:id="289" w:name="_Toc14611"/>
      <w:r>
        <w:rPr>
          <w:rFonts w:hint="eastAsia" w:asciiTheme="minorEastAsia" w:hAnsiTheme="minorEastAsia" w:eastAsiaTheme="minorEastAsia"/>
          <w:b/>
          <w:color w:val="auto"/>
          <w:szCs w:val="21"/>
          <w:highlight w:val="none"/>
        </w:rPr>
        <w:t>17. 不可抗力</w:t>
      </w:r>
      <w:bookmarkEnd w:id="287"/>
      <w:bookmarkEnd w:id="288"/>
      <w:bookmarkEnd w:id="289"/>
      <w:r>
        <w:rPr>
          <w:rFonts w:hint="eastAsia" w:asciiTheme="minorEastAsia" w:hAnsiTheme="minorEastAsia" w:eastAsiaTheme="minorEastAsia"/>
          <w:b/>
          <w:color w:val="auto"/>
          <w:szCs w:val="21"/>
          <w:highlight w:val="none"/>
        </w:rPr>
        <w:t xml:space="preserve"> </w:t>
      </w:r>
    </w:p>
    <w:p w14:paraId="6E03B9D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17.1 </w:t>
      </w:r>
      <w:r>
        <w:rPr>
          <w:rFonts w:hint="eastAsia" w:asciiTheme="minorEastAsia" w:hAnsiTheme="minorEastAsia" w:eastAsiaTheme="minorEastAsia"/>
          <w:b w:val="0"/>
          <w:color w:val="auto"/>
          <w:sz w:val="21"/>
          <w:szCs w:val="21"/>
          <w:highlight w:val="none"/>
        </w:rPr>
        <w:t>不可抗力的确认</w:t>
      </w:r>
    </w:p>
    <w:p w14:paraId="5B58B90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不可抗力是指合同当事人在签订合同时不可预见，在合同履行过程中不可避免且不能克服的自然灾害和社会性突发事件，如地震、海啸、瘟疫、骚乱、戒严、暴动、战争和专用合同条款中约定的其他情形。</w:t>
      </w:r>
    </w:p>
    <w:p w14:paraId="323516E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不可抗力发生后，发包人和承包人应收集证明不可抗力发生及不可抗力造成损失的证据，并及时认真统计所造成的损失。合同当事人对是否属于不可抗力或其损失的意见不一致的，由监理人按第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款〔商定或确定〕的约定处理。发生争议时，按第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条〔争议解决〕的约定处理。</w:t>
      </w:r>
    </w:p>
    <w:p w14:paraId="6D0BCB96">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17.2 </w:t>
      </w:r>
      <w:r>
        <w:rPr>
          <w:rFonts w:hint="eastAsia" w:asciiTheme="minorEastAsia" w:hAnsiTheme="minorEastAsia" w:eastAsiaTheme="minorEastAsia"/>
          <w:b w:val="0"/>
          <w:color w:val="auto"/>
          <w:sz w:val="21"/>
          <w:szCs w:val="21"/>
          <w:highlight w:val="none"/>
        </w:rPr>
        <w:t>不可抗力的通知</w:t>
      </w:r>
    </w:p>
    <w:p w14:paraId="43F6A10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合同一方当事人遇到不可抗力事件，使其履行合同义务受到阻碍时，应立即通知合同另一方当事人和监理人，书面说明不可抗力和受阻碍的详细情况，并提供必要的证明。</w:t>
      </w:r>
    </w:p>
    <w:p w14:paraId="1C1B6595">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不可抗力持续发生的，合同一方当事人应及时向合同另一方当事人和监理人提交中间报告，说明不可抗力和履行合同受阻的情况，并于不可抗力事件结束后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天内提交最终报告及有关资料。</w:t>
      </w:r>
    </w:p>
    <w:p w14:paraId="50B0CC91">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17.3 </w:t>
      </w:r>
      <w:r>
        <w:rPr>
          <w:rFonts w:hint="eastAsia" w:asciiTheme="minorEastAsia" w:hAnsiTheme="minorEastAsia" w:eastAsiaTheme="minorEastAsia"/>
          <w:b w:val="0"/>
          <w:color w:val="auto"/>
          <w:sz w:val="21"/>
          <w:szCs w:val="21"/>
          <w:highlight w:val="none"/>
        </w:rPr>
        <w:t>不可抗力后果的承担</w:t>
      </w:r>
    </w:p>
    <w:p w14:paraId="3993F4E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17.3.1 </w:t>
      </w:r>
      <w:r>
        <w:rPr>
          <w:rFonts w:hint="eastAsia" w:asciiTheme="minorEastAsia" w:hAnsiTheme="minorEastAsia" w:eastAsiaTheme="minorEastAsia"/>
          <w:color w:val="auto"/>
          <w:kern w:val="0"/>
          <w:szCs w:val="21"/>
          <w:highlight w:val="none"/>
        </w:rPr>
        <w:t>不可抗力引起的后果及造成的损失由合同当事人按照法律规定及合同约定各自承担。不可抗力发生前已完成的工程应当按照合同约定进行计量支付。</w:t>
      </w:r>
    </w:p>
    <w:p w14:paraId="7E319FF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17.3.2 </w:t>
      </w:r>
      <w:r>
        <w:rPr>
          <w:rFonts w:hint="eastAsia" w:asciiTheme="minorEastAsia" w:hAnsiTheme="minorEastAsia" w:eastAsiaTheme="minorEastAsia"/>
          <w:color w:val="auto"/>
          <w:kern w:val="0"/>
          <w:szCs w:val="21"/>
          <w:highlight w:val="none"/>
        </w:rPr>
        <w:t>不可抗力导致的人员伤亡、财产损失、费用增加和（或）工期延误等后果，由合同当事人按以下原则承担：</w:t>
      </w:r>
    </w:p>
    <w:p w14:paraId="0C5329B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）永久工程、已运至施工现场的材料和工程设备的损坏，以及因工程损坏造成的第三人人员伤亡和财产损失由发包人承担；</w:t>
      </w:r>
    </w:p>
    <w:p w14:paraId="05A16A6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）承包人施工设备的损坏由承包人承担；</w:t>
      </w:r>
    </w:p>
    <w:p w14:paraId="7FE8FB9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）发包人和承包人承担各自人员伤亡和财产的损失；</w:t>
      </w:r>
    </w:p>
    <w:p w14:paraId="432752E4">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）因不可抗力影响承包人履行合同约定的义务，已经引起或将引起工期延误的，应当顺延工期，由此导致承包人停工的费用损失由发包人和承包人合理分担，停工期间必须支付的工人工资由发包人承担；</w:t>
      </w:r>
    </w:p>
    <w:p w14:paraId="0D181B0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）因不可抗力引起或将引起工期延误，发包人要求赶工的，由此增加的赶工费用由发包人承担；</w:t>
      </w:r>
    </w:p>
    <w:p w14:paraId="3EF9D09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）承包人在停工期间按照发包人要求照管、清理和修复工程的费用由发包人承担。</w:t>
      </w:r>
    </w:p>
    <w:p w14:paraId="6A61F987">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不可抗力发生后，合同当事人均应采取措施尽量避免和减少损失的扩大，任何一方当事人没有采取有效措施导致损失扩大的，应对扩大的损失承担责任。</w:t>
      </w:r>
    </w:p>
    <w:p w14:paraId="0CFF058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因合同一方迟延履行合同义务，在迟延履行期间遭遇不可抗力的，不免除其违约责任。</w:t>
      </w:r>
    </w:p>
    <w:p w14:paraId="05C7E5FA">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17.4 </w:t>
      </w:r>
      <w:r>
        <w:rPr>
          <w:rFonts w:hint="eastAsia" w:asciiTheme="minorEastAsia" w:hAnsiTheme="minorEastAsia" w:eastAsiaTheme="minorEastAsia"/>
          <w:b w:val="0"/>
          <w:color w:val="auto"/>
          <w:sz w:val="21"/>
          <w:szCs w:val="21"/>
          <w:highlight w:val="none"/>
        </w:rPr>
        <w:t>因不可抗力解除合同</w:t>
      </w:r>
    </w:p>
    <w:p w14:paraId="42EACA6D">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因不可抗力导致合同无法履行连续超过</w:t>
      </w:r>
      <w:r>
        <w:rPr>
          <w:rFonts w:asciiTheme="minorEastAsia" w:hAnsiTheme="minorEastAsia" w:eastAsiaTheme="minorEastAsia"/>
          <w:color w:val="auto"/>
          <w:kern w:val="0"/>
          <w:szCs w:val="21"/>
          <w:highlight w:val="none"/>
        </w:rPr>
        <w:t>84</w:t>
      </w:r>
      <w:r>
        <w:rPr>
          <w:rFonts w:hint="eastAsia" w:asciiTheme="minorEastAsia" w:hAnsiTheme="minorEastAsia" w:eastAsiaTheme="minorEastAsia"/>
          <w:color w:val="auto"/>
          <w:kern w:val="0"/>
          <w:szCs w:val="21"/>
          <w:highlight w:val="none"/>
        </w:rPr>
        <w:t>天或累计超过</w:t>
      </w:r>
      <w:r>
        <w:rPr>
          <w:rFonts w:asciiTheme="minorEastAsia" w:hAnsiTheme="minorEastAsia" w:eastAsiaTheme="minorEastAsia"/>
          <w:color w:val="auto"/>
          <w:kern w:val="0"/>
          <w:szCs w:val="21"/>
          <w:highlight w:val="none"/>
        </w:rPr>
        <w:t>140</w:t>
      </w:r>
      <w:r>
        <w:rPr>
          <w:rFonts w:hint="eastAsia" w:asciiTheme="minorEastAsia" w:hAnsiTheme="minorEastAsia" w:eastAsiaTheme="minorEastAsia"/>
          <w:color w:val="auto"/>
          <w:kern w:val="0"/>
          <w:szCs w:val="21"/>
          <w:highlight w:val="none"/>
        </w:rPr>
        <w:t>天的，发包人和承包人均有权解除合同。合同解除后，由双方当事人按照第</w:t>
      </w:r>
      <w:r>
        <w:rPr>
          <w:rFonts w:asciiTheme="minorEastAsia" w:hAnsiTheme="minorEastAsia" w:eastAsiaTheme="minorEastAsia"/>
          <w:color w:val="auto"/>
          <w:kern w:val="0"/>
          <w:szCs w:val="21"/>
          <w:highlight w:val="none"/>
        </w:rPr>
        <w:t>4.4</w:t>
      </w:r>
      <w:r>
        <w:rPr>
          <w:rFonts w:hint="eastAsia" w:asciiTheme="minorEastAsia" w:hAnsiTheme="minorEastAsia" w:eastAsiaTheme="minorEastAsia"/>
          <w:color w:val="auto"/>
          <w:kern w:val="0"/>
          <w:szCs w:val="21"/>
          <w:highlight w:val="none"/>
        </w:rPr>
        <w:t>款〔商定或确定〕商定或确定发包人应支付的款项，该款项包括：</w:t>
      </w:r>
    </w:p>
    <w:p w14:paraId="6C900BEA">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）合同解除前承包人已完成工作的价款；</w:t>
      </w:r>
    </w:p>
    <w:p w14:paraId="464603E5">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）承包人为工程订购的并已交付给承包人，或承包人有责任接受交付的材料、工程设备和其他物品的价款；</w:t>
      </w:r>
    </w:p>
    <w:p w14:paraId="1288AC91">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）发包人要求承包人退货或解除订货合同而产生的费用，或因不能退货或解除合同而产生的损失；</w:t>
      </w:r>
    </w:p>
    <w:p w14:paraId="75BDC1A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）承包人撤离施工现场以及遣散承包人人员的费用；</w:t>
      </w:r>
    </w:p>
    <w:p w14:paraId="21AB1D0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5</w:t>
      </w:r>
      <w:r>
        <w:rPr>
          <w:rFonts w:hint="eastAsia" w:asciiTheme="minorEastAsia" w:hAnsiTheme="minorEastAsia" w:eastAsiaTheme="minorEastAsia"/>
          <w:color w:val="auto"/>
          <w:kern w:val="0"/>
          <w:szCs w:val="21"/>
          <w:highlight w:val="none"/>
        </w:rPr>
        <w:t>）按照合同约定在合同解除前应支付给承包人的其他款项；</w:t>
      </w:r>
    </w:p>
    <w:p w14:paraId="5BB061B8">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6</w:t>
      </w:r>
      <w:r>
        <w:rPr>
          <w:rFonts w:hint="eastAsia" w:asciiTheme="minorEastAsia" w:hAnsiTheme="minorEastAsia" w:eastAsiaTheme="minorEastAsia"/>
          <w:color w:val="auto"/>
          <w:kern w:val="0"/>
          <w:szCs w:val="21"/>
          <w:highlight w:val="none"/>
        </w:rPr>
        <w:t>）扣减承包人按照合同约定应向发包人支付的款项；</w:t>
      </w:r>
    </w:p>
    <w:p w14:paraId="348C2D52">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7</w:t>
      </w:r>
      <w:r>
        <w:rPr>
          <w:rFonts w:hint="eastAsia" w:asciiTheme="minorEastAsia" w:hAnsiTheme="minorEastAsia" w:eastAsiaTheme="minorEastAsia"/>
          <w:color w:val="auto"/>
          <w:kern w:val="0"/>
          <w:szCs w:val="21"/>
          <w:highlight w:val="none"/>
        </w:rPr>
        <w:t>）双方商定或确定的其他款项。</w:t>
      </w:r>
    </w:p>
    <w:p w14:paraId="3A5385D0">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除专用合同条款另有约定外，合同解除后，发包人应在商定或确定上述款项后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天内完成上述款项的支付。</w:t>
      </w:r>
    </w:p>
    <w:p w14:paraId="00C5B5BA">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90" w:name="_Toc8033"/>
      <w:bookmarkStart w:id="291" w:name="_Toc24981"/>
      <w:bookmarkStart w:id="292" w:name="_Toc1054"/>
      <w:r>
        <w:rPr>
          <w:rFonts w:hint="eastAsia" w:asciiTheme="minorEastAsia" w:hAnsiTheme="minorEastAsia" w:eastAsiaTheme="minorEastAsia"/>
          <w:b/>
          <w:color w:val="auto"/>
          <w:szCs w:val="21"/>
          <w:highlight w:val="none"/>
        </w:rPr>
        <w:t>18. 保险</w:t>
      </w:r>
      <w:bookmarkEnd w:id="290"/>
      <w:bookmarkEnd w:id="291"/>
      <w:bookmarkEnd w:id="292"/>
    </w:p>
    <w:p w14:paraId="704DA3F2">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18.1 </w:t>
      </w:r>
      <w:r>
        <w:rPr>
          <w:rFonts w:hint="eastAsia" w:asciiTheme="minorEastAsia" w:hAnsiTheme="minorEastAsia" w:eastAsiaTheme="minorEastAsia"/>
          <w:b w:val="0"/>
          <w:color w:val="auto"/>
          <w:sz w:val="21"/>
          <w:szCs w:val="21"/>
          <w:highlight w:val="none"/>
        </w:rPr>
        <w:t>工程保险</w:t>
      </w:r>
    </w:p>
    <w:p w14:paraId="17C2B51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除专用合同条款另有约定外，发包人应投保建筑工程一切险或安装工程一切险；发包人委托承包人投保的，因投保产生的保险费和其他相关费用由发包人承担。</w:t>
      </w:r>
    </w:p>
    <w:p w14:paraId="1CDAD12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18.2 </w:t>
      </w:r>
      <w:r>
        <w:rPr>
          <w:rFonts w:hint="eastAsia" w:asciiTheme="minorEastAsia" w:hAnsiTheme="minorEastAsia" w:eastAsiaTheme="minorEastAsia"/>
          <w:b w:val="0"/>
          <w:color w:val="auto"/>
          <w:sz w:val="21"/>
          <w:szCs w:val="21"/>
          <w:highlight w:val="none"/>
        </w:rPr>
        <w:t>工伤保险</w:t>
      </w:r>
    </w:p>
    <w:p w14:paraId="5FF7DCE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18.2.1 </w:t>
      </w:r>
      <w:r>
        <w:rPr>
          <w:rFonts w:hint="eastAsia" w:asciiTheme="minorEastAsia" w:hAnsiTheme="minorEastAsia" w:eastAsiaTheme="minorEastAsia"/>
          <w:color w:val="auto"/>
          <w:kern w:val="0"/>
          <w:szCs w:val="21"/>
          <w:highlight w:val="none"/>
        </w:rPr>
        <w:t>发包人应依照法律规定参加工伤保险，并为在施工现场的全部员工办理工伤保险，缴纳工伤保险费，并要求监理人及由发包人为履行合同聘请的第三方依法参加工伤保险。</w:t>
      </w:r>
    </w:p>
    <w:p w14:paraId="09A18CB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18.2.2 </w:t>
      </w:r>
      <w:r>
        <w:rPr>
          <w:rFonts w:hint="eastAsia" w:asciiTheme="minorEastAsia" w:hAnsiTheme="minorEastAsia" w:eastAsiaTheme="minorEastAsia"/>
          <w:color w:val="auto"/>
          <w:kern w:val="0"/>
          <w:szCs w:val="21"/>
          <w:highlight w:val="none"/>
        </w:rPr>
        <w:t>承包人应依照法律规定参加工伤保险，并为其履行合同的全部员工办理工伤保险，缴纳工伤保险费，并要求分包人及由承包人为履行合同聘请的第三方依法参加工伤保险。</w:t>
      </w:r>
    </w:p>
    <w:p w14:paraId="5B9FD527">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18.3</w:t>
      </w:r>
      <w:r>
        <w:rPr>
          <w:rFonts w:hint="eastAsia" w:asciiTheme="minorEastAsia" w:hAnsiTheme="minorEastAsia" w:eastAsiaTheme="minorEastAsia"/>
          <w:b w:val="0"/>
          <w:color w:val="auto"/>
          <w:sz w:val="21"/>
          <w:szCs w:val="21"/>
          <w:highlight w:val="none"/>
        </w:rPr>
        <w:t>其他保险</w:t>
      </w:r>
    </w:p>
    <w:p w14:paraId="07D1066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发包人和承包人可以为其施工现场的全部人员办理意外伤害保险并支付保险费，包括其员工及为履行合同聘请的第三方的人员，具体事项由合同当事人在专用合同条款约定。</w:t>
      </w:r>
    </w:p>
    <w:p w14:paraId="22B6864C">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除专用合同条款另有约定外，承包人应为其施工设备等办理财产保险。</w:t>
      </w:r>
    </w:p>
    <w:p w14:paraId="02B8D9BA">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18.4</w:t>
      </w:r>
      <w:r>
        <w:rPr>
          <w:rFonts w:hint="eastAsia" w:asciiTheme="minorEastAsia" w:hAnsiTheme="minorEastAsia" w:eastAsiaTheme="minorEastAsia"/>
          <w:b w:val="0"/>
          <w:color w:val="auto"/>
          <w:sz w:val="21"/>
          <w:szCs w:val="21"/>
          <w:highlight w:val="none"/>
        </w:rPr>
        <w:t>持续保险</w:t>
      </w:r>
    </w:p>
    <w:p w14:paraId="5EF3BAB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合同当事人应与保险人保持联系，使保险人能够随时了解工程实施中的变动，并确保按保险合同条款要求持续保险。</w:t>
      </w:r>
    </w:p>
    <w:p w14:paraId="6D45E6F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18.5 </w:t>
      </w:r>
      <w:r>
        <w:rPr>
          <w:rFonts w:hint="eastAsia" w:asciiTheme="minorEastAsia" w:hAnsiTheme="minorEastAsia" w:eastAsiaTheme="minorEastAsia"/>
          <w:b w:val="0"/>
          <w:color w:val="auto"/>
          <w:sz w:val="21"/>
          <w:szCs w:val="21"/>
          <w:highlight w:val="none"/>
        </w:rPr>
        <w:t>保险凭证</w:t>
      </w:r>
    </w:p>
    <w:p w14:paraId="57AB1A63">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合同当事人应及时向另一方当事人提交其已投保的各项保险的凭证和保险单复印件。</w:t>
      </w:r>
    </w:p>
    <w:p w14:paraId="26E59EF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18.6 </w:t>
      </w:r>
      <w:r>
        <w:rPr>
          <w:rFonts w:hint="eastAsia" w:asciiTheme="minorEastAsia" w:hAnsiTheme="minorEastAsia" w:eastAsiaTheme="minorEastAsia"/>
          <w:b w:val="0"/>
          <w:color w:val="auto"/>
          <w:sz w:val="21"/>
          <w:szCs w:val="21"/>
          <w:highlight w:val="none"/>
        </w:rPr>
        <w:t>未按约定投保的补救</w:t>
      </w:r>
    </w:p>
    <w:p w14:paraId="24C1EC09">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18.6.1</w:t>
      </w:r>
      <w:r>
        <w:rPr>
          <w:rFonts w:hint="eastAsia" w:asciiTheme="minorEastAsia" w:hAnsiTheme="minorEastAsia" w:eastAsiaTheme="minorEastAsia"/>
          <w:color w:val="auto"/>
          <w:szCs w:val="21"/>
          <w:highlight w:val="none"/>
        </w:rPr>
        <w:t>发包人未按合同约定办理保险，或未能使保险持续有效的，则承包人可代为办理，所需费用由发包人承担。发包人未按合同约定办理保险，导致未能得到足额赔偿的，由发包人负责补足。</w:t>
      </w:r>
    </w:p>
    <w:p w14:paraId="63021ABB">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asciiTheme="minorEastAsia" w:hAnsiTheme="minorEastAsia" w:eastAsiaTheme="minorEastAsia"/>
          <w:color w:val="auto"/>
          <w:szCs w:val="21"/>
          <w:highlight w:val="none"/>
        </w:rPr>
        <w:t>18.6.2</w:t>
      </w:r>
      <w:r>
        <w:rPr>
          <w:rFonts w:hint="eastAsia" w:asciiTheme="minorEastAsia" w:hAnsiTheme="minorEastAsia" w:eastAsiaTheme="minorEastAsia"/>
          <w:color w:val="auto"/>
          <w:szCs w:val="21"/>
          <w:highlight w:val="none"/>
        </w:rPr>
        <w:t>承包人未按合同约定办理保险，或未能使保险持续有效的，则发包人可代为办理，所需费用由承包人承担。承包人未按合同约定办理保险，导致未能得到足额赔偿的，由承包人负责补足。</w:t>
      </w:r>
    </w:p>
    <w:p w14:paraId="7FA9E66F">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18.7 </w:t>
      </w:r>
      <w:r>
        <w:rPr>
          <w:rFonts w:hint="eastAsia" w:asciiTheme="minorEastAsia" w:hAnsiTheme="minorEastAsia" w:eastAsiaTheme="minorEastAsia"/>
          <w:b w:val="0"/>
          <w:color w:val="auto"/>
          <w:sz w:val="21"/>
          <w:szCs w:val="21"/>
          <w:highlight w:val="none"/>
        </w:rPr>
        <w:t>通知义务</w:t>
      </w:r>
    </w:p>
    <w:p w14:paraId="614F074F">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除专用合同条款另有约定外，发包人变更除工伤保险之外的保险合同时，应事先征得承包人同意，并通知监理人；承包人变更除工伤保险之外的保险合同时，应事先征得发包人同意，并通知监理人。</w:t>
      </w:r>
    </w:p>
    <w:p w14:paraId="4D7D399E">
      <w:pPr>
        <w:keepNext w:val="0"/>
        <w:keepLines w:val="0"/>
        <w:pageBreakBefore w:val="0"/>
        <w:widowControl w:val="0"/>
        <w:kinsoku/>
        <w:wordWrap/>
        <w:overflowPunct/>
        <w:topLinePunct w:val="0"/>
        <w:bidi w:val="0"/>
        <w:spacing w:line="440" w:lineRule="exact"/>
        <w:ind w:left="0" w:firstLine="420" w:firstLineChars="200"/>
        <w:jc w:val="left"/>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保险事故发生时，投保人应按照保险合同规定的条件和期限及时向保险人报告。发包人和承包人应当在知道保险事故发生后及时通知对方。</w:t>
      </w:r>
    </w:p>
    <w:p w14:paraId="4FDA5AD1">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93" w:name="_Toc5392"/>
      <w:bookmarkStart w:id="294" w:name="_Toc8380"/>
      <w:bookmarkStart w:id="295" w:name="_Toc11619"/>
      <w:r>
        <w:rPr>
          <w:rFonts w:hint="eastAsia" w:asciiTheme="minorEastAsia" w:hAnsiTheme="minorEastAsia" w:eastAsiaTheme="minorEastAsia"/>
          <w:b/>
          <w:color w:val="auto"/>
          <w:szCs w:val="21"/>
          <w:highlight w:val="none"/>
        </w:rPr>
        <w:t>19. 索赔</w:t>
      </w:r>
      <w:bookmarkEnd w:id="293"/>
      <w:bookmarkEnd w:id="294"/>
      <w:bookmarkEnd w:id="295"/>
    </w:p>
    <w:p w14:paraId="045BD030">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19.1</w:t>
      </w:r>
      <w:r>
        <w:rPr>
          <w:rFonts w:hint="eastAsia" w:asciiTheme="minorEastAsia" w:hAnsiTheme="minorEastAsia" w:eastAsiaTheme="minorEastAsia"/>
          <w:b w:val="0"/>
          <w:color w:val="auto"/>
          <w:sz w:val="21"/>
          <w:szCs w:val="21"/>
          <w:highlight w:val="none"/>
        </w:rPr>
        <w:t>承包人的索赔</w:t>
      </w:r>
    </w:p>
    <w:p w14:paraId="59E25C4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根据合同约定，承包人认为有权得到追加付款和（或）延长工期的，应按以下程序向发包人提出索赔：</w:t>
      </w:r>
    </w:p>
    <w:p w14:paraId="07274A5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）承包人应在知道或应当知道索赔事件发生后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天内，向监理人递交索赔意向通知书，并说明发生索赔事件的事由；承包人未在前述</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天内发出索赔意向通知书的，丧失要求追加付款和（或）延长工期的权利；</w:t>
      </w:r>
    </w:p>
    <w:p w14:paraId="31AE78D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）承包人应在发出索赔意向通知书后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天内，向监理人正式递交索赔报告；索赔报告应详细说明索赔理由以及要求追加的付款金额和（或）延长的工期，并附必要的记录和证明材料；</w:t>
      </w:r>
    </w:p>
    <w:p w14:paraId="2C64EFF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）索赔事件具有持续影响的，承包人应按合理时间间隔继续递交延续索赔通知，说明持续影响的实际情况和记录，列出累计的追加付款金额和（或）工期延长天数；</w:t>
      </w:r>
    </w:p>
    <w:p w14:paraId="64F2C97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4</w:t>
      </w:r>
      <w:r>
        <w:rPr>
          <w:rFonts w:hint="eastAsia" w:asciiTheme="minorEastAsia" w:hAnsiTheme="minorEastAsia" w:eastAsiaTheme="minorEastAsia"/>
          <w:color w:val="auto"/>
          <w:kern w:val="0"/>
          <w:szCs w:val="21"/>
          <w:highlight w:val="none"/>
        </w:rPr>
        <w:t>）在索赔事件影响结束后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天内，承包人应向监理人递交最终索赔报告，说明最终要求索赔的追加付款金额和（或）延长的工期，并附必要的记录和证明材料。</w:t>
      </w:r>
    </w:p>
    <w:p w14:paraId="35A9C6D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19.2 </w:t>
      </w:r>
      <w:r>
        <w:rPr>
          <w:rFonts w:hint="eastAsia" w:asciiTheme="minorEastAsia" w:hAnsiTheme="minorEastAsia" w:eastAsiaTheme="minorEastAsia"/>
          <w:b w:val="0"/>
          <w:color w:val="auto"/>
          <w:sz w:val="21"/>
          <w:szCs w:val="21"/>
          <w:highlight w:val="none"/>
        </w:rPr>
        <w:t>对承包人索赔的处理</w:t>
      </w:r>
    </w:p>
    <w:p w14:paraId="6653F68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对承包人索赔的处理如下：</w:t>
      </w:r>
    </w:p>
    <w:p w14:paraId="5E6AF46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）监理人应在收到索赔报告后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天内完成审查并报送发包人。监理人对索赔报告存在异议的，有权要求承包人提交全部原始记录副本；</w:t>
      </w:r>
    </w:p>
    <w:p w14:paraId="0DEDD18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）发包人应在监理人收到索赔报告或有关索赔的进一步证明材料后的</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天内，由监理人向承包人出具经发包人签认的索赔处理结果。发包人逾期答复的，则视为认可承包人的索赔要求；</w:t>
      </w:r>
    </w:p>
    <w:p w14:paraId="0DB89A6D">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）承包人接受索赔处理结果的，索赔款项在当期进度款中进行支付；承包人不接受索赔处理结果的，按照第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条〔争议解决〕约定处理。</w:t>
      </w:r>
    </w:p>
    <w:p w14:paraId="0606EB8E">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19.3</w:t>
      </w:r>
      <w:r>
        <w:rPr>
          <w:rFonts w:hint="eastAsia" w:asciiTheme="minorEastAsia" w:hAnsiTheme="minorEastAsia" w:eastAsiaTheme="minorEastAsia"/>
          <w:b w:val="0"/>
          <w:color w:val="auto"/>
          <w:sz w:val="21"/>
          <w:szCs w:val="21"/>
          <w:highlight w:val="none"/>
        </w:rPr>
        <w:t>发包人的索赔</w:t>
      </w:r>
    </w:p>
    <w:p w14:paraId="624CD59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根据合同约定，发包人认为有权得到赔付金额和（或）延长缺陷责任期的，监理人应向承包人发出通知并附有详细的证明。</w:t>
      </w:r>
    </w:p>
    <w:p w14:paraId="1BC4D939">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发包人应在知道或应当知道索赔事件发生后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天内通过监理人向承包人提出索赔意向通知书，发包人未在前述</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天内发出索赔意向通知书的，丧失要求赔付金额和（或）延长缺陷责任期的权利。发包人应在发出索赔意向通知书后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天内，通过监理人向承包人正式递交索赔报告。</w:t>
      </w:r>
    </w:p>
    <w:p w14:paraId="40D1E1BC">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19.4 </w:t>
      </w:r>
      <w:r>
        <w:rPr>
          <w:rFonts w:hint="eastAsia" w:asciiTheme="minorEastAsia" w:hAnsiTheme="minorEastAsia" w:eastAsiaTheme="minorEastAsia"/>
          <w:b w:val="0"/>
          <w:color w:val="auto"/>
          <w:sz w:val="21"/>
          <w:szCs w:val="21"/>
          <w:highlight w:val="none"/>
        </w:rPr>
        <w:t>对发包人索赔的处理</w:t>
      </w:r>
    </w:p>
    <w:p w14:paraId="10C45FAE">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对发包人索赔的处理如下：</w:t>
      </w:r>
    </w:p>
    <w:p w14:paraId="67552A0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）承包人收到发包人提交的索赔报告后，应及时审查索赔报告的内容、查验发包人证明材料；</w:t>
      </w:r>
    </w:p>
    <w:p w14:paraId="5FCDABC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）承包人应在收到索赔报告或有关索赔的进一步证明材料后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天内，将索赔处理结果答复发包人。如果承包人未在上述期限内作出答复的，则视为对发包人索赔要求的认可；</w:t>
      </w:r>
    </w:p>
    <w:p w14:paraId="0E15C6A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3</w:t>
      </w:r>
      <w:r>
        <w:rPr>
          <w:rFonts w:hint="eastAsia" w:asciiTheme="minorEastAsia" w:hAnsiTheme="minorEastAsia" w:eastAsiaTheme="minorEastAsia"/>
          <w:color w:val="auto"/>
          <w:kern w:val="0"/>
          <w:szCs w:val="21"/>
          <w:highlight w:val="none"/>
        </w:rPr>
        <w:t>）承包人接受索赔处理结果的，发包人可从应支付给承包人的合同价款中扣除赔付的金额或延长缺陷责任期；发包人不接受索赔处理结果的，按第</w:t>
      </w:r>
      <w:r>
        <w:rPr>
          <w:rFonts w:asciiTheme="minorEastAsia" w:hAnsiTheme="minorEastAsia" w:eastAsiaTheme="minorEastAsia"/>
          <w:color w:val="auto"/>
          <w:kern w:val="0"/>
          <w:szCs w:val="21"/>
          <w:highlight w:val="none"/>
        </w:rPr>
        <w:t>20</w:t>
      </w:r>
      <w:r>
        <w:rPr>
          <w:rFonts w:hint="eastAsia" w:asciiTheme="minorEastAsia" w:hAnsiTheme="minorEastAsia" w:eastAsiaTheme="minorEastAsia"/>
          <w:color w:val="auto"/>
          <w:kern w:val="0"/>
          <w:szCs w:val="21"/>
          <w:highlight w:val="none"/>
        </w:rPr>
        <w:t>条〔争议解决〕约定处理。</w:t>
      </w:r>
    </w:p>
    <w:p w14:paraId="5CC52A25">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 xml:space="preserve">19.5 </w:t>
      </w:r>
      <w:r>
        <w:rPr>
          <w:rFonts w:hint="eastAsia" w:asciiTheme="minorEastAsia" w:hAnsiTheme="minorEastAsia" w:eastAsiaTheme="minorEastAsia"/>
          <w:b w:val="0"/>
          <w:color w:val="auto"/>
          <w:sz w:val="21"/>
          <w:szCs w:val="21"/>
          <w:highlight w:val="none"/>
        </w:rPr>
        <w:t>提出索赔的期限</w:t>
      </w:r>
    </w:p>
    <w:p w14:paraId="12B95F1C">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）承包人按第</w:t>
      </w:r>
      <w:r>
        <w:rPr>
          <w:rFonts w:asciiTheme="minorEastAsia" w:hAnsiTheme="minorEastAsia" w:eastAsiaTheme="minorEastAsia"/>
          <w:color w:val="auto"/>
          <w:kern w:val="0"/>
          <w:szCs w:val="21"/>
          <w:highlight w:val="none"/>
        </w:rPr>
        <w:t>14.2</w:t>
      </w:r>
      <w:r>
        <w:rPr>
          <w:rFonts w:hint="eastAsia" w:asciiTheme="minorEastAsia" w:hAnsiTheme="minorEastAsia" w:eastAsiaTheme="minorEastAsia"/>
          <w:color w:val="auto"/>
          <w:kern w:val="0"/>
          <w:szCs w:val="21"/>
          <w:highlight w:val="none"/>
        </w:rPr>
        <w:t>款〔竣工结算审核〕约定接收竣工付款证书后，应被视为已无权再提出在工程接收证书颁发前所发生的任何索赔。</w:t>
      </w:r>
    </w:p>
    <w:p w14:paraId="70FDE84C">
      <w:pPr>
        <w:keepNext w:val="0"/>
        <w:keepLines w:val="0"/>
        <w:pageBreakBefore w:val="0"/>
        <w:widowControl w:val="0"/>
        <w:kinsoku/>
        <w:wordWrap/>
        <w:overflowPunct/>
        <w:topLinePunct w:val="0"/>
        <w:bidi w:val="0"/>
        <w:spacing w:line="440" w:lineRule="exact"/>
        <w:ind w:left="0" w:firstLine="420" w:firstLineChars="200"/>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）承包人按第</w:t>
      </w:r>
      <w:r>
        <w:rPr>
          <w:rFonts w:asciiTheme="minorEastAsia" w:hAnsiTheme="minorEastAsia" w:eastAsiaTheme="minorEastAsia"/>
          <w:color w:val="auto"/>
          <w:kern w:val="0"/>
          <w:szCs w:val="21"/>
          <w:highlight w:val="none"/>
        </w:rPr>
        <w:t>14.4</w:t>
      </w:r>
      <w:r>
        <w:rPr>
          <w:rFonts w:hint="eastAsia" w:asciiTheme="minorEastAsia" w:hAnsiTheme="minorEastAsia" w:eastAsiaTheme="minorEastAsia"/>
          <w:color w:val="auto"/>
          <w:kern w:val="0"/>
          <w:szCs w:val="21"/>
          <w:highlight w:val="none"/>
        </w:rPr>
        <w:t>款〔最终结清〕提交的最终结清申请单中，只限于提出工程接收证书颁发后发生的索赔。提出索赔的期限自接受最终结清证书时终止。</w:t>
      </w:r>
    </w:p>
    <w:p w14:paraId="62C23D51">
      <w:pPr>
        <w:keepNext w:val="0"/>
        <w:keepLines w:val="0"/>
        <w:pageBreakBefore w:val="0"/>
        <w:widowControl w:val="0"/>
        <w:kinsoku/>
        <w:wordWrap/>
        <w:overflowPunct/>
        <w:topLinePunct w:val="0"/>
        <w:bidi w:val="0"/>
        <w:adjustRightInd w:val="0"/>
        <w:snapToGrid w:val="0"/>
        <w:spacing w:line="440" w:lineRule="exact"/>
        <w:ind w:left="0"/>
        <w:jc w:val="left"/>
        <w:textAlignment w:val="auto"/>
        <w:outlineLvl w:val="2"/>
        <w:rPr>
          <w:rFonts w:asciiTheme="minorEastAsia" w:hAnsiTheme="minorEastAsia" w:eastAsiaTheme="minorEastAsia"/>
          <w:b/>
          <w:color w:val="auto"/>
          <w:szCs w:val="21"/>
          <w:highlight w:val="none"/>
        </w:rPr>
      </w:pPr>
      <w:bookmarkStart w:id="296" w:name="_Toc9017"/>
      <w:bookmarkStart w:id="297" w:name="_Toc32386"/>
      <w:bookmarkStart w:id="298" w:name="_Toc32303"/>
      <w:r>
        <w:rPr>
          <w:rFonts w:hint="eastAsia" w:asciiTheme="minorEastAsia" w:hAnsiTheme="minorEastAsia" w:eastAsiaTheme="minorEastAsia"/>
          <w:b/>
          <w:color w:val="auto"/>
          <w:szCs w:val="21"/>
          <w:highlight w:val="none"/>
        </w:rPr>
        <w:t>20. 争议解决</w:t>
      </w:r>
      <w:bookmarkEnd w:id="296"/>
      <w:bookmarkEnd w:id="297"/>
      <w:bookmarkEnd w:id="298"/>
    </w:p>
    <w:p w14:paraId="6132E8DD">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20.1</w:t>
      </w:r>
      <w:r>
        <w:rPr>
          <w:rFonts w:hint="eastAsia" w:asciiTheme="minorEastAsia" w:hAnsiTheme="minorEastAsia" w:eastAsiaTheme="minorEastAsia"/>
          <w:b w:val="0"/>
          <w:color w:val="auto"/>
          <w:sz w:val="21"/>
          <w:szCs w:val="21"/>
          <w:highlight w:val="none"/>
        </w:rPr>
        <w:t>和解</w:t>
      </w:r>
    </w:p>
    <w:p w14:paraId="7445C7F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合同当事人可以就争议自行和解，自行和解达成协议的经双方签字并盖章后作为合同补充文件，双方均应遵照执行。</w:t>
      </w:r>
    </w:p>
    <w:p w14:paraId="68C8D644">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20.2</w:t>
      </w:r>
      <w:r>
        <w:rPr>
          <w:rFonts w:hint="eastAsia" w:asciiTheme="minorEastAsia" w:hAnsiTheme="minorEastAsia" w:eastAsiaTheme="minorEastAsia"/>
          <w:b w:val="0"/>
          <w:color w:val="auto"/>
          <w:sz w:val="21"/>
          <w:szCs w:val="21"/>
          <w:highlight w:val="none"/>
        </w:rPr>
        <w:t>调解</w:t>
      </w:r>
    </w:p>
    <w:p w14:paraId="0661FAD8">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合同当事人可以就争议请求建设行政主管部门、行业协会或其他第三方进行调解，调解达成协议的，经双方签字并盖章后作为合同补充文件，双方均应遵照执行。</w:t>
      </w:r>
    </w:p>
    <w:p w14:paraId="1EA4041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20.3</w:t>
      </w:r>
      <w:r>
        <w:rPr>
          <w:rFonts w:hint="eastAsia" w:asciiTheme="minorEastAsia" w:hAnsiTheme="minorEastAsia" w:eastAsiaTheme="minorEastAsia"/>
          <w:b w:val="0"/>
          <w:color w:val="auto"/>
          <w:sz w:val="21"/>
          <w:szCs w:val="21"/>
          <w:highlight w:val="none"/>
        </w:rPr>
        <w:t>争议评审</w:t>
      </w:r>
    </w:p>
    <w:p w14:paraId="7FFA9542">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合同当事人在专用合同条款中约定采取争议评审方式解决争议以及评审规则，并按下列约定执行：</w:t>
      </w:r>
      <w:r>
        <w:rPr>
          <w:rFonts w:asciiTheme="minorEastAsia" w:hAnsiTheme="minorEastAsia" w:eastAsiaTheme="minorEastAsia"/>
          <w:color w:val="auto"/>
          <w:kern w:val="0"/>
          <w:szCs w:val="21"/>
          <w:highlight w:val="none"/>
        </w:rPr>
        <w:t xml:space="preserve"> </w:t>
      </w:r>
    </w:p>
    <w:p w14:paraId="2EC18913">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20.3.1 </w:t>
      </w:r>
      <w:r>
        <w:rPr>
          <w:rFonts w:hint="eastAsia" w:asciiTheme="minorEastAsia" w:hAnsiTheme="minorEastAsia" w:eastAsiaTheme="minorEastAsia"/>
          <w:color w:val="auto"/>
          <w:kern w:val="0"/>
          <w:szCs w:val="21"/>
          <w:highlight w:val="none"/>
        </w:rPr>
        <w:t>争议评审小组的确定</w:t>
      </w:r>
    </w:p>
    <w:p w14:paraId="532BFFD6">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合同当事人可以共同选择一名或三名争议评审员，组成争议评审小组。除专用合同条款另有约定外，合同当事人应当自合同签订后</w:t>
      </w:r>
      <w:r>
        <w:rPr>
          <w:rFonts w:asciiTheme="minorEastAsia" w:hAnsiTheme="minorEastAsia" w:eastAsiaTheme="minorEastAsia"/>
          <w:color w:val="auto"/>
          <w:kern w:val="0"/>
          <w:szCs w:val="21"/>
          <w:highlight w:val="none"/>
        </w:rPr>
        <w:t>28</w:t>
      </w:r>
      <w:r>
        <w:rPr>
          <w:rFonts w:hint="eastAsia" w:asciiTheme="minorEastAsia" w:hAnsiTheme="minorEastAsia" w:eastAsiaTheme="minorEastAsia"/>
          <w:color w:val="auto"/>
          <w:kern w:val="0"/>
          <w:szCs w:val="21"/>
          <w:highlight w:val="none"/>
        </w:rPr>
        <w:t>天内，或者争议发生后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天内，选定争议评审员。</w:t>
      </w:r>
    </w:p>
    <w:p w14:paraId="2E26571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w:t>
      </w:r>
      <w:r>
        <w:rPr>
          <w:rFonts w:asciiTheme="minorEastAsia" w:hAnsiTheme="minorEastAsia" w:eastAsiaTheme="minorEastAsia"/>
          <w:color w:val="auto"/>
          <w:kern w:val="0"/>
          <w:szCs w:val="21"/>
          <w:highlight w:val="none"/>
        </w:rPr>
        <w:t xml:space="preserve"> </w:t>
      </w:r>
    </w:p>
    <w:p w14:paraId="21795CB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除专用合同条款另有约定外，评审员报酬由发包人和承包人各承担一半。</w:t>
      </w:r>
    </w:p>
    <w:p w14:paraId="5918E6C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20.3.2 </w:t>
      </w:r>
      <w:r>
        <w:rPr>
          <w:rFonts w:hint="eastAsia" w:asciiTheme="minorEastAsia" w:hAnsiTheme="minorEastAsia" w:eastAsiaTheme="minorEastAsia"/>
          <w:color w:val="auto"/>
          <w:kern w:val="0"/>
          <w:szCs w:val="21"/>
          <w:highlight w:val="none"/>
        </w:rPr>
        <w:t>争议评审小组的决定</w:t>
      </w:r>
    </w:p>
    <w:p w14:paraId="562EE9A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w:t>
      </w:r>
      <w:r>
        <w:rPr>
          <w:rFonts w:asciiTheme="minorEastAsia" w:hAnsiTheme="minorEastAsia" w:eastAsiaTheme="minorEastAsia"/>
          <w:color w:val="auto"/>
          <w:kern w:val="0"/>
          <w:szCs w:val="21"/>
          <w:highlight w:val="none"/>
        </w:rPr>
        <w:t>14</w:t>
      </w:r>
      <w:r>
        <w:rPr>
          <w:rFonts w:hint="eastAsia" w:asciiTheme="minorEastAsia" w:hAnsiTheme="minorEastAsia" w:eastAsiaTheme="minorEastAsia"/>
          <w:color w:val="auto"/>
          <w:kern w:val="0"/>
          <w:szCs w:val="21"/>
          <w:highlight w:val="none"/>
        </w:rPr>
        <w:t>天内作出书面决定，并说明理由。合同当事人可以在专用合同条款中对本项事项另行约定。</w:t>
      </w:r>
    </w:p>
    <w:p w14:paraId="14DD8A8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asciiTheme="minorEastAsia" w:hAnsiTheme="minorEastAsia" w:eastAsiaTheme="minorEastAsia"/>
          <w:color w:val="auto"/>
          <w:kern w:val="0"/>
          <w:szCs w:val="21"/>
          <w:highlight w:val="none"/>
        </w:rPr>
        <w:t xml:space="preserve">20.3.3 </w:t>
      </w:r>
      <w:r>
        <w:rPr>
          <w:rFonts w:hint="eastAsia" w:asciiTheme="minorEastAsia" w:hAnsiTheme="minorEastAsia" w:eastAsiaTheme="minorEastAsia"/>
          <w:color w:val="auto"/>
          <w:kern w:val="0"/>
          <w:szCs w:val="21"/>
          <w:highlight w:val="none"/>
        </w:rPr>
        <w:t>争议评审小组决定的效力</w:t>
      </w:r>
    </w:p>
    <w:p w14:paraId="5FF65F11">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争议评审小组作出的书面决定经合同当事人签字确认后，对双方具有约束力，双方应遵照执行。</w:t>
      </w:r>
    </w:p>
    <w:p w14:paraId="172D234B">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任何一方当事人不接受争议评审小组决定或不履行争议评审小组决定的，双方可选择采用其他争议解决方式。</w:t>
      </w:r>
    </w:p>
    <w:p w14:paraId="2317B5E9">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20.4</w:t>
      </w:r>
      <w:r>
        <w:rPr>
          <w:rFonts w:hint="eastAsia" w:asciiTheme="minorEastAsia" w:hAnsiTheme="minorEastAsia" w:eastAsiaTheme="minorEastAsia"/>
          <w:b w:val="0"/>
          <w:color w:val="auto"/>
          <w:sz w:val="21"/>
          <w:szCs w:val="21"/>
          <w:highlight w:val="none"/>
        </w:rPr>
        <w:t>仲裁或诉讼</w:t>
      </w:r>
    </w:p>
    <w:p w14:paraId="3E19459A">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因合同及合同有关事项产生的争议，合同当事人可以在专用合同条款中约定以下一种方式解决争议：</w:t>
      </w:r>
    </w:p>
    <w:p w14:paraId="5EDC2930">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1</w:t>
      </w:r>
      <w:r>
        <w:rPr>
          <w:rFonts w:hint="eastAsia" w:asciiTheme="minorEastAsia" w:hAnsiTheme="minorEastAsia" w:eastAsiaTheme="minorEastAsia"/>
          <w:color w:val="auto"/>
          <w:kern w:val="0"/>
          <w:szCs w:val="21"/>
          <w:highlight w:val="none"/>
        </w:rPr>
        <w:t>）向约定的仲裁委员会申请仲裁；</w:t>
      </w:r>
    </w:p>
    <w:p w14:paraId="3F223C0C">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asciiTheme="minorEastAsia" w:hAnsiTheme="minorEastAsia" w:eastAsiaTheme="minorEastAsia"/>
          <w:color w:val="auto"/>
          <w:kern w:val="0"/>
          <w:szCs w:val="21"/>
          <w:highlight w:val="none"/>
        </w:rPr>
      </w:pPr>
      <w:r>
        <w:rPr>
          <w:rFonts w:hint="eastAsia" w:asciiTheme="minorEastAsia" w:hAnsiTheme="minorEastAsia" w:eastAsiaTheme="minorEastAsia"/>
          <w:color w:val="auto"/>
          <w:kern w:val="0"/>
          <w:szCs w:val="21"/>
          <w:highlight w:val="none"/>
        </w:rPr>
        <w:t>（</w:t>
      </w:r>
      <w:r>
        <w:rPr>
          <w:rFonts w:asciiTheme="minorEastAsia" w:hAnsiTheme="minorEastAsia" w:eastAsiaTheme="minorEastAsia"/>
          <w:color w:val="auto"/>
          <w:kern w:val="0"/>
          <w:szCs w:val="21"/>
          <w:highlight w:val="none"/>
        </w:rPr>
        <w:t>2</w:t>
      </w:r>
      <w:r>
        <w:rPr>
          <w:rFonts w:hint="eastAsia" w:asciiTheme="minorEastAsia" w:hAnsiTheme="minorEastAsia" w:eastAsiaTheme="minorEastAsia"/>
          <w:color w:val="auto"/>
          <w:kern w:val="0"/>
          <w:szCs w:val="21"/>
          <w:highlight w:val="none"/>
        </w:rPr>
        <w:t>）向有管辖权的人民法院起诉。</w:t>
      </w:r>
    </w:p>
    <w:p w14:paraId="69DFC3D3">
      <w:pPr>
        <w:pStyle w:val="6"/>
        <w:keepNext w:val="0"/>
        <w:keepLines w:val="0"/>
        <w:pageBreakBefore w:val="0"/>
        <w:widowControl w:val="0"/>
        <w:kinsoku/>
        <w:wordWrap/>
        <w:overflowPunct/>
        <w:topLinePunct w:val="0"/>
        <w:bidi w:val="0"/>
        <w:spacing w:before="0" w:after="0" w:line="440" w:lineRule="exact"/>
        <w:ind w:left="0" w:firstLine="420" w:firstLineChars="200"/>
        <w:textAlignment w:val="auto"/>
        <w:rPr>
          <w:rFonts w:asciiTheme="minorEastAsia" w:hAnsiTheme="minorEastAsia" w:eastAsiaTheme="minorEastAsia"/>
          <w:b w:val="0"/>
          <w:color w:val="auto"/>
          <w:sz w:val="21"/>
          <w:szCs w:val="21"/>
          <w:highlight w:val="none"/>
        </w:rPr>
      </w:pPr>
      <w:r>
        <w:rPr>
          <w:rFonts w:asciiTheme="minorEastAsia" w:hAnsiTheme="minorEastAsia" w:eastAsiaTheme="minorEastAsia"/>
          <w:b w:val="0"/>
          <w:color w:val="auto"/>
          <w:sz w:val="21"/>
          <w:szCs w:val="21"/>
          <w:highlight w:val="none"/>
        </w:rPr>
        <w:t>20.5</w:t>
      </w:r>
      <w:r>
        <w:rPr>
          <w:rFonts w:hint="eastAsia" w:asciiTheme="minorEastAsia" w:hAnsiTheme="minorEastAsia" w:eastAsiaTheme="minorEastAsia"/>
          <w:b w:val="0"/>
          <w:color w:val="auto"/>
          <w:sz w:val="21"/>
          <w:szCs w:val="21"/>
          <w:highlight w:val="none"/>
        </w:rPr>
        <w:t>争议解决条款效力</w:t>
      </w:r>
    </w:p>
    <w:p w14:paraId="1D1AB01F">
      <w:pPr>
        <w:keepNext w:val="0"/>
        <w:keepLines w:val="0"/>
        <w:pageBreakBefore w:val="0"/>
        <w:widowControl w:val="0"/>
        <w:kinsoku/>
        <w:wordWrap/>
        <w:overflowPunct/>
        <w:topLinePunct w:val="0"/>
        <w:autoSpaceDE w:val="0"/>
        <w:autoSpaceDN w:val="0"/>
        <w:bidi w:val="0"/>
        <w:adjustRightInd w:val="0"/>
        <w:spacing w:line="440" w:lineRule="exact"/>
        <w:ind w:left="0" w:firstLine="420" w:firstLineChars="200"/>
        <w:jc w:val="left"/>
        <w:textAlignment w:val="auto"/>
        <w:rPr>
          <w:rFonts w:hAnsi="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Theme="minorEastAsia" w:hAnsiTheme="minorEastAsia" w:eastAsiaTheme="minorEastAsia"/>
          <w:color w:val="auto"/>
          <w:kern w:val="0"/>
          <w:szCs w:val="21"/>
          <w:highlight w:val="none"/>
        </w:rPr>
        <w:t>合同有关争议解决的条款独立存在，合同的变更、解除、终止、无效或者被撤销均不影响其效力。</w:t>
      </w:r>
      <w:r>
        <w:rPr>
          <w:rFonts w:asciiTheme="minorEastAsia" w:hAnsiTheme="minorEastAsia" w:eastAsiaTheme="minorEastAsia"/>
          <w:color w:val="auto"/>
          <w:kern w:val="0"/>
          <w:szCs w:val="21"/>
          <w:highlight w:val="none"/>
        </w:rPr>
        <w:t xml:space="preserve"> </w:t>
      </w:r>
    </w:p>
    <w:p w14:paraId="270D8246">
      <w:pPr>
        <w:pStyle w:val="56"/>
        <w:numPr>
          <w:ilvl w:val="2"/>
          <w:numId w:val="0"/>
        </w:numPr>
        <w:spacing w:before="0" w:after="0" w:line="480" w:lineRule="auto"/>
        <w:rPr>
          <w:rFonts w:ascii="宋体" w:hAnsi="宋体"/>
          <w:color w:val="auto"/>
          <w:sz w:val="30"/>
          <w:szCs w:val="30"/>
          <w:highlight w:val="none"/>
        </w:rPr>
      </w:pPr>
      <w:r>
        <w:rPr>
          <w:rFonts w:ascii="宋体" w:hAnsi="宋体"/>
          <w:color w:val="auto"/>
          <w:sz w:val="30"/>
          <w:szCs w:val="30"/>
          <w:highlight w:val="none"/>
        </w:rPr>
        <w:t xml:space="preserve">第三部分 </w:t>
      </w:r>
      <w:r>
        <w:rPr>
          <w:rFonts w:hint="eastAsia" w:ascii="宋体" w:hAnsi="宋体"/>
          <w:color w:val="auto"/>
          <w:sz w:val="30"/>
          <w:szCs w:val="30"/>
          <w:highlight w:val="none"/>
        </w:rPr>
        <w:t>专用合同条款</w:t>
      </w:r>
    </w:p>
    <w:p w14:paraId="2FDBF8FF">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299" w:name="_Toc351203633"/>
      <w:r>
        <w:rPr>
          <w:rFonts w:hint="eastAsia" w:asciiTheme="majorEastAsia" w:hAnsiTheme="majorEastAsia" w:eastAsiaTheme="majorEastAsia" w:cstheme="majorEastAsia"/>
          <w:b w:val="0"/>
          <w:color w:val="auto"/>
          <w:sz w:val="21"/>
          <w:szCs w:val="21"/>
          <w:highlight w:val="none"/>
        </w:rPr>
        <w:t>1</w:t>
      </w:r>
      <w:bookmarkStart w:id="300" w:name="_Toc296346657"/>
      <w:bookmarkStart w:id="301" w:name="_Toc292559866"/>
      <w:bookmarkStart w:id="302" w:name="_Toc297048342"/>
      <w:bookmarkStart w:id="303" w:name="_Toc292559361"/>
      <w:bookmarkStart w:id="304" w:name="_Toc296503156"/>
      <w:bookmarkStart w:id="305" w:name="_Toc296347155"/>
      <w:bookmarkStart w:id="306" w:name="_Toc296890984"/>
      <w:bookmarkStart w:id="307" w:name="_Toc296944495"/>
      <w:bookmarkStart w:id="308" w:name="_Toc296891196"/>
      <w:bookmarkStart w:id="309" w:name="_Toc297120456"/>
      <w:r>
        <w:rPr>
          <w:rFonts w:hint="eastAsia" w:asciiTheme="majorEastAsia" w:hAnsiTheme="majorEastAsia" w:eastAsiaTheme="majorEastAsia" w:cstheme="majorEastAsia"/>
          <w:b w:val="0"/>
          <w:color w:val="auto"/>
          <w:sz w:val="21"/>
          <w:szCs w:val="21"/>
          <w:highlight w:val="none"/>
        </w:rPr>
        <w:t>. 一般约定</w:t>
      </w:r>
      <w:bookmarkEnd w:id="299"/>
    </w:p>
    <w:bookmarkEnd w:id="300"/>
    <w:bookmarkEnd w:id="301"/>
    <w:bookmarkEnd w:id="302"/>
    <w:bookmarkEnd w:id="303"/>
    <w:bookmarkEnd w:id="304"/>
    <w:bookmarkEnd w:id="305"/>
    <w:bookmarkEnd w:id="306"/>
    <w:bookmarkEnd w:id="307"/>
    <w:bookmarkEnd w:id="308"/>
    <w:bookmarkEnd w:id="309"/>
    <w:p w14:paraId="4B79308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310" w:name="_Toc9541"/>
      <w:bookmarkStart w:id="311" w:name="_Toc4527"/>
      <w:bookmarkStart w:id="312" w:name="_Toc26013"/>
      <w:bookmarkStart w:id="313" w:name="_Toc4822"/>
      <w:bookmarkStart w:id="314" w:name="_Toc28949"/>
      <w:r>
        <w:rPr>
          <w:rFonts w:hint="eastAsia" w:asciiTheme="majorEastAsia" w:hAnsiTheme="majorEastAsia" w:eastAsiaTheme="majorEastAsia" w:cstheme="majorEastAsia"/>
          <w:color w:val="auto"/>
          <w:kern w:val="2"/>
          <w:sz w:val="21"/>
          <w:szCs w:val="21"/>
          <w:highlight w:val="none"/>
        </w:rPr>
        <w:t>1.1 词语定义</w:t>
      </w:r>
      <w:bookmarkEnd w:id="310"/>
      <w:bookmarkEnd w:id="311"/>
      <w:bookmarkEnd w:id="312"/>
      <w:bookmarkEnd w:id="313"/>
      <w:bookmarkEnd w:id="314"/>
    </w:p>
    <w:p w14:paraId="65F4F52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1.1.1合同</w:t>
      </w:r>
    </w:p>
    <w:p w14:paraId="7F66CEA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1.1.1.10其他合同文件包括</w:t>
      </w:r>
      <w:r>
        <w:rPr>
          <w:rFonts w:hint="eastAsia" w:asciiTheme="majorEastAsia" w:hAnsiTheme="majorEastAsia" w:eastAsiaTheme="majorEastAsia" w:cstheme="majorEastAsia"/>
          <w:color w:val="auto"/>
          <w:sz w:val="21"/>
          <w:szCs w:val="21"/>
          <w:highlight w:val="none"/>
        </w:rPr>
        <w:t>：</w:t>
      </w:r>
      <w:r>
        <w:rPr>
          <w:rFonts w:hint="eastAsia" w:asciiTheme="majorEastAsia" w:hAnsiTheme="majorEastAsia" w:eastAsiaTheme="majorEastAsia" w:cstheme="majorEastAsia"/>
          <w:b/>
          <w:color w:val="auto"/>
          <w:sz w:val="21"/>
          <w:szCs w:val="21"/>
          <w:highlight w:val="none"/>
          <w:u w:val="single"/>
          <w:shd w:val="clear" w:color="auto" w:fill="FFFFFF"/>
        </w:rPr>
        <w:t>是指经合同当事人约定的与工程施工有关的具有合同约束力的文件或书面协议</w:t>
      </w:r>
      <w:r>
        <w:rPr>
          <w:rFonts w:hint="eastAsia" w:asciiTheme="majorEastAsia" w:hAnsiTheme="majorEastAsia" w:eastAsiaTheme="majorEastAsia" w:cstheme="majorEastAsia"/>
          <w:color w:val="auto"/>
          <w:kern w:val="2"/>
          <w:sz w:val="21"/>
          <w:szCs w:val="21"/>
          <w:highlight w:val="none"/>
        </w:rPr>
        <w:t>。</w:t>
      </w:r>
    </w:p>
    <w:p w14:paraId="4144B902">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1.1.2 合同当事人及其他相关方</w:t>
      </w:r>
    </w:p>
    <w:p w14:paraId="7513F94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1.1.2.4监理人：</w:t>
      </w:r>
    </w:p>
    <w:p w14:paraId="516B1EC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名    称：</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4FDA495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资质类别和等级：</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44F26AF">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联系电话：</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5A3708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电子信箱：</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6E3D87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通信地址：</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3AE1C51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1.1.2.5 设计人：</w:t>
      </w:r>
    </w:p>
    <w:p w14:paraId="04AD23A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名    称：</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37336B5C">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资质类别和等级：</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8ACDE62">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联系电话：</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4CBF12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电子信箱：</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4AB186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通信地址：</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FEC366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1.1.3 工程和设备</w:t>
      </w:r>
    </w:p>
    <w:p w14:paraId="32EEB0E2">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1.1.3.7 作为施工现场组成部分的其他场所包括：</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5A0C1E2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1.1.3.9 永久占地包括：</w:t>
      </w:r>
      <w:r>
        <w:rPr>
          <w:rFonts w:hint="eastAsia" w:asciiTheme="majorEastAsia" w:hAnsiTheme="majorEastAsia" w:eastAsiaTheme="majorEastAsia" w:cstheme="majorEastAsia"/>
          <w:b/>
          <w:color w:val="auto"/>
          <w:kern w:val="2"/>
          <w:sz w:val="21"/>
          <w:szCs w:val="21"/>
          <w:highlight w:val="none"/>
          <w:u w:val="single"/>
        </w:rPr>
        <w:t>规划红线范围内的永久占地</w:t>
      </w:r>
      <w:r>
        <w:rPr>
          <w:rFonts w:hint="eastAsia" w:asciiTheme="majorEastAsia" w:hAnsiTheme="majorEastAsia" w:eastAsiaTheme="majorEastAsia" w:cstheme="majorEastAsia"/>
          <w:b/>
          <w:color w:val="auto"/>
          <w:kern w:val="2"/>
          <w:sz w:val="21"/>
          <w:szCs w:val="21"/>
          <w:highlight w:val="none"/>
          <w:u w:val="none"/>
        </w:rPr>
        <w:t>。</w:t>
      </w:r>
    </w:p>
    <w:p w14:paraId="779ADB2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1.1.3.10 临时占地包括：</w:t>
      </w:r>
      <w:r>
        <w:rPr>
          <w:rFonts w:hint="eastAsia" w:asciiTheme="majorEastAsia" w:hAnsiTheme="majorEastAsia" w:eastAsiaTheme="majorEastAsia" w:cstheme="majorEastAsia"/>
          <w:b/>
          <w:color w:val="auto"/>
          <w:kern w:val="2"/>
          <w:sz w:val="21"/>
          <w:szCs w:val="21"/>
          <w:highlight w:val="none"/>
          <w:u w:val="single"/>
        </w:rPr>
        <w:t>为实施合同工程需要临时占地的范围，包括可供承包人使用的临时占地范围，以及发包人为实施合同需要的临时占地范围</w:t>
      </w:r>
      <w:r>
        <w:rPr>
          <w:rFonts w:hint="eastAsia" w:asciiTheme="majorEastAsia" w:hAnsiTheme="majorEastAsia" w:eastAsiaTheme="majorEastAsia" w:cstheme="majorEastAsia"/>
          <w:b/>
          <w:color w:val="auto"/>
          <w:kern w:val="2"/>
          <w:sz w:val="21"/>
          <w:szCs w:val="21"/>
          <w:highlight w:val="none"/>
          <w:u w:val="none"/>
        </w:rPr>
        <w:t>。</w:t>
      </w:r>
    </w:p>
    <w:p w14:paraId="69C7FF4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 xml:space="preserve">1.3法律 </w:t>
      </w:r>
    </w:p>
    <w:p w14:paraId="70EEBD1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适用于合同的其他规范性文件：</w:t>
      </w:r>
      <w:r>
        <w:rPr>
          <w:rFonts w:hint="eastAsia" w:asciiTheme="majorEastAsia" w:hAnsiTheme="majorEastAsia" w:eastAsiaTheme="majorEastAsia" w:cstheme="majorEastAsia"/>
          <w:b/>
          <w:color w:val="auto"/>
          <w:kern w:val="2"/>
          <w:sz w:val="21"/>
          <w:szCs w:val="21"/>
          <w:highlight w:val="none"/>
          <w:u w:val="single"/>
        </w:rPr>
        <w:t>《中华人民共和国</w:t>
      </w:r>
      <w:r>
        <w:rPr>
          <w:rFonts w:hint="eastAsia" w:asciiTheme="majorEastAsia" w:hAnsiTheme="majorEastAsia" w:eastAsiaTheme="majorEastAsia" w:cstheme="majorEastAsia"/>
          <w:b/>
          <w:color w:val="auto"/>
          <w:kern w:val="2"/>
          <w:sz w:val="21"/>
          <w:szCs w:val="21"/>
          <w:highlight w:val="none"/>
          <w:u w:val="single"/>
          <w:lang w:eastAsia="zh-CN"/>
        </w:rPr>
        <w:t>民法典</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b/>
          <w:color w:val="auto"/>
          <w:kern w:val="2"/>
          <w:sz w:val="21"/>
          <w:szCs w:val="21"/>
          <w:highlight w:val="none"/>
          <w:u w:val="single"/>
          <w:lang w:eastAsia="zh-CN"/>
        </w:rPr>
        <w:t>、</w:t>
      </w:r>
      <w:r>
        <w:rPr>
          <w:rFonts w:hint="eastAsia" w:asciiTheme="majorEastAsia" w:hAnsiTheme="majorEastAsia" w:eastAsiaTheme="majorEastAsia" w:cstheme="majorEastAsia"/>
          <w:b/>
          <w:color w:val="auto"/>
          <w:kern w:val="2"/>
          <w:sz w:val="21"/>
          <w:szCs w:val="21"/>
          <w:highlight w:val="none"/>
          <w:u w:val="single"/>
        </w:rPr>
        <w:t>《中华人民共和国建筑法》、《中华人民共和国合同法》、《中华人民共和国</w:t>
      </w:r>
      <w:r>
        <w:rPr>
          <w:rFonts w:hint="eastAsia" w:asciiTheme="majorEastAsia" w:hAnsiTheme="majorEastAsia" w:eastAsiaTheme="majorEastAsia" w:cstheme="majorEastAsia"/>
          <w:b/>
          <w:color w:val="auto"/>
          <w:kern w:val="2"/>
          <w:sz w:val="21"/>
          <w:szCs w:val="21"/>
          <w:highlight w:val="none"/>
          <w:u w:val="single"/>
          <w:lang w:eastAsia="zh-CN"/>
        </w:rPr>
        <w:t>政府采购法</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b/>
          <w:color w:val="auto"/>
          <w:kern w:val="2"/>
          <w:sz w:val="21"/>
          <w:szCs w:val="21"/>
          <w:highlight w:val="none"/>
          <w:u w:val="single"/>
          <w:lang w:eastAsia="zh-CN"/>
        </w:rPr>
        <w:t>、</w:t>
      </w:r>
      <w:r>
        <w:rPr>
          <w:rFonts w:hint="eastAsia" w:asciiTheme="majorEastAsia" w:hAnsiTheme="majorEastAsia" w:eastAsiaTheme="majorEastAsia" w:cstheme="majorEastAsia"/>
          <w:b/>
          <w:color w:val="auto"/>
          <w:kern w:val="2"/>
          <w:sz w:val="21"/>
          <w:szCs w:val="21"/>
          <w:highlight w:val="none"/>
          <w:u w:val="single"/>
        </w:rPr>
        <w:t>《中华人民共和国招标投标法》、《中华人民共和国安全生产法》、国务院《建设工程质量管理条例》、《中华人民共和国招标投标法实施条例》《必须招标的工程项目规定》国家发展和改革委员会令16号、《国家发展改革委关于印发《必须招标的基础设施和公用事业项目范围规定》的通知发改法规规〔2018〕843号、国务院令第613号等国家及云南省颁布的现行法律、法规和条例</w:t>
      </w:r>
      <w:r>
        <w:rPr>
          <w:rFonts w:hint="eastAsia" w:asciiTheme="majorEastAsia" w:hAnsiTheme="majorEastAsia" w:eastAsiaTheme="majorEastAsia" w:cstheme="majorEastAsia"/>
          <w:b/>
          <w:color w:val="auto"/>
          <w:kern w:val="2"/>
          <w:sz w:val="21"/>
          <w:szCs w:val="21"/>
          <w:highlight w:val="none"/>
          <w:u w:val="none"/>
        </w:rPr>
        <w:t>。</w:t>
      </w:r>
    </w:p>
    <w:p w14:paraId="7BFAF69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1.4 标准和规范</w:t>
      </w:r>
    </w:p>
    <w:p w14:paraId="52ED3A3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1.4.1适用于工程的标准规范包括：</w:t>
      </w:r>
      <w:r>
        <w:rPr>
          <w:rFonts w:hint="eastAsia" w:asciiTheme="majorEastAsia" w:hAnsiTheme="majorEastAsia" w:eastAsiaTheme="majorEastAsia" w:cstheme="majorEastAsia"/>
          <w:b/>
          <w:color w:val="auto"/>
          <w:kern w:val="2"/>
          <w:sz w:val="21"/>
          <w:szCs w:val="21"/>
          <w:highlight w:val="none"/>
          <w:u w:val="single"/>
        </w:rPr>
        <w:t>按现行国家颁布勘察、设计、施工规范标准及相关行业规定</w:t>
      </w:r>
      <w:r>
        <w:rPr>
          <w:rFonts w:hint="eastAsia" w:asciiTheme="majorEastAsia" w:hAnsiTheme="majorEastAsia" w:eastAsiaTheme="majorEastAsia" w:cstheme="majorEastAsia"/>
          <w:b/>
          <w:color w:val="auto"/>
          <w:kern w:val="2"/>
          <w:sz w:val="21"/>
          <w:szCs w:val="21"/>
          <w:highlight w:val="none"/>
          <w:u w:val="none"/>
        </w:rPr>
        <w:t>。</w:t>
      </w:r>
    </w:p>
    <w:p w14:paraId="75E1C0DF">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1.4.2 发包人提供国外标准、规范的名称：</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w:t>
      </w:r>
    </w:p>
    <w:p w14:paraId="435FD87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发包人提供国外标准、规范的份数：</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w:t>
      </w:r>
    </w:p>
    <w:p w14:paraId="47D3DC34">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发包人提供国外标准、规范的名称：</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w:t>
      </w:r>
    </w:p>
    <w:p w14:paraId="107EA04C">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1.4.3发包人对工程的技术标准和功能要求的特殊要求：</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u w:val="single"/>
        </w:rPr>
        <w:t>/</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6A71D835">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15" w:name="_Toc7898"/>
      <w:bookmarkStart w:id="316" w:name="_Toc26054"/>
      <w:bookmarkStart w:id="317" w:name="_Toc31755"/>
      <w:bookmarkStart w:id="318" w:name="_Toc31352"/>
      <w:bookmarkStart w:id="319" w:name="_Toc19086"/>
      <w:r>
        <w:rPr>
          <w:rFonts w:hint="eastAsia" w:asciiTheme="majorEastAsia" w:hAnsiTheme="majorEastAsia" w:eastAsiaTheme="majorEastAsia" w:cstheme="majorEastAsia"/>
          <w:color w:val="auto"/>
          <w:kern w:val="2"/>
          <w:sz w:val="21"/>
          <w:szCs w:val="21"/>
          <w:highlight w:val="none"/>
        </w:rPr>
        <w:t>1.5 合同文件的优先顺序</w:t>
      </w:r>
      <w:bookmarkEnd w:id="315"/>
      <w:bookmarkEnd w:id="316"/>
      <w:bookmarkEnd w:id="317"/>
      <w:bookmarkEnd w:id="318"/>
      <w:bookmarkEnd w:id="319"/>
    </w:p>
    <w:p w14:paraId="4008E6D7">
      <w:pPr>
        <w:pStyle w:val="77"/>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合同文件组成及优先顺序为：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29EC5BBF">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20" w:name="_Toc18479"/>
      <w:bookmarkStart w:id="321" w:name="_Toc27790"/>
      <w:bookmarkStart w:id="322" w:name="_Toc523"/>
      <w:bookmarkStart w:id="323" w:name="_Toc29104"/>
      <w:bookmarkStart w:id="324" w:name="_Toc3565"/>
      <w:r>
        <w:rPr>
          <w:rFonts w:hint="eastAsia" w:asciiTheme="majorEastAsia" w:hAnsiTheme="majorEastAsia" w:eastAsiaTheme="majorEastAsia" w:cstheme="majorEastAsia"/>
          <w:color w:val="auto"/>
          <w:kern w:val="2"/>
          <w:sz w:val="21"/>
          <w:szCs w:val="21"/>
          <w:highlight w:val="none"/>
        </w:rPr>
        <w:t>1.6 图纸和承包人文件</w:t>
      </w:r>
      <w:bookmarkEnd w:id="320"/>
      <w:bookmarkEnd w:id="321"/>
      <w:bookmarkEnd w:id="322"/>
      <w:bookmarkEnd w:id="323"/>
      <w:bookmarkEnd w:id="324"/>
      <w:r>
        <w:rPr>
          <w:rFonts w:hint="eastAsia" w:asciiTheme="majorEastAsia" w:hAnsiTheme="majorEastAsia" w:eastAsiaTheme="majorEastAsia" w:cstheme="majorEastAsia"/>
          <w:color w:val="auto"/>
          <w:kern w:val="2"/>
          <w:sz w:val="21"/>
          <w:szCs w:val="21"/>
          <w:highlight w:val="none"/>
        </w:rPr>
        <w:tab/>
      </w:r>
    </w:p>
    <w:p w14:paraId="2867AC2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1.6.1 图纸的提供</w:t>
      </w:r>
    </w:p>
    <w:p w14:paraId="08F029B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发包人向承包人提供图纸的期限：</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3FFA791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发包人向承包人提供图纸的数量：</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26F3B9C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发包人向承包人提供图纸的内容：</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0B62086D">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1.6.4 承包人文件</w:t>
      </w:r>
    </w:p>
    <w:p w14:paraId="33941B8B">
      <w:pPr>
        <w:pStyle w:val="55"/>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需要由承包人提供的文件，包括：</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51655C4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承包人提供的文件的期限为：</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787DB8AC">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承包人提供的文件的数量为：</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788EE32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承包人提供的文件的形式为：</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084A981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发包人审批承包人文件的期限：</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1ED37BD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1.6.5 现场图纸准备</w:t>
      </w:r>
    </w:p>
    <w:p w14:paraId="1B4B7E3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关于现场图纸准备的约定：</w:t>
      </w:r>
      <w:r>
        <w:rPr>
          <w:rFonts w:hint="eastAsia" w:asciiTheme="majorEastAsia" w:hAnsiTheme="majorEastAsia" w:eastAsiaTheme="majorEastAsia" w:cstheme="majorEastAsia"/>
          <w:b/>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29F1E549">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25" w:name="_Toc198"/>
      <w:bookmarkStart w:id="326" w:name="_Toc28804"/>
      <w:bookmarkStart w:id="327" w:name="_Toc20309"/>
      <w:bookmarkStart w:id="328" w:name="_Toc10761"/>
      <w:bookmarkStart w:id="329" w:name="_Toc25756"/>
      <w:r>
        <w:rPr>
          <w:rFonts w:hint="eastAsia" w:asciiTheme="majorEastAsia" w:hAnsiTheme="majorEastAsia" w:eastAsiaTheme="majorEastAsia" w:cstheme="majorEastAsia"/>
          <w:color w:val="auto"/>
          <w:kern w:val="2"/>
          <w:sz w:val="21"/>
          <w:szCs w:val="21"/>
          <w:highlight w:val="none"/>
        </w:rPr>
        <w:t>1.7 联络</w:t>
      </w:r>
      <w:bookmarkEnd w:id="325"/>
      <w:bookmarkEnd w:id="326"/>
      <w:bookmarkEnd w:id="327"/>
      <w:bookmarkEnd w:id="328"/>
      <w:bookmarkEnd w:id="329"/>
    </w:p>
    <w:p w14:paraId="2AC1F4F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1.7.1发包人和承包人应当在</w:t>
      </w:r>
      <w:r>
        <w:rPr>
          <w:rFonts w:hint="eastAsia" w:asciiTheme="majorEastAsia" w:hAnsiTheme="majorEastAsia" w:eastAsiaTheme="majorEastAsia" w:cstheme="majorEastAsia"/>
          <w:color w:val="auto"/>
          <w:kern w:val="2"/>
          <w:sz w:val="21"/>
          <w:szCs w:val="21"/>
          <w:highlight w:val="none"/>
          <w:u w:val="single"/>
        </w:rPr>
        <w:t>3</w:t>
      </w:r>
      <w:r>
        <w:rPr>
          <w:rFonts w:hint="eastAsia" w:asciiTheme="majorEastAsia" w:hAnsiTheme="majorEastAsia" w:eastAsiaTheme="majorEastAsia" w:cstheme="majorEastAsia"/>
          <w:color w:val="auto"/>
          <w:sz w:val="21"/>
          <w:szCs w:val="21"/>
          <w:highlight w:val="none"/>
        </w:rPr>
        <w:t>天内将与合同有关的通知、批准、证明、证书、指示、指令、要求、请求、同意、意见、确定和决定等书面函件送达对方当事人。</w:t>
      </w:r>
    </w:p>
    <w:p w14:paraId="6694D54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1.7.2 发包人接收文件的地点：</w:t>
      </w:r>
      <w:r>
        <w:rPr>
          <w:rFonts w:hint="eastAsia" w:asciiTheme="majorEastAsia" w:hAnsiTheme="majorEastAsia" w:eastAsiaTheme="majorEastAsia" w:cstheme="majorEastAsia"/>
          <w:b/>
          <w:color w:val="auto"/>
          <w:kern w:val="2"/>
          <w:sz w:val="21"/>
          <w:szCs w:val="21"/>
          <w:highlight w:val="none"/>
          <w:u w:val="single"/>
        </w:rPr>
        <w:t>发包人办公地点</w:t>
      </w:r>
      <w:r>
        <w:rPr>
          <w:rFonts w:hint="eastAsia" w:asciiTheme="majorEastAsia" w:hAnsiTheme="majorEastAsia" w:eastAsiaTheme="majorEastAsia" w:cstheme="majorEastAsia"/>
          <w:color w:val="auto"/>
          <w:sz w:val="21"/>
          <w:szCs w:val="21"/>
          <w:highlight w:val="none"/>
        </w:rPr>
        <w:t>；</w:t>
      </w:r>
    </w:p>
    <w:p w14:paraId="672FF08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发包人指定的接收人为：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2C2B993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承包人接收文件的地点：</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承包人办公地点</w:t>
      </w:r>
      <w:r>
        <w:rPr>
          <w:rFonts w:hint="eastAsia" w:asciiTheme="majorEastAsia" w:hAnsiTheme="majorEastAsia" w:eastAsiaTheme="majorEastAsia" w:cstheme="majorEastAsia"/>
          <w:color w:val="auto"/>
          <w:sz w:val="21"/>
          <w:szCs w:val="21"/>
          <w:highlight w:val="none"/>
        </w:rPr>
        <w:t>；</w:t>
      </w:r>
    </w:p>
    <w:p w14:paraId="6E5187F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承包人指定的接收人为：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60A8F45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监理人接收文件的地点：</w:t>
      </w:r>
      <w:r>
        <w:rPr>
          <w:rFonts w:hint="eastAsia" w:asciiTheme="majorEastAsia" w:hAnsiTheme="majorEastAsia" w:eastAsiaTheme="majorEastAsia" w:cstheme="majorEastAsia"/>
          <w:b/>
          <w:color w:val="auto"/>
          <w:kern w:val="2"/>
          <w:sz w:val="21"/>
          <w:szCs w:val="21"/>
          <w:highlight w:val="none"/>
          <w:u w:val="single"/>
        </w:rPr>
        <w:t>监理人办公地点</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36991DD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监理人指定的接收人为：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622CC190">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30" w:name="_Toc15819"/>
      <w:bookmarkStart w:id="331" w:name="_Toc14813"/>
      <w:bookmarkStart w:id="332" w:name="_Toc25769"/>
      <w:bookmarkStart w:id="333" w:name="_Toc13355"/>
      <w:bookmarkStart w:id="334" w:name="_Toc20332"/>
      <w:r>
        <w:rPr>
          <w:rFonts w:hint="eastAsia" w:asciiTheme="majorEastAsia" w:hAnsiTheme="majorEastAsia" w:eastAsiaTheme="majorEastAsia" w:cstheme="majorEastAsia"/>
          <w:color w:val="auto"/>
          <w:kern w:val="2"/>
          <w:sz w:val="21"/>
          <w:szCs w:val="21"/>
          <w:highlight w:val="none"/>
        </w:rPr>
        <w:t>1.10 交通运输</w:t>
      </w:r>
      <w:bookmarkEnd w:id="330"/>
      <w:bookmarkEnd w:id="331"/>
      <w:bookmarkEnd w:id="332"/>
      <w:bookmarkEnd w:id="333"/>
      <w:bookmarkEnd w:id="334"/>
    </w:p>
    <w:p w14:paraId="621A8A1B">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35" w:name="_Toc9281"/>
      <w:bookmarkStart w:id="336" w:name="_Toc30026"/>
      <w:bookmarkStart w:id="337" w:name="_Toc4520"/>
      <w:bookmarkStart w:id="338" w:name="_Toc5052"/>
      <w:bookmarkStart w:id="339" w:name="_Toc18612"/>
      <w:r>
        <w:rPr>
          <w:rFonts w:hint="eastAsia" w:asciiTheme="majorEastAsia" w:hAnsiTheme="majorEastAsia" w:eastAsiaTheme="majorEastAsia" w:cstheme="majorEastAsia"/>
          <w:color w:val="auto"/>
          <w:kern w:val="2"/>
          <w:sz w:val="21"/>
          <w:szCs w:val="21"/>
          <w:highlight w:val="none"/>
        </w:rPr>
        <w:t>1</w:t>
      </w:r>
      <w:bookmarkStart w:id="340" w:name="_Toc303539100"/>
      <w:bookmarkStart w:id="341" w:name="_Toc312677986"/>
      <w:bookmarkStart w:id="342" w:name="_Toc304295521"/>
      <w:bookmarkStart w:id="343" w:name="_Toc318581155"/>
      <w:bookmarkStart w:id="344" w:name="_Toc300934943"/>
      <w:r>
        <w:rPr>
          <w:rFonts w:hint="eastAsia" w:asciiTheme="majorEastAsia" w:hAnsiTheme="majorEastAsia" w:eastAsiaTheme="majorEastAsia" w:cstheme="majorEastAsia"/>
          <w:color w:val="auto"/>
          <w:kern w:val="2"/>
          <w:sz w:val="21"/>
          <w:szCs w:val="21"/>
          <w:highlight w:val="none"/>
        </w:rPr>
        <w:t>.10.1 出入现场的权利</w:t>
      </w:r>
      <w:bookmarkEnd w:id="335"/>
      <w:bookmarkEnd w:id="336"/>
      <w:bookmarkEnd w:id="337"/>
      <w:bookmarkEnd w:id="338"/>
      <w:bookmarkEnd w:id="339"/>
    </w:p>
    <w:p w14:paraId="024FE80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关于出入现场的权利的约定：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bookmarkEnd w:id="340"/>
    <w:bookmarkEnd w:id="341"/>
    <w:bookmarkEnd w:id="342"/>
    <w:bookmarkEnd w:id="343"/>
    <w:bookmarkEnd w:id="344"/>
    <w:p w14:paraId="130EC50F">
      <w:pPr>
        <w:pStyle w:val="55"/>
        <w:keepNext w:val="0"/>
        <w:pageBreakBefore w:val="0"/>
        <w:widowControl/>
        <w:kinsoku/>
        <w:wordWrap/>
        <w:overflowPunct/>
        <w:topLinePunct w:val="0"/>
        <w:bidi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kern w:val="2"/>
          <w:sz w:val="21"/>
          <w:szCs w:val="21"/>
          <w:highlight w:val="none"/>
        </w:rPr>
      </w:pPr>
      <w:bookmarkStart w:id="345" w:name="_Toc15793"/>
      <w:bookmarkStart w:id="346" w:name="_Toc7603"/>
      <w:bookmarkStart w:id="347" w:name="_Toc32626"/>
      <w:bookmarkStart w:id="348" w:name="_Toc26685"/>
      <w:bookmarkStart w:id="349" w:name="_Toc14"/>
      <w:r>
        <w:rPr>
          <w:rFonts w:hint="eastAsia" w:asciiTheme="majorEastAsia" w:hAnsiTheme="majorEastAsia" w:eastAsiaTheme="majorEastAsia" w:cstheme="majorEastAsia"/>
          <w:color w:val="auto"/>
          <w:kern w:val="2"/>
          <w:sz w:val="21"/>
          <w:szCs w:val="21"/>
          <w:highlight w:val="none"/>
        </w:rPr>
        <w:t>1</w:t>
      </w:r>
      <w:bookmarkStart w:id="350" w:name="_Toc318581156"/>
      <w:bookmarkStart w:id="351" w:name="_Toc304295522"/>
      <w:bookmarkStart w:id="352" w:name="_Toc312677987"/>
      <w:bookmarkStart w:id="353" w:name="_Toc303539101"/>
      <w:bookmarkStart w:id="354" w:name="_Toc300934944"/>
      <w:r>
        <w:rPr>
          <w:rFonts w:hint="eastAsia" w:asciiTheme="majorEastAsia" w:hAnsiTheme="majorEastAsia" w:eastAsiaTheme="majorEastAsia" w:cstheme="majorEastAsia"/>
          <w:color w:val="auto"/>
          <w:kern w:val="2"/>
          <w:sz w:val="21"/>
          <w:szCs w:val="21"/>
          <w:highlight w:val="none"/>
        </w:rPr>
        <w:t>.10.3 场内交通</w:t>
      </w:r>
      <w:bookmarkEnd w:id="345"/>
      <w:bookmarkEnd w:id="346"/>
      <w:bookmarkEnd w:id="347"/>
      <w:bookmarkEnd w:id="348"/>
      <w:bookmarkEnd w:id="349"/>
    </w:p>
    <w:p w14:paraId="0032005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关于场外交通和场内交通的边界的约定：</w:t>
      </w:r>
      <w:r>
        <w:rPr>
          <w:rFonts w:hint="eastAsia" w:asciiTheme="majorEastAsia" w:hAnsiTheme="majorEastAsia" w:eastAsiaTheme="majorEastAsia" w:cstheme="majorEastAsia"/>
          <w:color w:val="auto"/>
          <w:kern w:val="2"/>
          <w:sz w:val="21"/>
          <w:szCs w:val="21"/>
          <w:highlight w:val="none"/>
        </w:rPr>
        <w:t xml:space="preserve"> </w:t>
      </w:r>
      <w:r>
        <w:rPr>
          <w:rFonts w:hint="eastAsia" w:asciiTheme="majorEastAsia" w:hAnsiTheme="majorEastAsia" w:eastAsiaTheme="majorEastAsia" w:cstheme="majorEastAsia"/>
          <w:b/>
          <w:color w:val="auto"/>
          <w:kern w:val="2"/>
          <w:sz w:val="21"/>
          <w:szCs w:val="21"/>
          <w:highlight w:val="none"/>
          <w:u w:val="single"/>
        </w:rPr>
        <w:t>本项目工程施工现场</w:t>
      </w:r>
      <w:r>
        <w:rPr>
          <w:rFonts w:hint="eastAsia" w:asciiTheme="majorEastAsia" w:hAnsiTheme="majorEastAsia" w:eastAsiaTheme="majorEastAsia" w:cstheme="majorEastAsia"/>
          <w:color w:val="auto"/>
          <w:kern w:val="2"/>
          <w:sz w:val="21"/>
          <w:szCs w:val="21"/>
          <w:highlight w:val="none"/>
        </w:rPr>
        <w:t>。</w:t>
      </w:r>
    </w:p>
    <w:p w14:paraId="5071405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关于发包人向承包人免费提供满足工程施工需要的场内道路和交通设施的约定：</w:t>
      </w:r>
      <w:r>
        <w:rPr>
          <w:rFonts w:hint="eastAsia" w:asciiTheme="majorEastAsia" w:hAnsiTheme="majorEastAsia" w:eastAsiaTheme="majorEastAsia" w:cstheme="majorEastAsia"/>
          <w:b/>
          <w:color w:val="auto"/>
          <w:kern w:val="2"/>
          <w:sz w:val="21"/>
          <w:szCs w:val="21"/>
          <w:highlight w:val="none"/>
          <w:u w:val="single"/>
        </w:rPr>
        <w:t>满足施工规范要求的“三通一平”， 因承包人原因造成上述“三通一平”所含内容当中任何一项损坏的，承包人负责修复并承担由此增加的费用。其它按通用条款1.10条款约定执行</w:t>
      </w:r>
      <w:r>
        <w:rPr>
          <w:rFonts w:hint="eastAsia" w:asciiTheme="majorEastAsia" w:hAnsiTheme="majorEastAsia" w:eastAsiaTheme="majorEastAsia" w:cstheme="majorEastAsia"/>
          <w:color w:val="auto"/>
          <w:kern w:val="2"/>
          <w:sz w:val="21"/>
          <w:szCs w:val="21"/>
          <w:highlight w:val="none"/>
        </w:rPr>
        <w:t>。</w:t>
      </w:r>
      <w:bookmarkEnd w:id="350"/>
      <w:bookmarkEnd w:id="351"/>
      <w:bookmarkEnd w:id="352"/>
      <w:bookmarkEnd w:id="353"/>
      <w:bookmarkEnd w:id="354"/>
      <w:r>
        <w:rPr>
          <w:rFonts w:hint="eastAsia" w:asciiTheme="majorEastAsia" w:hAnsiTheme="majorEastAsia" w:eastAsiaTheme="majorEastAsia" w:cstheme="majorEastAsia"/>
          <w:color w:val="auto"/>
          <w:kern w:val="2"/>
          <w:sz w:val="21"/>
          <w:szCs w:val="21"/>
          <w:highlight w:val="none"/>
        </w:rPr>
        <w:t xml:space="preserve">  </w:t>
      </w:r>
      <w:bookmarkStart w:id="355" w:name="_Toc318581157"/>
    </w:p>
    <w:p w14:paraId="1D74997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1.10.4超大件和超重件的运输</w:t>
      </w:r>
    </w:p>
    <w:p w14:paraId="23AF870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运输超大件或超重件所需的道路和桥梁临时加固改造费用和其他有关费用</w:t>
      </w:r>
      <w:r>
        <w:rPr>
          <w:rFonts w:hint="eastAsia" w:asciiTheme="majorEastAsia" w:hAnsiTheme="majorEastAsia" w:eastAsiaTheme="majorEastAsia" w:cstheme="majorEastAsia"/>
          <w:b/>
          <w:color w:val="auto"/>
          <w:kern w:val="2"/>
          <w:sz w:val="21"/>
          <w:szCs w:val="21"/>
          <w:highlight w:val="none"/>
          <w:u w:val="single"/>
        </w:rPr>
        <w:t>承包人承担</w:t>
      </w:r>
      <w:r>
        <w:rPr>
          <w:rFonts w:hint="eastAsia" w:asciiTheme="majorEastAsia" w:hAnsiTheme="majorEastAsia" w:eastAsiaTheme="majorEastAsia" w:cstheme="majorEastAsia"/>
          <w:color w:val="auto"/>
          <w:kern w:val="2"/>
          <w:sz w:val="21"/>
          <w:szCs w:val="21"/>
          <w:highlight w:val="none"/>
        </w:rPr>
        <w:t>。</w:t>
      </w:r>
    </w:p>
    <w:bookmarkEnd w:id="355"/>
    <w:p w14:paraId="48ADC45B">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56" w:name="_Toc31594"/>
      <w:bookmarkStart w:id="357" w:name="_Toc21060"/>
      <w:bookmarkStart w:id="358" w:name="_Toc30224"/>
      <w:bookmarkStart w:id="359" w:name="_Toc9179"/>
      <w:bookmarkStart w:id="360" w:name="_Toc7391"/>
      <w:r>
        <w:rPr>
          <w:rFonts w:hint="eastAsia" w:asciiTheme="majorEastAsia" w:hAnsiTheme="majorEastAsia" w:eastAsiaTheme="majorEastAsia" w:cstheme="majorEastAsia"/>
          <w:color w:val="auto"/>
          <w:kern w:val="2"/>
          <w:sz w:val="21"/>
          <w:szCs w:val="21"/>
          <w:highlight w:val="none"/>
        </w:rPr>
        <w:t>1.11 知识产权</w:t>
      </w:r>
      <w:bookmarkEnd w:id="356"/>
      <w:bookmarkEnd w:id="357"/>
      <w:bookmarkEnd w:id="358"/>
      <w:bookmarkEnd w:id="359"/>
      <w:bookmarkEnd w:id="360"/>
    </w:p>
    <w:p w14:paraId="44F23E5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1.11.1关于发包人提供给发包人为实施工程自行编制或委托编制的技术规范以及反映发包人关于合同要求或其他类似性质的文件的著作权的归属：</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1739067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关于发包人提供的上述文件的使用限制的要求：</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2DB8DE0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1.11.2 关于承包人为实施工程所编制文件的著作权的归属：</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1C8867A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关于承包人提供的上述文件的使用限制的要求：</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5A08C17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1.11.4 承包人在施工过程中所采用的专利、专有技术、技术秘密的使用费的承担方式：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5241CAB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1.13工程量清单错误的修正</w:t>
      </w:r>
    </w:p>
    <w:p w14:paraId="25872CA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出现工程量清单错误时，是否调整合同价格：</w:t>
      </w:r>
      <w:r>
        <w:rPr>
          <w:rFonts w:hint="eastAsia" w:asciiTheme="majorEastAsia" w:hAnsiTheme="majorEastAsia" w:eastAsiaTheme="majorEastAsia" w:cstheme="majorEastAsia"/>
          <w:b/>
          <w:color w:val="auto"/>
          <w:kern w:val="2"/>
          <w:sz w:val="21"/>
          <w:szCs w:val="21"/>
          <w:highlight w:val="none"/>
          <w:u w:val="single"/>
        </w:rPr>
        <w:t>是</w:t>
      </w:r>
      <w:r>
        <w:rPr>
          <w:rFonts w:hint="eastAsia" w:asciiTheme="majorEastAsia" w:hAnsiTheme="majorEastAsia" w:eastAsiaTheme="majorEastAsia" w:cstheme="majorEastAsia"/>
          <w:color w:val="auto"/>
          <w:sz w:val="21"/>
          <w:szCs w:val="21"/>
          <w:highlight w:val="none"/>
        </w:rPr>
        <w:t>。</w:t>
      </w:r>
    </w:p>
    <w:p w14:paraId="434CA2AD">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允许调整合同价格的工程量偏差范围：</w:t>
      </w:r>
      <w:r>
        <w:rPr>
          <w:rFonts w:hint="eastAsia" w:asciiTheme="majorEastAsia" w:hAnsiTheme="majorEastAsia" w:eastAsiaTheme="majorEastAsia" w:cstheme="majorEastAsia"/>
          <w:b/>
          <w:color w:val="auto"/>
          <w:kern w:val="2"/>
          <w:sz w:val="21"/>
          <w:szCs w:val="21"/>
          <w:highlight w:val="none"/>
          <w:u w:val="single"/>
        </w:rPr>
        <w:t>工程量出现偏差即调整</w:t>
      </w:r>
      <w:r>
        <w:rPr>
          <w:rFonts w:hint="eastAsia" w:asciiTheme="majorEastAsia" w:hAnsiTheme="majorEastAsia" w:eastAsiaTheme="majorEastAsia" w:cstheme="majorEastAsia"/>
          <w:b/>
          <w:color w:val="auto"/>
          <w:kern w:val="2"/>
          <w:sz w:val="21"/>
          <w:szCs w:val="21"/>
          <w:highlight w:val="none"/>
          <w:u w:val="none"/>
        </w:rPr>
        <w:t>。</w:t>
      </w:r>
    </w:p>
    <w:p w14:paraId="7B61F9D3">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361" w:name="_Toc351203634"/>
      <w:r>
        <w:rPr>
          <w:rFonts w:hint="eastAsia" w:asciiTheme="majorEastAsia" w:hAnsiTheme="majorEastAsia" w:eastAsiaTheme="majorEastAsia" w:cstheme="majorEastAsia"/>
          <w:b w:val="0"/>
          <w:color w:val="auto"/>
          <w:sz w:val="21"/>
          <w:szCs w:val="21"/>
          <w:highlight w:val="none"/>
        </w:rPr>
        <w:t>2</w:t>
      </w:r>
      <w:bookmarkStart w:id="362" w:name="_Toc296347156"/>
      <w:bookmarkStart w:id="363" w:name="_Toc296891197"/>
      <w:bookmarkStart w:id="364" w:name="_Toc296346658"/>
      <w:bookmarkStart w:id="365" w:name="_Toc296944496"/>
      <w:bookmarkStart w:id="366" w:name="_Toc297120457"/>
      <w:bookmarkStart w:id="367" w:name="_Toc292559867"/>
      <w:bookmarkStart w:id="368" w:name="_Toc292559362"/>
      <w:bookmarkStart w:id="369" w:name="_Toc296890985"/>
      <w:bookmarkStart w:id="370" w:name="_Toc297048343"/>
      <w:bookmarkStart w:id="371" w:name="_Toc296503157"/>
      <w:r>
        <w:rPr>
          <w:rFonts w:hint="eastAsia" w:asciiTheme="majorEastAsia" w:hAnsiTheme="majorEastAsia" w:eastAsiaTheme="majorEastAsia" w:cstheme="majorEastAsia"/>
          <w:b w:val="0"/>
          <w:color w:val="auto"/>
          <w:sz w:val="21"/>
          <w:szCs w:val="21"/>
          <w:highlight w:val="none"/>
        </w:rPr>
        <w:t>. 发包人</w:t>
      </w:r>
      <w:bookmarkEnd w:id="361"/>
    </w:p>
    <w:bookmarkEnd w:id="362"/>
    <w:bookmarkEnd w:id="363"/>
    <w:bookmarkEnd w:id="364"/>
    <w:bookmarkEnd w:id="365"/>
    <w:bookmarkEnd w:id="366"/>
    <w:bookmarkEnd w:id="367"/>
    <w:bookmarkEnd w:id="368"/>
    <w:bookmarkEnd w:id="369"/>
    <w:bookmarkEnd w:id="370"/>
    <w:bookmarkEnd w:id="371"/>
    <w:p w14:paraId="05F6002E">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72" w:name="_Toc31204"/>
      <w:bookmarkStart w:id="373" w:name="_Toc16497"/>
      <w:bookmarkStart w:id="374" w:name="_Toc1334"/>
      <w:bookmarkStart w:id="375" w:name="_Toc20250"/>
      <w:bookmarkStart w:id="376" w:name="_Toc13592"/>
      <w:r>
        <w:rPr>
          <w:rFonts w:hint="eastAsia" w:asciiTheme="majorEastAsia" w:hAnsiTheme="majorEastAsia" w:eastAsiaTheme="majorEastAsia" w:cstheme="majorEastAsia"/>
          <w:color w:val="auto"/>
          <w:kern w:val="2"/>
          <w:sz w:val="21"/>
          <w:szCs w:val="21"/>
          <w:highlight w:val="none"/>
        </w:rPr>
        <w:t>2.2 发包人代表</w:t>
      </w:r>
      <w:bookmarkEnd w:id="372"/>
      <w:bookmarkEnd w:id="373"/>
      <w:bookmarkEnd w:id="374"/>
      <w:bookmarkEnd w:id="375"/>
      <w:bookmarkEnd w:id="376"/>
    </w:p>
    <w:p w14:paraId="296C9C1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发包人代表：</w:t>
      </w:r>
    </w:p>
    <w:p w14:paraId="3CEC00C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姓    名：</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8CDA97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身份证号：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3B77E40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职    务：</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14C593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联系电话：</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6F873C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电子信箱：</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46698B2">
      <w:pPr>
        <w:pStyle w:val="55"/>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通信地址：</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4016340C">
      <w:pPr>
        <w:pStyle w:val="55"/>
        <w:keepNext w:val="0"/>
        <w:keepLines w:val="0"/>
        <w:pageBreakBefore w:val="0"/>
        <w:widowControl/>
        <w:kinsoku/>
        <w:wordWrap/>
        <w:overflowPunct/>
        <w:topLinePunct w:val="0"/>
        <w:autoSpaceDE/>
        <w:autoSpaceDN/>
        <w:bidi w:val="0"/>
        <w:adjustRightInd/>
        <w:snapToGrid/>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发包人对发包人代表的授权范围如下：</w:t>
      </w:r>
      <w:r>
        <w:rPr>
          <w:rFonts w:hint="eastAsia" w:asciiTheme="majorEastAsia" w:hAnsiTheme="majorEastAsia" w:eastAsiaTheme="majorEastAsia" w:cstheme="majorEastAsia"/>
          <w:b/>
          <w:color w:val="auto"/>
          <w:kern w:val="2"/>
          <w:sz w:val="21"/>
          <w:szCs w:val="21"/>
          <w:highlight w:val="none"/>
          <w:u w:val="single"/>
        </w:rPr>
        <w:t>协调工程相关的各种关系，监督各方工作责任，行使代表人的权利</w:t>
      </w:r>
      <w:r>
        <w:rPr>
          <w:rFonts w:hint="eastAsia" w:asciiTheme="majorEastAsia" w:hAnsiTheme="majorEastAsia" w:eastAsiaTheme="majorEastAsia" w:cstheme="majorEastAsia"/>
          <w:color w:val="auto"/>
          <w:kern w:val="2"/>
          <w:sz w:val="21"/>
          <w:szCs w:val="21"/>
          <w:highlight w:val="none"/>
        </w:rPr>
        <w:t>。</w:t>
      </w:r>
    </w:p>
    <w:p w14:paraId="4F79E19E">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77" w:name="_Toc5270"/>
      <w:bookmarkStart w:id="378" w:name="_Toc7350"/>
      <w:bookmarkStart w:id="379" w:name="_Toc31088"/>
      <w:bookmarkStart w:id="380" w:name="_Toc28011"/>
      <w:bookmarkStart w:id="381" w:name="_Toc14476"/>
      <w:r>
        <w:rPr>
          <w:rFonts w:hint="eastAsia" w:asciiTheme="majorEastAsia" w:hAnsiTheme="majorEastAsia" w:eastAsiaTheme="majorEastAsia" w:cstheme="majorEastAsia"/>
          <w:color w:val="auto"/>
          <w:kern w:val="2"/>
          <w:sz w:val="21"/>
          <w:szCs w:val="21"/>
          <w:highlight w:val="none"/>
        </w:rPr>
        <w:t>2.4 施工现场、施工条件和基础资料的提供</w:t>
      </w:r>
      <w:bookmarkEnd w:id="377"/>
      <w:bookmarkEnd w:id="378"/>
      <w:bookmarkEnd w:id="379"/>
      <w:bookmarkEnd w:id="380"/>
      <w:bookmarkEnd w:id="381"/>
    </w:p>
    <w:p w14:paraId="79D87C4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2.4.1 提供施工现场</w:t>
      </w:r>
    </w:p>
    <w:p w14:paraId="2005190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关于发包人移交施工现场的期限要求：</w:t>
      </w:r>
      <w:r>
        <w:rPr>
          <w:rFonts w:hint="eastAsia" w:asciiTheme="majorEastAsia" w:hAnsiTheme="majorEastAsia" w:eastAsiaTheme="majorEastAsia" w:cstheme="majorEastAsia"/>
          <w:b/>
          <w:color w:val="auto"/>
          <w:kern w:val="2"/>
          <w:sz w:val="21"/>
          <w:szCs w:val="21"/>
          <w:highlight w:val="none"/>
          <w:u w:val="single"/>
        </w:rPr>
        <w:t>开工前七天</w:t>
      </w:r>
      <w:r>
        <w:rPr>
          <w:rFonts w:hint="eastAsia" w:asciiTheme="majorEastAsia" w:hAnsiTheme="majorEastAsia" w:eastAsiaTheme="majorEastAsia" w:cstheme="majorEastAsia"/>
          <w:b/>
          <w:color w:val="auto"/>
          <w:kern w:val="2"/>
          <w:sz w:val="21"/>
          <w:szCs w:val="21"/>
          <w:highlight w:val="none"/>
          <w:u w:val="none"/>
        </w:rPr>
        <w:t>。</w:t>
      </w:r>
    </w:p>
    <w:p w14:paraId="4CE8EF5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2.4.2 提供施工条件</w:t>
      </w:r>
    </w:p>
    <w:p w14:paraId="650D7F1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关于发包人应负责提供施工所需要的条件，包括：</w:t>
      </w:r>
    </w:p>
    <w:p w14:paraId="7CA74CA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（1）施工场地具备施工条件的要求及完成的时间：</w:t>
      </w:r>
      <w:r>
        <w:rPr>
          <w:rFonts w:hint="eastAsia" w:asciiTheme="majorEastAsia" w:hAnsiTheme="majorEastAsia" w:eastAsiaTheme="majorEastAsia" w:cstheme="majorEastAsia"/>
          <w:b/>
          <w:color w:val="auto"/>
          <w:kern w:val="2"/>
          <w:sz w:val="21"/>
          <w:szCs w:val="21"/>
          <w:highlight w:val="none"/>
          <w:u w:val="single"/>
        </w:rPr>
        <w:t>“三通一平”，开工前或实施过程中根据现场情况配合完成</w:t>
      </w:r>
      <w:r>
        <w:rPr>
          <w:rFonts w:hint="eastAsia" w:asciiTheme="majorEastAsia" w:hAnsiTheme="majorEastAsia" w:eastAsiaTheme="majorEastAsia" w:cstheme="majorEastAsia"/>
          <w:b/>
          <w:color w:val="auto"/>
          <w:kern w:val="2"/>
          <w:sz w:val="21"/>
          <w:szCs w:val="21"/>
          <w:highlight w:val="none"/>
          <w:u w:val="none"/>
        </w:rPr>
        <w:t>。</w:t>
      </w:r>
    </w:p>
    <w:p w14:paraId="70BFA71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（2）将施工所需的水、电、电讯线路接至施工场地的时间、地点和供应要求：</w:t>
      </w:r>
      <w:r>
        <w:rPr>
          <w:rFonts w:hint="eastAsia" w:asciiTheme="majorEastAsia" w:hAnsiTheme="majorEastAsia" w:eastAsiaTheme="majorEastAsia" w:cstheme="majorEastAsia"/>
          <w:b/>
          <w:color w:val="auto"/>
          <w:kern w:val="2"/>
          <w:sz w:val="21"/>
          <w:szCs w:val="21"/>
          <w:highlight w:val="none"/>
          <w:u w:val="single"/>
        </w:rPr>
        <w:t>开工前完成 ，发包人向承包人提供相应的水源点、电源点，并由承包人装表计量并由承包人装表计量且负责管理和保护相应的水、电设备。施工场地内的管、线由承包人自行完善并包括在承包人投标报价中，承包人据实用量和相应的耗损</w:t>
      </w:r>
      <w:r>
        <w:rPr>
          <w:rFonts w:hint="eastAsia" w:asciiTheme="majorEastAsia" w:hAnsiTheme="majorEastAsia" w:eastAsiaTheme="majorEastAsia" w:cstheme="majorEastAsia"/>
          <w:b/>
          <w:color w:val="auto"/>
          <w:kern w:val="2"/>
          <w:sz w:val="21"/>
          <w:szCs w:val="21"/>
          <w:highlight w:val="none"/>
          <w:u w:val="single"/>
          <w:lang w:eastAsia="zh-CN"/>
        </w:rPr>
        <w:t>缴纳</w:t>
      </w:r>
      <w:r>
        <w:rPr>
          <w:rFonts w:hint="eastAsia" w:asciiTheme="majorEastAsia" w:hAnsiTheme="majorEastAsia" w:eastAsiaTheme="majorEastAsia" w:cstheme="majorEastAsia"/>
          <w:b/>
          <w:color w:val="auto"/>
          <w:kern w:val="2"/>
          <w:sz w:val="21"/>
          <w:szCs w:val="21"/>
          <w:highlight w:val="none"/>
          <w:u w:val="single"/>
        </w:rPr>
        <w:t>水电费，并负责看管和维护相应水电设备，发生费用由承包人承担。若承包人未缴纳，而影响发包人其他工程建设时，经监理及发包人现场负责人签字确认后，发包人有权直接从承包人工程进度款或工程竣工结算款中扣除后缴纳。承包人应考虑备用电源，进场时承包人应配备发电机以满足工程进度的需要，不能因断电影响工程施工，备用电源费用包含在措施费中，发包人不再另行支付</w:t>
      </w:r>
      <w:r>
        <w:rPr>
          <w:rFonts w:hint="eastAsia" w:asciiTheme="majorEastAsia" w:hAnsiTheme="majorEastAsia" w:eastAsiaTheme="majorEastAsia" w:cstheme="majorEastAsia"/>
          <w:b/>
          <w:color w:val="auto"/>
          <w:kern w:val="2"/>
          <w:sz w:val="21"/>
          <w:szCs w:val="21"/>
          <w:highlight w:val="none"/>
          <w:u w:val="none"/>
        </w:rPr>
        <w:t>。</w:t>
      </w:r>
    </w:p>
    <w:p w14:paraId="6FCC7256">
      <w:pPr>
        <w:pStyle w:val="55"/>
        <w:keepNext w:val="0"/>
        <w:pageBreakBefore w:val="0"/>
        <w:widowControl/>
        <w:kinsoku/>
        <w:wordWrap/>
        <w:overflowPunct/>
        <w:topLinePunct w:val="0"/>
        <w:bidi w:val="0"/>
        <w:snapToGrid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（3）施工场地与公共道路的通道开通时间和要求：</w:t>
      </w:r>
      <w:r>
        <w:rPr>
          <w:rFonts w:hint="eastAsia" w:asciiTheme="majorEastAsia" w:hAnsiTheme="majorEastAsia" w:eastAsiaTheme="majorEastAsia" w:cstheme="majorEastAsia"/>
          <w:b/>
          <w:color w:val="auto"/>
          <w:kern w:val="2"/>
          <w:sz w:val="21"/>
          <w:szCs w:val="21"/>
          <w:highlight w:val="none"/>
          <w:u w:val="single"/>
        </w:rPr>
        <w:t>在开工前</w:t>
      </w:r>
      <w:r>
        <w:rPr>
          <w:rFonts w:hint="eastAsia" w:asciiTheme="majorEastAsia" w:hAnsiTheme="majorEastAsia" w:eastAsiaTheme="majorEastAsia" w:cstheme="majorEastAsia"/>
          <w:b/>
          <w:color w:val="auto"/>
          <w:kern w:val="2"/>
          <w:sz w:val="21"/>
          <w:szCs w:val="21"/>
          <w:highlight w:val="none"/>
          <w:u w:val="none"/>
        </w:rPr>
        <w:t>。</w:t>
      </w:r>
    </w:p>
    <w:p w14:paraId="26BA53BD">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（4）工程地质和地下管线资料的提供时间：</w:t>
      </w:r>
      <w:r>
        <w:rPr>
          <w:rFonts w:hint="eastAsia" w:asciiTheme="majorEastAsia" w:hAnsiTheme="majorEastAsia" w:eastAsiaTheme="majorEastAsia" w:cstheme="majorEastAsia"/>
          <w:b/>
          <w:color w:val="auto"/>
          <w:kern w:val="2"/>
          <w:sz w:val="21"/>
          <w:szCs w:val="21"/>
          <w:highlight w:val="none"/>
          <w:u w:val="single"/>
        </w:rPr>
        <w:t>开工前七天</w:t>
      </w:r>
      <w:r>
        <w:rPr>
          <w:rFonts w:hint="eastAsia" w:asciiTheme="majorEastAsia" w:hAnsiTheme="majorEastAsia" w:eastAsiaTheme="majorEastAsia" w:cstheme="majorEastAsia"/>
          <w:b/>
          <w:color w:val="auto"/>
          <w:kern w:val="2"/>
          <w:sz w:val="21"/>
          <w:szCs w:val="21"/>
          <w:highlight w:val="none"/>
          <w:u w:val="none"/>
        </w:rPr>
        <w:t>。</w:t>
      </w:r>
    </w:p>
    <w:p w14:paraId="0F8D9AA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（5）由发包人办理的施工所需证件、批件的名称和完成时间：</w:t>
      </w:r>
      <w:r>
        <w:rPr>
          <w:rFonts w:hint="eastAsia" w:asciiTheme="majorEastAsia" w:hAnsiTheme="majorEastAsia" w:eastAsiaTheme="majorEastAsia" w:cstheme="majorEastAsia"/>
          <w:b/>
          <w:color w:val="auto"/>
          <w:kern w:val="2"/>
          <w:sz w:val="21"/>
          <w:szCs w:val="21"/>
          <w:highlight w:val="none"/>
          <w:u w:val="single"/>
        </w:rPr>
        <w:t>在开工前办理规划许可证、质量监督、审图、环保及施工许可证</w:t>
      </w:r>
      <w:r>
        <w:rPr>
          <w:rFonts w:hint="eastAsia" w:asciiTheme="majorEastAsia" w:hAnsiTheme="majorEastAsia" w:eastAsiaTheme="majorEastAsia" w:cstheme="majorEastAsia"/>
          <w:b/>
          <w:color w:val="auto"/>
          <w:kern w:val="2"/>
          <w:sz w:val="21"/>
          <w:szCs w:val="21"/>
          <w:highlight w:val="none"/>
          <w:u w:val="none"/>
        </w:rPr>
        <w:t xml:space="preserve">。 </w:t>
      </w:r>
    </w:p>
    <w:p w14:paraId="55CED9A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（6）水准点与坐标控制点交验要求：</w:t>
      </w:r>
      <w:r>
        <w:rPr>
          <w:rFonts w:hint="eastAsia" w:asciiTheme="majorEastAsia" w:hAnsiTheme="majorEastAsia" w:eastAsiaTheme="majorEastAsia" w:cstheme="majorEastAsia"/>
          <w:b/>
          <w:color w:val="auto"/>
          <w:kern w:val="2"/>
          <w:sz w:val="21"/>
          <w:szCs w:val="21"/>
          <w:highlight w:val="none"/>
          <w:u w:val="single"/>
        </w:rPr>
        <w:t>开工前由发包人现场确定以书面形式给承包人交验。</w:t>
      </w:r>
      <w:r>
        <w:rPr>
          <w:rFonts w:hint="eastAsia" w:asciiTheme="majorEastAsia" w:hAnsiTheme="majorEastAsia" w:eastAsiaTheme="majorEastAsia" w:cstheme="majorEastAsia"/>
          <w:color w:val="auto"/>
          <w:kern w:val="2"/>
          <w:sz w:val="21"/>
          <w:szCs w:val="21"/>
          <w:highlight w:val="none"/>
          <w:u w:val="single"/>
        </w:rPr>
        <w:t xml:space="preserve">  </w:t>
      </w:r>
    </w:p>
    <w:p w14:paraId="5F2DFD7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（7）会审和设计交底时间：</w:t>
      </w:r>
      <w:r>
        <w:rPr>
          <w:rFonts w:hint="eastAsia" w:asciiTheme="majorEastAsia" w:hAnsiTheme="majorEastAsia" w:eastAsiaTheme="majorEastAsia" w:cstheme="majorEastAsia"/>
          <w:b/>
          <w:color w:val="auto"/>
          <w:kern w:val="2"/>
          <w:sz w:val="21"/>
          <w:szCs w:val="21"/>
          <w:highlight w:val="none"/>
          <w:u w:val="single"/>
        </w:rPr>
        <w:t>开工后双方商定</w:t>
      </w:r>
      <w:r>
        <w:rPr>
          <w:rFonts w:hint="eastAsia" w:asciiTheme="majorEastAsia" w:hAnsiTheme="majorEastAsia" w:eastAsiaTheme="majorEastAsia" w:cstheme="majorEastAsia"/>
          <w:b/>
          <w:color w:val="auto"/>
          <w:kern w:val="2"/>
          <w:sz w:val="21"/>
          <w:szCs w:val="21"/>
          <w:highlight w:val="none"/>
          <w:u w:val="none"/>
        </w:rPr>
        <w:t>。</w:t>
      </w:r>
      <w:r>
        <w:rPr>
          <w:rFonts w:hint="eastAsia" w:asciiTheme="majorEastAsia" w:hAnsiTheme="majorEastAsia" w:eastAsiaTheme="majorEastAsia" w:cstheme="majorEastAsia"/>
          <w:color w:val="auto"/>
          <w:kern w:val="2"/>
          <w:sz w:val="21"/>
          <w:szCs w:val="21"/>
          <w:highlight w:val="none"/>
          <w:u w:val="none"/>
        </w:rPr>
        <w:t xml:space="preserve">  </w:t>
      </w:r>
    </w:p>
    <w:p w14:paraId="19DAFAA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（8）协调处理施工场地周围地下管线和邻近建筑物、构筑物（含文物保护建筑）、古树名木的保护工作：</w:t>
      </w:r>
      <w:r>
        <w:rPr>
          <w:rFonts w:hint="eastAsia" w:asciiTheme="majorEastAsia" w:hAnsiTheme="majorEastAsia" w:eastAsiaTheme="majorEastAsia" w:cstheme="majorEastAsia"/>
          <w:b/>
          <w:color w:val="auto"/>
          <w:kern w:val="2"/>
          <w:sz w:val="21"/>
          <w:szCs w:val="21"/>
          <w:highlight w:val="none"/>
          <w:u w:val="single"/>
        </w:rPr>
        <w:t>由承包人按要求进行保护，发生的费用，经发包人现场签认后由发包人承担；因承包人自身原因及违反有关规定造成的损失和罚款由承包人承担</w:t>
      </w:r>
      <w:r>
        <w:rPr>
          <w:rFonts w:hint="eastAsia" w:asciiTheme="majorEastAsia" w:hAnsiTheme="majorEastAsia" w:eastAsiaTheme="majorEastAsia" w:cstheme="majorEastAsia"/>
          <w:b/>
          <w:color w:val="auto"/>
          <w:kern w:val="2"/>
          <w:sz w:val="21"/>
          <w:szCs w:val="21"/>
          <w:highlight w:val="none"/>
          <w:u w:val="none"/>
        </w:rPr>
        <w:t>。</w:t>
      </w:r>
    </w:p>
    <w:p w14:paraId="4BF229D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（9）双方约定发包人应做的其他工作：</w:t>
      </w:r>
      <w:r>
        <w:rPr>
          <w:rFonts w:hint="eastAsia" w:asciiTheme="majorEastAsia" w:hAnsiTheme="majorEastAsia" w:eastAsiaTheme="majorEastAsia" w:cstheme="majorEastAsia"/>
          <w:b/>
          <w:color w:val="auto"/>
          <w:kern w:val="2"/>
          <w:sz w:val="21"/>
          <w:szCs w:val="21"/>
          <w:highlight w:val="none"/>
          <w:u w:val="single"/>
        </w:rPr>
        <w:t>发生时协商解决</w:t>
      </w:r>
      <w:r>
        <w:rPr>
          <w:rFonts w:hint="eastAsia" w:asciiTheme="majorEastAsia" w:hAnsiTheme="majorEastAsia" w:eastAsiaTheme="majorEastAsia" w:cstheme="majorEastAsia"/>
          <w:color w:val="auto"/>
          <w:kern w:val="2"/>
          <w:sz w:val="21"/>
          <w:szCs w:val="21"/>
          <w:highlight w:val="none"/>
          <w:u w:val="none"/>
        </w:rPr>
        <w:t xml:space="preserve">。 </w:t>
      </w:r>
    </w:p>
    <w:p w14:paraId="6D681985">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382" w:name="_Toc23192"/>
      <w:bookmarkStart w:id="383" w:name="_Toc30028"/>
      <w:bookmarkStart w:id="384" w:name="_Toc23191"/>
      <w:bookmarkStart w:id="385" w:name="_Toc21447"/>
      <w:bookmarkStart w:id="386" w:name="_Toc3371"/>
      <w:r>
        <w:rPr>
          <w:rFonts w:hint="eastAsia" w:asciiTheme="majorEastAsia" w:hAnsiTheme="majorEastAsia" w:eastAsiaTheme="majorEastAsia" w:cstheme="majorEastAsia"/>
          <w:color w:val="auto"/>
          <w:kern w:val="2"/>
          <w:sz w:val="21"/>
          <w:szCs w:val="21"/>
          <w:highlight w:val="none"/>
        </w:rPr>
        <w:t>2.5 资金来源证明及支付担保</w:t>
      </w:r>
      <w:bookmarkEnd w:id="382"/>
      <w:bookmarkEnd w:id="383"/>
      <w:bookmarkEnd w:id="384"/>
      <w:bookmarkEnd w:id="385"/>
      <w:bookmarkEnd w:id="386"/>
    </w:p>
    <w:p w14:paraId="42BF825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发包人提供资金来源证明的期限要求：</w:t>
      </w:r>
      <w:r>
        <w:rPr>
          <w:rFonts w:hint="eastAsia" w:asciiTheme="majorEastAsia" w:hAnsiTheme="majorEastAsia" w:eastAsiaTheme="majorEastAsia" w:cstheme="majorEastAsia"/>
          <w:b/>
          <w:color w:val="auto"/>
          <w:kern w:val="2"/>
          <w:sz w:val="21"/>
          <w:szCs w:val="21"/>
          <w:highlight w:val="none"/>
          <w:u w:val="single"/>
        </w:rPr>
        <w:t>开工前</w:t>
      </w:r>
      <w:r>
        <w:rPr>
          <w:rFonts w:hint="eastAsia" w:asciiTheme="majorEastAsia" w:hAnsiTheme="majorEastAsia" w:eastAsiaTheme="majorEastAsia" w:cstheme="majorEastAsia"/>
          <w:color w:val="auto"/>
          <w:kern w:val="2"/>
          <w:sz w:val="21"/>
          <w:szCs w:val="21"/>
          <w:highlight w:val="none"/>
        </w:rPr>
        <w:t>。</w:t>
      </w:r>
    </w:p>
    <w:p w14:paraId="538F529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发包人是否提供支付担保：</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5CE375D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发包人提供支付担保的形式：</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516812F9">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387" w:name="_Toc351203635"/>
      <w:r>
        <w:rPr>
          <w:rFonts w:hint="eastAsia" w:asciiTheme="majorEastAsia" w:hAnsiTheme="majorEastAsia" w:eastAsiaTheme="majorEastAsia" w:cstheme="majorEastAsia"/>
          <w:b w:val="0"/>
          <w:color w:val="auto"/>
          <w:sz w:val="21"/>
          <w:szCs w:val="21"/>
          <w:highlight w:val="none"/>
        </w:rPr>
        <w:t>3</w:t>
      </w:r>
      <w:bookmarkStart w:id="388" w:name="_Toc292559363"/>
      <w:bookmarkStart w:id="389" w:name="_Toc296346659"/>
      <w:bookmarkStart w:id="390" w:name="_Toc296891198"/>
      <w:bookmarkStart w:id="391" w:name="_Toc297048344"/>
      <w:bookmarkStart w:id="392" w:name="_Toc292559868"/>
      <w:bookmarkStart w:id="393" w:name="_Toc296944497"/>
      <w:bookmarkStart w:id="394" w:name="_Toc296890986"/>
      <w:bookmarkStart w:id="395" w:name="_Toc296347157"/>
      <w:bookmarkStart w:id="396" w:name="_Toc297120458"/>
      <w:bookmarkStart w:id="397" w:name="_Toc296503158"/>
      <w:r>
        <w:rPr>
          <w:rFonts w:hint="eastAsia" w:asciiTheme="majorEastAsia" w:hAnsiTheme="majorEastAsia" w:eastAsiaTheme="majorEastAsia" w:cstheme="majorEastAsia"/>
          <w:b w:val="0"/>
          <w:color w:val="auto"/>
          <w:sz w:val="21"/>
          <w:szCs w:val="21"/>
          <w:highlight w:val="none"/>
        </w:rPr>
        <w:t>. 承包人</w:t>
      </w:r>
      <w:bookmarkEnd w:id="387"/>
    </w:p>
    <w:bookmarkEnd w:id="388"/>
    <w:bookmarkEnd w:id="389"/>
    <w:bookmarkEnd w:id="390"/>
    <w:bookmarkEnd w:id="391"/>
    <w:bookmarkEnd w:id="392"/>
    <w:bookmarkEnd w:id="393"/>
    <w:bookmarkEnd w:id="394"/>
    <w:bookmarkEnd w:id="395"/>
    <w:bookmarkEnd w:id="396"/>
    <w:bookmarkEnd w:id="397"/>
    <w:p w14:paraId="7947B00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3.1 承包人的一般义务</w:t>
      </w:r>
    </w:p>
    <w:p w14:paraId="7AB90B1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（9）</w:t>
      </w:r>
      <w:r>
        <w:rPr>
          <w:rFonts w:hint="eastAsia" w:asciiTheme="majorEastAsia" w:hAnsiTheme="majorEastAsia" w:eastAsiaTheme="majorEastAsia" w:cstheme="majorEastAsia"/>
          <w:color w:val="auto"/>
          <w:kern w:val="2"/>
          <w:sz w:val="21"/>
          <w:szCs w:val="21"/>
          <w:highlight w:val="none"/>
        </w:rPr>
        <w:t>承包人提交的竣工资料的内容：</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3F65D7D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承包人需要提交的竣工资料套数：</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4套</w:t>
      </w:r>
      <w:r>
        <w:rPr>
          <w:rFonts w:hint="eastAsia" w:asciiTheme="majorEastAsia" w:hAnsiTheme="majorEastAsia" w:eastAsiaTheme="majorEastAsia" w:cstheme="majorEastAsia"/>
          <w:color w:val="auto"/>
          <w:kern w:val="2"/>
          <w:sz w:val="21"/>
          <w:szCs w:val="21"/>
          <w:highlight w:val="none"/>
        </w:rPr>
        <w:t>。</w:t>
      </w:r>
    </w:p>
    <w:p w14:paraId="2F026D72">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承包人提交的竣工资料的费用承担：</w:t>
      </w:r>
      <w:r>
        <w:rPr>
          <w:rFonts w:hint="eastAsia" w:asciiTheme="majorEastAsia" w:hAnsiTheme="majorEastAsia" w:eastAsiaTheme="majorEastAsia" w:cstheme="majorEastAsia"/>
          <w:b/>
          <w:color w:val="auto"/>
          <w:kern w:val="2"/>
          <w:sz w:val="21"/>
          <w:szCs w:val="21"/>
          <w:highlight w:val="none"/>
          <w:u w:val="single"/>
        </w:rPr>
        <w:t>承包人承担</w:t>
      </w:r>
      <w:r>
        <w:rPr>
          <w:rFonts w:hint="eastAsia" w:asciiTheme="majorEastAsia" w:hAnsiTheme="majorEastAsia" w:eastAsiaTheme="majorEastAsia" w:cstheme="majorEastAsia"/>
          <w:color w:val="auto"/>
          <w:kern w:val="2"/>
          <w:sz w:val="21"/>
          <w:szCs w:val="21"/>
          <w:highlight w:val="none"/>
        </w:rPr>
        <w:t>。</w:t>
      </w:r>
    </w:p>
    <w:p w14:paraId="38509AB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承包人提交的竣工资料移交时间：</w:t>
      </w:r>
      <w:r>
        <w:rPr>
          <w:rFonts w:hint="eastAsia" w:asciiTheme="majorEastAsia" w:hAnsiTheme="majorEastAsia" w:eastAsiaTheme="majorEastAsia" w:cstheme="majorEastAsia"/>
          <w:b/>
          <w:color w:val="auto"/>
          <w:kern w:val="2"/>
          <w:sz w:val="21"/>
          <w:szCs w:val="21"/>
          <w:highlight w:val="none"/>
          <w:u w:val="single"/>
        </w:rPr>
        <w:t>工程竣工验收后一个月</w:t>
      </w:r>
      <w:r>
        <w:rPr>
          <w:rFonts w:hint="eastAsia" w:asciiTheme="majorEastAsia" w:hAnsiTheme="majorEastAsia" w:eastAsiaTheme="majorEastAsia" w:cstheme="majorEastAsia"/>
          <w:color w:val="auto"/>
          <w:kern w:val="2"/>
          <w:sz w:val="21"/>
          <w:szCs w:val="21"/>
          <w:highlight w:val="none"/>
        </w:rPr>
        <w:t>。</w:t>
      </w:r>
    </w:p>
    <w:p w14:paraId="0832C4C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承包人提交的竣工资料形式要求：</w:t>
      </w:r>
      <w:r>
        <w:rPr>
          <w:rFonts w:hint="eastAsia" w:asciiTheme="majorEastAsia" w:hAnsiTheme="majorEastAsia" w:eastAsiaTheme="majorEastAsia" w:cstheme="majorEastAsia"/>
          <w:b/>
          <w:color w:val="auto"/>
          <w:kern w:val="2"/>
          <w:sz w:val="21"/>
          <w:szCs w:val="21"/>
          <w:highlight w:val="none"/>
          <w:u w:val="single"/>
        </w:rPr>
        <w:t>纸质及电子文档4套</w:t>
      </w:r>
      <w:r>
        <w:rPr>
          <w:rFonts w:hint="eastAsia" w:asciiTheme="majorEastAsia" w:hAnsiTheme="majorEastAsia" w:eastAsiaTheme="majorEastAsia" w:cstheme="majorEastAsia"/>
          <w:color w:val="auto"/>
          <w:kern w:val="2"/>
          <w:sz w:val="21"/>
          <w:szCs w:val="21"/>
          <w:highlight w:val="none"/>
        </w:rPr>
        <w:t>。</w:t>
      </w:r>
    </w:p>
    <w:p w14:paraId="0EAA1896">
      <w:pPr>
        <w:pStyle w:val="55"/>
        <w:keepNext w:val="0"/>
        <w:pageBreakBefore w:val="0"/>
        <w:widowControl/>
        <w:numPr>
          <w:ilvl w:val="0"/>
          <w:numId w:val="7"/>
        </w:numPr>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承包人应履行的其他义务：</w:t>
      </w:r>
    </w:p>
    <w:p w14:paraId="222C8F9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在施工过程中，承包人应严格执行相关法律法规对安全文明施工的规定</w:t>
      </w:r>
      <w:r>
        <w:rPr>
          <w:rFonts w:hint="eastAsia" w:asciiTheme="majorEastAsia" w:hAnsiTheme="majorEastAsia" w:eastAsiaTheme="majorEastAsia" w:cstheme="majorEastAsia"/>
          <w:b/>
          <w:color w:val="auto"/>
          <w:kern w:val="2"/>
          <w:sz w:val="21"/>
          <w:szCs w:val="21"/>
          <w:highlight w:val="none"/>
          <w:u w:val="none"/>
        </w:rPr>
        <w:t>。</w:t>
      </w:r>
    </w:p>
    <w:p w14:paraId="1AF72B38">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承包人与第三方的关系</w:t>
      </w:r>
      <w:r>
        <w:rPr>
          <w:rFonts w:hint="eastAsia" w:asciiTheme="majorEastAsia" w:hAnsiTheme="majorEastAsia" w:eastAsiaTheme="majorEastAsia" w:cstheme="majorEastAsia"/>
          <w:b/>
          <w:color w:val="auto"/>
          <w:kern w:val="2"/>
          <w:sz w:val="21"/>
          <w:szCs w:val="21"/>
          <w:highlight w:val="none"/>
          <w:u w:val="none"/>
        </w:rPr>
        <w:t>：</w:t>
      </w:r>
    </w:p>
    <w:p w14:paraId="60F11CA6">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承包人必须服从发包人要求的管理模式、工作方式和工作要求，承包人必须接受发包人及其委托的监理单位、全过程造价咨询单位的管理</w:t>
      </w:r>
      <w:r>
        <w:rPr>
          <w:rFonts w:hint="eastAsia" w:asciiTheme="majorEastAsia" w:hAnsiTheme="majorEastAsia" w:eastAsiaTheme="majorEastAsia" w:cstheme="majorEastAsia"/>
          <w:b/>
          <w:color w:val="auto"/>
          <w:kern w:val="2"/>
          <w:sz w:val="21"/>
          <w:szCs w:val="21"/>
          <w:highlight w:val="none"/>
          <w:u w:val="none"/>
        </w:rPr>
        <w:t>。</w:t>
      </w:r>
    </w:p>
    <w:p w14:paraId="2FDA1205">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与全过程造价咨询单位的关系：全过程造价咨询单位按照国家、云南省的有关政策法规以及合同的约定，负责对工程全过程的投资进行控制。承包人必须接受全过程造价咨询单位的管理，应配合全过程造价咨询单位的工作</w:t>
      </w:r>
      <w:r>
        <w:rPr>
          <w:rFonts w:hint="eastAsia" w:asciiTheme="majorEastAsia" w:hAnsiTheme="majorEastAsia" w:eastAsiaTheme="majorEastAsia" w:cstheme="majorEastAsia"/>
          <w:b/>
          <w:color w:val="auto"/>
          <w:kern w:val="2"/>
          <w:sz w:val="21"/>
          <w:szCs w:val="21"/>
          <w:highlight w:val="none"/>
          <w:u w:val="none"/>
        </w:rPr>
        <w:t>。</w:t>
      </w:r>
    </w:p>
    <w:p w14:paraId="17759538">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与发包人委派的其他造价咨询单位的关系：在合同履行过程中发包人有可能委派全过程造价咨询单位以外的其他造价咨询单位对承包人的已完工程进行工程资料、造价等方面的复核工作，承包人必须配合该造价咨询单位的工作，并有对复核中发现问题进行整改及对复核后咨询成果进行确认的义务</w:t>
      </w:r>
      <w:r>
        <w:rPr>
          <w:rFonts w:hint="eastAsia" w:asciiTheme="majorEastAsia" w:hAnsiTheme="majorEastAsia" w:eastAsiaTheme="majorEastAsia" w:cstheme="majorEastAsia"/>
          <w:b/>
          <w:color w:val="auto"/>
          <w:kern w:val="2"/>
          <w:sz w:val="21"/>
          <w:szCs w:val="21"/>
          <w:highlight w:val="none"/>
          <w:u w:val="none"/>
        </w:rPr>
        <w:t>。</w:t>
      </w:r>
    </w:p>
    <w:p w14:paraId="7968BAE1">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以上各单位的职责有的有交叉，但不妨碍对承包人的管理。上述各单位的意见不一致时，发包人有最终的决策权和解释权</w:t>
      </w:r>
      <w:r>
        <w:rPr>
          <w:rFonts w:hint="eastAsia" w:asciiTheme="majorEastAsia" w:hAnsiTheme="majorEastAsia" w:eastAsiaTheme="majorEastAsia" w:cstheme="majorEastAsia"/>
          <w:b/>
          <w:color w:val="auto"/>
          <w:kern w:val="2"/>
          <w:sz w:val="21"/>
          <w:szCs w:val="21"/>
          <w:highlight w:val="none"/>
          <w:u w:val="none"/>
        </w:rPr>
        <w:t>。</w:t>
      </w:r>
    </w:p>
    <w:p w14:paraId="103A56CC">
      <w:pPr>
        <w:pStyle w:val="55"/>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3.2 项目经理</w:t>
      </w:r>
    </w:p>
    <w:p w14:paraId="305910E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 xml:space="preserve">3.2.1 </w:t>
      </w:r>
      <w:r>
        <w:rPr>
          <w:rFonts w:hint="eastAsia" w:asciiTheme="majorEastAsia" w:hAnsiTheme="majorEastAsia" w:eastAsiaTheme="majorEastAsia" w:cstheme="majorEastAsia"/>
          <w:color w:val="auto"/>
          <w:kern w:val="2"/>
          <w:sz w:val="21"/>
          <w:szCs w:val="21"/>
          <w:highlight w:val="none"/>
        </w:rPr>
        <w:t>项目经理：</w:t>
      </w:r>
    </w:p>
    <w:p w14:paraId="31AC9E3C">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姓    名：</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C8C35F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身份证号：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E4C6CD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建造师执业资格等级：</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F19CDB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建造师注册证书号：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50724EB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建造师执业印章号：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08629D0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安全生产考核合格证书号：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lang w:val="en-US" w:eastAsia="zh-CN"/>
        </w:rPr>
        <w:t xml:space="preserve"> </w:t>
      </w:r>
      <w:r>
        <w:rPr>
          <w:rFonts w:hint="eastAsia" w:asciiTheme="majorEastAsia" w:hAnsiTheme="majorEastAsia" w:eastAsiaTheme="majorEastAsia" w:cstheme="majorEastAsia"/>
          <w:color w:val="auto"/>
          <w:kern w:val="2"/>
          <w:sz w:val="21"/>
          <w:szCs w:val="21"/>
          <w:highlight w:val="none"/>
        </w:rPr>
        <w:t>；</w:t>
      </w:r>
    </w:p>
    <w:p w14:paraId="6DCEF3B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联系电话：</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B40B16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电子信箱：</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4A49985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通信地址：</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45B175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承包人对项目经理的授权范围如下：</w:t>
      </w:r>
      <w:r>
        <w:rPr>
          <w:rFonts w:hint="eastAsia" w:asciiTheme="majorEastAsia" w:hAnsiTheme="majorEastAsia" w:eastAsiaTheme="majorEastAsia" w:cstheme="majorEastAsia"/>
          <w:b/>
          <w:color w:val="auto"/>
          <w:kern w:val="2"/>
          <w:sz w:val="21"/>
          <w:szCs w:val="21"/>
          <w:highlight w:val="none"/>
          <w:u w:val="single"/>
        </w:rPr>
        <w:t>是工程质量、进度、安全、成本、人力资源管理的第一责任人；行使项目经理的权利与职责；组建项目经理部，主持项目经理部的日常管理工作</w:t>
      </w:r>
      <w:r>
        <w:rPr>
          <w:rFonts w:hint="eastAsia" w:asciiTheme="majorEastAsia" w:hAnsiTheme="majorEastAsia" w:eastAsiaTheme="majorEastAsia" w:cstheme="majorEastAsia"/>
          <w:b/>
          <w:color w:val="auto"/>
          <w:kern w:val="2"/>
          <w:sz w:val="21"/>
          <w:szCs w:val="21"/>
          <w:highlight w:val="none"/>
          <w:u w:val="none"/>
        </w:rPr>
        <w:t>。</w:t>
      </w:r>
    </w:p>
    <w:p w14:paraId="30ABB81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sz w:val="21"/>
          <w:szCs w:val="21"/>
          <w:highlight w:val="none"/>
        </w:rPr>
        <w:t>关于项目经理每月在施工现场的时间要求：</w:t>
      </w:r>
      <w:r>
        <w:rPr>
          <w:rFonts w:hint="eastAsia" w:asciiTheme="majorEastAsia" w:hAnsiTheme="majorEastAsia" w:eastAsiaTheme="majorEastAsia" w:cstheme="majorEastAsia"/>
          <w:b/>
          <w:color w:val="auto"/>
          <w:kern w:val="2"/>
          <w:sz w:val="21"/>
          <w:szCs w:val="21"/>
          <w:highlight w:val="none"/>
          <w:u w:val="single"/>
        </w:rPr>
        <w:t>派驻本项目的建造师和项目技术负责人每个月的驻工地时间不少于22天（如少于22天 ，则每人少于一天罚款5000元），而且不得兼任其他工程职务。承包人的主要人员离开工地，应经监理工程师批准同意</w:t>
      </w:r>
      <w:r>
        <w:rPr>
          <w:rFonts w:hint="eastAsia" w:asciiTheme="majorEastAsia" w:hAnsiTheme="majorEastAsia" w:eastAsiaTheme="majorEastAsia" w:cstheme="majorEastAsia"/>
          <w:b/>
          <w:color w:val="auto"/>
          <w:kern w:val="2"/>
          <w:sz w:val="21"/>
          <w:szCs w:val="21"/>
          <w:highlight w:val="none"/>
          <w:u w:val="none"/>
        </w:rPr>
        <w:t>。</w:t>
      </w:r>
    </w:p>
    <w:p w14:paraId="1596C5F1">
      <w:pPr>
        <w:pStyle w:val="55"/>
        <w:keepNext w:val="0"/>
        <w:pageBreakBefore w:val="0"/>
        <w:widowControl/>
        <w:kinsoku/>
        <w:wordWrap/>
        <w:overflowPunct/>
        <w:topLinePunct w:val="0"/>
        <w:autoSpaceDE w:val="0"/>
        <w:autoSpaceDN w:val="0"/>
        <w:bidi w:val="0"/>
        <w:adjustRightInd w:val="0"/>
        <w:spacing w:line="440" w:lineRule="exact"/>
        <w:ind w:left="0" w:leftChars="0" w:firstLine="422"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u w:val="single"/>
        </w:rPr>
        <w:t>发包人或监理人发现承包人派驻现场的人员不能满足项目实施要求，有权要求承包人更换或增派相关人员，承包人应立即执行，否则将视承包人违约</w:t>
      </w:r>
      <w:r>
        <w:rPr>
          <w:rFonts w:hint="eastAsia" w:asciiTheme="majorEastAsia" w:hAnsiTheme="majorEastAsia" w:eastAsiaTheme="majorEastAsia" w:cstheme="majorEastAsia"/>
          <w:b/>
          <w:color w:val="auto"/>
          <w:sz w:val="21"/>
          <w:szCs w:val="21"/>
          <w:highlight w:val="none"/>
          <w:u w:val="none"/>
        </w:rPr>
        <w:t>。</w:t>
      </w:r>
    </w:p>
    <w:p w14:paraId="13DBC3C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承包人未提交劳动合同，以及没有为项目经理缴纳社会保险证明的违约责任：</w:t>
      </w:r>
      <w:r>
        <w:rPr>
          <w:rFonts w:hint="eastAsia" w:asciiTheme="majorEastAsia" w:hAnsiTheme="majorEastAsia" w:eastAsiaTheme="majorEastAsia" w:cstheme="majorEastAsia"/>
          <w:b/>
          <w:color w:val="auto"/>
          <w:kern w:val="2"/>
          <w:sz w:val="21"/>
          <w:szCs w:val="21"/>
          <w:highlight w:val="none"/>
          <w:u w:val="single"/>
        </w:rPr>
        <w:t>视为违约，且发包人保留解除施工合同的权利</w:t>
      </w:r>
      <w:r>
        <w:rPr>
          <w:rFonts w:hint="eastAsia" w:asciiTheme="majorEastAsia" w:hAnsiTheme="majorEastAsia" w:eastAsiaTheme="majorEastAsia" w:cstheme="majorEastAsia"/>
          <w:color w:val="auto"/>
          <w:kern w:val="2"/>
          <w:sz w:val="21"/>
          <w:szCs w:val="21"/>
          <w:highlight w:val="none"/>
        </w:rPr>
        <w:t>。</w:t>
      </w:r>
    </w:p>
    <w:p w14:paraId="5F2B919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sz w:val="21"/>
          <w:szCs w:val="21"/>
          <w:highlight w:val="none"/>
        </w:rPr>
        <w:t>项目经理未经批准，擅自离开施工现场的违约责任：</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none"/>
        </w:rPr>
        <w:t>。</w:t>
      </w:r>
    </w:p>
    <w:p w14:paraId="1313AFD9">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3.2.3 承包人擅自更换项目经理的违约责任：</w:t>
      </w:r>
      <w:r>
        <w:rPr>
          <w:rFonts w:hint="eastAsia" w:asciiTheme="majorEastAsia" w:hAnsiTheme="majorEastAsia" w:eastAsiaTheme="majorEastAsia" w:cstheme="majorEastAsia"/>
          <w:b/>
          <w:color w:val="auto"/>
          <w:kern w:val="2"/>
          <w:sz w:val="21"/>
          <w:szCs w:val="21"/>
          <w:highlight w:val="none"/>
          <w:u w:val="single"/>
        </w:rPr>
        <w:t>视为违约，发包人有权单方面终止合同</w:t>
      </w:r>
      <w:r>
        <w:rPr>
          <w:rFonts w:hint="eastAsia" w:asciiTheme="majorEastAsia" w:hAnsiTheme="majorEastAsia" w:eastAsiaTheme="majorEastAsia" w:cstheme="majorEastAsia"/>
          <w:color w:val="auto"/>
          <w:kern w:val="2"/>
          <w:sz w:val="21"/>
          <w:szCs w:val="21"/>
          <w:highlight w:val="none"/>
        </w:rPr>
        <w:t>。</w:t>
      </w:r>
    </w:p>
    <w:p w14:paraId="2A76F49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 xml:space="preserve"> 3.2.4 承包人无正当理由拒绝更换项目经理的违约责任：</w:t>
      </w:r>
      <w:r>
        <w:rPr>
          <w:rFonts w:hint="eastAsia" w:asciiTheme="majorEastAsia" w:hAnsiTheme="majorEastAsia" w:eastAsiaTheme="majorEastAsia" w:cstheme="majorEastAsia"/>
          <w:b/>
          <w:color w:val="auto"/>
          <w:kern w:val="2"/>
          <w:sz w:val="21"/>
          <w:szCs w:val="21"/>
          <w:highlight w:val="none"/>
          <w:u w:val="single"/>
        </w:rPr>
        <w:t>视为违约，罚款贰万元，发包人有权单方面终止合同</w:t>
      </w:r>
      <w:r>
        <w:rPr>
          <w:rFonts w:hint="eastAsia" w:asciiTheme="majorEastAsia" w:hAnsiTheme="majorEastAsia" w:eastAsiaTheme="majorEastAsia" w:cstheme="majorEastAsia"/>
          <w:b/>
          <w:color w:val="auto"/>
          <w:kern w:val="2"/>
          <w:sz w:val="21"/>
          <w:szCs w:val="21"/>
          <w:highlight w:val="none"/>
          <w:u w:val="none"/>
        </w:rPr>
        <w:t>。</w:t>
      </w:r>
    </w:p>
    <w:p w14:paraId="3C362BA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3.3 承包人人员</w:t>
      </w:r>
    </w:p>
    <w:p w14:paraId="5398585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3.3.1 承包人提交项目管理机构及施工现场管理人员安排报告的期限：</w:t>
      </w:r>
      <w:r>
        <w:rPr>
          <w:rFonts w:hint="eastAsia" w:asciiTheme="majorEastAsia" w:hAnsiTheme="majorEastAsia" w:eastAsiaTheme="majorEastAsia" w:cstheme="majorEastAsia"/>
          <w:b/>
          <w:color w:val="auto"/>
          <w:kern w:val="2"/>
          <w:sz w:val="21"/>
          <w:szCs w:val="21"/>
          <w:highlight w:val="none"/>
          <w:u w:val="single"/>
        </w:rPr>
        <w:t>签订合同后7天</w:t>
      </w:r>
      <w:r>
        <w:rPr>
          <w:rFonts w:hint="eastAsia" w:asciiTheme="majorEastAsia" w:hAnsiTheme="majorEastAsia" w:eastAsiaTheme="majorEastAsia" w:cstheme="majorEastAsia"/>
          <w:color w:val="auto"/>
          <w:kern w:val="2"/>
          <w:sz w:val="21"/>
          <w:szCs w:val="21"/>
          <w:highlight w:val="none"/>
        </w:rPr>
        <w:t>。</w:t>
      </w:r>
    </w:p>
    <w:p w14:paraId="3C07419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3.3.3 承包人无正当理由拒绝撤换主要施工管理人员的违约责任：</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视为违约，罚款贰万元，发包人有权单方面终止合同</w:t>
      </w:r>
      <w:r>
        <w:rPr>
          <w:rFonts w:hint="eastAsia" w:asciiTheme="majorEastAsia" w:hAnsiTheme="majorEastAsia" w:eastAsiaTheme="majorEastAsia" w:cstheme="majorEastAsia"/>
          <w:b/>
          <w:color w:val="auto"/>
          <w:kern w:val="2"/>
          <w:sz w:val="21"/>
          <w:szCs w:val="21"/>
          <w:highlight w:val="none"/>
          <w:u w:val="none"/>
        </w:rPr>
        <w:t>。</w:t>
      </w:r>
    </w:p>
    <w:p w14:paraId="2BBD0E06">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3.3.4 承包人主要施工管理人员离开施工现场的批准要求：</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1E8D682E">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3.3.5承包人擅自更换主要施工管理人员的违约责任：</w:t>
      </w:r>
      <w:r>
        <w:rPr>
          <w:rFonts w:hint="eastAsia" w:asciiTheme="majorEastAsia" w:hAnsiTheme="majorEastAsia" w:eastAsiaTheme="majorEastAsia" w:cstheme="majorEastAsia"/>
          <w:b/>
          <w:color w:val="auto"/>
          <w:kern w:val="2"/>
          <w:sz w:val="21"/>
          <w:szCs w:val="21"/>
          <w:highlight w:val="none"/>
          <w:u w:val="single"/>
        </w:rPr>
        <w:t>视为违约，提交发包人违约金1万元 ，且发包人保留解除施工合同的权利</w:t>
      </w:r>
      <w:r>
        <w:rPr>
          <w:rFonts w:hint="eastAsia" w:asciiTheme="majorEastAsia" w:hAnsiTheme="majorEastAsia" w:eastAsiaTheme="majorEastAsia" w:cstheme="majorEastAsia"/>
          <w:color w:val="auto"/>
          <w:kern w:val="2"/>
          <w:sz w:val="21"/>
          <w:szCs w:val="21"/>
          <w:highlight w:val="none"/>
        </w:rPr>
        <w:t>。</w:t>
      </w:r>
    </w:p>
    <w:p w14:paraId="779B780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承包人主要施工管理人员擅自离开施工现场的违约责任：</w:t>
      </w:r>
      <w:r>
        <w:rPr>
          <w:rFonts w:hint="eastAsia" w:asciiTheme="majorEastAsia" w:hAnsiTheme="majorEastAsia" w:eastAsiaTheme="majorEastAsia" w:cstheme="majorEastAsia"/>
          <w:b/>
          <w:color w:val="auto"/>
          <w:kern w:val="2"/>
          <w:sz w:val="21"/>
          <w:szCs w:val="21"/>
          <w:highlight w:val="none"/>
          <w:u w:val="single"/>
        </w:rPr>
        <w:t>视为违约，每人不少于罚款1000元/天</w:t>
      </w:r>
      <w:r>
        <w:rPr>
          <w:rFonts w:hint="eastAsia" w:asciiTheme="majorEastAsia" w:hAnsiTheme="majorEastAsia" w:eastAsiaTheme="majorEastAsia" w:cstheme="majorEastAsia"/>
          <w:color w:val="auto"/>
          <w:kern w:val="2"/>
          <w:sz w:val="21"/>
          <w:szCs w:val="21"/>
          <w:highlight w:val="none"/>
        </w:rPr>
        <w:t>。</w:t>
      </w:r>
    </w:p>
    <w:p w14:paraId="3C845F0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w:t>
      </w:r>
      <w:bookmarkStart w:id="398" w:name="_Toc297123492"/>
      <w:bookmarkStart w:id="399" w:name="_Toc303539102"/>
      <w:bookmarkStart w:id="400" w:name="_Toc300934945"/>
      <w:bookmarkStart w:id="401" w:name="_Toc304295523"/>
      <w:bookmarkStart w:id="402" w:name="_Toc297120459"/>
      <w:bookmarkStart w:id="403" w:name="_Toc296346660"/>
      <w:bookmarkStart w:id="404" w:name="_Toc297048345"/>
      <w:bookmarkStart w:id="405" w:name="_Toc297216151"/>
      <w:bookmarkStart w:id="406" w:name="_Toc296503159"/>
      <w:bookmarkStart w:id="407" w:name="_Toc292559869"/>
      <w:bookmarkStart w:id="408" w:name="_Toc312677988"/>
      <w:bookmarkStart w:id="409" w:name="_Toc292559364"/>
      <w:bookmarkStart w:id="410" w:name="_Toc296891199"/>
      <w:bookmarkStart w:id="411" w:name="_Toc296890987"/>
      <w:bookmarkStart w:id="412" w:name="_Toc296944498"/>
      <w:bookmarkStart w:id="413" w:name="_Toc296347158"/>
      <w:r>
        <w:rPr>
          <w:rFonts w:hint="eastAsia" w:asciiTheme="majorEastAsia" w:hAnsiTheme="majorEastAsia" w:eastAsiaTheme="majorEastAsia" w:cstheme="majorEastAsia"/>
          <w:color w:val="auto"/>
          <w:kern w:val="2"/>
          <w:sz w:val="21"/>
          <w:szCs w:val="21"/>
          <w:highlight w:val="none"/>
        </w:rPr>
        <w:t>.5 分包</w:t>
      </w:r>
    </w:p>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14:paraId="2B5FB95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w:t>
      </w:r>
      <w:bookmarkStart w:id="414" w:name="_Toc297120460"/>
      <w:bookmarkStart w:id="415" w:name="_Toc297216152"/>
      <w:bookmarkStart w:id="416" w:name="_Toc297048346"/>
      <w:bookmarkStart w:id="417" w:name="_Toc296347159"/>
      <w:bookmarkStart w:id="418" w:name="_Toc296944499"/>
      <w:bookmarkStart w:id="419" w:name="_Toc300934946"/>
      <w:bookmarkStart w:id="420" w:name="_Toc296346661"/>
      <w:bookmarkStart w:id="421" w:name="_Toc296890988"/>
      <w:bookmarkStart w:id="422" w:name="_Toc304295524"/>
      <w:bookmarkStart w:id="423" w:name="_Toc296503160"/>
      <w:bookmarkStart w:id="424" w:name="_Toc296891200"/>
      <w:bookmarkStart w:id="425" w:name="_Toc292559365"/>
      <w:bookmarkStart w:id="426" w:name="_Toc292559870"/>
      <w:bookmarkStart w:id="427" w:name="_Toc297123493"/>
      <w:bookmarkStart w:id="428" w:name="_Toc303539103"/>
      <w:bookmarkStart w:id="429" w:name="_Toc318581158"/>
      <w:bookmarkStart w:id="430" w:name="_Toc312677989"/>
      <w:r>
        <w:rPr>
          <w:rFonts w:hint="eastAsia" w:asciiTheme="majorEastAsia" w:hAnsiTheme="majorEastAsia" w:eastAsiaTheme="majorEastAsia" w:cstheme="majorEastAsia"/>
          <w:color w:val="auto"/>
          <w:kern w:val="2"/>
          <w:sz w:val="21"/>
          <w:szCs w:val="21"/>
          <w:highlight w:val="none"/>
        </w:rPr>
        <w:t>.5.1 分包的一般约定</w:t>
      </w:r>
    </w:p>
    <w:p w14:paraId="0635E93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禁止分包的工程包括：</w:t>
      </w:r>
      <w:r>
        <w:rPr>
          <w:rFonts w:hint="eastAsia" w:asciiTheme="majorEastAsia" w:hAnsiTheme="majorEastAsia" w:eastAsiaTheme="majorEastAsia" w:cstheme="majorEastAsia"/>
          <w:b/>
          <w:color w:val="auto"/>
          <w:kern w:val="2"/>
          <w:sz w:val="21"/>
          <w:szCs w:val="21"/>
          <w:highlight w:val="none"/>
          <w:u w:val="single"/>
        </w:rPr>
        <w:t>本项目不允许分包</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E7733F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主体结构、关键性工作的范围：</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rPr>
        <w:t>。</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Start w:id="431" w:name="_Toc296944500"/>
      <w:bookmarkStart w:id="432" w:name="_Toc297123494"/>
      <w:bookmarkStart w:id="433" w:name="_Toc297216153"/>
      <w:bookmarkStart w:id="434" w:name="_Toc300934947"/>
      <w:bookmarkStart w:id="435" w:name="_Toc297048347"/>
      <w:bookmarkStart w:id="436" w:name="_Toc304295525"/>
      <w:bookmarkStart w:id="437" w:name="_Toc296890989"/>
      <w:bookmarkStart w:id="438" w:name="_Toc303539104"/>
      <w:bookmarkStart w:id="439" w:name="_Toc296347160"/>
      <w:bookmarkStart w:id="440" w:name="_Toc296346662"/>
      <w:bookmarkStart w:id="441" w:name="_Toc296503161"/>
      <w:bookmarkStart w:id="442" w:name="_Toc296891201"/>
      <w:bookmarkStart w:id="443" w:name="_Toc297120461"/>
    </w:p>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14:paraId="4FCFB46A">
      <w:pPr>
        <w:pStyle w:val="55"/>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 xml:space="preserve">    3</w:t>
      </w:r>
      <w:bookmarkStart w:id="444" w:name="_Toc312677990"/>
      <w:bookmarkStart w:id="445" w:name="_Toc318581159"/>
      <w:r>
        <w:rPr>
          <w:rFonts w:hint="eastAsia" w:asciiTheme="majorEastAsia" w:hAnsiTheme="majorEastAsia" w:eastAsiaTheme="majorEastAsia" w:cstheme="majorEastAsia"/>
          <w:color w:val="auto"/>
          <w:kern w:val="2"/>
          <w:sz w:val="21"/>
          <w:szCs w:val="21"/>
          <w:highlight w:val="none"/>
        </w:rPr>
        <w:t>.5.2分包的确定</w:t>
      </w:r>
    </w:p>
    <w:p w14:paraId="0E4632F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允许分包的专业工程包括：</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rPr>
        <w:t>。</w:t>
      </w:r>
    </w:p>
    <w:p w14:paraId="65E0D824">
      <w:pPr>
        <w:pStyle w:val="55"/>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其他关于分包的约定：</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rPr>
        <w:t>。</w:t>
      </w:r>
    </w:p>
    <w:p w14:paraId="61982F5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3.5.4 分包合同价款</w:t>
      </w:r>
    </w:p>
    <w:p w14:paraId="4354D66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关于分包合同价款支付的约定：</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rPr>
        <w:t>。</w:t>
      </w:r>
    </w:p>
    <w:bookmarkEnd w:id="444"/>
    <w:bookmarkEnd w:id="445"/>
    <w:p w14:paraId="14BA1325">
      <w:pPr>
        <w:pStyle w:val="55"/>
        <w:keepNext w:val="0"/>
        <w:pageBreakBefore w:val="0"/>
        <w:widowControl/>
        <w:kinsoku/>
        <w:wordWrap/>
        <w:overflowPunct/>
        <w:topLinePunct w:val="0"/>
        <w:bidi w:val="0"/>
        <w:spacing w:line="440" w:lineRule="exact"/>
        <w:ind w:left="0" w:leftChars="0" w:firstLine="210" w:firstLineChars="1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3.6 工程照管与成品、半成品保护</w:t>
      </w:r>
    </w:p>
    <w:p w14:paraId="2DA59798">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承包人负责照管工程及工程相关的材料、工程设备的起始时间：</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41FB333F">
      <w:pPr>
        <w:pStyle w:val="55"/>
        <w:keepNext w:val="0"/>
        <w:pageBreakBefore w:val="0"/>
        <w:widowControl/>
        <w:kinsoku/>
        <w:wordWrap/>
        <w:overflowPunct/>
        <w:topLinePunct w:val="0"/>
        <w:bidi w:val="0"/>
        <w:spacing w:line="440" w:lineRule="exact"/>
        <w:ind w:left="0" w:leftChars="0" w:firstLine="210" w:firstLineChars="1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3.7 履约担保</w:t>
      </w:r>
    </w:p>
    <w:p w14:paraId="396774B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承包人是否提供履约担保：</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6EE97CBA">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承包人提供履约担保的形式、金额及期限的：</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01705B1D">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446" w:name="_Toc351203636"/>
      <w:r>
        <w:rPr>
          <w:rFonts w:hint="eastAsia" w:asciiTheme="majorEastAsia" w:hAnsiTheme="majorEastAsia" w:eastAsiaTheme="majorEastAsia" w:cstheme="majorEastAsia"/>
          <w:b w:val="0"/>
          <w:color w:val="auto"/>
          <w:sz w:val="21"/>
          <w:szCs w:val="21"/>
          <w:highlight w:val="none"/>
        </w:rPr>
        <w:t>4</w:t>
      </w:r>
      <w:bookmarkStart w:id="447" w:name="_Toc296503162"/>
      <w:bookmarkStart w:id="448" w:name="_Toc292559366"/>
      <w:bookmarkStart w:id="449" w:name="_Toc292559871"/>
      <w:bookmarkStart w:id="450" w:name="_Toc297048348"/>
      <w:bookmarkStart w:id="451" w:name="_Toc267251413"/>
      <w:bookmarkStart w:id="452" w:name="_Toc296944501"/>
      <w:bookmarkStart w:id="453" w:name="_Toc296346663"/>
      <w:bookmarkStart w:id="454" w:name="_Toc297120462"/>
      <w:bookmarkStart w:id="455" w:name="_Toc296891202"/>
      <w:bookmarkStart w:id="456" w:name="_Toc296347161"/>
      <w:bookmarkStart w:id="457" w:name="_Toc296890990"/>
      <w:r>
        <w:rPr>
          <w:rFonts w:hint="eastAsia" w:asciiTheme="majorEastAsia" w:hAnsiTheme="majorEastAsia" w:eastAsiaTheme="majorEastAsia" w:cstheme="majorEastAsia"/>
          <w:b w:val="0"/>
          <w:color w:val="auto"/>
          <w:sz w:val="21"/>
          <w:szCs w:val="21"/>
          <w:highlight w:val="none"/>
        </w:rPr>
        <w:t>. 监</w:t>
      </w:r>
      <w:bookmarkEnd w:id="447"/>
      <w:bookmarkEnd w:id="448"/>
      <w:bookmarkEnd w:id="449"/>
      <w:bookmarkEnd w:id="450"/>
      <w:bookmarkEnd w:id="451"/>
      <w:bookmarkEnd w:id="452"/>
      <w:bookmarkEnd w:id="453"/>
      <w:bookmarkEnd w:id="454"/>
      <w:bookmarkEnd w:id="455"/>
      <w:bookmarkEnd w:id="456"/>
      <w:bookmarkEnd w:id="457"/>
      <w:r>
        <w:rPr>
          <w:rFonts w:hint="eastAsia" w:asciiTheme="majorEastAsia" w:hAnsiTheme="majorEastAsia" w:eastAsiaTheme="majorEastAsia" w:cstheme="majorEastAsia"/>
          <w:b w:val="0"/>
          <w:color w:val="auto"/>
          <w:sz w:val="21"/>
          <w:szCs w:val="21"/>
          <w:highlight w:val="none"/>
        </w:rPr>
        <w:t>理人</w:t>
      </w:r>
      <w:bookmarkEnd w:id="446"/>
    </w:p>
    <w:p w14:paraId="645F6BA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4.1监理人的一般规定</w:t>
      </w:r>
    </w:p>
    <w:p w14:paraId="379FD41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关于监理人的监理内容：</w:t>
      </w:r>
      <w:r>
        <w:rPr>
          <w:rFonts w:hint="eastAsia" w:asciiTheme="majorEastAsia" w:hAnsiTheme="majorEastAsia" w:eastAsiaTheme="majorEastAsia" w:cstheme="majorEastAsia"/>
          <w:b/>
          <w:color w:val="auto"/>
          <w:kern w:val="2"/>
          <w:sz w:val="21"/>
          <w:szCs w:val="21"/>
          <w:highlight w:val="none"/>
          <w:u w:val="single"/>
        </w:rPr>
        <w:t>监理合同范围内</w:t>
      </w:r>
      <w:r>
        <w:rPr>
          <w:rFonts w:hint="eastAsia" w:asciiTheme="majorEastAsia" w:hAnsiTheme="majorEastAsia" w:eastAsiaTheme="majorEastAsia" w:cstheme="majorEastAsia"/>
          <w:color w:val="auto"/>
          <w:kern w:val="2"/>
          <w:sz w:val="21"/>
          <w:szCs w:val="21"/>
          <w:highlight w:val="none"/>
        </w:rPr>
        <w:t>。</w:t>
      </w:r>
    </w:p>
    <w:p w14:paraId="55D65A0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关于监理人的监理权限：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工程进度控制；</w:t>
      </w:r>
      <w:r>
        <w:rPr>
          <w:rFonts w:hint="eastAsia" w:asciiTheme="majorEastAsia" w:hAnsiTheme="majorEastAsia" w:eastAsiaTheme="majorEastAsia" w:cstheme="majorEastAsia"/>
          <w:color w:val="auto"/>
          <w:sz w:val="21"/>
          <w:szCs w:val="21"/>
          <w:highlight w:val="none"/>
        </w:rPr>
        <w:fldChar w:fldCharType="begin"/>
      </w:r>
      <w:r>
        <w:rPr>
          <w:rFonts w:hint="eastAsia" w:asciiTheme="majorEastAsia" w:hAnsiTheme="majorEastAsia" w:eastAsiaTheme="majorEastAsia" w:cstheme="majorEastAsia"/>
          <w:color w:val="auto"/>
          <w:sz w:val="21"/>
          <w:szCs w:val="21"/>
          <w:highlight w:val="none"/>
        </w:rPr>
        <w:instrText xml:space="preserve"> HYPERLINK "http://baike.baidu.com/view/4867274.htm" \t "C:\Users\Administrator.USER-20190410AK\Desktop\2019\8月\人民路2标\招标文件\_blank" </w:instrText>
      </w:r>
      <w:r>
        <w:rPr>
          <w:rFonts w:hint="eastAsia" w:asciiTheme="majorEastAsia" w:hAnsiTheme="majorEastAsia" w:eastAsiaTheme="majorEastAsia" w:cstheme="majorEastAsia"/>
          <w:color w:val="auto"/>
          <w:sz w:val="21"/>
          <w:szCs w:val="21"/>
          <w:highlight w:val="none"/>
        </w:rPr>
        <w:fldChar w:fldCharType="separate"/>
      </w:r>
      <w:r>
        <w:rPr>
          <w:rStyle w:val="32"/>
          <w:rFonts w:hint="eastAsia" w:asciiTheme="majorEastAsia" w:hAnsiTheme="majorEastAsia" w:eastAsiaTheme="majorEastAsia" w:cstheme="majorEastAsia"/>
          <w:b/>
          <w:color w:val="auto"/>
          <w:kern w:val="2"/>
          <w:sz w:val="21"/>
          <w:szCs w:val="21"/>
          <w:highlight w:val="none"/>
        </w:rPr>
        <w:t>工程质量</w:t>
      </w:r>
      <w:r>
        <w:rPr>
          <w:rStyle w:val="32"/>
          <w:rFonts w:hint="eastAsia" w:asciiTheme="majorEastAsia" w:hAnsiTheme="majorEastAsia" w:eastAsiaTheme="majorEastAsia" w:cstheme="majorEastAsia"/>
          <w:b/>
          <w:color w:val="auto"/>
          <w:kern w:val="2"/>
          <w:sz w:val="21"/>
          <w:szCs w:val="21"/>
          <w:highlight w:val="none"/>
        </w:rPr>
        <w:fldChar w:fldCharType="end"/>
      </w:r>
      <w:r>
        <w:rPr>
          <w:rFonts w:hint="eastAsia" w:asciiTheme="majorEastAsia" w:hAnsiTheme="majorEastAsia" w:eastAsiaTheme="majorEastAsia" w:cstheme="majorEastAsia"/>
          <w:b/>
          <w:color w:val="auto"/>
          <w:kern w:val="2"/>
          <w:sz w:val="21"/>
          <w:szCs w:val="21"/>
          <w:highlight w:val="none"/>
          <w:u w:val="single"/>
        </w:rPr>
        <w:t>控制；工程投资（成本）控制；合同管理；职业健康安全与环境管理；信息管理和全面地组织协调工作</w:t>
      </w:r>
      <w:r>
        <w:rPr>
          <w:rFonts w:hint="eastAsia" w:asciiTheme="majorEastAsia" w:hAnsiTheme="majorEastAsia" w:eastAsiaTheme="majorEastAsia" w:cstheme="majorEastAsia"/>
          <w:b/>
          <w:color w:val="auto"/>
          <w:kern w:val="2"/>
          <w:sz w:val="21"/>
          <w:szCs w:val="21"/>
          <w:highlight w:val="none"/>
          <w:u w:val="none"/>
        </w:rPr>
        <w:t>。</w:t>
      </w:r>
      <w:r>
        <w:rPr>
          <w:rFonts w:hint="eastAsia" w:asciiTheme="majorEastAsia" w:hAnsiTheme="majorEastAsia" w:eastAsiaTheme="majorEastAsia" w:cstheme="majorEastAsia"/>
          <w:color w:val="auto"/>
          <w:kern w:val="2"/>
          <w:sz w:val="21"/>
          <w:szCs w:val="21"/>
          <w:highlight w:val="none"/>
        </w:rPr>
        <w:t xml:space="preserve">  </w:t>
      </w:r>
    </w:p>
    <w:p w14:paraId="5FFFA2D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关于监理人在施工现场的办公场所、生活场所的提供和费用承担的约定：</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12E5795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4.2 监理人员</w:t>
      </w:r>
    </w:p>
    <w:p w14:paraId="05CAFFDB">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总监理工程师：</w:t>
      </w:r>
    </w:p>
    <w:p w14:paraId="4D5F0D7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姓    名：</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F5F962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职    务：</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31328E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监理工程师执业资格证书号：</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6ED81C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联系电话：</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D352DC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电子信箱：</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0F15D4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通信地址：</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518D37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关于监理人的其他约定：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AE552D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4.4 商定或确定</w:t>
      </w:r>
    </w:p>
    <w:p w14:paraId="4F12DEE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458" w:name="_Toc267251418"/>
      <w:r>
        <w:rPr>
          <w:rFonts w:hint="eastAsia" w:asciiTheme="majorEastAsia" w:hAnsiTheme="majorEastAsia" w:eastAsiaTheme="majorEastAsia" w:cstheme="majorEastAsia"/>
          <w:color w:val="auto"/>
          <w:kern w:val="2"/>
          <w:sz w:val="21"/>
          <w:szCs w:val="21"/>
          <w:highlight w:val="none"/>
        </w:rPr>
        <w:t>在发包人和承包人不能通过协商达成一致意见时，发包人授权监理人对以下事项进行确定：</w:t>
      </w:r>
    </w:p>
    <w:p w14:paraId="044F947D">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w:t>
      </w:r>
      <w:r>
        <w:rPr>
          <w:rFonts w:hint="eastAsia" w:asciiTheme="majorEastAsia" w:hAnsiTheme="majorEastAsia" w:eastAsiaTheme="majorEastAsia" w:cstheme="majorEastAsia"/>
          <w:b/>
          <w:color w:val="auto"/>
          <w:kern w:val="2"/>
          <w:sz w:val="21"/>
          <w:szCs w:val="21"/>
          <w:highlight w:val="none"/>
          <w:u w:val="single"/>
        </w:rPr>
        <w:t>工程质量</w:t>
      </w:r>
      <w:r>
        <w:rPr>
          <w:rFonts w:hint="eastAsia" w:asciiTheme="majorEastAsia" w:hAnsiTheme="majorEastAsia" w:eastAsiaTheme="majorEastAsia" w:cstheme="majorEastAsia"/>
          <w:color w:val="auto"/>
          <w:kern w:val="2"/>
          <w:sz w:val="21"/>
          <w:szCs w:val="21"/>
          <w:highlight w:val="none"/>
        </w:rPr>
        <w:t>；</w:t>
      </w:r>
    </w:p>
    <w:p w14:paraId="42C4C098">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b/>
          <w:color w:val="auto"/>
          <w:kern w:val="2"/>
          <w:sz w:val="21"/>
          <w:szCs w:val="21"/>
          <w:highlight w:val="none"/>
          <w:u w:val="single"/>
        </w:rPr>
        <w:t>工程工期</w:t>
      </w:r>
      <w:r>
        <w:rPr>
          <w:rFonts w:hint="eastAsia" w:asciiTheme="majorEastAsia" w:hAnsiTheme="majorEastAsia" w:eastAsiaTheme="majorEastAsia" w:cstheme="majorEastAsia"/>
          <w:color w:val="auto"/>
          <w:kern w:val="2"/>
          <w:sz w:val="21"/>
          <w:szCs w:val="21"/>
          <w:highlight w:val="none"/>
        </w:rPr>
        <w:t>；</w:t>
      </w:r>
    </w:p>
    <w:p w14:paraId="1AF172BF">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w:t>
      </w:r>
      <w:r>
        <w:rPr>
          <w:rFonts w:hint="eastAsia" w:asciiTheme="majorEastAsia" w:hAnsiTheme="majorEastAsia" w:eastAsiaTheme="majorEastAsia" w:cstheme="majorEastAsia"/>
          <w:b/>
          <w:color w:val="auto"/>
          <w:kern w:val="2"/>
          <w:sz w:val="21"/>
          <w:szCs w:val="21"/>
          <w:highlight w:val="none"/>
          <w:u w:val="single"/>
        </w:rPr>
        <w:t>安全文明施工管理事项等</w:t>
      </w:r>
      <w:r>
        <w:rPr>
          <w:rFonts w:hint="eastAsia" w:asciiTheme="majorEastAsia" w:hAnsiTheme="majorEastAsia" w:eastAsiaTheme="majorEastAsia" w:cstheme="majorEastAsia"/>
          <w:color w:val="auto"/>
          <w:kern w:val="2"/>
          <w:sz w:val="21"/>
          <w:szCs w:val="21"/>
          <w:highlight w:val="none"/>
        </w:rPr>
        <w:t>。</w:t>
      </w:r>
    </w:p>
    <w:p w14:paraId="12685973">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459" w:name="_Toc351203637"/>
      <w:r>
        <w:rPr>
          <w:rFonts w:hint="eastAsia" w:asciiTheme="majorEastAsia" w:hAnsiTheme="majorEastAsia" w:eastAsiaTheme="majorEastAsia" w:cstheme="majorEastAsia"/>
          <w:b w:val="0"/>
          <w:color w:val="auto"/>
          <w:sz w:val="21"/>
          <w:szCs w:val="21"/>
          <w:highlight w:val="none"/>
        </w:rPr>
        <w:t>5</w:t>
      </w:r>
      <w:bookmarkEnd w:id="458"/>
      <w:bookmarkStart w:id="460" w:name="_Toc296347162"/>
      <w:bookmarkStart w:id="461" w:name="_Toc297048349"/>
      <w:bookmarkStart w:id="462" w:name="_Toc296890991"/>
      <w:bookmarkStart w:id="463" w:name="_Toc296503163"/>
      <w:bookmarkStart w:id="464" w:name="_Toc296944502"/>
      <w:bookmarkStart w:id="465" w:name="_Toc297120463"/>
      <w:bookmarkStart w:id="466" w:name="_Toc292559367"/>
      <w:bookmarkStart w:id="467" w:name="_Toc296891203"/>
      <w:bookmarkStart w:id="468" w:name="_Toc296346664"/>
      <w:bookmarkStart w:id="469" w:name="_Toc292559872"/>
      <w:r>
        <w:rPr>
          <w:rFonts w:hint="eastAsia" w:asciiTheme="majorEastAsia" w:hAnsiTheme="majorEastAsia" w:eastAsiaTheme="majorEastAsia" w:cstheme="majorEastAsia"/>
          <w:b w:val="0"/>
          <w:color w:val="auto"/>
          <w:sz w:val="21"/>
          <w:szCs w:val="21"/>
          <w:highlight w:val="none"/>
        </w:rPr>
        <w:t>. 工程质量</w:t>
      </w:r>
      <w:bookmarkEnd w:id="459"/>
    </w:p>
    <w:p w14:paraId="71CF0F03">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470" w:name="_Toc11331"/>
      <w:bookmarkStart w:id="471" w:name="_Toc25885"/>
      <w:bookmarkStart w:id="472" w:name="_Toc28575"/>
      <w:bookmarkStart w:id="473" w:name="_Toc8485"/>
      <w:bookmarkStart w:id="474" w:name="_Toc3713"/>
      <w:r>
        <w:rPr>
          <w:rFonts w:hint="eastAsia" w:asciiTheme="majorEastAsia" w:hAnsiTheme="majorEastAsia" w:eastAsiaTheme="majorEastAsia" w:cstheme="majorEastAsia"/>
          <w:color w:val="auto"/>
          <w:kern w:val="2"/>
          <w:sz w:val="21"/>
          <w:szCs w:val="21"/>
          <w:highlight w:val="none"/>
        </w:rPr>
        <w:t>5.1 质量要求</w:t>
      </w:r>
      <w:bookmarkEnd w:id="470"/>
      <w:bookmarkEnd w:id="471"/>
      <w:bookmarkEnd w:id="472"/>
      <w:bookmarkEnd w:id="473"/>
      <w:bookmarkEnd w:id="474"/>
    </w:p>
    <w:p w14:paraId="7AB50F4A">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5</w:t>
      </w:r>
      <w:bookmarkStart w:id="475" w:name="_Toc297123496"/>
      <w:bookmarkStart w:id="476" w:name="_Toc318581164"/>
      <w:bookmarkStart w:id="477" w:name="_Toc297216155"/>
      <w:bookmarkStart w:id="478" w:name="_Toc303539106"/>
      <w:bookmarkStart w:id="479" w:name="_Toc312677997"/>
      <w:bookmarkStart w:id="480" w:name="_Toc300934949"/>
      <w:bookmarkStart w:id="481" w:name="_Toc304295527"/>
      <w:r>
        <w:rPr>
          <w:rFonts w:hint="eastAsia" w:asciiTheme="majorEastAsia" w:hAnsiTheme="majorEastAsia" w:eastAsiaTheme="majorEastAsia" w:cstheme="majorEastAsia"/>
          <w:color w:val="auto"/>
          <w:kern w:val="2"/>
          <w:sz w:val="21"/>
          <w:szCs w:val="21"/>
          <w:highlight w:val="none"/>
        </w:rPr>
        <w:t>.1.1 特殊质量标准和要求：</w:t>
      </w:r>
      <w:r>
        <w:rPr>
          <w:rFonts w:hint="eastAsia" w:asciiTheme="majorEastAsia" w:hAnsiTheme="majorEastAsia" w:eastAsiaTheme="majorEastAsia" w:cstheme="majorEastAsia"/>
          <w:b/>
          <w:color w:val="auto"/>
          <w:kern w:val="2"/>
          <w:sz w:val="21"/>
          <w:szCs w:val="21"/>
          <w:highlight w:val="none"/>
          <w:u w:val="single"/>
        </w:rPr>
        <w:t>无</w:t>
      </w:r>
      <w:r>
        <w:rPr>
          <w:rFonts w:hint="eastAsia" w:asciiTheme="majorEastAsia" w:hAnsiTheme="majorEastAsia" w:eastAsiaTheme="majorEastAsia" w:cstheme="majorEastAsia"/>
          <w:color w:val="auto"/>
          <w:kern w:val="2"/>
          <w:sz w:val="21"/>
          <w:szCs w:val="21"/>
          <w:highlight w:val="none"/>
        </w:rPr>
        <w:t>。</w:t>
      </w:r>
    </w:p>
    <w:p w14:paraId="6362928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关于工程奖项的约定：</w:t>
      </w:r>
      <w:r>
        <w:rPr>
          <w:rFonts w:hint="eastAsia" w:asciiTheme="majorEastAsia" w:hAnsiTheme="majorEastAsia" w:eastAsiaTheme="majorEastAsia" w:cstheme="majorEastAsia"/>
          <w:b/>
          <w:color w:val="auto"/>
          <w:kern w:val="2"/>
          <w:sz w:val="21"/>
          <w:szCs w:val="21"/>
          <w:highlight w:val="none"/>
          <w:u w:val="single"/>
        </w:rPr>
        <w:t>无</w:t>
      </w:r>
      <w:r>
        <w:rPr>
          <w:rFonts w:hint="eastAsia" w:asciiTheme="majorEastAsia" w:hAnsiTheme="majorEastAsia" w:eastAsiaTheme="majorEastAsia" w:cstheme="majorEastAsia"/>
          <w:color w:val="auto"/>
          <w:kern w:val="2"/>
          <w:sz w:val="21"/>
          <w:szCs w:val="21"/>
          <w:highlight w:val="none"/>
        </w:rPr>
        <w:t>。</w:t>
      </w:r>
    </w:p>
    <w:p w14:paraId="510C80C8">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482" w:name="_Toc18595"/>
      <w:bookmarkStart w:id="483" w:name="_Toc4998"/>
      <w:bookmarkStart w:id="484" w:name="_Toc1748"/>
      <w:bookmarkStart w:id="485" w:name="_Toc7881"/>
      <w:bookmarkStart w:id="486" w:name="_Toc4212"/>
      <w:r>
        <w:rPr>
          <w:rFonts w:hint="eastAsia" w:asciiTheme="majorEastAsia" w:hAnsiTheme="majorEastAsia" w:eastAsiaTheme="majorEastAsia" w:cstheme="majorEastAsia"/>
          <w:color w:val="auto"/>
          <w:kern w:val="2"/>
          <w:sz w:val="21"/>
          <w:szCs w:val="21"/>
          <w:highlight w:val="none"/>
        </w:rPr>
        <w:t>5.3 隐蔽工程检查</w:t>
      </w:r>
      <w:bookmarkEnd w:id="482"/>
      <w:bookmarkEnd w:id="483"/>
      <w:bookmarkEnd w:id="484"/>
      <w:bookmarkEnd w:id="485"/>
      <w:bookmarkEnd w:id="486"/>
    </w:p>
    <w:p w14:paraId="3C804A27">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5.3.2承包人提前通知监理人隐蔽工程检查的期限的约定：</w:t>
      </w:r>
      <w:r>
        <w:rPr>
          <w:rFonts w:hint="eastAsia" w:asciiTheme="majorEastAsia" w:hAnsiTheme="majorEastAsia" w:eastAsiaTheme="majorEastAsia" w:cstheme="majorEastAsia"/>
          <w:b/>
          <w:color w:val="auto"/>
          <w:kern w:val="2"/>
          <w:sz w:val="21"/>
          <w:szCs w:val="21"/>
          <w:highlight w:val="none"/>
          <w:u w:val="single"/>
        </w:rPr>
        <w:t>48小时</w:t>
      </w:r>
      <w:r>
        <w:rPr>
          <w:rFonts w:hint="eastAsia" w:asciiTheme="majorEastAsia" w:hAnsiTheme="majorEastAsia" w:eastAsiaTheme="majorEastAsia" w:cstheme="majorEastAsia"/>
          <w:color w:val="auto"/>
          <w:kern w:val="2"/>
          <w:sz w:val="21"/>
          <w:szCs w:val="21"/>
          <w:highlight w:val="none"/>
        </w:rPr>
        <w:t>。</w:t>
      </w:r>
    </w:p>
    <w:p w14:paraId="0D28983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监理人不能按时进行检查时，应提前</w:t>
      </w:r>
      <w:r>
        <w:rPr>
          <w:rFonts w:hint="eastAsia" w:asciiTheme="majorEastAsia" w:hAnsiTheme="majorEastAsia" w:eastAsiaTheme="majorEastAsia" w:cstheme="majorEastAsia"/>
          <w:color w:val="auto"/>
          <w:kern w:val="2"/>
          <w:sz w:val="21"/>
          <w:szCs w:val="21"/>
          <w:highlight w:val="none"/>
          <w:u w:val="single"/>
        </w:rPr>
        <w:t>24</w:t>
      </w:r>
      <w:r>
        <w:rPr>
          <w:rFonts w:hint="eastAsia" w:asciiTheme="majorEastAsia" w:hAnsiTheme="majorEastAsia" w:eastAsiaTheme="majorEastAsia" w:cstheme="majorEastAsia"/>
          <w:color w:val="auto"/>
          <w:kern w:val="2"/>
          <w:sz w:val="21"/>
          <w:szCs w:val="21"/>
          <w:highlight w:val="none"/>
        </w:rPr>
        <w:t>小时提交书面延期要求。</w:t>
      </w:r>
    </w:p>
    <w:p w14:paraId="069223C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关于延期最长不得超过：</w:t>
      </w:r>
      <w:r>
        <w:rPr>
          <w:rFonts w:hint="eastAsia" w:asciiTheme="majorEastAsia" w:hAnsiTheme="majorEastAsia" w:eastAsiaTheme="majorEastAsia" w:cstheme="majorEastAsia"/>
          <w:color w:val="auto"/>
          <w:kern w:val="2"/>
          <w:sz w:val="21"/>
          <w:szCs w:val="21"/>
          <w:highlight w:val="none"/>
          <w:u w:val="single"/>
        </w:rPr>
        <w:t>48</w:t>
      </w:r>
      <w:r>
        <w:rPr>
          <w:rFonts w:hint="eastAsia" w:asciiTheme="majorEastAsia" w:hAnsiTheme="majorEastAsia" w:eastAsiaTheme="majorEastAsia" w:cstheme="majorEastAsia"/>
          <w:color w:val="auto"/>
          <w:kern w:val="2"/>
          <w:sz w:val="21"/>
          <w:szCs w:val="21"/>
          <w:highlight w:val="none"/>
        </w:rPr>
        <w:t>小时。</w:t>
      </w:r>
    </w:p>
    <w:p w14:paraId="4951CBBE">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487" w:name="_Toc351203638"/>
      <w:r>
        <w:rPr>
          <w:rFonts w:hint="eastAsia" w:asciiTheme="majorEastAsia" w:hAnsiTheme="majorEastAsia" w:eastAsiaTheme="majorEastAsia" w:cstheme="majorEastAsia"/>
          <w:b w:val="0"/>
          <w:color w:val="auto"/>
          <w:sz w:val="21"/>
          <w:szCs w:val="21"/>
          <w:highlight w:val="none"/>
        </w:rPr>
        <w:t>6. 安全文明施工与环境保护</w:t>
      </w:r>
      <w:bookmarkEnd w:id="487"/>
    </w:p>
    <w:p w14:paraId="3FC89DB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6.1安全文明施工</w:t>
      </w:r>
    </w:p>
    <w:p w14:paraId="6057A2B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6.1.1 项目安全生产的达标目标及相应事项的约定：</w:t>
      </w:r>
      <w:r>
        <w:rPr>
          <w:rFonts w:hint="eastAsia" w:asciiTheme="majorEastAsia" w:hAnsiTheme="majorEastAsia" w:eastAsiaTheme="majorEastAsia" w:cstheme="majorEastAsia"/>
          <w:b/>
          <w:color w:val="auto"/>
          <w:kern w:val="2"/>
          <w:sz w:val="21"/>
          <w:szCs w:val="21"/>
          <w:highlight w:val="none"/>
          <w:u w:val="single"/>
        </w:rPr>
        <w:t>严格按安全管理条例及安全操作规程进行施工，如因承包人原因发生安全事故，所造成的一切损失由承包人负责。并执行中华人民共和国国务院第302号文《国务院关于特大安全事故责任追究的规定》以及本项目的相关管理规定和办法。承包人必须严格按照国家安全生产、安全施工的相关规定组织施工，如发现无安全防护违章作业，每人次罚款1仟元，承包人完全承担由此引发的安全事故责任。本项目专职安全管理人员必须具有相应的执业资格证，并确实做到持证上岗，以备随时查验</w:t>
      </w:r>
      <w:r>
        <w:rPr>
          <w:rFonts w:hint="eastAsia" w:asciiTheme="majorEastAsia" w:hAnsiTheme="majorEastAsia" w:eastAsiaTheme="majorEastAsia" w:cstheme="majorEastAsia"/>
          <w:b/>
          <w:color w:val="auto"/>
          <w:kern w:val="2"/>
          <w:sz w:val="21"/>
          <w:szCs w:val="21"/>
          <w:highlight w:val="none"/>
          <w:u w:val="none"/>
        </w:rPr>
        <w:t>。</w:t>
      </w:r>
    </w:p>
    <w:p w14:paraId="1461BD85">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6.1.4 关于治安保卫的特别约定：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4726C23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关于编制施工场地治安管理计划的约定：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02028E71">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6.1.5 文明施工</w:t>
      </w:r>
    </w:p>
    <w:p w14:paraId="352D8479">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合同当事人对文明施工的要求：</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0C8D9DCF">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6.1.6 关于安全文明施工费支付比例和支付期限的约定：</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single"/>
        </w:rPr>
        <w:t>。</w:t>
      </w:r>
    </w:p>
    <w:bookmarkEnd w:id="475"/>
    <w:bookmarkEnd w:id="476"/>
    <w:bookmarkEnd w:id="477"/>
    <w:bookmarkEnd w:id="478"/>
    <w:bookmarkEnd w:id="479"/>
    <w:bookmarkEnd w:id="480"/>
    <w:bookmarkEnd w:id="481"/>
    <w:p w14:paraId="2D83BB4B">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488" w:name="_Toc351203639"/>
      <w:r>
        <w:rPr>
          <w:rFonts w:hint="eastAsia" w:asciiTheme="majorEastAsia" w:hAnsiTheme="majorEastAsia" w:eastAsiaTheme="majorEastAsia" w:cstheme="majorEastAsia"/>
          <w:b w:val="0"/>
          <w:color w:val="auto"/>
          <w:sz w:val="21"/>
          <w:szCs w:val="21"/>
          <w:highlight w:val="none"/>
        </w:rPr>
        <w:t>7. 工期和进度</w:t>
      </w:r>
      <w:bookmarkEnd w:id="488"/>
    </w:p>
    <w:p w14:paraId="39B35CD5">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7.1 施工组织设计</w:t>
      </w:r>
    </w:p>
    <w:p w14:paraId="6D2BC2D6">
      <w:pPr>
        <w:pStyle w:val="78"/>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7.1.1 合同当事人约定的施工组织设计应包括的其他内容</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rPr>
        <w:t>。</w:t>
      </w:r>
      <w:r>
        <w:rPr>
          <w:rFonts w:hint="eastAsia" w:asciiTheme="majorEastAsia" w:hAnsiTheme="majorEastAsia" w:eastAsiaTheme="majorEastAsia" w:cstheme="majorEastAsia"/>
          <w:color w:val="auto"/>
          <w:sz w:val="21"/>
          <w:szCs w:val="21"/>
          <w:highlight w:val="none"/>
        </w:rPr>
        <w:t>7.1.2 施工组织设计的提交和修改</w:t>
      </w:r>
    </w:p>
    <w:p w14:paraId="5B473068">
      <w:pPr>
        <w:pStyle w:val="78"/>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color w:val="auto"/>
          <w:sz w:val="21"/>
          <w:szCs w:val="21"/>
          <w:highlight w:val="none"/>
        </w:rPr>
        <w:t>承包人提交详细施工组织设计的期限的约定：</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rPr>
        <w:t>。</w:t>
      </w:r>
    </w:p>
    <w:p w14:paraId="456568B9">
      <w:pPr>
        <w:pStyle w:val="78"/>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color w:val="auto"/>
          <w:sz w:val="21"/>
          <w:szCs w:val="21"/>
          <w:highlight w:val="none"/>
        </w:rPr>
        <w:t>发包人和监理人在收到详细的施工组织设计后确认或提出修改意见的期限：</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rPr>
        <w:t>。</w:t>
      </w:r>
    </w:p>
    <w:p w14:paraId="3843F07B">
      <w:pPr>
        <w:pStyle w:val="78"/>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w:t>
      </w:r>
      <w:bookmarkStart w:id="489" w:name="_Toc304295541"/>
      <w:bookmarkStart w:id="490" w:name="_Toc312677479"/>
      <w:bookmarkStart w:id="491" w:name="_Toc312678005"/>
      <w:bookmarkStart w:id="492" w:name="_Toc297216173"/>
      <w:bookmarkStart w:id="493" w:name="_Toc297123514"/>
      <w:bookmarkStart w:id="494" w:name="_Toc300934966"/>
      <w:bookmarkStart w:id="495" w:name="_Toc303539123"/>
      <w:r>
        <w:rPr>
          <w:rFonts w:hint="eastAsia" w:asciiTheme="majorEastAsia" w:hAnsiTheme="majorEastAsia" w:eastAsiaTheme="majorEastAsia" w:cstheme="majorEastAsia"/>
          <w:color w:val="auto"/>
          <w:sz w:val="21"/>
          <w:szCs w:val="21"/>
          <w:highlight w:val="none"/>
        </w:rPr>
        <w:t>.2 施工进度计划</w:t>
      </w:r>
    </w:p>
    <w:p w14:paraId="50B568D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7.2.2 施工进度计划的修订</w:t>
      </w:r>
    </w:p>
    <w:p w14:paraId="72597578">
      <w:pPr>
        <w:pStyle w:val="78"/>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发包人和监理人在收到修订的施工进度计划后确认或提出修改意见的期限：</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rPr>
        <w:t>。</w:t>
      </w:r>
    </w:p>
    <w:p w14:paraId="5DA5F24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7.3 开工</w:t>
      </w:r>
    </w:p>
    <w:p w14:paraId="2B71AD5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7.3.1 开工准备</w:t>
      </w:r>
    </w:p>
    <w:p w14:paraId="311433BA">
      <w:pPr>
        <w:pStyle w:val="55"/>
        <w:keepNext w:val="0"/>
        <w:pageBreakBefore w:val="0"/>
        <w:widowControl/>
        <w:kinsoku/>
        <w:wordWrap/>
        <w:overflowPunct/>
        <w:topLinePunct w:val="0"/>
        <w:bidi w:val="0"/>
        <w:spacing w:line="440" w:lineRule="exact"/>
        <w:ind w:left="0" w:leftChars="0" w:firstLine="645"/>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关于承包人提交</w:t>
      </w:r>
      <w:r>
        <w:rPr>
          <w:rFonts w:hint="eastAsia" w:asciiTheme="majorEastAsia" w:hAnsiTheme="majorEastAsia" w:eastAsiaTheme="majorEastAsia" w:cstheme="majorEastAsia"/>
          <w:color w:val="auto"/>
          <w:sz w:val="21"/>
          <w:szCs w:val="21"/>
          <w:highlight w:val="none"/>
        </w:rPr>
        <w:t>工程开工报审表的期限：</w:t>
      </w:r>
      <w:r>
        <w:rPr>
          <w:rFonts w:hint="eastAsia" w:asciiTheme="majorEastAsia" w:hAnsiTheme="majorEastAsia" w:eastAsiaTheme="majorEastAsia" w:cstheme="majorEastAsia"/>
          <w:b/>
          <w:color w:val="auto"/>
          <w:kern w:val="2"/>
          <w:sz w:val="21"/>
          <w:szCs w:val="21"/>
          <w:highlight w:val="none"/>
          <w:u w:val="single"/>
        </w:rPr>
        <w:t>正式开工前三天</w:t>
      </w:r>
      <w:r>
        <w:rPr>
          <w:rFonts w:hint="eastAsia" w:asciiTheme="majorEastAsia" w:hAnsiTheme="majorEastAsia" w:eastAsiaTheme="majorEastAsia" w:cstheme="majorEastAsia"/>
          <w:color w:val="auto"/>
          <w:kern w:val="2"/>
          <w:sz w:val="21"/>
          <w:szCs w:val="21"/>
          <w:highlight w:val="none"/>
        </w:rPr>
        <w:t>。</w:t>
      </w:r>
    </w:p>
    <w:p w14:paraId="2A5FD84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关于发包人应完成的其他开工准备工作及期限：</w:t>
      </w:r>
      <w:r>
        <w:rPr>
          <w:rFonts w:hint="eastAsia" w:asciiTheme="majorEastAsia" w:hAnsiTheme="majorEastAsia" w:eastAsiaTheme="majorEastAsia" w:cstheme="majorEastAsia"/>
          <w:b/>
          <w:color w:val="auto"/>
          <w:kern w:val="2"/>
          <w:sz w:val="21"/>
          <w:szCs w:val="21"/>
          <w:highlight w:val="none"/>
          <w:u w:val="single"/>
        </w:rPr>
        <w:t>开工前七天内</w:t>
      </w:r>
      <w:r>
        <w:rPr>
          <w:rFonts w:hint="eastAsia" w:asciiTheme="majorEastAsia" w:hAnsiTheme="majorEastAsia" w:eastAsiaTheme="majorEastAsia" w:cstheme="majorEastAsia"/>
          <w:color w:val="auto"/>
          <w:kern w:val="2"/>
          <w:sz w:val="21"/>
          <w:szCs w:val="21"/>
          <w:highlight w:val="none"/>
        </w:rPr>
        <w:t>。</w:t>
      </w:r>
    </w:p>
    <w:p w14:paraId="17FCCFF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关于承包人应完成的其他开工准备工作及期限：</w:t>
      </w:r>
      <w:r>
        <w:rPr>
          <w:rFonts w:hint="eastAsia" w:asciiTheme="majorEastAsia" w:hAnsiTheme="majorEastAsia" w:eastAsiaTheme="majorEastAsia" w:cstheme="majorEastAsia"/>
          <w:b/>
          <w:color w:val="auto"/>
          <w:kern w:val="2"/>
          <w:sz w:val="21"/>
          <w:szCs w:val="21"/>
          <w:highlight w:val="none"/>
          <w:u w:val="single"/>
        </w:rPr>
        <w:t>开工前七天内</w:t>
      </w:r>
      <w:r>
        <w:rPr>
          <w:rFonts w:hint="eastAsia" w:asciiTheme="majorEastAsia" w:hAnsiTheme="majorEastAsia" w:eastAsiaTheme="majorEastAsia" w:cstheme="majorEastAsia"/>
          <w:color w:val="auto"/>
          <w:kern w:val="2"/>
          <w:sz w:val="21"/>
          <w:szCs w:val="21"/>
          <w:highlight w:val="none"/>
        </w:rPr>
        <w:t>。</w:t>
      </w:r>
    </w:p>
    <w:p w14:paraId="279FAFD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p>
    <w:p w14:paraId="63AA4D4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p>
    <w:p w14:paraId="63ED3A7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7.3.2开工通知</w:t>
      </w:r>
    </w:p>
    <w:p w14:paraId="100C92E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因发包人原因造成监理人未能在计划开工日期之日起</w:t>
      </w:r>
      <w:r>
        <w:rPr>
          <w:rFonts w:hint="eastAsia" w:asciiTheme="majorEastAsia" w:hAnsiTheme="majorEastAsia" w:eastAsiaTheme="majorEastAsia" w:cstheme="majorEastAsia"/>
          <w:color w:val="auto"/>
          <w:kern w:val="2"/>
          <w:sz w:val="21"/>
          <w:szCs w:val="21"/>
          <w:highlight w:val="none"/>
          <w:u w:val="single"/>
        </w:rPr>
        <w:t xml:space="preserve"> 90</w:t>
      </w:r>
      <w:r>
        <w:rPr>
          <w:rFonts w:hint="eastAsia" w:asciiTheme="majorEastAsia" w:hAnsiTheme="majorEastAsia" w:eastAsiaTheme="majorEastAsia" w:cstheme="majorEastAsia"/>
          <w:color w:val="auto"/>
          <w:kern w:val="2"/>
          <w:sz w:val="21"/>
          <w:szCs w:val="21"/>
          <w:highlight w:val="none"/>
        </w:rPr>
        <w:t>天内发出开工通知的，承包人有权提出价格调整要求，或者解除合同。</w:t>
      </w:r>
    </w:p>
    <w:bookmarkEnd w:id="489"/>
    <w:bookmarkEnd w:id="490"/>
    <w:bookmarkEnd w:id="491"/>
    <w:bookmarkEnd w:id="492"/>
    <w:bookmarkEnd w:id="493"/>
    <w:bookmarkEnd w:id="494"/>
    <w:bookmarkEnd w:id="495"/>
    <w:p w14:paraId="351C107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7.4 测量放线</w:t>
      </w:r>
    </w:p>
    <w:p w14:paraId="32F1D27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7.4.1发包人通过监理人向承包人提供测量基准点、基准线和水准点及其书面资料的期限：</w:t>
      </w:r>
      <w:r>
        <w:rPr>
          <w:rFonts w:hint="eastAsia" w:asciiTheme="majorEastAsia" w:hAnsiTheme="majorEastAsia" w:eastAsiaTheme="majorEastAsia" w:cstheme="majorEastAsia"/>
          <w:b/>
          <w:color w:val="auto"/>
          <w:kern w:val="2"/>
          <w:sz w:val="21"/>
          <w:szCs w:val="21"/>
          <w:highlight w:val="none"/>
          <w:u w:val="single"/>
        </w:rPr>
        <w:t>开工前七天</w:t>
      </w:r>
      <w:r>
        <w:rPr>
          <w:rFonts w:hint="eastAsia" w:asciiTheme="majorEastAsia" w:hAnsiTheme="majorEastAsia" w:eastAsiaTheme="majorEastAsia" w:cstheme="majorEastAsia"/>
          <w:color w:val="auto"/>
          <w:kern w:val="2"/>
          <w:sz w:val="21"/>
          <w:szCs w:val="21"/>
          <w:highlight w:val="none"/>
        </w:rPr>
        <w:t>。</w:t>
      </w:r>
    </w:p>
    <w:p w14:paraId="0745BB6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w:t>
      </w:r>
      <w:bookmarkStart w:id="496" w:name="_Toc297123516"/>
      <w:bookmarkStart w:id="497" w:name="_Toc312677484"/>
      <w:bookmarkStart w:id="498" w:name="_Toc300934968"/>
      <w:bookmarkStart w:id="499" w:name="_Toc312678010"/>
      <w:bookmarkStart w:id="500" w:name="_Toc303539125"/>
      <w:bookmarkStart w:id="501" w:name="_Toc297216175"/>
      <w:bookmarkStart w:id="502" w:name="_Toc304295546"/>
      <w:r>
        <w:rPr>
          <w:rFonts w:hint="eastAsia" w:asciiTheme="majorEastAsia" w:hAnsiTheme="majorEastAsia" w:eastAsiaTheme="majorEastAsia" w:cstheme="majorEastAsia"/>
          <w:color w:val="auto"/>
          <w:kern w:val="2"/>
          <w:sz w:val="21"/>
          <w:szCs w:val="21"/>
          <w:highlight w:val="none"/>
        </w:rPr>
        <w:t>.5 工期延误</w:t>
      </w:r>
    </w:p>
    <w:bookmarkEnd w:id="496"/>
    <w:bookmarkEnd w:id="497"/>
    <w:bookmarkEnd w:id="498"/>
    <w:bookmarkEnd w:id="499"/>
    <w:bookmarkEnd w:id="500"/>
    <w:bookmarkEnd w:id="501"/>
    <w:bookmarkEnd w:id="502"/>
    <w:p w14:paraId="09A68D6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7.5.1 因发包人原因导致工期延误</w:t>
      </w:r>
    </w:p>
    <w:p w14:paraId="63E39833">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（7）因发包人原因导致工期延误的其他情形：</w:t>
      </w:r>
      <w:r>
        <w:rPr>
          <w:rFonts w:hint="eastAsia" w:asciiTheme="majorEastAsia" w:hAnsiTheme="majorEastAsia" w:eastAsiaTheme="majorEastAsia" w:cstheme="majorEastAsia"/>
          <w:b/>
          <w:color w:val="auto"/>
          <w:kern w:val="2"/>
          <w:sz w:val="21"/>
          <w:szCs w:val="21"/>
          <w:highlight w:val="none"/>
          <w:u w:val="single"/>
        </w:rPr>
        <w:t>发包人未按合同规定支付工程款并确实影响施进度；重大设计变更而影响施工进度；政策处理问题而影响施工进度；征地拆迁原因影响施工进度;不可抗力等</w:t>
      </w:r>
      <w:r>
        <w:rPr>
          <w:rFonts w:hint="eastAsia" w:asciiTheme="majorEastAsia" w:hAnsiTheme="majorEastAsia" w:eastAsiaTheme="majorEastAsia" w:cstheme="majorEastAsia"/>
          <w:color w:val="auto"/>
          <w:kern w:val="2"/>
          <w:sz w:val="21"/>
          <w:szCs w:val="21"/>
          <w:highlight w:val="none"/>
        </w:rPr>
        <w:t>。</w:t>
      </w:r>
    </w:p>
    <w:p w14:paraId="2D27935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w:t>
      </w:r>
      <w:bookmarkStart w:id="503" w:name="_Toc318581169"/>
      <w:bookmarkStart w:id="504" w:name="_Toc312678012"/>
      <w:bookmarkStart w:id="505" w:name="_Toc312677486"/>
      <w:bookmarkStart w:id="506" w:name="_Toc304295548"/>
      <w:bookmarkStart w:id="507" w:name="_Toc297123518"/>
      <w:bookmarkStart w:id="508" w:name="_Toc300934970"/>
      <w:bookmarkStart w:id="509" w:name="_Toc297216177"/>
      <w:bookmarkStart w:id="510" w:name="_Toc303539127"/>
      <w:r>
        <w:rPr>
          <w:rFonts w:hint="eastAsia" w:asciiTheme="majorEastAsia" w:hAnsiTheme="majorEastAsia" w:eastAsiaTheme="majorEastAsia" w:cstheme="majorEastAsia"/>
          <w:color w:val="auto"/>
          <w:kern w:val="2"/>
          <w:sz w:val="21"/>
          <w:szCs w:val="21"/>
          <w:highlight w:val="none"/>
        </w:rPr>
        <w:t>.5.2 因承包人原因导致工期延误</w:t>
      </w:r>
    </w:p>
    <w:bookmarkEnd w:id="503"/>
    <w:bookmarkEnd w:id="504"/>
    <w:bookmarkEnd w:id="505"/>
    <w:p w14:paraId="5690CBB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因</w:t>
      </w:r>
      <w:bookmarkStart w:id="511" w:name="_Toc312677487"/>
      <w:bookmarkStart w:id="512" w:name="_Toc312678013"/>
      <w:bookmarkStart w:id="513" w:name="_Toc318581170"/>
      <w:r>
        <w:rPr>
          <w:rFonts w:hint="eastAsia" w:asciiTheme="majorEastAsia" w:hAnsiTheme="majorEastAsia" w:eastAsiaTheme="majorEastAsia" w:cstheme="majorEastAsia"/>
          <w:color w:val="auto"/>
          <w:kern w:val="2"/>
          <w:sz w:val="21"/>
          <w:szCs w:val="21"/>
          <w:highlight w:val="none"/>
        </w:rPr>
        <w:t>承包人原因造成工期延误，逾期竣工违约金的计算方法为：</w:t>
      </w:r>
    </w:p>
    <w:p w14:paraId="0A122313">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施工过程中总工期延误：每逾期一天承包人按人民币500元/天赔偿发包人违约金</w:t>
      </w:r>
      <w:r>
        <w:rPr>
          <w:rFonts w:hint="eastAsia" w:asciiTheme="majorEastAsia" w:hAnsiTheme="majorEastAsia" w:eastAsiaTheme="majorEastAsia" w:cstheme="majorEastAsia"/>
          <w:color w:val="auto"/>
          <w:kern w:val="2"/>
          <w:sz w:val="21"/>
          <w:szCs w:val="21"/>
          <w:highlight w:val="none"/>
        </w:rPr>
        <w:t>。</w:t>
      </w:r>
      <w:bookmarkEnd w:id="506"/>
      <w:bookmarkEnd w:id="507"/>
      <w:bookmarkEnd w:id="508"/>
      <w:bookmarkEnd w:id="509"/>
      <w:bookmarkEnd w:id="510"/>
      <w:bookmarkEnd w:id="511"/>
      <w:bookmarkEnd w:id="512"/>
    </w:p>
    <w:bookmarkEnd w:id="513"/>
    <w:p w14:paraId="42DBDA5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因承包人原因造成工期延误，逾</w:t>
      </w:r>
      <w:bookmarkStart w:id="514" w:name="_Toc318581171"/>
      <w:bookmarkStart w:id="515" w:name="_Toc312678014"/>
      <w:r>
        <w:rPr>
          <w:rFonts w:hint="eastAsia" w:asciiTheme="majorEastAsia" w:hAnsiTheme="majorEastAsia" w:eastAsiaTheme="majorEastAsia" w:cstheme="majorEastAsia"/>
          <w:color w:val="auto"/>
          <w:kern w:val="2"/>
          <w:sz w:val="21"/>
          <w:szCs w:val="21"/>
          <w:highlight w:val="none"/>
        </w:rPr>
        <w:t>期竣工违约金的上限：</w:t>
      </w:r>
      <w:r>
        <w:rPr>
          <w:rFonts w:hint="eastAsia" w:asciiTheme="majorEastAsia" w:hAnsiTheme="majorEastAsia" w:eastAsiaTheme="majorEastAsia" w:cstheme="majorEastAsia"/>
          <w:b/>
          <w:color w:val="auto"/>
          <w:kern w:val="2"/>
          <w:sz w:val="21"/>
          <w:szCs w:val="21"/>
          <w:highlight w:val="none"/>
          <w:u w:val="single"/>
        </w:rPr>
        <w:t>合同总价的5%</w:t>
      </w:r>
      <w:r>
        <w:rPr>
          <w:rFonts w:hint="eastAsia" w:asciiTheme="majorEastAsia" w:hAnsiTheme="majorEastAsia" w:eastAsiaTheme="majorEastAsia" w:cstheme="majorEastAsia"/>
          <w:color w:val="auto"/>
          <w:kern w:val="2"/>
          <w:sz w:val="21"/>
          <w:szCs w:val="21"/>
          <w:highlight w:val="none"/>
        </w:rPr>
        <w:t>。</w:t>
      </w:r>
    </w:p>
    <w:bookmarkEnd w:id="514"/>
    <w:bookmarkEnd w:id="515"/>
    <w:p w14:paraId="469C8AE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w:t>
      </w:r>
      <w:bookmarkStart w:id="516" w:name="_Toc297123519"/>
      <w:bookmarkStart w:id="517" w:name="_Toc303539128"/>
      <w:bookmarkStart w:id="518" w:name="_Toc300934971"/>
      <w:bookmarkStart w:id="519" w:name="_Toc312678015"/>
      <w:bookmarkStart w:id="520" w:name="_Toc297216178"/>
      <w:bookmarkStart w:id="521" w:name="_Toc304295549"/>
      <w:r>
        <w:rPr>
          <w:rFonts w:hint="eastAsia" w:asciiTheme="majorEastAsia" w:hAnsiTheme="majorEastAsia" w:eastAsiaTheme="majorEastAsia" w:cstheme="majorEastAsia"/>
          <w:color w:val="auto"/>
          <w:kern w:val="2"/>
          <w:sz w:val="21"/>
          <w:szCs w:val="21"/>
          <w:highlight w:val="none"/>
        </w:rPr>
        <w:t>.6 不</w:t>
      </w:r>
      <w:bookmarkEnd w:id="516"/>
      <w:bookmarkEnd w:id="517"/>
      <w:bookmarkEnd w:id="518"/>
      <w:bookmarkEnd w:id="519"/>
      <w:bookmarkEnd w:id="520"/>
      <w:bookmarkEnd w:id="521"/>
      <w:r>
        <w:rPr>
          <w:rFonts w:hint="eastAsia" w:asciiTheme="majorEastAsia" w:hAnsiTheme="majorEastAsia" w:eastAsiaTheme="majorEastAsia" w:cstheme="majorEastAsia"/>
          <w:color w:val="auto"/>
          <w:kern w:val="2"/>
          <w:sz w:val="21"/>
          <w:szCs w:val="21"/>
          <w:highlight w:val="none"/>
        </w:rPr>
        <w:t>利物质条件</w:t>
      </w:r>
    </w:p>
    <w:p w14:paraId="2CC70C6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bookmarkStart w:id="522" w:name="_Toc312678016"/>
      <w:bookmarkStart w:id="523" w:name="_Toc304295550"/>
      <w:bookmarkStart w:id="524" w:name="_Toc297123520"/>
      <w:bookmarkStart w:id="525" w:name="_Toc300934972"/>
      <w:bookmarkStart w:id="526" w:name="_Toc303539129"/>
      <w:bookmarkStart w:id="527" w:name="_Toc297216179"/>
      <w:bookmarkStart w:id="528" w:name="_Toc318581172"/>
      <w:r>
        <w:rPr>
          <w:rFonts w:hint="eastAsia" w:asciiTheme="majorEastAsia" w:hAnsiTheme="majorEastAsia" w:eastAsiaTheme="majorEastAsia" w:cstheme="majorEastAsia"/>
          <w:color w:val="auto"/>
          <w:kern w:val="2"/>
          <w:sz w:val="21"/>
          <w:szCs w:val="21"/>
          <w:highlight w:val="none"/>
        </w:rPr>
        <w:t>不利物质条件的其他情形和有关约定：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bookmarkEnd w:id="522"/>
    <w:bookmarkEnd w:id="523"/>
    <w:bookmarkEnd w:id="524"/>
    <w:bookmarkEnd w:id="525"/>
    <w:bookmarkEnd w:id="526"/>
    <w:bookmarkEnd w:id="527"/>
    <w:bookmarkEnd w:id="528"/>
    <w:p w14:paraId="581E647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w:t>
      </w:r>
      <w:bookmarkStart w:id="529" w:name="_Toc304295551"/>
      <w:bookmarkStart w:id="530" w:name="_Toc303539130"/>
      <w:bookmarkStart w:id="531" w:name="_Toc297216180"/>
      <w:bookmarkStart w:id="532" w:name="_Toc297123521"/>
      <w:bookmarkStart w:id="533" w:name="_Toc300934973"/>
      <w:bookmarkStart w:id="534" w:name="_Toc312678017"/>
      <w:r>
        <w:rPr>
          <w:rFonts w:hint="eastAsia" w:asciiTheme="majorEastAsia" w:hAnsiTheme="majorEastAsia" w:eastAsiaTheme="majorEastAsia" w:cstheme="majorEastAsia"/>
          <w:color w:val="auto"/>
          <w:kern w:val="2"/>
          <w:sz w:val="21"/>
          <w:szCs w:val="21"/>
          <w:highlight w:val="none"/>
        </w:rPr>
        <w:t>.7异常恶劣的气候条件</w:t>
      </w:r>
    </w:p>
    <w:bookmarkEnd w:id="529"/>
    <w:bookmarkEnd w:id="530"/>
    <w:bookmarkEnd w:id="531"/>
    <w:bookmarkEnd w:id="532"/>
    <w:bookmarkEnd w:id="533"/>
    <w:bookmarkEnd w:id="534"/>
    <w:p w14:paraId="2E3D85E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发包人和承包人同意以下情形视为异常恶劣的气候条件：</w:t>
      </w:r>
    </w:p>
    <w:p w14:paraId="278A2C6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w:t>
      </w:r>
      <w:r>
        <w:rPr>
          <w:rFonts w:hint="eastAsia" w:asciiTheme="majorEastAsia" w:hAnsiTheme="majorEastAsia" w:eastAsiaTheme="majorEastAsia" w:cstheme="majorEastAsia"/>
          <w:b/>
          <w:color w:val="auto"/>
          <w:kern w:val="2"/>
          <w:sz w:val="21"/>
          <w:szCs w:val="21"/>
          <w:highlight w:val="none"/>
          <w:u w:val="single"/>
        </w:rPr>
        <w:t>24小时内降水量100-</w:t>
      </w:r>
      <w:r>
        <w:rPr>
          <w:rFonts w:hint="eastAsia" w:asciiTheme="majorEastAsia" w:hAnsiTheme="majorEastAsia" w:eastAsiaTheme="majorEastAsia" w:cstheme="majorEastAsia"/>
          <w:b/>
          <w:color w:val="auto"/>
          <w:kern w:val="2"/>
          <w:sz w:val="21"/>
          <w:szCs w:val="21"/>
          <w:highlight w:val="none"/>
          <w:u w:val="single"/>
          <w:lang w:eastAsia="zh-CN"/>
        </w:rPr>
        <w:t>30</w:t>
      </w:r>
      <w:r>
        <w:rPr>
          <w:rFonts w:hint="eastAsia" w:asciiTheme="majorEastAsia" w:hAnsiTheme="majorEastAsia" w:eastAsiaTheme="majorEastAsia" w:cstheme="majorEastAsia"/>
          <w:b/>
          <w:color w:val="auto"/>
          <w:kern w:val="2"/>
          <w:sz w:val="21"/>
          <w:szCs w:val="21"/>
          <w:highlight w:val="none"/>
          <w:u w:val="single"/>
        </w:rPr>
        <w:t>mm的暴雨</w:t>
      </w:r>
      <w:r>
        <w:rPr>
          <w:rFonts w:hint="eastAsia" w:asciiTheme="majorEastAsia" w:hAnsiTheme="majorEastAsia" w:eastAsiaTheme="majorEastAsia" w:cstheme="majorEastAsia"/>
          <w:color w:val="auto"/>
          <w:kern w:val="2"/>
          <w:sz w:val="21"/>
          <w:szCs w:val="21"/>
          <w:highlight w:val="none"/>
        </w:rPr>
        <w:t>；</w:t>
      </w:r>
    </w:p>
    <w:p w14:paraId="7C5303E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w:t>
      </w:r>
      <w:r>
        <w:rPr>
          <w:rFonts w:hint="eastAsia" w:asciiTheme="majorEastAsia" w:hAnsiTheme="majorEastAsia" w:eastAsiaTheme="majorEastAsia" w:cstheme="majorEastAsia"/>
          <w:b/>
          <w:color w:val="auto"/>
          <w:kern w:val="2"/>
          <w:sz w:val="21"/>
          <w:szCs w:val="21"/>
          <w:highlight w:val="none"/>
          <w:u w:val="single"/>
        </w:rPr>
        <w:t>风速7级以上的台风</w:t>
      </w:r>
      <w:r>
        <w:rPr>
          <w:rFonts w:hint="eastAsia" w:asciiTheme="majorEastAsia" w:hAnsiTheme="majorEastAsia" w:eastAsiaTheme="majorEastAsia" w:cstheme="majorEastAsia"/>
          <w:color w:val="auto"/>
          <w:kern w:val="2"/>
          <w:sz w:val="21"/>
          <w:szCs w:val="21"/>
          <w:highlight w:val="none"/>
        </w:rPr>
        <w:t>；</w:t>
      </w:r>
    </w:p>
    <w:p w14:paraId="1578279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w:t>
      </w:r>
      <w:r>
        <w:rPr>
          <w:rFonts w:hint="eastAsia" w:asciiTheme="majorEastAsia" w:hAnsiTheme="majorEastAsia" w:eastAsiaTheme="majorEastAsia" w:cstheme="majorEastAsia"/>
          <w:b/>
          <w:color w:val="auto"/>
          <w:kern w:val="2"/>
          <w:sz w:val="21"/>
          <w:szCs w:val="21"/>
          <w:highlight w:val="none"/>
          <w:u w:val="single"/>
        </w:rPr>
        <w:t>连续3天及以上的38度以上的高温或者低于-8度的低温</w:t>
      </w:r>
      <w:r>
        <w:rPr>
          <w:rFonts w:hint="eastAsia" w:asciiTheme="majorEastAsia" w:hAnsiTheme="majorEastAsia" w:eastAsiaTheme="majorEastAsia" w:cstheme="majorEastAsia"/>
          <w:color w:val="auto"/>
          <w:kern w:val="2"/>
          <w:sz w:val="21"/>
          <w:szCs w:val="21"/>
          <w:highlight w:val="none"/>
        </w:rPr>
        <w:t>。</w:t>
      </w:r>
    </w:p>
    <w:p w14:paraId="1A8B4A4A">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535" w:name="_Toc32396"/>
      <w:bookmarkStart w:id="536" w:name="_Toc21284"/>
      <w:bookmarkStart w:id="537" w:name="_Toc31827"/>
      <w:bookmarkStart w:id="538" w:name="_Toc28024"/>
      <w:bookmarkStart w:id="539" w:name="_Toc2550"/>
      <w:r>
        <w:rPr>
          <w:rFonts w:hint="eastAsia" w:asciiTheme="majorEastAsia" w:hAnsiTheme="majorEastAsia" w:eastAsiaTheme="majorEastAsia" w:cstheme="majorEastAsia"/>
          <w:color w:val="auto"/>
          <w:kern w:val="2"/>
          <w:sz w:val="21"/>
          <w:szCs w:val="21"/>
          <w:highlight w:val="none"/>
        </w:rPr>
        <w:t>7.9 提前竣工的奖励</w:t>
      </w:r>
      <w:bookmarkEnd w:id="535"/>
      <w:bookmarkEnd w:id="536"/>
      <w:bookmarkEnd w:id="537"/>
      <w:bookmarkEnd w:id="538"/>
      <w:bookmarkEnd w:id="539"/>
    </w:p>
    <w:p w14:paraId="4D1630E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7.9.2提前竣工的奖励：</w:t>
      </w:r>
      <w:r>
        <w:rPr>
          <w:rFonts w:hint="eastAsia" w:asciiTheme="majorEastAsia" w:hAnsiTheme="majorEastAsia" w:eastAsiaTheme="majorEastAsia" w:cstheme="majorEastAsia"/>
          <w:color w:val="auto"/>
          <w:kern w:val="2"/>
          <w:sz w:val="21"/>
          <w:szCs w:val="21"/>
          <w:highlight w:val="none"/>
          <w:u w:val="single"/>
        </w:rPr>
        <w:t xml:space="preserve"> 无</w:t>
      </w:r>
      <w:r>
        <w:rPr>
          <w:rFonts w:hint="eastAsia" w:asciiTheme="majorEastAsia" w:hAnsiTheme="majorEastAsia" w:eastAsiaTheme="majorEastAsia" w:cstheme="majorEastAsia"/>
          <w:color w:val="auto"/>
          <w:kern w:val="2"/>
          <w:sz w:val="21"/>
          <w:szCs w:val="21"/>
          <w:highlight w:val="none"/>
        </w:rPr>
        <w:t>。</w:t>
      </w:r>
    </w:p>
    <w:p w14:paraId="0EBC43AC">
      <w:pPr>
        <w:pStyle w:val="58"/>
        <w:keepNext w:val="0"/>
        <w:pageBreakBefore w:val="0"/>
        <w:widowControl/>
        <w:numPr>
          <w:ilvl w:val="0"/>
          <w:numId w:val="8"/>
        </w:numPr>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540" w:name="_Toc351203640"/>
      <w:r>
        <w:rPr>
          <w:rFonts w:hint="eastAsia" w:asciiTheme="majorEastAsia" w:hAnsiTheme="majorEastAsia" w:eastAsiaTheme="majorEastAsia" w:cstheme="majorEastAsia"/>
          <w:b w:val="0"/>
          <w:color w:val="auto"/>
          <w:sz w:val="21"/>
          <w:szCs w:val="21"/>
          <w:highlight w:val="none"/>
        </w:rPr>
        <w:t>材料与设备</w:t>
      </w:r>
      <w:bookmarkEnd w:id="540"/>
    </w:p>
    <w:p w14:paraId="6118199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8.2承包人采购材料与工程设备</w:t>
      </w:r>
    </w:p>
    <w:p w14:paraId="36805FA5">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1）本工程所使用的材料由承包人自行采购（除发包人供应材料外），所购材料必须符合设计及规范要求，并经监理验收后方可使用。对材料和建材制品，承包人必须提供生产厂家相关产品的生产许可证、强制认证书、质量证书和产品材料清单，如需检测的还应提供相应的检测报告，并经发包人、监理人看样，书面认可后方可订货使用，以确保工程质量，杜绝不合格材料进场。进口材料设备除提交以上条款要求的以外，还需要提交原产地证明、报关单、完税证明</w:t>
      </w:r>
      <w:r>
        <w:rPr>
          <w:rFonts w:hint="eastAsia" w:asciiTheme="majorEastAsia" w:hAnsiTheme="majorEastAsia" w:eastAsiaTheme="majorEastAsia" w:cstheme="majorEastAsia"/>
          <w:b/>
          <w:color w:val="auto"/>
          <w:kern w:val="2"/>
          <w:sz w:val="21"/>
          <w:szCs w:val="21"/>
          <w:highlight w:val="none"/>
          <w:u w:val="none"/>
        </w:rPr>
        <w:t>。</w:t>
      </w:r>
    </w:p>
    <w:p w14:paraId="35DC29E9">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（2）对不符合设计和质量标准要求的材料，代表可拒绝验收，并由承包人按代表要求的时间退出施工现场，由承包人重新采购符合要求的材料，并承担由此产生的费用，工期不予顺延</w:t>
      </w:r>
      <w:r>
        <w:rPr>
          <w:rFonts w:hint="eastAsia" w:asciiTheme="majorEastAsia" w:hAnsiTheme="majorEastAsia" w:eastAsiaTheme="majorEastAsia" w:cstheme="majorEastAsia"/>
          <w:b/>
          <w:color w:val="auto"/>
          <w:kern w:val="2"/>
          <w:sz w:val="21"/>
          <w:szCs w:val="21"/>
          <w:highlight w:val="none"/>
          <w:u w:val="none"/>
        </w:rPr>
        <w:t>。</w:t>
      </w:r>
    </w:p>
    <w:p w14:paraId="6F4729FE">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（3）承包人在</w:t>
      </w:r>
      <w:r>
        <w:rPr>
          <w:rFonts w:hint="eastAsia" w:asciiTheme="majorEastAsia" w:hAnsiTheme="majorEastAsia" w:eastAsiaTheme="majorEastAsia" w:cstheme="majorEastAsia"/>
          <w:b/>
          <w:color w:val="auto"/>
          <w:kern w:val="2"/>
          <w:sz w:val="21"/>
          <w:szCs w:val="21"/>
          <w:highlight w:val="none"/>
          <w:u w:val="single"/>
          <w:lang w:eastAsia="zh-CN"/>
        </w:rPr>
        <w:t>响应文件</w:t>
      </w:r>
      <w:r>
        <w:rPr>
          <w:rFonts w:hint="eastAsia" w:asciiTheme="majorEastAsia" w:hAnsiTheme="majorEastAsia" w:eastAsiaTheme="majorEastAsia" w:cstheme="majorEastAsia"/>
          <w:b/>
          <w:color w:val="auto"/>
          <w:kern w:val="2"/>
          <w:sz w:val="21"/>
          <w:szCs w:val="21"/>
          <w:highlight w:val="none"/>
          <w:u w:val="single"/>
        </w:rPr>
        <w:t>中承诺的设备、材料生产厂家、产地、质量、规格、型号等承包人不得擅自更改；承包人若需更改，必须经发包人书面认可，但必须按下列原则进行调价：即材料、设备采购价低于原投标报价的，结算时综合单价给予相应调低；材料、设备采购价高于原投标报价的，结算时综合单价不予调整（发包人提出的、并书面下达通知变更设备、材料的，可参照本合同专用条款第11条的约定据实进行调整）</w:t>
      </w:r>
      <w:r>
        <w:rPr>
          <w:rFonts w:hint="eastAsia" w:asciiTheme="majorEastAsia" w:hAnsiTheme="majorEastAsia" w:eastAsiaTheme="majorEastAsia" w:cstheme="majorEastAsia"/>
          <w:b/>
          <w:color w:val="auto"/>
          <w:kern w:val="2"/>
          <w:sz w:val="21"/>
          <w:szCs w:val="21"/>
          <w:highlight w:val="none"/>
          <w:u w:val="none"/>
        </w:rPr>
        <w:t>。</w:t>
      </w:r>
    </w:p>
    <w:p w14:paraId="7EBFF2CA">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（4）在工程实施过程中，承包人不能因与发包人在材料价格审核、进度款审核等方面存在争议而拖延材料采购及工程施工，否则造成的工期延误责任一律由承包人承担</w:t>
      </w:r>
      <w:r>
        <w:rPr>
          <w:rFonts w:hint="eastAsia" w:asciiTheme="majorEastAsia" w:hAnsiTheme="majorEastAsia" w:eastAsiaTheme="majorEastAsia" w:cstheme="majorEastAsia"/>
          <w:b/>
          <w:color w:val="auto"/>
          <w:kern w:val="2"/>
          <w:sz w:val="21"/>
          <w:szCs w:val="21"/>
          <w:highlight w:val="none"/>
          <w:u w:val="none"/>
        </w:rPr>
        <w:t>。</w:t>
      </w:r>
    </w:p>
    <w:p w14:paraId="28172174">
      <w:pPr>
        <w:pStyle w:val="55"/>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p>
    <w:bookmarkEnd w:id="460"/>
    <w:bookmarkEnd w:id="461"/>
    <w:bookmarkEnd w:id="462"/>
    <w:bookmarkEnd w:id="463"/>
    <w:bookmarkEnd w:id="464"/>
    <w:bookmarkEnd w:id="465"/>
    <w:bookmarkEnd w:id="466"/>
    <w:bookmarkEnd w:id="467"/>
    <w:bookmarkEnd w:id="468"/>
    <w:bookmarkEnd w:id="469"/>
    <w:p w14:paraId="4E0AF02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8</w:t>
      </w:r>
      <w:bookmarkStart w:id="541" w:name="_Toc297216186"/>
      <w:bookmarkStart w:id="542" w:name="_Toc292559877"/>
      <w:bookmarkStart w:id="543" w:name="_Toc300934979"/>
      <w:bookmarkStart w:id="544" w:name="_Toc297123527"/>
      <w:bookmarkStart w:id="545" w:name="_Toc304295556"/>
      <w:bookmarkStart w:id="546" w:name="_Toc296346668"/>
      <w:bookmarkStart w:id="547" w:name="_Toc296891207"/>
      <w:bookmarkStart w:id="548" w:name="_Toc297120467"/>
      <w:bookmarkStart w:id="549" w:name="_Toc297048353"/>
      <w:bookmarkStart w:id="550" w:name="_Toc280868654"/>
      <w:bookmarkStart w:id="551" w:name="_Toc296890995"/>
      <w:bookmarkStart w:id="552" w:name="_Toc296503167"/>
      <w:bookmarkStart w:id="553" w:name="_Toc292559372"/>
      <w:bookmarkStart w:id="554" w:name="_Toc296347166"/>
      <w:bookmarkStart w:id="555" w:name="_Toc303539136"/>
      <w:bookmarkStart w:id="556" w:name="_Toc296944506"/>
      <w:bookmarkStart w:id="557" w:name="_Toc312677493"/>
      <w:bookmarkStart w:id="558" w:name="_Toc312678019"/>
      <w:bookmarkStart w:id="559" w:name="_Toc280868655"/>
      <w:bookmarkStart w:id="560" w:name="_Toc280868656"/>
      <w:bookmarkStart w:id="561" w:name="_Toc267251424"/>
      <w:r>
        <w:rPr>
          <w:rFonts w:hint="eastAsia" w:asciiTheme="majorEastAsia" w:hAnsiTheme="majorEastAsia" w:eastAsiaTheme="majorEastAsia" w:cstheme="majorEastAsia"/>
          <w:color w:val="auto"/>
          <w:kern w:val="2"/>
          <w:sz w:val="21"/>
          <w:szCs w:val="21"/>
          <w:highlight w:val="none"/>
        </w:rPr>
        <w:t>.4材料与工程设备的保管与使用</w:t>
      </w:r>
    </w:p>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14:paraId="7A44126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8</w:t>
      </w:r>
      <w:bookmarkStart w:id="562" w:name="_Toc292559373"/>
      <w:bookmarkStart w:id="563" w:name="_Toc292559878"/>
      <w:bookmarkStart w:id="564" w:name="_Toc296346669"/>
      <w:bookmarkStart w:id="565" w:name="_Toc296891208"/>
      <w:bookmarkStart w:id="566" w:name="_Toc296503168"/>
      <w:bookmarkStart w:id="567" w:name="_Toc312677494"/>
      <w:bookmarkStart w:id="568" w:name="_Toc300934980"/>
      <w:bookmarkStart w:id="569" w:name="_Toc303539137"/>
      <w:bookmarkStart w:id="570" w:name="_Toc312678020"/>
      <w:bookmarkStart w:id="571" w:name="_Toc304295557"/>
      <w:bookmarkStart w:id="572" w:name="_Toc296890996"/>
      <w:bookmarkStart w:id="573" w:name="_Toc297048354"/>
      <w:bookmarkStart w:id="574" w:name="_Toc297123528"/>
      <w:bookmarkStart w:id="575" w:name="_Toc318581173"/>
      <w:bookmarkStart w:id="576" w:name="_Toc296944507"/>
      <w:bookmarkStart w:id="577" w:name="_Toc296347167"/>
      <w:bookmarkStart w:id="578" w:name="_Toc297216187"/>
      <w:bookmarkStart w:id="579" w:name="_Toc297120468"/>
      <w:r>
        <w:rPr>
          <w:rFonts w:hint="eastAsia" w:asciiTheme="majorEastAsia" w:hAnsiTheme="majorEastAsia" w:eastAsiaTheme="majorEastAsia" w:cstheme="majorEastAsia"/>
          <w:color w:val="auto"/>
          <w:kern w:val="2"/>
          <w:sz w:val="21"/>
          <w:szCs w:val="21"/>
          <w:highlight w:val="none"/>
        </w:rPr>
        <w:t>.4.1发包人供应的材料设备的保管费用的承担：</w:t>
      </w:r>
      <w:bookmarkEnd w:id="562"/>
      <w:bookmarkEnd w:id="563"/>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03BAFC78">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580" w:name="_Toc14863"/>
      <w:bookmarkStart w:id="581" w:name="_Toc14425"/>
      <w:bookmarkStart w:id="582" w:name="_Toc2835"/>
      <w:bookmarkStart w:id="583" w:name="_Toc2372"/>
      <w:bookmarkStart w:id="584" w:name="_Toc31271"/>
      <w:r>
        <w:rPr>
          <w:rFonts w:hint="eastAsia" w:asciiTheme="majorEastAsia" w:hAnsiTheme="majorEastAsia" w:eastAsiaTheme="majorEastAsia" w:cstheme="majorEastAsia"/>
          <w:color w:val="auto"/>
          <w:kern w:val="2"/>
          <w:sz w:val="21"/>
          <w:szCs w:val="21"/>
          <w:highlight w:val="none"/>
        </w:rPr>
        <w:t>8.6 样品</w:t>
      </w:r>
      <w:bookmarkEnd w:id="580"/>
      <w:bookmarkEnd w:id="581"/>
      <w:bookmarkEnd w:id="582"/>
      <w:bookmarkEnd w:id="583"/>
      <w:bookmarkEnd w:id="584"/>
    </w:p>
    <w:p w14:paraId="689C61F4">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8.6.1</w:t>
      </w:r>
      <w:r>
        <w:rPr>
          <w:rFonts w:hint="eastAsia" w:asciiTheme="majorEastAsia" w:hAnsiTheme="majorEastAsia" w:eastAsiaTheme="majorEastAsia" w:cstheme="majorEastAsia"/>
          <w:color w:val="auto"/>
          <w:sz w:val="21"/>
          <w:szCs w:val="21"/>
          <w:highlight w:val="none"/>
        </w:rPr>
        <w:tab/>
      </w:r>
      <w:r>
        <w:rPr>
          <w:rFonts w:hint="eastAsia" w:asciiTheme="majorEastAsia" w:hAnsiTheme="majorEastAsia" w:eastAsiaTheme="majorEastAsia" w:cstheme="majorEastAsia"/>
          <w:color w:val="auto"/>
          <w:sz w:val="21"/>
          <w:szCs w:val="21"/>
          <w:highlight w:val="none"/>
        </w:rPr>
        <w:t>样品的报送与封存</w:t>
      </w:r>
    </w:p>
    <w:p w14:paraId="059A6EC0">
      <w:pPr>
        <w:pStyle w:val="55"/>
        <w:keepNext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需要承包人报送样品的材料或工程设备，样品的种类、名称、规格、数量要求：</w:t>
      </w:r>
      <w:r>
        <w:rPr>
          <w:rFonts w:hint="eastAsia" w:asciiTheme="majorEastAsia" w:hAnsiTheme="majorEastAsia" w:eastAsiaTheme="majorEastAsia" w:cstheme="majorEastAsia"/>
          <w:b/>
          <w:color w:val="auto"/>
          <w:kern w:val="2"/>
          <w:sz w:val="21"/>
          <w:szCs w:val="21"/>
          <w:highlight w:val="none"/>
          <w:u w:val="single"/>
        </w:rPr>
        <w:t>按照监理人指示报送</w:t>
      </w:r>
      <w:r>
        <w:rPr>
          <w:rFonts w:hint="eastAsia" w:asciiTheme="majorEastAsia" w:hAnsiTheme="majorEastAsia" w:eastAsiaTheme="majorEastAsia" w:cstheme="majorEastAsia"/>
          <w:color w:val="auto"/>
          <w:kern w:val="2"/>
          <w:sz w:val="21"/>
          <w:szCs w:val="21"/>
          <w:highlight w:val="none"/>
        </w:rPr>
        <w:t>。</w:t>
      </w:r>
    </w:p>
    <w:p w14:paraId="04517712">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585" w:name="_Toc29966"/>
      <w:bookmarkStart w:id="586" w:name="_Toc14066"/>
      <w:bookmarkStart w:id="587" w:name="_Toc13057"/>
      <w:bookmarkStart w:id="588" w:name="_Toc31421"/>
      <w:bookmarkStart w:id="589" w:name="_Toc7854"/>
      <w:r>
        <w:rPr>
          <w:rFonts w:hint="eastAsia" w:asciiTheme="majorEastAsia" w:hAnsiTheme="majorEastAsia" w:eastAsiaTheme="majorEastAsia" w:cstheme="majorEastAsia"/>
          <w:color w:val="auto"/>
          <w:kern w:val="2"/>
          <w:sz w:val="21"/>
          <w:szCs w:val="21"/>
          <w:highlight w:val="none"/>
        </w:rPr>
        <w:t>8.8 施工设备和临时设施</w:t>
      </w:r>
      <w:bookmarkEnd w:id="585"/>
      <w:bookmarkEnd w:id="586"/>
      <w:bookmarkEnd w:id="587"/>
      <w:bookmarkEnd w:id="588"/>
      <w:bookmarkEnd w:id="589"/>
    </w:p>
    <w:p w14:paraId="78B78B7D">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8.8.1 承包人提供的施工设备和临时设施</w:t>
      </w:r>
    </w:p>
    <w:p w14:paraId="67E32B7C">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关于修建临时设施费用承担的约定：</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p w14:paraId="25BEDC77">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590" w:name="_Toc351203641"/>
      <w:r>
        <w:rPr>
          <w:rFonts w:hint="eastAsia" w:asciiTheme="majorEastAsia" w:hAnsiTheme="majorEastAsia" w:eastAsiaTheme="majorEastAsia" w:cstheme="majorEastAsia"/>
          <w:b w:val="0"/>
          <w:color w:val="auto"/>
          <w:sz w:val="21"/>
          <w:szCs w:val="21"/>
          <w:highlight w:val="none"/>
        </w:rPr>
        <w:t>9</w:t>
      </w:r>
      <w:bookmarkEnd w:id="559"/>
      <w:bookmarkEnd w:id="560"/>
      <w:bookmarkEnd w:id="561"/>
      <w:bookmarkStart w:id="591" w:name="_Toc312677495"/>
      <w:bookmarkStart w:id="592" w:name="_Toc297123533"/>
      <w:bookmarkStart w:id="593" w:name="_Toc304295559"/>
      <w:bookmarkStart w:id="594" w:name="_Toc297216192"/>
      <w:bookmarkStart w:id="595" w:name="_Toc300934982"/>
      <w:bookmarkStart w:id="596" w:name="_Toc303539139"/>
      <w:bookmarkStart w:id="597" w:name="_Toc312678021"/>
      <w:bookmarkStart w:id="598" w:name="_Toc292559883"/>
      <w:bookmarkStart w:id="599" w:name="_Toc296891001"/>
      <w:bookmarkStart w:id="600" w:name="_Toc296347172"/>
      <w:bookmarkStart w:id="601" w:name="_Toc297048359"/>
      <w:bookmarkStart w:id="602" w:name="_Toc267251427"/>
      <w:bookmarkStart w:id="603" w:name="_Toc292559378"/>
      <w:bookmarkStart w:id="604" w:name="_Toc297120473"/>
      <w:bookmarkStart w:id="605" w:name="_Toc296346674"/>
      <w:bookmarkStart w:id="606" w:name="_Toc296503173"/>
      <w:bookmarkStart w:id="607" w:name="_Toc296891213"/>
      <w:bookmarkStart w:id="608" w:name="_Toc296944512"/>
      <w:bookmarkStart w:id="609" w:name="_Toc267251428"/>
      <w:r>
        <w:rPr>
          <w:rFonts w:hint="eastAsia" w:asciiTheme="majorEastAsia" w:hAnsiTheme="majorEastAsia" w:eastAsiaTheme="majorEastAsia" w:cstheme="majorEastAsia"/>
          <w:b w:val="0"/>
          <w:color w:val="auto"/>
          <w:sz w:val="21"/>
          <w:szCs w:val="21"/>
          <w:highlight w:val="none"/>
        </w:rPr>
        <w:t>. 试验与检验</w:t>
      </w:r>
      <w:bookmarkEnd w:id="590"/>
    </w:p>
    <w:bookmarkEnd w:id="591"/>
    <w:bookmarkEnd w:id="592"/>
    <w:bookmarkEnd w:id="593"/>
    <w:bookmarkEnd w:id="594"/>
    <w:bookmarkEnd w:id="595"/>
    <w:bookmarkEnd w:id="596"/>
    <w:bookmarkEnd w:id="597"/>
    <w:p w14:paraId="74252B5F">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9</w:t>
      </w:r>
      <w:bookmarkStart w:id="610" w:name="_Toc297123534"/>
      <w:bookmarkStart w:id="611" w:name="_Toc312678022"/>
      <w:bookmarkStart w:id="612" w:name="_Toc300934983"/>
      <w:bookmarkStart w:id="613" w:name="_Toc303539140"/>
      <w:bookmarkStart w:id="614" w:name="_Toc312677496"/>
      <w:bookmarkStart w:id="615" w:name="_Toc297216193"/>
      <w:bookmarkStart w:id="616" w:name="_Toc304295560"/>
      <w:r>
        <w:rPr>
          <w:rFonts w:hint="eastAsia" w:asciiTheme="majorEastAsia" w:hAnsiTheme="majorEastAsia" w:eastAsiaTheme="majorEastAsia" w:cstheme="majorEastAsia"/>
          <w:color w:val="auto"/>
          <w:kern w:val="2"/>
          <w:sz w:val="21"/>
          <w:szCs w:val="21"/>
          <w:highlight w:val="none"/>
        </w:rPr>
        <w:t>.1试验设备与试验人员</w:t>
      </w:r>
    </w:p>
    <w:bookmarkEnd w:id="610"/>
    <w:bookmarkEnd w:id="611"/>
    <w:bookmarkEnd w:id="612"/>
    <w:bookmarkEnd w:id="613"/>
    <w:bookmarkEnd w:id="614"/>
    <w:bookmarkEnd w:id="615"/>
    <w:bookmarkEnd w:id="616"/>
    <w:p w14:paraId="6004C06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9</w:t>
      </w:r>
      <w:bookmarkStart w:id="617" w:name="_Toc304295561"/>
      <w:bookmarkStart w:id="618" w:name="_Toc297216194"/>
      <w:bookmarkStart w:id="619" w:name="_Toc312678023"/>
      <w:bookmarkStart w:id="620" w:name="_Toc312677497"/>
      <w:bookmarkStart w:id="621" w:name="_Toc297123535"/>
      <w:bookmarkStart w:id="622" w:name="_Toc303539141"/>
      <w:bookmarkStart w:id="623" w:name="_Toc300934984"/>
      <w:bookmarkStart w:id="624" w:name="_Toc318581174"/>
      <w:r>
        <w:rPr>
          <w:rFonts w:hint="eastAsia" w:asciiTheme="majorEastAsia" w:hAnsiTheme="majorEastAsia" w:eastAsiaTheme="majorEastAsia" w:cstheme="majorEastAsia"/>
          <w:color w:val="auto"/>
          <w:kern w:val="2"/>
          <w:sz w:val="21"/>
          <w:szCs w:val="21"/>
          <w:highlight w:val="none"/>
        </w:rPr>
        <w:t>.1.2 试验设备</w:t>
      </w:r>
    </w:p>
    <w:p w14:paraId="07F784E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施工现场需要配置的试验场所：</w:t>
      </w:r>
      <w:bookmarkEnd w:id="617"/>
      <w:bookmarkEnd w:id="618"/>
      <w:bookmarkEnd w:id="619"/>
      <w:bookmarkEnd w:id="620"/>
      <w:bookmarkEnd w:id="621"/>
      <w:bookmarkEnd w:id="622"/>
      <w:bookmarkEnd w:id="623"/>
      <w:bookmarkStart w:id="625" w:name="_Toc312677498"/>
      <w:bookmarkStart w:id="626" w:name="_Toc304295562"/>
      <w:bookmarkStart w:id="627" w:name="_Toc297216195"/>
      <w:bookmarkStart w:id="628" w:name="_Toc303539142"/>
      <w:bookmarkStart w:id="629" w:name="_Toc297123536"/>
      <w:bookmarkStart w:id="630" w:name="_Toc312678024"/>
      <w:bookmarkStart w:id="631" w:name="_Toc300934985"/>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kern w:val="2"/>
          <w:sz w:val="21"/>
          <w:szCs w:val="21"/>
          <w:highlight w:val="none"/>
        </w:rPr>
        <w:t xml:space="preserve">。 </w:t>
      </w:r>
    </w:p>
    <w:p w14:paraId="7965BC7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施工现场需要配备的试验设备：</w:t>
      </w:r>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kern w:val="2"/>
          <w:sz w:val="21"/>
          <w:szCs w:val="21"/>
          <w:highlight w:val="none"/>
        </w:rPr>
        <w:t>。</w:t>
      </w:r>
    </w:p>
    <w:p w14:paraId="6832625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施工现场需要具备的其他试验条件：</w:t>
      </w:r>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kern w:val="2"/>
          <w:sz w:val="21"/>
          <w:szCs w:val="21"/>
          <w:highlight w:val="none"/>
        </w:rPr>
        <w:t>。</w:t>
      </w:r>
    </w:p>
    <w:p w14:paraId="3FDB8286">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632" w:name="_Toc8292"/>
      <w:bookmarkStart w:id="633" w:name="_Toc24317"/>
      <w:bookmarkStart w:id="634" w:name="_Toc19075"/>
      <w:bookmarkStart w:id="635" w:name="_Toc8404"/>
      <w:bookmarkStart w:id="636" w:name="_Toc28125"/>
      <w:r>
        <w:rPr>
          <w:rFonts w:hint="eastAsia" w:asciiTheme="majorEastAsia" w:hAnsiTheme="majorEastAsia" w:eastAsiaTheme="majorEastAsia" w:cstheme="majorEastAsia"/>
          <w:color w:val="auto"/>
          <w:kern w:val="2"/>
          <w:sz w:val="21"/>
          <w:szCs w:val="21"/>
          <w:highlight w:val="none"/>
        </w:rPr>
        <w:t>9.4 现场工艺试验</w:t>
      </w:r>
      <w:bookmarkEnd w:id="632"/>
      <w:bookmarkEnd w:id="633"/>
      <w:bookmarkEnd w:id="634"/>
      <w:bookmarkEnd w:id="635"/>
      <w:bookmarkEnd w:id="636"/>
      <w:r>
        <w:rPr>
          <w:rFonts w:hint="eastAsia" w:asciiTheme="majorEastAsia" w:hAnsiTheme="majorEastAsia" w:eastAsiaTheme="majorEastAsia" w:cstheme="majorEastAsia"/>
          <w:color w:val="auto"/>
          <w:kern w:val="2"/>
          <w:sz w:val="21"/>
          <w:szCs w:val="21"/>
          <w:highlight w:val="none"/>
        </w:rPr>
        <w:t xml:space="preserve"> </w:t>
      </w:r>
    </w:p>
    <w:p w14:paraId="633E72C7">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现场工艺试验的有关约定：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bookmarkEnd w:id="624"/>
    <w:bookmarkEnd w:id="625"/>
    <w:bookmarkEnd w:id="626"/>
    <w:bookmarkEnd w:id="627"/>
    <w:bookmarkEnd w:id="628"/>
    <w:bookmarkEnd w:id="629"/>
    <w:bookmarkEnd w:id="630"/>
    <w:bookmarkEnd w:id="631"/>
    <w:p w14:paraId="1C3530F6">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637" w:name="_Toc351203642"/>
      <w:r>
        <w:rPr>
          <w:rFonts w:hint="eastAsia" w:asciiTheme="majorEastAsia" w:hAnsiTheme="majorEastAsia" w:eastAsiaTheme="majorEastAsia" w:cstheme="majorEastAsia"/>
          <w:b w:val="0"/>
          <w:color w:val="auto"/>
          <w:sz w:val="21"/>
          <w:szCs w:val="21"/>
          <w:highlight w:val="none"/>
        </w:rPr>
        <w:t>1</w:t>
      </w:r>
      <w:bookmarkEnd w:id="598"/>
      <w:bookmarkEnd w:id="599"/>
      <w:bookmarkEnd w:id="600"/>
      <w:bookmarkEnd w:id="601"/>
      <w:bookmarkEnd w:id="602"/>
      <w:bookmarkEnd w:id="603"/>
      <w:bookmarkEnd w:id="604"/>
      <w:bookmarkEnd w:id="605"/>
      <w:bookmarkEnd w:id="606"/>
      <w:bookmarkEnd w:id="607"/>
      <w:bookmarkEnd w:id="608"/>
      <w:bookmarkEnd w:id="609"/>
      <w:bookmarkStart w:id="638" w:name="_Toc304295566"/>
      <w:bookmarkStart w:id="639" w:name="_Toc296347192"/>
      <w:bookmarkStart w:id="640" w:name="_Toc297048379"/>
      <w:bookmarkStart w:id="641" w:name="_Toc297216199"/>
      <w:bookmarkStart w:id="642" w:name="_Toc303539146"/>
      <w:bookmarkStart w:id="643" w:name="_Toc297123540"/>
      <w:bookmarkStart w:id="644" w:name="_Toc296503193"/>
      <w:bookmarkStart w:id="645" w:name="_Toc296944532"/>
      <w:bookmarkStart w:id="646" w:name="_Toc292559398"/>
      <w:bookmarkStart w:id="647" w:name="_Toc296346694"/>
      <w:bookmarkStart w:id="648" w:name="_Toc296891233"/>
      <w:bookmarkStart w:id="649" w:name="_Toc292559903"/>
      <w:bookmarkStart w:id="650" w:name="_Toc296891021"/>
      <w:bookmarkStart w:id="651" w:name="_Toc300934989"/>
      <w:bookmarkStart w:id="652" w:name="_Toc297120493"/>
      <w:bookmarkStart w:id="653" w:name="_Toc312678025"/>
      <w:bookmarkStart w:id="654" w:name="_Toc312677499"/>
      <w:bookmarkStart w:id="655" w:name="_Toc267251433"/>
      <w:bookmarkStart w:id="656" w:name="_Toc267251440"/>
      <w:bookmarkStart w:id="657" w:name="_Toc267251441"/>
      <w:bookmarkStart w:id="658" w:name="_Toc267251437"/>
      <w:bookmarkStart w:id="659" w:name="_Toc267251435"/>
      <w:bookmarkStart w:id="660" w:name="_Toc267251439"/>
      <w:bookmarkStart w:id="661" w:name="_Toc267251442"/>
      <w:r>
        <w:rPr>
          <w:rFonts w:hint="eastAsia" w:asciiTheme="majorEastAsia" w:hAnsiTheme="majorEastAsia" w:eastAsiaTheme="majorEastAsia" w:cstheme="majorEastAsia"/>
          <w:b w:val="0"/>
          <w:color w:val="auto"/>
          <w:sz w:val="21"/>
          <w:szCs w:val="21"/>
          <w:highlight w:val="none"/>
        </w:rPr>
        <w:t>0. 变更</w:t>
      </w:r>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bookmarkEnd w:id="653"/>
    <w:bookmarkEnd w:id="654"/>
    <w:p w14:paraId="55DF3CA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w:t>
      </w:r>
      <w:bookmarkStart w:id="662" w:name="_Toc296891234"/>
      <w:bookmarkStart w:id="663" w:name="_Toc303539147"/>
      <w:bookmarkStart w:id="664" w:name="_Toc300934990"/>
      <w:bookmarkStart w:id="665" w:name="_Toc296347193"/>
      <w:bookmarkStart w:id="666" w:name="_Toc312677500"/>
      <w:bookmarkStart w:id="667" w:name="_Toc296891022"/>
      <w:bookmarkStart w:id="668" w:name="_Toc297120494"/>
      <w:bookmarkStart w:id="669" w:name="_Toc296503194"/>
      <w:bookmarkStart w:id="670" w:name="_Toc312678026"/>
      <w:bookmarkStart w:id="671" w:name="_Toc304295567"/>
      <w:bookmarkStart w:id="672" w:name="_Toc296346695"/>
      <w:bookmarkStart w:id="673" w:name="_Toc296944533"/>
      <w:bookmarkStart w:id="674" w:name="_Toc297048380"/>
      <w:bookmarkStart w:id="675" w:name="_Toc292559904"/>
      <w:bookmarkStart w:id="676" w:name="_Toc292559399"/>
      <w:bookmarkStart w:id="677" w:name="_Toc297216200"/>
      <w:bookmarkStart w:id="678" w:name="_Toc297123541"/>
      <w:r>
        <w:rPr>
          <w:rFonts w:hint="eastAsia" w:asciiTheme="majorEastAsia" w:hAnsiTheme="majorEastAsia" w:eastAsiaTheme="majorEastAsia" w:cstheme="majorEastAsia"/>
          <w:color w:val="auto"/>
          <w:kern w:val="2"/>
          <w:sz w:val="21"/>
          <w:szCs w:val="21"/>
          <w:highlight w:val="none"/>
        </w:rPr>
        <w:t>0.1变更的范围</w:t>
      </w:r>
    </w:p>
    <w:p w14:paraId="0801C39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关于变更的范围的约定：</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single"/>
        </w:rPr>
        <w:t>。</w:t>
      </w:r>
    </w:p>
    <w:p w14:paraId="2E0FFE0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10.2变更权</w:t>
      </w:r>
    </w:p>
    <w:p w14:paraId="40D4532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关于变更权的约定：</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single"/>
        </w:rPr>
        <w:t>。</w:t>
      </w:r>
    </w:p>
    <w:p w14:paraId="3E17152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10.3变更程序</w:t>
      </w:r>
    </w:p>
    <w:p w14:paraId="093656F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关于程序的约定：</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6302316C">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签证格式及要求：签证按统一格式填写，必须书写①时间，过程、②原因、③处理方法、④实施结果、⑤涉及相关人员签认、⑥涉及数量、范围、⑦价款确定的原则、⑧附图，隐蔽或标的物灭失的项目必须附照片、⑨规范描述项目属性等九项内容。缺失任何签证要数，竣工结算时，按有利于发包人的解释为准解释</w:t>
      </w:r>
      <w:r>
        <w:rPr>
          <w:rFonts w:hint="eastAsia" w:asciiTheme="majorEastAsia" w:hAnsiTheme="majorEastAsia" w:eastAsiaTheme="majorEastAsia" w:cstheme="majorEastAsia"/>
          <w:b/>
          <w:color w:val="auto"/>
          <w:kern w:val="2"/>
          <w:sz w:val="21"/>
          <w:szCs w:val="21"/>
          <w:highlight w:val="none"/>
          <w:u w:val="none"/>
        </w:rPr>
        <w:t>。</w:t>
      </w:r>
    </w:p>
    <w:p w14:paraId="6E6C1896">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10.3.3变更执行</w:t>
      </w:r>
    </w:p>
    <w:p w14:paraId="2778AC3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关于变更执行的约定</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0F070F7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 变更估价</w:t>
      </w:r>
    </w:p>
    <w:p w14:paraId="29AFCBA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10.4.1 变更估价原则</w:t>
      </w:r>
    </w:p>
    <w:p w14:paraId="4D1D3748">
      <w:pPr>
        <w:keepNext w:val="0"/>
        <w:keepLines w:val="0"/>
        <w:widowControl/>
        <w:suppressLineNumbers w:val="0"/>
        <w:jc w:val="left"/>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关于变更估价的约定:</w:t>
      </w:r>
      <w:r>
        <w:rPr>
          <w:rFonts w:hint="eastAsia" w:asciiTheme="majorEastAsia" w:hAnsiTheme="majorEastAsia" w:eastAsiaTheme="majorEastAsia" w:cstheme="majorEastAsia"/>
          <w:b/>
          <w:color w:val="auto"/>
          <w:kern w:val="2"/>
          <w:sz w:val="21"/>
          <w:szCs w:val="21"/>
          <w:highlight w:val="none"/>
          <w:u w:val="single"/>
        </w:rPr>
        <w:t>已标价工程量清单中没有适用也没有类似于变更工程项目的，应由承包人根据变更工程资料、按</w:t>
      </w:r>
      <w:r>
        <w:rPr>
          <w:rFonts w:hint="eastAsia" w:asciiTheme="majorEastAsia" w:hAnsiTheme="majorEastAsia" w:eastAsiaTheme="majorEastAsia" w:cstheme="majorEastAsia"/>
          <w:b/>
          <w:color w:val="auto"/>
          <w:kern w:val="2"/>
          <w:sz w:val="21"/>
          <w:szCs w:val="21"/>
          <w:highlight w:val="none"/>
          <w:u w:val="single"/>
          <w:lang w:val="en-US" w:eastAsia="zh-CN"/>
        </w:rPr>
        <w:t>《建设工程工程量清单计价标准》(GB/T 50500-2024)</w:t>
      </w:r>
      <w:r>
        <w:rPr>
          <w:rFonts w:hint="eastAsia" w:asciiTheme="majorEastAsia" w:hAnsiTheme="majorEastAsia" w:eastAsiaTheme="majorEastAsia" w:cstheme="majorEastAsia"/>
          <w:b/>
          <w:color w:val="auto"/>
          <w:kern w:val="2"/>
          <w:sz w:val="21"/>
          <w:szCs w:val="21"/>
          <w:highlight w:val="none"/>
          <w:u w:val="single"/>
        </w:rPr>
        <w:t>、工程造价管理机构发布的施工期间信息价格和承包人报价浮动率提出变更工程项目的单价，并应报发包人确认后调整</w:t>
      </w:r>
      <w:r>
        <w:rPr>
          <w:rFonts w:hint="eastAsia" w:asciiTheme="majorEastAsia" w:hAnsiTheme="majorEastAsia" w:eastAsiaTheme="majorEastAsia" w:cstheme="majorEastAsia"/>
          <w:b/>
          <w:color w:val="auto"/>
          <w:kern w:val="2"/>
          <w:sz w:val="21"/>
          <w:szCs w:val="21"/>
          <w:highlight w:val="none"/>
          <w:u w:val="none"/>
        </w:rPr>
        <w:t>。</w:t>
      </w:r>
    </w:p>
    <w:p w14:paraId="0FE40E63">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承包人报价浮动率可按下列公式计算</w:t>
      </w:r>
      <w:r>
        <w:rPr>
          <w:rFonts w:hint="eastAsia" w:asciiTheme="majorEastAsia" w:hAnsiTheme="majorEastAsia" w:eastAsiaTheme="majorEastAsia" w:cstheme="majorEastAsia"/>
          <w:b/>
          <w:color w:val="auto"/>
          <w:kern w:val="2"/>
          <w:sz w:val="21"/>
          <w:szCs w:val="21"/>
          <w:highlight w:val="none"/>
          <w:u w:val="none"/>
        </w:rPr>
        <w:t>：</w:t>
      </w:r>
    </w:p>
    <w:p w14:paraId="645E5D2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招标工程</w:t>
      </w:r>
      <w:r>
        <w:rPr>
          <w:rFonts w:hint="eastAsia" w:asciiTheme="majorEastAsia" w:hAnsiTheme="majorEastAsia" w:eastAsiaTheme="majorEastAsia" w:cstheme="majorEastAsia"/>
          <w:b/>
          <w:color w:val="auto"/>
          <w:kern w:val="2"/>
          <w:sz w:val="21"/>
          <w:szCs w:val="21"/>
          <w:highlight w:val="none"/>
          <w:u w:val="none"/>
        </w:rPr>
        <w:t>：</w:t>
      </w:r>
    </w:p>
    <w:p w14:paraId="21F7D25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承包人报价浮动率L=(1-中标价/招标控制价)×100%</w:t>
      </w:r>
    </w:p>
    <w:p w14:paraId="1C36300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非招标工程</w:t>
      </w:r>
      <w:r>
        <w:rPr>
          <w:rFonts w:hint="eastAsia" w:asciiTheme="majorEastAsia" w:hAnsiTheme="majorEastAsia" w:eastAsiaTheme="majorEastAsia" w:cstheme="majorEastAsia"/>
          <w:b/>
          <w:color w:val="auto"/>
          <w:kern w:val="2"/>
          <w:sz w:val="21"/>
          <w:szCs w:val="21"/>
          <w:highlight w:val="none"/>
          <w:u w:val="none"/>
        </w:rPr>
        <w:t>：</w:t>
      </w:r>
    </w:p>
    <w:p w14:paraId="44CCD242">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承包人报价浮动率L=(1-报价/施工图预算价)×100%</w:t>
      </w:r>
    </w:p>
    <w:p w14:paraId="53BB994E">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本工程承包人报价浮动率为：L=(1-中标价/招标控制价)×100%</w:t>
      </w:r>
    </w:p>
    <w:p w14:paraId="4418A2CF">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工程量清单中没有适用也没有类似于变更工程项目，且工程造价管理机械发布的信息价格缺价的，应由承包人根据变更工程资料、计量规则、计价办法和通过市场调查等取得有合法依据的市场价格提出变更工程项目的单价，并应报发包人确认后调整</w:t>
      </w:r>
      <w:r>
        <w:rPr>
          <w:rFonts w:hint="eastAsia" w:asciiTheme="majorEastAsia" w:hAnsiTheme="majorEastAsia" w:eastAsiaTheme="majorEastAsia" w:cstheme="majorEastAsia"/>
          <w:b/>
          <w:color w:val="auto"/>
          <w:kern w:val="2"/>
          <w:sz w:val="21"/>
          <w:szCs w:val="21"/>
          <w:highlight w:val="none"/>
          <w:u w:val="none"/>
        </w:rPr>
        <w:t>。</w:t>
      </w:r>
    </w:p>
    <w:p w14:paraId="52F6644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10.4.1.1工程变更引起施工方案改变并使措施项目发生变化</w:t>
      </w:r>
    </w:p>
    <w:p w14:paraId="79D15553">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none"/>
        </w:rPr>
      </w:pPr>
      <w:r>
        <w:rPr>
          <w:rFonts w:hint="eastAsia" w:asciiTheme="majorEastAsia" w:hAnsiTheme="majorEastAsia" w:eastAsiaTheme="majorEastAsia" w:cstheme="majorEastAsia"/>
          <w:b/>
          <w:color w:val="auto"/>
          <w:kern w:val="2"/>
          <w:sz w:val="21"/>
          <w:szCs w:val="21"/>
          <w:highlight w:val="none"/>
          <w:u w:val="single"/>
        </w:rPr>
        <w:t>承包人提出调整措施项目费的，就事先将拟实施的方案提交发包人确认，并应详细说明与原方案措施项目相比的变化情况。拟实施的方案经发承包双方确认后执行，并应按照下列规定调整措施项目费</w:t>
      </w:r>
      <w:r>
        <w:rPr>
          <w:rFonts w:hint="eastAsia" w:asciiTheme="majorEastAsia" w:hAnsiTheme="majorEastAsia" w:eastAsiaTheme="majorEastAsia" w:cstheme="majorEastAsia"/>
          <w:b/>
          <w:color w:val="auto"/>
          <w:kern w:val="2"/>
          <w:sz w:val="21"/>
          <w:szCs w:val="21"/>
          <w:highlight w:val="none"/>
          <w:u w:val="none"/>
        </w:rPr>
        <w:t>。</w:t>
      </w:r>
    </w:p>
    <w:p w14:paraId="615F6972">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1、安全文明施工费应按照实际发生变化的措施项目依据 “措施项目中的安全文明施工费必须按国家或省级、行业建设主管部门的规定计算，不得作为竞争性费用”的规定执行</w:t>
      </w:r>
      <w:r>
        <w:rPr>
          <w:rFonts w:hint="eastAsia" w:asciiTheme="majorEastAsia" w:hAnsiTheme="majorEastAsia" w:eastAsiaTheme="majorEastAsia" w:cstheme="majorEastAsia"/>
          <w:color w:val="auto"/>
          <w:kern w:val="2"/>
          <w:sz w:val="21"/>
          <w:szCs w:val="21"/>
          <w:highlight w:val="none"/>
        </w:rPr>
        <w:t>。</w:t>
      </w:r>
    </w:p>
    <w:p w14:paraId="45461D4D">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2、采用单价计算的措施项目费，应按照实际发生变化的措施项目，按第10.4.1.1条的规定确定单价</w:t>
      </w:r>
      <w:r>
        <w:rPr>
          <w:rFonts w:hint="eastAsia" w:asciiTheme="majorEastAsia" w:hAnsiTheme="majorEastAsia" w:eastAsiaTheme="majorEastAsia" w:cstheme="majorEastAsia"/>
          <w:b/>
          <w:color w:val="auto"/>
          <w:kern w:val="2"/>
          <w:sz w:val="21"/>
          <w:szCs w:val="21"/>
          <w:highlight w:val="none"/>
          <w:u w:val="none"/>
        </w:rPr>
        <w:t>。</w:t>
      </w:r>
    </w:p>
    <w:p w14:paraId="28C53EE3">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3、按总价（或系数）计算的措施项目费，按照实际发生变化的措施项目调整，但应考虑承包人报价浮动因素，即调整金额按照实际调整金额乘以第10.4.1条规定的承包人报价浮动率计算</w:t>
      </w:r>
      <w:r>
        <w:rPr>
          <w:rFonts w:hint="eastAsia" w:asciiTheme="majorEastAsia" w:hAnsiTheme="majorEastAsia" w:eastAsiaTheme="majorEastAsia" w:cstheme="majorEastAsia"/>
          <w:b/>
          <w:color w:val="auto"/>
          <w:kern w:val="2"/>
          <w:sz w:val="21"/>
          <w:szCs w:val="21"/>
          <w:highlight w:val="none"/>
          <w:u w:val="none"/>
        </w:rPr>
        <w:t>。</w:t>
      </w:r>
    </w:p>
    <w:p w14:paraId="3174C96A">
      <w:pPr>
        <w:pStyle w:val="55"/>
        <w:keepNext w:val="0"/>
        <w:pageBreakBefore w:val="0"/>
        <w:widowControl/>
        <w:kinsoku/>
        <w:wordWrap/>
        <w:overflowPunct/>
        <w:topLinePunct w:val="0"/>
        <w:bidi w:val="0"/>
        <w:spacing w:line="440" w:lineRule="exact"/>
        <w:ind w:left="0" w:leftChars="0" w:firstLine="210" w:firstLineChars="1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 xml:space="preserve">  </w:t>
      </w:r>
      <w:r>
        <w:rPr>
          <w:rFonts w:hint="eastAsia" w:asciiTheme="majorEastAsia" w:hAnsiTheme="majorEastAsia" w:eastAsiaTheme="majorEastAsia" w:cstheme="majorEastAsia"/>
          <w:b/>
          <w:color w:val="auto"/>
          <w:kern w:val="2"/>
          <w:sz w:val="21"/>
          <w:szCs w:val="21"/>
          <w:highlight w:val="none"/>
          <w:u w:val="single"/>
        </w:rPr>
        <w:t>4、如果承包人未事先将拟实施的方案提交给发包人确认，则应视为工程变更不引起措施项目费的调整或承包人放弃调整措施项目费的权利</w:t>
      </w:r>
      <w:r>
        <w:rPr>
          <w:rFonts w:hint="eastAsia" w:asciiTheme="majorEastAsia" w:hAnsiTheme="majorEastAsia" w:eastAsiaTheme="majorEastAsia" w:cstheme="majorEastAsia"/>
          <w:b/>
          <w:color w:val="auto"/>
          <w:kern w:val="2"/>
          <w:sz w:val="21"/>
          <w:szCs w:val="21"/>
          <w:highlight w:val="none"/>
          <w:u w:val="none"/>
        </w:rPr>
        <w:t>。</w:t>
      </w:r>
    </w:p>
    <w:p w14:paraId="1EA6BE4F">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 .1.2项目特征不符</w:t>
      </w:r>
    </w:p>
    <w:p w14:paraId="5BFF063A">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应按照发包人提供的设计图纸实施合同工程，若在合同履行期间出现设计图纸(含设计变更)与招标工程量清单任一项日的特征描述不符，且该变化引起该项目工程造价增减变化的，应按照实际施工的项目特征，按第10.4相关条款的规定重新确定相应工程量清照项目的综合单价，并调整合同价款</w:t>
      </w:r>
      <w:r>
        <w:rPr>
          <w:rFonts w:hint="eastAsia" w:asciiTheme="majorEastAsia" w:hAnsiTheme="majorEastAsia" w:eastAsiaTheme="majorEastAsia" w:cstheme="majorEastAsia"/>
          <w:b/>
          <w:color w:val="auto"/>
          <w:kern w:val="2"/>
          <w:sz w:val="21"/>
          <w:szCs w:val="21"/>
          <w:highlight w:val="none"/>
          <w:u w:val="none"/>
        </w:rPr>
        <w:t>。</w:t>
      </w:r>
    </w:p>
    <w:p w14:paraId="6EAD55AA">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10.4.1.3工程量清单缺项</w:t>
      </w:r>
    </w:p>
    <w:p w14:paraId="2A8CF37B">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合同履行期间，工程量清单中缺项，新增分部分项工程清单项目的，应按照第10.4.1条的规定确定单价，并调整合同价款</w:t>
      </w:r>
      <w:r>
        <w:rPr>
          <w:rFonts w:hint="eastAsia" w:asciiTheme="majorEastAsia" w:hAnsiTheme="majorEastAsia" w:eastAsiaTheme="majorEastAsia" w:cstheme="majorEastAsia"/>
          <w:b/>
          <w:color w:val="auto"/>
          <w:kern w:val="2"/>
          <w:sz w:val="21"/>
          <w:szCs w:val="21"/>
          <w:highlight w:val="none"/>
          <w:u w:val="none"/>
        </w:rPr>
        <w:t>。</w:t>
      </w:r>
    </w:p>
    <w:p w14:paraId="69C743B1">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由于招标工程量清单中措施项目缺项，引起措施项目发生变化的，承包人应将新增措施项目实施方案提交发包人批准后，按照本规范第10.4.1条、第10．4．2条的规定调整合同价款</w:t>
      </w:r>
      <w:r>
        <w:rPr>
          <w:rFonts w:hint="eastAsia" w:asciiTheme="majorEastAsia" w:hAnsiTheme="majorEastAsia" w:eastAsiaTheme="majorEastAsia" w:cstheme="majorEastAsia"/>
          <w:b/>
          <w:color w:val="auto"/>
          <w:kern w:val="2"/>
          <w:sz w:val="21"/>
          <w:szCs w:val="21"/>
          <w:highlight w:val="none"/>
          <w:u w:val="none"/>
        </w:rPr>
        <w:t>。</w:t>
      </w:r>
    </w:p>
    <w:p w14:paraId="2309C37C">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10.4.1.4工程量偏差</w:t>
      </w:r>
    </w:p>
    <w:p w14:paraId="49818441">
      <w:pPr>
        <w:pStyle w:val="55"/>
        <w:keepNext w:val="0"/>
        <w:pageBreakBefore w:val="0"/>
        <w:widowControl/>
        <w:kinsoku/>
        <w:wordWrap/>
        <w:overflowPunct/>
        <w:topLinePunct w:val="0"/>
        <w:bidi w:val="0"/>
        <w:spacing w:line="440" w:lineRule="exact"/>
        <w:ind w:left="0" w:leftChars="0" w:firstLine="525"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当应予计算的实际工程量与招标工程量清单出现偏差，超过l5％时</w:t>
      </w:r>
      <w:r>
        <w:rPr>
          <w:rFonts w:hint="eastAsia" w:asciiTheme="majorEastAsia" w:hAnsiTheme="majorEastAsia" w:eastAsiaTheme="majorEastAsia" w:cstheme="majorEastAsia"/>
          <w:b/>
          <w:color w:val="auto"/>
          <w:kern w:val="2"/>
          <w:sz w:val="21"/>
          <w:szCs w:val="21"/>
          <w:highlight w:val="none"/>
          <w:u w:val="single"/>
        </w:rPr>
        <w:t xml:space="preserve">  当工程量增加15％以上时，增加部分的工程量的综合单价应予调低；当工程量减少l5％以上时，减少后剩余部分的工程量的综合单价应予调高</w:t>
      </w:r>
      <w:r>
        <w:rPr>
          <w:rFonts w:hint="eastAsia" w:asciiTheme="majorEastAsia" w:hAnsiTheme="majorEastAsia" w:eastAsiaTheme="majorEastAsia" w:cstheme="majorEastAsia"/>
          <w:b/>
          <w:color w:val="auto"/>
          <w:kern w:val="2"/>
          <w:sz w:val="21"/>
          <w:szCs w:val="21"/>
          <w:highlight w:val="none"/>
          <w:u w:val="none"/>
        </w:rPr>
        <w:t>。</w:t>
      </w:r>
    </w:p>
    <w:p w14:paraId="20F6F1BB">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调整公式为：</w:t>
      </w:r>
    </w:p>
    <w:p w14:paraId="3284CF90">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1.当Q1&gt;1.15Q0时：</w:t>
      </w:r>
    </w:p>
    <w:p w14:paraId="6D6E8710">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S=1.15Q0×P0+(Q1-1.15Q0) ×P1  </w:t>
      </w:r>
    </w:p>
    <w:p w14:paraId="09488302">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2.当Q1＜0.85Q0时</w:t>
      </w:r>
      <w:r>
        <w:rPr>
          <w:rFonts w:hint="eastAsia" w:asciiTheme="majorEastAsia" w:hAnsiTheme="majorEastAsia" w:eastAsiaTheme="majorEastAsia" w:cstheme="majorEastAsia"/>
          <w:b/>
          <w:color w:val="auto"/>
          <w:kern w:val="2"/>
          <w:sz w:val="21"/>
          <w:szCs w:val="21"/>
          <w:highlight w:val="none"/>
          <w:u w:val="none"/>
        </w:rPr>
        <w:t>:</w:t>
      </w:r>
    </w:p>
    <w:p w14:paraId="63D205EB">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S=Q1×P1                       </w:t>
      </w:r>
    </w:p>
    <w:p w14:paraId="49706E62">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式中S----调整后的某一分部分项工程费结算价</w:t>
      </w:r>
      <w:r>
        <w:rPr>
          <w:rFonts w:hint="eastAsia" w:asciiTheme="majorEastAsia" w:hAnsiTheme="majorEastAsia" w:eastAsiaTheme="majorEastAsia" w:cstheme="majorEastAsia"/>
          <w:b/>
          <w:color w:val="auto"/>
          <w:kern w:val="2"/>
          <w:sz w:val="21"/>
          <w:szCs w:val="21"/>
          <w:highlight w:val="none"/>
          <w:u w:val="none"/>
        </w:rPr>
        <w:t>；</w:t>
      </w:r>
    </w:p>
    <w:p w14:paraId="2BF5FC2A">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Q1----最终完成的工程量</w:t>
      </w:r>
      <w:r>
        <w:rPr>
          <w:rFonts w:hint="eastAsia" w:asciiTheme="majorEastAsia" w:hAnsiTheme="majorEastAsia" w:eastAsiaTheme="majorEastAsia" w:cstheme="majorEastAsia"/>
          <w:b/>
          <w:color w:val="auto"/>
          <w:kern w:val="2"/>
          <w:sz w:val="21"/>
          <w:szCs w:val="21"/>
          <w:highlight w:val="none"/>
          <w:u w:val="none"/>
        </w:rPr>
        <w:t>；</w:t>
      </w:r>
    </w:p>
    <w:p w14:paraId="2C579894">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Q0---招标工程量清单列出的工程量</w:t>
      </w:r>
      <w:r>
        <w:rPr>
          <w:rFonts w:hint="eastAsia" w:asciiTheme="majorEastAsia" w:hAnsiTheme="majorEastAsia" w:eastAsiaTheme="majorEastAsia" w:cstheme="majorEastAsia"/>
          <w:b/>
          <w:color w:val="auto"/>
          <w:kern w:val="2"/>
          <w:sz w:val="21"/>
          <w:szCs w:val="21"/>
          <w:highlight w:val="none"/>
          <w:u w:val="none"/>
        </w:rPr>
        <w:t>；</w:t>
      </w:r>
    </w:p>
    <w:p w14:paraId="0CC5E0AD">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P1---按照最终完成工程量重新调整后的综合单价</w:t>
      </w:r>
    </w:p>
    <w:p w14:paraId="126DCC1D">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P0---承包人在工程量清单中填报的综合单价</w:t>
      </w:r>
      <w:r>
        <w:rPr>
          <w:rFonts w:hint="eastAsia" w:asciiTheme="majorEastAsia" w:hAnsiTheme="majorEastAsia" w:eastAsiaTheme="majorEastAsia" w:cstheme="majorEastAsia"/>
          <w:b/>
          <w:color w:val="auto"/>
          <w:kern w:val="2"/>
          <w:sz w:val="21"/>
          <w:szCs w:val="21"/>
          <w:highlight w:val="none"/>
          <w:u w:val="none"/>
        </w:rPr>
        <w:t>。</w:t>
      </w:r>
    </w:p>
    <w:p w14:paraId="05E34281">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采用上述两式的关键是确定新的综合单价，即P1。确定的方法：与招标控制价相联系，当工程量偏差项目出现承包人在工程量清单中填报的综合单价与发包人招标控制价相应清单项目的综合单价偏差超过15%时，工程量偏差项目综合单价的调整可参考以下公式</w:t>
      </w:r>
      <w:r>
        <w:rPr>
          <w:rFonts w:hint="eastAsia" w:asciiTheme="majorEastAsia" w:hAnsiTheme="majorEastAsia" w:eastAsiaTheme="majorEastAsia" w:cstheme="majorEastAsia"/>
          <w:b/>
          <w:color w:val="auto"/>
          <w:kern w:val="2"/>
          <w:sz w:val="21"/>
          <w:szCs w:val="21"/>
          <w:highlight w:val="none"/>
          <w:u w:val="none"/>
        </w:rPr>
        <w:t>：</w:t>
      </w:r>
    </w:p>
    <w:p w14:paraId="7590906F">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3.当P0＜P2 ×（1-L）×(1-15%)时，该类项目的综合单价</w:t>
      </w:r>
      <w:r>
        <w:rPr>
          <w:rFonts w:hint="eastAsia" w:asciiTheme="majorEastAsia" w:hAnsiTheme="majorEastAsia" w:eastAsiaTheme="majorEastAsia" w:cstheme="majorEastAsia"/>
          <w:b/>
          <w:color w:val="auto"/>
          <w:kern w:val="2"/>
          <w:sz w:val="21"/>
          <w:szCs w:val="21"/>
          <w:highlight w:val="none"/>
          <w:u w:val="none"/>
        </w:rPr>
        <w:t>；</w:t>
      </w:r>
    </w:p>
    <w:p w14:paraId="7527A81A">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P1按照P2×(1-L) ×(1-15%)调整 </w:t>
      </w:r>
    </w:p>
    <w:p w14:paraId="74BB3C79">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4. 当P0＞P2 ×(1+15%)时，该类项目的综合单价</w:t>
      </w:r>
      <w:r>
        <w:rPr>
          <w:rFonts w:hint="eastAsia" w:asciiTheme="majorEastAsia" w:hAnsiTheme="majorEastAsia" w:eastAsiaTheme="majorEastAsia" w:cstheme="majorEastAsia"/>
          <w:b/>
          <w:color w:val="auto"/>
          <w:kern w:val="2"/>
          <w:sz w:val="21"/>
          <w:szCs w:val="21"/>
          <w:highlight w:val="none"/>
          <w:u w:val="none"/>
        </w:rPr>
        <w:t>；</w:t>
      </w:r>
    </w:p>
    <w:p w14:paraId="1518D7B5">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P1按照P2×(1+15%)调整 </w:t>
      </w:r>
    </w:p>
    <w:p w14:paraId="36BA8CCA">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式中：P0---承包人在工程量清单中填报的综合单价</w:t>
      </w:r>
    </w:p>
    <w:p w14:paraId="3039ADCB">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      P2---发包人招标控制价相应项目的综合单价</w:t>
      </w:r>
    </w:p>
    <w:p w14:paraId="7E960BC9">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      L---承包人报价浮动率</w:t>
      </w:r>
    </w:p>
    <w:p w14:paraId="3BEBCA0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10.4.2 变更估价程序</w:t>
      </w:r>
    </w:p>
    <w:p w14:paraId="32E5F5B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关于变更执行的约定：</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600F43C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Start w:id="679" w:name="_Toc296347196"/>
      <w:bookmarkStart w:id="680" w:name="_Toc297120497"/>
      <w:bookmarkStart w:id="681" w:name="_Toc296891237"/>
      <w:bookmarkStart w:id="682" w:name="_Toc300934993"/>
      <w:bookmarkStart w:id="683" w:name="_Toc296346698"/>
      <w:bookmarkStart w:id="684" w:name="_Toc297123544"/>
      <w:bookmarkStart w:id="685" w:name="_Toc296944536"/>
      <w:bookmarkStart w:id="686" w:name="_Toc292559402"/>
      <w:bookmarkStart w:id="687" w:name="_Toc296503197"/>
      <w:bookmarkStart w:id="688" w:name="_Toc296891025"/>
      <w:bookmarkStart w:id="689" w:name="_Toc297048383"/>
      <w:bookmarkStart w:id="690" w:name="_Toc297216203"/>
      <w:bookmarkStart w:id="691" w:name="_Toc303539150"/>
      <w:bookmarkStart w:id="692" w:name="_Toc292559907"/>
      <w:bookmarkStart w:id="693" w:name="_Toc312677503"/>
      <w:bookmarkStart w:id="694" w:name="_Toc304295570"/>
      <w:bookmarkStart w:id="695" w:name="_Toc312678029"/>
      <w:r>
        <w:rPr>
          <w:rFonts w:hint="eastAsia" w:asciiTheme="majorEastAsia" w:hAnsiTheme="majorEastAsia" w:eastAsiaTheme="majorEastAsia" w:cstheme="majorEastAsia"/>
          <w:color w:val="auto"/>
          <w:kern w:val="2"/>
          <w:sz w:val="21"/>
          <w:szCs w:val="21"/>
          <w:highlight w:val="none"/>
        </w:rPr>
        <w:t>0.5承</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Start w:id="696" w:name="_Toc292559408"/>
      <w:bookmarkStart w:id="697" w:name="_Toc297120503"/>
      <w:bookmarkStart w:id="698" w:name="_Toc297123545"/>
      <w:bookmarkStart w:id="699" w:name="_Toc292559913"/>
      <w:bookmarkStart w:id="700" w:name="_Toc297216204"/>
      <w:bookmarkStart w:id="701" w:name="_Toc296891243"/>
      <w:bookmarkStart w:id="702" w:name="_Toc300934994"/>
      <w:bookmarkStart w:id="703" w:name="_Toc296503203"/>
      <w:bookmarkStart w:id="704" w:name="_Toc296347202"/>
      <w:bookmarkStart w:id="705" w:name="_Toc296891031"/>
      <w:bookmarkStart w:id="706" w:name="_Toc303539151"/>
      <w:bookmarkStart w:id="707" w:name="_Toc297048389"/>
      <w:bookmarkStart w:id="708" w:name="_Toc296346704"/>
      <w:bookmarkStart w:id="709" w:name="_Toc296944542"/>
      <w:r>
        <w:rPr>
          <w:rFonts w:hint="eastAsia" w:asciiTheme="majorEastAsia" w:hAnsiTheme="majorEastAsia" w:eastAsiaTheme="majorEastAsia" w:cstheme="majorEastAsia"/>
          <w:color w:val="auto"/>
          <w:kern w:val="2"/>
          <w:sz w:val="21"/>
          <w:szCs w:val="21"/>
          <w:highlight w:val="none"/>
        </w:rPr>
        <w:t>包人的合理化建议</w:t>
      </w:r>
    </w:p>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14:paraId="347ED8C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监理人审查承包人合理化建议的期限：</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745EA79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发包人审批承包人合理化建议的期限：</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b/>
          <w:color w:val="auto"/>
          <w:kern w:val="2"/>
          <w:sz w:val="21"/>
          <w:szCs w:val="21"/>
          <w:highlight w:val="none"/>
          <w:u w:val="none"/>
        </w:rPr>
        <w:t>。</w:t>
      </w:r>
    </w:p>
    <w:p w14:paraId="02A6ADAB">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承</w:t>
      </w:r>
      <w:bookmarkStart w:id="710" w:name="_Toc303539152"/>
      <w:bookmarkStart w:id="711" w:name="_Toc292559409"/>
      <w:bookmarkStart w:id="712" w:name="_Toc297120504"/>
      <w:bookmarkStart w:id="713" w:name="_Toc292559914"/>
      <w:bookmarkStart w:id="714" w:name="_Toc296346705"/>
      <w:bookmarkStart w:id="715" w:name="_Toc296347203"/>
      <w:bookmarkStart w:id="716" w:name="_Toc297216205"/>
      <w:bookmarkStart w:id="717" w:name="_Toc296891032"/>
      <w:bookmarkStart w:id="718" w:name="_Toc318581175"/>
      <w:bookmarkStart w:id="719" w:name="_Toc296891244"/>
      <w:bookmarkStart w:id="720" w:name="_Toc304295571"/>
      <w:bookmarkStart w:id="721" w:name="_Toc312678030"/>
      <w:bookmarkStart w:id="722" w:name="_Toc312677504"/>
      <w:bookmarkStart w:id="723" w:name="_Toc300934995"/>
      <w:bookmarkStart w:id="724" w:name="_Toc296503204"/>
      <w:bookmarkStart w:id="725" w:name="_Toc297048390"/>
      <w:bookmarkStart w:id="726" w:name="_Toc296944543"/>
      <w:bookmarkStart w:id="727" w:name="_Toc297123546"/>
      <w:r>
        <w:rPr>
          <w:rFonts w:hint="eastAsia" w:asciiTheme="majorEastAsia" w:hAnsiTheme="majorEastAsia" w:eastAsiaTheme="majorEastAsia" w:cstheme="majorEastAsia"/>
          <w:color w:val="auto"/>
          <w:kern w:val="2"/>
          <w:sz w:val="21"/>
          <w:szCs w:val="21"/>
          <w:highlight w:val="none"/>
        </w:rPr>
        <w:t>包人提出的合理化建议降低了合同价格或者提高了工程经济效益的奖励的方法和金额为：</w:t>
      </w:r>
      <w:r>
        <w:rPr>
          <w:rFonts w:hint="eastAsia" w:asciiTheme="majorEastAsia" w:hAnsiTheme="majorEastAsia" w:eastAsiaTheme="majorEastAsia" w:cstheme="majorEastAsia"/>
          <w:b/>
          <w:color w:val="auto"/>
          <w:kern w:val="2"/>
          <w:sz w:val="21"/>
          <w:szCs w:val="21"/>
          <w:highlight w:val="none"/>
          <w:u w:val="single"/>
        </w:rPr>
        <w:t>双方协商</w:t>
      </w:r>
      <w:r>
        <w:rPr>
          <w:rFonts w:hint="eastAsia" w:asciiTheme="majorEastAsia" w:hAnsiTheme="majorEastAsia" w:eastAsiaTheme="majorEastAsia" w:cstheme="majorEastAsia"/>
          <w:b/>
          <w:color w:val="auto"/>
          <w:kern w:val="2"/>
          <w:sz w:val="21"/>
          <w:szCs w:val="21"/>
          <w:highlight w:val="none"/>
          <w:u w:val="none"/>
        </w:rPr>
        <w:t>确定。</w:t>
      </w:r>
    </w:p>
    <w:p w14:paraId="181F266E">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10.6变更引起的工期调整</w:t>
      </w:r>
    </w:p>
    <w:p w14:paraId="38670A2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关于变更引起的工期调整的约定：</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u w:val="none"/>
        </w:rPr>
        <w:t>。</w:t>
      </w:r>
    </w:p>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p w14:paraId="18928932">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728" w:name="_Toc31003"/>
      <w:bookmarkStart w:id="729" w:name="_Toc28054"/>
      <w:bookmarkStart w:id="730" w:name="_Toc15836"/>
      <w:bookmarkStart w:id="731" w:name="_Toc12915"/>
      <w:bookmarkStart w:id="732" w:name="_Toc32661"/>
      <w:r>
        <w:rPr>
          <w:rFonts w:hint="eastAsia" w:asciiTheme="majorEastAsia" w:hAnsiTheme="majorEastAsia" w:eastAsiaTheme="majorEastAsia" w:cstheme="majorEastAsia"/>
          <w:color w:val="auto"/>
          <w:kern w:val="2"/>
          <w:sz w:val="21"/>
          <w:szCs w:val="21"/>
          <w:highlight w:val="none"/>
        </w:rPr>
        <w:t>1</w:t>
      </w:r>
      <w:bookmarkStart w:id="733" w:name="_Toc304295574"/>
      <w:bookmarkStart w:id="734" w:name="_Toc292559909"/>
      <w:bookmarkStart w:id="735" w:name="_Toc297120499"/>
      <w:bookmarkStart w:id="736" w:name="_Toc296503199"/>
      <w:bookmarkStart w:id="737" w:name="_Toc296347198"/>
      <w:bookmarkStart w:id="738" w:name="_Toc297048385"/>
      <w:bookmarkStart w:id="739" w:name="_Toc297123548"/>
      <w:bookmarkStart w:id="740" w:name="_Toc296944538"/>
      <w:bookmarkStart w:id="741" w:name="_Toc300934997"/>
      <w:bookmarkStart w:id="742" w:name="_Toc296891027"/>
      <w:bookmarkStart w:id="743" w:name="_Toc297216207"/>
      <w:bookmarkStart w:id="744" w:name="_Toc296346700"/>
      <w:bookmarkStart w:id="745" w:name="_Toc296891239"/>
      <w:bookmarkStart w:id="746" w:name="_Toc303539154"/>
      <w:bookmarkStart w:id="747" w:name="_Toc292559404"/>
      <w:bookmarkStart w:id="748" w:name="_Toc312677507"/>
      <w:bookmarkStart w:id="749" w:name="_Toc312678033"/>
      <w:r>
        <w:rPr>
          <w:rFonts w:hint="eastAsia" w:asciiTheme="majorEastAsia" w:hAnsiTheme="majorEastAsia" w:eastAsiaTheme="majorEastAsia" w:cstheme="majorEastAsia"/>
          <w:color w:val="auto"/>
          <w:kern w:val="2"/>
          <w:sz w:val="21"/>
          <w:szCs w:val="21"/>
          <w:highlight w:val="none"/>
        </w:rPr>
        <w:t>0.7 暂估价</w:t>
      </w:r>
      <w:bookmarkEnd w:id="728"/>
      <w:bookmarkEnd w:id="729"/>
      <w:bookmarkEnd w:id="730"/>
      <w:bookmarkEnd w:id="731"/>
      <w:bookmarkEnd w:id="732"/>
    </w:p>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p w14:paraId="1D0069D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暂</w:t>
      </w:r>
      <w:bookmarkStart w:id="750" w:name="_Toc312677508"/>
      <w:bookmarkStart w:id="751" w:name="_Toc312678034"/>
      <w:bookmarkStart w:id="752" w:name="_Toc318581176"/>
      <w:r>
        <w:rPr>
          <w:rFonts w:hint="eastAsia" w:asciiTheme="majorEastAsia" w:hAnsiTheme="majorEastAsia" w:eastAsiaTheme="majorEastAsia" w:cstheme="majorEastAsia"/>
          <w:color w:val="auto"/>
          <w:sz w:val="21"/>
          <w:szCs w:val="21"/>
          <w:highlight w:val="none"/>
        </w:rPr>
        <w:t>估价材料和工程设备的明细详见附件11：《</w:t>
      </w:r>
      <w:r>
        <w:rPr>
          <w:rFonts w:hint="eastAsia" w:asciiTheme="majorEastAsia" w:hAnsiTheme="majorEastAsia" w:eastAsiaTheme="majorEastAsia" w:cstheme="majorEastAsia"/>
          <w:color w:val="auto"/>
          <w:kern w:val="2"/>
          <w:sz w:val="21"/>
          <w:szCs w:val="21"/>
          <w:highlight w:val="none"/>
        </w:rPr>
        <w:t>暂估价一览表》</w:t>
      </w:r>
      <w:r>
        <w:rPr>
          <w:rFonts w:hint="eastAsia" w:asciiTheme="majorEastAsia" w:hAnsiTheme="majorEastAsia" w:eastAsiaTheme="majorEastAsia" w:cstheme="majorEastAsia"/>
          <w:color w:val="auto"/>
          <w:sz w:val="21"/>
          <w:szCs w:val="21"/>
          <w:highlight w:val="none"/>
        </w:rPr>
        <w:t>。</w:t>
      </w:r>
    </w:p>
    <w:bookmarkEnd w:id="750"/>
    <w:bookmarkEnd w:id="751"/>
    <w:bookmarkEnd w:id="752"/>
    <w:p w14:paraId="34B4AC7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w:t>
      </w:r>
      <w:bookmarkStart w:id="753" w:name="_Toc318581177"/>
      <w:bookmarkStart w:id="754" w:name="_Toc312677509"/>
      <w:bookmarkStart w:id="755" w:name="_Toc312678035"/>
      <w:r>
        <w:rPr>
          <w:rFonts w:hint="eastAsia" w:asciiTheme="majorEastAsia" w:hAnsiTheme="majorEastAsia" w:eastAsiaTheme="majorEastAsia" w:cstheme="majorEastAsia"/>
          <w:color w:val="auto"/>
          <w:kern w:val="2"/>
          <w:sz w:val="21"/>
          <w:szCs w:val="21"/>
          <w:highlight w:val="none"/>
        </w:rPr>
        <w:t>0.7.1 依法必须招标的暂估价项目</w:t>
      </w:r>
    </w:p>
    <w:bookmarkEnd w:id="753"/>
    <w:bookmarkEnd w:id="754"/>
    <w:bookmarkEnd w:id="755"/>
    <w:p w14:paraId="3B38D74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对于依法必须招标的暂估价项目的确认和批准采取第</w:t>
      </w:r>
      <w:r>
        <w:rPr>
          <w:rFonts w:hint="eastAsia" w:asciiTheme="majorEastAsia" w:hAnsiTheme="majorEastAsia" w:eastAsiaTheme="majorEastAsia" w:cstheme="majorEastAsia"/>
          <w:color w:val="auto"/>
          <w:kern w:val="2"/>
          <w:sz w:val="21"/>
          <w:szCs w:val="21"/>
          <w:highlight w:val="none"/>
          <w:u w:val="single"/>
        </w:rPr>
        <w:t xml:space="preserve"> 通用条款10.7.1第2种</w:t>
      </w:r>
      <w:r>
        <w:rPr>
          <w:rFonts w:hint="eastAsia" w:asciiTheme="majorEastAsia" w:hAnsiTheme="majorEastAsia" w:eastAsiaTheme="majorEastAsia" w:cstheme="majorEastAsia"/>
          <w:color w:val="auto"/>
          <w:kern w:val="2"/>
          <w:sz w:val="21"/>
          <w:szCs w:val="21"/>
          <w:highlight w:val="none"/>
        </w:rPr>
        <w:t>种方式确定。</w:t>
      </w:r>
    </w:p>
    <w:p w14:paraId="584B785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10.7.2 不属于依法必须招标的暂估价项目</w:t>
      </w:r>
    </w:p>
    <w:p w14:paraId="4D06AB6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对于不属于依法必须招标的暂估价项目的确认和批准采取第</w:t>
      </w:r>
      <w:r>
        <w:rPr>
          <w:rFonts w:hint="eastAsia" w:asciiTheme="majorEastAsia" w:hAnsiTheme="majorEastAsia" w:eastAsiaTheme="majorEastAsia" w:cstheme="majorEastAsia"/>
          <w:color w:val="auto"/>
          <w:kern w:val="2"/>
          <w:sz w:val="21"/>
          <w:szCs w:val="21"/>
          <w:highlight w:val="none"/>
          <w:u w:val="single"/>
        </w:rPr>
        <w:t>通用条款10.7.2条第1种</w:t>
      </w:r>
      <w:r>
        <w:rPr>
          <w:rFonts w:hint="eastAsia" w:asciiTheme="majorEastAsia" w:hAnsiTheme="majorEastAsia" w:eastAsiaTheme="majorEastAsia" w:cstheme="majorEastAsia"/>
          <w:color w:val="auto"/>
          <w:kern w:val="2"/>
          <w:sz w:val="21"/>
          <w:szCs w:val="21"/>
          <w:highlight w:val="none"/>
          <w:u w:val="none"/>
        </w:rPr>
        <w:t>种</w:t>
      </w:r>
      <w:r>
        <w:rPr>
          <w:rFonts w:hint="eastAsia" w:asciiTheme="majorEastAsia" w:hAnsiTheme="majorEastAsia" w:eastAsiaTheme="majorEastAsia" w:cstheme="majorEastAsia"/>
          <w:color w:val="auto"/>
          <w:kern w:val="2"/>
          <w:sz w:val="21"/>
          <w:szCs w:val="21"/>
          <w:highlight w:val="none"/>
        </w:rPr>
        <w:t>方式确定。</w:t>
      </w:r>
    </w:p>
    <w:p w14:paraId="4DDDE5D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第3种方式：</w:t>
      </w:r>
      <w:r>
        <w:rPr>
          <w:rFonts w:hint="eastAsia" w:asciiTheme="majorEastAsia" w:hAnsiTheme="majorEastAsia" w:eastAsiaTheme="majorEastAsia" w:cstheme="majorEastAsia"/>
          <w:color w:val="auto"/>
          <w:sz w:val="21"/>
          <w:szCs w:val="21"/>
          <w:highlight w:val="none"/>
        </w:rPr>
        <w:t>承包人直接实施的暂估价项目</w:t>
      </w:r>
    </w:p>
    <w:p w14:paraId="449AE163">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承包人直接实施的暂估价项目的约定：</w:t>
      </w:r>
      <w:r>
        <w:rPr>
          <w:rFonts w:hint="eastAsia" w:asciiTheme="majorEastAsia" w:hAnsiTheme="majorEastAsia" w:eastAsiaTheme="majorEastAsia" w:cstheme="majorEastAsia"/>
          <w:color w:val="auto"/>
          <w:kern w:val="2"/>
          <w:sz w:val="21"/>
          <w:szCs w:val="21"/>
          <w:highlight w:val="none"/>
          <w:u w:val="single"/>
        </w:rPr>
        <w:t xml:space="preserve">无 </w:t>
      </w:r>
      <w:r>
        <w:rPr>
          <w:rFonts w:hint="eastAsia" w:asciiTheme="majorEastAsia" w:hAnsiTheme="majorEastAsia" w:eastAsiaTheme="majorEastAsia" w:cstheme="majorEastAsia"/>
          <w:color w:val="auto"/>
          <w:kern w:val="2"/>
          <w:sz w:val="21"/>
          <w:szCs w:val="21"/>
          <w:highlight w:val="none"/>
        </w:rPr>
        <w:t>。</w:t>
      </w:r>
    </w:p>
    <w:p w14:paraId="532A30D4">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10.8 暂列金额</w:t>
      </w:r>
    </w:p>
    <w:p w14:paraId="377A0CE6">
      <w:pPr>
        <w:pStyle w:val="55"/>
        <w:keepNext w:val="0"/>
        <w:pageBreakBefore w:val="0"/>
        <w:widowControl/>
        <w:kinsoku/>
        <w:wordWrap/>
        <w:overflowPunct/>
        <w:topLinePunct w:val="0"/>
        <w:autoSpaceDE w:val="0"/>
        <w:autoSpaceDN w:val="0"/>
        <w:bidi w:val="0"/>
        <w:adjustRightInd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bookmarkStart w:id="756" w:name="_Toc351203643"/>
      <w:r>
        <w:rPr>
          <w:rFonts w:hint="eastAsia" w:asciiTheme="majorEastAsia" w:hAnsiTheme="majorEastAsia" w:eastAsiaTheme="majorEastAsia" w:cstheme="majorEastAsia"/>
          <w:color w:val="auto"/>
          <w:sz w:val="21"/>
          <w:szCs w:val="21"/>
          <w:highlight w:val="none"/>
        </w:rPr>
        <w:t>合同当事人关于暂列金额使用的约定：</w:t>
      </w:r>
      <w:r>
        <w:rPr>
          <w:rFonts w:hint="eastAsia" w:asciiTheme="majorEastAsia" w:hAnsiTheme="majorEastAsia" w:eastAsiaTheme="majorEastAsia" w:cstheme="majorEastAsia"/>
          <w:b/>
          <w:color w:val="auto"/>
          <w:kern w:val="2"/>
          <w:sz w:val="21"/>
          <w:szCs w:val="21"/>
          <w:highlight w:val="none"/>
          <w:u w:val="single"/>
        </w:rPr>
        <w:t>暂列金额只能按照监理人的指示使用，以实际发生的工程量及承包人报价按实结算，其工程价款以业主方委托的造价部门审定的价格为最终的工程结算价。并对合同价格进行相应调整,剩余部分扣回给发包人</w:t>
      </w:r>
      <w:r>
        <w:rPr>
          <w:rFonts w:hint="eastAsia" w:asciiTheme="majorEastAsia" w:hAnsiTheme="majorEastAsia" w:eastAsiaTheme="majorEastAsia" w:cstheme="majorEastAsia"/>
          <w:color w:val="auto"/>
          <w:sz w:val="21"/>
          <w:szCs w:val="21"/>
          <w:highlight w:val="none"/>
        </w:rPr>
        <w:t>。</w:t>
      </w:r>
    </w:p>
    <w:p w14:paraId="3CC508D6">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10.9计日工</w:t>
      </w:r>
    </w:p>
    <w:p w14:paraId="0E672DB4">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发包人通知承包人以计日工方式实施的零星工作，承包人应予执行</w:t>
      </w:r>
      <w:r>
        <w:rPr>
          <w:rFonts w:hint="eastAsia" w:asciiTheme="majorEastAsia" w:hAnsiTheme="majorEastAsia" w:eastAsiaTheme="majorEastAsia" w:cstheme="majorEastAsia"/>
          <w:b/>
          <w:color w:val="auto"/>
          <w:kern w:val="2"/>
          <w:sz w:val="21"/>
          <w:szCs w:val="21"/>
          <w:highlight w:val="none"/>
          <w:u w:val="none"/>
        </w:rPr>
        <w:t>。</w:t>
      </w:r>
    </w:p>
    <w:p w14:paraId="6BB00F06">
      <w:pPr>
        <w:pStyle w:val="55"/>
        <w:keepNext w:val="0"/>
        <w:pageBreakBefore w:val="0"/>
        <w:widowControl/>
        <w:kinsoku/>
        <w:wordWrap/>
        <w:overflowPunct/>
        <w:topLinePunct w:val="0"/>
        <w:bidi w:val="0"/>
        <w:spacing w:line="440" w:lineRule="exact"/>
        <w:ind w:left="0" w:leftChars="0" w:firstLine="527"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采用计日工计价的任何一项变更工作，在该项变更的实施过程中，承包人应按合同约定提交下列报表和有关凭证送发包人复核</w:t>
      </w:r>
      <w:r>
        <w:rPr>
          <w:rFonts w:hint="eastAsia" w:asciiTheme="majorEastAsia" w:hAnsiTheme="majorEastAsia" w:eastAsiaTheme="majorEastAsia" w:cstheme="majorEastAsia"/>
          <w:b/>
          <w:color w:val="auto"/>
          <w:kern w:val="2"/>
          <w:sz w:val="21"/>
          <w:szCs w:val="21"/>
          <w:highlight w:val="none"/>
          <w:u w:val="none"/>
        </w:rPr>
        <w:t>：</w:t>
      </w:r>
    </w:p>
    <w:p w14:paraId="14CE109C">
      <w:pPr>
        <w:pStyle w:val="55"/>
        <w:keepNext w:val="0"/>
        <w:pageBreakBefore w:val="0"/>
        <w:widowControl/>
        <w:kinsoku/>
        <w:wordWrap/>
        <w:overflowPunct/>
        <w:topLinePunct w:val="0"/>
        <w:bidi w:val="0"/>
        <w:spacing w:line="440" w:lineRule="exact"/>
        <w:ind w:left="0" w:leftChars="0" w:firstLine="525" w:firstLineChars="2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 xml:space="preserve">    </w:t>
      </w:r>
      <w:r>
        <w:rPr>
          <w:rFonts w:hint="eastAsia" w:asciiTheme="majorEastAsia" w:hAnsiTheme="majorEastAsia" w:eastAsiaTheme="majorEastAsia" w:cstheme="majorEastAsia"/>
          <w:b/>
          <w:color w:val="auto"/>
          <w:kern w:val="2"/>
          <w:sz w:val="21"/>
          <w:szCs w:val="21"/>
          <w:highlight w:val="none"/>
          <w:u w:val="single"/>
        </w:rPr>
        <w:t>1、工作名称、内容和数量</w:t>
      </w:r>
      <w:r>
        <w:rPr>
          <w:rFonts w:hint="eastAsia" w:asciiTheme="majorEastAsia" w:hAnsiTheme="majorEastAsia" w:eastAsiaTheme="majorEastAsia" w:cstheme="majorEastAsia"/>
          <w:b/>
          <w:color w:val="auto"/>
          <w:kern w:val="2"/>
          <w:sz w:val="21"/>
          <w:szCs w:val="21"/>
          <w:highlight w:val="none"/>
          <w:u w:val="none"/>
        </w:rPr>
        <w:t>；</w:t>
      </w:r>
    </w:p>
    <w:p w14:paraId="439B69C2">
      <w:pPr>
        <w:pStyle w:val="55"/>
        <w:keepNext w:val="0"/>
        <w:pageBreakBefore w:val="0"/>
        <w:widowControl/>
        <w:kinsoku/>
        <w:wordWrap/>
        <w:overflowPunct/>
        <w:topLinePunct w:val="0"/>
        <w:bidi w:val="0"/>
        <w:spacing w:line="440" w:lineRule="exact"/>
        <w:ind w:left="0" w:leftChars="0" w:firstLine="949" w:firstLineChars="4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2、投入该工作所有人员的姓名、工种、级别和耗用工时</w:t>
      </w:r>
      <w:r>
        <w:rPr>
          <w:rFonts w:hint="eastAsia" w:asciiTheme="majorEastAsia" w:hAnsiTheme="majorEastAsia" w:eastAsiaTheme="majorEastAsia" w:cstheme="majorEastAsia"/>
          <w:b/>
          <w:color w:val="auto"/>
          <w:kern w:val="2"/>
          <w:sz w:val="21"/>
          <w:szCs w:val="21"/>
          <w:highlight w:val="none"/>
          <w:u w:val="none"/>
        </w:rPr>
        <w:t>；</w:t>
      </w:r>
    </w:p>
    <w:p w14:paraId="3C483922">
      <w:pPr>
        <w:pStyle w:val="55"/>
        <w:keepNext w:val="0"/>
        <w:pageBreakBefore w:val="0"/>
        <w:widowControl/>
        <w:kinsoku/>
        <w:wordWrap/>
        <w:overflowPunct/>
        <w:topLinePunct w:val="0"/>
        <w:bidi w:val="0"/>
        <w:spacing w:line="440" w:lineRule="exact"/>
        <w:ind w:left="0" w:leftChars="0" w:firstLine="949" w:firstLineChars="4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3、投入该工作的材料名称、类别和数量</w:t>
      </w:r>
      <w:r>
        <w:rPr>
          <w:rFonts w:hint="eastAsia" w:asciiTheme="majorEastAsia" w:hAnsiTheme="majorEastAsia" w:eastAsiaTheme="majorEastAsia" w:cstheme="majorEastAsia"/>
          <w:b/>
          <w:color w:val="auto"/>
          <w:kern w:val="2"/>
          <w:sz w:val="21"/>
          <w:szCs w:val="21"/>
          <w:highlight w:val="none"/>
          <w:u w:val="none"/>
        </w:rPr>
        <w:t>；</w:t>
      </w:r>
    </w:p>
    <w:p w14:paraId="467C008D">
      <w:pPr>
        <w:pStyle w:val="55"/>
        <w:keepNext w:val="0"/>
        <w:pageBreakBefore w:val="0"/>
        <w:widowControl/>
        <w:kinsoku/>
        <w:wordWrap/>
        <w:overflowPunct/>
        <w:topLinePunct w:val="0"/>
        <w:bidi w:val="0"/>
        <w:spacing w:line="440" w:lineRule="exact"/>
        <w:ind w:left="0" w:leftChars="0" w:firstLine="949" w:firstLineChars="4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4、投入该工作的施工设备型号、台数和耗用台时</w:t>
      </w:r>
      <w:r>
        <w:rPr>
          <w:rFonts w:hint="eastAsia" w:asciiTheme="majorEastAsia" w:hAnsiTheme="majorEastAsia" w:eastAsiaTheme="majorEastAsia" w:cstheme="majorEastAsia"/>
          <w:b/>
          <w:color w:val="auto"/>
          <w:kern w:val="2"/>
          <w:sz w:val="21"/>
          <w:szCs w:val="21"/>
          <w:highlight w:val="none"/>
          <w:u w:val="none"/>
        </w:rPr>
        <w:t>：</w:t>
      </w:r>
    </w:p>
    <w:p w14:paraId="52F212E2">
      <w:pPr>
        <w:pStyle w:val="55"/>
        <w:keepNext w:val="0"/>
        <w:pageBreakBefore w:val="0"/>
        <w:widowControl/>
        <w:kinsoku/>
        <w:wordWrap/>
        <w:overflowPunct/>
        <w:topLinePunct w:val="0"/>
        <w:bidi w:val="0"/>
        <w:spacing w:line="440" w:lineRule="exact"/>
        <w:ind w:left="0" w:leftChars="0" w:firstLine="949" w:firstLineChars="45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5、发包人要求提交的其他资料和凭证</w:t>
      </w:r>
      <w:r>
        <w:rPr>
          <w:rFonts w:hint="eastAsia" w:asciiTheme="majorEastAsia" w:hAnsiTheme="majorEastAsia" w:eastAsiaTheme="majorEastAsia" w:cstheme="majorEastAsia"/>
          <w:b/>
          <w:color w:val="auto"/>
          <w:kern w:val="2"/>
          <w:sz w:val="21"/>
          <w:szCs w:val="21"/>
          <w:highlight w:val="none"/>
          <w:u w:val="none"/>
        </w:rPr>
        <w:t>。</w:t>
      </w:r>
    </w:p>
    <w:p w14:paraId="79F50938">
      <w:pPr>
        <w:pStyle w:val="55"/>
        <w:keepNext w:val="0"/>
        <w:pageBreakBefore w:val="0"/>
        <w:widowControl/>
        <w:kinsoku/>
        <w:wordWrap/>
        <w:overflowPunct/>
        <w:topLinePunct w:val="0"/>
        <w:autoSpaceDE w:val="0"/>
        <w:autoSpaceDN w:val="0"/>
        <w:bidi w:val="0"/>
        <w:spacing w:line="440" w:lineRule="exact"/>
        <w:ind w:left="0" w:leftChars="0" w:firstLine="632" w:firstLineChars="300"/>
        <w:textAlignment w:val="auto"/>
        <w:rPr>
          <w:rFonts w:hint="eastAsia" w:asciiTheme="majorEastAsia" w:hAnsiTheme="majorEastAsia" w:eastAsiaTheme="majorEastAsia" w:cstheme="majorEastAsia"/>
          <w:color w:val="auto"/>
          <w:spacing w:val="1"/>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承包人应在该项工作实施结束后的24小时内向发包人提交有计日工记录汇总的现场签证报告一式三份。发包人在收到承包人提交现场签证报告后的2天内予以确认并将其中一份返还给承包人，作为计日工计价和支付的依据。发包人逾期未确认也未提出修改意见的，应视为承包人提交的现场签证报告已被发包人认可</w:t>
      </w:r>
      <w:r>
        <w:rPr>
          <w:rFonts w:hint="eastAsia" w:asciiTheme="majorEastAsia" w:hAnsiTheme="majorEastAsia" w:eastAsiaTheme="majorEastAsia" w:cstheme="majorEastAsia"/>
          <w:color w:val="auto"/>
          <w:kern w:val="2"/>
          <w:sz w:val="21"/>
          <w:szCs w:val="21"/>
          <w:highlight w:val="none"/>
        </w:rPr>
        <w:t>。</w:t>
      </w:r>
    </w:p>
    <w:p w14:paraId="261AF950">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计日工项目实施结束后，承包人应按照确认的计日工现场签证报告，核实该类项目的工程数量，并应根据核实的工程数量和承包人已标价工程量清单中的计日工单价计算，提出应付价款；每个支付期末，承包人应按照本规范进度款支付的规定向发包人提交本期间所有计日工记录的签证汇总表，并应说明本期间自己认为有权得到的计日工金额，调整合同价款，列入进度款支付</w:t>
      </w:r>
      <w:r>
        <w:rPr>
          <w:rFonts w:hint="eastAsia" w:asciiTheme="majorEastAsia" w:hAnsiTheme="majorEastAsia" w:eastAsiaTheme="majorEastAsia" w:cstheme="majorEastAsia"/>
          <w:b/>
          <w:color w:val="auto"/>
          <w:kern w:val="2"/>
          <w:sz w:val="21"/>
          <w:szCs w:val="21"/>
          <w:highlight w:val="none"/>
        </w:rPr>
        <w:t>。</w:t>
      </w:r>
    </w:p>
    <w:p w14:paraId="5007B11D">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 价格调整</w:t>
      </w:r>
      <w:bookmarkEnd w:id="756"/>
    </w:p>
    <w:p w14:paraId="30F6AF3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757" w:name="_Toc292559911"/>
      <w:bookmarkStart w:id="758" w:name="_Toc296891241"/>
      <w:bookmarkStart w:id="759" w:name="_Toc297216209"/>
      <w:bookmarkStart w:id="760" w:name="_Toc296503201"/>
      <w:bookmarkStart w:id="761" w:name="_Toc297120501"/>
      <w:bookmarkStart w:id="762" w:name="_Toc297123550"/>
      <w:bookmarkStart w:id="763" w:name="_Toc304295577"/>
      <w:bookmarkStart w:id="764" w:name="_Toc303539157"/>
      <w:bookmarkStart w:id="765" w:name="_Toc296944540"/>
      <w:bookmarkStart w:id="766" w:name="_Toc300935000"/>
      <w:bookmarkStart w:id="767" w:name="_Toc292559406"/>
      <w:bookmarkStart w:id="768" w:name="_Toc312678039"/>
      <w:bookmarkStart w:id="769" w:name="_Toc297048387"/>
      <w:bookmarkStart w:id="770" w:name="_Toc296891029"/>
      <w:bookmarkStart w:id="771" w:name="_Toc296347200"/>
      <w:bookmarkStart w:id="772" w:name="_Toc296346702"/>
      <w:r>
        <w:rPr>
          <w:rFonts w:hint="eastAsia" w:asciiTheme="majorEastAsia" w:hAnsiTheme="majorEastAsia" w:eastAsiaTheme="majorEastAsia" w:cstheme="majorEastAsia"/>
          <w:color w:val="auto"/>
          <w:kern w:val="2"/>
          <w:sz w:val="21"/>
          <w:szCs w:val="21"/>
          <w:highlight w:val="none"/>
        </w:rPr>
        <w:t>11.1 市场价格波动引起的调整</w:t>
      </w:r>
    </w:p>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6F8DE4F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市场价格波动是否调整合同价格的约定：</w:t>
      </w:r>
      <w:r>
        <w:rPr>
          <w:rFonts w:hint="eastAsia" w:asciiTheme="majorEastAsia" w:hAnsiTheme="majorEastAsia" w:eastAsiaTheme="majorEastAsia" w:cstheme="majorEastAsia"/>
          <w:b/>
          <w:color w:val="auto"/>
          <w:kern w:val="2"/>
          <w:sz w:val="21"/>
          <w:szCs w:val="21"/>
          <w:highlight w:val="none"/>
          <w:u w:val="single"/>
        </w:rPr>
        <w:t>调整</w:t>
      </w:r>
      <w:r>
        <w:rPr>
          <w:rFonts w:hint="eastAsia" w:asciiTheme="majorEastAsia" w:hAnsiTheme="majorEastAsia" w:eastAsiaTheme="majorEastAsia" w:cstheme="majorEastAsia"/>
          <w:color w:val="auto"/>
          <w:kern w:val="2"/>
          <w:sz w:val="21"/>
          <w:szCs w:val="21"/>
          <w:highlight w:val="none"/>
        </w:rPr>
        <w:t>。</w:t>
      </w:r>
    </w:p>
    <w:p w14:paraId="19DC415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因市场价格波动调整合同价格，采用以下第</w:t>
      </w:r>
      <w:r>
        <w:rPr>
          <w:rFonts w:hint="eastAsia" w:asciiTheme="majorEastAsia" w:hAnsiTheme="majorEastAsia" w:eastAsiaTheme="majorEastAsia" w:cstheme="majorEastAsia"/>
          <w:color w:val="auto"/>
          <w:kern w:val="2"/>
          <w:sz w:val="21"/>
          <w:szCs w:val="21"/>
          <w:highlight w:val="none"/>
          <w:u w:val="single"/>
        </w:rPr>
        <w:t xml:space="preserve"> 2 </w:t>
      </w:r>
      <w:r>
        <w:rPr>
          <w:rFonts w:hint="eastAsia" w:asciiTheme="majorEastAsia" w:hAnsiTheme="majorEastAsia" w:eastAsiaTheme="majorEastAsia" w:cstheme="majorEastAsia"/>
          <w:color w:val="auto"/>
          <w:kern w:val="2"/>
          <w:sz w:val="21"/>
          <w:szCs w:val="21"/>
          <w:highlight w:val="none"/>
        </w:rPr>
        <w:t>种方式对合同价格进行调整：</w:t>
      </w:r>
    </w:p>
    <w:p w14:paraId="1AB8A10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第1种方式：采用价格指数进行价格调整。</w:t>
      </w:r>
    </w:p>
    <w:p w14:paraId="210B1D0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关于各可调因子、定值和变值权重，以及基本价格指数及其来源的约定：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 xml:space="preserve">；  </w:t>
      </w:r>
    </w:p>
    <w:p w14:paraId="2FB48A0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第2种方式：采用造价信息进行价格调整。</w:t>
      </w:r>
    </w:p>
    <w:p w14:paraId="6AFE0D5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（2）关于基准价格的约定：</w:t>
      </w:r>
      <w:r>
        <w:rPr>
          <w:rFonts w:hint="eastAsia" w:asciiTheme="majorEastAsia" w:hAnsiTheme="majorEastAsia" w:eastAsiaTheme="majorEastAsia" w:cstheme="majorEastAsia"/>
          <w:b/>
          <w:color w:val="auto"/>
          <w:sz w:val="21"/>
          <w:szCs w:val="21"/>
          <w:highlight w:val="none"/>
          <w:u w:val="single"/>
        </w:rPr>
        <w:t>基准价为招标控制价的《云南德宏建筑经济信息》同期</w:t>
      </w:r>
      <w:r>
        <w:rPr>
          <w:rFonts w:hint="eastAsia" w:asciiTheme="majorEastAsia" w:hAnsiTheme="majorEastAsia" w:eastAsiaTheme="majorEastAsia" w:cstheme="majorEastAsia"/>
          <w:b/>
          <w:color w:val="auto"/>
          <w:kern w:val="2"/>
          <w:sz w:val="21"/>
          <w:szCs w:val="21"/>
          <w:highlight w:val="none"/>
          <w:u w:val="single"/>
        </w:rPr>
        <w:t>瑞丽市材料价格信息</w:t>
      </w:r>
      <w:r>
        <w:rPr>
          <w:rFonts w:hint="eastAsia" w:asciiTheme="majorEastAsia" w:hAnsiTheme="majorEastAsia" w:eastAsiaTheme="majorEastAsia" w:cstheme="majorEastAsia"/>
          <w:color w:val="auto"/>
          <w:kern w:val="2"/>
          <w:sz w:val="21"/>
          <w:szCs w:val="21"/>
          <w:highlight w:val="none"/>
        </w:rPr>
        <w:t>。</w:t>
      </w:r>
    </w:p>
    <w:p w14:paraId="07D54B0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专用合同条款①承包人在已标价工程量清单或预算书中载明的材料单价低于基准价格的：专用合同条款合同履行期间材料单价涨幅以基准价格为基础超过</w:t>
      </w:r>
      <w:r>
        <w:rPr>
          <w:rFonts w:hint="eastAsia" w:asciiTheme="majorEastAsia" w:hAnsiTheme="majorEastAsia" w:eastAsiaTheme="majorEastAsia" w:cstheme="majorEastAsia"/>
          <w:color w:val="auto"/>
          <w:kern w:val="2"/>
          <w:sz w:val="21"/>
          <w:szCs w:val="21"/>
          <w:highlight w:val="none"/>
          <w:u w:val="single"/>
        </w:rPr>
        <w:t>5</w:t>
      </w:r>
      <w:r>
        <w:rPr>
          <w:rFonts w:hint="eastAsia" w:asciiTheme="majorEastAsia" w:hAnsiTheme="majorEastAsia" w:eastAsiaTheme="majorEastAsia" w:cstheme="majorEastAsia"/>
          <w:color w:val="auto"/>
          <w:kern w:val="2"/>
          <w:sz w:val="21"/>
          <w:szCs w:val="21"/>
          <w:highlight w:val="none"/>
        </w:rPr>
        <w:t>%时，或材料单价跌幅以已标价工程量清单或预算书中载明材料单价为基础超过</w:t>
      </w:r>
      <w:r>
        <w:rPr>
          <w:rFonts w:hint="eastAsia" w:asciiTheme="majorEastAsia" w:hAnsiTheme="majorEastAsia" w:eastAsiaTheme="majorEastAsia" w:cstheme="majorEastAsia"/>
          <w:color w:val="auto"/>
          <w:kern w:val="2"/>
          <w:sz w:val="21"/>
          <w:szCs w:val="21"/>
          <w:highlight w:val="none"/>
          <w:u w:val="single"/>
        </w:rPr>
        <w:t>5</w:t>
      </w:r>
      <w:r>
        <w:rPr>
          <w:rFonts w:hint="eastAsia" w:asciiTheme="majorEastAsia" w:hAnsiTheme="majorEastAsia" w:eastAsiaTheme="majorEastAsia" w:cstheme="majorEastAsia"/>
          <w:color w:val="auto"/>
          <w:kern w:val="2"/>
          <w:sz w:val="21"/>
          <w:szCs w:val="21"/>
          <w:highlight w:val="none"/>
        </w:rPr>
        <w:t>%时，其超过部分据实调整。</w:t>
      </w:r>
    </w:p>
    <w:p w14:paraId="4F4FA7B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②承包人在已标价工程量清单或预算书中载明的材料单价高于基准价格的：专用合同条款合同履行期间材料单价跌幅以基准价格为基础超过</w:t>
      </w:r>
      <w:r>
        <w:rPr>
          <w:rFonts w:hint="eastAsia" w:asciiTheme="majorEastAsia" w:hAnsiTheme="majorEastAsia" w:eastAsiaTheme="majorEastAsia" w:cstheme="majorEastAsia"/>
          <w:color w:val="auto"/>
          <w:kern w:val="2"/>
          <w:sz w:val="21"/>
          <w:szCs w:val="21"/>
          <w:highlight w:val="none"/>
          <w:u w:val="single"/>
        </w:rPr>
        <w:t xml:space="preserve"> 5</w:t>
      </w:r>
      <w:r>
        <w:rPr>
          <w:rFonts w:hint="eastAsia" w:asciiTheme="majorEastAsia" w:hAnsiTheme="majorEastAsia" w:eastAsiaTheme="majorEastAsia" w:cstheme="majorEastAsia"/>
          <w:color w:val="auto"/>
          <w:kern w:val="2"/>
          <w:sz w:val="21"/>
          <w:szCs w:val="21"/>
          <w:highlight w:val="none"/>
        </w:rPr>
        <w:t>%时，材料单价涨幅以已标价工程量清单或预算书中载明材料单价为基础超过</w:t>
      </w:r>
      <w:r>
        <w:rPr>
          <w:rFonts w:hint="eastAsia" w:asciiTheme="majorEastAsia" w:hAnsiTheme="majorEastAsia" w:eastAsiaTheme="majorEastAsia" w:cstheme="majorEastAsia"/>
          <w:color w:val="auto"/>
          <w:kern w:val="2"/>
          <w:sz w:val="21"/>
          <w:szCs w:val="21"/>
          <w:highlight w:val="none"/>
          <w:u w:val="single"/>
        </w:rPr>
        <w:t xml:space="preserve"> 5 </w:t>
      </w:r>
      <w:r>
        <w:rPr>
          <w:rFonts w:hint="eastAsia" w:asciiTheme="majorEastAsia" w:hAnsiTheme="majorEastAsia" w:eastAsiaTheme="majorEastAsia" w:cstheme="majorEastAsia"/>
          <w:color w:val="auto"/>
          <w:kern w:val="2"/>
          <w:sz w:val="21"/>
          <w:szCs w:val="21"/>
          <w:highlight w:val="none"/>
        </w:rPr>
        <w:t>%时，其超过部分据实调整。</w:t>
      </w:r>
    </w:p>
    <w:p w14:paraId="60EB761E">
      <w:pPr>
        <w:pStyle w:val="55"/>
        <w:keepNext w:val="0"/>
        <w:pageBreakBefore w:val="0"/>
        <w:widowControl/>
        <w:kinsoku/>
        <w:wordWrap/>
        <w:overflowPunct/>
        <w:topLinePunct w:val="0"/>
        <w:bidi w:val="0"/>
        <w:spacing w:line="440" w:lineRule="exact"/>
        <w:ind w:left="0" w:leftChars="0" w:firstLine="645"/>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③承包人在已标价工程量清单或预算书中载明的材料单价等于基准单价的：专用合同条款合同履行期间材料单价涨跌幅以基准单价为基础超过±</w:t>
      </w:r>
      <w:r>
        <w:rPr>
          <w:rFonts w:hint="eastAsia" w:asciiTheme="majorEastAsia" w:hAnsiTheme="majorEastAsia" w:eastAsiaTheme="majorEastAsia" w:cstheme="majorEastAsia"/>
          <w:color w:val="auto"/>
          <w:kern w:val="2"/>
          <w:sz w:val="21"/>
          <w:szCs w:val="21"/>
          <w:highlight w:val="none"/>
          <w:u w:val="single"/>
        </w:rPr>
        <w:t xml:space="preserve"> 5 </w:t>
      </w:r>
      <w:r>
        <w:rPr>
          <w:rFonts w:hint="eastAsia" w:asciiTheme="majorEastAsia" w:hAnsiTheme="majorEastAsia" w:eastAsiaTheme="majorEastAsia" w:cstheme="majorEastAsia"/>
          <w:color w:val="auto"/>
          <w:kern w:val="2"/>
          <w:sz w:val="21"/>
          <w:szCs w:val="21"/>
          <w:highlight w:val="none"/>
        </w:rPr>
        <w:t>%时，其超过部分据实调整。</w:t>
      </w:r>
    </w:p>
    <w:p w14:paraId="517ED529">
      <w:pPr>
        <w:pStyle w:val="55"/>
        <w:keepNext w:val="0"/>
        <w:pageBreakBefore w:val="0"/>
        <w:widowControl/>
        <w:kinsoku/>
        <w:wordWrap/>
        <w:overflowPunct/>
        <w:topLinePunct w:val="0"/>
        <w:bidi w:val="0"/>
        <w:spacing w:line="440" w:lineRule="exact"/>
        <w:ind w:left="0" w:leftChars="0" w:firstLine="645"/>
        <w:jc w:val="left"/>
        <w:textAlignment w:val="auto"/>
        <w:rPr>
          <w:rFonts w:hint="eastAsia" w:asciiTheme="majorEastAsia" w:hAnsiTheme="majorEastAsia" w:eastAsiaTheme="majorEastAsia" w:cstheme="majorEastAsia"/>
          <w:color w:val="auto"/>
          <w:kern w:val="2"/>
          <w:sz w:val="21"/>
          <w:szCs w:val="21"/>
          <w:highlight w:val="none"/>
          <w:lang w:eastAsia="zh-CN"/>
        </w:rPr>
      </w:pPr>
      <w:r>
        <w:rPr>
          <w:rFonts w:hint="eastAsia" w:asciiTheme="majorEastAsia" w:hAnsiTheme="majorEastAsia" w:eastAsiaTheme="majorEastAsia" w:cstheme="majorEastAsia"/>
          <w:color w:val="auto"/>
          <w:kern w:val="2"/>
          <w:sz w:val="21"/>
          <w:szCs w:val="21"/>
          <w:highlight w:val="none"/>
        </w:rPr>
        <w:t>承包人在已标价工程量清单或预算书中载明的材料可调价的为：</w:t>
      </w:r>
      <w:r>
        <w:rPr>
          <w:rFonts w:hint="eastAsia" w:asciiTheme="majorEastAsia" w:hAnsiTheme="majorEastAsia" w:eastAsiaTheme="majorEastAsia" w:cstheme="majorEastAsia"/>
          <w:b/>
          <w:color w:val="auto"/>
          <w:kern w:val="2"/>
          <w:sz w:val="21"/>
          <w:szCs w:val="21"/>
          <w:highlight w:val="none"/>
          <w:u w:val="single"/>
          <w:lang w:val="en-US" w:eastAsia="zh-CN"/>
        </w:rPr>
        <w:t xml:space="preserve"> 柴油、汽油 </w:t>
      </w:r>
      <w:r>
        <w:rPr>
          <w:rFonts w:hint="eastAsia" w:asciiTheme="majorEastAsia" w:hAnsiTheme="majorEastAsia" w:eastAsiaTheme="majorEastAsia" w:cstheme="majorEastAsia"/>
          <w:b/>
          <w:color w:val="auto"/>
          <w:kern w:val="2"/>
          <w:sz w:val="21"/>
          <w:szCs w:val="21"/>
          <w:highlight w:val="none"/>
          <w:u w:val="none"/>
          <w:lang w:eastAsia="zh-CN"/>
        </w:rPr>
        <w:t>。</w:t>
      </w:r>
    </w:p>
    <w:p w14:paraId="04753E41">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第3种方式：其他价格调整方式：</w:t>
      </w:r>
      <w:r>
        <w:rPr>
          <w:rFonts w:hint="eastAsia" w:asciiTheme="majorEastAsia" w:hAnsiTheme="majorEastAsia" w:eastAsiaTheme="majorEastAsia" w:cstheme="majorEastAsia"/>
          <w:color w:val="auto"/>
          <w:kern w:val="2"/>
          <w:sz w:val="21"/>
          <w:szCs w:val="21"/>
          <w:highlight w:val="none"/>
          <w:u w:val="single"/>
        </w:rPr>
        <w:t xml:space="preserve">无  </w:t>
      </w:r>
      <w:r>
        <w:rPr>
          <w:rFonts w:hint="eastAsia" w:asciiTheme="majorEastAsia" w:hAnsiTheme="majorEastAsia" w:eastAsiaTheme="majorEastAsia" w:cstheme="majorEastAsia"/>
          <w:color w:val="auto"/>
          <w:kern w:val="2"/>
          <w:sz w:val="21"/>
          <w:szCs w:val="21"/>
          <w:highlight w:val="none"/>
        </w:rPr>
        <w:t>。</w:t>
      </w:r>
    </w:p>
    <w:p w14:paraId="4309A302">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11.2 政策性人工费调整</w:t>
      </w:r>
    </w:p>
    <w:p w14:paraId="07A6E5E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人工费调整按照施工时工程所在地主管部门发布的最新人工费调整文件执行。</w:t>
      </w:r>
    </w:p>
    <w:bookmarkEnd w:id="655"/>
    <w:bookmarkEnd w:id="656"/>
    <w:bookmarkEnd w:id="657"/>
    <w:bookmarkEnd w:id="658"/>
    <w:bookmarkEnd w:id="659"/>
    <w:bookmarkEnd w:id="660"/>
    <w:p w14:paraId="452455AB">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773" w:name="_Toc292559915"/>
      <w:bookmarkStart w:id="774" w:name="_Toc296503205"/>
      <w:bookmarkStart w:id="775" w:name="_Toc297120505"/>
      <w:bookmarkStart w:id="776" w:name="_Toc296891033"/>
      <w:bookmarkStart w:id="777" w:name="_Toc297048391"/>
      <w:bookmarkStart w:id="778" w:name="_Toc296891245"/>
      <w:bookmarkStart w:id="779" w:name="_Toc296346706"/>
      <w:bookmarkStart w:id="780" w:name="_Toc296944544"/>
      <w:bookmarkStart w:id="781" w:name="_Toc292559410"/>
      <w:bookmarkStart w:id="782" w:name="_Toc296347204"/>
      <w:bookmarkStart w:id="783" w:name="_Toc351203644"/>
      <w:bookmarkStart w:id="784" w:name="_Toc297216211"/>
      <w:bookmarkStart w:id="785" w:name="_Toc297123552"/>
      <w:bookmarkStart w:id="786" w:name="_Toc312678040"/>
      <w:bookmarkStart w:id="787" w:name="_Toc304295579"/>
      <w:bookmarkStart w:id="788" w:name="_Toc300935002"/>
      <w:bookmarkStart w:id="789" w:name="_Toc303539159"/>
      <w:r>
        <w:rPr>
          <w:rFonts w:hint="eastAsia" w:asciiTheme="majorEastAsia" w:hAnsiTheme="majorEastAsia" w:eastAsiaTheme="majorEastAsia" w:cstheme="majorEastAsia"/>
          <w:b w:val="0"/>
          <w:color w:val="auto"/>
          <w:sz w:val="21"/>
          <w:szCs w:val="21"/>
          <w:highlight w:val="none"/>
        </w:rPr>
        <w:t xml:space="preserve">12. </w:t>
      </w:r>
      <w:bookmarkEnd w:id="773"/>
      <w:bookmarkEnd w:id="774"/>
      <w:bookmarkEnd w:id="775"/>
      <w:bookmarkEnd w:id="776"/>
      <w:bookmarkEnd w:id="777"/>
      <w:bookmarkEnd w:id="778"/>
      <w:bookmarkEnd w:id="779"/>
      <w:bookmarkEnd w:id="780"/>
      <w:bookmarkEnd w:id="781"/>
      <w:bookmarkEnd w:id="782"/>
      <w:r>
        <w:rPr>
          <w:rFonts w:hint="eastAsia" w:asciiTheme="majorEastAsia" w:hAnsiTheme="majorEastAsia" w:eastAsiaTheme="majorEastAsia" w:cstheme="majorEastAsia"/>
          <w:b w:val="0"/>
          <w:color w:val="auto"/>
          <w:sz w:val="21"/>
          <w:szCs w:val="21"/>
          <w:highlight w:val="none"/>
        </w:rPr>
        <w:t>合同价格、计量与支付</w:t>
      </w:r>
      <w:bookmarkEnd w:id="783"/>
    </w:p>
    <w:bookmarkEnd w:id="784"/>
    <w:bookmarkEnd w:id="785"/>
    <w:bookmarkEnd w:id="786"/>
    <w:bookmarkEnd w:id="787"/>
    <w:bookmarkEnd w:id="788"/>
    <w:bookmarkEnd w:id="789"/>
    <w:p w14:paraId="00C6803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790" w:name="_Toc292559411"/>
      <w:bookmarkStart w:id="791" w:name="_Toc292559916"/>
      <w:bookmarkStart w:id="792" w:name="_Toc267251461"/>
      <w:bookmarkStart w:id="793" w:name="_Toc296347205"/>
      <w:bookmarkStart w:id="794" w:name="_Toc297048392"/>
      <w:bookmarkStart w:id="795" w:name="_Toc296891246"/>
      <w:bookmarkStart w:id="796" w:name="_Toc297120506"/>
      <w:bookmarkStart w:id="797" w:name="_Toc296346707"/>
      <w:bookmarkStart w:id="798" w:name="_Toc296944545"/>
      <w:bookmarkStart w:id="799" w:name="_Toc296891034"/>
      <w:bookmarkStart w:id="800" w:name="_Toc296503206"/>
      <w:bookmarkStart w:id="801" w:name="_Toc304295580"/>
      <w:bookmarkStart w:id="802" w:name="_Toc303539160"/>
      <w:bookmarkStart w:id="803" w:name="_Toc297123553"/>
      <w:bookmarkStart w:id="804" w:name="_Toc297216212"/>
      <w:bookmarkStart w:id="805" w:name="_Toc312678041"/>
      <w:bookmarkStart w:id="806" w:name="_Toc300935003"/>
      <w:r>
        <w:rPr>
          <w:rFonts w:hint="eastAsia" w:asciiTheme="majorEastAsia" w:hAnsiTheme="majorEastAsia" w:eastAsiaTheme="majorEastAsia" w:cstheme="majorEastAsia"/>
          <w:color w:val="auto"/>
          <w:kern w:val="2"/>
          <w:sz w:val="21"/>
          <w:szCs w:val="21"/>
          <w:highlight w:val="none"/>
        </w:rPr>
        <w:t>12.1 合</w:t>
      </w:r>
      <w:bookmarkEnd w:id="790"/>
      <w:bookmarkEnd w:id="791"/>
      <w:bookmarkEnd w:id="792"/>
      <w:r>
        <w:rPr>
          <w:rFonts w:hint="eastAsia" w:asciiTheme="majorEastAsia" w:hAnsiTheme="majorEastAsia" w:eastAsiaTheme="majorEastAsia" w:cstheme="majorEastAsia"/>
          <w:color w:val="auto"/>
          <w:kern w:val="2"/>
          <w:sz w:val="21"/>
          <w:szCs w:val="21"/>
          <w:highlight w:val="none"/>
        </w:rPr>
        <w:t>同价</w:t>
      </w:r>
      <w:bookmarkEnd w:id="793"/>
      <w:bookmarkEnd w:id="794"/>
      <w:bookmarkEnd w:id="795"/>
      <w:bookmarkEnd w:id="796"/>
      <w:bookmarkEnd w:id="797"/>
      <w:bookmarkEnd w:id="798"/>
      <w:bookmarkEnd w:id="799"/>
      <w:bookmarkEnd w:id="800"/>
      <w:r>
        <w:rPr>
          <w:rFonts w:hint="eastAsia" w:asciiTheme="majorEastAsia" w:hAnsiTheme="majorEastAsia" w:eastAsiaTheme="majorEastAsia" w:cstheme="majorEastAsia"/>
          <w:color w:val="auto"/>
          <w:kern w:val="2"/>
          <w:sz w:val="21"/>
          <w:szCs w:val="21"/>
          <w:highlight w:val="none"/>
        </w:rPr>
        <w:t>格形式</w:t>
      </w:r>
    </w:p>
    <w:bookmarkEnd w:id="801"/>
    <w:bookmarkEnd w:id="802"/>
    <w:bookmarkEnd w:id="803"/>
    <w:bookmarkEnd w:id="804"/>
    <w:bookmarkEnd w:id="805"/>
    <w:bookmarkEnd w:id="806"/>
    <w:p w14:paraId="1814A14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1、单价合同。</w:t>
      </w:r>
    </w:p>
    <w:p w14:paraId="09B34DC7">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b/>
          <w:color w:val="auto"/>
          <w:kern w:val="2"/>
          <w:sz w:val="21"/>
          <w:szCs w:val="21"/>
          <w:highlight w:val="none"/>
          <w:u w:val="single"/>
          <w:lang w:eastAsia="zh-CN"/>
        </w:rPr>
      </w:pPr>
      <w:r>
        <w:rPr>
          <w:rFonts w:hint="eastAsia" w:asciiTheme="majorEastAsia" w:hAnsiTheme="majorEastAsia" w:eastAsiaTheme="majorEastAsia" w:cstheme="majorEastAsia"/>
          <w:b/>
          <w:color w:val="auto"/>
          <w:kern w:val="2"/>
          <w:sz w:val="21"/>
          <w:szCs w:val="21"/>
          <w:highlight w:val="none"/>
          <w:u w:val="single"/>
        </w:rPr>
        <w:t>由于发包人原因造成的工程量清单及工程量增减、工程设计变更、施工条件变更、现场签证等引起的工程量变化据实计算</w:t>
      </w:r>
      <w:r>
        <w:rPr>
          <w:rFonts w:hint="eastAsia" w:asciiTheme="majorEastAsia" w:hAnsiTheme="majorEastAsia" w:eastAsiaTheme="majorEastAsia" w:cstheme="majorEastAsia"/>
          <w:b/>
          <w:color w:val="auto"/>
          <w:kern w:val="2"/>
          <w:sz w:val="21"/>
          <w:szCs w:val="21"/>
          <w:highlight w:val="none"/>
          <w:u w:val="none"/>
          <w:lang w:eastAsia="zh-CN"/>
        </w:rPr>
        <w:t>。</w:t>
      </w:r>
    </w:p>
    <w:p w14:paraId="3D2EB7E3">
      <w:pPr>
        <w:pStyle w:val="55"/>
        <w:keepNext w:val="0"/>
        <w:pageBreakBefore w:val="0"/>
        <w:widowControl/>
        <w:kinsoku/>
        <w:wordWrap/>
        <w:overflowPunct/>
        <w:topLinePunct w:val="0"/>
        <w:bidi w:val="0"/>
        <w:spacing w:line="440" w:lineRule="exact"/>
        <w:ind w:left="0" w:leftChars="0" w:firstLine="422" w:firstLineChars="200"/>
        <w:jc w:val="left"/>
        <w:textAlignment w:val="auto"/>
        <w:rPr>
          <w:rFonts w:hint="eastAsia" w:asciiTheme="majorEastAsia" w:hAnsiTheme="majorEastAsia" w:eastAsiaTheme="majorEastAsia" w:cstheme="majorEastAsia"/>
          <w:color w:val="auto"/>
          <w:kern w:val="2"/>
          <w:sz w:val="21"/>
          <w:szCs w:val="21"/>
          <w:highlight w:val="none"/>
          <w:lang w:eastAsia="zh-CN"/>
        </w:rPr>
      </w:pPr>
      <w:r>
        <w:rPr>
          <w:rFonts w:hint="eastAsia" w:asciiTheme="majorEastAsia" w:hAnsiTheme="majorEastAsia" w:eastAsiaTheme="majorEastAsia" w:cstheme="majorEastAsia"/>
          <w:b/>
          <w:color w:val="auto"/>
          <w:kern w:val="2"/>
          <w:sz w:val="21"/>
          <w:szCs w:val="21"/>
          <w:highlight w:val="none"/>
          <w:u w:val="single"/>
        </w:rPr>
        <w:t>工程量清单中注明工程量按暂估量计入的引起的工程量变化据实计算</w:t>
      </w:r>
      <w:r>
        <w:rPr>
          <w:rFonts w:hint="eastAsia" w:asciiTheme="majorEastAsia" w:hAnsiTheme="majorEastAsia" w:eastAsiaTheme="majorEastAsia" w:cstheme="majorEastAsia"/>
          <w:b/>
          <w:color w:val="auto"/>
          <w:kern w:val="2"/>
          <w:sz w:val="21"/>
          <w:szCs w:val="21"/>
          <w:highlight w:val="none"/>
          <w:u w:val="none"/>
          <w:lang w:eastAsia="zh-CN"/>
        </w:rPr>
        <w:t>。</w:t>
      </w:r>
    </w:p>
    <w:p w14:paraId="29A6AED6">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综合单价包含的风险范围：</w:t>
      </w:r>
      <w:r>
        <w:rPr>
          <w:rFonts w:hint="eastAsia" w:asciiTheme="majorEastAsia" w:hAnsiTheme="majorEastAsia" w:eastAsiaTheme="majorEastAsia" w:cstheme="majorEastAsia"/>
          <w:b/>
          <w:color w:val="auto"/>
          <w:kern w:val="2"/>
          <w:sz w:val="21"/>
          <w:szCs w:val="21"/>
          <w:highlight w:val="none"/>
          <w:u w:val="single"/>
        </w:rPr>
        <w:t>包括所需材料费、施工机械使用费和管理费及利润，以及11.1条约定的合同价不做调整的风险费用</w:t>
      </w:r>
      <w:r>
        <w:rPr>
          <w:rFonts w:hint="eastAsia" w:asciiTheme="majorEastAsia" w:hAnsiTheme="majorEastAsia" w:eastAsiaTheme="majorEastAsia" w:cstheme="majorEastAsia"/>
          <w:color w:val="auto"/>
          <w:kern w:val="2"/>
          <w:sz w:val="21"/>
          <w:szCs w:val="21"/>
          <w:highlight w:val="none"/>
        </w:rPr>
        <w:t>。</w:t>
      </w:r>
    </w:p>
    <w:p w14:paraId="43D3D3D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综合单价包含的风险范围：</w:t>
      </w:r>
      <w:r>
        <w:rPr>
          <w:rFonts w:hint="eastAsia" w:asciiTheme="majorEastAsia" w:hAnsiTheme="majorEastAsia" w:eastAsiaTheme="majorEastAsia" w:cstheme="majorEastAsia"/>
          <w:b/>
          <w:color w:val="auto"/>
          <w:kern w:val="2"/>
          <w:sz w:val="21"/>
          <w:szCs w:val="21"/>
          <w:highlight w:val="none"/>
          <w:u w:val="single"/>
        </w:rPr>
        <w:t>包括所需材料费、施工机械使用费和管理费及利润，以及11.1条约定的合同价不做调整的风险费用</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FAA236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风险费用的计算方法：</w:t>
      </w:r>
      <w:r>
        <w:rPr>
          <w:rFonts w:hint="eastAsia" w:asciiTheme="majorEastAsia" w:hAnsiTheme="majorEastAsia" w:eastAsiaTheme="majorEastAsia" w:cstheme="majorEastAsia"/>
          <w:b/>
          <w:color w:val="auto"/>
          <w:kern w:val="2"/>
          <w:sz w:val="21"/>
          <w:szCs w:val="21"/>
          <w:highlight w:val="none"/>
          <w:u w:val="single"/>
        </w:rPr>
        <w:t xml:space="preserve">无 </w:t>
      </w:r>
      <w:r>
        <w:rPr>
          <w:rFonts w:hint="eastAsia" w:asciiTheme="majorEastAsia" w:hAnsiTheme="majorEastAsia" w:eastAsiaTheme="majorEastAsia" w:cstheme="majorEastAsia"/>
          <w:color w:val="auto"/>
          <w:kern w:val="2"/>
          <w:sz w:val="21"/>
          <w:szCs w:val="21"/>
          <w:highlight w:val="none"/>
        </w:rPr>
        <w:t>。</w:t>
      </w:r>
    </w:p>
    <w:p w14:paraId="4F0F256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风险范围以外合同价格的调整方法：</w:t>
      </w:r>
      <w:r>
        <w:rPr>
          <w:rFonts w:hint="eastAsia" w:asciiTheme="majorEastAsia" w:hAnsiTheme="majorEastAsia" w:eastAsiaTheme="majorEastAsia" w:cstheme="majorEastAsia"/>
          <w:b/>
          <w:color w:val="auto"/>
          <w:kern w:val="2"/>
          <w:sz w:val="21"/>
          <w:szCs w:val="21"/>
          <w:highlight w:val="none"/>
          <w:u w:val="single"/>
        </w:rPr>
        <w:t>波动幅度计算公式：材料单价发生上涨或下降幅度＝（施工期的《云南德宏建筑经济信息》价材料价格－</w:t>
      </w:r>
      <w:r>
        <w:rPr>
          <w:rFonts w:hint="eastAsia" w:asciiTheme="majorEastAsia" w:hAnsiTheme="majorEastAsia" w:eastAsiaTheme="majorEastAsia" w:cstheme="majorEastAsia"/>
          <w:b/>
          <w:color w:val="auto"/>
          <w:sz w:val="21"/>
          <w:szCs w:val="21"/>
          <w:highlight w:val="none"/>
          <w:u w:val="single"/>
        </w:rPr>
        <w:t>基准价为招标控制价的《云南德宏建筑经济信息》同期材料价格信息</w:t>
      </w:r>
      <w:r>
        <w:rPr>
          <w:rFonts w:hint="eastAsia" w:asciiTheme="majorEastAsia" w:hAnsiTheme="majorEastAsia" w:eastAsiaTheme="majorEastAsia" w:cstheme="majorEastAsia"/>
          <w:b/>
          <w:color w:val="auto"/>
          <w:kern w:val="2"/>
          <w:sz w:val="21"/>
          <w:szCs w:val="21"/>
          <w:highlight w:val="none"/>
          <w:u w:val="single"/>
        </w:rPr>
        <w:t>、非招标工程以合同签订前28天使用的材料《云南德宏建筑经济信息》价）÷</w:t>
      </w:r>
      <w:r>
        <w:rPr>
          <w:rFonts w:hint="eastAsia" w:asciiTheme="majorEastAsia" w:hAnsiTheme="majorEastAsia" w:eastAsiaTheme="majorEastAsia" w:cstheme="majorEastAsia"/>
          <w:b/>
          <w:color w:val="auto"/>
          <w:sz w:val="21"/>
          <w:szCs w:val="21"/>
          <w:highlight w:val="none"/>
          <w:u w:val="single"/>
        </w:rPr>
        <w:t>基准价为招标控制价的《云南德宏建筑经济信息》同期材料价格信息</w:t>
      </w:r>
      <w:r>
        <w:rPr>
          <w:rFonts w:hint="eastAsia" w:asciiTheme="majorEastAsia" w:hAnsiTheme="majorEastAsia" w:eastAsiaTheme="majorEastAsia" w:cstheme="majorEastAsia"/>
          <w:b/>
          <w:color w:val="auto"/>
          <w:kern w:val="2"/>
          <w:sz w:val="21"/>
          <w:szCs w:val="21"/>
          <w:highlight w:val="none"/>
          <w:u w:val="single"/>
        </w:rPr>
        <w:t>、非招标工程以合同签订前28天使用的材料《云南德宏建筑经济信息》价×100％</w:t>
      </w:r>
      <w:r>
        <w:rPr>
          <w:rFonts w:hint="eastAsia" w:asciiTheme="majorEastAsia" w:hAnsiTheme="majorEastAsia" w:eastAsiaTheme="majorEastAsia" w:cstheme="majorEastAsia"/>
          <w:b/>
          <w:color w:val="auto"/>
          <w:kern w:val="2"/>
          <w:sz w:val="21"/>
          <w:szCs w:val="21"/>
          <w:highlight w:val="none"/>
          <w:u w:val="none"/>
        </w:rPr>
        <w:t>；</w:t>
      </w:r>
    </w:p>
    <w:p w14:paraId="50C63C08">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注1: 施工期的《云南省价格信息》材料价格＝施工阶段云南德宏建筑经济价格算术平均数</w:t>
      </w:r>
      <w:r>
        <w:rPr>
          <w:rFonts w:hint="eastAsia" w:asciiTheme="majorEastAsia" w:hAnsiTheme="majorEastAsia" w:eastAsiaTheme="majorEastAsia" w:cstheme="majorEastAsia"/>
          <w:b/>
          <w:color w:val="auto"/>
          <w:kern w:val="2"/>
          <w:sz w:val="21"/>
          <w:szCs w:val="21"/>
          <w:highlight w:val="none"/>
          <w:u w:val="none"/>
        </w:rPr>
        <w:t>。</w:t>
      </w:r>
    </w:p>
    <w:p w14:paraId="045F8184">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注2：《云南德宏建筑经济信息》中没有的材料，采用事件发生当月的市场平均价</w:t>
      </w:r>
      <w:r>
        <w:rPr>
          <w:rFonts w:hint="eastAsia" w:asciiTheme="majorEastAsia" w:hAnsiTheme="majorEastAsia" w:eastAsiaTheme="majorEastAsia" w:cstheme="majorEastAsia"/>
          <w:b/>
          <w:color w:val="auto"/>
          <w:kern w:val="2"/>
          <w:sz w:val="21"/>
          <w:szCs w:val="21"/>
          <w:highlight w:val="none"/>
          <w:u w:val="none"/>
        </w:rPr>
        <w:t>。</w:t>
      </w:r>
    </w:p>
    <w:p w14:paraId="5842DBD5">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注3：拦标价使用的材料《云南德宏建筑经济信息》价＝最接近拦标价发布时间前当月的《云南德宏建筑经济信息》材料信息价格</w:t>
      </w:r>
      <w:r>
        <w:rPr>
          <w:rFonts w:hint="eastAsia" w:asciiTheme="majorEastAsia" w:hAnsiTheme="majorEastAsia" w:eastAsiaTheme="majorEastAsia" w:cstheme="majorEastAsia"/>
          <w:b/>
          <w:color w:val="auto"/>
          <w:kern w:val="2"/>
          <w:sz w:val="21"/>
          <w:szCs w:val="21"/>
          <w:highlight w:val="none"/>
          <w:u w:val="none"/>
        </w:rPr>
        <w:t>。</w:t>
      </w:r>
    </w:p>
    <w:p w14:paraId="6D8CC60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价差计算公式：按专用条款11.1条约定计算</w:t>
      </w:r>
      <w:r>
        <w:rPr>
          <w:rFonts w:hint="eastAsia" w:asciiTheme="majorEastAsia" w:hAnsiTheme="majorEastAsia" w:eastAsiaTheme="majorEastAsia" w:cstheme="majorEastAsia"/>
          <w:color w:val="auto"/>
          <w:kern w:val="2"/>
          <w:sz w:val="21"/>
          <w:szCs w:val="21"/>
          <w:highlight w:val="none"/>
        </w:rPr>
        <w:t>。</w:t>
      </w:r>
    </w:p>
    <w:p w14:paraId="7593AD56">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2、总价合同。</w:t>
      </w:r>
    </w:p>
    <w:p w14:paraId="2220D742">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总价包含的风险范围：</w:t>
      </w:r>
      <w:r>
        <w:rPr>
          <w:rFonts w:hint="eastAsia" w:asciiTheme="majorEastAsia" w:hAnsiTheme="majorEastAsia" w:eastAsiaTheme="majorEastAsia" w:cstheme="majorEastAsia"/>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rPr>
        <w:t>。</w:t>
      </w:r>
    </w:p>
    <w:p w14:paraId="5CB6A55D">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风险费用的计算方法：</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79E1105C">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风险范围以外合同价格的调整方法：</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7E0CD71D">
      <w:pPr>
        <w:pStyle w:val="55"/>
        <w:keepNext w:val="0"/>
        <w:pageBreakBefore w:val="0"/>
        <w:widowControl/>
        <w:kinsoku/>
        <w:wordWrap/>
        <w:overflowPunct/>
        <w:topLinePunct w:val="0"/>
        <w:bidi w:val="0"/>
        <w:spacing w:line="440" w:lineRule="exact"/>
        <w:ind w:left="0" w:leftChars="0" w:firstLine="210" w:firstLineChars="1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3、其他价格方式：</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16BE770D">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807" w:name="_Toc297123554"/>
      <w:bookmarkStart w:id="808" w:name="_Toc304295581"/>
      <w:bookmarkStart w:id="809" w:name="_Toc312678042"/>
      <w:bookmarkStart w:id="810" w:name="_Toc297216213"/>
      <w:bookmarkStart w:id="811" w:name="_Toc300935004"/>
      <w:bookmarkStart w:id="812" w:name="_Toc303539161"/>
      <w:bookmarkStart w:id="813" w:name="_Toc297120507"/>
      <w:bookmarkStart w:id="814" w:name="_Toc296347206"/>
      <w:bookmarkStart w:id="815" w:name="_Toc296944546"/>
      <w:bookmarkStart w:id="816" w:name="_Toc297048393"/>
      <w:bookmarkStart w:id="817" w:name="_Toc292559917"/>
      <w:bookmarkStart w:id="818" w:name="_Toc296891035"/>
      <w:bookmarkStart w:id="819" w:name="_Toc296891247"/>
      <w:bookmarkStart w:id="820" w:name="_Toc296503207"/>
      <w:bookmarkStart w:id="821" w:name="_Toc296346708"/>
      <w:bookmarkStart w:id="822" w:name="_Toc292559412"/>
      <w:r>
        <w:rPr>
          <w:rFonts w:hint="eastAsia" w:asciiTheme="majorEastAsia" w:hAnsiTheme="majorEastAsia" w:eastAsiaTheme="majorEastAsia" w:cstheme="majorEastAsia"/>
          <w:color w:val="auto"/>
          <w:kern w:val="2"/>
          <w:sz w:val="21"/>
          <w:szCs w:val="21"/>
          <w:highlight w:val="none"/>
        </w:rPr>
        <w:t>12.2 预付款</w:t>
      </w:r>
    </w:p>
    <w:bookmarkEnd w:id="807"/>
    <w:bookmarkEnd w:id="808"/>
    <w:bookmarkEnd w:id="809"/>
    <w:bookmarkEnd w:id="810"/>
    <w:bookmarkEnd w:id="811"/>
    <w:bookmarkEnd w:id="812"/>
    <w:p w14:paraId="32BA513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12.2.1 预付款的支付</w:t>
      </w:r>
    </w:p>
    <w:p w14:paraId="7D74EC1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预付款支付比例或金额：</w:t>
      </w:r>
      <w:r>
        <w:rPr>
          <w:rFonts w:hint="eastAsia" w:asciiTheme="majorEastAsia" w:hAnsiTheme="majorEastAsia" w:eastAsiaTheme="majorEastAsia" w:cstheme="majorEastAsia"/>
          <w:b/>
          <w:color w:val="auto"/>
          <w:kern w:val="2"/>
          <w:sz w:val="21"/>
          <w:szCs w:val="21"/>
          <w:highlight w:val="none"/>
          <w:u w:val="single"/>
        </w:rPr>
        <w:t>签订合同时约定</w:t>
      </w:r>
      <w:r>
        <w:rPr>
          <w:rFonts w:hint="eastAsia" w:asciiTheme="majorEastAsia" w:hAnsiTheme="majorEastAsia" w:eastAsiaTheme="majorEastAsia" w:cstheme="majorEastAsia"/>
          <w:color w:val="auto"/>
          <w:kern w:val="2"/>
          <w:sz w:val="21"/>
          <w:szCs w:val="21"/>
          <w:highlight w:val="none"/>
        </w:rPr>
        <w:t>。</w:t>
      </w:r>
    </w:p>
    <w:p w14:paraId="62BB3CD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预付款支付期限：</w:t>
      </w:r>
      <w:r>
        <w:rPr>
          <w:rFonts w:hint="eastAsia" w:asciiTheme="majorEastAsia" w:hAnsiTheme="majorEastAsia" w:eastAsiaTheme="majorEastAsia" w:cstheme="majorEastAsia"/>
          <w:b/>
          <w:color w:val="auto"/>
          <w:kern w:val="2"/>
          <w:sz w:val="21"/>
          <w:szCs w:val="21"/>
          <w:highlight w:val="none"/>
          <w:u w:val="single"/>
        </w:rPr>
        <w:t>订合同时约定</w:t>
      </w:r>
      <w:r>
        <w:rPr>
          <w:rFonts w:hint="eastAsia" w:asciiTheme="majorEastAsia" w:hAnsiTheme="majorEastAsia" w:eastAsiaTheme="majorEastAsia" w:cstheme="majorEastAsia"/>
          <w:color w:val="auto"/>
          <w:kern w:val="2"/>
          <w:sz w:val="21"/>
          <w:szCs w:val="21"/>
          <w:highlight w:val="none"/>
        </w:rPr>
        <w:t>。</w:t>
      </w:r>
    </w:p>
    <w:p w14:paraId="156BAED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预付款扣回的方式：</w:t>
      </w:r>
      <w:r>
        <w:rPr>
          <w:rFonts w:hint="eastAsia" w:asciiTheme="majorEastAsia" w:hAnsiTheme="majorEastAsia" w:eastAsiaTheme="majorEastAsia" w:cstheme="majorEastAsia"/>
          <w:b/>
          <w:color w:val="auto"/>
          <w:kern w:val="2"/>
          <w:sz w:val="21"/>
          <w:szCs w:val="21"/>
          <w:highlight w:val="none"/>
          <w:u w:val="single"/>
        </w:rPr>
        <w:t>签订合同时约定</w:t>
      </w:r>
      <w:r>
        <w:rPr>
          <w:rFonts w:hint="eastAsia" w:asciiTheme="majorEastAsia" w:hAnsiTheme="majorEastAsia" w:eastAsiaTheme="majorEastAsia" w:cstheme="majorEastAsia"/>
          <w:color w:val="auto"/>
          <w:kern w:val="2"/>
          <w:sz w:val="21"/>
          <w:szCs w:val="21"/>
          <w:highlight w:val="none"/>
        </w:rPr>
        <w:t>。</w:t>
      </w:r>
    </w:p>
    <w:p w14:paraId="2C31C76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12.2.2 预付款担保</w:t>
      </w:r>
    </w:p>
    <w:p w14:paraId="3034297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承包人提交预付款担保的期限：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95DA8F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预付款担保的形式为：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bookmarkEnd w:id="813"/>
    <w:bookmarkEnd w:id="814"/>
    <w:bookmarkEnd w:id="815"/>
    <w:bookmarkEnd w:id="816"/>
    <w:bookmarkEnd w:id="817"/>
    <w:bookmarkEnd w:id="818"/>
    <w:bookmarkEnd w:id="819"/>
    <w:bookmarkEnd w:id="820"/>
    <w:bookmarkEnd w:id="821"/>
    <w:bookmarkEnd w:id="822"/>
    <w:p w14:paraId="4B982DD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 计量</w:t>
      </w:r>
    </w:p>
    <w:p w14:paraId="6643F64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12.3.1 计量原则</w:t>
      </w:r>
    </w:p>
    <w:p w14:paraId="10277D6B">
      <w:pPr>
        <w:pStyle w:val="55"/>
        <w:keepNext w:val="0"/>
        <w:pageBreakBefore w:val="0"/>
        <w:widowControl/>
        <w:kinsoku/>
        <w:wordWrap/>
        <w:overflowPunct/>
        <w:topLinePunct w:val="0"/>
        <w:bidi w:val="0"/>
        <w:spacing w:line="440" w:lineRule="exact"/>
        <w:ind w:left="0" w:leftChars="0" w:firstLine="411" w:firstLineChars="196"/>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工程量计算规则：</w:t>
      </w:r>
    </w:p>
    <w:p w14:paraId="56135E83">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1、《建设工程工程量清单计价标准》(GB/T 50500-2024)及《房屋建筑与装饰工程工程量计算标准》、《通用安装工程工程量计算标准》、《构筑物工程工程量计算标准》、《市政工程工程量计算标准》、《仿古建筑工程工程量计算标准》、《园林绿化工程工程量计算标准》、《城市轨道交通工程工程量计算标准》、《爆破工程工程量计算标准》、《矿山工程工程量计算标准》等 9 部专业工程工程量计算标准</w:t>
      </w:r>
      <w:r>
        <w:rPr>
          <w:rFonts w:hint="eastAsia" w:asciiTheme="majorEastAsia" w:hAnsiTheme="majorEastAsia" w:eastAsiaTheme="majorEastAsia" w:cstheme="majorEastAsia"/>
          <w:b/>
          <w:color w:val="auto"/>
          <w:kern w:val="2"/>
          <w:sz w:val="21"/>
          <w:szCs w:val="21"/>
          <w:highlight w:val="none"/>
          <w:u w:val="none"/>
        </w:rPr>
        <w:t>。</w:t>
      </w:r>
    </w:p>
    <w:p w14:paraId="61BE8163">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2、云南省住房和城乡建设厅关于发布《建设工程工程量清单计价标准(2024)云南省过渡期实施规定》的通知（云建科[2025]63 号）</w:t>
      </w:r>
      <w:r>
        <w:rPr>
          <w:rFonts w:hint="eastAsia" w:asciiTheme="majorEastAsia" w:hAnsiTheme="majorEastAsia" w:eastAsiaTheme="majorEastAsia" w:cstheme="majorEastAsia"/>
          <w:b/>
          <w:color w:val="auto"/>
          <w:kern w:val="2"/>
          <w:sz w:val="21"/>
          <w:szCs w:val="21"/>
          <w:highlight w:val="none"/>
          <w:u w:val="none"/>
        </w:rPr>
        <w:t>。</w:t>
      </w:r>
    </w:p>
    <w:p w14:paraId="1D5827BB">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none"/>
        </w:rPr>
      </w:pPr>
      <w:r>
        <w:rPr>
          <w:rFonts w:hint="eastAsia" w:asciiTheme="majorEastAsia" w:hAnsiTheme="majorEastAsia" w:eastAsiaTheme="majorEastAsia" w:cstheme="majorEastAsia"/>
          <w:b/>
          <w:color w:val="auto"/>
          <w:kern w:val="2"/>
          <w:sz w:val="21"/>
          <w:szCs w:val="21"/>
          <w:highlight w:val="none"/>
          <w:u w:val="single"/>
        </w:rPr>
        <w:t>3、云南省住房和城乡建设厅关于发布《建设工程相关专业工程量计算标准云南省过渡期使用指南》的通知（云建科[2025]72 号）</w:t>
      </w:r>
      <w:r>
        <w:rPr>
          <w:rFonts w:hint="eastAsia" w:asciiTheme="majorEastAsia" w:hAnsiTheme="majorEastAsia" w:eastAsiaTheme="majorEastAsia" w:cstheme="majorEastAsia"/>
          <w:b/>
          <w:color w:val="auto"/>
          <w:kern w:val="2"/>
          <w:sz w:val="21"/>
          <w:szCs w:val="21"/>
          <w:highlight w:val="none"/>
          <w:u w:val="none"/>
        </w:rPr>
        <w:t>。</w:t>
      </w:r>
    </w:p>
    <w:p w14:paraId="4BCA5645">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4、云南省住房和城乡建设厅关于《云南省建设工程造价计价标准（2020版）》发布实施的通知（云建科[2021]15 号）</w:t>
      </w:r>
      <w:r>
        <w:rPr>
          <w:rFonts w:hint="eastAsia" w:asciiTheme="majorEastAsia" w:hAnsiTheme="majorEastAsia" w:eastAsiaTheme="majorEastAsia" w:cstheme="majorEastAsia"/>
          <w:b/>
          <w:color w:val="auto"/>
          <w:kern w:val="2"/>
          <w:sz w:val="21"/>
          <w:szCs w:val="21"/>
          <w:highlight w:val="none"/>
          <w:u w:val="none"/>
        </w:rPr>
        <w:t>。</w:t>
      </w:r>
    </w:p>
    <w:p w14:paraId="4F135CA3">
      <w:pPr>
        <w:pStyle w:val="55"/>
        <w:keepNext w:val="0"/>
        <w:pageBreakBefore w:val="0"/>
        <w:widowControl/>
        <w:kinsoku/>
        <w:wordWrap/>
        <w:overflowPunct/>
        <w:topLinePunct w:val="0"/>
        <w:bidi w:val="0"/>
        <w:spacing w:line="440" w:lineRule="exact"/>
        <w:ind w:left="0" w:leftChars="0" w:firstLine="413" w:firstLineChars="196"/>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lang w:val="en-US" w:eastAsia="zh-CN"/>
        </w:rPr>
        <w:t>5、</w:t>
      </w:r>
      <w:r>
        <w:rPr>
          <w:rFonts w:hint="eastAsia" w:asciiTheme="majorEastAsia" w:hAnsiTheme="majorEastAsia" w:eastAsiaTheme="majorEastAsia" w:cstheme="majorEastAsia"/>
          <w:b/>
          <w:color w:val="auto"/>
          <w:kern w:val="2"/>
          <w:sz w:val="21"/>
          <w:szCs w:val="21"/>
          <w:highlight w:val="none"/>
          <w:u w:val="single"/>
        </w:rPr>
        <w:t>关于变更估价的计量标准执行施工期间云南省有关同期配套计价文件</w:t>
      </w:r>
      <w:r>
        <w:rPr>
          <w:rFonts w:hint="eastAsia" w:asciiTheme="majorEastAsia" w:hAnsiTheme="majorEastAsia" w:eastAsiaTheme="majorEastAsia" w:cstheme="majorEastAsia"/>
          <w:b/>
          <w:color w:val="auto"/>
          <w:kern w:val="2"/>
          <w:sz w:val="21"/>
          <w:szCs w:val="21"/>
          <w:highlight w:val="none"/>
          <w:u w:val="none"/>
        </w:rPr>
        <w:t>。</w:t>
      </w:r>
    </w:p>
    <w:p w14:paraId="0C45E102">
      <w:pPr>
        <w:pStyle w:val="55"/>
        <w:keepNext w:val="0"/>
        <w:pageBreakBefore w:val="0"/>
        <w:widowControl/>
        <w:kinsoku/>
        <w:wordWrap/>
        <w:overflowPunct/>
        <w:topLinePunct w:val="0"/>
        <w:bidi w:val="0"/>
        <w:spacing w:line="440" w:lineRule="exact"/>
        <w:ind w:left="0" w:leftChars="0" w:firstLine="411" w:firstLineChars="196"/>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12.3.2 计量周期</w:t>
      </w:r>
    </w:p>
    <w:p w14:paraId="19D2E93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关于计量周期的约定：</w:t>
      </w:r>
      <w:r>
        <w:rPr>
          <w:rFonts w:hint="eastAsia" w:asciiTheme="majorEastAsia" w:hAnsiTheme="majorEastAsia" w:eastAsiaTheme="majorEastAsia" w:cstheme="majorEastAsia"/>
          <w:b/>
          <w:color w:val="auto"/>
          <w:kern w:val="2"/>
          <w:sz w:val="21"/>
          <w:szCs w:val="21"/>
          <w:highlight w:val="none"/>
          <w:u w:val="single"/>
        </w:rPr>
        <w:t>按月计量</w:t>
      </w:r>
      <w:r>
        <w:rPr>
          <w:rFonts w:hint="eastAsia" w:asciiTheme="majorEastAsia" w:hAnsiTheme="majorEastAsia" w:eastAsiaTheme="majorEastAsia" w:cstheme="majorEastAsia"/>
          <w:color w:val="auto"/>
          <w:kern w:val="2"/>
          <w:sz w:val="21"/>
          <w:szCs w:val="21"/>
          <w:highlight w:val="none"/>
        </w:rPr>
        <w:t>。</w:t>
      </w:r>
    </w:p>
    <w:p w14:paraId="2567445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12.3.3 单价合同的计量</w:t>
      </w:r>
    </w:p>
    <w:p w14:paraId="32A2D4A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关于单价合同计量的约定：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A3FCC4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12.3.4 总价合同的计量</w:t>
      </w:r>
    </w:p>
    <w:p w14:paraId="3C120DA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关于总价合同计量的约定：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BB7592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12.3.5总价合同采用支付分解表计量支付的，是否适用第</w:t>
      </w:r>
      <w:r>
        <w:rPr>
          <w:rFonts w:hint="eastAsia" w:asciiTheme="majorEastAsia" w:hAnsiTheme="majorEastAsia" w:eastAsiaTheme="majorEastAsia" w:cstheme="majorEastAsia"/>
          <w:color w:val="auto"/>
          <w:sz w:val="21"/>
          <w:szCs w:val="21"/>
          <w:highlight w:val="none"/>
        </w:rPr>
        <w:t xml:space="preserve">12.3.4 </w:t>
      </w:r>
      <w:r>
        <w:rPr>
          <w:rFonts w:hint="eastAsia" w:asciiTheme="majorEastAsia" w:hAnsiTheme="majorEastAsia" w:eastAsiaTheme="majorEastAsia" w:cstheme="majorEastAsia"/>
          <w:color w:val="auto"/>
          <w:kern w:val="2"/>
          <w:sz w:val="21"/>
          <w:szCs w:val="21"/>
          <w:highlight w:val="none"/>
        </w:rPr>
        <w:t>项</w:t>
      </w:r>
      <w:r>
        <w:rPr>
          <w:rFonts w:hint="eastAsia" w:asciiTheme="majorEastAsia" w:hAnsiTheme="majorEastAsia" w:eastAsiaTheme="majorEastAsia" w:cstheme="majorEastAsia"/>
          <w:color w:val="auto"/>
          <w:sz w:val="21"/>
          <w:szCs w:val="21"/>
          <w:highlight w:val="none"/>
        </w:rPr>
        <w:t>〔总价合同的计量〕</w:t>
      </w:r>
      <w:r>
        <w:rPr>
          <w:rFonts w:hint="eastAsia" w:asciiTheme="majorEastAsia" w:hAnsiTheme="majorEastAsia" w:eastAsiaTheme="majorEastAsia" w:cstheme="majorEastAsia"/>
          <w:color w:val="auto"/>
          <w:kern w:val="2"/>
          <w:sz w:val="21"/>
          <w:szCs w:val="21"/>
          <w:highlight w:val="none"/>
        </w:rPr>
        <w:t>约定进行计量：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3BD5EF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12.3.6 其他价格形式合同的计量</w:t>
      </w:r>
    </w:p>
    <w:p w14:paraId="23B7F4A5">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其他价格形式的计量方式和程序：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986988F">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12.4 工程进度款支付</w:t>
      </w:r>
    </w:p>
    <w:p w14:paraId="7597F05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bookmarkStart w:id="823" w:name="_Toc297048397"/>
      <w:bookmarkStart w:id="824" w:name="_Toc292559416"/>
      <w:bookmarkStart w:id="825" w:name="_Toc296346712"/>
      <w:bookmarkStart w:id="826" w:name="_Toc296891039"/>
      <w:bookmarkStart w:id="827" w:name="_Toc303539163"/>
      <w:bookmarkStart w:id="828" w:name="_Toc297216215"/>
      <w:bookmarkStart w:id="829" w:name="_Toc300935006"/>
      <w:bookmarkStart w:id="830" w:name="_Toc296503211"/>
      <w:bookmarkStart w:id="831" w:name="_Toc296891251"/>
      <w:bookmarkStart w:id="832" w:name="_Toc296347210"/>
      <w:bookmarkStart w:id="833" w:name="_Toc292559921"/>
      <w:bookmarkStart w:id="834" w:name="_Toc296944550"/>
      <w:bookmarkStart w:id="835" w:name="_Toc297123556"/>
      <w:bookmarkStart w:id="836" w:name="_Toc297120511"/>
      <w:r>
        <w:rPr>
          <w:rFonts w:hint="eastAsia" w:asciiTheme="majorEastAsia" w:hAnsiTheme="majorEastAsia" w:eastAsiaTheme="majorEastAsia" w:cstheme="majorEastAsia"/>
          <w:color w:val="auto"/>
          <w:kern w:val="2"/>
          <w:sz w:val="21"/>
          <w:szCs w:val="21"/>
          <w:highlight w:val="none"/>
        </w:rPr>
        <w:t>12.4.1 付款周期</w:t>
      </w:r>
    </w:p>
    <w:p w14:paraId="69050D2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关于付款周期的约定：</w:t>
      </w:r>
      <w:r>
        <w:rPr>
          <w:rFonts w:hint="eastAsia" w:asciiTheme="majorEastAsia" w:hAnsiTheme="majorEastAsia" w:eastAsiaTheme="majorEastAsia" w:cstheme="majorEastAsia"/>
          <w:b/>
          <w:color w:val="auto"/>
          <w:kern w:val="2"/>
          <w:sz w:val="21"/>
          <w:szCs w:val="21"/>
          <w:highlight w:val="none"/>
          <w:u w:val="single"/>
        </w:rPr>
        <w:t>签订合同时约定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C6CEB0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12.4.2 进度付款申请单的编制</w:t>
      </w:r>
    </w:p>
    <w:p w14:paraId="56AD7825">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关于进度付款申请单编制的约定：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793CDE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w:t>
      </w:r>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Pr>
          <w:rFonts w:hint="eastAsia" w:asciiTheme="majorEastAsia" w:hAnsiTheme="majorEastAsia" w:eastAsiaTheme="majorEastAsia" w:cstheme="majorEastAsia"/>
          <w:color w:val="auto"/>
          <w:kern w:val="2"/>
          <w:sz w:val="21"/>
          <w:szCs w:val="21"/>
          <w:highlight w:val="none"/>
        </w:rPr>
        <w:t>2.4.3 进度付款申请单的提交</w:t>
      </w:r>
    </w:p>
    <w:p w14:paraId="6EB5F22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（1）单价合同进度付款申请单提交的约定：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none"/>
        </w:rPr>
        <w:t>。</w:t>
      </w:r>
    </w:p>
    <w:p w14:paraId="7290658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（2）总价合同进度付款申请单提交的约定：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F58227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（3）其他价格形式合同进度付款申请单提交的约定：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1A5F98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12.4.4 进度款审核和支付</w:t>
      </w:r>
    </w:p>
    <w:p w14:paraId="7B802CA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（1）监理人审查并报送发包人的期限：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04897B7E">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发包人完成审批并签发进度款支付证书的期限：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40C661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（2）发包人支付进度款的期限：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92F0C5A">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发包人逾期支付进度款的违约金的计算方式：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03E4CCE">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12.4.6 支付分解表的编制</w:t>
      </w:r>
    </w:p>
    <w:p w14:paraId="1E6CC6C8">
      <w:pPr>
        <w:pStyle w:val="55"/>
        <w:keepNext w:val="0"/>
        <w:pageBreakBefore w:val="0"/>
        <w:widowControl/>
        <w:kinsoku/>
        <w:wordWrap/>
        <w:overflowPunct/>
        <w:topLinePunct w:val="0"/>
        <w:bidi w:val="0"/>
        <w:spacing w:line="440" w:lineRule="exact"/>
        <w:ind w:left="4200" w:leftChars="0" w:hanging="4200" w:hangingChars="20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2、总价合同支付分解表的编制与审批：</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w:t>
      </w:r>
    </w:p>
    <w:p w14:paraId="501C7FE8">
      <w:pPr>
        <w:pStyle w:val="55"/>
        <w:keepNext w:val="0"/>
        <w:pageBreakBefore w:val="0"/>
        <w:widowControl/>
        <w:kinsoku/>
        <w:wordWrap/>
        <w:overflowPunct/>
        <w:topLinePunct w:val="0"/>
        <w:bidi w:val="0"/>
        <w:spacing w:line="440" w:lineRule="exact"/>
        <w:ind w:left="0" w:leftChars="0" w:firstLine="525"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3、单价合同的总价项目支付分解表的编制与审批：</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bookmarkEnd w:id="661"/>
    <w:p w14:paraId="4D35FFE9">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837" w:name="_Toc351203645"/>
      <w:bookmarkStart w:id="838" w:name="_Toc312678053"/>
      <w:bookmarkStart w:id="839" w:name="_Toc300935015"/>
      <w:bookmarkStart w:id="840" w:name="_Toc297048405"/>
      <w:bookmarkStart w:id="841" w:name="_Toc296891047"/>
      <w:bookmarkStart w:id="842" w:name="_Toc292559929"/>
      <w:bookmarkStart w:id="843" w:name="_Toc296346720"/>
      <w:bookmarkStart w:id="844" w:name="_Toc296347218"/>
      <w:bookmarkStart w:id="845" w:name="_Toc304295593"/>
      <w:bookmarkStart w:id="846" w:name="_Toc296944558"/>
      <w:bookmarkStart w:id="847" w:name="_Toc296891259"/>
      <w:bookmarkStart w:id="848" w:name="_Toc297120519"/>
      <w:bookmarkStart w:id="849" w:name="_Toc296503219"/>
      <w:bookmarkStart w:id="850" w:name="_Toc292559424"/>
      <w:bookmarkStart w:id="851" w:name="_Toc303539172"/>
      <w:bookmarkStart w:id="852" w:name="_Toc297216223"/>
      <w:bookmarkStart w:id="853" w:name="_Toc297123564"/>
      <w:r>
        <w:rPr>
          <w:rFonts w:hint="eastAsia" w:asciiTheme="majorEastAsia" w:hAnsiTheme="majorEastAsia" w:eastAsiaTheme="majorEastAsia" w:cstheme="majorEastAsia"/>
          <w:b w:val="0"/>
          <w:color w:val="auto"/>
          <w:sz w:val="21"/>
          <w:szCs w:val="21"/>
          <w:highlight w:val="none"/>
        </w:rPr>
        <w:t>13. 验收和工程试车</w:t>
      </w:r>
      <w:bookmarkEnd w:id="837"/>
    </w:p>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p w14:paraId="44CCE8A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13.1 分部分项工程验收</w:t>
      </w:r>
    </w:p>
    <w:p w14:paraId="68AD8A66">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13.1.2监理人不能按时进行验收时，应提前</w:t>
      </w:r>
      <w:r>
        <w:rPr>
          <w:rFonts w:hint="eastAsia" w:asciiTheme="majorEastAsia" w:hAnsiTheme="majorEastAsia" w:eastAsiaTheme="majorEastAsia" w:cstheme="majorEastAsia"/>
          <w:color w:val="auto"/>
          <w:kern w:val="2"/>
          <w:sz w:val="21"/>
          <w:szCs w:val="21"/>
          <w:highlight w:val="none"/>
          <w:u w:val="single"/>
        </w:rPr>
        <w:t xml:space="preserve"> 48 </w:t>
      </w:r>
      <w:r>
        <w:rPr>
          <w:rFonts w:hint="eastAsia" w:asciiTheme="majorEastAsia" w:hAnsiTheme="majorEastAsia" w:eastAsiaTheme="majorEastAsia" w:cstheme="majorEastAsia"/>
          <w:color w:val="auto"/>
          <w:kern w:val="2"/>
          <w:sz w:val="21"/>
          <w:szCs w:val="21"/>
          <w:highlight w:val="none"/>
        </w:rPr>
        <w:t>小时提交书面延期要求。</w:t>
      </w:r>
    </w:p>
    <w:p w14:paraId="2FBAE4B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关于延期最长不得超过：</w:t>
      </w:r>
      <w:r>
        <w:rPr>
          <w:rFonts w:hint="eastAsia" w:asciiTheme="majorEastAsia" w:hAnsiTheme="majorEastAsia" w:eastAsiaTheme="majorEastAsia" w:cstheme="majorEastAsia"/>
          <w:color w:val="auto"/>
          <w:kern w:val="2"/>
          <w:sz w:val="21"/>
          <w:szCs w:val="21"/>
          <w:highlight w:val="none"/>
          <w:u w:val="single"/>
        </w:rPr>
        <w:t xml:space="preserve"> 48 </w:t>
      </w:r>
      <w:r>
        <w:rPr>
          <w:rFonts w:hint="eastAsia" w:asciiTheme="majorEastAsia" w:hAnsiTheme="majorEastAsia" w:eastAsiaTheme="majorEastAsia" w:cstheme="majorEastAsia"/>
          <w:color w:val="auto"/>
          <w:kern w:val="2"/>
          <w:sz w:val="21"/>
          <w:szCs w:val="21"/>
          <w:highlight w:val="none"/>
        </w:rPr>
        <w:t>小时。</w:t>
      </w:r>
    </w:p>
    <w:p w14:paraId="63E38B1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bookmarkStart w:id="854" w:name="_Toc296346724"/>
      <w:bookmarkStart w:id="855" w:name="_Toc300935016"/>
      <w:bookmarkStart w:id="856" w:name="_Toc296944562"/>
      <w:bookmarkStart w:id="857" w:name="_Toc297123565"/>
      <w:bookmarkStart w:id="858" w:name="_Toc296891263"/>
      <w:bookmarkStart w:id="859" w:name="_Toc297216224"/>
      <w:bookmarkStart w:id="860" w:name="_Toc297120523"/>
      <w:bookmarkStart w:id="861" w:name="_Toc296891051"/>
      <w:bookmarkStart w:id="862" w:name="_Toc292559428"/>
      <w:bookmarkStart w:id="863" w:name="_Toc304295596"/>
      <w:bookmarkStart w:id="864" w:name="_Toc303539173"/>
      <w:bookmarkStart w:id="865" w:name="_Toc312678056"/>
      <w:bookmarkStart w:id="866" w:name="_Toc296347222"/>
      <w:bookmarkStart w:id="867" w:name="_Toc297048409"/>
      <w:bookmarkStart w:id="868" w:name="_Toc296503223"/>
      <w:bookmarkStart w:id="869" w:name="_Toc292559933"/>
      <w:bookmarkStart w:id="870" w:name="_Toc267251475"/>
      <w:bookmarkStart w:id="871" w:name="_Toc267251476"/>
      <w:bookmarkStart w:id="872" w:name="_Toc267251471"/>
      <w:bookmarkStart w:id="873" w:name="_Toc267251472"/>
      <w:bookmarkStart w:id="874" w:name="_Toc267251474"/>
      <w:bookmarkStart w:id="875" w:name="_Toc267251473"/>
      <w:bookmarkStart w:id="876" w:name="_Toc267251470"/>
      <w:r>
        <w:rPr>
          <w:rFonts w:hint="eastAsia" w:asciiTheme="majorEastAsia" w:hAnsiTheme="majorEastAsia" w:eastAsiaTheme="majorEastAsia" w:cstheme="majorEastAsia"/>
          <w:color w:val="auto"/>
          <w:kern w:val="2"/>
          <w:sz w:val="21"/>
          <w:szCs w:val="21"/>
          <w:highlight w:val="none"/>
        </w:rPr>
        <w:t>13.2 竣工验收</w:t>
      </w:r>
    </w:p>
    <w:p w14:paraId="771D9DAF">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承包人必须保证分部分项工程及整体工程一次性达到100%验收合格</w:t>
      </w:r>
      <w:r>
        <w:rPr>
          <w:rFonts w:hint="eastAsia" w:asciiTheme="majorEastAsia" w:hAnsiTheme="majorEastAsia" w:eastAsiaTheme="majorEastAsia" w:cstheme="majorEastAsia"/>
          <w:b/>
          <w:color w:val="auto"/>
          <w:kern w:val="2"/>
          <w:sz w:val="21"/>
          <w:szCs w:val="21"/>
          <w:highlight w:val="none"/>
          <w:u w:val="none"/>
        </w:rPr>
        <w:t>。</w:t>
      </w:r>
    </w:p>
    <w:p w14:paraId="0AEAF115">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承包人应在竣工后28日内，撤出全部临建、施工人员、机械设备和剩余材料（除收尾工程所需的以外），然后填写工程移交书，经甲方签字后，视为工程移交完毕；乙方逾期未向甲方移交工程，视为乙方拖延竣工日期，按壹仟元（￥1,000.00元）/天支付违约金</w:t>
      </w:r>
      <w:r>
        <w:rPr>
          <w:rFonts w:hint="eastAsia" w:asciiTheme="majorEastAsia" w:hAnsiTheme="majorEastAsia" w:eastAsiaTheme="majorEastAsia" w:cstheme="majorEastAsia"/>
          <w:b/>
          <w:color w:val="auto"/>
          <w:kern w:val="2"/>
          <w:sz w:val="21"/>
          <w:szCs w:val="21"/>
          <w:highlight w:val="none"/>
          <w:u w:val="none"/>
        </w:rPr>
        <w:t>。</w:t>
      </w:r>
    </w:p>
    <w:p w14:paraId="715B5CA7">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工程竣工验收并达到合同验收要求，承包人不得因经济纠纷而拒绝移交工程</w:t>
      </w:r>
      <w:r>
        <w:rPr>
          <w:rFonts w:hint="eastAsia" w:asciiTheme="majorEastAsia" w:hAnsiTheme="majorEastAsia" w:eastAsiaTheme="majorEastAsia" w:cstheme="majorEastAsia"/>
          <w:b/>
          <w:color w:val="auto"/>
          <w:kern w:val="2"/>
          <w:sz w:val="21"/>
          <w:szCs w:val="21"/>
          <w:highlight w:val="none"/>
          <w:u w:val="none"/>
        </w:rPr>
        <w:t>。</w:t>
      </w:r>
    </w:p>
    <w:p w14:paraId="304A8EC2">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工程竣工验收合格后，双方须办理工程移交手续，任何一方均不得无理拒收或不交</w:t>
      </w:r>
      <w:r>
        <w:rPr>
          <w:rFonts w:hint="eastAsia" w:asciiTheme="majorEastAsia" w:hAnsiTheme="majorEastAsia" w:eastAsiaTheme="majorEastAsia" w:cstheme="majorEastAsia"/>
          <w:b/>
          <w:color w:val="auto"/>
          <w:kern w:val="2"/>
          <w:sz w:val="21"/>
          <w:szCs w:val="21"/>
          <w:highlight w:val="none"/>
          <w:u w:val="none"/>
        </w:rPr>
        <w:t>。</w:t>
      </w:r>
    </w:p>
    <w:p w14:paraId="08811261">
      <w:pPr>
        <w:pStyle w:val="55"/>
        <w:keepNext w:val="0"/>
        <w:pageBreakBefore w:val="0"/>
        <w:widowControl/>
        <w:kinsoku/>
        <w:wordWrap/>
        <w:overflowPunct/>
        <w:topLinePunct w:val="0"/>
        <w:bidi w:val="0"/>
        <w:spacing w:line="440" w:lineRule="exact"/>
        <w:ind w:left="0" w:leftChars="0" w:firstLine="527" w:firstLineChars="2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u w:val="single"/>
        </w:rPr>
        <w:t>承包人在工程竣工验收合格后，无故拒绝移交工程，并使发包人造成经济损失，承包人须负责赔偿全部发包人损失</w:t>
      </w:r>
      <w:r>
        <w:rPr>
          <w:rFonts w:hint="eastAsia" w:asciiTheme="majorEastAsia" w:hAnsiTheme="majorEastAsia" w:eastAsiaTheme="majorEastAsia" w:cstheme="majorEastAsia"/>
          <w:b/>
          <w:color w:val="auto"/>
          <w:kern w:val="2"/>
          <w:sz w:val="21"/>
          <w:szCs w:val="21"/>
          <w:highlight w:val="none"/>
          <w:u w:val="none"/>
        </w:rPr>
        <w:t>。</w:t>
      </w:r>
    </w:p>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14:paraId="12BCDAF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bookmarkStart w:id="877" w:name="_Toc280868704"/>
      <w:bookmarkStart w:id="878" w:name="_Toc280868705"/>
      <w:bookmarkStart w:id="879" w:name="_Toc280868706"/>
      <w:bookmarkStart w:id="880" w:name="_Toc280868707"/>
      <w:bookmarkStart w:id="881" w:name="_Toc280868708"/>
      <w:bookmarkStart w:id="882" w:name="_Toc280868709"/>
      <w:r>
        <w:rPr>
          <w:rFonts w:hint="eastAsia" w:asciiTheme="majorEastAsia" w:hAnsiTheme="majorEastAsia" w:eastAsiaTheme="majorEastAsia" w:cstheme="majorEastAsia"/>
          <w:color w:val="auto"/>
          <w:kern w:val="2"/>
          <w:sz w:val="21"/>
          <w:szCs w:val="21"/>
          <w:highlight w:val="none"/>
        </w:rPr>
        <w:t>13.2.2竣工验收程序</w:t>
      </w:r>
    </w:p>
    <w:bookmarkEnd w:id="877"/>
    <w:p w14:paraId="152F56D2">
      <w:pPr>
        <w:pStyle w:val="55"/>
        <w:keepNext w:val="0"/>
        <w:pageBreakBefore w:val="0"/>
        <w:widowControl/>
        <w:kinsoku/>
        <w:wordWrap/>
        <w:overflowPunct/>
        <w:topLinePunct w:val="0"/>
        <w:bidi w:val="0"/>
        <w:spacing w:line="440" w:lineRule="exact"/>
        <w:ind w:left="4200" w:leftChars="0" w:hanging="4200" w:hangingChars="20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关于竣工验收程序的约定：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0013598">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发包人不按照本项约定组织竣工验收、颁发工程接收证书的违约金的计算方法：</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bookmarkEnd w:id="878"/>
    <w:p w14:paraId="2642C14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13.2.5移交、接收全部与部分工程</w:t>
      </w:r>
    </w:p>
    <w:bookmarkEnd w:id="879"/>
    <w:p w14:paraId="19C6488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承包人向发包人移交工程的期限：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E3D567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sz w:val="21"/>
          <w:szCs w:val="21"/>
          <w:highlight w:val="none"/>
        </w:rPr>
        <w:t>发包人未按本合同约定接收全部或部分工程的，违约金的计算方法为：</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bookmarkEnd w:id="880"/>
    <w:p w14:paraId="117BAC47">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承包人未按时移交工程的，违约金的计算方法为：</w:t>
      </w:r>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kern w:val="2"/>
          <w:sz w:val="21"/>
          <w:szCs w:val="21"/>
          <w:highlight w:val="none"/>
        </w:rPr>
        <w:t>。</w:t>
      </w:r>
    </w:p>
    <w:p w14:paraId="6A493B2C">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13.3 工程试车</w:t>
      </w:r>
    </w:p>
    <w:bookmarkEnd w:id="881"/>
    <w:p w14:paraId="453D6A5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13.3.1 试车程序</w:t>
      </w:r>
    </w:p>
    <w:p w14:paraId="06D64B8F">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工程试车内容：</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779466F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（1）单机无负荷试车费用由</w:t>
      </w:r>
      <w:r>
        <w:rPr>
          <w:rFonts w:hint="eastAsia" w:asciiTheme="majorEastAsia" w:hAnsiTheme="majorEastAsia" w:eastAsiaTheme="majorEastAsia" w:cstheme="majorEastAsia"/>
          <w:color w:val="auto"/>
          <w:kern w:val="2"/>
          <w:sz w:val="21"/>
          <w:szCs w:val="21"/>
          <w:highlight w:val="none"/>
          <w:u w:val="single"/>
        </w:rPr>
        <w:t xml:space="preserve"> 承包人  </w:t>
      </w:r>
      <w:r>
        <w:rPr>
          <w:rFonts w:hint="eastAsia" w:asciiTheme="majorEastAsia" w:hAnsiTheme="majorEastAsia" w:eastAsiaTheme="majorEastAsia" w:cstheme="majorEastAsia"/>
          <w:color w:val="auto"/>
          <w:sz w:val="21"/>
          <w:szCs w:val="21"/>
          <w:highlight w:val="none"/>
        </w:rPr>
        <w:t>承担；</w:t>
      </w:r>
    </w:p>
    <w:p w14:paraId="6B6A8AC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（2）无负荷联动试车费用由</w:t>
      </w:r>
      <w:r>
        <w:rPr>
          <w:rFonts w:hint="eastAsia" w:asciiTheme="majorEastAsia" w:hAnsiTheme="majorEastAsia" w:eastAsiaTheme="majorEastAsia" w:cstheme="majorEastAsia"/>
          <w:color w:val="auto"/>
          <w:kern w:val="2"/>
          <w:sz w:val="21"/>
          <w:szCs w:val="21"/>
          <w:highlight w:val="none"/>
          <w:u w:val="single"/>
        </w:rPr>
        <w:t xml:space="preserve">  承包人  </w:t>
      </w:r>
      <w:r>
        <w:rPr>
          <w:rFonts w:hint="eastAsia" w:asciiTheme="majorEastAsia" w:hAnsiTheme="majorEastAsia" w:eastAsiaTheme="majorEastAsia" w:cstheme="majorEastAsia"/>
          <w:color w:val="auto"/>
          <w:sz w:val="21"/>
          <w:szCs w:val="21"/>
          <w:highlight w:val="none"/>
        </w:rPr>
        <w:t>承担。</w:t>
      </w:r>
    </w:p>
    <w:p w14:paraId="114BD980">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13.3.3 投料试车</w:t>
      </w:r>
    </w:p>
    <w:p w14:paraId="2B045378">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关于投料试车相关事项的约定：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2F5CE5E">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883" w:name="_Toc14670"/>
      <w:bookmarkStart w:id="884" w:name="_Toc24164"/>
      <w:bookmarkStart w:id="885" w:name="_Toc8817"/>
      <w:bookmarkStart w:id="886" w:name="_Toc10652"/>
      <w:bookmarkStart w:id="887" w:name="_Toc1370"/>
      <w:r>
        <w:rPr>
          <w:rFonts w:hint="eastAsia" w:asciiTheme="majorEastAsia" w:hAnsiTheme="majorEastAsia" w:eastAsiaTheme="majorEastAsia" w:cstheme="majorEastAsia"/>
          <w:color w:val="auto"/>
          <w:kern w:val="2"/>
          <w:sz w:val="21"/>
          <w:szCs w:val="21"/>
          <w:highlight w:val="none"/>
        </w:rPr>
        <w:t>13.6 竣工退场</w:t>
      </w:r>
      <w:bookmarkEnd w:id="883"/>
      <w:bookmarkEnd w:id="884"/>
      <w:bookmarkEnd w:id="885"/>
      <w:bookmarkEnd w:id="886"/>
      <w:bookmarkEnd w:id="887"/>
    </w:p>
    <w:p w14:paraId="468A914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13.6.1 竣工退场</w:t>
      </w:r>
    </w:p>
    <w:p w14:paraId="047C31B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承包人完成竣工退场的期限：</w:t>
      </w:r>
      <w:r>
        <w:rPr>
          <w:rFonts w:hint="eastAsia" w:asciiTheme="majorEastAsia" w:hAnsiTheme="majorEastAsia" w:eastAsiaTheme="majorEastAsia" w:cstheme="majorEastAsia"/>
          <w:b/>
          <w:color w:val="auto"/>
          <w:kern w:val="2"/>
          <w:sz w:val="21"/>
          <w:szCs w:val="21"/>
          <w:highlight w:val="none"/>
          <w:u w:val="single"/>
        </w:rPr>
        <w:t>工程接收证书颁发后28天内</w:t>
      </w:r>
      <w:r>
        <w:rPr>
          <w:rFonts w:hint="eastAsia" w:asciiTheme="majorEastAsia" w:hAnsiTheme="majorEastAsia" w:eastAsiaTheme="majorEastAsia" w:cstheme="majorEastAsia"/>
          <w:color w:val="auto"/>
          <w:sz w:val="21"/>
          <w:szCs w:val="21"/>
          <w:highlight w:val="none"/>
        </w:rPr>
        <w:t>。</w:t>
      </w:r>
    </w:p>
    <w:p w14:paraId="0E2A8715">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888" w:name="_Toc351203646"/>
      <w:r>
        <w:rPr>
          <w:rFonts w:hint="eastAsia" w:asciiTheme="majorEastAsia" w:hAnsiTheme="majorEastAsia" w:eastAsiaTheme="majorEastAsia" w:cstheme="majorEastAsia"/>
          <w:b w:val="0"/>
          <w:color w:val="auto"/>
          <w:sz w:val="21"/>
          <w:szCs w:val="21"/>
          <w:highlight w:val="none"/>
        </w:rPr>
        <w:t>14. 竣工结算</w:t>
      </w:r>
      <w:bookmarkEnd w:id="888"/>
    </w:p>
    <w:p w14:paraId="28C30E37">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14.1 竣工结算申请</w:t>
      </w:r>
    </w:p>
    <w:p w14:paraId="25275CBC">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承包人提交竣工结算申请单的期限：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480700C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竣工结算申请单应包括的内容：</w:t>
      </w:r>
      <w:r>
        <w:rPr>
          <w:rFonts w:hint="eastAsia" w:asciiTheme="majorEastAsia" w:hAnsiTheme="majorEastAsia" w:eastAsiaTheme="majorEastAsia" w:cstheme="majorEastAsia"/>
          <w:b/>
          <w:color w:val="auto"/>
          <w:kern w:val="2"/>
          <w:sz w:val="21"/>
          <w:szCs w:val="21"/>
          <w:highlight w:val="none"/>
          <w:u w:val="single"/>
        </w:rPr>
        <w:t>施工合同、工程量签证、竣工图、开竣工验收报告等其他结算所需资料原件（以发包人委托的审核单位要求为准）</w:t>
      </w:r>
      <w:r>
        <w:rPr>
          <w:rFonts w:hint="eastAsia" w:asciiTheme="majorEastAsia" w:hAnsiTheme="majorEastAsia" w:eastAsiaTheme="majorEastAsia" w:cstheme="majorEastAsia"/>
          <w:color w:val="auto"/>
          <w:kern w:val="2"/>
          <w:sz w:val="21"/>
          <w:szCs w:val="21"/>
          <w:highlight w:val="none"/>
        </w:rPr>
        <w:t>。</w:t>
      </w:r>
    </w:p>
    <w:p w14:paraId="5DA2FB91">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889" w:name="_Toc22767"/>
      <w:bookmarkStart w:id="890" w:name="_Toc13695"/>
      <w:bookmarkStart w:id="891" w:name="_Toc29725"/>
      <w:bookmarkStart w:id="892" w:name="_Toc32114"/>
      <w:bookmarkStart w:id="893" w:name="_Toc5169"/>
      <w:r>
        <w:rPr>
          <w:rFonts w:hint="eastAsia" w:asciiTheme="majorEastAsia" w:hAnsiTheme="majorEastAsia" w:eastAsiaTheme="majorEastAsia" w:cstheme="majorEastAsia"/>
          <w:color w:val="auto"/>
          <w:kern w:val="2"/>
          <w:sz w:val="21"/>
          <w:szCs w:val="21"/>
          <w:highlight w:val="none"/>
        </w:rPr>
        <w:t>14.2 竣工结算审核</w:t>
      </w:r>
      <w:bookmarkEnd w:id="889"/>
      <w:bookmarkEnd w:id="890"/>
      <w:bookmarkEnd w:id="891"/>
      <w:bookmarkEnd w:id="892"/>
      <w:bookmarkEnd w:id="893"/>
    </w:p>
    <w:p w14:paraId="1A88287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发包人审批竣工付款申请单的期限：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3B71A0C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发包人完成竣工付款的期限：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34179E86">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关于竣工付款证书异议部分复核的方式和程序：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BF609E8">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14.4 最终结清</w:t>
      </w:r>
    </w:p>
    <w:p w14:paraId="5257271D">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14.4.1 最终结清申请单</w:t>
      </w:r>
    </w:p>
    <w:p w14:paraId="05079BBE">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承包人提交最终结清申请单的份数：</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5份</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1D85BFA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承包人提交最终结算申请单的期限：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 xml:space="preserve">。 </w:t>
      </w:r>
    </w:p>
    <w:p w14:paraId="2D407D4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14.4.2 最终结清证书和支付</w:t>
      </w:r>
    </w:p>
    <w:p w14:paraId="4B9B2D04">
      <w:pPr>
        <w:pStyle w:val="55"/>
        <w:keepNext w:val="0"/>
        <w:pageBreakBefore w:val="0"/>
        <w:widowControl/>
        <w:kinsoku/>
        <w:wordWrap/>
        <w:overflowPunct/>
        <w:topLinePunct w:val="0"/>
        <w:bidi w:val="0"/>
        <w:spacing w:line="440" w:lineRule="exact"/>
        <w:ind w:left="0" w:leftChars="0" w:firstLine="315" w:firstLineChars="15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（1）发包人完成最终结清申请单的审批并颁发最终结清证书的期限：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FA40E0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（2）发包人完成支付的期限：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bookmarkEnd w:id="870"/>
    <w:bookmarkEnd w:id="871"/>
    <w:bookmarkEnd w:id="872"/>
    <w:bookmarkEnd w:id="873"/>
    <w:bookmarkEnd w:id="874"/>
    <w:bookmarkEnd w:id="875"/>
    <w:bookmarkEnd w:id="876"/>
    <w:bookmarkEnd w:id="882"/>
    <w:p w14:paraId="1602F9D1">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894" w:name="_Toc351203647"/>
      <w:bookmarkStart w:id="895" w:name="_Toc267251483"/>
      <w:bookmarkStart w:id="896" w:name="_Toc267251484"/>
      <w:bookmarkStart w:id="897" w:name="_Toc267251482"/>
      <w:bookmarkStart w:id="898" w:name="_Toc267251485"/>
      <w:bookmarkStart w:id="899" w:name="_Toc267251486"/>
      <w:bookmarkStart w:id="900" w:name="_Toc267251489"/>
      <w:bookmarkStart w:id="901" w:name="_Toc267251490"/>
      <w:bookmarkStart w:id="902" w:name="_Toc267251488"/>
      <w:bookmarkStart w:id="903" w:name="_Toc267251503"/>
      <w:bookmarkStart w:id="904" w:name="_Toc267251501"/>
      <w:bookmarkStart w:id="905" w:name="_Toc267251495"/>
      <w:bookmarkStart w:id="906" w:name="_Toc267251493"/>
      <w:bookmarkStart w:id="907" w:name="_Toc267251497"/>
      <w:bookmarkStart w:id="908" w:name="_Toc267251492"/>
      <w:bookmarkStart w:id="909" w:name="_Toc267251498"/>
      <w:bookmarkStart w:id="910" w:name="_Toc267251491"/>
      <w:bookmarkStart w:id="911" w:name="_Toc267251499"/>
      <w:bookmarkStart w:id="912" w:name="_Toc267251496"/>
      <w:bookmarkStart w:id="913" w:name="_Toc267251494"/>
      <w:bookmarkStart w:id="914" w:name="_Toc267251502"/>
      <w:bookmarkStart w:id="915" w:name="_Toc267251504"/>
      <w:bookmarkStart w:id="916" w:name="_Toc267251506"/>
      <w:bookmarkStart w:id="917" w:name="_Toc267251507"/>
      <w:bookmarkStart w:id="918" w:name="_Toc267251508"/>
      <w:bookmarkStart w:id="919" w:name="_Toc267251513"/>
      <w:bookmarkStart w:id="920" w:name="_Toc267251509"/>
      <w:bookmarkStart w:id="921" w:name="_Toc267251511"/>
      <w:bookmarkStart w:id="922" w:name="_Toc267251510"/>
      <w:bookmarkStart w:id="923" w:name="_Toc267251515"/>
      <w:bookmarkStart w:id="924" w:name="_Toc267251514"/>
      <w:r>
        <w:rPr>
          <w:rFonts w:hint="eastAsia" w:asciiTheme="majorEastAsia" w:hAnsiTheme="majorEastAsia" w:eastAsiaTheme="majorEastAsia" w:cstheme="majorEastAsia"/>
          <w:b w:val="0"/>
          <w:color w:val="auto"/>
          <w:sz w:val="21"/>
          <w:szCs w:val="21"/>
          <w:highlight w:val="none"/>
        </w:rPr>
        <w:t>15. 缺陷责任期与保修</w:t>
      </w:r>
      <w:bookmarkEnd w:id="894"/>
    </w:p>
    <w:p w14:paraId="172D150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15.2缺陷责任期</w:t>
      </w:r>
      <w:bookmarkEnd w:id="895"/>
    </w:p>
    <w:p w14:paraId="511B71A2">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缺陷责任期的具体期限：</w:t>
      </w:r>
      <w:r>
        <w:rPr>
          <w:rFonts w:hint="eastAsia" w:asciiTheme="majorEastAsia" w:hAnsiTheme="majorEastAsia" w:eastAsiaTheme="majorEastAsia" w:cstheme="majorEastAsia"/>
          <w:b/>
          <w:color w:val="auto"/>
          <w:kern w:val="2"/>
          <w:sz w:val="21"/>
          <w:szCs w:val="21"/>
          <w:highlight w:val="none"/>
          <w:u w:val="single"/>
        </w:rPr>
        <w:t>自竣工日期起计算，期限为壹年</w:t>
      </w:r>
      <w:r>
        <w:rPr>
          <w:rFonts w:hint="eastAsia" w:asciiTheme="majorEastAsia" w:hAnsiTheme="majorEastAsia" w:eastAsiaTheme="majorEastAsia" w:cstheme="majorEastAsia"/>
          <w:color w:val="auto"/>
          <w:kern w:val="2"/>
          <w:sz w:val="21"/>
          <w:szCs w:val="21"/>
          <w:highlight w:val="none"/>
        </w:rPr>
        <w:t>。</w:t>
      </w:r>
    </w:p>
    <w:p w14:paraId="3D640512">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25" w:name="_Toc23430"/>
      <w:bookmarkStart w:id="926" w:name="_Toc25424"/>
      <w:bookmarkStart w:id="927" w:name="_Toc6629"/>
      <w:bookmarkStart w:id="928" w:name="_Toc10622"/>
      <w:bookmarkStart w:id="929" w:name="_Toc4158"/>
      <w:r>
        <w:rPr>
          <w:rFonts w:hint="eastAsia" w:asciiTheme="majorEastAsia" w:hAnsiTheme="majorEastAsia" w:eastAsiaTheme="majorEastAsia" w:cstheme="majorEastAsia"/>
          <w:color w:val="auto"/>
          <w:kern w:val="2"/>
          <w:sz w:val="21"/>
          <w:szCs w:val="21"/>
          <w:highlight w:val="none"/>
        </w:rPr>
        <w:t>15.3 质量保证金</w:t>
      </w:r>
      <w:bookmarkEnd w:id="925"/>
      <w:bookmarkEnd w:id="926"/>
      <w:bookmarkEnd w:id="927"/>
      <w:bookmarkEnd w:id="928"/>
      <w:bookmarkEnd w:id="929"/>
    </w:p>
    <w:p w14:paraId="5463065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关于是否扣留质量保证金的约定：</w:t>
      </w:r>
      <w:r>
        <w:rPr>
          <w:rFonts w:hint="eastAsia" w:asciiTheme="majorEastAsia" w:hAnsiTheme="majorEastAsia" w:eastAsiaTheme="majorEastAsia" w:cstheme="majorEastAsia"/>
          <w:b/>
          <w:color w:val="auto"/>
          <w:kern w:val="2"/>
          <w:sz w:val="21"/>
          <w:szCs w:val="21"/>
          <w:highlight w:val="none"/>
          <w:u w:val="single"/>
        </w:rPr>
        <w:t>扣留合同结算价款的3%作为质量保证金</w:t>
      </w:r>
      <w:r>
        <w:rPr>
          <w:rFonts w:hint="eastAsia" w:asciiTheme="majorEastAsia" w:hAnsiTheme="majorEastAsia" w:eastAsiaTheme="majorEastAsia" w:cstheme="majorEastAsia"/>
          <w:color w:val="auto"/>
          <w:kern w:val="2"/>
          <w:sz w:val="21"/>
          <w:szCs w:val="21"/>
          <w:highlight w:val="none"/>
        </w:rPr>
        <w:t>。在工程项目竣工前，承包人按专用合同条款第3.7条提供履约担保的，发包人不得同时预留工程质量保证金。</w:t>
      </w:r>
    </w:p>
    <w:p w14:paraId="618E7CD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p>
    <w:p w14:paraId="52D5B893">
      <w:pPr>
        <w:pStyle w:val="55"/>
        <w:keepNext w:val="0"/>
        <w:pageBreakBefore w:val="0"/>
        <w:widowControl/>
        <w:kinsoku/>
        <w:wordWrap/>
        <w:overflowPunct/>
        <w:topLinePunct w:val="0"/>
        <w:bidi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kern w:val="2"/>
          <w:sz w:val="21"/>
          <w:szCs w:val="21"/>
          <w:highlight w:val="none"/>
        </w:rPr>
      </w:pPr>
      <w:bookmarkStart w:id="930" w:name="_Toc2962"/>
      <w:bookmarkStart w:id="931" w:name="_Toc4058"/>
      <w:bookmarkStart w:id="932" w:name="_Toc5536"/>
      <w:bookmarkStart w:id="933" w:name="_Toc20329"/>
      <w:bookmarkStart w:id="934" w:name="_Toc25158"/>
      <w:r>
        <w:rPr>
          <w:rFonts w:hint="eastAsia" w:asciiTheme="majorEastAsia" w:hAnsiTheme="majorEastAsia" w:eastAsiaTheme="majorEastAsia" w:cstheme="majorEastAsia"/>
          <w:color w:val="auto"/>
          <w:kern w:val="2"/>
          <w:sz w:val="21"/>
          <w:szCs w:val="21"/>
          <w:highlight w:val="none"/>
        </w:rPr>
        <w:t>15.3.1 承包人提供质量保证金的方式</w:t>
      </w:r>
      <w:bookmarkEnd w:id="930"/>
      <w:bookmarkEnd w:id="931"/>
      <w:bookmarkEnd w:id="932"/>
      <w:bookmarkEnd w:id="933"/>
      <w:bookmarkEnd w:id="934"/>
    </w:p>
    <w:p w14:paraId="7647209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质量保证金采用以下第</w:t>
      </w:r>
      <w:r>
        <w:rPr>
          <w:rFonts w:hint="eastAsia" w:asciiTheme="majorEastAsia" w:hAnsiTheme="majorEastAsia" w:eastAsiaTheme="majorEastAsia" w:cstheme="majorEastAsia"/>
          <w:color w:val="auto"/>
          <w:kern w:val="2"/>
          <w:sz w:val="21"/>
          <w:szCs w:val="21"/>
          <w:highlight w:val="none"/>
          <w:u w:val="single"/>
        </w:rPr>
        <w:t xml:space="preserve"> 2 </w:t>
      </w:r>
      <w:r>
        <w:rPr>
          <w:rFonts w:hint="eastAsia" w:asciiTheme="majorEastAsia" w:hAnsiTheme="majorEastAsia" w:eastAsiaTheme="majorEastAsia" w:cstheme="majorEastAsia"/>
          <w:color w:val="auto"/>
          <w:kern w:val="2"/>
          <w:sz w:val="21"/>
          <w:szCs w:val="21"/>
          <w:highlight w:val="none"/>
        </w:rPr>
        <w:t>种方式：</w:t>
      </w:r>
    </w:p>
    <w:p w14:paraId="6231F889">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（1）质量保证金保函，保证金额为：</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 xml:space="preserve">； </w:t>
      </w:r>
    </w:p>
    <w:p w14:paraId="04F4FF03">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w:t>
      </w:r>
      <w:r>
        <w:rPr>
          <w:rFonts w:hint="eastAsia" w:asciiTheme="majorEastAsia" w:hAnsiTheme="majorEastAsia" w:eastAsiaTheme="majorEastAsia" w:cstheme="majorEastAsia"/>
          <w:color w:val="auto"/>
          <w:sz w:val="21"/>
          <w:szCs w:val="21"/>
          <w:highlight w:val="none"/>
          <w:u w:val="single"/>
        </w:rPr>
        <w:t xml:space="preserve"> 3 </w:t>
      </w:r>
      <w:r>
        <w:rPr>
          <w:rFonts w:hint="eastAsia" w:asciiTheme="majorEastAsia" w:hAnsiTheme="majorEastAsia" w:eastAsiaTheme="majorEastAsia" w:cstheme="majorEastAsia"/>
          <w:color w:val="auto"/>
          <w:sz w:val="21"/>
          <w:szCs w:val="21"/>
          <w:highlight w:val="none"/>
        </w:rPr>
        <w:t>%的工程款；</w:t>
      </w:r>
    </w:p>
    <w:p w14:paraId="194455E3">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（3）其他方式:</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w:t>
      </w:r>
    </w:p>
    <w:p w14:paraId="723578D7">
      <w:pPr>
        <w:pStyle w:val="55"/>
        <w:keepNext w:val="0"/>
        <w:pageBreakBefore w:val="0"/>
        <w:widowControl/>
        <w:kinsoku/>
        <w:wordWrap/>
        <w:overflowPunct/>
        <w:topLinePunct w:val="0"/>
        <w:bidi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kern w:val="2"/>
          <w:sz w:val="21"/>
          <w:szCs w:val="21"/>
          <w:highlight w:val="none"/>
        </w:rPr>
      </w:pPr>
      <w:bookmarkStart w:id="935" w:name="_Toc6196"/>
      <w:bookmarkStart w:id="936" w:name="_Toc15720"/>
      <w:bookmarkStart w:id="937" w:name="_Toc979"/>
      <w:bookmarkStart w:id="938" w:name="_Toc30779"/>
      <w:bookmarkStart w:id="939" w:name="_Toc8670"/>
      <w:r>
        <w:rPr>
          <w:rFonts w:hint="eastAsia" w:asciiTheme="majorEastAsia" w:hAnsiTheme="majorEastAsia" w:eastAsiaTheme="majorEastAsia" w:cstheme="majorEastAsia"/>
          <w:color w:val="auto"/>
          <w:kern w:val="2"/>
          <w:sz w:val="21"/>
          <w:szCs w:val="21"/>
          <w:highlight w:val="none"/>
        </w:rPr>
        <w:t>15.3.2 质量保证金的扣留</w:t>
      </w:r>
      <w:bookmarkEnd w:id="935"/>
      <w:bookmarkEnd w:id="936"/>
      <w:bookmarkEnd w:id="937"/>
      <w:bookmarkEnd w:id="938"/>
      <w:bookmarkEnd w:id="939"/>
      <w:r>
        <w:rPr>
          <w:rFonts w:hint="eastAsia" w:asciiTheme="majorEastAsia" w:hAnsiTheme="majorEastAsia" w:eastAsiaTheme="majorEastAsia" w:cstheme="majorEastAsia"/>
          <w:color w:val="auto"/>
          <w:kern w:val="2"/>
          <w:sz w:val="21"/>
          <w:szCs w:val="21"/>
          <w:highlight w:val="none"/>
        </w:rPr>
        <w:t xml:space="preserve"> </w:t>
      </w:r>
    </w:p>
    <w:p w14:paraId="602DF1EA">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质量保证金的扣留采取以下第</w:t>
      </w:r>
      <w:r>
        <w:rPr>
          <w:rFonts w:hint="eastAsia" w:asciiTheme="majorEastAsia" w:hAnsiTheme="majorEastAsia" w:eastAsiaTheme="majorEastAsia" w:cstheme="majorEastAsia"/>
          <w:color w:val="auto"/>
          <w:kern w:val="2"/>
          <w:sz w:val="21"/>
          <w:szCs w:val="21"/>
          <w:highlight w:val="none"/>
          <w:u w:val="single"/>
        </w:rPr>
        <w:t xml:space="preserve"> 3 </w:t>
      </w:r>
      <w:r>
        <w:rPr>
          <w:rFonts w:hint="eastAsia" w:asciiTheme="majorEastAsia" w:hAnsiTheme="majorEastAsia" w:eastAsiaTheme="majorEastAsia" w:cstheme="majorEastAsia"/>
          <w:color w:val="auto"/>
          <w:kern w:val="2"/>
          <w:sz w:val="21"/>
          <w:szCs w:val="21"/>
          <w:highlight w:val="none"/>
        </w:rPr>
        <w:t>种方式：</w:t>
      </w:r>
    </w:p>
    <w:p w14:paraId="54C63AF3">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（1）在支付工程进度款时逐次扣留，在此情形下，质量保证金的计算基数不包括预付款的支付、扣回以及价格调整的金额；</w:t>
      </w:r>
    </w:p>
    <w:p w14:paraId="445776F1">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sz w:val="21"/>
          <w:szCs w:val="21"/>
          <w:highlight w:val="none"/>
        </w:rPr>
      </w:pPr>
      <w:bookmarkStart w:id="940" w:name="_Toc8174"/>
      <w:bookmarkStart w:id="941" w:name="_Toc9957"/>
      <w:bookmarkStart w:id="942" w:name="_Toc493"/>
      <w:bookmarkStart w:id="943" w:name="_Toc7548"/>
      <w:bookmarkStart w:id="944" w:name="_Toc27968"/>
      <w:r>
        <w:rPr>
          <w:rFonts w:hint="eastAsia" w:asciiTheme="majorEastAsia" w:hAnsiTheme="majorEastAsia" w:eastAsiaTheme="majorEastAsia" w:cstheme="majorEastAsia"/>
          <w:color w:val="auto"/>
          <w:sz w:val="21"/>
          <w:szCs w:val="21"/>
          <w:highlight w:val="none"/>
        </w:rPr>
        <w:t>（2）工程竣工结算时一次性扣留质量保证金；</w:t>
      </w:r>
      <w:bookmarkEnd w:id="940"/>
      <w:bookmarkEnd w:id="941"/>
      <w:bookmarkEnd w:id="942"/>
      <w:bookmarkEnd w:id="943"/>
      <w:bookmarkEnd w:id="944"/>
    </w:p>
    <w:p w14:paraId="0A735128">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（3）其他扣留方式:</w:t>
      </w:r>
      <w:r>
        <w:rPr>
          <w:rFonts w:hint="eastAsia" w:asciiTheme="majorEastAsia" w:hAnsiTheme="majorEastAsia" w:eastAsiaTheme="majorEastAsia" w:cstheme="majorEastAsia"/>
          <w:b/>
          <w:color w:val="auto"/>
          <w:sz w:val="21"/>
          <w:szCs w:val="21"/>
          <w:highlight w:val="none"/>
          <w:u w:val="single"/>
        </w:rPr>
        <w:t>保修金的金额为本合同结算价款的3%，根据质保合同在项目缺陷责任期满后14日内退还（保修金退还时不计利息）</w:t>
      </w:r>
      <w:r>
        <w:rPr>
          <w:rFonts w:hint="eastAsia" w:asciiTheme="majorEastAsia" w:hAnsiTheme="majorEastAsia" w:eastAsiaTheme="majorEastAsia" w:cstheme="majorEastAsia"/>
          <w:color w:val="auto"/>
          <w:sz w:val="21"/>
          <w:szCs w:val="21"/>
          <w:highlight w:val="none"/>
        </w:rPr>
        <w:t>。</w:t>
      </w:r>
    </w:p>
    <w:p w14:paraId="09BEFA48">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关于质量保证金的补充约定：</w:t>
      </w:r>
      <w:r>
        <w:rPr>
          <w:rFonts w:hint="eastAsia" w:asciiTheme="majorEastAsia" w:hAnsiTheme="majorEastAsia" w:eastAsiaTheme="majorEastAsia" w:cstheme="majorEastAsia"/>
          <w:color w:val="auto"/>
          <w:sz w:val="21"/>
          <w:szCs w:val="21"/>
          <w:highlight w:val="none"/>
          <w:u w:val="single"/>
        </w:rPr>
        <w:t xml:space="preserve">  /    </w:t>
      </w:r>
      <w:r>
        <w:rPr>
          <w:rFonts w:hint="eastAsia" w:asciiTheme="majorEastAsia" w:hAnsiTheme="majorEastAsia" w:eastAsiaTheme="majorEastAsia" w:cstheme="majorEastAsia"/>
          <w:color w:val="auto"/>
          <w:sz w:val="21"/>
          <w:szCs w:val="21"/>
          <w:highlight w:val="none"/>
        </w:rPr>
        <w:t>。</w:t>
      </w:r>
    </w:p>
    <w:bookmarkEnd w:id="896"/>
    <w:bookmarkEnd w:id="897"/>
    <w:p w14:paraId="331664EA">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15.4保修</w:t>
      </w:r>
    </w:p>
    <w:bookmarkEnd w:id="898"/>
    <w:p w14:paraId="3C734B48">
      <w:pPr>
        <w:pStyle w:val="55"/>
        <w:keepNext w:val="0"/>
        <w:pageBreakBefore w:val="0"/>
        <w:widowControl/>
        <w:kinsoku/>
        <w:wordWrap/>
        <w:overflowPunct/>
        <w:topLinePunct w:val="0"/>
        <w:bidi w:val="0"/>
        <w:spacing w:line="440" w:lineRule="exact"/>
        <w:ind w:left="0" w:leftChars="0" w:firstLine="409" w:firstLineChars="195"/>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15.4.1 保修责任</w:t>
      </w:r>
    </w:p>
    <w:p w14:paraId="617FF806">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工程保修期为：</w:t>
      </w:r>
      <w:r>
        <w:rPr>
          <w:rFonts w:hint="eastAsia" w:asciiTheme="majorEastAsia" w:hAnsiTheme="majorEastAsia" w:eastAsiaTheme="majorEastAsia" w:cstheme="majorEastAsia"/>
          <w:b/>
          <w:color w:val="auto"/>
          <w:sz w:val="21"/>
          <w:szCs w:val="21"/>
          <w:highlight w:val="none"/>
          <w:u w:val="single"/>
        </w:rPr>
        <w:t>详见保修书的规定</w:t>
      </w:r>
      <w:r>
        <w:rPr>
          <w:rFonts w:hint="eastAsia" w:asciiTheme="majorEastAsia" w:hAnsiTheme="majorEastAsia" w:eastAsiaTheme="majorEastAsia" w:cstheme="majorEastAsia"/>
          <w:color w:val="auto"/>
          <w:sz w:val="21"/>
          <w:szCs w:val="21"/>
          <w:highlight w:val="none"/>
        </w:rPr>
        <w:t>。</w:t>
      </w:r>
    </w:p>
    <w:p w14:paraId="5718DDEC">
      <w:pPr>
        <w:pStyle w:val="55"/>
        <w:keepNext w:val="0"/>
        <w:pageBreakBefore w:val="0"/>
        <w:widowControl/>
        <w:kinsoku/>
        <w:wordWrap/>
        <w:overflowPunct/>
        <w:topLinePunct w:val="0"/>
        <w:bidi w:val="0"/>
        <w:spacing w:line="440" w:lineRule="exact"/>
        <w:ind w:left="0" w:leftChars="0" w:firstLine="409" w:firstLineChars="195"/>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15.4.3 修复通知</w:t>
      </w:r>
    </w:p>
    <w:p w14:paraId="711DD593">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承包人收到保修通知并到达工程现场的合理时间：</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24小时</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bookmarkEnd w:id="899"/>
    <w:bookmarkEnd w:id="900"/>
    <w:bookmarkEnd w:id="901"/>
    <w:bookmarkEnd w:id="902"/>
    <w:p w14:paraId="3999D510">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945" w:name="_Toc351203648"/>
      <w:bookmarkStart w:id="946" w:name="_Toc280868717"/>
      <w:bookmarkStart w:id="947" w:name="_Toc280868718"/>
      <w:r>
        <w:rPr>
          <w:rFonts w:hint="eastAsia" w:asciiTheme="majorEastAsia" w:hAnsiTheme="majorEastAsia" w:eastAsiaTheme="majorEastAsia" w:cstheme="majorEastAsia"/>
          <w:b w:val="0"/>
          <w:color w:val="auto"/>
          <w:sz w:val="21"/>
          <w:szCs w:val="21"/>
          <w:highlight w:val="none"/>
        </w:rPr>
        <w:t>16. 违约</w:t>
      </w:r>
      <w:bookmarkEnd w:id="945"/>
    </w:p>
    <w:p w14:paraId="09370997">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48" w:name="_Toc11456"/>
      <w:bookmarkStart w:id="949" w:name="_Toc12530"/>
      <w:bookmarkStart w:id="950" w:name="_Toc18315"/>
      <w:bookmarkStart w:id="951" w:name="_Toc2586"/>
      <w:bookmarkStart w:id="952" w:name="_Toc18344"/>
      <w:r>
        <w:rPr>
          <w:rFonts w:hint="eastAsia" w:asciiTheme="majorEastAsia" w:hAnsiTheme="majorEastAsia" w:eastAsiaTheme="majorEastAsia" w:cstheme="majorEastAsia"/>
          <w:color w:val="auto"/>
          <w:kern w:val="2"/>
          <w:sz w:val="21"/>
          <w:szCs w:val="21"/>
          <w:highlight w:val="none"/>
        </w:rPr>
        <w:t>16.1 发包人违约</w:t>
      </w:r>
      <w:bookmarkEnd w:id="948"/>
      <w:bookmarkEnd w:id="949"/>
      <w:bookmarkEnd w:id="950"/>
      <w:bookmarkEnd w:id="951"/>
      <w:bookmarkEnd w:id="952"/>
    </w:p>
    <w:p w14:paraId="6C32C7C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16.1.1发包人违约的情形</w:t>
      </w:r>
    </w:p>
    <w:p w14:paraId="2A367522">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发包人违约的其他情形：</w:t>
      </w:r>
      <w:r>
        <w:rPr>
          <w:rFonts w:hint="eastAsia" w:asciiTheme="majorEastAsia" w:hAnsiTheme="majorEastAsia" w:eastAsiaTheme="majorEastAsia" w:cstheme="majorEastAsia"/>
          <w:color w:val="auto"/>
          <w:sz w:val="21"/>
          <w:szCs w:val="21"/>
          <w:highlight w:val="none"/>
          <w:u w:val="single"/>
        </w:rPr>
        <w:t xml:space="preserve"> </w:t>
      </w:r>
    </w:p>
    <w:p w14:paraId="52AAA239">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（1）因发包人原因未能在计划开工日期前7天内下达开工通知的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4F9AF027">
      <w:pPr>
        <w:pStyle w:val="55"/>
        <w:keepNext w:val="0"/>
        <w:pageBreakBefore w:val="0"/>
        <w:widowControl/>
        <w:kinsoku/>
        <w:wordWrap/>
        <w:overflowPunct/>
        <w:topLinePunct w:val="0"/>
        <w:bidi w:val="0"/>
        <w:spacing w:line="440" w:lineRule="exact"/>
        <w:ind w:left="0" w:leftChars="0" w:firstLine="316" w:firstLineChars="15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 xml:space="preserve"> （2）因发包人原因未能按合同约定支付合同价款的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33FD220B">
      <w:pPr>
        <w:pStyle w:val="55"/>
        <w:keepNext w:val="0"/>
        <w:pageBreakBefore w:val="0"/>
        <w:widowControl/>
        <w:kinsoku/>
        <w:wordWrap/>
        <w:overflowPunct/>
        <w:topLinePunct w:val="0"/>
        <w:bidi w:val="0"/>
        <w:spacing w:line="440" w:lineRule="exact"/>
        <w:ind w:left="0" w:leftChars="0" w:firstLine="316" w:firstLineChars="15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 xml:space="preserve"> （3）发包人违反专用条款第10.1款〔变更的范围〕第（2）项约定，自行实施被取消的工作或转由他人实施的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6F018884">
      <w:pPr>
        <w:pStyle w:val="55"/>
        <w:keepNext w:val="0"/>
        <w:pageBreakBefore w:val="0"/>
        <w:widowControl/>
        <w:kinsoku/>
        <w:wordWrap/>
        <w:overflowPunct/>
        <w:topLinePunct w:val="0"/>
        <w:bidi w:val="0"/>
        <w:spacing w:line="440" w:lineRule="exact"/>
        <w:ind w:left="0" w:leftChars="0" w:firstLine="316" w:firstLineChars="15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（4）发包人提供的材料、工程设备的规格、数量或质量不符合合同约定，或因发包人原因导致交货日期延误或交货地点变更等情况的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4168766E">
      <w:pPr>
        <w:pStyle w:val="55"/>
        <w:keepNext w:val="0"/>
        <w:pageBreakBefore w:val="0"/>
        <w:widowControl/>
        <w:kinsoku/>
        <w:wordWrap/>
        <w:overflowPunct/>
        <w:topLinePunct w:val="0"/>
        <w:bidi w:val="0"/>
        <w:spacing w:line="440" w:lineRule="exact"/>
        <w:ind w:left="0" w:leftChars="0" w:firstLine="316" w:firstLineChars="15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（5）因发包人违反合同约定造成暂停施工的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1B577F51">
      <w:pPr>
        <w:pStyle w:val="55"/>
        <w:keepNext w:val="0"/>
        <w:pageBreakBefore w:val="0"/>
        <w:widowControl/>
        <w:kinsoku/>
        <w:wordWrap/>
        <w:overflowPunct/>
        <w:topLinePunct w:val="0"/>
        <w:bidi w:val="0"/>
        <w:spacing w:line="440" w:lineRule="exact"/>
        <w:ind w:left="0" w:leftChars="0" w:firstLine="316" w:firstLineChars="150"/>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（6）发包人无正当理由没有在约定期限内发出复工指示，导致承包人无法复工的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0851739A">
      <w:pPr>
        <w:pStyle w:val="55"/>
        <w:keepNext w:val="0"/>
        <w:pageBreakBefore w:val="0"/>
        <w:widowControl/>
        <w:kinsoku/>
        <w:wordWrap/>
        <w:overflowPunct/>
        <w:topLinePunct w:val="0"/>
        <w:bidi w:val="0"/>
        <w:spacing w:line="440" w:lineRule="exact"/>
        <w:ind w:left="630" w:leftChars="0" w:hanging="630" w:hangingChars="300"/>
        <w:jc w:val="left"/>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color w:val="auto"/>
          <w:sz w:val="21"/>
          <w:szCs w:val="21"/>
          <w:highlight w:val="none"/>
          <w:shd w:val="clear" w:color="auto" w:fill="FFFFFF"/>
        </w:rPr>
        <w:t>（</w:t>
      </w:r>
      <w:r>
        <w:rPr>
          <w:rFonts w:hint="eastAsia" w:asciiTheme="majorEastAsia" w:hAnsiTheme="majorEastAsia" w:eastAsiaTheme="majorEastAsia" w:cstheme="majorEastAsia"/>
          <w:b/>
          <w:color w:val="auto"/>
          <w:sz w:val="21"/>
          <w:szCs w:val="21"/>
          <w:highlight w:val="none"/>
          <w:u w:val="single"/>
          <w:shd w:val="clear" w:color="auto" w:fill="FFFFFF"/>
        </w:rPr>
        <w:t>7）发包人明确表示或者以其行为表明不履行合同主要义务的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5227F8FC">
      <w:pPr>
        <w:pStyle w:val="55"/>
        <w:keepNext w:val="0"/>
        <w:pageBreakBefore w:val="0"/>
        <w:widowControl/>
        <w:kinsoku/>
        <w:wordWrap/>
        <w:overflowPunct/>
        <w:topLinePunct w:val="0"/>
        <w:bidi w:val="0"/>
        <w:spacing w:line="440" w:lineRule="exact"/>
        <w:ind w:left="632" w:leftChars="0" w:hanging="632" w:hangingChars="300"/>
        <w:jc w:val="left"/>
        <w:textAlignment w:val="auto"/>
        <w:rPr>
          <w:rFonts w:hint="eastAsia" w:asciiTheme="majorEastAsia" w:hAnsiTheme="majorEastAsia" w:eastAsiaTheme="majorEastAsia" w:cstheme="majorEastAsia"/>
          <w:b/>
          <w:color w:val="auto"/>
          <w:sz w:val="21"/>
          <w:szCs w:val="21"/>
          <w:highlight w:val="none"/>
          <w:u w:val="single"/>
          <w:shd w:val="clear" w:color="auto" w:fill="FFFFFF"/>
        </w:rPr>
      </w:pPr>
      <w:r>
        <w:rPr>
          <w:rFonts w:hint="eastAsia" w:asciiTheme="majorEastAsia" w:hAnsiTheme="majorEastAsia" w:eastAsiaTheme="majorEastAsia" w:cstheme="majorEastAsia"/>
          <w:b/>
          <w:color w:val="auto"/>
          <w:sz w:val="21"/>
          <w:szCs w:val="21"/>
          <w:highlight w:val="none"/>
          <w:u w:val="single"/>
          <w:shd w:val="clear" w:color="auto" w:fill="FFFFFF"/>
        </w:rPr>
        <w:t>（8）发包人未能按照合同约定履行其他义务的</w:t>
      </w:r>
      <w:r>
        <w:rPr>
          <w:rFonts w:hint="eastAsia" w:asciiTheme="majorEastAsia" w:hAnsiTheme="majorEastAsia" w:eastAsiaTheme="majorEastAsia" w:cstheme="majorEastAsia"/>
          <w:b/>
          <w:color w:val="auto"/>
          <w:sz w:val="21"/>
          <w:szCs w:val="21"/>
          <w:highlight w:val="none"/>
          <w:u w:val="none"/>
          <w:shd w:val="clear" w:color="auto" w:fill="FFFFFF"/>
        </w:rPr>
        <w:t>。</w:t>
      </w:r>
    </w:p>
    <w:p w14:paraId="373AF192">
      <w:pPr>
        <w:pStyle w:val="55"/>
        <w:keepNext w:val="0"/>
        <w:pageBreakBefore w:val="0"/>
        <w:widowControl/>
        <w:kinsoku/>
        <w:wordWrap/>
        <w:overflowPunct/>
        <w:topLinePunct w:val="0"/>
        <w:bidi w:val="0"/>
        <w:spacing w:line="440" w:lineRule="exact"/>
        <w:ind w:left="1050" w:leftChars="0" w:hanging="1050" w:hangingChars="5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xml:space="preserve">    16.1.2 发包人违约的责任</w:t>
      </w:r>
    </w:p>
    <w:p w14:paraId="4FACC08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发包人违约责任的承担方式和计算方法：</w:t>
      </w:r>
    </w:p>
    <w:p w14:paraId="0EBB71F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sz w:val="21"/>
          <w:szCs w:val="21"/>
          <w:highlight w:val="none"/>
        </w:rPr>
        <w:t>（1）因发包人原因未能在计划开工日期前7天内下达开工通知的违约责任：</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工期顺延</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30D6A49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（2）因发包人原因未能按合同约定支付合同价款的违约责任：</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双方协商确定</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1810256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（3）发包人违反第10.1款〔变更的范围〕第（2）项约定，自行实施被取消的工作或转由他人实施的违约责任：</w:t>
      </w:r>
      <w:r>
        <w:rPr>
          <w:rFonts w:hint="eastAsia" w:asciiTheme="majorEastAsia" w:hAnsiTheme="majorEastAsia" w:eastAsiaTheme="majorEastAsia" w:cstheme="majorEastAsia"/>
          <w:b/>
          <w:color w:val="auto"/>
          <w:sz w:val="21"/>
          <w:szCs w:val="21"/>
          <w:highlight w:val="none"/>
          <w:u w:val="single"/>
        </w:rPr>
        <w:t>发包人承担违约责任，因此造成的工期延误应顺延，并支付承包人合理利润</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79B204F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（4）发包人提供的材料、工程设备的规格、数量或质量不符合合同约定，或因发包人原因导致交货日期延误或交货地点变更等情况的违约责任：</w:t>
      </w:r>
      <w:r>
        <w:rPr>
          <w:rFonts w:hint="eastAsia" w:asciiTheme="majorEastAsia" w:hAnsiTheme="majorEastAsia" w:eastAsiaTheme="majorEastAsia" w:cstheme="majorEastAsia"/>
          <w:b/>
          <w:color w:val="auto"/>
          <w:sz w:val="21"/>
          <w:szCs w:val="21"/>
          <w:highlight w:val="none"/>
          <w:u w:val="single"/>
        </w:rPr>
        <w:t>发包人承担违约责任，工期顺延</w:t>
      </w:r>
      <w:r>
        <w:rPr>
          <w:rFonts w:hint="eastAsia" w:asciiTheme="majorEastAsia" w:hAnsiTheme="majorEastAsia" w:eastAsiaTheme="majorEastAsia" w:cstheme="majorEastAsia"/>
          <w:color w:val="auto"/>
          <w:sz w:val="21"/>
          <w:szCs w:val="21"/>
          <w:highlight w:val="none"/>
        </w:rPr>
        <w:t>。</w:t>
      </w:r>
    </w:p>
    <w:p w14:paraId="3320D7D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（5）因发包人违反合同约定造成暂停施工的违约责任：</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618A166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（6）发包人无正当理由没有在约定期限内发出复工指示，导致承包人无法复工的违约责任：</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发包人承担违约责任，工期顺延</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0C9AE7EF">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（7）其他：</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无</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264E080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16.1.3 因发包人违约解除合同</w:t>
      </w:r>
    </w:p>
    <w:p w14:paraId="3BE54FBE">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承包人按16.1.1项〔发包人违约的情形〕约定暂停施工满</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28</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天后发包人仍不纠正其违约行为并致使合同目的不能实现的，承包人有权解除合同。</w:t>
      </w:r>
    </w:p>
    <w:p w14:paraId="532FA26D">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53" w:name="_Toc1272"/>
      <w:bookmarkStart w:id="954" w:name="_Toc13394"/>
      <w:bookmarkStart w:id="955" w:name="_Toc18233"/>
      <w:bookmarkStart w:id="956" w:name="_Toc22958"/>
      <w:bookmarkStart w:id="957" w:name="_Toc14555"/>
      <w:r>
        <w:rPr>
          <w:rFonts w:hint="eastAsia" w:asciiTheme="majorEastAsia" w:hAnsiTheme="majorEastAsia" w:eastAsiaTheme="majorEastAsia" w:cstheme="majorEastAsia"/>
          <w:color w:val="auto"/>
          <w:kern w:val="2"/>
          <w:sz w:val="21"/>
          <w:szCs w:val="21"/>
          <w:highlight w:val="none"/>
        </w:rPr>
        <w:t>16.2 承包人违约</w:t>
      </w:r>
      <w:bookmarkEnd w:id="953"/>
      <w:bookmarkEnd w:id="954"/>
      <w:bookmarkEnd w:id="955"/>
      <w:bookmarkEnd w:id="956"/>
      <w:bookmarkEnd w:id="957"/>
    </w:p>
    <w:p w14:paraId="788E509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16.2.1 承包人违约的情形</w:t>
      </w:r>
    </w:p>
    <w:p w14:paraId="6FFC154C">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承包人违约的其他情形：</w:t>
      </w:r>
    </w:p>
    <w:p w14:paraId="12D23F0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sz w:val="21"/>
          <w:szCs w:val="21"/>
          <w:highlight w:val="none"/>
          <w:u w:val="single"/>
        </w:rPr>
      </w:pPr>
      <w:r>
        <w:rPr>
          <w:rFonts w:hint="eastAsia" w:asciiTheme="majorEastAsia" w:hAnsiTheme="majorEastAsia" w:eastAsiaTheme="majorEastAsia" w:cstheme="majorEastAsia"/>
          <w:b/>
          <w:color w:val="auto"/>
          <w:sz w:val="21"/>
          <w:szCs w:val="21"/>
          <w:highlight w:val="none"/>
          <w:u w:val="single"/>
        </w:rPr>
        <w:t>（1）工程质量不符合合同规定的</w:t>
      </w:r>
      <w:r>
        <w:rPr>
          <w:rFonts w:hint="eastAsia" w:asciiTheme="majorEastAsia" w:hAnsiTheme="majorEastAsia" w:eastAsiaTheme="majorEastAsia" w:cstheme="majorEastAsia"/>
          <w:b/>
          <w:color w:val="auto"/>
          <w:sz w:val="21"/>
          <w:szCs w:val="21"/>
          <w:highlight w:val="none"/>
          <w:u w:val="none"/>
        </w:rPr>
        <w:t>。</w:t>
      </w:r>
    </w:p>
    <w:p w14:paraId="14351D9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sz w:val="21"/>
          <w:szCs w:val="21"/>
          <w:highlight w:val="none"/>
          <w:u w:val="single"/>
        </w:rPr>
      </w:pPr>
      <w:r>
        <w:rPr>
          <w:rFonts w:hint="eastAsia" w:asciiTheme="majorEastAsia" w:hAnsiTheme="majorEastAsia" w:eastAsiaTheme="majorEastAsia" w:cstheme="majorEastAsia"/>
          <w:b/>
          <w:color w:val="auto"/>
          <w:sz w:val="21"/>
          <w:szCs w:val="21"/>
          <w:highlight w:val="none"/>
          <w:u w:val="single"/>
        </w:rPr>
        <w:t>（2）承包人人员在工地制造暴力治安事件</w:t>
      </w:r>
      <w:r>
        <w:rPr>
          <w:rFonts w:hint="eastAsia" w:asciiTheme="majorEastAsia" w:hAnsiTheme="majorEastAsia" w:eastAsiaTheme="majorEastAsia" w:cstheme="majorEastAsia"/>
          <w:b/>
          <w:color w:val="auto"/>
          <w:sz w:val="21"/>
          <w:szCs w:val="21"/>
          <w:highlight w:val="none"/>
          <w:u w:val="none"/>
        </w:rPr>
        <w:t>。</w:t>
      </w:r>
    </w:p>
    <w:p w14:paraId="4B196DCE">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sz w:val="21"/>
          <w:szCs w:val="21"/>
          <w:highlight w:val="none"/>
          <w:u w:val="single"/>
        </w:rPr>
      </w:pPr>
      <w:r>
        <w:rPr>
          <w:rFonts w:hint="eastAsia" w:asciiTheme="majorEastAsia" w:hAnsiTheme="majorEastAsia" w:eastAsiaTheme="majorEastAsia" w:cstheme="majorEastAsia"/>
          <w:b/>
          <w:color w:val="auto"/>
          <w:sz w:val="21"/>
          <w:szCs w:val="21"/>
          <w:highlight w:val="none"/>
          <w:u w:val="single"/>
        </w:rPr>
        <w:t>（3）承包人在施工过程中违反安全施工规范</w:t>
      </w:r>
      <w:r>
        <w:rPr>
          <w:rFonts w:hint="eastAsia" w:asciiTheme="majorEastAsia" w:hAnsiTheme="majorEastAsia" w:eastAsiaTheme="majorEastAsia" w:cstheme="majorEastAsia"/>
          <w:b/>
          <w:color w:val="auto"/>
          <w:sz w:val="21"/>
          <w:szCs w:val="21"/>
          <w:highlight w:val="none"/>
          <w:u w:val="none"/>
        </w:rPr>
        <w:t>。</w:t>
      </w:r>
    </w:p>
    <w:p w14:paraId="00DA2536">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b/>
          <w:color w:val="auto"/>
          <w:sz w:val="21"/>
          <w:szCs w:val="21"/>
          <w:highlight w:val="none"/>
          <w:u w:val="single"/>
        </w:rPr>
        <w:t>（4）承包人在非发包人原因条件下，未及时支付民工工资或供货商款项，造成民工或供货商到发包人办公地点索赔或其他影响发包人正常办公的事件</w:t>
      </w:r>
      <w:r>
        <w:rPr>
          <w:rFonts w:hint="eastAsia" w:asciiTheme="majorEastAsia" w:hAnsiTheme="majorEastAsia" w:eastAsiaTheme="majorEastAsia" w:cstheme="majorEastAsia"/>
          <w:b/>
          <w:color w:val="auto"/>
          <w:sz w:val="21"/>
          <w:szCs w:val="21"/>
          <w:highlight w:val="none"/>
          <w:u w:val="none"/>
        </w:rPr>
        <w:t>。</w:t>
      </w:r>
    </w:p>
    <w:p w14:paraId="7BF09EB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16.2.2承包人违约的责任</w:t>
      </w:r>
    </w:p>
    <w:p w14:paraId="3866B813">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color w:val="auto"/>
          <w:sz w:val="21"/>
          <w:szCs w:val="21"/>
          <w:highlight w:val="none"/>
        </w:rPr>
        <w:t>承包人违约责任的承担方式和计算方法：</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1）工程质量不符合合同规定的，应负责无偿修理或返工。返工仍达不到合同约定质量标准的，需向发包人支付至少10000元/次的违约金。由于修理或返工造成逾期交付或工程交付时间不符合规定的，要偿付误期违约金。在工程保修期内负责对工程保修，不负责保修的，相应比例保修金将不予退还</w:t>
      </w:r>
      <w:r>
        <w:rPr>
          <w:rFonts w:hint="eastAsia" w:asciiTheme="majorEastAsia" w:hAnsiTheme="majorEastAsia" w:eastAsiaTheme="majorEastAsia" w:cstheme="majorEastAsia"/>
          <w:b/>
          <w:color w:val="auto"/>
          <w:kern w:val="2"/>
          <w:sz w:val="21"/>
          <w:szCs w:val="21"/>
          <w:highlight w:val="none"/>
          <w:u w:val="none"/>
        </w:rPr>
        <w:t>。</w:t>
      </w:r>
    </w:p>
    <w:p w14:paraId="76E89AAC">
      <w:pPr>
        <w:pStyle w:val="55"/>
        <w:keepNext w:val="0"/>
        <w:pageBreakBefore w:val="0"/>
        <w:widowControl/>
        <w:kinsoku/>
        <w:wordWrap/>
        <w:overflowPunct/>
        <w:topLinePunct w:val="0"/>
        <w:bidi w:val="0"/>
        <w:snapToGrid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（2）承包人人员在工地制造暴力治安事件，承包人每次赔偿发包人拾万元违约金，并由承包人或相关人员承担相关法律责任</w:t>
      </w:r>
      <w:r>
        <w:rPr>
          <w:rFonts w:hint="eastAsia" w:asciiTheme="majorEastAsia" w:hAnsiTheme="majorEastAsia" w:eastAsiaTheme="majorEastAsia" w:cstheme="majorEastAsia"/>
          <w:b/>
          <w:color w:val="auto"/>
          <w:kern w:val="2"/>
          <w:sz w:val="21"/>
          <w:szCs w:val="21"/>
          <w:highlight w:val="none"/>
          <w:u w:val="none"/>
        </w:rPr>
        <w:t>。</w:t>
      </w:r>
    </w:p>
    <w:p w14:paraId="7EB3BAEB">
      <w:pPr>
        <w:pStyle w:val="55"/>
        <w:keepNext w:val="0"/>
        <w:pageBreakBefore w:val="0"/>
        <w:widowControl/>
        <w:kinsoku/>
        <w:wordWrap/>
        <w:overflowPunct/>
        <w:topLinePunct w:val="0"/>
        <w:bidi w:val="0"/>
        <w:snapToGrid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承包人在施工过程中违反安全施工规范，每次赔偿发包人违约金壹仟元，若出现重大安全事故，必须迅速通报发包人，并由承包人全责按规范及相关管理规定及时恰当处理，如处理不及时或不恰当，为发包人带来不良影响的，由承包人承担全部经济损失，并赔偿发包人损失</w:t>
      </w:r>
      <w:r>
        <w:rPr>
          <w:rFonts w:hint="eastAsia" w:asciiTheme="majorEastAsia" w:hAnsiTheme="majorEastAsia" w:eastAsiaTheme="majorEastAsia" w:cstheme="majorEastAsia"/>
          <w:b/>
          <w:color w:val="auto"/>
          <w:kern w:val="2"/>
          <w:sz w:val="21"/>
          <w:szCs w:val="21"/>
          <w:highlight w:val="none"/>
          <w:u w:val="none"/>
        </w:rPr>
        <w:t>。</w:t>
      </w:r>
    </w:p>
    <w:p w14:paraId="372E8712">
      <w:pPr>
        <w:pStyle w:val="55"/>
        <w:keepNext w:val="0"/>
        <w:pageBreakBefore w:val="0"/>
        <w:widowControl/>
        <w:kinsoku/>
        <w:wordWrap/>
        <w:overflowPunct/>
        <w:topLinePunct w:val="0"/>
        <w:autoSpaceDE w:val="0"/>
        <w:autoSpaceDN w:val="0"/>
        <w:bidi w:val="0"/>
        <w:adjustRightInd w:val="0"/>
        <w:spacing w:line="440" w:lineRule="exact"/>
        <w:ind w:left="0" w:leftChars="0" w:firstLine="422" w:firstLineChars="200"/>
        <w:jc w:val="left"/>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b/>
          <w:color w:val="auto"/>
          <w:sz w:val="21"/>
          <w:szCs w:val="21"/>
          <w:highlight w:val="none"/>
          <w:u w:val="single"/>
        </w:rPr>
        <w:t>（4）承包人在非发包人原因条件下，未及时支付民工工资或供货商款项，造成民工或供货商到发包人办公地点索赔或其他影响发包人正常办公的事件，承包人每次赔偿发包人伍仟元违约金</w:t>
      </w:r>
      <w:r>
        <w:rPr>
          <w:rFonts w:hint="eastAsia" w:asciiTheme="majorEastAsia" w:hAnsiTheme="majorEastAsia" w:eastAsiaTheme="majorEastAsia" w:cstheme="majorEastAsia"/>
          <w:b/>
          <w:color w:val="auto"/>
          <w:sz w:val="21"/>
          <w:szCs w:val="21"/>
          <w:highlight w:val="none"/>
          <w:u w:val="none"/>
        </w:rPr>
        <w:t>。</w:t>
      </w:r>
      <w:r>
        <w:rPr>
          <w:rFonts w:hint="eastAsia" w:asciiTheme="majorEastAsia" w:hAnsiTheme="majorEastAsia" w:eastAsiaTheme="majorEastAsia" w:cstheme="majorEastAsia"/>
          <w:color w:val="auto"/>
          <w:kern w:val="2"/>
          <w:sz w:val="21"/>
          <w:szCs w:val="21"/>
          <w:highlight w:val="none"/>
        </w:rPr>
        <w:t xml:space="preserve">    </w:t>
      </w:r>
    </w:p>
    <w:p w14:paraId="29072638">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16.2.3 因承包人违约解除合同</w:t>
      </w:r>
    </w:p>
    <w:p w14:paraId="62485EAF">
      <w:pPr>
        <w:pStyle w:val="77"/>
        <w:keepNext w:val="0"/>
        <w:pageBreakBefore w:val="0"/>
        <w:widowControl/>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关于承包人违约解除合同的特别约定：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611B7C71">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发包人继续使用承包人在施工现场的材料、设备、临时工程、承包人文件和由承包人或以其名义编制的其他文件的费用承担方式：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p w14:paraId="71886B12">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958" w:name="_Toc351203649"/>
      <w:r>
        <w:rPr>
          <w:rFonts w:hint="eastAsia" w:asciiTheme="majorEastAsia" w:hAnsiTheme="majorEastAsia" w:eastAsiaTheme="majorEastAsia" w:cstheme="majorEastAsia"/>
          <w:b w:val="0"/>
          <w:color w:val="auto"/>
          <w:sz w:val="21"/>
          <w:szCs w:val="21"/>
          <w:highlight w:val="none"/>
        </w:rPr>
        <w:t>17. 不可抗力</w:t>
      </w:r>
      <w:bookmarkEnd w:id="958"/>
      <w:r>
        <w:rPr>
          <w:rFonts w:hint="eastAsia" w:asciiTheme="majorEastAsia" w:hAnsiTheme="majorEastAsia" w:eastAsiaTheme="majorEastAsia" w:cstheme="majorEastAsia"/>
          <w:b w:val="0"/>
          <w:color w:val="auto"/>
          <w:sz w:val="21"/>
          <w:szCs w:val="21"/>
          <w:highlight w:val="none"/>
        </w:rPr>
        <w:t xml:space="preserve"> </w:t>
      </w:r>
      <w:bookmarkEnd w:id="946"/>
    </w:p>
    <w:p w14:paraId="7E81655C">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17.1 不可抗力的确认</w:t>
      </w:r>
    </w:p>
    <w:p w14:paraId="4FEB32D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u w:val="single"/>
        </w:rPr>
      </w:pPr>
      <w:r>
        <w:rPr>
          <w:rFonts w:hint="eastAsia" w:asciiTheme="majorEastAsia" w:hAnsiTheme="majorEastAsia" w:eastAsiaTheme="majorEastAsia" w:cstheme="majorEastAsia"/>
          <w:color w:val="auto"/>
          <w:kern w:val="2"/>
          <w:sz w:val="21"/>
          <w:szCs w:val="21"/>
          <w:highlight w:val="none"/>
        </w:rPr>
        <w:t>除通用合同条款约定的不可抗力事件之外，视为不可抗力的其他情形：</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5A7ADF9C">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59" w:name="_Toc29916"/>
      <w:bookmarkStart w:id="960" w:name="_Toc31615"/>
      <w:bookmarkStart w:id="961" w:name="_Toc32477"/>
      <w:bookmarkStart w:id="962" w:name="_Toc31454"/>
      <w:bookmarkStart w:id="963" w:name="_Toc3828"/>
      <w:r>
        <w:rPr>
          <w:rFonts w:hint="eastAsia" w:asciiTheme="majorEastAsia" w:hAnsiTheme="majorEastAsia" w:eastAsiaTheme="majorEastAsia" w:cstheme="majorEastAsia"/>
          <w:color w:val="auto"/>
          <w:kern w:val="2"/>
          <w:sz w:val="21"/>
          <w:szCs w:val="21"/>
          <w:highlight w:val="none"/>
        </w:rPr>
        <w:t>17.4 因不可抗力解除合同</w:t>
      </w:r>
      <w:bookmarkEnd w:id="959"/>
      <w:bookmarkEnd w:id="960"/>
      <w:bookmarkEnd w:id="961"/>
      <w:bookmarkEnd w:id="962"/>
      <w:bookmarkEnd w:id="963"/>
    </w:p>
    <w:p w14:paraId="75930D16">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合同解除后，发包人应在商定或确定发包人应支付款项后</w:t>
      </w:r>
      <w:r>
        <w:rPr>
          <w:rFonts w:hint="eastAsia" w:asciiTheme="majorEastAsia" w:hAnsiTheme="majorEastAsia" w:eastAsiaTheme="majorEastAsia" w:cstheme="majorEastAsia"/>
          <w:color w:val="auto"/>
          <w:kern w:val="2"/>
          <w:sz w:val="21"/>
          <w:szCs w:val="21"/>
          <w:highlight w:val="none"/>
          <w:u w:val="single"/>
        </w:rPr>
        <w:t>28</w:t>
      </w:r>
      <w:r>
        <w:rPr>
          <w:rFonts w:hint="eastAsia" w:asciiTheme="majorEastAsia" w:hAnsiTheme="majorEastAsia" w:eastAsiaTheme="majorEastAsia" w:cstheme="majorEastAsia"/>
          <w:color w:val="auto"/>
          <w:kern w:val="2"/>
          <w:sz w:val="21"/>
          <w:szCs w:val="21"/>
          <w:highlight w:val="none"/>
        </w:rPr>
        <w:t>天内完成款项的支付。</w:t>
      </w:r>
    </w:p>
    <w:p w14:paraId="1CBA7F1A">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964" w:name="_Toc351203650"/>
      <w:r>
        <w:rPr>
          <w:rFonts w:hint="eastAsia" w:asciiTheme="majorEastAsia" w:hAnsiTheme="majorEastAsia" w:eastAsiaTheme="majorEastAsia" w:cstheme="majorEastAsia"/>
          <w:b w:val="0"/>
          <w:color w:val="auto"/>
          <w:sz w:val="21"/>
          <w:szCs w:val="21"/>
          <w:highlight w:val="none"/>
        </w:rPr>
        <w:t>18. 保险</w:t>
      </w:r>
      <w:bookmarkEnd w:id="964"/>
    </w:p>
    <w:bookmarkEnd w:id="947"/>
    <w:p w14:paraId="7CFB0D2F">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18.1 工程保险</w:t>
      </w:r>
    </w:p>
    <w:p w14:paraId="3C48C6B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关于工程保险的特别约定：</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按当地建设行政主管部门规定执行</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4108F7EA">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65" w:name="_Toc29614"/>
      <w:bookmarkStart w:id="966" w:name="_Toc26034"/>
      <w:bookmarkStart w:id="967" w:name="_Toc12276"/>
      <w:bookmarkStart w:id="968" w:name="_Toc9342"/>
      <w:bookmarkStart w:id="969" w:name="_Toc16657"/>
      <w:r>
        <w:rPr>
          <w:rFonts w:hint="eastAsia" w:asciiTheme="majorEastAsia" w:hAnsiTheme="majorEastAsia" w:eastAsiaTheme="majorEastAsia" w:cstheme="majorEastAsia"/>
          <w:color w:val="auto"/>
          <w:kern w:val="2"/>
          <w:sz w:val="21"/>
          <w:szCs w:val="21"/>
          <w:highlight w:val="none"/>
        </w:rPr>
        <w:t>18.3 其他保险</w:t>
      </w:r>
      <w:bookmarkEnd w:id="965"/>
      <w:bookmarkEnd w:id="966"/>
      <w:bookmarkEnd w:id="967"/>
      <w:bookmarkEnd w:id="968"/>
      <w:bookmarkEnd w:id="969"/>
    </w:p>
    <w:p w14:paraId="00F1D0E1">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关于其他保险的约定：</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按当地建设行政主管部门规定执行</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rPr>
        <w:t>。</w:t>
      </w:r>
    </w:p>
    <w:p w14:paraId="5F48B40E">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kern w:val="2"/>
          <w:sz w:val="21"/>
          <w:szCs w:val="21"/>
          <w:highlight w:val="none"/>
        </w:rPr>
        <w:t>承包人是否应为其施工设备等办理财产保险：</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sz w:val="21"/>
          <w:szCs w:val="21"/>
          <w:highlight w:val="none"/>
          <w:u w:val="single"/>
        </w:rPr>
        <w:t>按当地建设行政主管部门规定执行</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2D34778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18.7 通知义务</w:t>
      </w:r>
    </w:p>
    <w:p w14:paraId="6B483F1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sz w:val="21"/>
          <w:szCs w:val="21"/>
          <w:highlight w:val="none"/>
        </w:rPr>
        <w:t>关于变更保险合同时的通知义务的约定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rPr>
        <w:t>。</w:t>
      </w:r>
    </w:p>
    <w:bookmarkEnd w:id="903"/>
    <w:bookmarkEnd w:id="904"/>
    <w:bookmarkEnd w:id="905"/>
    <w:bookmarkEnd w:id="906"/>
    <w:bookmarkEnd w:id="907"/>
    <w:bookmarkEnd w:id="908"/>
    <w:bookmarkEnd w:id="909"/>
    <w:bookmarkEnd w:id="910"/>
    <w:bookmarkEnd w:id="911"/>
    <w:bookmarkEnd w:id="912"/>
    <w:bookmarkEnd w:id="913"/>
    <w:bookmarkEnd w:id="914"/>
    <w:p w14:paraId="1FCDC8B7">
      <w:pPr>
        <w:pStyle w:val="58"/>
        <w:keepNext w:val="0"/>
        <w:pageBreakBefore w:val="0"/>
        <w:widowControl/>
        <w:kinsoku/>
        <w:wordWrap/>
        <w:overflowPunct/>
        <w:topLinePunct w:val="0"/>
        <w:bidi w:val="0"/>
        <w:spacing w:before="0" w:after="0" w:line="440" w:lineRule="exact"/>
        <w:ind w:left="0" w:leftChars="0"/>
        <w:textAlignment w:val="auto"/>
        <w:rPr>
          <w:rFonts w:hint="eastAsia" w:asciiTheme="majorEastAsia" w:hAnsiTheme="majorEastAsia" w:eastAsiaTheme="majorEastAsia" w:cstheme="majorEastAsia"/>
          <w:b w:val="0"/>
          <w:color w:val="auto"/>
          <w:sz w:val="21"/>
          <w:szCs w:val="21"/>
          <w:highlight w:val="none"/>
        </w:rPr>
      </w:pPr>
      <w:bookmarkStart w:id="970" w:name="_Toc351203651"/>
      <w:r>
        <w:rPr>
          <w:rFonts w:hint="eastAsia" w:asciiTheme="majorEastAsia" w:hAnsiTheme="majorEastAsia" w:eastAsiaTheme="majorEastAsia" w:cstheme="majorEastAsia"/>
          <w:b w:val="0"/>
          <w:color w:val="auto"/>
          <w:sz w:val="21"/>
          <w:szCs w:val="21"/>
          <w:highlight w:val="none"/>
        </w:rPr>
        <w:t>20. 争议解决</w:t>
      </w:r>
      <w:bookmarkEnd w:id="970"/>
    </w:p>
    <w:bookmarkEnd w:id="915"/>
    <w:bookmarkEnd w:id="916"/>
    <w:p w14:paraId="34FC4BCC">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71" w:name="_Toc15117"/>
      <w:bookmarkStart w:id="972" w:name="_Toc31725"/>
      <w:bookmarkStart w:id="973" w:name="_Toc8873"/>
      <w:bookmarkStart w:id="974" w:name="_Toc12947"/>
      <w:bookmarkStart w:id="975" w:name="_Toc18207"/>
      <w:r>
        <w:rPr>
          <w:rFonts w:hint="eastAsia" w:asciiTheme="majorEastAsia" w:hAnsiTheme="majorEastAsia" w:eastAsiaTheme="majorEastAsia" w:cstheme="majorEastAsia"/>
          <w:color w:val="auto"/>
          <w:kern w:val="2"/>
          <w:sz w:val="21"/>
          <w:szCs w:val="21"/>
          <w:highlight w:val="none"/>
        </w:rPr>
        <w:t>20.3 争</w:t>
      </w:r>
      <w:bookmarkEnd w:id="917"/>
      <w:r>
        <w:rPr>
          <w:rFonts w:hint="eastAsia" w:asciiTheme="majorEastAsia" w:hAnsiTheme="majorEastAsia" w:eastAsiaTheme="majorEastAsia" w:cstheme="majorEastAsia"/>
          <w:color w:val="auto"/>
          <w:kern w:val="2"/>
          <w:sz w:val="21"/>
          <w:szCs w:val="21"/>
          <w:highlight w:val="none"/>
        </w:rPr>
        <w:t>议评审</w:t>
      </w:r>
      <w:bookmarkEnd w:id="971"/>
      <w:bookmarkEnd w:id="972"/>
      <w:bookmarkEnd w:id="973"/>
      <w:bookmarkEnd w:id="974"/>
      <w:bookmarkEnd w:id="975"/>
    </w:p>
    <w:p w14:paraId="4114BF7C">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合同当事人是否同意将工程争议提交争议评审小组决定：</w:t>
      </w:r>
      <w:r>
        <w:rPr>
          <w:rFonts w:hint="eastAsia" w:asciiTheme="majorEastAsia" w:hAnsiTheme="majorEastAsia" w:eastAsiaTheme="majorEastAsia" w:cstheme="majorEastAsia"/>
          <w:b/>
          <w:color w:val="auto"/>
          <w:kern w:val="2"/>
          <w:sz w:val="21"/>
          <w:szCs w:val="21"/>
          <w:highlight w:val="none"/>
          <w:u w:val="single"/>
        </w:rPr>
        <w:t>是</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 xml:space="preserve">。  </w:t>
      </w:r>
    </w:p>
    <w:p w14:paraId="5CF307A8">
      <w:pPr>
        <w:pStyle w:val="55"/>
        <w:keepNext w:val="0"/>
        <w:pageBreakBefore w:val="0"/>
        <w:widowControl/>
        <w:kinsoku/>
        <w:wordWrap/>
        <w:overflowPunct/>
        <w:topLinePunct w:val="0"/>
        <w:bidi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kern w:val="2"/>
          <w:sz w:val="21"/>
          <w:szCs w:val="21"/>
          <w:highlight w:val="none"/>
        </w:rPr>
      </w:pPr>
      <w:bookmarkStart w:id="976" w:name="_Toc1021"/>
      <w:bookmarkStart w:id="977" w:name="_Toc31029"/>
      <w:bookmarkStart w:id="978" w:name="_Toc32200"/>
      <w:bookmarkStart w:id="979" w:name="_Toc17537"/>
      <w:bookmarkStart w:id="980" w:name="_Toc7225"/>
      <w:r>
        <w:rPr>
          <w:rFonts w:hint="eastAsia" w:asciiTheme="majorEastAsia" w:hAnsiTheme="majorEastAsia" w:eastAsiaTheme="majorEastAsia" w:cstheme="majorEastAsia"/>
          <w:color w:val="auto"/>
          <w:kern w:val="2"/>
          <w:sz w:val="21"/>
          <w:szCs w:val="21"/>
          <w:highlight w:val="none"/>
        </w:rPr>
        <w:t>20.3.1 争议评审小组的确定</w:t>
      </w:r>
      <w:bookmarkEnd w:id="976"/>
      <w:bookmarkEnd w:id="977"/>
      <w:bookmarkEnd w:id="978"/>
      <w:bookmarkEnd w:id="979"/>
      <w:bookmarkEnd w:id="980"/>
    </w:p>
    <w:p w14:paraId="105F7992">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color w:val="auto"/>
          <w:kern w:val="2"/>
          <w:sz w:val="21"/>
          <w:szCs w:val="21"/>
          <w:highlight w:val="none"/>
        </w:rPr>
        <w:t>争议评审小组成员的确定：</w:t>
      </w:r>
      <w:r>
        <w:rPr>
          <w:rFonts w:hint="eastAsia" w:asciiTheme="majorEastAsia" w:hAnsiTheme="majorEastAsia" w:eastAsiaTheme="majorEastAsia" w:cstheme="majorEastAsia"/>
          <w:b/>
          <w:color w:val="auto"/>
          <w:kern w:val="2"/>
          <w:sz w:val="21"/>
          <w:szCs w:val="21"/>
          <w:highlight w:val="none"/>
          <w:u w:val="single"/>
        </w:rPr>
        <w:t>共选三名争议评审员，双方各自选定一名，第三名成员为首席争议评审员，由双方共同确定</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4838F863">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选定争议评审员的期限：</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争议发生14天内</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58336B85">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争议评审小组成员的报酬承担方式：</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b/>
          <w:color w:val="auto"/>
          <w:kern w:val="2"/>
          <w:sz w:val="21"/>
          <w:szCs w:val="21"/>
          <w:highlight w:val="none"/>
          <w:u w:val="single"/>
        </w:rPr>
        <w:t>评审员报酬由发包人和承包人各承担一半</w:t>
      </w:r>
      <w:r>
        <w:rPr>
          <w:rFonts w:hint="eastAsia" w:asciiTheme="majorEastAsia" w:hAnsiTheme="majorEastAsia" w:eastAsiaTheme="majorEastAsia" w:cstheme="majorEastAsia"/>
          <w:color w:val="auto"/>
          <w:kern w:val="2"/>
          <w:sz w:val="21"/>
          <w:szCs w:val="21"/>
          <w:highlight w:val="none"/>
          <w:u w:val="single"/>
        </w:rPr>
        <w:t xml:space="preserve">  </w:t>
      </w:r>
      <w:r>
        <w:rPr>
          <w:rFonts w:hint="eastAsia" w:asciiTheme="majorEastAsia" w:hAnsiTheme="majorEastAsia" w:eastAsiaTheme="majorEastAsia" w:cstheme="majorEastAsia"/>
          <w:color w:val="auto"/>
          <w:kern w:val="2"/>
          <w:sz w:val="21"/>
          <w:szCs w:val="21"/>
          <w:highlight w:val="none"/>
        </w:rPr>
        <w:t>。</w:t>
      </w:r>
    </w:p>
    <w:p w14:paraId="67D07A29">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其他事项的约定：</w:t>
      </w:r>
      <w:r>
        <w:rPr>
          <w:rFonts w:hint="eastAsia" w:asciiTheme="majorEastAsia" w:hAnsiTheme="majorEastAsia" w:eastAsiaTheme="majorEastAsia" w:cstheme="majorEastAsia"/>
          <w:color w:val="auto"/>
          <w:kern w:val="2"/>
          <w:sz w:val="21"/>
          <w:szCs w:val="21"/>
          <w:highlight w:val="none"/>
          <w:u w:val="single"/>
        </w:rPr>
        <w:t xml:space="preserve"> 无 </w:t>
      </w:r>
      <w:r>
        <w:rPr>
          <w:rFonts w:hint="eastAsia" w:asciiTheme="majorEastAsia" w:hAnsiTheme="majorEastAsia" w:eastAsiaTheme="majorEastAsia" w:cstheme="majorEastAsia"/>
          <w:color w:val="auto"/>
          <w:kern w:val="2"/>
          <w:sz w:val="21"/>
          <w:szCs w:val="21"/>
          <w:highlight w:val="none"/>
        </w:rPr>
        <w:t>。</w:t>
      </w:r>
    </w:p>
    <w:p w14:paraId="6AE8F6BC">
      <w:pPr>
        <w:pStyle w:val="55"/>
        <w:keepNext w:val="0"/>
        <w:pageBreakBefore w:val="0"/>
        <w:widowControl/>
        <w:kinsoku/>
        <w:wordWrap/>
        <w:overflowPunct/>
        <w:topLinePunct w:val="0"/>
        <w:autoSpaceDE w:val="0"/>
        <w:autoSpaceDN w:val="0"/>
        <w:bidi w:val="0"/>
        <w:adjustRightInd w:val="0"/>
        <w:spacing w:line="440" w:lineRule="exact"/>
        <w:ind w:left="0" w:leftChars="0" w:firstLine="420" w:firstLineChars="200"/>
        <w:jc w:val="left"/>
        <w:textAlignment w:val="auto"/>
        <w:outlineLvl w:val="0"/>
        <w:rPr>
          <w:rFonts w:hint="eastAsia" w:asciiTheme="majorEastAsia" w:hAnsiTheme="majorEastAsia" w:eastAsiaTheme="majorEastAsia" w:cstheme="majorEastAsia"/>
          <w:color w:val="auto"/>
          <w:sz w:val="21"/>
          <w:szCs w:val="21"/>
          <w:highlight w:val="none"/>
        </w:rPr>
      </w:pPr>
      <w:bookmarkStart w:id="981" w:name="_Toc2553"/>
      <w:bookmarkStart w:id="982" w:name="_Toc25516"/>
      <w:bookmarkStart w:id="983" w:name="_Toc12596"/>
      <w:bookmarkStart w:id="984" w:name="_Toc14467"/>
      <w:bookmarkStart w:id="985" w:name="_Toc29453"/>
      <w:r>
        <w:rPr>
          <w:rFonts w:hint="eastAsia" w:asciiTheme="majorEastAsia" w:hAnsiTheme="majorEastAsia" w:eastAsiaTheme="majorEastAsia" w:cstheme="majorEastAsia"/>
          <w:color w:val="auto"/>
          <w:sz w:val="21"/>
          <w:szCs w:val="21"/>
          <w:highlight w:val="none"/>
        </w:rPr>
        <w:t>20.3.2 争议评审小组的决定</w:t>
      </w:r>
      <w:bookmarkEnd w:id="981"/>
      <w:bookmarkEnd w:id="982"/>
      <w:bookmarkEnd w:id="983"/>
      <w:bookmarkEnd w:id="984"/>
      <w:bookmarkEnd w:id="985"/>
    </w:p>
    <w:p w14:paraId="2F6C3297">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合同当事人关于本项的约定：</w:t>
      </w:r>
      <w:r>
        <w:rPr>
          <w:rFonts w:hint="eastAsia" w:asciiTheme="majorEastAsia" w:hAnsiTheme="majorEastAsia" w:eastAsiaTheme="majorEastAsia" w:cstheme="majorEastAsia"/>
          <w:color w:val="auto"/>
          <w:kern w:val="2"/>
          <w:sz w:val="21"/>
          <w:szCs w:val="21"/>
          <w:highlight w:val="none"/>
          <w:u w:val="single"/>
        </w:rPr>
        <w:t xml:space="preserve"> 无 </w:t>
      </w:r>
      <w:r>
        <w:rPr>
          <w:rFonts w:hint="eastAsia" w:asciiTheme="majorEastAsia" w:hAnsiTheme="majorEastAsia" w:eastAsiaTheme="majorEastAsia" w:cstheme="majorEastAsia"/>
          <w:color w:val="auto"/>
          <w:kern w:val="2"/>
          <w:sz w:val="21"/>
          <w:szCs w:val="21"/>
          <w:highlight w:val="none"/>
        </w:rPr>
        <w:t>。</w:t>
      </w:r>
    </w:p>
    <w:p w14:paraId="1D120D06">
      <w:pPr>
        <w:pStyle w:val="55"/>
        <w:keepNext w:val="0"/>
        <w:pageBreakBefore w:val="0"/>
        <w:widowControl/>
        <w:kinsoku/>
        <w:wordWrap/>
        <w:overflowPunct/>
        <w:topLinePunct w:val="0"/>
        <w:bidi w:val="0"/>
        <w:spacing w:line="440" w:lineRule="exact"/>
        <w:ind w:left="0" w:leftChars="0" w:firstLine="420" w:firstLineChars="200"/>
        <w:textAlignment w:val="auto"/>
        <w:outlineLvl w:val="0"/>
        <w:rPr>
          <w:rFonts w:hint="eastAsia" w:asciiTheme="majorEastAsia" w:hAnsiTheme="majorEastAsia" w:eastAsiaTheme="majorEastAsia" w:cstheme="majorEastAsia"/>
          <w:color w:val="auto"/>
          <w:kern w:val="2"/>
          <w:sz w:val="21"/>
          <w:szCs w:val="21"/>
          <w:highlight w:val="none"/>
        </w:rPr>
      </w:pPr>
      <w:bookmarkStart w:id="986" w:name="_Toc24115"/>
      <w:bookmarkStart w:id="987" w:name="_Toc27910"/>
      <w:bookmarkStart w:id="988" w:name="_Toc17352"/>
      <w:bookmarkStart w:id="989" w:name="_Toc6569"/>
      <w:bookmarkStart w:id="990" w:name="_Toc861"/>
      <w:r>
        <w:rPr>
          <w:rFonts w:hint="eastAsia" w:asciiTheme="majorEastAsia" w:hAnsiTheme="majorEastAsia" w:eastAsiaTheme="majorEastAsia" w:cstheme="majorEastAsia"/>
          <w:color w:val="auto"/>
          <w:kern w:val="2"/>
          <w:sz w:val="21"/>
          <w:szCs w:val="21"/>
          <w:highlight w:val="none"/>
        </w:rPr>
        <w:t>20.4仲裁或诉讼</w:t>
      </w:r>
      <w:bookmarkEnd w:id="918"/>
      <w:bookmarkEnd w:id="986"/>
      <w:bookmarkEnd w:id="987"/>
      <w:bookmarkEnd w:id="988"/>
      <w:bookmarkEnd w:id="989"/>
      <w:bookmarkEnd w:id="990"/>
    </w:p>
    <w:p w14:paraId="5E6F0270">
      <w:pPr>
        <w:pStyle w:val="55"/>
        <w:keepNext w:val="0"/>
        <w:pageBreakBefore w:val="0"/>
        <w:widowControl/>
        <w:kinsoku/>
        <w:wordWrap/>
        <w:overflowPunct/>
        <w:topLinePunct w:val="0"/>
        <w:bidi w:val="0"/>
        <w:spacing w:line="440" w:lineRule="exact"/>
        <w:ind w:left="0" w:leftChars="0" w:firstLine="420" w:firstLineChars="200"/>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因合同及合同有关事项发生的争议，按下列第</w:t>
      </w:r>
      <w:r>
        <w:rPr>
          <w:rFonts w:hint="eastAsia" w:asciiTheme="majorEastAsia" w:hAnsiTheme="majorEastAsia" w:eastAsiaTheme="majorEastAsia" w:cstheme="majorEastAsia"/>
          <w:color w:val="auto"/>
          <w:kern w:val="2"/>
          <w:sz w:val="21"/>
          <w:szCs w:val="21"/>
          <w:highlight w:val="none"/>
          <w:u w:val="single"/>
        </w:rPr>
        <w:t xml:space="preserve">  2 </w:t>
      </w:r>
      <w:r>
        <w:rPr>
          <w:rFonts w:hint="eastAsia" w:asciiTheme="majorEastAsia" w:hAnsiTheme="majorEastAsia" w:eastAsiaTheme="majorEastAsia" w:cstheme="majorEastAsia"/>
          <w:color w:val="auto"/>
          <w:kern w:val="2"/>
          <w:sz w:val="21"/>
          <w:szCs w:val="21"/>
          <w:highlight w:val="none"/>
        </w:rPr>
        <w:t>种方式解决：</w:t>
      </w:r>
    </w:p>
    <w:p w14:paraId="42F153EB">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（1）向</w:t>
      </w:r>
      <w:r>
        <w:rPr>
          <w:rFonts w:hint="eastAsia" w:asciiTheme="majorEastAsia" w:hAnsiTheme="majorEastAsia" w:eastAsiaTheme="majorEastAsia" w:cstheme="majorEastAsia"/>
          <w:color w:val="auto"/>
          <w:kern w:val="2"/>
          <w:sz w:val="21"/>
          <w:szCs w:val="21"/>
          <w:highlight w:val="none"/>
          <w:u w:val="single"/>
        </w:rPr>
        <w:t xml:space="preserve">  /  </w:t>
      </w:r>
      <w:r>
        <w:rPr>
          <w:rFonts w:hint="eastAsia" w:asciiTheme="majorEastAsia" w:hAnsiTheme="majorEastAsia" w:eastAsiaTheme="majorEastAsia" w:cstheme="majorEastAsia"/>
          <w:color w:val="auto"/>
          <w:kern w:val="2"/>
          <w:sz w:val="21"/>
          <w:szCs w:val="21"/>
          <w:highlight w:val="none"/>
        </w:rPr>
        <w:t>仲裁委员会申请仲裁；</w:t>
      </w:r>
    </w:p>
    <w:p w14:paraId="06610934">
      <w:pPr>
        <w:pStyle w:val="55"/>
        <w:keepNext w:val="0"/>
        <w:pageBreakBefore w:val="0"/>
        <w:widowControl/>
        <w:kinsoku/>
        <w:wordWrap/>
        <w:overflowPunct/>
        <w:topLinePunct w:val="0"/>
        <w:bidi w:val="0"/>
        <w:spacing w:line="440" w:lineRule="exact"/>
        <w:ind w:left="0" w:leftChars="0" w:firstLine="420" w:firstLineChars="20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（2）向</w:t>
      </w:r>
      <w:r>
        <w:rPr>
          <w:rFonts w:hint="eastAsia" w:asciiTheme="majorEastAsia" w:hAnsiTheme="majorEastAsia" w:eastAsiaTheme="majorEastAsia" w:cstheme="majorEastAsia"/>
          <w:b/>
          <w:color w:val="auto"/>
          <w:kern w:val="2"/>
          <w:sz w:val="21"/>
          <w:szCs w:val="21"/>
          <w:highlight w:val="none"/>
          <w:u w:val="single"/>
        </w:rPr>
        <w:t xml:space="preserve">合同履行地有管辖权的 </w:t>
      </w:r>
      <w:r>
        <w:rPr>
          <w:rFonts w:hint="eastAsia" w:asciiTheme="majorEastAsia" w:hAnsiTheme="majorEastAsia" w:eastAsiaTheme="majorEastAsia" w:cstheme="majorEastAsia"/>
          <w:color w:val="auto"/>
          <w:kern w:val="2"/>
          <w:sz w:val="21"/>
          <w:szCs w:val="21"/>
          <w:highlight w:val="none"/>
        </w:rPr>
        <w:t>人民法院起诉。</w:t>
      </w:r>
      <w:bookmarkEnd w:id="919"/>
      <w:bookmarkEnd w:id="920"/>
      <w:bookmarkEnd w:id="921"/>
      <w:bookmarkEnd w:id="922"/>
      <w:bookmarkEnd w:id="923"/>
      <w:bookmarkEnd w:id="924"/>
    </w:p>
    <w:p w14:paraId="5E92C128">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b/>
          <w:color w:val="auto"/>
          <w:kern w:val="2"/>
          <w:sz w:val="21"/>
          <w:szCs w:val="21"/>
          <w:highlight w:val="none"/>
        </w:rPr>
        <w:t>补充条款</w:t>
      </w:r>
    </w:p>
    <w:p w14:paraId="78CF153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 xml:space="preserve"> 1、承包人若因报价过低致使合同履行中无故要求变更投标承诺和变更投标报价（含单价、合价和总价）的，按下列规定执行</w:t>
      </w:r>
      <w:r>
        <w:rPr>
          <w:rFonts w:hint="eastAsia" w:asciiTheme="majorEastAsia" w:hAnsiTheme="majorEastAsia" w:eastAsiaTheme="majorEastAsia" w:cstheme="majorEastAsia"/>
          <w:b/>
          <w:color w:val="auto"/>
          <w:kern w:val="2"/>
          <w:sz w:val="21"/>
          <w:szCs w:val="21"/>
          <w:highlight w:val="none"/>
          <w:u w:val="none"/>
        </w:rPr>
        <w:t>：</w:t>
      </w:r>
    </w:p>
    <w:p w14:paraId="19B5B23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1）不严格和不全面履行合同的，除扣除履约担保金外，发包人有权改变合同约定的发包范围另行委托其他单位完成该项工作，同时还应承担由此造成发包人的实际损失，由此造成的承包人损失由承包人自行承担。此外，发包人可将有关情况报建设行政主管部门，由建设行政主管部门依照有关法律、法规给予相应行政处罚，并作为不良市场行为记录</w:t>
      </w:r>
      <w:r>
        <w:rPr>
          <w:rFonts w:hint="eastAsia" w:asciiTheme="majorEastAsia" w:hAnsiTheme="majorEastAsia" w:eastAsiaTheme="majorEastAsia" w:cstheme="majorEastAsia"/>
          <w:b/>
          <w:color w:val="auto"/>
          <w:kern w:val="2"/>
          <w:sz w:val="21"/>
          <w:szCs w:val="21"/>
          <w:highlight w:val="none"/>
          <w:u w:val="none"/>
        </w:rPr>
        <w:t>。</w:t>
      </w:r>
    </w:p>
    <w:p w14:paraId="22C4C851">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在合同履行中，承包人无故要求变更投标承诺和变更投标报价（含单价、合价和总价）的，发包人不给予调整，可视情况终止合同，由此造成发包人的实际损失由承包人承担赔偿责任，由此造成的承包人损失由承包人自行承担。发包人可将有关情况报建设行政主管部门，由建设行政主管部门依照有关法律、法规给予相应行政处罚，并作为不良市场行为记录</w:t>
      </w:r>
      <w:r>
        <w:rPr>
          <w:rFonts w:hint="eastAsia" w:asciiTheme="majorEastAsia" w:hAnsiTheme="majorEastAsia" w:eastAsiaTheme="majorEastAsia" w:cstheme="majorEastAsia"/>
          <w:b/>
          <w:color w:val="auto"/>
          <w:kern w:val="2"/>
          <w:sz w:val="21"/>
          <w:szCs w:val="21"/>
          <w:highlight w:val="none"/>
          <w:u w:val="none"/>
        </w:rPr>
        <w:t>。</w:t>
      </w:r>
    </w:p>
    <w:p w14:paraId="464D2A34">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2、发生合同工程工期延误的，应分清责任，选择全同履行期不利于责任方的原则按现行计价规定计算市场波动形成的变更，按要求审核后进入结算</w:t>
      </w:r>
      <w:r>
        <w:rPr>
          <w:rFonts w:hint="eastAsia" w:asciiTheme="majorEastAsia" w:hAnsiTheme="majorEastAsia" w:eastAsiaTheme="majorEastAsia" w:cstheme="majorEastAsia"/>
          <w:b/>
          <w:color w:val="auto"/>
          <w:kern w:val="2"/>
          <w:sz w:val="21"/>
          <w:szCs w:val="21"/>
          <w:highlight w:val="none"/>
          <w:u w:val="none"/>
        </w:rPr>
        <w:t>。</w:t>
      </w:r>
    </w:p>
    <w:p w14:paraId="46B43832">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3、承包方必须保证资金专款专用，绝不挪作他用，在收到工程预付款和进度款前必须列出开支计划，确保民工工资的支付，并接受发包人的监督。若发生挪作他用或不按开支计划合理使用工程资金，发包人有权停止支付款项，并有权直接支付相应开支，且承包人不能因此而停止工程的施工</w:t>
      </w:r>
      <w:r>
        <w:rPr>
          <w:rFonts w:hint="eastAsia" w:asciiTheme="majorEastAsia" w:hAnsiTheme="majorEastAsia" w:eastAsiaTheme="majorEastAsia" w:cstheme="majorEastAsia"/>
          <w:b/>
          <w:color w:val="auto"/>
          <w:kern w:val="2"/>
          <w:sz w:val="21"/>
          <w:szCs w:val="21"/>
          <w:highlight w:val="none"/>
          <w:u w:val="none"/>
        </w:rPr>
        <w:t>。</w:t>
      </w:r>
    </w:p>
    <w:p w14:paraId="5C0175C9">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4、承包人通过对现场考察，应结合本工程的实际情况，制定切实可行的施工组织计划，对施工现场作周密布置，除充分考虑上述规定外，还应对现场施工用水的排放及排污做统一安排。若因排水、排污妨碍沿线居民正常生活或工农业生产，一切责任由承包人承担</w:t>
      </w:r>
      <w:r>
        <w:rPr>
          <w:rFonts w:hint="eastAsia" w:asciiTheme="majorEastAsia" w:hAnsiTheme="majorEastAsia" w:eastAsiaTheme="majorEastAsia" w:cstheme="majorEastAsia"/>
          <w:b/>
          <w:color w:val="auto"/>
          <w:kern w:val="2"/>
          <w:sz w:val="21"/>
          <w:szCs w:val="21"/>
          <w:highlight w:val="none"/>
          <w:u w:val="none"/>
        </w:rPr>
        <w:t>。</w:t>
      </w:r>
    </w:p>
    <w:p w14:paraId="6D3067D9">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5、如果工程师对承包人所用材料有疑虑，以云南省质量技术监督局或其它专业资质机构鉴定结果为准，若检验不合格，检验费用由承包人承担；若检验合格，检验费用由发包人承担</w:t>
      </w:r>
      <w:r>
        <w:rPr>
          <w:rFonts w:hint="eastAsia" w:asciiTheme="majorEastAsia" w:hAnsiTheme="majorEastAsia" w:eastAsiaTheme="majorEastAsia" w:cstheme="majorEastAsia"/>
          <w:b/>
          <w:color w:val="auto"/>
          <w:kern w:val="2"/>
          <w:sz w:val="21"/>
          <w:szCs w:val="21"/>
          <w:highlight w:val="none"/>
          <w:u w:val="none"/>
        </w:rPr>
        <w:t>。</w:t>
      </w:r>
    </w:p>
    <w:p w14:paraId="30E43516">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6、除发包人提供的材料外，所有材料由承包人按合同约定自行采购。特殊情况下，若发包人提供的材料，质量符合设计要求，价格又低于投标报价时，承包人不得拒购，工程结算时按实扣减</w:t>
      </w:r>
      <w:r>
        <w:rPr>
          <w:rFonts w:hint="eastAsia" w:asciiTheme="majorEastAsia" w:hAnsiTheme="majorEastAsia" w:eastAsiaTheme="majorEastAsia" w:cstheme="majorEastAsia"/>
          <w:b/>
          <w:color w:val="auto"/>
          <w:kern w:val="2"/>
          <w:sz w:val="21"/>
          <w:szCs w:val="21"/>
          <w:highlight w:val="none"/>
          <w:u w:val="none"/>
        </w:rPr>
        <w:t>。</w:t>
      </w:r>
    </w:p>
    <w:p w14:paraId="44F5C470">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7、本工程实行全过程跟踪审核，承包人应配合跟踪审核项目部及工程竣工结算的相关审核工作</w:t>
      </w:r>
      <w:r>
        <w:rPr>
          <w:rFonts w:hint="eastAsia" w:asciiTheme="majorEastAsia" w:hAnsiTheme="majorEastAsia" w:eastAsiaTheme="majorEastAsia" w:cstheme="majorEastAsia"/>
          <w:b/>
          <w:color w:val="auto"/>
          <w:kern w:val="2"/>
          <w:sz w:val="21"/>
          <w:szCs w:val="21"/>
          <w:highlight w:val="none"/>
          <w:u w:val="none"/>
        </w:rPr>
        <w:t>。</w:t>
      </w:r>
    </w:p>
    <w:p w14:paraId="71C38D29">
      <w:pPr>
        <w:pStyle w:val="55"/>
        <w:keepNext w:val="0"/>
        <w:pageBreakBefore w:val="0"/>
        <w:widowControl/>
        <w:kinsoku/>
        <w:wordWrap/>
        <w:overflowPunct/>
        <w:topLinePunct w:val="0"/>
        <w:bidi w:val="0"/>
        <w:spacing w:line="440" w:lineRule="exact"/>
        <w:ind w:left="0" w:leftChars="0" w:firstLine="422" w:firstLineChars="200"/>
        <w:textAlignment w:val="auto"/>
        <w:rPr>
          <w:rFonts w:hint="eastAsia" w:asciiTheme="majorEastAsia" w:hAnsiTheme="majorEastAsia" w:eastAsiaTheme="majorEastAsia" w:cstheme="majorEastAsia"/>
          <w:b/>
          <w:color w:val="auto"/>
          <w:kern w:val="2"/>
          <w:sz w:val="21"/>
          <w:szCs w:val="21"/>
          <w:highlight w:val="none"/>
          <w:u w:val="single"/>
        </w:rPr>
      </w:pPr>
      <w:r>
        <w:rPr>
          <w:rFonts w:hint="eastAsia" w:asciiTheme="majorEastAsia" w:hAnsiTheme="majorEastAsia" w:eastAsiaTheme="majorEastAsia" w:cstheme="majorEastAsia"/>
          <w:b/>
          <w:color w:val="auto"/>
          <w:kern w:val="2"/>
          <w:sz w:val="21"/>
          <w:szCs w:val="21"/>
          <w:highlight w:val="none"/>
          <w:u w:val="single"/>
        </w:rPr>
        <w:t>8、本工程计价严格按现行《建设工程工程量清单计价标准》(GB/T 50500-2024)进行计价，合同中没有约定的或约定的计价条款与《建设工程工程量清单计价标准》(GB/T 50500-2024)不符者必须按此规范执行</w:t>
      </w:r>
      <w:r>
        <w:rPr>
          <w:rFonts w:hint="eastAsia" w:asciiTheme="majorEastAsia" w:hAnsiTheme="majorEastAsia" w:eastAsiaTheme="majorEastAsia" w:cstheme="majorEastAsia"/>
          <w:b/>
          <w:color w:val="auto"/>
          <w:kern w:val="2"/>
          <w:sz w:val="21"/>
          <w:szCs w:val="21"/>
          <w:highlight w:val="none"/>
          <w:u w:val="none"/>
        </w:rPr>
        <w:t>。</w:t>
      </w:r>
    </w:p>
    <w:p w14:paraId="5B9F494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b/>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lang w:bidi="ar"/>
        </w:rPr>
        <w:br w:type="page"/>
      </w:r>
      <w:bookmarkStart w:id="991" w:name="_Toc351203652_0"/>
      <w:r>
        <w:rPr>
          <w:rFonts w:hint="eastAsia" w:asciiTheme="majorEastAsia" w:hAnsiTheme="majorEastAsia" w:eastAsiaTheme="majorEastAsia" w:cstheme="majorEastAsia"/>
          <w:b/>
          <w:color w:val="auto"/>
          <w:kern w:val="2"/>
          <w:sz w:val="21"/>
          <w:szCs w:val="21"/>
          <w:highlight w:val="none"/>
        </w:rPr>
        <w:t>附件</w:t>
      </w:r>
      <w:bookmarkEnd w:id="991"/>
    </w:p>
    <w:p w14:paraId="7215847E">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协议书附件：</w:t>
      </w:r>
    </w:p>
    <w:p w14:paraId="4AC4713E">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附件1：承包人承揽工程项目一览表</w:t>
      </w:r>
    </w:p>
    <w:p w14:paraId="241C94E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专用合同条款附件：</w:t>
      </w:r>
    </w:p>
    <w:p w14:paraId="628F865C">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附件2：发包人供应材料设备一览表</w:t>
      </w:r>
    </w:p>
    <w:p w14:paraId="5D20A6C4">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附件3：工程质量保修书</w:t>
      </w:r>
    </w:p>
    <w:p w14:paraId="3F13042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附件4：主要建设工程文件目录</w:t>
      </w:r>
    </w:p>
    <w:p w14:paraId="5A937AC8">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附件5：承包人用于本工程施工的机械设备表</w:t>
      </w:r>
    </w:p>
    <w:p w14:paraId="205EC9ED">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附件6：承包人主要施工管理人员表</w:t>
      </w:r>
    </w:p>
    <w:p w14:paraId="621033AF">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附件7：分包人主要施工管理人员表</w:t>
      </w:r>
    </w:p>
    <w:p w14:paraId="232D220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附件8：履约担保格式</w:t>
      </w:r>
    </w:p>
    <w:p w14:paraId="118C09BB">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附件9：预付款担保格式</w:t>
      </w:r>
    </w:p>
    <w:p w14:paraId="006086F0">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附件10：支付担保格式</w:t>
      </w:r>
    </w:p>
    <w:p w14:paraId="0826C779">
      <w:pPr>
        <w:pStyle w:val="55"/>
        <w:keepNext w:val="0"/>
        <w:pageBreakBefore w:val="0"/>
        <w:widowControl/>
        <w:kinsoku/>
        <w:wordWrap/>
        <w:overflowPunct/>
        <w:topLinePunct w:val="0"/>
        <w:bidi w:val="0"/>
        <w:spacing w:line="440" w:lineRule="exact"/>
        <w:ind w:left="0" w:leftChars="0"/>
        <w:jc w:val="left"/>
        <w:textAlignment w:val="auto"/>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附件11：暂估价一览表</w:t>
      </w:r>
    </w:p>
    <w:p w14:paraId="65DF1E0D">
      <w:pPr>
        <w:pStyle w:val="15"/>
        <w:keepNext w:val="0"/>
        <w:pageBreakBefore w:val="0"/>
        <w:kinsoku/>
        <w:wordWrap/>
        <w:overflowPunct/>
        <w:topLinePunct w:val="0"/>
        <w:bidi w:val="0"/>
        <w:spacing w:line="440" w:lineRule="exact"/>
        <w:ind w:left="0" w:leftChars="0"/>
        <w:textAlignment w:val="auto"/>
        <w:rPr>
          <w:rFonts w:hint="eastAsia" w:asciiTheme="majorEastAsia" w:hAnsiTheme="majorEastAsia" w:eastAsiaTheme="majorEastAsia" w:cstheme="majorEastAsia"/>
          <w:color w:val="auto"/>
          <w:sz w:val="21"/>
          <w:szCs w:val="21"/>
          <w:highlight w:val="none"/>
          <w:lang w:bidi="ar"/>
        </w:rPr>
        <w:sectPr>
          <w:headerReference r:id="rId9" w:type="default"/>
          <w:footerReference r:id="rId10" w:type="default"/>
          <w:pgSz w:w="11906" w:h="16838"/>
          <w:pgMar w:top="1418" w:right="1555" w:bottom="1418" w:left="1531" w:header="851" w:footer="992" w:gutter="0"/>
          <w:pgNumType w:fmt="decimal"/>
          <w:cols w:space="708" w:num="1"/>
          <w:docGrid w:type="lines" w:linePitch="312" w:charSpace="0"/>
        </w:sectPr>
      </w:pPr>
    </w:p>
    <w:p w14:paraId="3F1CEB7A">
      <w:pPr>
        <w:pStyle w:val="55"/>
        <w:widowControl/>
        <w:spacing w:before="156" w:beforeLines="50" w:after="156" w:afterLines="50" w:line="440" w:lineRule="exact"/>
        <w:jc w:val="left"/>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附件1：</w:t>
      </w:r>
    </w:p>
    <w:p w14:paraId="1156D79A">
      <w:pPr>
        <w:pStyle w:val="55"/>
        <w:widowControl/>
        <w:spacing w:before="156" w:beforeLines="50" w:after="156" w:afterLines="50" w:line="440" w:lineRule="exact"/>
        <w:jc w:val="center"/>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承包人承揽工程项目一览表</w:t>
      </w:r>
    </w:p>
    <w:tbl>
      <w:tblPr>
        <w:tblStyle w:val="25"/>
        <w:tblW w:w="0" w:type="auto"/>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14:paraId="69C32B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left w:val="single" w:color="auto" w:sz="12" w:space="0"/>
              <w:bottom w:val="double" w:color="auto" w:sz="6" w:space="0"/>
              <w:right w:val="single" w:color="auto" w:sz="6" w:space="0"/>
            </w:tcBorders>
            <w:vAlign w:val="center"/>
          </w:tcPr>
          <w:p w14:paraId="59F1A48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单位工程名称</w:t>
            </w:r>
          </w:p>
        </w:tc>
        <w:tc>
          <w:tcPr>
            <w:tcW w:w="1843" w:type="dxa"/>
            <w:tcBorders>
              <w:top w:val="single" w:color="auto" w:sz="12" w:space="0"/>
              <w:left w:val="single" w:color="auto" w:sz="6" w:space="0"/>
              <w:bottom w:val="double" w:color="auto" w:sz="6" w:space="0"/>
              <w:right w:val="single" w:color="auto" w:sz="6" w:space="0"/>
            </w:tcBorders>
            <w:vAlign w:val="center"/>
          </w:tcPr>
          <w:p w14:paraId="7E98DC14">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建设规模</w:t>
            </w:r>
          </w:p>
        </w:tc>
        <w:tc>
          <w:tcPr>
            <w:tcW w:w="1417" w:type="dxa"/>
            <w:tcBorders>
              <w:top w:val="single" w:color="auto" w:sz="12" w:space="0"/>
              <w:left w:val="single" w:color="auto" w:sz="6" w:space="0"/>
              <w:bottom w:val="double" w:color="auto" w:sz="6" w:space="0"/>
              <w:right w:val="single" w:color="auto" w:sz="6" w:space="0"/>
            </w:tcBorders>
            <w:vAlign w:val="center"/>
          </w:tcPr>
          <w:p w14:paraId="29F52A1A">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建筑面积(平方米)</w:t>
            </w:r>
          </w:p>
        </w:tc>
        <w:tc>
          <w:tcPr>
            <w:tcW w:w="2410" w:type="dxa"/>
            <w:tcBorders>
              <w:top w:val="single" w:color="auto" w:sz="12" w:space="0"/>
              <w:left w:val="single" w:color="auto" w:sz="6" w:space="0"/>
              <w:bottom w:val="double" w:color="auto" w:sz="6" w:space="0"/>
              <w:right w:val="single" w:color="auto" w:sz="6" w:space="0"/>
            </w:tcBorders>
            <w:vAlign w:val="center"/>
          </w:tcPr>
          <w:p w14:paraId="1288A6E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结构形式</w:t>
            </w:r>
          </w:p>
        </w:tc>
        <w:tc>
          <w:tcPr>
            <w:tcW w:w="850" w:type="dxa"/>
            <w:tcBorders>
              <w:top w:val="single" w:color="auto" w:sz="12" w:space="0"/>
              <w:left w:val="single" w:color="auto" w:sz="6" w:space="0"/>
              <w:bottom w:val="double" w:color="auto" w:sz="6" w:space="0"/>
              <w:right w:val="single" w:color="auto" w:sz="6" w:space="0"/>
            </w:tcBorders>
            <w:vAlign w:val="center"/>
          </w:tcPr>
          <w:p w14:paraId="7B427CC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层数</w:t>
            </w:r>
          </w:p>
        </w:tc>
        <w:tc>
          <w:tcPr>
            <w:tcW w:w="1560" w:type="dxa"/>
            <w:tcBorders>
              <w:top w:val="single" w:color="auto" w:sz="12" w:space="0"/>
              <w:left w:val="single" w:color="auto" w:sz="6" w:space="0"/>
              <w:bottom w:val="double" w:color="auto" w:sz="6" w:space="0"/>
              <w:right w:val="single" w:color="auto" w:sz="6" w:space="0"/>
            </w:tcBorders>
            <w:vAlign w:val="center"/>
          </w:tcPr>
          <w:p w14:paraId="0E3B711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生产能力</w:t>
            </w:r>
          </w:p>
        </w:tc>
        <w:tc>
          <w:tcPr>
            <w:tcW w:w="2126" w:type="dxa"/>
            <w:tcBorders>
              <w:top w:val="single" w:color="auto" w:sz="12" w:space="0"/>
              <w:left w:val="single" w:color="auto" w:sz="6" w:space="0"/>
              <w:bottom w:val="double" w:color="auto" w:sz="6" w:space="0"/>
              <w:right w:val="single" w:color="auto" w:sz="6" w:space="0"/>
            </w:tcBorders>
            <w:vAlign w:val="center"/>
          </w:tcPr>
          <w:p w14:paraId="3BBEDF5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设备安装内容</w:t>
            </w:r>
          </w:p>
        </w:tc>
        <w:tc>
          <w:tcPr>
            <w:tcW w:w="1417" w:type="dxa"/>
            <w:tcBorders>
              <w:top w:val="single" w:color="auto" w:sz="12" w:space="0"/>
              <w:left w:val="single" w:color="auto" w:sz="6" w:space="0"/>
              <w:bottom w:val="double" w:color="auto" w:sz="6" w:space="0"/>
              <w:right w:val="single" w:color="auto" w:sz="6" w:space="0"/>
            </w:tcBorders>
            <w:vAlign w:val="center"/>
          </w:tcPr>
          <w:p w14:paraId="43F3843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合同价格（元）</w:t>
            </w:r>
          </w:p>
        </w:tc>
        <w:tc>
          <w:tcPr>
            <w:tcW w:w="851" w:type="dxa"/>
            <w:tcBorders>
              <w:top w:val="single" w:color="auto" w:sz="12" w:space="0"/>
              <w:left w:val="single" w:color="auto" w:sz="6" w:space="0"/>
              <w:bottom w:val="double" w:color="auto" w:sz="6" w:space="0"/>
              <w:right w:val="single" w:color="auto" w:sz="6" w:space="0"/>
            </w:tcBorders>
            <w:vAlign w:val="center"/>
          </w:tcPr>
          <w:p w14:paraId="2EBDE01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开工日期</w:t>
            </w:r>
          </w:p>
        </w:tc>
        <w:tc>
          <w:tcPr>
            <w:tcW w:w="850" w:type="dxa"/>
            <w:tcBorders>
              <w:top w:val="single" w:color="auto" w:sz="12" w:space="0"/>
              <w:left w:val="single" w:color="auto" w:sz="6" w:space="0"/>
              <w:bottom w:val="double" w:color="auto" w:sz="6" w:space="0"/>
              <w:right w:val="single" w:color="auto" w:sz="12" w:space="0"/>
            </w:tcBorders>
            <w:vAlign w:val="center"/>
          </w:tcPr>
          <w:p w14:paraId="3D3C914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r>
              <w:rPr>
                <w:rFonts w:hint="eastAsia" w:asciiTheme="majorEastAsia" w:hAnsiTheme="majorEastAsia" w:eastAsiaTheme="majorEastAsia" w:cstheme="majorEastAsia"/>
                <w:color w:val="auto"/>
                <w:kern w:val="2"/>
                <w:sz w:val="21"/>
                <w:szCs w:val="21"/>
                <w:highlight w:val="none"/>
              </w:rPr>
              <w:t>竣工日期</w:t>
            </w:r>
          </w:p>
        </w:tc>
      </w:tr>
      <w:tr w14:paraId="34D1F4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left w:val="single" w:color="auto" w:sz="12" w:space="0"/>
              <w:bottom w:val="single" w:color="auto" w:sz="6" w:space="0"/>
              <w:right w:val="single" w:color="auto" w:sz="6" w:space="0"/>
            </w:tcBorders>
            <w:vAlign w:val="center"/>
          </w:tcPr>
          <w:p w14:paraId="49436AA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double" w:color="auto" w:sz="6" w:space="0"/>
              <w:left w:val="single" w:color="auto" w:sz="6" w:space="0"/>
              <w:bottom w:val="single" w:color="auto" w:sz="6" w:space="0"/>
              <w:right w:val="single" w:color="auto" w:sz="6" w:space="0"/>
            </w:tcBorders>
            <w:vAlign w:val="center"/>
          </w:tcPr>
          <w:p w14:paraId="5428080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74C7B2D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double" w:color="auto" w:sz="6" w:space="0"/>
              <w:left w:val="single" w:color="auto" w:sz="6" w:space="0"/>
              <w:bottom w:val="single" w:color="auto" w:sz="6" w:space="0"/>
              <w:right w:val="single" w:color="auto" w:sz="6" w:space="0"/>
            </w:tcBorders>
            <w:vAlign w:val="center"/>
          </w:tcPr>
          <w:p w14:paraId="63C3653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double" w:color="auto" w:sz="6" w:space="0"/>
              <w:left w:val="single" w:color="auto" w:sz="6" w:space="0"/>
              <w:bottom w:val="single" w:color="auto" w:sz="6" w:space="0"/>
              <w:right w:val="single" w:color="auto" w:sz="6" w:space="0"/>
            </w:tcBorders>
            <w:vAlign w:val="center"/>
          </w:tcPr>
          <w:p w14:paraId="3BE37F3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double" w:color="auto" w:sz="6" w:space="0"/>
              <w:left w:val="single" w:color="auto" w:sz="6" w:space="0"/>
              <w:bottom w:val="single" w:color="auto" w:sz="6" w:space="0"/>
              <w:right w:val="single" w:color="auto" w:sz="6" w:space="0"/>
            </w:tcBorders>
            <w:vAlign w:val="center"/>
          </w:tcPr>
          <w:p w14:paraId="2706EDF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double" w:color="auto" w:sz="6" w:space="0"/>
              <w:left w:val="single" w:color="auto" w:sz="6" w:space="0"/>
              <w:bottom w:val="single" w:color="auto" w:sz="6" w:space="0"/>
              <w:right w:val="single" w:color="auto" w:sz="6" w:space="0"/>
            </w:tcBorders>
            <w:vAlign w:val="center"/>
          </w:tcPr>
          <w:p w14:paraId="1F60F1A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double" w:color="auto" w:sz="6" w:space="0"/>
              <w:left w:val="single" w:color="auto" w:sz="6" w:space="0"/>
              <w:bottom w:val="single" w:color="auto" w:sz="6" w:space="0"/>
              <w:right w:val="single" w:color="auto" w:sz="6" w:space="0"/>
            </w:tcBorders>
            <w:vAlign w:val="center"/>
          </w:tcPr>
          <w:p w14:paraId="7EB97AB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double" w:color="auto" w:sz="6" w:space="0"/>
              <w:left w:val="single" w:color="auto" w:sz="6" w:space="0"/>
              <w:bottom w:val="single" w:color="auto" w:sz="6" w:space="0"/>
              <w:right w:val="single" w:color="auto" w:sz="6" w:space="0"/>
            </w:tcBorders>
            <w:vAlign w:val="center"/>
          </w:tcPr>
          <w:p w14:paraId="1E99A6D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double" w:color="auto" w:sz="6" w:space="0"/>
              <w:left w:val="single" w:color="auto" w:sz="6" w:space="0"/>
              <w:bottom w:val="single" w:color="auto" w:sz="6" w:space="0"/>
              <w:right w:val="single" w:color="auto" w:sz="12" w:space="0"/>
            </w:tcBorders>
            <w:vAlign w:val="center"/>
          </w:tcPr>
          <w:p w14:paraId="24F4FD83">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3DEA3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149DF3D">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090151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07D272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440FDC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F87172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98C76A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C609D4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795D7B9D">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0A70D9D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E6638E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73C4D6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263BC20D">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7134F23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10EFB0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26341D8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C4228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1B174D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4582AEB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0516FD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6D2C0C43">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4700EF8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07B9AC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708DE3AA">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11D5BC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1569ED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0A6A3C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336EE74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6C190A1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F09D5F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D1CE99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3AFC0E8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5AE25A6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7E3CB6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ADA86F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000BB89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EAF97F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49387576">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3185BCF4">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1B22CBB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034873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6FE63AEA">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494AAE4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01BE196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17F969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64B31B9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AF807F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5D6A8C39">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649E819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6347627A">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34E1DFC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765B5AB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4D3F477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87A3CB3">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72B2F6ED">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43478D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78942D6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2B1AD556">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4A3E4C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74658F7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E0483E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65371666">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3F1A6A8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BA356E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1AD2B73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6235F24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76976C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6B346BC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41CECFB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2BBA1E4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3391798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11494B1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7BAC638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2F9B31E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50C596F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2718907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341E788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586AD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6" w:space="0"/>
              <w:right w:val="single" w:color="auto" w:sz="6" w:space="0"/>
            </w:tcBorders>
            <w:vAlign w:val="center"/>
          </w:tcPr>
          <w:p w14:paraId="1A0A482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269D74C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132C843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single" w:color="auto" w:sz="6" w:space="0"/>
              <w:left w:val="single" w:color="auto" w:sz="6" w:space="0"/>
              <w:bottom w:val="single" w:color="auto" w:sz="6" w:space="0"/>
              <w:right w:val="single" w:color="auto" w:sz="6" w:space="0"/>
            </w:tcBorders>
            <w:vAlign w:val="center"/>
          </w:tcPr>
          <w:p w14:paraId="3F277DD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vAlign w:val="center"/>
          </w:tcPr>
          <w:p w14:paraId="1DE1AF7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single" w:color="auto" w:sz="6" w:space="0"/>
              <w:left w:val="single" w:color="auto" w:sz="6" w:space="0"/>
              <w:bottom w:val="single" w:color="auto" w:sz="6" w:space="0"/>
              <w:right w:val="single" w:color="auto" w:sz="6" w:space="0"/>
            </w:tcBorders>
            <w:vAlign w:val="center"/>
          </w:tcPr>
          <w:p w14:paraId="1338ED3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14:paraId="04B4F93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6" w:space="0"/>
              <w:right w:val="single" w:color="auto" w:sz="6" w:space="0"/>
            </w:tcBorders>
            <w:vAlign w:val="center"/>
          </w:tcPr>
          <w:p w14:paraId="0F2524F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vAlign w:val="center"/>
          </w:tcPr>
          <w:p w14:paraId="05F05364">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6" w:space="0"/>
              <w:right w:val="single" w:color="auto" w:sz="12" w:space="0"/>
            </w:tcBorders>
            <w:vAlign w:val="center"/>
          </w:tcPr>
          <w:p w14:paraId="2862F06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2B270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left w:val="single" w:color="auto" w:sz="12" w:space="0"/>
              <w:bottom w:val="single" w:color="auto" w:sz="6" w:space="0"/>
              <w:right w:val="single" w:color="auto" w:sz="6" w:space="0"/>
            </w:tcBorders>
            <w:vAlign w:val="center"/>
          </w:tcPr>
          <w:p w14:paraId="002D6970">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nil"/>
              <w:left w:val="single" w:color="auto" w:sz="6" w:space="0"/>
              <w:bottom w:val="single" w:color="auto" w:sz="6" w:space="0"/>
              <w:right w:val="single" w:color="auto" w:sz="6" w:space="0"/>
            </w:tcBorders>
            <w:vAlign w:val="center"/>
          </w:tcPr>
          <w:p w14:paraId="58D0C0B6">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0408EA42">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nil"/>
              <w:left w:val="single" w:color="auto" w:sz="6" w:space="0"/>
              <w:bottom w:val="single" w:color="auto" w:sz="6" w:space="0"/>
              <w:right w:val="single" w:color="auto" w:sz="6" w:space="0"/>
            </w:tcBorders>
            <w:vAlign w:val="center"/>
          </w:tcPr>
          <w:p w14:paraId="010012A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6" w:space="0"/>
            </w:tcBorders>
            <w:vAlign w:val="center"/>
          </w:tcPr>
          <w:p w14:paraId="5F3B758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nil"/>
              <w:left w:val="single" w:color="auto" w:sz="6" w:space="0"/>
              <w:bottom w:val="single" w:color="auto" w:sz="6" w:space="0"/>
              <w:right w:val="single" w:color="auto" w:sz="6" w:space="0"/>
            </w:tcBorders>
            <w:vAlign w:val="center"/>
          </w:tcPr>
          <w:p w14:paraId="6ECF613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nil"/>
              <w:left w:val="single" w:color="auto" w:sz="6" w:space="0"/>
              <w:bottom w:val="single" w:color="auto" w:sz="6" w:space="0"/>
              <w:right w:val="single" w:color="auto" w:sz="6" w:space="0"/>
            </w:tcBorders>
            <w:vAlign w:val="center"/>
          </w:tcPr>
          <w:p w14:paraId="5F7AA97F">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nil"/>
              <w:left w:val="single" w:color="auto" w:sz="6" w:space="0"/>
              <w:bottom w:val="single" w:color="auto" w:sz="6" w:space="0"/>
              <w:right w:val="single" w:color="auto" w:sz="6" w:space="0"/>
            </w:tcBorders>
            <w:vAlign w:val="center"/>
          </w:tcPr>
          <w:p w14:paraId="487723AE">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nil"/>
              <w:left w:val="single" w:color="auto" w:sz="6" w:space="0"/>
              <w:bottom w:val="single" w:color="auto" w:sz="6" w:space="0"/>
              <w:right w:val="single" w:color="auto" w:sz="6" w:space="0"/>
            </w:tcBorders>
            <w:vAlign w:val="center"/>
          </w:tcPr>
          <w:p w14:paraId="0619214C">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nil"/>
              <w:left w:val="single" w:color="auto" w:sz="6" w:space="0"/>
              <w:bottom w:val="single" w:color="auto" w:sz="6" w:space="0"/>
              <w:right w:val="single" w:color="auto" w:sz="12" w:space="0"/>
            </w:tcBorders>
            <w:vAlign w:val="center"/>
          </w:tcPr>
          <w:p w14:paraId="2CD5F875">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r w14:paraId="0312F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single" w:color="auto" w:sz="6" w:space="0"/>
              <w:left w:val="single" w:color="auto" w:sz="12" w:space="0"/>
              <w:bottom w:val="single" w:color="auto" w:sz="12" w:space="0"/>
              <w:right w:val="single" w:color="auto" w:sz="6" w:space="0"/>
            </w:tcBorders>
            <w:vAlign w:val="center"/>
          </w:tcPr>
          <w:p w14:paraId="2C11DD8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843" w:type="dxa"/>
            <w:tcBorders>
              <w:top w:val="single" w:color="auto" w:sz="6" w:space="0"/>
              <w:left w:val="single" w:color="auto" w:sz="6" w:space="0"/>
              <w:bottom w:val="single" w:color="auto" w:sz="12" w:space="0"/>
              <w:right w:val="single" w:color="auto" w:sz="6" w:space="0"/>
            </w:tcBorders>
            <w:vAlign w:val="center"/>
          </w:tcPr>
          <w:p w14:paraId="4D85DAD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04433F0B">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410" w:type="dxa"/>
            <w:tcBorders>
              <w:top w:val="single" w:color="auto" w:sz="6" w:space="0"/>
              <w:left w:val="single" w:color="auto" w:sz="6" w:space="0"/>
              <w:bottom w:val="single" w:color="auto" w:sz="12" w:space="0"/>
              <w:right w:val="single" w:color="auto" w:sz="6" w:space="0"/>
            </w:tcBorders>
            <w:vAlign w:val="center"/>
          </w:tcPr>
          <w:p w14:paraId="47888E11">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12" w:space="0"/>
              <w:right w:val="single" w:color="auto" w:sz="6" w:space="0"/>
            </w:tcBorders>
            <w:vAlign w:val="center"/>
          </w:tcPr>
          <w:p w14:paraId="76A9E8A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560" w:type="dxa"/>
            <w:tcBorders>
              <w:top w:val="single" w:color="auto" w:sz="6" w:space="0"/>
              <w:left w:val="single" w:color="auto" w:sz="6" w:space="0"/>
              <w:bottom w:val="single" w:color="auto" w:sz="12" w:space="0"/>
              <w:right w:val="single" w:color="auto" w:sz="6" w:space="0"/>
            </w:tcBorders>
            <w:vAlign w:val="center"/>
          </w:tcPr>
          <w:p w14:paraId="771913D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2126" w:type="dxa"/>
            <w:tcBorders>
              <w:top w:val="single" w:color="auto" w:sz="6" w:space="0"/>
              <w:left w:val="single" w:color="auto" w:sz="6" w:space="0"/>
              <w:bottom w:val="single" w:color="auto" w:sz="12" w:space="0"/>
              <w:right w:val="single" w:color="auto" w:sz="6" w:space="0"/>
            </w:tcBorders>
            <w:vAlign w:val="center"/>
          </w:tcPr>
          <w:p w14:paraId="4B2FA306">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1417" w:type="dxa"/>
            <w:tcBorders>
              <w:top w:val="single" w:color="auto" w:sz="6" w:space="0"/>
              <w:left w:val="single" w:color="auto" w:sz="6" w:space="0"/>
              <w:bottom w:val="single" w:color="auto" w:sz="12" w:space="0"/>
              <w:right w:val="single" w:color="auto" w:sz="6" w:space="0"/>
            </w:tcBorders>
            <w:vAlign w:val="center"/>
          </w:tcPr>
          <w:p w14:paraId="5F90C027">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1" w:type="dxa"/>
            <w:tcBorders>
              <w:top w:val="single" w:color="auto" w:sz="6" w:space="0"/>
              <w:left w:val="single" w:color="auto" w:sz="6" w:space="0"/>
              <w:bottom w:val="single" w:color="auto" w:sz="12" w:space="0"/>
              <w:right w:val="single" w:color="auto" w:sz="6" w:space="0"/>
            </w:tcBorders>
            <w:vAlign w:val="center"/>
          </w:tcPr>
          <w:p w14:paraId="6FDB7BB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c>
          <w:tcPr>
            <w:tcW w:w="850" w:type="dxa"/>
            <w:tcBorders>
              <w:top w:val="single" w:color="auto" w:sz="6" w:space="0"/>
              <w:left w:val="single" w:color="auto" w:sz="6" w:space="0"/>
              <w:bottom w:val="single" w:color="auto" w:sz="12" w:space="0"/>
              <w:right w:val="single" w:color="auto" w:sz="12" w:space="0"/>
            </w:tcBorders>
            <w:vAlign w:val="center"/>
          </w:tcPr>
          <w:p w14:paraId="025159F8">
            <w:pPr>
              <w:pStyle w:val="79"/>
              <w:keepNext/>
              <w:widowControl/>
              <w:spacing w:line="440" w:lineRule="exact"/>
              <w:ind w:left="63" w:right="63"/>
              <w:rPr>
                <w:rFonts w:hint="eastAsia" w:asciiTheme="majorEastAsia" w:hAnsiTheme="majorEastAsia" w:eastAsiaTheme="majorEastAsia" w:cstheme="majorEastAsia"/>
                <w:color w:val="auto"/>
                <w:kern w:val="2"/>
                <w:sz w:val="21"/>
                <w:szCs w:val="21"/>
                <w:highlight w:val="none"/>
              </w:rPr>
            </w:pPr>
          </w:p>
        </w:tc>
      </w:tr>
    </w:tbl>
    <w:p w14:paraId="3F337BAC">
      <w:pPr>
        <w:pStyle w:val="15"/>
        <w:rPr>
          <w:rFonts w:hint="eastAsia" w:asciiTheme="majorEastAsia" w:hAnsiTheme="majorEastAsia" w:eastAsiaTheme="majorEastAsia" w:cstheme="majorEastAsia"/>
          <w:b/>
          <w:color w:val="auto"/>
          <w:sz w:val="21"/>
          <w:szCs w:val="21"/>
          <w:highlight w:val="none"/>
          <w:lang w:bidi="ar"/>
        </w:rPr>
        <w:sectPr>
          <w:pgSz w:w="16838" w:h="11906" w:orient="landscape"/>
          <w:pgMar w:top="1554" w:right="1418" w:bottom="1531" w:left="1418" w:header="851" w:footer="992" w:gutter="0"/>
          <w:pgNumType w:fmt="decimal"/>
          <w:cols w:space="708" w:num="1"/>
          <w:docGrid w:type="linesAndChars" w:linePitch="312" w:charSpace="0"/>
        </w:sectPr>
      </w:pPr>
    </w:p>
    <w:p w14:paraId="7C63E21E">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附</w:t>
      </w:r>
      <w:bookmarkStart w:id="992" w:name="_Toc267261692"/>
      <w:bookmarkStart w:id="993" w:name="_Toc296503225"/>
      <w:bookmarkStart w:id="994" w:name="_Toc296347224"/>
      <w:bookmarkStart w:id="995" w:name="_Toc296891265"/>
      <w:bookmarkStart w:id="996" w:name="_Toc296891053"/>
      <w:bookmarkStart w:id="997" w:name="_Toc296944564"/>
      <w:bookmarkStart w:id="998" w:name="_Toc296346726"/>
      <w:r>
        <w:rPr>
          <w:rFonts w:hint="eastAsia" w:asciiTheme="majorEastAsia" w:hAnsiTheme="majorEastAsia" w:eastAsiaTheme="majorEastAsia" w:cstheme="majorEastAsia"/>
          <w:color w:val="auto"/>
          <w:sz w:val="21"/>
          <w:szCs w:val="21"/>
          <w:highlight w:val="none"/>
          <w:lang w:bidi="ar"/>
        </w:rPr>
        <w:t>件2：</w:t>
      </w:r>
    </w:p>
    <w:bookmarkEnd w:id="992"/>
    <w:bookmarkEnd w:id="993"/>
    <w:bookmarkEnd w:id="994"/>
    <w:bookmarkEnd w:id="995"/>
    <w:bookmarkEnd w:id="996"/>
    <w:bookmarkEnd w:id="997"/>
    <w:bookmarkEnd w:id="998"/>
    <w:p w14:paraId="065F69AD">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发包人供应材料设备一览表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51"/>
        <w:gridCol w:w="1276"/>
        <w:gridCol w:w="1418"/>
        <w:gridCol w:w="940"/>
        <w:gridCol w:w="851"/>
        <w:gridCol w:w="1044"/>
        <w:gridCol w:w="992"/>
        <w:gridCol w:w="851"/>
        <w:gridCol w:w="1487"/>
        <w:gridCol w:w="992"/>
      </w:tblGrid>
      <w:tr w14:paraId="057F12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851" w:type="dxa"/>
            <w:tcBorders>
              <w:top w:val="single" w:color="auto" w:sz="12" w:space="0"/>
              <w:left w:val="single" w:color="auto" w:sz="12" w:space="0"/>
              <w:bottom w:val="double" w:color="auto" w:sz="6" w:space="0"/>
              <w:right w:val="single" w:color="auto" w:sz="6" w:space="0"/>
            </w:tcBorders>
            <w:vAlign w:val="center"/>
          </w:tcPr>
          <w:p w14:paraId="5B1E368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序号</w:t>
            </w:r>
          </w:p>
        </w:tc>
        <w:tc>
          <w:tcPr>
            <w:tcW w:w="1276" w:type="dxa"/>
            <w:tcBorders>
              <w:top w:val="single" w:color="auto" w:sz="12" w:space="0"/>
              <w:left w:val="single" w:color="auto" w:sz="6" w:space="0"/>
              <w:bottom w:val="double" w:color="auto" w:sz="6" w:space="0"/>
              <w:right w:val="single" w:color="auto" w:sz="6" w:space="0"/>
            </w:tcBorders>
            <w:vAlign w:val="center"/>
          </w:tcPr>
          <w:p w14:paraId="690A0B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材料、</w:t>
            </w:r>
          </w:p>
          <w:p w14:paraId="19BEDE92">
            <w:pPr>
              <w:keepNext/>
              <w:keepLines w:val="0"/>
              <w:widowControl/>
              <w:suppressLineNumbers w:val="0"/>
              <w:adjustRightInd w:val="0"/>
              <w:spacing w:before="0" w:beforeAutospacing="0" w:after="0" w:afterAutospacing="0" w:line="440" w:lineRule="exact"/>
              <w:ind w:left="0" w:leftChars="0" w:right="63" w:rightChars="3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设备品种</w:t>
            </w:r>
          </w:p>
        </w:tc>
        <w:tc>
          <w:tcPr>
            <w:tcW w:w="1418" w:type="dxa"/>
            <w:tcBorders>
              <w:top w:val="single" w:color="auto" w:sz="12" w:space="0"/>
              <w:left w:val="single" w:color="auto" w:sz="6" w:space="0"/>
              <w:bottom w:val="double" w:color="auto" w:sz="6" w:space="0"/>
              <w:right w:val="single" w:color="auto" w:sz="6" w:space="0"/>
            </w:tcBorders>
            <w:vAlign w:val="center"/>
          </w:tcPr>
          <w:p w14:paraId="1FE1B8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规格型号</w:t>
            </w:r>
          </w:p>
        </w:tc>
        <w:tc>
          <w:tcPr>
            <w:tcW w:w="940" w:type="dxa"/>
            <w:tcBorders>
              <w:top w:val="single" w:color="auto" w:sz="12" w:space="0"/>
              <w:left w:val="single" w:color="auto" w:sz="6" w:space="0"/>
              <w:bottom w:val="double" w:color="auto" w:sz="6" w:space="0"/>
              <w:right w:val="single" w:color="auto" w:sz="6" w:space="0"/>
            </w:tcBorders>
            <w:vAlign w:val="center"/>
          </w:tcPr>
          <w:p w14:paraId="2EB3C92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单位</w:t>
            </w:r>
          </w:p>
        </w:tc>
        <w:tc>
          <w:tcPr>
            <w:tcW w:w="851" w:type="dxa"/>
            <w:tcBorders>
              <w:top w:val="single" w:color="auto" w:sz="12" w:space="0"/>
              <w:left w:val="single" w:color="auto" w:sz="6" w:space="0"/>
              <w:bottom w:val="double" w:color="auto" w:sz="6" w:space="0"/>
              <w:right w:val="single" w:color="auto" w:sz="6" w:space="0"/>
            </w:tcBorders>
            <w:vAlign w:val="center"/>
          </w:tcPr>
          <w:p w14:paraId="50B7F4C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数量</w:t>
            </w:r>
          </w:p>
        </w:tc>
        <w:tc>
          <w:tcPr>
            <w:tcW w:w="1044" w:type="dxa"/>
            <w:tcBorders>
              <w:top w:val="single" w:color="auto" w:sz="12" w:space="0"/>
              <w:left w:val="single" w:color="auto" w:sz="6" w:space="0"/>
              <w:bottom w:val="double" w:color="auto" w:sz="6" w:space="0"/>
              <w:right w:val="single" w:color="auto" w:sz="6" w:space="0"/>
            </w:tcBorders>
            <w:vAlign w:val="center"/>
          </w:tcPr>
          <w:p w14:paraId="1232634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单价（元）</w:t>
            </w:r>
          </w:p>
        </w:tc>
        <w:tc>
          <w:tcPr>
            <w:tcW w:w="992" w:type="dxa"/>
            <w:tcBorders>
              <w:top w:val="single" w:color="auto" w:sz="12" w:space="0"/>
              <w:left w:val="single" w:color="auto" w:sz="6" w:space="0"/>
              <w:bottom w:val="double" w:color="auto" w:sz="6" w:space="0"/>
              <w:right w:val="single" w:color="auto" w:sz="6" w:space="0"/>
            </w:tcBorders>
            <w:vAlign w:val="center"/>
          </w:tcPr>
          <w:p w14:paraId="0481F8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质量等级</w:t>
            </w:r>
          </w:p>
        </w:tc>
        <w:tc>
          <w:tcPr>
            <w:tcW w:w="851" w:type="dxa"/>
            <w:tcBorders>
              <w:top w:val="single" w:color="auto" w:sz="12" w:space="0"/>
              <w:left w:val="single" w:color="auto" w:sz="6" w:space="0"/>
              <w:bottom w:val="double" w:color="auto" w:sz="6" w:space="0"/>
              <w:right w:val="single" w:color="auto" w:sz="6" w:space="0"/>
            </w:tcBorders>
            <w:vAlign w:val="center"/>
          </w:tcPr>
          <w:p w14:paraId="11DD7E3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供应时间</w:t>
            </w:r>
          </w:p>
        </w:tc>
        <w:tc>
          <w:tcPr>
            <w:tcW w:w="1487" w:type="dxa"/>
            <w:tcBorders>
              <w:top w:val="single" w:color="auto" w:sz="12" w:space="0"/>
              <w:left w:val="single" w:color="auto" w:sz="6" w:space="0"/>
              <w:bottom w:val="double" w:color="auto" w:sz="6" w:space="0"/>
              <w:right w:val="single" w:color="auto" w:sz="6" w:space="0"/>
            </w:tcBorders>
            <w:vAlign w:val="center"/>
          </w:tcPr>
          <w:p w14:paraId="7CD7C60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送达地点</w:t>
            </w:r>
          </w:p>
        </w:tc>
        <w:tc>
          <w:tcPr>
            <w:tcW w:w="992" w:type="dxa"/>
            <w:tcBorders>
              <w:top w:val="single" w:color="auto" w:sz="12" w:space="0"/>
              <w:left w:val="single" w:color="auto" w:sz="6" w:space="0"/>
              <w:bottom w:val="double" w:color="auto" w:sz="6" w:space="0"/>
              <w:right w:val="single" w:color="auto" w:sz="12" w:space="0"/>
            </w:tcBorders>
            <w:vAlign w:val="center"/>
          </w:tcPr>
          <w:p w14:paraId="654C403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备注</w:t>
            </w:r>
          </w:p>
        </w:tc>
      </w:tr>
      <w:tr w14:paraId="4A6FC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double" w:color="auto" w:sz="6" w:space="0"/>
              <w:left w:val="single" w:color="auto" w:sz="12" w:space="0"/>
              <w:bottom w:val="single" w:color="auto" w:sz="6" w:space="0"/>
              <w:right w:val="single" w:color="auto" w:sz="6" w:space="0"/>
            </w:tcBorders>
            <w:vAlign w:val="center"/>
          </w:tcPr>
          <w:p w14:paraId="0E7AD6F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double" w:color="auto" w:sz="6" w:space="0"/>
              <w:left w:val="single" w:color="auto" w:sz="6" w:space="0"/>
              <w:bottom w:val="single" w:color="auto" w:sz="6" w:space="0"/>
              <w:right w:val="single" w:color="auto" w:sz="6" w:space="0"/>
            </w:tcBorders>
            <w:vAlign w:val="center"/>
          </w:tcPr>
          <w:p w14:paraId="5B8C9FD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double" w:color="auto" w:sz="6" w:space="0"/>
              <w:left w:val="single" w:color="auto" w:sz="6" w:space="0"/>
              <w:bottom w:val="single" w:color="auto" w:sz="6" w:space="0"/>
              <w:right w:val="single" w:color="auto" w:sz="6" w:space="0"/>
            </w:tcBorders>
            <w:vAlign w:val="center"/>
          </w:tcPr>
          <w:p w14:paraId="5A461A3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double" w:color="auto" w:sz="6" w:space="0"/>
              <w:left w:val="single" w:color="auto" w:sz="6" w:space="0"/>
              <w:bottom w:val="single" w:color="auto" w:sz="6" w:space="0"/>
              <w:right w:val="single" w:color="auto" w:sz="6" w:space="0"/>
            </w:tcBorders>
            <w:vAlign w:val="center"/>
          </w:tcPr>
          <w:p w14:paraId="37A1B1D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double" w:color="auto" w:sz="6" w:space="0"/>
              <w:left w:val="single" w:color="auto" w:sz="6" w:space="0"/>
              <w:bottom w:val="single" w:color="auto" w:sz="6" w:space="0"/>
              <w:right w:val="single" w:color="auto" w:sz="6" w:space="0"/>
            </w:tcBorders>
            <w:vAlign w:val="center"/>
          </w:tcPr>
          <w:p w14:paraId="4A2083B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double" w:color="auto" w:sz="6" w:space="0"/>
              <w:left w:val="single" w:color="auto" w:sz="6" w:space="0"/>
              <w:bottom w:val="single" w:color="auto" w:sz="6" w:space="0"/>
              <w:right w:val="single" w:color="auto" w:sz="6" w:space="0"/>
            </w:tcBorders>
            <w:vAlign w:val="center"/>
          </w:tcPr>
          <w:p w14:paraId="6623E56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double" w:color="auto" w:sz="6" w:space="0"/>
              <w:left w:val="single" w:color="auto" w:sz="6" w:space="0"/>
              <w:bottom w:val="single" w:color="auto" w:sz="6" w:space="0"/>
              <w:right w:val="single" w:color="auto" w:sz="6" w:space="0"/>
            </w:tcBorders>
            <w:vAlign w:val="center"/>
          </w:tcPr>
          <w:p w14:paraId="4F0EE6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double" w:color="auto" w:sz="6" w:space="0"/>
              <w:left w:val="single" w:color="auto" w:sz="6" w:space="0"/>
              <w:bottom w:val="single" w:color="auto" w:sz="6" w:space="0"/>
              <w:right w:val="single" w:color="auto" w:sz="6" w:space="0"/>
            </w:tcBorders>
            <w:vAlign w:val="center"/>
          </w:tcPr>
          <w:p w14:paraId="5E8A8A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double" w:color="auto" w:sz="6" w:space="0"/>
              <w:left w:val="single" w:color="auto" w:sz="6" w:space="0"/>
              <w:bottom w:val="single" w:color="auto" w:sz="6" w:space="0"/>
              <w:right w:val="single" w:color="auto" w:sz="6" w:space="0"/>
            </w:tcBorders>
            <w:vAlign w:val="center"/>
          </w:tcPr>
          <w:p w14:paraId="15C346A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double" w:color="auto" w:sz="6" w:space="0"/>
              <w:left w:val="single" w:color="auto" w:sz="6" w:space="0"/>
              <w:bottom w:val="single" w:color="auto" w:sz="6" w:space="0"/>
              <w:right w:val="single" w:color="auto" w:sz="12" w:space="0"/>
            </w:tcBorders>
            <w:vAlign w:val="center"/>
          </w:tcPr>
          <w:p w14:paraId="621C11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67278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nil"/>
              <w:left w:val="single" w:color="auto" w:sz="12" w:space="0"/>
              <w:bottom w:val="single" w:color="auto" w:sz="6" w:space="0"/>
              <w:right w:val="single" w:color="auto" w:sz="6" w:space="0"/>
            </w:tcBorders>
            <w:vAlign w:val="center"/>
          </w:tcPr>
          <w:p w14:paraId="5E12984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nil"/>
              <w:left w:val="single" w:color="auto" w:sz="6" w:space="0"/>
              <w:bottom w:val="single" w:color="auto" w:sz="6" w:space="0"/>
              <w:right w:val="single" w:color="auto" w:sz="6" w:space="0"/>
            </w:tcBorders>
            <w:vAlign w:val="center"/>
          </w:tcPr>
          <w:p w14:paraId="7B4D333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nil"/>
              <w:left w:val="single" w:color="auto" w:sz="6" w:space="0"/>
              <w:bottom w:val="single" w:color="auto" w:sz="6" w:space="0"/>
              <w:right w:val="single" w:color="auto" w:sz="6" w:space="0"/>
            </w:tcBorders>
            <w:vAlign w:val="center"/>
          </w:tcPr>
          <w:p w14:paraId="5FA6B2A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nil"/>
              <w:left w:val="single" w:color="auto" w:sz="6" w:space="0"/>
              <w:bottom w:val="single" w:color="auto" w:sz="6" w:space="0"/>
              <w:right w:val="single" w:color="auto" w:sz="6" w:space="0"/>
            </w:tcBorders>
            <w:vAlign w:val="center"/>
          </w:tcPr>
          <w:p w14:paraId="005419D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nil"/>
              <w:left w:val="single" w:color="auto" w:sz="6" w:space="0"/>
              <w:bottom w:val="single" w:color="auto" w:sz="6" w:space="0"/>
              <w:right w:val="single" w:color="auto" w:sz="6" w:space="0"/>
            </w:tcBorders>
            <w:vAlign w:val="center"/>
          </w:tcPr>
          <w:p w14:paraId="6EBEFC4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nil"/>
              <w:left w:val="single" w:color="auto" w:sz="6" w:space="0"/>
              <w:bottom w:val="single" w:color="auto" w:sz="6" w:space="0"/>
              <w:right w:val="single" w:color="auto" w:sz="6" w:space="0"/>
            </w:tcBorders>
            <w:vAlign w:val="center"/>
          </w:tcPr>
          <w:p w14:paraId="3C5A3A9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nil"/>
              <w:left w:val="single" w:color="auto" w:sz="6" w:space="0"/>
              <w:bottom w:val="single" w:color="auto" w:sz="6" w:space="0"/>
              <w:right w:val="single" w:color="auto" w:sz="6" w:space="0"/>
            </w:tcBorders>
            <w:vAlign w:val="center"/>
          </w:tcPr>
          <w:p w14:paraId="436A30F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nil"/>
              <w:left w:val="single" w:color="auto" w:sz="6" w:space="0"/>
              <w:bottom w:val="single" w:color="auto" w:sz="6" w:space="0"/>
              <w:right w:val="single" w:color="auto" w:sz="6" w:space="0"/>
            </w:tcBorders>
            <w:vAlign w:val="center"/>
          </w:tcPr>
          <w:p w14:paraId="71E735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nil"/>
              <w:left w:val="single" w:color="auto" w:sz="6" w:space="0"/>
              <w:bottom w:val="single" w:color="auto" w:sz="6" w:space="0"/>
              <w:right w:val="single" w:color="auto" w:sz="6" w:space="0"/>
            </w:tcBorders>
            <w:vAlign w:val="center"/>
          </w:tcPr>
          <w:p w14:paraId="6A8A2BE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nil"/>
              <w:left w:val="single" w:color="auto" w:sz="6" w:space="0"/>
              <w:bottom w:val="single" w:color="auto" w:sz="6" w:space="0"/>
              <w:right w:val="single" w:color="auto" w:sz="12" w:space="0"/>
            </w:tcBorders>
            <w:vAlign w:val="center"/>
          </w:tcPr>
          <w:p w14:paraId="2F29A0A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6818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BA6AE9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389F82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423D8FB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12BDE5E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384FE8E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0BB3094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628BF5A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613F6F4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7472DF0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CA74A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B03B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1695D2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4DA0F38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4E02D5A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3AD3868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63A63DE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6F7434A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5D9C650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13CEC5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4F73681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FD7A02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1112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1530972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149817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1B7E87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38356F9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7FC9A44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04105DD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7BB006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58F9AD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426445B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52C2EE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41F65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3643CB5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18C03CE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5377490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277BD52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4EEEE59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79B1F59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45CFAA1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46B6E0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09DB5FF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341192F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62D471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A66C34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30459B4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51A8F60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389913D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43552DE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4C62083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7BC26B6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18A3ADE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4053C22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31B3D5B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F5BA6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F22B33A">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3B11CE6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0C550D4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4902EBC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2F2839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1C85B7A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0CFE778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24327B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144B3E7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366479E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77CFB9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5CD2FA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5098ECA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3443A4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7EA6440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5CD67A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5D442C6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270D11C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29F1752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3B43916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308B67B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1C34EC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07A4900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209FD48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39612A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56A06B6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20CBE3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738D3D0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1DF4C49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70D4644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0945421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6C28DF0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74F9C1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21FB47A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74293F5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189AF6A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135E5D7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5FCD024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041FC9E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02B4162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4BC3F26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04A32FF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1FDAF84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1727F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FEF7CF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1149D00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6098D58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269943B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413D559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73252032">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4AA2F981">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6E621B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7F6C02C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0CAA85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0FBFFB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48C773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7569378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AC3AD6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710F5389">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32AE2EEF">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04DB295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322BCFB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4DA8283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0E3945D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7C4A5B3">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14E9D1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6" w:space="0"/>
              <w:right w:val="single" w:color="auto" w:sz="6" w:space="0"/>
            </w:tcBorders>
            <w:vAlign w:val="center"/>
          </w:tcPr>
          <w:p w14:paraId="534E515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28505E6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53288A5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6" w:space="0"/>
              <w:right w:val="single" w:color="auto" w:sz="6" w:space="0"/>
            </w:tcBorders>
            <w:vAlign w:val="center"/>
          </w:tcPr>
          <w:p w14:paraId="466CD3E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1C69265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6" w:space="0"/>
              <w:right w:val="single" w:color="auto" w:sz="6" w:space="0"/>
            </w:tcBorders>
            <w:vAlign w:val="center"/>
          </w:tcPr>
          <w:p w14:paraId="1447D69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6" w:space="0"/>
            </w:tcBorders>
            <w:vAlign w:val="center"/>
          </w:tcPr>
          <w:p w14:paraId="3E9C1A5B">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vAlign w:val="center"/>
          </w:tcPr>
          <w:p w14:paraId="0DA22E4D">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6" w:space="0"/>
              <w:right w:val="single" w:color="auto" w:sz="6" w:space="0"/>
            </w:tcBorders>
            <w:vAlign w:val="center"/>
          </w:tcPr>
          <w:p w14:paraId="34056EB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6" w:space="0"/>
              <w:right w:val="single" w:color="auto" w:sz="12" w:space="0"/>
            </w:tcBorders>
            <w:vAlign w:val="center"/>
          </w:tcPr>
          <w:p w14:paraId="718FA77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r w14:paraId="76190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51" w:type="dxa"/>
            <w:tcBorders>
              <w:top w:val="single" w:color="auto" w:sz="6" w:space="0"/>
              <w:left w:val="single" w:color="auto" w:sz="12" w:space="0"/>
              <w:bottom w:val="single" w:color="auto" w:sz="12" w:space="0"/>
              <w:right w:val="single" w:color="auto" w:sz="6" w:space="0"/>
            </w:tcBorders>
            <w:vAlign w:val="center"/>
          </w:tcPr>
          <w:p w14:paraId="17EDF104">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12" w:space="0"/>
              <w:right w:val="single" w:color="auto" w:sz="6" w:space="0"/>
            </w:tcBorders>
            <w:vAlign w:val="center"/>
          </w:tcPr>
          <w:p w14:paraId="19F6B778">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12" w:space="0"/>
              <w:right w:val="single" w:color="auto" w:sz="6" w:space="0"/>
            </w:tcBorders>
            <w:vAlign w:val="center"/>
          </w:tcPr>
          <w:p w14:paraId="74415DD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40" w:type="dxa"/>
            <w:tcBorders>
              <w:top w:val="single" w:color="auto" w:sz="6" w:space="0"/>
              <w:left w:val="single" w:color="auto" w:sz="6" w:space="0"/>
              <w:bottom w:val="single" w:color="auto" w:sz="12" w:space="0"/>
              <w:right w:val="single" w:color="auto" w:sz="6" w:space="0"/>
            </w:tcBorders>
            <w:vAlign w:val="center"/>
          </w:tcPr>
          <w:p w14:paraId="1A6D1D2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12" w:space="0"/>
              <w:right w:val="single" w:color="auto" w:sz="6" w:space="0"/>
            </w:tcBorders>
            <w:vAlign w:val="center"/>
          </w:tcPr>
          <w:p w14:paraId="4BBBA380">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044" w:type="dxa"/>
            <w:tcBorders>
              <w:top w:val="single" w:color="auto" w:sz="6" w:space="0"/>
              <w:left w:val="single" w:color="auto" w:sz="6" w:space="0"/>
              <w:bottom w:val="single" w:color="auto" w:sz="12" w:space="0"/>
              <w:right w:val="single" w:color="auto" w:sz="6" w:space="0"/>
            </w:tcBorders>
            <w:vAlign w:val="center"/>
          </w:tcPr>
          <w:p w14:paraId="442F3755">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12" w:space="0"/>
              <w:right w:val="single" w:color="auto" w:sz="6" w:space="0"/>
            </w:tcBorders>
            <w:vAlign w:val="center"/>
          </w:tcPr>
          <w:p w14:paraId="76F4899C">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12" w:space="0"/>
              <w:right w:val="single" w:color="auto" w:sz="6" w:space="0"/>
            </w:tcBorders>
            <w:vAlign w:val="center"/>
          </w:tcPr>
          <w:p w14:paraId="103FD747">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1487" w:type="dxa"/>
            <w:tcBorders>
              <w:top w:val="single" w:color="auto" w:sz="6" w:space="0"/>
              <w:left w:val="single" w:color="auto" w:sz="6" w:space="0"/>
              <w:bottom w:val="single" w:color="auto" w:sz="12" w:space="0"/>
              <w:right w:val="single" w:color="auto" w:sz="6" w:space="0"/>
            </w:tcBorders>
            <w:vAlign w:val="center"/>
          </w:tcPr>
          <w:p w14:paraId="4E530E7E">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c>
          <w:tcPr>
            <w:tcW w:w="992" w:type="dxa"/>
            <w:tcBorders>
              <w:top w:val="single" w:color="auto" w:sz="6" w:space="0"/>
              <w:left w:val="single" w:color="auto" w:sz="6" w:space="0"/>
              <w:bottom w:val="single" w:color="auto" w:sz="12" w:space="0"/>
              <w:right w:val="single" w:color="auto" w:sz="12" w:space="0"/>
            </w:tcBorders>
            <w:vAlign w:val="center"/>
          </w:tcPr>
          <w:p w14:paraId="343768B6">
            <w:pPr>
              <w:keepNext w:val="0"/>
              <w:keepLines w:val="0"/>
              <w:widowControl/>
              <w:suppressLineNumbers w:val="0"/>
              <w:spacing w:before="0" w:beforeAutospacing="0" w:after="0" w:afterAutospacing="0"/>
              <w:ind w:left="0" w:right="0"/>
              <w:jc w:val="center"/>
              <w:rPr>
                <w:rFonts w:hint="eastAsia" w:asciiTheme="majorEastAsia" w:hAnsiTheme="majorEastAsia" w:eastAsiaTheme="majorEastAsia" w:cstheme="majorEastAsia"/>
                <w:color w:val="auto"/>
                <w:sz w:val="21"/>
                <w:szCs w:val="21"/>
                <w:highlight w:val="none"/>
                <w:lang w:bidi="ar"/>
              </w:rPr>
            </w:pPr>
          </w:p>
        </w:tc>
      </w:tr>
    </w:tbl>
    <w:p w14:paraId="76C63413">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2D69DEFB">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50446D5A">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33BE91C8">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76C25FB3">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73A7930E">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45B26497">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附</w:t>
      </w:r>
      <w:bookmarkStart w:id="999" w:name="_Toc296944565"/>
      <w:bookmarkStart w:id="1000" w:name="_Toc296347225"/>
      <w:bookmarkStart w:id="1001" w:name="_Toc296503226"/>
      <w:bookmarkStart w:id="1002" w:name="_Toc296891054"/>
      <w:bookmarkStart w:id="1003" w:name="_Toc267261693"/>
      <w:bookmarkStart w:id="1004" w:name="_Toc296346727"/>
      <w:bookmarkStart w:id="1005" w:name="_Toc296891266"/>
      <w:r>
        <w:rPr>
          <w:rFonts w:hint="eastAsia" w:asciiTheme="majorEastAsia" w:hAnsiTheme="majorEastAsia" w:eastAsiaTheme="majorEastAsia" w:cstheme="majorEastAsia"/>
          <w:color w:val="auto"/>
          <w:sz w:val="21"/>
          <w:szCs w:val="21"/>
          <w:highlight w:val="none"/>
          <w:lang w:bidi="ar"/>
        </w:rPr>
        <w:t>件3：</w:t>
      </w:r>
      <w:bookmarkEnd w:id="999"/>
      <w:bookmarkEnd w:id="1000"/>
      <w:bookmarkEnd w:id="1001"/>
      <w:bookmarkEnd w:id="1002"/>
      <w:bookmarkEnd w:id="1003"/>
      <w:bookmarkEnd w:id="1004"/>
      <w:bookmarkEnd w:id="1005"/>
      <w:r>
        <w:rPr>
          <w:rFonts w:hint="eastAsia" w:asciiTheme="majorEastAsia" w:hAnsiTheme="majorEastAsia" w:eastAsiaTheme="majorEastAsia" w:cstheme="majorEastAsia"/>
          <w:color w:val="auto"/>
          <w:sz w:val="21"/>
          <w:szCs w:val="21"/>
          <w:highlight w:val="none"/>
          <w:lang w:bidi="ar"/>
        </w:rPr>
        <w:t xml:space="preserve">    </w:t>
      </w:r>
    </w:p>
    <w:p w14:paraId="3BE77AEA">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工程质量保修书</w:t>
      </w:r>
    </w:p>
    <w:p w14:paraId="46494ED4">
      <w:pPr>
        <w:keepNext w:val="0"/>
        <w:keepLines w:val="0"/>
        <w:widowControl/>
        <w:suppressLineNumbers w:val="0"/>
        <w:spacing w:before="0" w:beforeAutospacing="0" w:after="0" w:afterAutospacing="0" w:line="440" w:lineRule="exact"/>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发包人（全称）：</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p>
    <w:p w14:paraId="4977AC53">
      <w:pPr>
        <w:keepNext w:val="0"/>
        <w:keepLines w:val="0"/>
        <w:pageBreakBefore w:val="0"/>
        <w:widowControl/>
        <w:suppressLineNumbers w:val="0"/>
        <w:kinsoku/>
        <w:wordWrap/>
        <w:overflowPunct/>
        <w:topLinePunct w:val="0"/>
        <w:autoSpaceDE/>
        <w:autoSpaceDN/>
        <w:bidi w:val="0"/>
        <w:adjustRightInd/>
        <w:snapToGrid/>
        <w:spacing w:before="0" w:beforeAutospacing="0" w:after="313" w:afterLines="100" w:afterAutospacing="0" w:line="440" w:lineRule="exact"/>
        <w:ind w:left="0" w:right="0"/>
        <w:textAlignment w:val="auto"/>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承包人（全称）：</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p>
    <w:p w14:paraId="56CEBAEB">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发包人和承包人根据《中华人民共和国建筑法》和《建设工程质量管理条例》，经协商一致就</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（工程全称）签订工程质量保修书。</w:t>
      </w:r>
    </w:p>
    <w:p w14:paraId="31AB2EEE">
      <w:pPr>
        <w:keepNext w:val="0"/>
        <w:keepLines w:val="0"/>
        <w:widowControl/>
        <w:suppressLineNumbers w:val="0"/>
        <w:spacing w:before="0" w:beforeAutospacing="0" w:after="0" w:afterAutospacing="0" w:line="360" w:lineRule="auto"/>
        <w:ind w:left="0" w:right="0"/>
        <w:outlineLvl w:val="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w:t>
      </w:r>
      <w:bookmarkStart w:id="1006" w:name="_Toc7291"/>
      <w:bookmarkStart w:id="1007" w:name="_Toc12637"/>
      <w:bookmarkStart w:id="1008" w:name="_Toc19164"/>
      <w:bookmarkStart w:id="1009" w:name="_Toc28277"/>
      <w:bookmarkStart w:id="1010" w:name="_Toc26416"/>
      <w:r>
        <w:rPr>
          <w:rFonts w:hint="eastAsia" w:asciiTheme="majorEastAsia" w:hAnsiTheme="majorEastAsia" w:eastAsiaTheme="majorEastAsia" w:cstheme="majorEastAsia"/>
          <w:color w:val="auto"/>
          <w:sz w:val="21"/>
          <w:szCs w:val="21"/>
          <w:highlight w:val="none"/>
          <w:lang w:bidi="ar"/>
        </w:rPr>
        <w:t>一、工程质量保修范围和内容</w:t>
      </w:r>
      <w:bookmarkEnd w:id="1006"/>
      <w:bookmarkEnd w:id="1007"/>
      <w:bookmarkEnd w:id="1008"/>
      <w:bookmarkEnd w:id="1009"/>
      <w:bookmarkEnd w:id="1010"/>
    </w:p>
    <w:p w14:paraId="4462C862">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承包人在质量保修期内，按照有关法律规定和合同约定，承担工程质量保修责任。</w:t>
      </w:r>
    </w:p>
    <w:p w14:paraId="55CA2FF4">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质量保修范围包括基础设施工程、房屋建筑的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heme="majorEastAsia" w:hAnsiTheme="majorEastAsia" w:eastAsiaTheme="majorEastAsia" w:cstheme="majorEastAsia"/>
          <w:b/>
          <w:color w:val="auto"/>
          <w:sz w:val="21"/>
          <w:szCs w:val="21"/>
          <w:highlight w:val="none"/>
          <w:u w:val="single"/>
          <w:lang w:bidi="ar"/>
        </w:rPr>
        <w:t>承建的施工项目均在保修范围内</w:t>
      </w:r>
      <w:r>
        <w:rPr>
          <w:rFonts w:hint="eastAsia" w:asciiTheme="majorEastAsia" w:hAnsiTheme="majorEastAsia" w:eastAsiaTheme="majorEastAsia" w:cstheme="majorEastAsia"/>
          <w:color w:val="auto"/>
          <w:sz w:val="21"/>
          <w:szCs w:val="21"/>
          <w:highlight w:val="none"/>
          <w:lang w:bidi="ar"/>
        </w:rPr>
        <w:t>。</w:t>
      </w:r>
    </w:p>
    <w:p w14:paraId="7173A11E">
      <w:pPr>
        <w:keepNext w:val="0"/>
        <w:keepLines w:val="0"/>
        <w:widowControl/>
        <w:suppressLineNumbers w:val="0"/>
        <w:spacing w:before="0" w:beforeAutospacing="0" w:after="0" w:afterAutospacing="0" w:line="360" w:lineRule="auto"/>
        <w:ind w:left="0" w:right="0"/>
        <w:outlineLvl w:val="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b/>
          <w:color w:val="auto"/>
          <w:sz w:val="21"/>
          <w:szCs w:val="21"/>
          <w:highlight w:val="none"/>
          <w:lang w:bidi="ar"/>
        </w:rPr>
        <w:t>　　</w:t>
      </w:r>
      <w:bookmarkStart w:id="1011" w:name="_Toc21206"/>
      <w:bookmarkStart w:id="1012" w:name="_Toc20687"/>
      <w:bookmarkStart w:id="1013" w:name="_Toc9885"/>
      <w:bookmarkStart w:id="1014" w:name="_Toc8318"/>
      <w:bookmarkStart w:id="1015" w:name="_Toc30161"/>
      <w:r>
        <w:rPr>
          <w:rFonts w:hint="eastAsia" w:asciiTheme="majorEastAsia" w:hAnsiTheme="majorEastAsia" w:eastAsiaTheme="majorEastAsia" w:cstheme="majorEastAsia"/>
          <w:color w:val="auto"/>
          <w:sz w:val="21"/>
          <w:szCs w:val="21"/>
          <w:highlight w:val="none"/>
          <w:lang w:bidi="ar"/>
        </w:rPr>
        <w:t>二、质量保修期</w:t>
      </w:r>
      <w:bookmarkEnd w:id="1011"/>
      <w:bookmarkEnd w:id="1012"/>
      <w:bookmarkEnd w:id="1013"/>
      <w:bookmarkEnd w:id="1014"/>
      <w:bookmarkEnd w:id="1015"/>
    </w:p>
    <w:p w14:paraId="7FE1F173">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根据《建设工程质量管理条例》及有关规定，工程的质量保修期如下：</w:t>
      </w:r>
    </w:p>
    <w:p w14:paraId="7B504DFD">
      <w:pPr>
        <w:keepNext w:val="0"/>
        <w:keepLines w:val="0"/>
        <w:widowControl/>
        <w:suppressLineNumbers w:val="0"/>
        <w:spacing w:before="0" w:beforeAutospacing="0" w:after="0" w:afterAutospacing="0"/>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1．基础设施工程、房屋建筑的基础工程和主体结构工程为设计文件规定的工程合理使用年限；</w:t>
      </w:r>
    </w:p>
    <w:p w14:paraId="0B31B541">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2．屋面防水工程、有防水要求的卫生间、房间和外墙面的防渗为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p>
    <w:p w14:paraId="5F1C1C26">
      <w:pPr>
        <w:keepNext w:val="0"/>
        <w:keepLines w:val="0"/>
        <w:widowControl/>
        <w:suppressLineNumbers w:val="0"/>
        <w:spacing w:before="0" w:beforeAutospacing="0" w:after="0" w:afterAutospacing="0" w:line="360" w:lineRule="auto"/>
        <w:ind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3．装修工程为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年；</w:t>
      </w:r>
    </w:p>
    <w:p w14:paraId="7E3973DF">
      <w:pPr>
        <w:keepNext w:val="0"/>
        <w:keepLines w:val="0"/>
        <w:widowControl/>
        <w:suppressLineNumbers w:val="0"/>
        <w:spacing w:before="0" w:beforeAutospacing="0" w:after="0" w:afterAutospacing="0" w:line="360" w:lineRule="auto"/>
        <w:ind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4．电气管线、给排水管道、设备安装工程为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年；</w:t>
      </w:r>
    </w:p>
    <w:p w14:paraId="6F082634">
      <w:pPr>
        <w:keepNext w:val="0"/>
        <w:keepLines w:val="0"/>
        <w:widowControl/>
        <w:suppressLineNumbers w:val="0"/>
        <w:spacing w:before="0" w:beforeAutospacing="0" w:after="0" w:afterAutospacing="0" w:line="360" w:lineRule="auto"/>
        <w:ind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5．供热与供冷系统为</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个采暖期、供冷期；</w:t>
      </w:r>
    </w:p>
    <w:p w14:paraId="1A42BECA">
      <w:pPr>
        <w:keepNext w:val="0"/>
        <w:keepLines w:val="0"/>
        <w:widowControl/>
        <w:suppressLineNumbers w:val="0"/>
        <w:spacing w:before="0" w:beforeAutospacing="0" w:after="0" w:afterAutospacing="0" w:line="360" w:lineRule="auto"/>
        <w:ind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6．住宅小区内的给排水设施、道路等配套工程为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年；</w:t>
      </w:r>
    </w:p>
    <w:p w14:paraId="49E72F0C">
      <w:pPr>
        <w:spacing w:before="0" w:beforeAutospacing="0" w:after="0" w:afterAutospacing="0" w:line="360" w:lineRule="auto"/>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7．城市道路为</w:t>
      </w:r>
      <w:r>
        <w:rPr>
          <w:rFonts w:hint="eastAsia" w:asciiTheme="majorEastAsia" w:hAnsiTheme="majorEastAsia" w:eastAsiaTheme="majorEastAsia" w:cstheme="majorEastAsia"/>
          <w:color w:val="auto"/>
          <w:sz w:val="21"/>
          <w:szCs w:val="21"/>
          <w:highlight w:val="none"/>
          <w:u w:val="single"/>
        </w:rPr>
        <w:t xml:space="preserve"> </w:t>
      </w:r>
      <w:r>
        <w:rPr>
          <w:rFonts w:hint="eastAsia" w:asciiTheme="majorEastAsia" w:hAnsiTheme="majorEastAsia" w:eastAsiaTheme="majorEastAsia" w:cstheme="majorEastAsia"/>
          <w:color w:val="auto"/>
          <w:sz w:val="21"/>
          <w:szCs w:val="21"/>
          <w:highlight w:val="none"/>
          <w:u w:val="single"/>
          <w:lang w:val="en-US" w:eastAsia="zh-CN"/>
        </w:rPr>
        <w:t xml:space="preserve">   </w:t>
      </w:r>
      <w:r>
        <w:rPr>
          <w:rFonts w:hint="eastAsia" w:asciiTheme="majorEastAsia" w:hAnsiTheme="majorEastAsia" w:eastAsiaTheme="majorEastAsia" w:cstheme="majorEastAsia"/>
          <w:color w:val="auto"/>
          <w:sz w:val="21"/>
          <w:szCs w:val="21"/>
          <w:highlight w:val="none"/>
        </w:rPr>
        <w:t>年；</w:t>
      </w:r>
    </w:p>
    <w:p w14:paraId="21C82307">
      <w:pPr>
        <w:spacing w:before="0" w:beforeAutospacing="0" w:after="0" w:afterAutospacing="0" w:line="360" w:lineRule="auto"/>
        <w:ind w:firstLine="420" w:firstLineChars="200"/>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8．其他项目保修期限约定如下：</w:t>
      </w:r>
      <w:r>
        <w:rPr>
          <w:rFonts w:hint="eastAsia" w:asciiTheme="majorEastAsia" w:hAnsiTheme="majorEastAsia" w:eastAsiaTheme="majorEastAsia" w:cstheme="majorEastAsia"/>
          <w:b/>
          <w:color w:val="auto"/>
          <w:sz w:val="21"/>
          <w:szCs w:val="21"/>
          <w:highlight w:val="none"/>
          <w:u w:val="single"/>
        </w:rPr>
        <w:t>保修期内，出现质量问题，承包人负责维修，费用由责任方承担</w:t>
      </w:r>
      <w:r>
        <w:rPr>
          <w:rFonts w:hint="eastAsia" w:asciiTheme="majorEastAsia" w:hAnsiTheme="majorEastAsia" w:eastAsiaTheme="majorEastAsia" w:cstheme="majorEastAsia"/>
          <w:color w:val="auto"/>
          <w:sz w:val="21"/>
          <w:szCs w:val="21"/>
          <w:highlight w:val="none"/>
        </w:rPr>
        <w:t>。</w:t>
      </w:r>
    </w:p>
    <w:p w14:paraId="751545CF">
      <w:pPr>
        <w:spacing w:before="0" w:beforeAutospacing="0" w:after="0" w:afterAutospacing="0" w:line="360" w:lineRule="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　　质量保修期自工程竣工验收合格之日起计算。</w:t>
      </w:r>
    </w:p>
    <w:p w14:paraId="5A04594A">
      <w:pPr>
        <w:keepNext w:val="0"/>
        <w:keepLines w:val="0"/>
        <w:widowControl/>
        <w:suppressLineNumbers w:val="0"/>
        <w:spacing w:before="0" w:beforeAutospacing="0" w:after="0" w:afterAutospacing="0" w:line="360" w:lineRule="auto"/>
        <w:ind w:left="0" w:right="0" w:firstLine="420" w:firstLineChars="200"/>
        <w:outlineLvl w:val="0"/>
        <w:rPr>
          <w:rFonts w:hint="eastAsia" w:asciiTheme="majorEastAsia" w:hAnsiTheme="majorEastAsia" w:eastAsiaTheme="majorEastAsia" w:cstheme="majorEastAsia"/>
          <w:color w:val="auto"/>
          <w:sz w:val="21"/>
          <w:szCs w:val="21"/>
          <w:highlight w:val="none"/>
          <w:lang w:bidi="ar"/>
        </w:rPr>
      </w:pPr>
      <w:bookmarkStart w:id="1016" w:name="_Toc658"/>
      <w:bookmarkStart w:id="1017" w:name="_Toc19153"/>
      <w:bookmarkStart w:id="1018" w:name="_Toc21277"/>
      <w:bookmarkStart w:id="1019" w:name="_Toc16739"/>
      <w:bookmarkStart w:id="1020" w:name="_Toc28786"/>
      <w:r>
        <w:rPr>
          <w:rFonts w:hint="eastAsia" w:asciiTheme="majorEastAsia" w:hAnsiTheme="majorEastAsia" w:eastAsiaTheme="majorEastAsia" w:cstheme="majorEastAsia"/>
          <w:color w:val="auto"/>
          <w:sz w:val="21"/>
          <w:szCs w:val="21"/>
          <w:highlight w:val="none"/>
          <w:lang w:bidi="ar"/>
        </w:rPr>
        <w:t>三、缺陷责任期</w:t>
      </w:r>
      <w:bookmarkEnd w:id="1016"/>
      <w:bookmarkEnd w:id="1017"/>
      <w:bookmarkEnd w:id="1018"/>
      <w:bookmarkEnd w:id="1019"/>
      <w:bookmarkEnd w:id="1020"/>
    </w:p>
    <w:p w14:paraId="7F12B1E6">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工程缺陷责任期为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个月，缺陷责任期自工程通过竣工验收之日起计算。单位工程先于全部工程进行验收，单位工程缺陷责任期自单位工程验收合格之日起算。</w:t>
      </w:r>
    </w:p>
    <w:p w14:paraId="2CE28E1A">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缺陷责任期终止后，发包人应退还剩余的质量保证金。</w:t>
      </w:r>
    </w:p>
    <w:p w14:paraId="398CEA75">
      <w:pPr>
        <w:keepNext w:val="0"/>
        <w:keepLines w:val="0"/>
        <w:widowControl/>
        <w:suppressLineNumbers w:val="0"/>
        <w:spacing w:before="0" w:beforeAutospacing="0" w:after="0" w:afterAutospacing="0" w:line="360" w:lineRule="auto"/>
        <w:ind w:left="0" w:right="0"/>
        <w:outlineLvl w:val="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bookmarkStart w:id="1021" w:name="_Toc8963"/>
      <w:bookmarkStart w:id="1022" w:name="_Toc25327"/>
      <w:bookmarkStart w:id="1023" w:name="_Toc3393"/>
      <w:bookmarkStart w:id="1024" w:name="_Toc27616"/>
      <w:bookmarkStart w:id="1025" w:name="_Toc2275"/>
      <w:r>
        <w:rPr>
          <w:rFonts w:hint="eastAsia" w:asciiTheme="majorEastAsia" w:hAnsiTheme="majorEastAsia" w:eastAsiaTheme="majorEastAsia" w:cstheme="majorEastAsia"/>
          <w:color w:val="auto"/>
          <w:sz w:val="21"/>
          <w:szCs w:val="21"/>
          <w:highlight w:val="none"/>
          <w:lang w:bidi="ar"/>
        </w:rPr>
        <w:t>四、质量保修责任</w:t>
      </w:r>
      <w:bookmarkEnd w:id="1021"/>
      <w:bookmarkEnd w:id="1022"/>
      <w:bookmarkEnd w:id="1023"/>
      <w:bookmarkEnd w:id="1024"/>
      <w:bookmarkEnd w:id="1025"/>
    </w:p>
    <w:p w14:paraId="53E6154B">
      <w:pPr>
        <w:keepNext w:val="0"/>
        <w:keepLines w:val="0"/>
        <w:widowControl/>
        <w:suppressLineNumbers w:val="0"/>
        <w:spacing w:before="0" w:beforeAutospacing="0" w:after="0" w:afterAutospacing="0" w:line="360" w:lineRule="auto"/>
        <w:ind w:left="105" w:leftChars="50" w:right="0" w:firstLine="428" w:firstLineChars="204"/>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1．属于保修范围、内容的项目，承包人应当在接到保修通知之日起7天内派人保修。承包人不在约定期限内派人保修的，发包人可以委托他人修理。</w:t>
      </w:r>
    </w:p>
    <w:p w14:paraId="03128F21">
      <w:pPr>
        <w:keepNext w:val="0"/>
        <w:keepLines w:val="0"/>
        <w:widowControl/>
        <w:suppressLineNumbers w:val="0"/>
        <w:spacing w:before="0" w:beforeAutospacing="0" w:after="0" w:afterAutospacing="0" w:line="360" w:lineRule="auto"/>
        <w:ind w:left="105" w:leftChars="50" w:right="0" w:firstLine="428" w:firstLineChars="204"/>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2．发生紧急事故需抢修的，承包人在接到事故通知后，应当立即到达事故现场抢修。</w:t>
      </w:r>
    </w:p>
    <w:p w14:paraId="2B9C5287">
      <w:pPr>
        <w:keepNext w:val="0"/>
        <w:keepLines w:val="0"/>
        <w:widowControl/>
        <w:suppressLineNumbers w:val="0"/>
        <w:spacing w:before="0" w:beforeAutospacing="0" w:after="0" w:afterAutospacing="0" w:line="360" w:lineRule="auto"/>
        <w:ind w:left="105" w:leftChars="50" w:right="0" w:firstLine="428" w:firstLineChars="204"/>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6437CF0A">
      <w:pPr>
        <w:keepNext w:val="0"/>
        <w:keepLines w:val="0"/>
        <w:widowControl/>
        <w:suppressLineNumbers w:val="0"/>
        <w:spacing w:before="0" w:beforeAutospacing="0" w:after="0" w:afterAutospacing="0" w:line="360" w:lineRule="auto"/>
        <w:ind w:left="420" w:leftChars="200" w:right="0" w:firstLine="105" w:firstLineChars="5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4．质量保修完成后，由发包人组织验收。</w:t>
      </w:r>
    </w:p>
    <w:p w14:paraId="6162AC16">
      <w:pPr>
        <w:keepNext w:val="0"/>
        <w:keepLines w:val="0"/>
        <w:widowControl/>
        <w:suppressLineNumbers w:val="0"/>
        <w:spacing w:before="0" w:beforeAutospacing="0" w:after="0" w:afterAutospacing="0" w:line="360" w:lineRule="auto"/>
        <w:ind w:left="0" w:right="0"/>
        <w:outlineLvl w:val="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w:t>
      </w:r>
      <w:bookmarkStart w:id="1026" w:name="_Toc8859"/>
      <w:bookmarkStart w:id="1027" w:name="_Toc8179"/>
      <w:bookmarkStart w:id="1028" w:name="_Toc18688"/>
      <w:bookmarkStart w:id="1029" w:name="_Toc30845"/>
      <w:bookmarkStart w:id="1030" w:name="_Toc21933"/>
      <w:r>
        <w:rPr>
          <w:rFonts w:hint="eastAsia" w:asciiTheme="majorEastAsia" w:hAnsiTheme="majorEastAsia" w:eastAsiaTheme="majorEastAsia" w:cstheme="majorEastAsia"/>
          <w:color w:val="auto"/>
          <w:sz w:val="21"/>
          <w:szCs w:val="21"/>
          <w:highlight w:val="none"/>
          <w:lang w:bidi="ar"/>
        </w:rPr>
        <w:t>五、保修费用</w:t>
      </w:r>
      <w:bookmarkEnd w:id="1026"/>
      <w:bookmarkEnd w:id="1027"/>
      <w:bookmarkEnd w:id="1028"/>
      <w:bookmarkEnd w:id="1029"/>
      <w:bookmarkEnd w:id="1030"/>
    </w:p>
    <w:p w14:paraId="348DC354">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保修费用由造成质量缺陷的责任方承担。</w:t>
      </w:r>
    </w:p>
    <w:p w14:paraId="65E8130B">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b/>
          <w:color w:val="auto"/>
          <w:sz w:val="21"/>
          <w:szCs w:val="21"/>
          <w:highlight w:val="none"/>
          <w:lang w:bidi="ar"/>
        </w:rPr>
        <w:t>六</w:t>
      </w:r>
      <w:r>
        <w:rPr>
          <w:rFonts w:hint="eastAsia" w:asciiTheme="majorEastAsia" w:hAnsiTheme="majorEastAsia" w:eastAsiaTheme="majorEastAsia" w:cstheme="majorEastAsia"/>
          <w:color w:val="auto"/>
          <w:sz w:val="21"/>
          <w:szCs w:val="21"/>
          <w:highlight w:val="none"/>
          <w:lang w:bidi="ar"/>
        </w:rPr>
        <w:t>、双方约定的其他工程质量保修事项：</w:t>
      </w:r>
      <w:r>
        <w:rPr>
          <w:rFonts w:hint="eastAsia" w:asciiTheme="majorEastAsia" w:hAnsiTheme="majorEastAsia" w:eastAsiaTheme="majorEastAsia" w:cstheme="majorEastAsia"/>
          <w:b/>
          <w:color w:val="auto"/>
          <w:sz w:val="21"/>
          <w:szCs w:val="21"/>
          <w:highlight w:val="none"/>
          <w:u w:val="single"/>
          <w:lang w:bidi="ar"/>
        </w:rPr>
        <w:t>双方未约定事项依据 《建设工程质量管理条例》及有关规定执行</w:t>
      </w:r>
      <w:r>
        <w:rPr>
          <w:rFonts w:hint="eastAsia" w:asciiTheme="majorEastAsia" w:hAnsiTheme="majorEastAsia" w:eastAsiaTheme="majorEastAsia" w:cstheme="majorEastAsia"/>
          <w:color w:val="auto"/>
          <w:sz w:val="21"/>
          <w:szCs w:val="21"/>
          <w:highlight w:val="none"/>
          <w:lang w:bidi="ar"/>
        </w:rPr>
        <w:t>。</w:t>
      </w:r>
    </w:p>
    <w:p w14:paraId="60ECA745">
      <w:pPr>
        <w:keepNext w:val="0"/>
        <w:keepLines w:val="0"/>
        <w:widowControl/>
        <w:suppressLineNumbers w:val="0"/>
        <w:spacing w:before="0" w:beforeAutospacing="0" w:after="0" w:afterAutospacing="0" w:line="360" w:lineRule="auto"/>
        <w:ind w:left="0" w:right="0" w:firstLine="399" w:firstLineChars="19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工程质量保修书由发包人、承包人在工程竣工验收前共同签署，作为施工合同附件，其有效期限至保修期满。</w:t>
      </w:r>
    </w:p>
    <w:p w14:paraId="1EBB5C45">
      <w:pPr>
        <w:keepNext w:val="0"/>
        <w:keepLines w:val="0"/>
        <w:widowControl/>
        <w:suppressLineNumbers w:val="0"/>
        <w:spacing w:before="0" w:beforeAutospacing="0" w:after="0" w:afterAutospacing="0" w:line="360" w:lineRule="auto"/>
        <w:ind w:left="0" w:right="0" w:firstLine="420"/>
        <w:rPr>
          <w:rFonts w:hint="eastAsia" w:asciiTheme="majorEastAsia" w:hAnsiTheme="majorEastAsia" w:eastAsiaTheme="majorEastAsia" w:cstheme="majorEastAsia"/>
          <w:color w:val="auto"/>
          <w:sz w:val="21"/>
          <w:szCs w:val="21"/>
          <w:highlight w:val="none"/>
          <w:lang w:bidi="ar"/>
        </w:rPr>
      </w:pPr>
    </w:p>
    <w:p w14:paraId="78D40A81">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发包人(公章)：</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承包人(公章)：</w:t>
      </w:r>
      <w:r>
        <w:rPr>
          <w:rFonts w:hint="eastAsia" w:asciiTheme="majorEastAsia" w:hAnsiTheme="majorEastAsia" w:eastAsiaTheme="majorEastAsia" w:cstheme="majorEastAsia"/>
          <w:color w:val="auto"/>
          <w:sz w:val="21"/>
          <w:szCs w:val="21"/>
          <w:highlight w:val="none"/>
          <w:u w:val="single"/>
          <w:lang w:bidi="ar"/>
        </w:rPr>
        <w:t xml:space="preserve">           </w:t>
      </w:r>
    </w:p>
    <w:p w14:paraId="552F8CD6">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地  址：</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地  址：</w:t>
      </w:r>
      <w:r>
        <w:rPr>
          <w:rFonts w:hint="eastAsia" w:asciiTheme="majorEastAsia" w:hAnsiTheme="majorEastAsia" w:eastAsiaTheme="majorEastAsia" w:cstheme="majorEastAsia"/>
          <w:color w:val="auto"/>
          <w:sz w:val="21"/>
          <w:szCs w:val="21"/>
          <w:highlight w:val="none"/>
          <w:u w:val="single"/>
          <w:lang w:bidi="ar"/>
        </w:rPr>
        <w:t xml:space="preserve">       </w:t>
      </w:r>
    </w:p>
    <w:p w14:paraId="078930C0">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法定代表人(签字)：</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法定代表人(签字)：</w:t>
      </w:r>
      <w:r>
        <w:rPr>
          <w:rFonts w:hint="eastAsia" w:asciiTheme="majorEastAsia" w:hAnsiTheme="majorEastAsia" w:eastAsiaTheme="majorEastAsia" w:cstheme="majorEastAsia"/>
          <w:color w:val="auto"/>
          <w:sz w:val="21"/>
          <w:szCs w:val="21"/>
          <w:highlight w:val="none"/>
          <w:u w:val="single"/>
          <w:lang w:bidi="ar"/>
        </w:rPr>
        <w:t xml:space="preserve">       </w:t>
      </w:r>
    </w:p>
    <w:p w14:paraId="32E19CA5">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委托代理人(签字)：</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委托代理人(签字)：</w:t>
      </w:r>
      <w:r>
        <w:rPr>
          <w:rFonts w:hint="eastAsia" w:asciiTheme="majorEastAsia" w:hAnsiTheme="majorEastAsia" w:eastAsiaTheme="majorEastAsia" w:cstheme="majorEastAsia"/>
          <w:color w:val="auto"/>
          <w:sz w:val="21"/>
          <w:szCs w:val="21"/>
          <w:highlight w:val="none"/>
          <w:u w:val="single"/>
          <w:lang w:bidi="ar"/>
        </w:rPr>
        <w:t xml:space="preserve">       </w:t>
      </w:r>
    </w:p>
    <w:p w14:paraId="33385244">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电  话：</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电  话：</w:t>
      </w:r>
      <w:r>
        <w:rPr>
          <w:rFonts w:hint="eastAsia" w:asciiTheme="majorEastAsia" w:hAnsiTheme="majorEastAsia" w:eastAsiaTheme="majorEastAsia" w:cstheme="majorEastAsia"/>
          <w:color w:val="auto"/>
          <w:sz w:val="21"/>
          <w:szCs w:val="21"/>
          <w:highlight w:val="none"/>
          <w:u w:val="single"/>
          <w:lang w:bidi="ar"/>
        </w:rPr>
        <w:t xml:space="preserve">     </w:t>
      </w:r>
    </w:p>
    <w:p w14:paraId="772939A6">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传  真：</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传  真：</w:t>
      </w:r>
      <w:r>
        <w:rPr>
          <w:rFonts w:hint="eastAsia" w:asciiTheme="majorEastAsia" w:hAnsiTheme="majorEastAsia" w:eastAsiaTheme="majorEastAsia" w:cstheme="majorEastAsia"/>
          <w:color w:val="auto"/>
          <w:sz w:val="21"/>
          <w:szCs w:val="21"/>
          <w:highlight w:val="none"/>
          <w:u w:val="single"/>
          <w:lang w:bidi="ar"/>
        </w:rPr>
        <w:t xml:space="preserve">     </w:t>
      </w:r>
    </w:p>
    <w:p w14:paraId="1A273624">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开户银行：</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开户银行：</w:t>
      </w:r>
      <w:r>
        <w:rPr>
          <w:rFonts w:hint="eastAsia" w:asciiTheme="majorEastAsia" w:hAnsiTheme="majorEastAsia" w:eastAsiaTheme="majorEastAsia" w:cstheme="majorEastAsia"/>
          <w:color w:val="auto"/>
          <w:sz w:val="21"/>
          <w:szCs w:val="21"/>
          <w:highlight w:val="none"/>
          <w:u w:val="single"/>
          <w:lang w:bidi="ar"/>
        </w:rPr>
        <w:t xml:space="preserve">   </w:t>
      </w:r>
    </w:p>
    <w:p w14:paraId="70336E51">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账  号：</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 xml:space="preserve"> 账  号：</w:t>
      </w:r>
      <w:r>
        <w:rPr>
          <w:rFonts w:hint="eastAsia" w:asciiTheme="majorEastAsia" w:hAnsiTheme="majorEastAsia" w:eastAsiaTheme="majorEastAsia" w:cstheme="majorEastAsia"/>
          <w:color w:val="auto"/>
          <w:sz w:val="21"/>
          <w:szCs w:val="21"/>
          <w:highlight w:val="none"/>
          <w:u w:val="single"/>
          <w:lang w:bidi="ar"/>
        </w:rPr>
        <w:t xml:space="preserve">     </w:t>
      </w:r>
    </w:p>
    <w:p w14:paraId="5E4943D6">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邮政编码：</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lang w:val="en-US" w:eastAsia="zh-CN" w:bidi="ar"/>
        </w:rPr>
        <w:t xml:space="preserve">                    </w:t>
      </w:r>
      <w:r>
        <w:rPr>
          <w:rFonts w:hint="eastAsia" w:asciiTheme="majorEastAsia" w:hAnsiTheme="majorEastAsia" w:eastAsiaTheme="majorEastAsia" w:cstheme="majorEastAsia"/>
          <w:color w:val="auto"/>
          <w:sz w:val="21"/>
          <w:szCs w:val="21"/>
          <w:highlight w:val="none"/>
          <w:lang w:bidi="ar"/>
        </w:rPr>
        <w:t>邮政编码：</w:t>
      </w:r>
      <w:r>
        <w:rPr>
          <w:rFonts w:hint="eastAsia" w:asciiTheme="majorEastAsia" w:hAnsiTheme="majorEastAsia" w:eastAsiaTheme="majorEastAsia" w:cstheme="majorEastAsia"/>
          <w:color w:val="auto"/>
          <w:sz w:val="21"/>
          <w:szCs w:val="21"/>
          <w:highlight w:val="none"/>
          <w:u w:val="single"/>
          <w:lang w:bidi="ar"/>
        </w:rPr>
        <w:t xml:space="preserve">   </w:t>
      </w:r>
    </w:p>
    <w:p w14:paraId="38A3225C">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b/>
          <w:color w:val="auto"/>
          <w:sz w:val="21"/>
          <w:szCs w:val="21"/>
          <w:highlight w:val="none"/>
          <w:lang w:bidi="ar"/>
        </w:rPr>
        <w:br w:type="page"/>
      </w:r>
      <w:r>
        <w:rPr>
          <w:rFonts w:hint="eastAsia" w:asciiTheme="majorEastAsia" w:hAnsiTheme="majorEastAsia" w:eastAsiaTheme="majorEastAsia" w:cstheme="majorEastAsia"/>
          <w:color w:val="auto"/>
          <w:sz w:val="21"/>
          <w:szCs w:val="21"/>
          <w:highlight w:val="none"/>
          <w:lang w:bidi="ar"/>
        </w:rPr>
        <w:t>附件4：</w:t>
      </w:r>
    </w:p>
    <w:p w14:paraId="0813F8E9">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主要建设工程文件目录</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0275D8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left w:val="single" w:color="auto" w:sz="12" w:space="0"/>
              <w:bottom w:val="double" w:color="auto" w:sz="6" w:space="0"/>
              <w:right w:val="single" w:color="auto" w:sz="6" w:space="0"/>
            </w:tcBorders>
            <w:vAlign w:val="center"/>
          </w:tcPr>
          <w:p w14:paraId="37B5C51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文件名称</w:t>
            </w:r>
          </w:p>
        </w:tc>
        <w:tc>
          <w:tcPr>
            <w:tcW w:w="1276" w:type="dxa"/>
            <w:tcBorders>
              <w:top w:val="single" w:color="auto" w:sz="12" w:space="0"/>
              <w:left w:val="single" w:color="auto" w:sz="6" w:space="0"/>
              <w:bottom w:val="double" w:color="auto" w:sz="6" w:space="0"/>
              <w:right w:val="single" w:color="auto" w:sz="6" w:space="0"/>
            </w:tcBorders>
            <w:vAlign w:val="center"/>
          </w:tcPr>
          <w:p w14:paraId="5158877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套数</w:t>
            </w:r>
          </w:p>
        </w:tc>
        <w:tc>
          <w:tcPr>
            <w:tcW w:w="1450" w:type="dxa"/>
            <w:tcBorders>
              <w:top w:val="single" w:color="auto" w:sz="12" w:space="0"/>
              <w:left w:val="single" w:color="auto" w:sz="6" w:space="0"/>
              <w:bottom w:val="double" w:color="auto" w:sz="6" w:space="0"/>
              <w:right w:val="single" w:color="auto" w:sz="6" w:space="0"/>
            </w:tcBorders>
            <w:vAlign w:val="center"/>
          </w:tcPr>
          <w:p w14:paraId="1E7CC7F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费用（元）</w:t>
            </w:r>
          </w:p>
        </w:tc>
        <w:tc>
          <w:tcPr>
            <w:tcW w:w="1243" w:type="dxa"/>
            <w:tcBorders>
              <w:top w:val="single" w:color="auto" w:sz="12" w:space="0"/>
              <w:left w:val="single" w:color="auto" w:sz="6" w:space="0"/>
              <w:bottom w:val="double" w:color="auto" w:sz="6" w:space="0"/>
              <w:right w:val="single" w:color="auto" w:sz="6" w:space="0"/>
            </w:tcBorders>
            <w:vAlign w:val="center"/>
          </w:tcPr>
          <w:p w14:paraId="7723C28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质量</w:t>
            </w:r>
          </w:p>
        </w:tc>
        <w:tc>
          <w:tcPr>
            <w:tcW w:w="1450" w:type="dxa"/>
            <w:tcBorders>
              <w:top w:val="single" w:color="auto" w:sz="12" w:space="0"/>
              <w:left w:val="single" w:color="auto" w:sz="6" w:space="0"/>
              <w:bottom w:val="double" w:color="auto" w:sz="6" w:space="0"/>
              <w:right w:val="single" w:color="auto" w:sz="6" w:space="0"/>
            </w:tcBorders>
          </w:tcPr>
          <w:p w14:paraId="2E8D6C66">
            <w:pPr>
              <w:keepNext w:val="0"/>
              <w:keepLines w:val="0"/>
              <w:widowControl/>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移交时间</w:t>
            </w:r>
          </w:p>
        </w:tc>
        <w:tc>
          <w:tcPr>
            <w:tcW w:w="1667" w:type="dxa"/>
            <w:tcBorders>
              <w:top w:val="single" w:color="auto" w:sz="12" w:space="0"/>
              <w:left w:val="single" w:color="auto" w:sz="6" w:space="0"/>
              <w:bottom w:val="double" w:color="auto" w:sz="6" w:space="0"/>
              <w:right w:val="single" w:color="auto" w:sz="12" w:space="0"/>
            </w:tcBorders>
          </w:tcPr>
          <w:p w14:paraId="0EB6979F">
            <w:pPr>
              <w:keepNext w:val="0"/>
              <w:keepLines w:val="0"/>
              <w:widowControl/>
              <w:suppressLineNumbers w:val="0"/>
              <w:spacing w:before="0" w:beforeAutospacing="0" w:after="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责任人</w:t>
            </w:r>
          </w:p>
        </w:tc>
      </w:tr>
      <w:tr w14:paraId="0EF23B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left w:val="single" w:color="auto" w:sz="12" w:space="0"/>
              <w:bottom w:val="single" w:color="auto" w:sz="6" w:space="0"/>
              <w:right w:val="single" w:color="auto" w:sz="6" w:space="0"/>
            </w:tcBorders>
            <w:vAlign w:val="center"/>
          </w:tcPr>
          <w:p w14:paraId="47F363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double" w:color="auto" w:sz="6" w:space="0"/>
              <w:left w:val="single" w:color="auto" w:sz="6" w:space="0"/>
              <w:bottom w:val="single" w:color="auto" w:sz="6" w:space="0"/>
              <w:right w:val="single" w:color="auto" w:sz="6" w:space="0"/>
            </w:tcBorders>
            <w:vAlign w:val="center"/>
          </w:tcPr>
          <w:p w14:paraId="4017658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double" w:color="auto" w:sz="6" w:space="0"/>
              <w:left w:val="single" w:color="auto" w:sz="6" w:space="0"/>
              <w:bottom w:val="single" w:color="auto" w:sz="6" w:space="0"/>
              <w:right w:val="single" w:color="auto" w:sz="6" w:space="0"/>
            </w:tcBorders>
            <w:vAlign w:val="center"/>
          </w:tcPr>
          <w:p w14:paraId="47D72C0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double" w:color="auto" w:sz="6" w:space="0"/>
              <w:left w:val="single" w:color="auto" w:sz="6" w:space="0"/>
              <w:bottom w:val="single" w:color="auto" w:sz="6" w:space="0"/>
              <w:right w:val="single" w:color="auto" w:sz="6" w:space="0"/>
            </w:tcBorders>
            <w:vAlign w:val="center"/>
          </w:tcPr>
          <w:p w14:paraId="675F2A4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double" w:color="auto" w:sz="6" w:space="0"/>
              <w:left w:val="single" w:color="auto" w:sz="6" w:space="0"/>
              <w:bottom w:val="single" w:color="auto" w:sz="6" w:space="0"/>
              <w:right w:val="single" w:color="auto" w:sz="6" w:space="0"/>
            </w:tcBorders>
            <w:vAlign w:val="center"/>
          </w:tcPr>
          <w:p w14:paraId="54404E4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double" w:color="auto" w:sz="6" w:space="0"/>
              <w:left w:val="single" w:color="auto" w:sz="6" w:space="0"/>
              <w:bottom w:val="single" w:color="auto" w:sz="6" w:space="0"/>
              <w:right w:val="single" w:color="auto" w:sz="12" w:space="0"/>
            </w:tcBorders>
            <w:vAlign w:val="center"/>
          </w:tcPr>
          <w:p w14:paraId="5EDC6A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9F30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left w:val="single" w:color="auto" w:sz="12" w:space="0"/>
              <w:bottom w:val="single" w:color="auto" w:sz="6" w:space="0"/>
              <w:right w:val="single" w:color="auto" w:sz="6" w:space="0"/>
            </w:tcBorders>
            <w:vAlign w:val="center"/>
          </w:tcPr>
          <w:p w14:paraId="1CDB974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nil"/>
              <w:left w:val="single" w:color="auto" w:sz="6" w:space="0"/>
              <w:bottom w:val="single" w:color="auto" w:sz="6" w:space="0"/>
              <w:right w:val="single" w:color="auto" w:sz="6" w:space="0"/>
            </w:tcBorders>
            <w:vAlign w:val="center"/>
          </w:tcPr>
          <w:p w14:paraId="3C612E4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nil"/>
              <w:left w:val="single" w:color="auto" w:sz="6" w:space="0"/>
              <w:bottom w:val="single" w:color="auto" w:sz="6" w:space="0"/>
              <w:right w:val="single" w:color="auto" w:sz="6" w:space="0"/>
            </w:tcBorders>
            <w:vAlign w:val="center"/>
          </w:tcPr>
          <w:p w14:paraId="6CF821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nil"/>
              <w:left w:val="single" w:color="auto" w:sz="6" w:space="0"/>
              <w:bottom w:val="single" w:color="auto" w:sz="6" w:space="0"/>
              <w:right w:val="single" w:color="auto" w:sz="6" w:space="0"/>
            </w:tcBorders>
            <w:vAlign w:val="center"/>
          </w:tcPr>
          <w:p w14:paraId="05B9BE1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nil"/>
              <w:left w:val="single" w:color="auto" w:sz="6" w:space="0"/>
              <w:bottom w:val="single" w:color="auto" w:sz="6" w:space="0"/>
              <w:right w:val="single" w:color="auto" w:sz="6" w:space="0"/>
            </w:tcBorders>
            <w:vAlign w:val="center"/>
          </w:tcPr>
          <w:p w14:paraId="78C497C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nil"/>
              <w:left w:val="single" w:color="auto" w:sz="6" w:space="0"/>
              <w:bottom w:val="single" w:color="auto" w:sz="6" w:space="0"/>
              <w:right w:val="single" w:color="auto" w:sz="12" w:space="0"/>
            </w:tcBorders>
            <w:vAlign w:val="center"/>
          </w:tcPr>
          <w:p w14:paraId="634DEF9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2A37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64E46E0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63A5558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11F9A4E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5886CF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36EC906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5FB5838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1765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0A66E37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72E171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4139566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2DBD2EE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06CE2A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40C9EF8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5750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11A35D3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28DB91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666A41B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4EEEDE5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216E985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2A4828A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EDA1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5A2A49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169480F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323CE0E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5394393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2A7E146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31A9F79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17B30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8D863B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3AD6079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3ECE82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7F97130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71CA47C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68463A7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76DE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4A78D00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41B6E8A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168EDC4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4BFE961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34B3FA6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3198806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B193B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9326E95">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25100B0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1DFDC85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32269AC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0EE5E3D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137C741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79889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vAlign w:val="center"/>
          </w:tcPr>
          <w:p w14:paraId="517A1D7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vAlign w:val="center"/>
          </w:tcPr>
          <w:p w14:paraId="56BF46B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7241F5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vAlign w:val="center"/>
          </w:tcPr>
          <w:p w14:paraId="27B9606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vAlign w:val="center"/>
          </w:tcPr>
          <w:p w14:paraId="00B251E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vAlign w:val="center"/>
          </w:tcPr>
          <w:p w14:paraId="42D9F11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2BF7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42C81EB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7FF8476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3F5958D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69589CC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3DEA954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462FCA5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10CC75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3A0CA81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613D5F1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6D120865">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1336E6A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149FE17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4B4C05B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048A5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2E3F9B3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52018F9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67B2DC8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04D1226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6146337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5EFCEF1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530D7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940172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12A7F3B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689834F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6360676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7BCC2F5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6B9CCAB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13927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6ACA6DC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3BB7BE3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0BE631F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41DDB52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2E916085">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2515130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320751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6" w:space="0"/>
              <w:right w:val="single" w:color="auto" w:sz="6" w:space="0"/>
            </w:tcBorders>
          </w:tcPr>
          <w:p w14:paraId="7AE0ADC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6" w:space="0"/>
              <w:right w:val="single" w:color="auto" w:sz="6" w:space="0"/>
            </w:tcBorders>
          </w:tcPr>
          <w:p w14:paraId="51C2259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593B575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6" w:space="0"/>
              <w:right w:val="single" w:color="auto" w:sz="6" w:space="0"/>
            </w:tcBorders>
          </w:tcPr>
          <w:p w14:paraId="1C79079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6" w:space="0"/>
              <w:right w:val="single" w:color="auto" w:sz="6" w:space="0"/>
            </w:tcBorders>
          </w:tcPr>
          <w:p w14:paraId="4CF39A0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6" w:space="0"/>
              <w:right w:val="single" w:color="auto" w:sz="12" w:space="0"/>
            </w:tcBorders>
          </w:tcPr>
          <w:p w14:paraId="28412D8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0DAB43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single" w:color="auto" w:sz="6" w:space="0"/>
              <w:left w:val="single" w:color="auto" w:sz="12" w:space="0"/>
              <w:bottom w:val="single" w:color="auto" w:sz="12" w:space="0"/>
              <w:right w:val="single" w:color="auto" w:sz="6" w:space="0"/>
            </w:tcBorders>
          </w:tcPr>
          <w:p w14:paraId="34F95B7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76" w:type="dxa"/>
            <w:tcBorders>
              <w:top w:val="single" w:color="auto" w:sz="6" w:space="0"/>
              <w:left w:val="single" w:color="auto" w:sz="6" w:space="0"/>
              <w:bottom w:val="single" w:color="auto" w:sz="12" w:space="0"/>
              <w:right w:val="single" w:color="auto" w:sz="6" w:space="0"/>
            </w:tcBorders>
          </w:tcPr>
          <w:p w14:paraId="252C2E2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12" w:space="0"/>
              <w:right w:val="single" w:color="auto" w:sz="6" w:space="0"/>
            </w:tcBorders>
          </w:tcPr>
          <w:p w14:paraId="00CCE85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243" w:type="dxa"/>
            <w:tcBorders>
              <w:top w:val="single" w:color="auto" w:sz="6" w:space="0"/>
              <w:left w:val="single" w:color="auto" w:sz="6" w:space="0"/>
              <w:bottom w:val="single" w:color="auto" w:sz="12" w:space="0"/>
              <w:right w:val="single" w:color="auto" w:sz="6" w:space="0"/>
            </w:tcBorders>
          </w:tcPr>
          <w:p w14:paraId="057EF15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50" w:type="dxa"/>
            <w:tcBorders>
              <w:top w:val="single" w:color="auto" w:sz="6" w:space="0"/>
              <w:left w:val="single" w:color="auto" w:sz="6" w:space="0"/>
              <w:bottom w:val="single" w:color="auto" w:sz="12" w:space="0"/>
              <w:right w:val="single" w:color="auto" w:sz="6" w:space="0"/>
            </w:tcBorders>
          </w:tcPr>
          <w:p w14:paraId="3B2E06B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667" w:type="dxa"/>
            <w:tcBorders>
              <w:top w:val="single" w:color="auto" w:sz="6" w:space="0"/>
              <w:left w:val="single" w:color="auto" w:sz="6" w:space="0"/>
              <w:bottom w:val="single" w:color="auto" w:sz="12" w:space="0"/>
              <w:right w:val="single" w:color="auto" w:sz="12" w:space="0"/>
            </w:tcBorders>
          </w:tcPr>
          <w:p w14:paraId="705F682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bl>
    <w:p w14:paraId="145D705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262EFAB7">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br w:type="page"/>
      </w:r>
      <w:r>
        <w:rPr>
          <w:rFonts w:hint="eastAsia" w:asciiTheme="majorEastAsia" w:hAnsiTheme="majorEastAsia" w:eastAsiaTheme="majorEastAsia" w:cstheme="majorEastAsia"/>
          <w:color w:val="auto"/>
          <w:sz w:val="21"/>
          <w:szCs w:val="21"/>
          <w:highlight w:val="none"/>
          <w:lang w:bidi="ar"/>
        </w:rPr>
        <w:t>附</w:t>
      </w:r>
      <w:bookmarkStart w:id="1031" w:name="_Toc296891267"/>
      <w:bookmarkStart w:id="1032" w:name="_Toc296944566"/>
      <w:bookmarkStart w:id="1033" w:name="_Toc296347226"/>
      <w:bookmarkStart w:id="1034" w:name="_Toc296346728"/>
      <w:bookmarkStart w:id="1035" w:name="_Toc267261698"/>
      <w:bookmarkStart w:id="1036" w:name="_Toc296503227"/>
      <w:bookmarkStart w:id="1037" w:name="_Toc296891055"/>
      <w:r>
        <w:rPr>
          <w:rFonts w:hint="eastAsia" w:asciiTheme="majorEastAsia" w:hAnsiTheme="majorEastAsia" w:eastAsiaTheme="majorEastAsia" w:cstheme="majorEastAsia"/>
          <w:color w:val="auto"/>
          <w:sz w:val="21"/>
          <w:szCs w:val="21"/>
          <w:highlight w:val="none"/>
          <w:lang w:bidi="ar"/>
        </w:rPr>
        <w:t>件5：</w:t>
      </w:r>
    </w:p>
    <w:bookmarkEnd w:id="1031"/>
    <w:bookmarkEnd w:id="1032"/>
    <w:bookmarkEnd w:id="1033"/>
    <w:bookmarkEnd w:id="1034"/>
    <w:bookmarkEnd w:id="1035"/>
    <w:bookmarkEnd w:id="1036"/>
    <w:bookmarkEnd w:id="1037"/>
    <w:p w14:paraId="6B0B705D">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承包人用于本工程施工的机械设备表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71416D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left w:val="single" w:color="auto" w:sz="12" w:space="0"/>
              <w:bottom w:val="double" w:color="auto" w:sz="6" w:space="0"/>
              <w:right w:val="single" w:color="auto" w:sz="6" w:space="0"/>
            </w:tcBorders>
            <w:vAlign w:val="center"/>
          </w:tcPr>
          <w:p w14:paraId="3300149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序号</w:t>
            </w:r>
          </w:p>
        </w:tc>
        <w:tc>
          <w:tcPr>
            <w:tcW w:w="1418" w:type="dxa"/>
            <w:tcBorders>
              <w:top w:val="single" w:color="auto" w:sz="12" w:space="0"/>
              <w:left w:val="single" w:color="auto" w:sz="6" w:space="0"/>
              <w:bottom w:val="double" w:color="auto" w:sz="6" w:space="0"/>
              <w:right w:val="single" w:color="auto" w:sz="6" w:space="0"/>
            </w:tcBorders>
            <w:vAlign w:val="center"/>
          </w:tcPr>
          <w:p w14:paraId="335B10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机械或设备名称</w:t>
            </w:r>
          </w:p>
        </w:tc>
        <w:tc>
          <w:tcPr>
            <w:tcW w:w="850" w:type="dxa"/>
            <w:tcBorders>
              <w:top w:val="single" w:color="auto" w:sz="12" w:space="0"/>
              <w:left w:val="single" w:color="auto" w:sz="6" w:space="0"/>
              <w:bottom w:val="double" w:color="auto" w:sz="6" w:space="0"/>
              <w:right w:val="single" w:color="auto" w:sz="6" w:space="0"/>
            </w:tcBorders>
            <w:vAlign w:val="center"/>
          </w:tcPr>
          <w:p w14:paraId="3591CB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规格型号</w:t>
            </w:r>
          </w:p>
        </w:tc>
        <w:tc>
          <w:tcPr>
            <w:tcW w:w="1058" w:type="dxa"/>
            <w:tcBorders>
              <w:top w:val="single" w:color="auto" w:sz="12" w:space="0"/>
              <w:left w:val="single" w:color="auto" w:sz="6" w:space="0"/>
              <w:bottom w:val="double" w:color="auto" w:sz="6" w:space="0"/>
              <w:right w:val="single" w:color="auto" w:sz="6" w:space="0"/>
            </w:tcBorders>
            <w:vAlign w:val="center"/>
          </w:tcPr>
          <w:p w14:paraId="4D9328A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数量</w:t>
            </w:r>
          </w:p>
        </w:tc>
        <w:tc>
          <w:tcPr>
            <w:tcW w:w="880" w:type="dxa"/>
            <w:tcBorders>
              <w:top w:val="single" w:color="auto" w:sz="12" w:space="0"/>
              <w:left w:val="single" w:color="auto" w:sz="6" w:space="0"/>
              <w:bottom w:val="double" w:color="auto" w:sz="6" w:space="0"/>
              <w:right w:val="single" w:color="auto" w:sz="6" w:space="0"/>
            </w:tcBorders>
            <w:vAlign w:val="center"/>
          </w:tcPr>
          <w:p w14:paraId="10CFF3B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产地</w:t>
            </w:r>
          </w:p>
        </w:tc>
        <w:tc>
          <w:tcPr>
            <w:tcW w:w="1020" w:type="dxa"/>
            <w:tcBorders>
              <w:top w:val="single" w:color="auto" w:sz="12" w:space="0"/>
              <w:left w:val="single" w:color="auto" w:sz="6" w:space="0"/>
              <w:bottom w:val="double" w:color="auto" w:sz="6" w:space="0"/>
              <w:right w:val="single" w:color="auto" w:sz="6" w:space="0"/>
            </w:tcBorders>
            <w:vAlign w:val="center"/>
          </w:tcPr>
          <w:p w14:paraId="724644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制造年份</w:t>
            </w:r>
          </w:p>
        </w:tc>
        <w:tc>
          <w:tcPr>
            <w:tcW w:w="1480" w:type="dxa"/>
            <w:tcBorders>
              <w:top w:val="single" w:color="auto" w:sz="12" w:space="0"/>
              <w:left w:val="single" w:color="auto" w:sz="6" w:space="0"/>
              <w:bottom w:val="double" w:color="auto" w:sz="6" w:space="0"/>
              <w:right w:val="single" w:color="auto" w:sz="6" w:space="0"/>
            </w:tcBorders>
            <w:vAlign w:val="center"/>
          </w:tcPr>
          <w:p w14:paraId="31437A1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额定功率(kW)</w:t>
            </w:r>
          </w:p>
        </w:tc>
        <w:tc>
          <w:tcPr>
            <w:tcW w:w="1020" w:type="dxa"/>
            <w:tcBorders>
              <w:top w:val="single" w:color="auto" w:sz="12" w:space="0"/>
              <w:left w:val="single" w:color="auto" w:sz="6" w:space="0"/>
              <w:bottom w:val="double" w:color="auto" w:sz="6" w:space="0"/>
              <w:right w:val="single" w:color="auto" w:sz="6" w:space="0"/>
            </w:tcBorders>
            <w:vAlign w:val="center"/>
          </w:tcPr>
          <w:p w14:paraId="1034A1A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生产能力</w:t>
            </w:r>
          </w:p>
        </w:tc>
        <w:tc>
          <w:tcPr>
            <w:tcW w:w="921" w:type="dxa"/>
            <w:tcBorders>
              <w:top w:val="single" w:color="auto" w:sz="12" w:space="0"/>
              <w:left w:val="single" w:color="auto" w:sz="6" w:space="0"/>
              <w:bottom w:val="double" w:color="auto" w:sz="6" w:space="0"/>
              <w:right w:val="single" w:color="auto" w:sz="12" w:space="0"/>
            </w:tcBorders>
            <w:vAlign w:val="center"/>
          </w:tcPr>
          <w:p w14:paraId="73AD22A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备注</w:t>
            </w:r>
          </w:p>
        </w:tc>
      </w:tr>
      <w:tr w14:paraId="1061DB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left w:val="single" w:color="auto" w:sz="12" w:space="0"/>
              <w:bottom w:val="single" w:color="auto" w:sz="6" w:space="0"/>
              <w:right w:val="single" w:color="auto" w:sz="6" w:space="0"/>
            </w:tcBorders>
            <w:vAlign w:val="center"/>
          </w:tcPr>
          <w:p w14:paraId="5EEEB78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double" w:color="auto" w:sz="6" w:space="0"/>
              <w:left w:val="single" w:color="auto" w:sz="6" w:space="0"/>
              <w:bottom w:val="single" w:color="auto" w:sz="6" w:space="0"/>
              <w:right w:val="single" w:color="auto" w:sz="6" w:space="0"/>
            </w:tcBorders>
            <w:vAlign w:val="center"/>
          </w:tcPr>
          <w:p w14:paraId="56BF75A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double" w:color="auto" w:sz="6" w:space="0"/>
              <w:left w:val="single" w:color="auto" w:sz="6" w:space="0"/>
              <w:bottom w:val="single" w:color="auto" w:sz="6" w:space="0"/>
              <w:right w:val="single" w:color="auto" w:sz="6" w:space="0"/>
            </w:tcBorders>
            <w:vAlign w:val="center"/>
          </w:tcPr>
          <w:p w14:paraId="594B598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double" w:color="auto" w:sz="6" w:space="0"/>
              <w:left w:val="single" w:color="auto" w:sz="6" w:space="0"/>
              <w:bottom w:val="single" w:color="auto" w:sz="6" w:space="0"/>
              <w:right w:val="single" w:color="auto" w:sz="6" w:space="0"/>
            </w:tcBorders>
            <w:vAlign w:val="center"/>
          </w:tcPr>
          <w:p w14:paraId="2D9673E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double" w:color="auto" w:sz="6" w:space="0"/>
              <w:left w:val="single" w:color="auto" w:sz="6" w:space="0"/>
              <w:bottom w:val="single" w:color="auto" w:sz="6" w:space="0"/>
              <w:right w:val="single" w:color="auto" w:sz="6" w:space="0"/>
            </w:tcBorders>
            <w:vAlign w:val="center"/>
          </w:tcPr>
          <w:p w14:paraId="314C7D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double" w:color="auto" w:sz="6" w:space="0"/>
              <w:left w:val="single" w:color="auto" w:sz="6" w:space="0"/>
              <w:bottom w:val="single" w:color="auto" w:sz="6" w:space="0"/>
              <w:right w:val="single" w:color="auto" w:sz="6" w:space="0"/>
            </w:tcBorders>
            <w:vAlign w:val="center"/>
          </w:tcPr>
          <w:p w14:paraId="6D8850F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double" w:color="auto" w:sz="6" w:space="0"/>
              <w:left w:val="single" w:color="auto" w:sz="6" w:space="0"/>
              <w:bottom w:val="single" w:color="auto" w:sz="6" w:space="0"/>
              <w:right w:val="single" w:color="auto" w:sz="6" w:space="0"/>
            </w:tcBorders>
            <w:vAlign w:val="center"/>
          </w:tcPr>
          <w:p w14:paraId="27828D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double" w:color="auto" w:sz="6" w:space="0"/>
              <w:left w:val="single" w:color="auto" w:sz="6" w:space="0"/>
              <w:bottom w:val="single" w:color="auto" w:sz="6" w:space="0"/>
              <w:right w:val="single" w:color="auto" w:sz="6" w:space="0"/>
            </w:tcBorders>
            <w:vAlign w:val="center"/>
          </w:tcPr>
          <w:p w14:paraId="2AF23DE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double" w:color="auto" w:sz="6" w:space="0"/>
              <w:left w:val="single" w:color="auto" w:sz="6" w:space="0"/>
              <w:bottom w:val="single" w:color="auto" w:sz="6" w:space="0"/>
              <w:right w:val="single" w:color="auto" w:sz="12" w:space="0"/>
            </w:tcBorders>
            <w:vAlign w:val="center"/>
          </w:tcPr>
          <w:p w14:paraId="63D75FC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6D8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left w:val="single" w:color="auto" w:sz="12" w:space="0"/>
              <w:bottom w:val="single" w:color="auto" w:sz="6" w:space="0"/>
              <w:right w:val="single" w:color="auto" w:sz="6" w:space="0"/>
            </w:tcBorders>
            <w:vAlign w:val="center"/>
          </w:tcPr>
          <w:p w14:paraId="25E942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nil"/>
              <w:left w:val="single" w:color="auto" w:sz="6" w:space="0"/>
              <w:bottom w:val="single" w:color="auto" w:sz="6" w:space="0"/>
              <w:right w:val="single" w:color="auto" w:sz="6" w:space="0"/>
            </w:tcBorders>
            <w:vAlign w:val="center"/>
          </w:tcPr>
          <w:p w14:paraId="2866DBE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nil"/>
              <w:left w:val="single" w:color="auto" w:sz="6" w:space="0"/>
              <w:bottom w:val="single" w:color="auto" w:sz="6" w:space="0"/>
              <w:right w:val="single" w:color="auto" w:sz="6" w:space="0"/>
            </w:tcBorders>
            <w:vAlign w:val="center"/>
          </w:tcPr>
          <w:p w14:paraId="4E04A48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nil"/>
              <w:left w:val="single" w:color="auto" w:sz="6" w:space="0"/>
              <w:bottom w:val="single" w:color="auto" w:sz="6" w:space="0"/>
              <w:right w:val="single" w:color="auto" w:sz="6" w:space="0"/>
            </w:tcBorders>
            <w:vAlign w:val="center"/>
          </w:tcPr>
          <w:p w14:paraId="6C601F6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nil"/>
              <w:left w:val="single" w:color="auto" w:sz="6" w:space="0"/>
              <w:bottom w:val="single" w:color="auto" w:sz="6" w:space="0"/>
              <w:right w:val="single" w:color="auto" w:sz="6" w:space="0"/>
            </w:tcBorders>
            <w:vAlign w:val="center"/>
          </w:tcPr>
          <w:p w14:paraId="150996A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nil"/>
              <w:left w:val="single" w:color="auto" w:sz="6" w:space="0"/>
              <w:bottom w:val="single" w:color="auto" w:sz="6" w:space="0"/>
              <w:right w:val="single" w:color="auto" w:sz="6" w:space="0"/>
            </w:tcBorders>
            <w:vAlign w:val="center"/>
          </w:tcPr>
          <w:p w14:paraId="692C969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nil"/>
              <w:left w:val="single" w:color="auto" w:sz="6" w:space="0"/>
              <w:bottom w:val="single" w:color="auto" w:sz="6" w:space="0"/>
              <w:right w:val="single" w:color="auto" w:sz="6" w:space="0"/>
            </w:tcBorders>
            <w:vAlign w:val="center"/>
          </w:tcPr>
          <w:p w14:paraId="26A301A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nil"/>
              <w:left w:val="single" w:color="auto" w:sz="6" w:space="0"/>
              <w:bottom w:val="single" w:color="auto" w:sz="6" w:space="0"/>
              <w:right w:val="single" w:color="auto" w:sz="6" w:space="0"/>
            </w:tcBorders>
            <w:vAlign w:val="center"/>
          </w:tcPr>
          <w:p w14:paraId="6DFD663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nil"/>
              <w:left w:val="single" w:color="auto" w:sz="6" w:space="0"/>
              <w:bottom w:val="single" w:color="auto" w:sz="6" w:space="0"/>
              <w:right w:val="single" w:color="auto" w:sz="12" w:space="0"/>
            </w:tcBorders>
            <w:vAlign w:val="center"/>
          </w:tcPr>
          <w:p w14:paraId="6BD7A32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BE566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27DF623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6D82C52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31CE030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vAlign w:val="center"/>
          </w:tcPr>
          <w:p w14:paraId="06B111C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vAlign w:val="center"/>
          </w:tcPr>
          <w:p w14:paraId="0AB2B78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1860CA5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vAlign w:val="center"/>
          </w:tcPr>
          <w:p w14:paraId="3010B63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67B06D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vAlign w:val="center"/>
          </w:tcPr>
          <w:p w14:paraId="678334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2167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469305A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58AE9C1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785E386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vAlign w:val="center"/>
          </w:tcPr>
          <w:p w14:paraId="2CF1621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vAlign w:val="center"/>
          </w:tcPr>
          <w:p w14:paraId="70711DD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7FE5E94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vAlign w:val="center"/>
          </w:tcPr>
          <w:p w14:paraId="5D156F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671E8B9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vAlign w:val="center"/>
          </w:tcPr>
          <w:p w14:paraId="2E6ED3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B46E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5B36DB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40C1CB6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0197235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vAlign w:val="center"/>
          </w:tcPr>
          <w:p w14:paraId="306B2D9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vAlign w:val="center"/>
          </w:tcPr>
          <w:p w14:paraId="3396FAF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6E0A491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vAlign w:val="center"/>
          </w:tcPr>
          <w:p w14:paraId="7C05BE7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58E2B6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vAlign w:val="center"/>
          </w:tcPr>
          <w:p w14:paraId="6333642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25223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18C6DF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17FB664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510551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vAlign w:val="center"/>
          </w:tcPr>
          <w:p w14:paraId="7DA54C7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vAlign w:val="center"/>
          </w:tcPr>
          <w:p w14:paraId="147DD7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4AC7DB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vAlign w:val="center"/>
          </w:tcPr>
          <w:p w14:paraId="081844C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2A0D569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vAlign w:val="center"/>
          </w:tcPr>
          <w:p w14:paraId="36EE3A2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4CA79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530851C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14FAEB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27652E8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7B39F76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7990F53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4007FF6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503289B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2D2988E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7E697EF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30C3BD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vAlign w:val="center"/>
          </w:tcPr>
          <w:p w14:paraId="3468485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13DEB68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vAlign w:val="center"/>
          </w:tcPr>
          <w:p w14:paraId="1057D8C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vAlign w:val="center"/>
          </w:tcPr>
          <w:p w14:paraId="21DA50C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vAlign w:val="center"/>
          </w:tcPr>
          <w:p w14:paraId="0046BA6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46AAC0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vAlign w:val="center"/>
          </w:tcPr>
          <w:p w14:paraId="19FEB03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vAlign w:val="center"/>
          </w:tcPr>
          <w:p w14:paraId="1CDAE20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vAlign w:val="center"/>
          </w:tcPr>
          <w:p w14:paraId="6E9278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6AEA1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2291DE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2820B3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0E80A31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69B177F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30B25ED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7282257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5B9F8DB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0B9E959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2FDAEF9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34C51E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8C9C8F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1278BD7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4718A5B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7E15BF4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78E02DF5">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581CDFB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4D08CDD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5D0CFC4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2D26F1F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412DF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13ECE15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F68D7F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293F618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2AE397B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7CFBA6B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57E0427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1895F77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0A2CF0A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7F80761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28CFA5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4877E93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172079B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1357A8C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0AFDD60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15A5CDC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53FC0BA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4FF0164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392D360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49FEE5D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436A9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F7626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73E4D3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2241BE4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6A20440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7BE8FF50">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2E556A1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521D9DC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04028FB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4CBD605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2F686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7A966A6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E1BCDF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27A944C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122D634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05B46EA2">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7D47A99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514FEAC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4E10103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6D1AFE74">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75CCA8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25528C9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7FC15661">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1293D6B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4034B7B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484A6BD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32E5428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41A5F47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438DFDE5">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2E346A4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3C4E7B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6" w:space="0"/>
              <w:right w:val="single" w:color="auto" w:sz="6" w:space="0"/>
            </w:tcBorders>
          </w:tcPr>
          <w:p w14:paraId="325D045B">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1DAC88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6" w:space="0"/>
              <w:right w:val="single" w:color="auto" w:sz="6" w:space="0"/>
            </w:tcBorders>
          </w:tcPr>
          <w:p w14:paraId="2BA797F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6" w:space="0"/>
              <w:right w:val="single" w:color="auto" w:sz="6" w:space="0"/>
            </w:tcBorders>
          </w:tcPr>
          <w:p w14:paraId="38F269EC">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6" w:space="0"/>
              <w:right w:val="single" w:color="auto" w:sz="6" w:space="0"/>
            </w:tcBorders>
          </w:tcPr>
          <w:p w14:paraId="236BA10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3B7E932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6" w:space="0"/>
              <w:right w:val="single" w:color="auto" w:sz="6" w:space="0"/>
            </w:tcBorders>
          </w:tcPr>
          <w:p w14:paraId="0369431E">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6" w:space="0"/>
              <w:right w:val="single" w:color="auto" w:sz="6" w:space="0"/>
            </w:tcBorders>
          </w:tcPr>
          <w:p w14:paraId="2A5A8DB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6" w:space="0"/>
              <w:right w:val="single" w:color="auto" w:sz="12" w:space="0"/>
            </w:tcBorders>
          </w:tcPr>
          <w:p w14:paraId="51FF09E8">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r w14:paraId="5C7DA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single" w:color="auto" w:sz="6" w:space="0"/>
              <w:left w:val="single" w:color="auto" w:sz="12" w:space="0"/>
              <w:bottom w:val="single" w:color="auto" w:sz="12" w:space="0"/>
              <w:right w:val="single" w:color="auto" w:sz="6" w:space="0"/>
            </w:tcBorders>
          </w:tcPr>
          <w:p w14:paraId="7774B5EF">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12" w:space="0"/>
              <w:right w:val="single" w:color="auto" w:sz="6" w:space="0"/>
            </w:tcBorders>
          </w:tcPr>
          <w:p w14:paraId="52B19E8A">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50" w:type="dxa"/>
            <w:tcBorders>
              <w:top w:val="single" w:color="auto" w:sz="6" w:space="0"/>
              <w:left w:val="single" w:color="auto" w:sz="6" w:space="0"/>
              <w:bottom w:val="single" w:color="auto" w:sz="12" w:space="0"/>
              <w:right w:val="single" w:color="auto" w:sz="6" w:space="0"/>
            </w:tcBorders>
          </w:tcPr>
          <w:p w14:paraId="333D2DC6">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58" w:type="dxa"/>
            <w:tcBorders>
              <w:top w:val="single" w:color="auto" w:sz="6" w:space="0"/>
              <w:left w:val="single" w:color="auto" w:sz="6" w:space="0"/>
              <w:bottom w:val="single" w:color="auto" w:sz="12" w:space="0"/>
              <w:right w:val="single" w:color="auto" w:sz="6" w:space="0"/>
            </w:tcBorders>
          </w:tcPr>
          <w:p w14:paraId="7AF1E423">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880" w:type="dxa"/>
            <w:tcBorders>
              <w:top w:val="single" w:color="auto" w:sz="6" w:space="0"/>
              <w:left w:val="single" w:color="auto" w:sz="6" w:space="0"/>
              <w:bottom w:val="single" w:color="auto" w:sz="12" w:space="0"/>
              <w:right w:val="single" w:color="auto" w:sz="6" w:space="0"/>
            </w:tcBorders>
          </w:tcPr>
          <w:p w14:paraId="44F3F9A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12" w:space="0"/>
              <w:right w:val="single" w:color="auto" w:sz="6" w:space="0"/>
            </w:tcBorders>
          </w:tcPr>
          <w:p w14:paraId="2128403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480" w:type="dxa"/>
            <w:tcBorders>
              <w:top w:val="single" w:color="auto" w:sz="6" w:space="0"/>
              <w:left w:val="single" w:color="auto" w:sz="6" w:space="0"/>
              <w:bottom w:val="single" w:color="auto" w:sz="12" w:space="0"/>
              <w:right w:val="single" w:color="auto" w:sz="6" w:space="0"/>
            </w:tcBorders>
          </w:tcPr>
          <w:p w14:paraId="777F0309">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1020" w:type="dxa"/>
            <w:tcBorders>
              <w:top w:val="single" w:color="auto" w:sz="6" w:space="0"/>
              <w:left w:val="single" w:color="auto" w:sz="6" w:space="0"/>
              <w:bottom w:val="single" w:color="auto" w:sz="12" w:space="0"/>
              <w:right w:val="single" w:color="auto" w:sz="6" w:space="0"/>
            </w:tcBorders>
          </w:tcPr>
          <w:p w14:paraId="0332C45D">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c>
          <w:tcPr>
            <w:tcW w:w="921" w:type="dxa"/>
            <w:tcBorders>
              <w:top w:val="single" w:color="auto" w:sz="6" w:space="0"/>
              <w:left w:val="single" w:color="auto" w:sz="6" w:space="0"/>
              <w:bottom w:val="single" w:color="auto" w:sz="12" w:space="0"/>
              <w:right w:val="single" w:color="auto" w:sz="12" w:space="0"/>
            </w:tcBorders>
          </w:tcPr>
          <w:p w14:paraId="18655407">
            <w:pPr>
              <w:keepNext w:val="0"/>
              <w:keepLines w:val="0"/>
              <w:widowControl/>
              <w:suppressLineNumbers w:val="0"/>
              <w:spacing w:before="0" w:beforeAutospacing="0" w:after="0" w:afterAutospacing="0"/>
              <w:ind w:left="0" w:right="0"/>
              <w:rPr>
                <w:rFonts w:hint="eastAsia" w:asciiTheme="majorEastAsia" w:hAnsiTheme="majorEastAsia" w:eastAsiaTheme="majorEastAsia" w:cstheme="majorEastAsia"/>
                <w:color w:val="auto"/>
                <w:sz w:val="21"/>
                <w:szCs w:val="21"/>
                <w:highlight w:val="none"/>
                <w:lang w:bidi="ar"/>
              </w:rPr>
            </w:pPr>
          </w:p>
        </w:tc>
      </w:tr>
    </w:tbl>
    <w:p w14:paraId="7B0A572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57B9990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0A6D557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1E53C633">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07ED4EC8">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附</w:t>
      </w:r>
      <w:bookmarkStart w:id="1038" w:name="_Toc267261699"/>
      <w:bookmarkStart w:id="1039" w:name="_Toc296503228"/>
      <w:bookmarkStart w:id="1040" w:name="_Toc296347227"/>
      <w:bookmarkStart w:id="1041" w:name="_Toc296346729"/>
      <w:bookmarkStart w:id="1042" w:name="_Toc296891268"/>
      <w:bookmarkStart w:id="1043" w:name="_Toc296891056"/>
      <w:bookmarkStart w:id="1044" w:name="_Toc296944567"/>
      <w:r>
        <w:rPr>
          <w:rFonts w:hint="eastAsia" w:asciiTheme="majorEastAsia" w:hAnsiTheme="majorEastAsia" w:eastAsiaTheme="majorEastAsia" w:cstheme="majorEastAsia"/>
          <w:color w:val="auto"/>
          <w:sz w:val="21"/>
          <w:szCs w:val="21"/>
          <w:highlight w:val="none"/>
          <w:lang w:bidi="ar"/>
        </w:rPr>
        <w:t>件6：</w:t>
      </w:r>
    </w:p>
    <w:bookmarkEnd w:id="1038"/>
    <w:bookmarkEnd w:id="1039"/>
    <w:bookmarkEnd w:id="1040"/>
    <w:bookmarkEnd w:id="1041"/>
    <w:bookmarkEnd w:id="1042"/>
    <w:bookmarkEnd w:id="1043"/>
    <w:bookmarkEnd w:id="1044"/>
    <w:p w14:paraId="79AEA4DE">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承包人主要施工管理人员表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5"/>
        <w:gridCol w:w="1135"/>
        <w:gridCol w:w="4252"/>
      </w:tblGrid>
      <w:tr w14:paraId="455596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6C14E52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464CA6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姓名</w:t>
            </w:r>
          </w:p>
        </w:tc>
        <w:tc>
          <w:tcPr>
            <w:tcW w:w="1135" w:type="dxa"/>
            <w:tcBorders>
              <w:top w:val="single" w:color="auto" w:sz="12" w:space="0"/>
              <w:left w:val="single" w:color="auto" w:sz="6" w:space="0"/>
              <w:bottom w:val="double" w:color="auto" w:sz="6" w:space="0"/>
              <w:right w:val="single" w:color="auto" w:sz="6" w:space="0"/>
            </w:tcBorders>
            <w:vAlign w:val="center"/>
          </w:tcPr>
          <w:p w14:paraId="2F38F4F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职务</w:t>
            </w:r>
          </w:p>
        </w:tc>
        <w:tc>
          <w:tcPr>
            <w:tcW w:w="1135" w:type="dxa"/>
            <w:tcBorders>
              <w:top w:val="single" w:color="auto" w:sz="12" w:space="0"/>
              <w:left w:val="single" w:color="auto" w:sz="6" w:space="0"/>
              <w:bottom w:val="double" w:color="auto" w:sz="6" w:space="0"/>
              <w:right w:val="single" w:color="auto" w:sz="6" w:space="0"/>
            </w:tcBorders>
            <w:vAlign w:val="center"/>
          </w:tcPr>
          <w:p w14:paraId="5148628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1FE32FB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主要资历、经验及承担过的项目</w:t>
            </w:r>
          </w:p>
        </w:tc>
      </w:tr>
      <w:tr w14:paraId="60871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11" w:type="dxa"/>
            <w:gridSpan w:val="5"/>
            <w:tcBorders>
              <w:top w:val="double" w:color="auto" w:sz="6" w:space="0"/>
              <w:left w:val="single" w:color="auto" w:sz="12" w:space="0"/>
              <w:bottom w:val="single" w:color="auto" w:sz="6" w:space="0"/>
              <w:right w:val="single" w:color="auto" w:sz="12" w:space="0"/>
            </w:tcBorders>
            <w:vAlign w:val="center"/>
          </w:tcPr>
          <w:p w14:paraId="6B27CE9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一、总部人员</w:t>
            </w:r>
          </w:p>
        </w:tc>
      </w:tr>
      <w:tr w14:paraId="09A3C6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51AD5E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项目主管</w:t>
            </w:r>
          </w:p>
        </w:tc>
        <w:tc>
          <w:tcPr>
            <w:tcW w:w="1418" w:type="dxa"/>
            <w:tcBorders>
              <w:top w:val="nil"/>
              <w:left w:val="single" w:color="auto" w:sz="6" w:space="0"/>
              <w:bottom w:val="single" w:color="auto" w:sz="6" w:space="0"/>
              <w:right w:val="single" w:color="auto" w:sz="6" w:space="0"/>
            </w:tcBorders>
            <w:vAlign w:val="center"/>
          </w:tcPr>
          <w:p w14:paraId="048BCF3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nil"/>
              <w:left w:val="single" w:color="auto" w:sz="6" w:space="0"/>
              <w:bottom w:val="single" w:color="auto" w:sz="6" w:space="0"/>
              <w:right w:val="single" w:color="auto" w:sz="6" w:space="0"/>
            </w:tcBorders>
            <w:vAlign w:val="center"/>
          </w:tcPr>
          <w:p w14:paraId="58FCC39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nil"/>
              <w:left w:val="single" w:color="auto" w:sz="6" w:space="0"/>
              <w:bottom w:val="single" w:color="auto" w:sz="6" w:space="0"/>
              <w:right w:val="single" w:color="auto" w:sz="6" w:space="0"/>
            </w:tcBorders>
            <w:vAlign w:val="center"/>
          </w:tcPr>
          <w:p w14:paraId="5C1E481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nil"/>
              <w:left w:val="single" w:color="auto" w:sz="6" w:space="0"/>
              <w:bottom w:val="single" w:color="auto" w:sz="6" w:space="0"/>
              <w:right w:val="single" w:color="auto" w:sz="12" w:space="0"/>
            </w:tcBorders>
            <w:vAlign w:val="center"/>
          </w:tcPr>
          <w:p w14:paraId="7FCC48B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7B7E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6A97FFD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FEDF4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A4F0FE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35A83D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347DF7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6121D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9DDE0D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7DE3240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FDBC4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EFA418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1955AB5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E54CA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4F6A63B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7BADF12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86793E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76F29C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5E61D2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A9D5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11" w:type="dxa"/>
            <w:gridSpan w:val="5"/>
            <w:tcBorders>
              <w:top w:val="single" w:color="auto" w:sz="6" w:space="0"/>
              <w:left w:val="single" w:color="auto" w:sz="12" w:space="0"/>
              <w:bottom w:val="single" w:color="auto" w:sz="6" w:space="0"/>
              <w:right w:val="single" w:color="auto" w:sz="12" w:space="0"/>
            </w:tcBorders>
            <w:vAlign w:val="center"/>
          </w:tcPr>
          <w:p w14:paraId="4F48618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二、现场人员</w:t>
            </w:r>
          </w:p>
        </w:tc>
      </w:tr>
      <w:tr w14:paraId="2E7EA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E0424B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06F9696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DDC69E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076FAD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3A896D5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4E56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6F07846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5176890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2362A8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F9BBDF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3EC0C5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CD2E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06B739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6FC4357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7B7B44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A925B8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334C7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2798F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1451BC1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63EE044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8B65F7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C8BC95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336DC68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CF5EF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3BA397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B48033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1AEEAB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F3E290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3C3276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BB2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90458E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1C63082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69B88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C6D699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B95D46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EF90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B0B701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16D591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551C0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60330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049C3D9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81A2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5C414A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66891AA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9F7B0B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FF6148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06AEC6D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2369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50954D7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42CCF87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C4335E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83376A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8FDD84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5E609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19FA8B0A">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22584A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nil"/>
              <w:right w:val="single" w:color="auto" w:sz="6" w:space="0"/>
            </w:tcBorders>
            <w:vAlign w:val="center"/>
          </w:tcPr>
          <w:p w14:paraId="4C04A83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nil"/>
              <w:right w:val="single" w:color="auto" w:sz="6" w:space="0"/>
            </w:tcBorders>
            <w:vAlign w:val="center"/>
          </w:tcPr>
          <w:p w14:paraId="0FC574D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nil"/>
              <w:right w:val="single" w:color="auto" w:sz="12" w:space="0"/>
            </w:tcBorders>
            <w:vAlign w:val="center"/>
          </w:tcPr>
          <w:p w14:paraId="1FFA448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44DF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70DEC5C5">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12C3D5F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6EA3C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A7C0E4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86F7D0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01200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4E6411E9">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3412F4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7BA18F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15382C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0848E9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56C06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3E2F0A0F">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36A7787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2C92DD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0F571D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7AFA0A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745FD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48BED4DE">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76EA8BF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12" w:space="0"/>
              <w:right w:val="single" w:color="auto" w:sz="6" w:space="0"/>
            </w:tcBorders>
            <w:vAlign w:val="center"/>
          </w:tcPr>
          <w:p w14:paraId="7DCEA3A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12" w:space="0"/>
              <w:right w:val="single" w:color="auto" w:sz="6" w:space="0"/>
            </w:tcBorders>
            <w:vAlign w:val="center"/>
          </w:tcPr>
          <w:p w14:paraId="7F3086C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12" w:space="0"/>
              <w:right w:val="single" w:color="auto" w:sz="12" w:space="0"/>
            </w:tcBorders>
            <w:vAlign w:val="center"/>
          </w:tcPr>
          <w:p w14:paraId="42AB5EB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bl>
    <w:p w14:paraId="18A100A4">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br w:type="page"/>
      </w:r>
      <w:r>
        <w:rPr>
          <w:rFonts w:hint="eastAsia" w:asciiTheme="majorEastAsia" w:hAnsiTheme="majorEastAsia" w:eastAsiaTheme="majorEastAsia" w:cstheme="majorEastAsia"/>
          <w:color w:val="auto"/>
          <w:sz w:val="21"/>
          <w:szCs w:val="21"/>
          <w:highlight w:val="none"/>
          <w:lang w:bidi="ar"/>
        </w:rPr>
        <w:t>附</w:t>
      </w:r>
      <w:bookmarkStart w:id="1045" w:name="_Toc296891269"/>
      <w:bookmarkStart w:id="1046" w:name="_Toc296346730"/>
      <w:bookmarkStart w:id="1047" w:name="_Toc296503229"/>
      <w:bookmarkStart w:id="1048" w:name="_Toc296347228"/>
      <w:bookmarkStart w:id="1049" w:name="_Toc296891057"/>
      <w:bookmarkStart w:id="1050" w:name="_Toc296944568"/>
      <w:r>
        <w:rPr>
          <w:rFonts w:hint="eastAsia" w:asciiTheme="majorEastAsia" w:hAnsiTheme="majorEastAsia" w:eastAsiaTheme="majorEastAsia" w:cstheme="majorEastAsia"/>
          <w:color w:val="auto"/>
          <w:sz w:val="21"/>
          <w:szCs w:val="21"/>
          <w:highlight w:val="none"/>
          <w:lang w:bidi="ar"/>
        </w:rPr>
        <w:t>件7：</w:t>
      </w:r>
    </w:p>
    <w:bookmarkEnd w:id="1045"/>
    <w:bookmarkEnd w:id="1046"/>
    <w:bookmarkEnd w:id="1047"/>
    <w:bookmarkEnd w:id="1048"/>
    <w:bookmarkEnd w:id="1049"/>
    <w:bookmarkEnd w:id="1050"/>
    <w:p w14:paraId="1E62D3EA">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分包人主要施工管理人员表</w:t>
      </w:r>
    </w:p>
    <w:tbl>
      <w:tblPr>
        <w:tblStyle w:val="2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5"/>
        <w:gridCol w:w="1135"/>
        <w:gridCol w:w="4252"/>
      </w:tblGrid>
      <w:tr w14:paraId="7A5BC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left w:val="single" w:color="auto" w:sz="12" w:space="0"/>
              <w:bottom w:val="double" w:color="auto" w:sz="6" w:space="0"/>
              <w:right w:val="single" w:color="auto" w:sz="6" w:space="0"/>
            </w:tcBorders>
            <w:vAlign w:val="center"/>
          </w:tcPr>
          <w:p w14:paraId="2F65AC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名    称</w:t>
            </w:r>
          </w:p>
        </w:tc>
        <w:tc>
          <w:tcPr>
            <w:tcW w:w="1418" w:type="dxa"/>
            <w:tcBorders>
              <w:top w:val="single" w:color="auto" w:sz="12" w:space="0"/>
              <w:left w:val="single" w:color="auto" w:sz="6" w:space="0"/>
              <w:bottom w:val="double" w:color="auto" w:sz="6" w:space="0"/>
              <w:right w:val="single" w:color="auto" w:sz="6" w:space="0"/>
            </w:tcBorders>
            <w:vAlign w:val="center"/>
          </w:tcPr>
          <w:p w14:paraId="0DEFB97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姓名</w:t>
            </w:r>
          </w:p>
        </w:tc>
        <w:tc>
          <w:tcPr>
            <w:tcW w:w="1135" w:type="dxa"/>
            <w:tcBorders>
              <w:top w:val="single" w:color="auto" w:sz="12" w:space="0"/>
              <w:left w:val="single" w:color="auto" w:sz="6" w:space="0"/>
              <w:bottom w:val="double" w:color="auto" w:sz="6" w:space="0"/>
              <w:right w:val="single" w:color="auto" w:sz="6" w:space="0"/>
            </w:tcBorders>
            <w:vAlign w:val="center"/>
          </w:tcPr>
          <w:p w14:paraId="0CE625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职务</w:t>
            </w:r>
          </w:p>
        </w:tc>
        <w:tc>
          <w:tcPr>
            <w:tcW w:w="1135" w:type="dxa"/>
            <w:tcBorders>
              <w:top w:val="single" w:color="auto" w:sz="12" w:space="0"/>
              <w:left w:val="single" w:color="auto" w:sz="6" w:space="0"/>
              <w:bottom w:val="double" w:color="auto" w:sz="6" w:space="0"/>
              <w:right w:val="single" w:color="auto" w:sz="6" w:space="0"/>
            </w:tcBorders>
            <w:vAlign w:val="center"/>
          </w:tcPr>
          <w:p w14:paraId="310DECB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职称</w:t>
            </w:r>
          </w:p>
        </w:tc>
        <w:tc>
          <w:tcPr>
            <w:tcW w:w="4252" w:type="dxa"/>
            <w:tcBorders>
              <w:top w:val="single" w:color="auto" w:sz="12" w:space="0"/>
              <w:left w:val="single" w:color="auto" w:sz="6" w:space="0"/>
              <w:bottom w:val="double" w:color="auto" w:sz="6" w:space="0"/>
              <w:right w:val="single" w:color="auto" w:sz="12" w:space="0"/>
            </w:tcBorders>
            <w:vAlign w:val="center"/>
          </w:tcPr>
          <w:p w14:paraId="5E6E40E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主要资历、经验及承担过的项目</w:t>
            </w:r>
          </w:p>
        </w:tc>
      </w:tr>
      <w:tr w14:paraId="7E40D5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11" w:type="dxa"/>
            <w:gridSpan w:val="5"/>
            <w:tcBorders>
              <w:top w:val="double" w:color="auto" w:sz="6" w:space="0"/>
              <w:left w:val="single" w:color="auto" w:sz="12" w:space="0"/>
              <w:bottom w:val="single" w:color="auto" w:sz="6" w:space="0"/>
              <w:right w:val="single" w:color="auto" w:sz="12" w:space="0"/>
            </w:tcBorders>
            <w:vAlign w:val="center"/>
          </w:tcPr>
          <w:p w14:paraId="1ED630E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一、总部人员</w:t>
            </w:r>
          </w:p>
        </w:tc>
      </w:tr>
      <w:tr w14:paraId="322B42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1AC701B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项目主管</w:t>
            </w:r>
          </w:p>
        </w:tc>
        <w:tc>
          <w:tcPr>
            <w:tcW w:w="1418" w:type="dxa"/>
            <w:tcBorders>
              <w:top w:val="nil"/>
              <w:left w:val="single" w:color="auto" w:sz="6" w:space="0"/>
              <w:bottom w:val="single" w:color="auto" w:sz="6" w:space="0"/>
              <w:right w:val="single" w:color="auto" w:sz="6" w:space="0"/>
            </w:tcBorders>
            <w:vAlign w:val="center"/>
          </w:tcPr>
          <w:p w14:paraId="53C891E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nil"/>
              <w:left w:val="single" w:color="auto" w:sz="6" w:space="0"/>
              <w:bottom w:val="single" w:color="auto" w:sz="6" w:space="0"/>
              <w:right w:val="single" w:color="auto" w:sz="6" w:space="0"/>
            </w:tcBorders>
            <w:vAlign w:val="center"/>
          </w:tcPr>
          <w:p w14:paraId="02AFD82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nil"/>
              <w:left w:val="single" w:color="auto" w:sz="6" w:space="0"/>
              <w:bottom w:val="single" w:color="auto" w:sz="6" w:space="0"/>
              <w:right w:val="single" w:color="auto" w:sz="6" w:space="0"/>
            </w:tcBorders>
            <w:vAlign w:val="center"/>
          </w:tcPr>
          <w:p w14:paraId="11ECA8C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nil"/>
              <w:left w:val="single" w:color="auto" w:sz="6" w:space="0"/>
              <w:bottom w:val="single" w:color="auto" w:sz="6" w:space="0"/>
              <w:right w:val="single" w:color="auto" w:sz="12" w:space="0"/>
            </w:tcBorders>
            <w:vAlign w:val="center"/>
          </w:tcPr>
          <w:p w14:paraId="04889AE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64A4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nil"/>
              <w:right w:val="single" w:color="auto" w:sz="6" w:space="0"/>
            </w:tcBorders>
            <w:vAlign w:val="center"/>
          </w:tcPr>
          <w:p w14:paraId="01476F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318DECE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28EA65C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C256A8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11E1972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067CA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74AAF73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2285F18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2D70AC8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A98A03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4A32C1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017F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left w:val="single" w:color="auto" w:sz="12" w:space="0"/>
              <w:bottom w:val="nil"/>
              <w:right w:val="single" w:color="auto" w:sz="6" w:space="0"/>
            </w:tcBorders>
            <w:vAlign w:val="center"/>
          </w:tcPr>
          <w:p w14:paraId="37AE7A0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vAlign w:val="center"/>
          </w:tcPr>
          <w:p w14:paraId="3D08788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74103D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312F36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2560CB1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D687A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11" w:type="dxa"/>
            <w:gridSpan w:val="5"/>
            <w:tcBorders>
              <w:top w:val="single" w:color="auto" w:sz="6" w:space="0"/>
              <w:left w:val="single" w:color="auto" w:sz="12" w:space="0"/>
              <w:bottom w:val="single" w:color="auto" w:sz="6" w:space="0"/>
              <w:right w:val="single" w:color="auto" w:sz="12" w:space="0"/>
            </w:tcBorders>
            <w:vAlign w:val="center"/>
          </w:tcPr>
          <w:p w14:paraId="3186E55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二、现场人员</w:t>
            </w:r>
          </w:p>
        </w:tc>
      </w:tr>
      <w:tr w14:paraId="1C830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D1475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项目经理</w:t>
            </w:r>
          </w:p>
        </w:tc>
        <w:tc>
          <w:tcPr>
            <w:tcW w:w="1418" w:type="dxa"/>
            <w:tcBorders>
              <w:top w:val="single" w:color="auto" w:sz="6" w:space="0"/>
              <w:left w:val="single" w:color="auto" w:sz="6" w:space="0"/>
              <w:bottom w:val="single" w:color="auto" w:sz="6" w:space="0"/>
              <w:right w:val="single" w:color="auto" w:sz="6" w:space="0"/>
            </w:tcBorders>
            <w:vAlign w:val="center"/>
          </w:tcPr>
          <w:p w14:paraId="3351CE5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3FD3D3A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F6AECB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C2F3B9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E910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3522D5D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项目副经理</w:t>
            </w:r>
          </w:p>
        </w:tc>
        <w:tc>
          <w:tcPr>
            <w:tcW w:w="1418" w:type="dxa"/>
            <w:tcBorders>
              <w:top w:val="single" w:color="auto" w:sz="6" w:space="0"/>
              <w:left w:val="single" w:color="auto" w:sz="6" w:space="0"/>
              <w:bottom w:val="single" w:color="auto" w:sz="6" w:space="0"/>
              <w:right w:val="single" w:color="auto" w:sz="6" w:space="0"/>
            </w:tcBorders>
            <w:vAlign w:val="center"/>
          </w:tcPr>
          <w:p w14:paraId="2B6BB9F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2FCCB6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81D7AE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2272C0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B4DF5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05FF19A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技术负责人</w:t>
            </w:r>
          </w:p>
        </w:tc>
        <w:tc>
          <w:tcPr>
            <w:tcW w:w="1418" w:type="dxa"/>
            <w:tcBorders>
              <w:top w:val="single" w:color="auto" w:sz="6" w:space="0"/>
              <w:left w:val="single" w:color="auto" w:sz="6" w:space="0"/>
              <w:bottom w:val="single" w:color="auto" w:sz="6" w:space="0"/>
              <w:right w:val="single" w:color="auto" w:sz="6" w:space="0"/>
            </w:tcBorders>
            <w:vAlign w:val="center"/>
          </w:tcPr>
          <w:p w14:paraId="53B0046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671422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7CEE7E7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E5E6EA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99F66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5EF4E9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造价管理</w:t>
            </w:r>
          </w:p>
        </w:tc>
        <w:tc>
          <w:tcPr>
            <w:tcW w:w="1418" w:type="dxa"/>
            <w:tcBorders>
              <w:top w:val="single" w:color="auto" w:sz="6" w:space="0"/>
              <w:left w:val="single" w:color="auto" w:sz="6" w:space="0"/>
              <w:bottom w:val="single" w:color="auto" w:sz="6" w:space="0"/>
              <w:right w:val="single" w:color="auto" w:sz="6" w:space="0"/>
            </w:tcBorders>
            <w:vAlign w:val="center"/>
          </w:tcPr>
          <w:p w14:paraId="781B037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9ABF36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D5EA7D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59A6CAB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05908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E42FB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质量管理</w:t>
            </w:r>
          </w:p>
        </w:tc>
        <w:tc>
          <w:tcPr>
            <w:tcW w:w="1418" w:type="dxa"/>
            <w:tcBorders>
              <w:top w:val="single" w:color="auto" w:sz="6" w:space="0"/>
              <w:left w:val="single" w:color="auto" w:sz="6" w:space="0"/>
              <w:bottom w:val="single" w:color="auto" w:sz="6" w:space="0"/>
              <w:right w:val="single" w:color="auto" w:sz="6" w:space="0"/>
            </w:tcBorders>
            <w:vAlign w:val="center"/>
          </w:tcPr>
          <w:p w14:paraId="29122B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D16ABF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4EC45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3BE78FA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9075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7C312D1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材料管理</w:t>
            </w:r>
          </w:p>
        </w:tc>
        <w:tc>
          <w:tcPr>
            <w:tcW w:w="1418" w:type="dxa"/>
            <w:tcBorders>
              <w:top w:val="single" w:color="auto" w:sz="6" w:space="0"/>
              <w:left w:val="single" w:color="auto" w:sz="6" w:space="0"/>
              <w:bottom w:val="single" w:color="auto" w:sz="6" w:space="0"/>
              <w:right w:val="single" w:color="auto" w:sz="6" w:space="0"/>
            </w:tcBorders>
            <w:vAlign w:val="center"/>
          </w:tcPr>
          <w:p w14:paraId="6FB924D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D074E7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3B64FBB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DE085D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59C87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5F76998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计划管理</w:t>
            </w:r>
          </w:p>
        </w:tc>
        <w:tc>
          <w:tcPr>
            <w:tcW w:w="1418" w:type="dxa"/>
            <w:tcBorders>
              <w:top w:val="single" w:color="auto" w:sz="6" w:space="0"/>
              <w:left w:val="single" w:color="auto" w:sz="6" w:space="0"/>
              <w:bottom w:val="single" w:color="auto" w:sz="6" w:space="0"/>
              <w:right w:val="single" w:color="auto" w:sz="6" w:space="0"/>
            </w:tcBorders>
            <w:vAlign w:val="center"/>
          </w:tcPr>
          <w:p w14:paraId="19050F1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C391E9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2178B25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466F09A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98FD0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left w:val="single" w:color="auto" w:sz="12" w:space="0"/>
              <w:bottom w:val="single" w:color="auto" w:sz="6" w:space="0"/>
              <w:right w:val="single" w:color="auto" w:sz="6" w:space="0"/>
            </w:tcBorders>
            <w:vAlign w:val="center"/>
          </w:tcPr>
          <w:p w14:paraId="4B0FD3D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安全管理</w:t>
            </w:r>
          </w:p>
        </w:tc>
        <w:tc>
          <w:tcPr>
            <w:tcW w:w="1418" w:type="dxa"/>
            <w:tcBorders>
              <w:top w:val="single" w:color="auto" w:sz="6" w:space="0"/>
              <w:left w:val="single" w:color="auto" w:sz="6" w:space="0"/>
              <w:bottom w:val="single" w:color="auto" w:sz="6" w:space="0"/>
              <w:right w:val="single" w:color="auto" w:sz="6" w:space="0"/>
            </w:tcBorders>
            <w:vAlign w:val="center"/>
          </w:tcPr>
          <w:p w14:paraId="449E41D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0FEB1DE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DC2930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5833183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C9F4E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left w:val="single" w:color="auto" w:sz="12" w:space="0"/>
              <w:bottom w:val="single" w:color="auto" w:sz="12" w:space="0"/>
              <w:right w:val="single" w:color="auto" w:sz="6" w:space="0"/>
            </w:tcBorders>
            <w:vAlign w:val="center"/>
          </w:tcPr>
          <w:p w14:paraId="20CEB67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其他人员</w:t>
            </w:r>
          </w:p>
        </w:tc>
        <w:tc>
          <w:tcPr>
            <w:tcW w:w="1418" w:type="dxa"/>
            <w:tcBorders>
              <w:top w:val="single" w:color="auto" w:sz="6" w:space="0"/>
              <w:left w:val="single" w:color="auto" w:sz="6" w:space="0"/>
              <w:bottom w:val="single" w:color="auto" w:sz="6" w:space="0"/>
              <w:right w:val="single" w:color="auto" w:sz="6" w:space="0"/>
            </w:tcBorders>
            <w:vAlign w:val="center"/>
          </w:tcPr>
          <w:p w14:paraId="580A8A1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3705D7A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166309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FA9612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D50AE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6BD5128C">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nil"/>
              <w:right w:val="single" w:color="auto" w:sz="6" w:space="0"/>
            </w:tcBorders>
            <w:vAlign w:val="center"/>
          </w:tcPr>
          <w:p w14:paraId="2A7D2D4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nil"/>
              <w:right w:val="single" w:color="auto" w:sz="6" w:space="0"/>
            </w:tcBorders>
            <w:vAlign w:val="center"/>
          </w:tcPr>
          <w:p w14:paraId="56A61D1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nil"/>
              <w:right w:val="single" w:color="auto" w:sz="6" w:space="0"/>
            </w:tcBorders>
            <w:vAlign w:val="center"/>
          </w:tcPr>
          <w:p w14:paraId="7F7EC1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nil"/>
              <w:right w:val="single" w:color="auto" w:sz="12" w:space="0"/>
            </w:tcBorders>
            <w:vAlign w:val="center"/>
          </w:tcPr>
          <w:p w14:paraId="4366AF2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137C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0A78259E">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50F1EC7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630073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55F7BEA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A2074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37D48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007CF619">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C717DF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69AC5B1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45B6709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6453E96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01B56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4F8709D8">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14:paraId="64655F7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39B3754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6" w:space="0"/>
              <w:right w:val="single" w:color="auto" w:sz="6" w:space="0"/>
            </w:tcBorders>
            <w:vAlign w:val="center"/>
          </w:tcPr>
          <w:p w14:paraId="110F5D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6" w:space="0"/>
              <w:right w:val="single" w:color="auto" w:sz="12" w:space="0"/>
            </w:tcBorders>
            <w:vAlign w:val="center"/>
          </w:tcPr>
          <w:p w14:paraId="5E91C36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8F86E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0" w:type="dxa"/>
            <w:vMerge w:val="continue"/>
            <w:tcBorders>
              <w:top w:val="single" w:color="auto" w:sz="6" w:space="0"/>
              <w:left w:val="single" w:color="auto" w:sz="12" w:space="0"/>
              <w:bottom w:val="single" w:color="auto" w:sz="12" w:space="0"/>
              <w:right w:val="single" w:color="auto" w:sz="6" w:space="0"/>
            </w:tcBorders>
            <w:vAlign w:val="center"/>
          </w:tcPr>
          <w:p w14:paraId="255933AA">
            <w:pPr>
              <w:rPr>
                <w:rFonts w:hint="eastAsia" w:asciiTheme="majorEastAsia" w:hAnsiTheme="majorEastAsia" w:eastAsiaTheme="majorEastAsia" w:cstheme="majorEastAsia"/>
                <w:color w:val="auto"/>
                <w:sz w:val="21"/>
                <w:szCs w:val="21"/>
                <w:highlight w:val="none"/>
              </w:rPr>
            </w:pPr>
          </w:p>
        </w:tc>
        <w:tc>
          <w:tcPr>
            <w:tcW w:w="1418" w:type="dxa"/>
            <w:tcBorders>
              <w:top w:val="single" w:color="auto" w:sz="6" w:space="0"/>
              <w:left w:val="single" w:color="auto" w:sz="6" w:space="0"/>
              <w:bottom w:val="single" w:color="auto" w:sz="12" w:space="0"/>
              <w:right w:val="single" w:color="auto" w:sz="6" w:space="0"/>
            </w:tcBorders>
            <w:vAlign w:val="center"/>
          </w:tcPr>
          <w:p w14:paraId="0E1922A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12" w:space="0"/>
              <w:right w:val="single" w:color="auto" w:sz="6" w:space="0"/>
            </w:tcBorders>
            <w:vAlign w:val="center"/>
          </w:tcPr>
          <w:p w14:paraId="5BFB3D0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135" w:type="dxa"/>
            <w:tcBorders>
              <w:top w:val="single" w:color="auto" w:sz="6" w:space="0"/>
              <w:left w:val="single" w:color="auto" w:sz="6" w:space="0"/>
              <w:bottom w:val="single" w:color="auto" w:sz="12" w:space="0"/>
              <w:right w:val="single" w:color="auto" w:sz="6" w:space="0"/>
            </w:tcBorders>
            <w:vAlign w:val="center"/>
          </w:tcPr>
          <w:p w14:paraId="0679BED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252" w:type="dxa"/>
            <w:tcBorders>
              <w:top w:val="single" w:color="auto" w:sz="6" w:space="0"/>
              <w:left w:val="single" w:color="auto" w:sz="6" w:space="0"/>
              <w:bottom w:val="single" w:color="auto" w:sz="12" w:space="0"/>
              <w:right w:val="single" w:color="auto" w:sz="12" w:space="0"/>
            </w:tcBorders>
            <w:vAlign w:val="center"/>
          </w:tcPr>
          <w:p w14:paraId="15882A1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bl>
    <w:p w14:paraId="296B5EDB">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br w:type="page"/>
      </w:r>
      <w:bookmarkStart w:id="1051" w:name="_Toc267261701"/>
      <w:r>
        <w:rPr>
          <w:rFonts w:hint="eastAsia" w:asciiTheme="majorEastAsia" w:hAnsiTheme="majorEastAsia" w:eastAsiaTheme="majorEastAsia" w:cstheme="majorEastAsia"/>
          <w:color w:val="auto"/>
          <w:sz w:val="21"/>
          <w:szCs w:val="21"/>
          <w:highlight w:val="none"/>
          <w:lang w:bidi="ar"/>
        </w:rPr>
        <w:t>附</w:t>
      </w:r>
      <w:bookmarkStart w:id="1052" w:name="_Toc296503231"/>
      <w:bookmarkStart w:id="1053" w:name="_Toc296346732"/>
      <w:bookmarkStart w:id="1054" w:name="_Toc296944570"/>
      <w:bookmarkStart w:id="1055" w:name="_Toc296347230"/>
      <w:bookmarkStart w:id="1056" w:name="_Toc296891271"/>
      <w:bookmarkStart w:id="1057" w:name="_Toc296891059"/>
      <w:r>
        <w:rPr>
          <w:rFonts w:hint="eastAsia" w:asciiTheme="majorEastAsia" w:hAnsiTheme="majorEastAsia" w:eastAsiaTheme="majorEastAsia" w:cstheme="majorEastAsia"/>
          <w:color w:val="auto"/>
          <w:sz w:val="21"/>
          <w:szCs w:val="21"/>
          <w:highlight w:val="none"/>
          <w:lang w:bidi="ar"/>
        </w:rPr>
        <w:t>件8：</w:t>
      </w:r>
    </w:p>
    <w:bookmarkEnd w:id="1051"/>
    <w:bookmarkEnd w:id="1052"/>
    <w:bookmarkEnd w:id="1053"/>
    <w:bookmarkEnd w:id="1054"/>
    <w:bookmarkEnd w:id="1055"/>
    <w:bookmarkEnd w:id="1056"/>
    <w:bookmarkEnd w:id="1057"/>
    <w:p w14:paraId="5497442D">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履约担保</w:t>
      </w:r>
    </w:p>
    <w:p w14:paraId="0C6A729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lang w:bidi="ar"/>
        </w:rPr>
        <w:t>（发包人名称）：</w:t>
      </w:r>
    </w:p>
    <w:p w14:paraId="2DC5E2DF">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365825B8">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鉴于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（发包人名称，以下简称“发包人”）与</w:t>
      </w:r>
    </w:p>
    <w:p w14:paraId="0FDAC3B7">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（承包人名称）（以下称“承包人”）于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日就</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（工程名称）施工及有关事项协商一致共同签订《建设工程施工合同》。我方愿意无条件地、不可撤销地就承包人履行与你方签订的合同，向你方提供连带责任担保。 </w:t>
      </w:r>
    </w:p>
    <w:p w14:paraId="18F052FA">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担保金额人民币（大写）</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元（¥</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w:t>
      </w:r>
    </w:p>
    <w:p w14:paraId="0F7ADCAD">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担保有效期自你方与承包人签订的合同生效之日起至你方签发或应签发工程接收证书之日止。</w:t>
      </w:r>
    </w:p>
    <w:p w14:paraId="5365919F">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在本担保有效期内，因承包人违反合同约定的义务给你方造成经济损失时，我方在收到你方以书面形式提出的在担保金额内的赔偿要求后，在7天内无条件支付。</w:t>
      </w:r>
    </w:p>
    <w:p w14:paraId="32D00A37">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 你方和承包人按合同约定变更合同时，我方承担本担保规定的义务不变。</w:t>
      </w:r>
    </w:p>
    <w:p w14:paraId="61211A9E">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5. 因本保函发生的纠纷，可由双方协商解决，协商不成的，任何一方均可提请</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仲裁委员会仲裁。</w:t>
      </w:r>
    </w:p>
    <w:p w14:paraId="1F747B09">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6. 本保函自我方法定代表人（或其授权代理人）签字并加盖公章之日起生效。</w:t>
      </w:r>
    </w:p>
    <w:p w14:paraId="51E33A38">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p>
    <w:p w14:paraId="335E5DB6">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担 保 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（盖单位章）</w:t>
      </w:r>
    </w:p>
    <w:p w14:paraId="5D35E4C9">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法定代表人或其委托代理人：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（签字）</w:t>
      </w:r>
    </w:p>
    <w:p w14:paraId="49C7376E">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地    址：</w:t>
      </w:r>
      <w:r>
        <w:rPr>
          <w:rFonts w:hint="eastAsia" w:asciiTheme="majorEastAsia" w:hAnsiTheme="majorEastAsia" w:eastAsiaTheme="majorEastAsia" w:cstheme="majorEastAsia"/>
          <w:color w:val="auto"/>
          <w:sz w:val="21"/>
          <w:szCs w:val="21"/>
          <w:highlight w:val="none"/>
          <w:u w:val="single"/>
          <w:lang w:bidi="ar"/>
        </w:rPr>
        <w:t xml:space="preserve">                                      </w:t>
      </w:r>
    </w:p>
    <w:p w14:paraId="201B968D">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邮政编码：</w:t>
      </w:r>
      <w:r>
        <w:rPr>
          <w:rFonts w:hint="eastAsia" w:asciiTheme="majorEastAsia" w:hAnsiTheme="majorEastAsia" w:eastAsiaTheme="majorEastAsia" w:cstheme="majorEastAsia"/>
          <w:color w:val="auto"/>
          <w:sz w:val="21"/>
          <w:szCs w:val="21"/>
          <w:highlight w:val="none"/>
          <w:u w:val="single"/>
          <w:lang w:bidi="ar"/>
        </w:rPr>
        <w:t xml:space="preserve">                                      </w:t>
      </w:r>
    </w:p>
    <w:p w14:paraId="2F780E41">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u w:val="single"/>
          <w:lang w:bidi="ar"/>
        </w:rPr>
      </w:pPr>
      <w:r>
        <w:rPr>
          <w:rFonts w:hint="eastAsia" w:asciiTheme="majorEastAsia" w:hAnsiTheme="majorEastAsia" w:eastAsiaTheme="majorEastAsia" w:cstheme="majorEastAsia"/>
          <w:color w:val="auto"/>
          <w:sz w:val="21"/>
          <w:szCs w:val="21"/>
          <w:highlight w:val="none"/>
          <w:lang w:bidi="ar"/>
        </w:rPr>
        <w:t>电    话：</w:t>
      </w:r>
      <w:r>
        <w:rPr>
          <w:rFonts w:hint="eastAsia" w:asciiTheme="majorEastAsia" w:hAnsiTheme="majorEastAsia" w:eastAsiaTheme="majorEastAsia" w:cstheme="majorEastAsia"/>
          <w:color w:val="auto"/>
          <w:sz w:val="21"/>
          <w:szCs w:val="21"/>
          <w:highlight w:val="none"/>
          <w:u w:val="single"/>
          <w:lang w:bidi="ar"/>
        </w:rPr>
        <w:t xml:space="preserve">                                      </w:t>
      </w:r>
    </w:p>
    <w:p w14:paraId="153112C8">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传    真：</w:t>
      </w:r>
      <w:r>
        <w:rPr>
          <w:rFonts w:hint="eastAsia" w:asciiTheme="majorEastAsia" w:hAnsiTheme="majorEastAsia" w:eastAsiaTheme="majorEastAsia" w:cstheme="majorEastAsia"/>
          <w:color w:val="auto"/>
          <w:sz w:val="21"/>
          <w:szCs w:val="21"/>
          <w:highlight w:val="none"/>
          <w:u w:val="single"/>
          <w:lang w:bidi="ar"/>
        </w:rPr>
        <w:t xml:space="preserve">                                      </w:t>
      </w:r>
    </w:p>
    <w:p w14:paraId="0CCD8958">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u w:val="single"/>
          <w:lang w:bidi="ar"/>
        </w:rPr>
      </w:pPr>
    </w:p>
    <w:p w14:paraId="1EA870E5">
      <w:pPr>
        <w:keepNext w:val="0"/>
        <w:keepLines w:val="0"/>
        <w:widowControl/>
        <w:suppressLineNumbers w:val="0"/>
        <w:spacing w:before="0" w:beforeAutospacing="0" w:after="0" w:afterAutospacing="0" w:line="360" w:lineRule="auto"/>
        <w:ind w:left="1772" w:right="0" w:hanging="1329" w:hangingChars="633"/>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w:t>
      </w:r>
    </w:p>
    <w:p w14:paraId="608404F9">
      <w:pPr>
        <w:keepNext w:val="0"/>
        <w:keepLines w:val="0"/>
        <w:widowControl/>
        <w:suppressLineNumbers w:val="0"/>
        <w:spacing w:before="0" w:beforeAutospacing="0" w:after="0" w:afterAutospacing="0" w:line="360" w:lineRule="auto"/>
        <w:ind w:left="1772" w:right="0" w:hanging="1329" w:hangingChars="633"/>
        <w:rPr>
          <w:rFonts w:hint="eastAsia" w:asciiTheme="majorEastAsia" w:hAnsiTheme="majorEastAsia" w:eastAsiaTheme="majorEastAsia" w:cstheme="majorEastAsia"/>
          <w:color w:val="auto"/>
          <w:sz w:val="21"/>
          <w:szCs w:val="21"/>
          <w:highlight w:val="none"/>
          <w:lang w:bidi="ar"/>
        </w:rPr>
      </w:pPr>
    </w:p>
    <w:p w14:paraId="36502E9E">
      <w:pPr>
        <w:keepNext w:val="0"/>
        <w:keepLines w:val="0"/>
        <w:widowControl/>
        <w:suppressLineNumbers w:val="0"/>
        <w:spacing w:before="0" w:beforeAutospacing="0" w:after="0" w:afterAutospacing="0" w:line="360" w:lineRule="auto"/>
        <w:ind w:left="1772" w:right="0" w:hanging="1329" w:hangingChars="633"/>
        <w:rPr>
          <w:rFonts w:hint="eastAsia" w:asciiTheme="majorEastAsia" w:hAnsiTheme="majorEastAsia" w:eastAsiaTheme="majorEastAsia" w:cstheme="majorEastAsia"/>
          <w:color w:val="auto"/>
          <w:sz w:val="21"/>
          <w:szCs w:val="21"/>
          <w:highlight w:val="none"/>
          <w:lang w:bidi="ar"/>
        </w:rPr>
      </w:pPr>
    </w:p>
    <w:p w14:paraId="283AF8C6">
      <w:pPr>
        <w:keepNext w:val="0"/>
        <w:keepLines w:val="0"/>
        <w:widowControl/>
        <w:suppressLineNumbers w:val="0"/>
        <w:spacing w:before="0" w:beforeAutospacing="0" w:after="0" w:afterAutospacing="0" w:line="360" w:lineRule="auto"/>
        <w:ind w:left="1772" w:right="0" w:hanging="1329" w:hangingChars="633"/>
        <w:rPr>
          <w:rFonts w:hint="eastAsia" w:asciiTheme="majorEastAsia" w:hAnsiTheme="majorEastAsia" w:eastAsiaTheme="majorEastAsia" w:cstheme="majorEastAsia"/>
          <w:color w:val="auto"/>
          <w:sz w:val="21"/>
          <w:szCs w:val="21"/>
          <w:highlight w:val="none"/>
          <w:lang w:bidi="ar"/>
        </w:rPr>
      </w:pPr>
    </w:p>
    <w:p w14:paraId="1C510996">
      <w:pPr>
        <w:keepNext w:val="0"/>
        <w:keepLines w:val="0"/>
        <w:widowControl/>
        <w:suppressLineNumbers w:val="0"/>
        <w:spacing w:before="0" w:beforeAutospacing="0" w:after="0" w:afterAutospacing="0" w:line="360" w:lineRule="auto"/>
        <w:ind w:left="1772" w:right="0" w:hanging="1329" w:hangingChars="633"/>
        <w:rPr>
          <w:rFonts w:hint="eastAsia" w:asciiTheme="majorEastAsia" w:hAnsiTheme="majorEastAsia" w:eastAsiaTheme="majorEastAsia" w:cstheme="majorEastAsia"/>
          <w:color w:val="auto"/>
          <w:sz w:val="21"/>
          <w:szCs w:val="21"/>
          <w:highlight w:val="none"/>
          <w:lang w:bidi="ar"/>
        </w:rPr>
      </w:pPr>
    </w:p>
    <w:p w14:paraId="2EA422A4">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附</w:t>
      </w:r>
      <w:bookmarkStart w:id="1058" w:name="_Toc296891060"/>
      <w:bookmarkStart w:id="1059" w:name="_Toc296503232"/>
      <w:bookmarkStart w:id="1060" w:name="_Toc267261702"/>
      <w:bookmarkStart w:id="1061" w:name="_Toc296891272"/>
      <w:bookmarkStart w:id="1062" w:name="_Toc296346733"/>
      <w:bookmarkStart w:id="1063" w:name="_Toc296347231"/>
      <w:bookmarkStart w:id="1064" w:name="_Toc296944571"/>
      <w:r>
        <w:rPr>
          <w:rFonts w:hint="eastAsia" w:asciiTheme="majorEastAsia" w:hAnsiTheme="majorEastAsia" w:eastAsiaTheme="majorEastAsia" w:cstheme="majorEastAsia"/>
          <w:color w:val="auto"/>
          <w:sz w:val="21"/>
          <w:szCs w:val="21"/>
          <w:highlight w:val="none"/>
          <w:lang w:bidi="ar"/>
        </w:rPr>
        <w:t>件9：</w:t>
      </w:r>
    </w:p>
    <w:bookmarkEnd w:id="1058"/>
    <w:bookmarkEnd w:id="1059"/>
    <w:bookmarkEnd w:id="1060"/>
    <w:bookmarkEnd w:id="1061"/>
    <w:bookmarkEnd w:id="1062"/>
    <w:bookmarkEnd w:id="1063"/>
    <w:bookmarkEnd w:id="1064"/>
    <w:p w14:paraId="62E34C57">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预付款担保</w:t>
      </w:r>
    </w:p>
    <w:p w14:paraId="2F25CB01">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 xml:space="preserve"> （发包人名称）：</w:t>
      </w:r>
    </w:p>
    <w:p w14:paraId="44B8AF43">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p>
    <w:p w14:paraId="1CD04D2A">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根据</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（承包人名称）（以下称“承包人”）与</w:t>
      </w:r>
    </w:p>
    <w:p w14:paraId="77338C38">
      <w:pPr>
        <w:keepNext w:val="0"/>
        <w:keepLines w:val="0"/>
        <w:widowControl/>
        <w:suppressLineNumbers w:val="0"/>
        <w:spacing w:before="0" w:beforeAutospacing="0" w:after="0" w:afterAutospacing="0" w:line="360" w:lineRule="auto"/>
        <w:ind w:left="0" w:right="0"/>
        <w:outlineLvl w:val="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u w:val="single"/>
          <w:lang w:bidi="ar"/>
        </w:rPr>
        <w:t xml:space="preserve">                        </w:t>
      </w:r>
      <w:bookmarkStart w:id="1065" w:name="_Toc12074"/>
      <w:bookmarkStart w:id="1066" w:name="_Toc20301"/>
      <w:bookmarkStart w:id="1067" w:name="_Toc8214"/>
      <w:bookmarkStart w:id="1068" w:name="_Toc20485"/>
      <w:bookmarkStart w:id="1069" w:name="_Toc9119"/>
      <w:r>
        <w:rPr>
          <w:rFonts w:hint="eastAsia" w:asciiTheme="majorEastAsia" w:hAnsiTheme="majorEastAsia" w:eastAsiaTheme="majorEastAsia" w:cstheme="majorEastAsia"/>
          <w:color w:val="auto"/>
          <w:sz w:val="21"/>
          <w:szCs w:val="21"/>
          <w:highlight w:val="none"/>
          <w:lang w:bidi="ar"/>
        </w:rPr>
        <w:t>（发包人名称）（以下简称“发包人”）</w:t>
      </w:r>
      <w:bookmarkEnd w:id="1065"/>
      <w:bookmarkEnd w:id="1066"/>
      <w:bookmarkEnd w:id="1067"/>
      <w:bookmarkEnd w:id="1068"/>
      <w:bookmarkEnd w:id="1069"/>
    </w:p>
    <w:p w14:paraId="68E2BB31">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日签订的</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（工程名称）《建设工程施工合同》，承包人按约定的金额向你方提交一份预付款担保，即有权得到你方支付相等金额的预付款。我方愿意就你方提供给承包人的预付款为承包人提供连带责任担保。</w:t>
      </w:r>
    </w:p>
    <w:p w14:paraId="708C9A71">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担保金额人民币（大写）</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元（¥</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w:t>
      </w:r>
    </w:p>
    <w:p w14:paraId="3B5F5182">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担保有效期自预付款支付给承包人起生效，至你方签发的进度款支付证书说明已完全扣清止。</w:t>
      </w:r>
    </w:p>
    <w:p w14:paraId="25B9FBDC">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4B6D4D73">
      <w:pPr>
        <w:keepNext w:val="0"/>
        <w:keepLines w:val="0"/>
        <w:widowControl/>
        <w:suppressLineNumbers w:val="0"/>
        <w:spacing w:before="0" w:beforeAutospacing="0" w:after="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 你方和承包人按合同约定变更合同时，我方承担本保函规定的义务不变。</w:t>
      </w:r>
    </w:p>
    <w:p w14:paraId="38DBE176">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5. 因本保函发生的纠纷，可由双方协商解决，协商不成的，任何一方均可提请</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仲裁委员会仲裁。</w:t>
      </w:r>
    </w:p>
    <w:p w14:paraId="55452207">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6. 本保函自我方法定代表人（或其授权代理人）签字并加盖公章之日起生效。</w:t>
      </w:r>
    </w:p>
    <w:p w14:paraId="6314D0C8">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p>
    <w:p w14:paraId="531723D5">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p>
    <w:p w14:paraId="4A4851DB">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担保人：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（盖单位章）</w:t>
      </w:r>
    </w:p>
    <w:p w14:paraId="2B499EEB">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法定代表人或其委托代理人：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（签字）</w:t>
      </w:r>
    </w:p>
    <w:p w14:paraId="58337340">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地    址：</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p>
    <w:p w14:paraId="53DC722C">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u w:val="single"/>
          <w:lang w:bidi="ar"/>
        </w:rPr>
      </w:pPr>
      <w:r>
        <w:rPr>
          <w:rFonts w:hint="eastAsia" w:asciiTheme="majorEastAsia" w:hAnsiTheme="majorEastAsia" w:eastAsiaTheme="majorEastAsia" w:cstheme="majorEastAsia"/>
          <w:color w:val="auto"/>
          <w:sz w:val="21"/>
          <w:szCs w:val="21"/>
          <w:highlight w:val="none"/>
          <w:lang w:bidi="ar"/>
        </w:rPr>
        <w:t>邮政编码：</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p>
    <w:p w14:paraId="4013D7E2">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u w:val="single"/>
          <w:lang w:bidi="ar"/>
        </w:rPr>
      </w:pPr>
      <w:r>
        <w:rPr>
          <w:rFonts w:hint="eastAsia" w:asciiTheme="majorEastAsia" w:hAnsiTheme="majorEastAsia" w:eastAsiaTheme="majorEastAsia" w:cstheme="majorEastAsia"/>
          <w:color w:val="auto"/>
          <w:sz w:val="21"/>
          <w:szCs w:val="21"/>
          <w:highlight w:val="none"/>
          <w:lang w:bidi="ar"/>
        </w:rPr>
        <w:t>电    话：</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p>
    <w:p w14:paraId="67BFBA87">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u w:val="single"/>
          <w:lang w:bidi="ar"/>
        </w:rPr>
      </w:pPr>
      <w:r>
        <w:rPr>
          <w:rFonts w:hint="eastAsia" w:asciiTheme="majorEastAsia" w:hAnsiTheme="majorEastAsia" w:eastAsiaTheme="majorEastAsia" w:cstheme="majorEastAsia"/>
          <w:color w:val="auto"/>
          <w:sz w:val="21"/>
          <w:szCs w:val="21"/>
          <w:highlight w:val="none"/>
          <w:lang w:bidi="ar"/>
        </w:rPr>
        <w:t>传    真：</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r>
        <w:rPr>
          <w:rFonts w:hint="eastAsia" w:asciiTheme="majorEastAsia" w:hAnsiTheme="majorEastAsia" w:eastAsiaTheme="majorEastAsia" w:cstheme="majorEastAsia"/>
          <w:color w:val="auto"/>
          <w:sz w:val="21"/>
          <w:szCs w:val="21"/>
          <w:highlight w:val="none"/>
          <w:u w:val="single"/>
          <w:lang w:bidi="ar"/>
        </w:rPr>
        <w:tab/>
      </w:r>
    </w:p>
    <w:p w14:paraId="4A880FB5">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p>
    <w:p w14:paraId="41F68B70">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u w:val="single"/>
          <w:lang w:bidi="ar"/>
        </w:rPr>
      </w:pPr>
    </w:p>
    <w:p w14:paraId="0C513282">
      <w:pPr>
        <w:keepNext w:val="0"/>
        <w:keepLines w:val="0"/>
        <w:widowControl/>
        <w:suppressLineNumbers w:val="0"/>
        <w:spacing w:before="0" w:beforeAutospacing="0" w:after="0" w:afterAutospacing="0" w:line="360" w:lineRule="auto"/>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w:t>
      </w:r>
    </w:p>
    <w:p w14:paraId="578F4126">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b/>
          <w:color w:val="auto"/>
          <w:sz w:val="21"/>
          <w:szCs w:val="21"/>
          <w:highlight w:val="none"/>
          <w:lang w:bidi="ar"/>
        </w:rPr>
        <w:br w:type="page"/>
      </w:r>
      <w:r>
        <w:rPr>
          <w:rFonts w:hint="eastAsia" w:asciiTheme="majorEastAsia" w:hAnsiTheme="majorEastAsia" w:eastAsiaTheme="majorEastAsia" w:cstheme="majorEastAsia"/>
          <w:color w:val="auto"/>
          <w:sz w:val="21"/>
          <w:szCs w:val="21"/>
          <w:highlight w:val="none"/>
          <w:lang w:bidi="ar"/>
        </w:rPr>
        <w:t>附</w:t>
      </w:r>
      <w:bookmarkStart w:id="1070" w:name="_Toc296346734"/>
      <w:bookmarkStart w:id="1071" w:name="_Toc296347232"/>
      <w:bookmarkStart w:id="1072" w:name="_Toc296891061"/>
      <w:bookmarkStart w:id="1073" w:name="_Toc296891273"/>
      <w:bookmarkStart w:id="1074" w:name="_Toc296503233"/>
      <w:bookmarkStart w:id="1075" w:name="_Toc296944572"/>
      <w:r>
        <w:rPr>
          <w:rFonts w:hint="eastAsia" w:asciiTheme="majorEastAsia" w:hAnsiTheme="majorEastAsia" w:eastAsiaTheme="majorEastAsia" w:cstheme="majorEastAsia"/>
          <w:color w:val="auto"/>
          <w:sz w:val="21"/>
          <w:szCs w:val="21"/>
          <w:highlight w:val="none"/>
          <w:lang w:bidi="ar"/>
        </w:rPr>
        <w:t xml:space="preserve">件10:  </w:t>
      </w:r>
    </w:p>
    <w:bookmarkEnd w:id="1070"/>
    <w:bookmarkEnd w:id="1071"/>
    <w:bookmarkEnd w:id="1072"/>
    <w:bookmarkEnd w:id="1073"/>
    <w:bookmarkEnd w:id="1074"/>
    <w:bookmarkEnd w:id="1075"/>
    <w:p w14:paraId="00DF17B4">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支付担保</w:t>
      </w:r>
    </w:p>
    <w:p w14:paraId="2A2D81FB">
      <w:pPr>
        <w:keepNext w:val="0"/>
        <w:keepLines w:val="0"/>
        <w:widowControl/>
        <w:suppressLineNumbers w:val="0"/>
        <w:spacing w:before="0" w:beforeAutospacing="0" w:after="0" w:afterAutospacing="0" w:line="440" w:lineRule="exact"/>
        <w:ind w:left="0" w:right="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（承包人）：</w:t>
      </w:r>
    </w:p>
    <w:p w14:paraId="14D00F92">
      <w:pPr>
        <w:keepNext w:val="0"/>
        <w:keepLines w:val="0"/>
        <w:widowControl/>
        <w:suppressLineNumbers w:val="0"/>
        <w:spacing w:before="0" w:beforeAutospacing="0" w:after="0" w:afterAutospacing="0" w:line="440" w:lineRule="exact"/>
        <w:ind w:left="0" w:right="0"/>
        <w:jc w:val="left"/>
        <w:rPr>
          <w:rFonts w:hint="eastAsia" w:asciiTheme="majorEastAsia" w:hAnsiTheme="majorEastAsia" w:eastAsiaTheme="majorEastAsia" w:cstheme="majorEastAsia"/>
          <w:color w:val="auto"/>
          <w:sz w:val="21"/>
          <w:szCs w:val="21"/>
          <w:highlight w:val="none"/>
          <w:lang w:bidi="ar"/>
        </w:rPr>
      </w:pPr>
    </w:p>
    <w:p w14:paraId="77160B23">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鉴于你方作为承包人已经与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（发包人名称）（以下称“发包人”）于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日签订了</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（工程名称）《建设工程施工合同》（以下称“主合同”），应发包人的申请，我方愿就发包人履行主合同约定的工程款支付义务以保证的方式向你方提供如下担保：</w:t>
      </w:r>
    </w:p>
    <w:p w14:paraId="0F90EC38">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076" w:name="_Toc2318"/>
      <w:bookmarkStart w:id="1077" w:name="_Toc1174"/>
      <w:bookmarkStart w:id="1078" w:name="_Toc17945"/>
      <w:bookmarkStart w:id="1079" w:name="_Toc4139"/>
      <w:bookmarkStart w:id="1080" w:name="_Toc10897"/>
      <w:r>
        <w:rPr>
          <w:rFonts w:hint="eastAsia" w:asciiTheme="majorEastAsia" w:hAnsiTheme="majorEastAsia" w:eastAsiaTheme="majorEastAsia" w:cstheme="majorEastAsia"/>
          <w:color w:val="auto"/>
          <w:sz w:val="21"/>
          <w:szCs w:val="21"/>
          <w:highlight w:val="none"/>
          <w:lang w:bidi="ar"/>
        </w:rPr>
        <w:t>一、保证的范围及保证金额</w:t>
      </w:r>
      <w:bookmarkEnd w:id="1076"/>
      <w:bookmarkEnd w:id="1077"/>
      <w:bookmarkEnd w:id="1078"/>
      <w:bookmarkEnd w:id="1079"/>
      <w:bookmarkEnd w:id="1080"/>
    </w:p>
    <w:p w14:paraId="696269D2">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我方的保证范围是主合同约定的工程款。</w:t>
      </w:r>
    </w:p>
    <w:p w14:paraId="4311FAF1">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本保函所称主合同约定的工程款是指主合同约定的除工程质量保证金以外的合同价款。</w:t>
      </w:r>
    </w:p>
    <w:p w14:paraId="49AA1115">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我方保证的金额是主合同约定的工程款的</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%，数额最高不超过人民币元（大写：</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w:t>
      </w:r>
    </w:p>
    <w:p w14:paraId="658794C4">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081" w:name="_Toc4027"/>
      <w:bookmarkStart w:id="1082" w:name="_Toc11439"/>
      <w:bookmarkStart w:id="1083" w:name="_Toc14935"/>
      <w:bookmarkStart w:id="1084" w:name="_Toc8240"/>
      <w:bookmarkStart w:id="1085" w:name="_Toc17605"/>
      <w:r>
        <w:rPr>
          <w:rFonts w:hint="eastAsia" w:asciiTheme="majorEastAsia" w:hAnsiTheme="majorEastAsia" w:eastAsiaTheme="majorEastAsia" w:cstheme="majorEastAsia"/>
          <w:color w:val="auto"/>
          <w:sz w:val="21"/>
          <w:szCs w:val="21"/>
          <w:highlight w:val="none"/>
          <w:lang w:bidi="ar"/>
        </w:rPr>
        <w:t>二、保证的方式及保证期间</w:t>
      </w:r>
      <w:bookmarkEnd w:id="1081"/>
      <w:bookmarkEnd w:id="1082"/>
      <w:bookmarkEnd w:id="1083"/>
      <w:bookmarkEnd w:id="1084"/>
      <w:bookmarkEnd w:id="1085"/>
    </w:p>
    <w:p w14:paraId="3B3BE1FD">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我方保证的方式为：连带责任保证。</w:t>
      </w:r>
    </w:p>
    <w:p w14:paraId="4B0E5E00">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我方保证的期间为：自本合同生效之日起至主合同约定的工程款支付完毕之日后</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日内。</w:t>
      </w:r>
    </w:p>
    <w:p w14:paraId="5F93402E">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你方与发包人协议变更工程款支付日期的，经我方书面同意后，保证期间按照变更后的支付日期做相应调整。</w:t>
      </w:r>
    </w:p>
    <w:p w14:paraId="5374B5F9">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086" w:name="_Toc9201"/>
      <w:bookmarkStart w:id="1087" w:name="_Toc24023"/>
      <w:bookmarkStart w:id="1088" w:name="_Toc31007"/>
      <w:bookmarkStart w:id="1089" w:name="_Toc12135"/>
      <w:bookmarkStart w:id="1090" w:name="_Toc10717"/>
      <w:r>
        <w:rPr>
          <w:rFonts w:hint="eastAsia" w:asciiTheme="majorEastAsia" w:hAnsiTheme="majorEastAsia" w:eastAsiaTheme="majorEastAsia" w:cstheme="majorEastAsia"/>
          <w:color w:val="auto"/>
          <w:sz w:val="21"/>
          <w:szCs w:val="21"/>
          <w:highlight w:val="none"/>
          <w:lang w:bidi="ar"/>
        </w:rPr>
        <w:t>三、承担保证责任的形式</w:t>
      </w:r>
      <w:bookmarkEnd w:id="1086"/>
      <w:bookmarkEnd w:id="1087"/>
      <w:bookmarkEnd w:id="1088"/>
      <w:bookmarkEnd w:id="1089"/>
      <w:bookmarkEnd w:id="1090"/>
    </w:p>
    <w:p w14:paraId="6DE92DB9">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我方承担保证责任的形式是代为支付。发包人未按主合同约定向你方支付工程款的，由我方在保证金额内代为支付。</w:t>
      </w:r>
    </w:p>
    <w:p w14:paraId="3A6454E7">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091" w:name="_Toc29186"/>
      <w:bookmarkStart w:id="1092" w:name="_Toc15932"/>
      <w:bookmarkStart w:id="1093" w:name="_Toc32703"/>
      <w:bookmarkStart w:id="1094" w:name="_Toc28342"/>
      <w:bookmarkStart w:id="1095" w:name="_Toc30795"/>
      <w:r>
        <w:rPr>
          <w:rFonts w:hint="eastAsia" w:asciiTheme="majorEastAsia" w:hAnsiTheme="majorEastAsia" w:eastAsiaTheme="majorEastAsia" w:cstheme="majorEastAsia"/>
          <w:color w:val="auto"/>
          <w:sz w:val="21"/>
          <w:szCs w:val="21"/>
          <w:highlight w:val="none"/>
          <w:lang w:bidi="ar"/>
        </w:rPr>
        <w:t>四、代偿的安排</w:t>
      </w:r>
      <w:bookmarkEnd w:id="1091"/>
      <w:bookmarkEnd w:id="1092"/>
      <w:bookmarkEnd w:id="1093"/>
      <w:bookmarkEnd w:id="1094"/>
      <w:bookmarkEnd w:id="1095"/>
    </w:p>
    <w:p w14:paraId="727F606C">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你方要求我方承担保证责任的，应向我方发出书面索赔通知及发包人未支付主合同约定工程款的证明材料。索赔通知应写明要求索赔的金额，支付款项应到达的账号。</w:t>
      </w:r>
    </w:p>
    <w:p w14:paraId="6F154381">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在出现你方与发包人因工程质量发生争议，发包人拒绝向你方支付工程款的情形时，你方要求我方履行保证责任代为支付的，需提供符合相应条件要求的工程质量检测机构出具的质量说明材料。</w:t>
      </w:r>
    </w:p>
    <w:p w14:paraId="23013CEB">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我方收到你方的书面索赔通知及相应的证明材料后７天内无条件支付。</w:t>
      </w:r>
    </w:p>
    <w:p w14:paraId="23911C31">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096" w:name="_Toc150"/>
      <w:bookmarkStart w:id="1097" w:name="_Toc16223"/>
      <w:bookmarkStart w:id="1098" w:name="_Toc14069"/>
      <w:bookmarkStart w:id="1099" w:name="_Toc18234"/>
      <w:bookmarkStart w:id="1100" w:name="_Toc26053"/>
      <w:r>
        <w:rPr>
          <w:rFonts w:hint="eastAsia" w:asciiTheme="majorEastAsia" w:hAnsiTheme="majorEastAsia" w:eastAsiaTheme="majorEastAsia" w:cstheme="majorEastAsia"/>
          <w:color w:val="auto"/>
          <w:sz w:val="21"/>
          <w:szCs w:val="21"/>
          <w:highlight w:val="none"/>
          <w:lang w:bidi="ar"/>
        </w:rPr>
        <w:t>五、保证责任的解除</w:t>
      </w:r>
      <w:bookmarkEnd w:id="1096"/>
      <w:bookmarkEnd w:id="1097"/>
      <w:bookmarkEnd w:id="1098"/>
      <w:bookmarkEnd w:id="1099"/>
      <w:bookmarkEnd w:id="1100"/>
    </w:p>
    <w:p w14:paraId="198DC2B2">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在本保函承诺的保证期间内，你方未书面向我方主张保证责任的，自保证期间届满次日起，我方保证责任解除。</w:t>
      </w:r>
    </w:p>
    <w:p w14:paraId="5260B808">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发包人按主合同约定履行了工程款的全部支付义务的，自本保函承诺的保证期间届满次日起，我方保证责任解除。</w:t>
      </w:r>
    </w:p>
    <w:p w14:paraId="3BABA0FB">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我方按照本保函向你方履行保证责任所支付金额达到本保函保证金额时，自我方向你方支付（支付款项从我方账户划出）之日起，保证责任即解除。</w:t>
      </w:r>
    </w:p>
    <w:p w14:paraId="1CAF2AFC">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 按照法律法规的规定或出现应解除我方保证责任的其他情形的，我方在本保函项下的保证责任亦解除。</w:t>
      </w:r>
    </w:p>
    <w:p w14:paraId="1F34F962">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lang w:bidi="ar"/>
        </w:rPr>
      </w:pPr>
    </w:p>
    <w:p w14:paraId="271B1F64">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5. 我方解除保证责任后，你方应自我方保证责任解除之日起</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个工作日内，将本保函原件返还我方。</w:t>
      </w:r>
    </w:p>
    <w:p w14:paraId="20535F8E">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101" w:name="_Toc32638"/>
      <w:bookmarkStart w:id="1102" w:name="_Toc9711"/>
      <w:bookmarkStart w:id="1103" w:name="_Toc1762"/>
      <w:bookmarkStart w:id="1104" w:name="_Toc20146"/>
      <w:bookmarkStart w:id="1105" w:name="_Toc13346"/>
      <w:r>
        <w:rPr>
          <w:rFonts w:hint="eastAsia" w:asciiTheme="majorEastAsia" w:hAnsiTheme="majorEastAsia" w:eastAsiaTheme="majorEastAsia" w:cstheme="majorEastAsia"/>
          <w:color w:val="auto"/>
          <w:sz w:val="21"/>
          <w:szCs w:val="21"/>
          <w:highlight w:val="none"/>
          <w:lang w:bidi="ar"/>
        </w:rPr>
        <w:t>六、免责条款</w:t>
      </w:r>
      <w:bookmarkEnd w:id="1101"/>
      <w:bookmarkEnd w:id="1102"/>
      <w:bookmarkEnd w:id="1103"/>
      <w:bookmarkEnd w:id="1104"/>
      <w:bookmarkEnd w:id="1105"/>
    </w:p>
    <w:p w14:paraId="641D035E">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 因你方违约致使发包人不能履行义务的，我方不承担保证责任。</w:t>
      </w:r>
    </w:p>
    <w:p w14:paraId="0625520F">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 依照法律法规的规定或你方与发包人的另行约定，免除发包人部分或全部义务的，我方亦免除其相应的保证责任。</w:t>
      </w:r>
    </w:p>
    <w:p w14:paraId="2722BC28">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3. 你方与发包人协议变更主合同的，如加重发包人责任致使我方保证责任加重的，需征得我方书面同意，否则我方不再承担因此而加重部分的保证责任，但主合同第10条〔变更〕约定的变更不受本款限制。</w:t>
      </w:r>
    </w:p>
    <w:p w14:paraId="401E5512">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4. 因不可抗力造成发包人不能履行义务的，我方不承担保证责任。</w:t>
      </w:r>
    </w:p>
    <w:p w14:paraId="3736CADC">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106" w:name="_Toc3745"/>
      <w:bookmarkStart w:id="1107" w:name="_Toc7099"/>
      <w:bookmarkStart w:id="1108" w:name="_Toc26785"/>
      <w:bookmarkStart w:id="1109" w:name="_Toc3107"/>
      <w:bookmarkStart w:id="1110" w:name="_Toc469"/>
      <w:r>
        <w:rPr>
          <w:rFonts w:hint="eastAsia" w:asciiTheme="majorEastAsia" w:hAnsiTheme="majorEastAsia" w:eastAsiaTheme="majorEastAsia" w:cstheme="majorEastAsia"/>
          <w:color w:val="auto"/>
          <w:sz w:val="21"/>
          <w:szCs w:val="21"/>
          <w:highlight w:val="none"/>
          <w:lang w:bidi="ar"/>
        </w:rPr>
        <w:t>七、争议解决</w:t>
      </w:r>
      <w:bookmarkEnd w:id="1106"/>
      <w:bookmarkEnd w:id="1107"/>
      <w:bookmarkEnd w:id="1108"/>
      <w:bookmarkEnd w:id="1109"/>
      <w:bookmarkEnd w:id="1110"/>
    </w:p>
    <w:p w14:paraId="70A310AF">
      <w:pPr>
        <w:keepNext w:val="0"/>
        <w:keepLines w:val="0"/>
        <w:widowControl/>
        <w:suppressLineNumbers w:val="0"/>
        <w:spacing w:before="0" w:beforeAutospacing="0" w:after="120" w:afterAutospacing="0" w:line="360" w:lineRule="auto"/>
        <w:ind w:left="0" w:right="0" w:firstLine="420" w:firstLineChars="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因本保函或本保函相关事项发生的纠纷，可由双方协商解决，协商不成的，按下列第</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种方式解决：</w:t>
      </w:r>
    </w:p>
    <w:p w14:paraId="0B7D8D5B">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（1）向</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仲裁委员会申请仲裁；</w:t>
      </w:r>
    </w:p>
    <w:p w14:paraId="68A88579">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（2）向</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人民法院起诉。</w:t>
      </w:r>
    </w:p>
    <w:p w14:paraId="3FD2E14E">
      <w:pPr>
        <w:keepNext w:val="0"/>
        <w:keepLines w:val="0"/>
        <w:widowControl/>
        <w:suppressLineNumbers w:val="0"/>
        <w:spacing w:before="0" w:beforeAutospacing="0" w:after="0" w:afterAutospacing="0" w:line="360" w:lineRule="auto"/>
        <w:ind w:left="0" w:right="0" w:firstLine="420" w:firstLineChars="200"/>
        <w:jc w:val="left"/>
        <w:outlineLvl w:val="0"/>
        <w:rPr>
          <w:rFonts w:hint="eastAsia" w:asciiTheme="majorEastAsia" w:hAnsiTheme="majorEastAsia" w:eastAsiaTheme="majorEastAsia" w:cstheme="majorEastAsia"/>
          <w:color w:val="auto"/>
          <w:sz w:val="21"/>
          <w:szCs w:val="21"/>
          <w:highlight w:val="none"/>
          <w:lang w:bidi="ar"/>
        </w:rPr>
      </w:pPr>
      <w:bookmarkStart w:id="1111" w:name="_Toc15762"/>
      <w:bookmarkStart w:id="1112" w:name="_Toc11701"/>
      <w:bookmarkStart w:id="1113" w:name="_Toc21188"/>
      <w:bookmarkStart w:id="1114" w:name="_Toc26559"/>
      <w:bookmarkStart w:id="1115" w:name="_Toc12010"/>
      <w:r>
        <w:rPr>
          <w:rFonts w:hint="eastAsia" w:asciiTheme="majorEastAsia" w:hAnsiTheme="majorEastAsia" w:eastAsiaTheme="majorEastAsia" w:cstheme="majorEastAsia"/>
          <w:color w:val="auto"/>
          <w:sz w:val="21"/>
          <w:szCs w:val="21"/>
          <w:highlight w:val="none"/>
          <w:lang w:bidi="ar"/>
        </w:rPr>
        <w:t>八、保函的生效</w:t>
      </w:r>
      <w:bookmarkEnd w:id="1111"/>
      <w:bookmarkEnd w:id="1112"/>
      <w:bookmarkEnd w:id="1113"/>
      <w:bookmarkEnd w:id="1114"/>
      <w:bookmarkEnd w:id="1115"/>
    </w:p>
    <w:p w14:paraId="66710166">
      <w:pPr>
        <w:keepNext w:val="0"/>
        <w:keepLines w:val="0"/>
        <w:widowControl/>
        <w:suppressLineNumbers w:val="0"/>
        <w:spacing w:before="0" w:beforeAutospacing="0" w:after="0" w:afterAutospacing="0" w:line="360" w:lineRule="auto"/>
        <w:ind w:left="0" w:right="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本保函自我方法定代表人（或其授权代理人）签字并加盖公章之日起生效。</w:t>
      </w:r>
    </w:p>
    <w:p w14:paraId="67F0DAC1">
      <w:pPr>
        <w:keepNext w:val="0"/>
        <w:keepLines w:val="0"/>
        <w:widowControl/>
        <w:suppressLineNumbers w:val="0"/>
        <w:spacing w:before="0" w:beforeAutospacing="0" w:after="0" w:afterAutospacing="0" w:line="360" w:lineRule="auto"/>
        <w:ind w:left="0" w:right="600"/>
        <w:jc w:val="left"/>
        <w:rPr>
          <w:rFonts w:hint="eastAsia" w:asciiTheme="majorEastAsia" w:hAnsiTheme="majorEastAsia" w:eastAsiaTheme="majorEastAsia" w:cstheme="majorEastAsia"/>
          <w:color w:val="auto"/>
          <w:sz w:val="21"/>
          <w:szCs w:val="21"/>
          <w:highlight w:val="none"/>
          <w:lang w:bidi="ar"/>
        </w:rPr>
      </w:pPr>
    </w:p>
    <w:p w14:paraId="0211238B">
      <w:pPr>
        <w:keepNext w:val="0"/>
        <w:keepLines w:val="0"/>
        <w:widowControl/>
        <w:suppressLineNumbers w:val="0"/>
        <w:spacing w:before="0" w:beforeAutospacing="0" w:after="0" w:afterAutospacing="0" w:line="360" w:lineRule="auto"/>
        <w:ind w:left="0" w:right="6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担保人：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（盖章）</w:t>
      </w:r>
    </w:p>
    <w:p w14:paraId="2273010E">
      <w:pPr>
        <w:keepNext w:val="0"/>
        <w:keepLines w:val="0"/>
        <w:widowControl/>
        <w:suppressLineNumbers w:val="0"/>
        <w:spacing w:before="0" w:beforeAutospacing="0" w:after="0" w:afterAutospacing="0" w:line="360" w:lineRule="auto"/>
        <w:ind w:left="0" w:right="120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法定代表人或委托代理人：</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（签字）</w:t>
      </w:r>
    </w:p>
    <w:p w14:paraId="0941B9F1">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地    址：</w:t>
      </w:r>
      <w:r>
        <w:rPr>
          <w:rFonts w:hint="eastAsia" w:asciiTheme="majorEastAsia" w:hAnsiTheme="majorEastAsia" w:eastAsiaTheme="majorEastAsia" w:cstheme="majorEastAsia"/>
          <w:color w:val="auto"/>
          <w:sz w:val="21"/>
          <w:szCs w:val="21"/>
          <w:highlight w:val="none"/>
          <w:u w:val="single"/>
          <w:lang w:bidi="ar"/>
        </w:rPr>
        <w:t xml:space="preserve">                                        </w:t>
      </w:r>
    </w:p>
    <w:p w14:paraId="59088EFE">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邮政编码：</w:t>
      </w:r>
      <w:r>
        <w:rPr>
          <w:rFonts w:hint="eastAsia" w:asciiTheme="majorEastAsia" w:hAnsiTheme="majorEastAsia" w:eastAsiaTheme="majorEastAsia" w:cstheme="majorEastAsia"/>
          <w:color w:val="auto"/>
          <w:sz w:val="21"/>
          <w:szCs w:val="21"/>
          <w:highlight w:val="none"/>
          <w:u w:val="single"/>
          <w:lang w:bidi="ar"/>
        </w:rPr>
        <w:t xml:space="preserve">                                        </w:t>
      </w:r>
    </w:p>
    <w:p w14:paraId="60BF50BF">
      <w:pPr>
        <w:keepNext w:val="0"/>
        <w:keepLines w:val="0"/>
        <w:widowControl/>
        <w:suppressLineNumbers w:val="0"/>
        <w:spacing w:before="0" w:beforeAutospacing="0" w:after="0" w:afterAutospacing="0" w:line="360" w:lineRule="auto"/>
        <w:ind w:left="0" w:right="0"/>
        <w:jc w:val="left"/>
        <w:rPr>
          <w:rFonts w:hint="eastAsia" w:asciiTheme="majorEastAsia" w:hAnsiTheme="majorEastAsia" w:eastAsiaTheme="majorEastAsia" w:cstheme="majorEastAsia"/>
          <w:color w:val="auto"/>
          <w:sz w:val="21"/>
          <w:szCs w:val="21"/>
          <w:highlight w:val="none"/>
          <w:u w:val="single"/>
          <w:lang w:bidi="ar"/>
        </w:rPr>
      </w:pPr>
      <w:r>
        <w:rPr>
          <w:rFonts w:hint="eastAsia" w:asciiTheme="majorEastAsia" w:hAnsiTheme="majorEastAsia" w:eastAsiaTheme="majorEastAsia" w:cstheme="majorEastAsia"/>
          <w:color w:val="auto"/>
          <w:sz w:val="21"/>
          <w:szCs w:val="21"/>
          <w:highlight w:val="none"/>
          <w:lang w:bidi="ar"/>
        </w:rPr>
        <w:t>传    真：</w:t>
      </w:r>
      <w:r>
        <w:rPr>
          <w:rFonts w:hint="eastAsia" w:asciiTheme="majorEastAsia" w:hAnsiTheme="majorEastAsia" w:eastAsiaTheme="majorEastAsia" w:cstheme="majorEastAsia"/>
          <w:color w:val="auto"/>
          <w:sz w:val="21"/>
          <w:szCs w:val="21"/>
          <w:highlight w:val="none"/>
          <w:u w:val="single"/>
          <w:lang w:bidi="ar"/>
        </w:rPr>
        <w:t xml:space="preserve">                                        </w:t>
      </w:r>
    </w:p>
    <w:p w14:paraId="5D0DC3A5">
      <w:pPr>
        <w:keepNext w:val="0"/>
        <w:keepLines w:val="0"/>
        <w:widowControl/>
        <w:suppressLineNumbers w:val="0"/>
        <w:spacing w:before="0" w:beforeAutospacing="0" w:after="0" w:afterAutospacing="0" w:line="360" w:lineRule="auto"/>
        <w:ind w:left="0" w:right="150" w:firstLine="420" w:firstLineChars="200"/>
        <w:jc w:val="left"/>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 xml:space="preserve">             </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年</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月</w:t>
      </w:r>
      <w:r>
        <w:rPr>
          <w:rFonts w:hint="eastAsia" w:asciiTheme="majorEastAsia" w:hAnsiTheme="majorEastAsia" w:eastAsiaTheme="majorEastAsia" w:cstheme="majorEastAsia"/>
          <w:color w:val="auto"/>
          <w:sz w:val="21"/>
          <w:szCs w:val="21"/>
          <w:highlight w:val="none"/>
          <w:u w:val="single"/>
          <w:lang w:bidi="ar"/>
        </w:rPr>
        <w:t xml:space="preserve">      </w:t>
      </w:r>
      <w:r>
        <w:rPr>
          <w:rFonts w:hint="eastAsia" w:asciiTheme="majorEastAsia" w:hAnsiTheme="majorEastAsia" w:eastAsiaTheme="majorEastAsia" w:cstheme="majorEastAsia"/>
          <w:color w:val="auto"/>
          <w:sz w:val="21"/>
          <w:szCs w:val="21"/>
          <w:highlight w:val="none"/>
          <w:lang w:bidi="ar"/>
        </w:rPr>
        <w:t>日</w:t>
      </w:r>
    </w:p>
    <w:p w14:paraId="04A3D270">
      <w:pPr>
        <w:keepNext w:val="0"/>
        <w:keepLines w:val="0"/>
        <w:widowControl/>
        <w:suppressLineNumbers w:val="0"/>
        <w:spacing w:before="0" w:beforeAutospacing="0" w:after="0" w:afterAutospacing="0" w:line="440" w:lineRule="exact"/>
        <w:ind w:left="0" w:right="0"/>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br w:type="page"/>
      </w:r>
      <w:r>
        <w:rPr>
          <w:rFonts w:hint="eastAsia" w:asciiTheme="majorEastAsia" w:hAnsiTheme="majorEastAsia" w:eastAsiaTheme="majorEastAsia" w:cstheme="majorEastAsia"/>
          <w:color w:val="auto"/>
          <w:sz w:val="21"/>
          <w:szCs w:val="21"/>
          <w:highlight w:val="none"/>
          <w:lang w:bidi="ar"/>
        </w:rPr>
        <w:t>附件11：</w:t>
      </w:r>
    </w:p>
    <w:p w14:paraId="6D458615">
      <w:pPr>
        <w:keepNext w:val="0"/>
        <w:keepLines w:val="0"/>
        <w:widowControl/>
        <w:suppressLineNumbers w:val="0"/>
        <w:spacing w:before="120" w:beforeLines="50" w:beforeAutospacing="0" w:after="120" w:afterLines="50" w:afterAutospacing="0" w:line="440" w:lineRule="exact"/>
        <w:ind w:left="0" w:right="0"/>
        <w:jc w:val="center"/>
        <w:outlineLvl w:val="0"/>
        <w:rPr>
          <w:rFonts w:hint="eastAsia" w:asciiTheme="majorEastAsia" w:hAnsiTheme="majorEastAsia" w:eastAsiaTheme="majorEastAsia" w:cstheme="majorEastAsia"/>
          <w:color w:val="auto"/>
          <w:sz w:val="21"/>
          <w:szCs w:val="21"/>
          <w:highlight w:val="none"/>
          <w:lang w:bidi="ar"/>
        </w:rPr>
      </w:pPr>
      <w:bookmarkStart w:id="1116" w:name="_Toc3915"/>
      <w:bookmarkStart w:id="1117" w:name="_Toc32049"/>
      <w:bookmarkStart w:id="1118" w:name="_Toc17323"/>
      <w:bookmarkStart w:id="1119" w:name="_Toc7394"/>
      <w:bookmarkStart w:id="1120" w:name="_Toc9656"/>
      <w:r>
        <w:rPr>
          <w:rFonts w:hint="eastAsia" w:asciiTheme="majorEastAsia" w:hAnsiTheme="majorEastAsia" w:eastAsiaTheme="majorEastAsia" w:cstheme="majorEastAsia"/>
          <w:color w:val="auto"/>
          <w:sz w:val="21"/>
          <w:szCs w:val="21"/>
          <w:highlight w:val="none"/>
          <w:lang w:bidi="ar"/>
        </w:rPr>
        <w:t>11-1：材料暂估价表</w:t>
      </w:r>
      <w:bookmarkEnd w:id="1116"/>
      <w:bookmarkEnd w:id="1117"/>
      <w:bookmarkEnd w:id="1118"/>
      <w:bookmarkEnd w:id="1119"/>
      <w:bookmarkEnd w:id="1120"/>
    </w:p>
    <w:tbl>
      <w:tblPr>
        <w:tblStyle w:val="2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14:paraId="319B0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1DB7173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14:paraId="6FD365F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14:paraId="1F36A6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14:paraId="12E17F0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14:paraId="3CC133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14:paraId="3C00D56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14:paraId="07CC68C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备注</w:t>
            </w:r>
          </w:p>
        </w:tc>
      </w:tr>
      <w:tr w14:paraId="6A384A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09D50F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double" w:color="auto" w:sz="6" w:space="0"/>
              <w:left w:val="single" w:color="auto" w:sz="6" w:space="0"/>
              <w:bottom w:val="single" w:color="auto" w:sz="6" w:space="0"/>
              <w:right w:val="single" w:color="auto" w:sz="6" w:space="0"/>
            </w:tcBorders>
          </w:tcPr>
          <w:p w14:paraId="6DEBF54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double" w:color="auto" w:sz="6" w:space="0"/>
              <w:left w:val="single" w:color="auto" w:sz="6" w:space="0"/>
              <w:bottom w:val="single" w:color="auto" w:sz="6" w:space="0"/>
              <w:right w:val="single" w:color="auto" w:sz="6" w:space="0"/>
            </w:tcBorders>
          </w:tcPr>
          <w:p w14:paraId="5DEE9F0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double" w:color="auto" w:sz="6" w:space="0"/>
              <w:left w:val="single" w:color="auto" w:sz="6" w:space="0"/>
              <w:bottom w:val="single" w:color="auto" w:sz="6" w:space="0"/>
              <w:right w:val="single" w:color="auto" w:sz="6" w:space="0"/>
            </w:tcBorders>
          </w:tcPr>
          <w:p w14:paraId="0EB0EC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double" w:color="auto" w:sz="6" w:space="0"/>
              <w:left w:val="single" w:color="auto" w:sz="6" w:space="0"/>
              <w:bottom w:val="single" w:color="auto" w:sz="6" w:space="0"/>
              <w:right w:val="single" w:color="auto" w:sz="6" w:space="0"/>
            </w:tcBorders>
          </w:tcPr>
          <w:p w14:paraId="380C22D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double" w:color="auto" w:sz="6" w:space="0"/>
              <w:left w:val="single" w:color="auto" w:sz="6" w:space="0"/>
              <w:bottom w:val="single" w:color="auto" w:sz="6" w:space="0"/>
              <w:right w:val="single" w:color="auto" w:sz="6" w:space="0"/>
            </w:tcBorders>
          </w:tcPr>
          <w:p w14:paraId="1D5FA22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double" w:color="auto" w:sz="6" w:space="0"/>
              <w:left w:val="single" w:color="auto" w:sz="6" w:space="0"/>
              <w:bottom w:val="single" w:color="auto" w:sz="6" w:space="0"/>
              <w:right w:val="single" w:color="auto" w:sz="12" w:space="0"/>
            </w:tcBorders>
          </w:tcPr>
          <w:p w14:paraId="676DFA0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7BDF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60A4CD1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nil"/>
              <w:left w:val="single" w:color="auto" w:sz="6" w:space="0"/>
              <w:bottom w:val="single" w:color="auto" w:sz="6" w:space="0"/>
              <w:right w:val="single" w:color="auto" w:sz="6" w:space="0"/>
            </w:tcBorders>
          </w:tcPr>
          <w:p w14:paraId="30A7BFB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nil"/>
              <w:left w:val="single" w:color="auto" w:sz="6" w:space="0"/>
              <w:bottom w:val="single" w:color="auto" w:sz="6" w:space="0"/>
              <w:right w:val="single" w:color="auto" w:sz="6" w:space="0"/>
            </w:tcBorders>
          </w:tcPr>
          <w:p w14:paraId="5E69348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nil"/>
              <w:left w:val="single" w:color="auto" w:sz="6" w:space="0"/>
              <w:bottom w:val="single" w:color="auto" w:sz="6" w:space="0"/>
              <w:right w:val="single" w:color="auto" w:sz="6" w:space="0"/>
            </w:tcBorders>
          </w:tcPr>
          <w:p w14:paraId="17A21A3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nil"/>
              <w:left w:val="single" w:color="auto" w:sz="6" w:space="0"/>
              <w:bottom w:val="single" w:color="auto" w:sz="6" w:space="0"/>
              <w:right w:val="single" w:color="auto" w:sz="6" w:space="0"/>
            </w:tcBorders>
          </w:tcPr>
          <w:p w14:paraId="59D26D9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nil"/>
              <w:left w:val="single" w:color="auto" w:sz="6" w:space="0"/>
              <w:bottom w:val="single" w:color="auto" w:sz="6" w:space="0"/>
              <w:right w:val="single" w:color="auto" w:sz="6" w:space="0"/>
            </w:tcBorders>
          </w:tcPr>
          <w:p w14:paraId="235C0D5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nil"/>
              <w:left w:val="single" w:color="auto" w:sz="6" w:space="0"/>
              <w:bottom w:val="single" w:color="auto" w:sz="6" w:space="0"/>
              <w:right w:val="single" w:color="auto" w:sz="12" w:space="0"/>
            </w:tcBorders>
          </w:tcPr>
          <w:p w14:paraId="327BFE2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CC871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8077F1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6796AF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0D1CA9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26F6DF5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AEE02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EEB814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A5D178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E76C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201500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CB6922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6A34437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17A1A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63CE15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BAC095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BCBC56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A2C9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662B0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300919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4F32BC7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482052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115F5B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1574714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B5549B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1E756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0CBA9E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6FE470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4BFE4E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714586F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40ABB7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71750E4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AF62B7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4806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286277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D6C20B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89263A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285857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0F7A6DB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2E9D8B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D7870B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21990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D650AD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5755F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07B9BA7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3FB741A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F91FEC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7C0B22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51138F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BE602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FDF111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6E6ED72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C33A9D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F7C942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715E6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BA113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0A65CF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D498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FC76B1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A967F7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8D0590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515C14F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679D39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3A15B25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07DE30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06E9B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DECFB3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99A00A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D3E1C6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30F417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36D4D76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6568F9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C3379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AAF70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0C47F9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63EEB4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B475FC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7F4304D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3F0A02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3130D0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96EAD6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E2CE9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7476FA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6A5E491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7A2758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641034F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7CA672B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39D1548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27D11C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0C52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90FB4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6F3061B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2C2EEB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292CB45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729104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8B67BF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B36EC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03D1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5" w:hRule="atLeast"/>
        </w:trPr>
        <w:tc>
          <w:tcPr>
            <w:tcW w:w="993" w:type="dxa"/>
            <w:tcBorders>
              <w:top w:val="single" w:color="auto" w:sz="6" w:space="0"/>
              <w:left w:val="single" w:color="auto" w:sz="12" w:space="0"/>
              <w:bottom w:val="single" w:color="auto" w:sz="6" w:space="0"/>
              <w:right w:val="single" w:color="auto" w:sz="6" w:space="0"/>
            </w:tcBorders>
          </w:tcPr>
          <w:p w14:paraId="37B1BCE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49623EA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3AD46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3B13F94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0D739C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CD46C6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11EAA7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74EA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57E49A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1300B0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22712E8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385BD53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576935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8CEB8F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7964A16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8E22F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4C2796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1F59580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36EF95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6615736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20FBFB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DD2808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03F83E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0F4C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0A8A92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102B474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608B01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BD8F7C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06A98E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0BEC159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0228C32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19520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F5EF4D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295B22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269DB2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F4A40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F269D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3B05308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327FAF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DDB17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169215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81E144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7255A02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BF4225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DB56D5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B8518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5A8CB4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08C0D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1B7247D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12" w:space="0"/>
              <w:right w:val="single" w:color="auto" w:sz="6" w:space="0"/>
            </w:tcBorders>
          </w:tcPr>
          <w:p w14:paraId="144D407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12" w:space="0"/>
              <w:right w:val="single" w:color="auto" w:sz="6" w:space="0"/>
            </w:tcBorders>
          </w:tcPr>
          <w:p w14:paraId="58FA49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12" w:space="0"/>
              <w:right w:val="single" w:color="auto" w:sz="6" w:space="0"/>
            </w:tcBorders>
          </w:tcPr>
          <w:p w14:paraId="3549633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12" w:space="0"/>
              <w:right w:val="single" w:color="auto" w:sz="6" w:space="0"/>
            </w:tcBorders>
          </w:tcPr>
          <w:p w14:paraId="4D83711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12" w:space="0"/>
              <w:right w:val="single" w:color="auto" w:sz="6" w:space="0"/>
            </w:tcBorders>
          </w:tcPr>
          <w:p w14:paraId="0ECAD83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12" w:space="0"/>
              <w:right w:val="single" w:color="auto" w:sz="12" w:space="0"/>
            </w:tcBorders>
          </w:tcPr>
          <w:p w14:paraId="7A5328E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bl>
    <w:p w14:paraId="5B85EB5D">
      <w:pPr>
        <w:keepNext w:val="0"/>
        <w:keepLines w:val="0"/>
        <w:widowControl/>
        <w:suppressLineNumbers w:val="0"/>
        <w:spacing w:before="120" w:beforeLines="50" w:beforeAutospacing="0" w:after="120" w:afterLines="5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657C1386">
      <w:pPr>
        <w:keepNext w:val="0"/>
        <w:keepLines w:val="0"/>
        <w:widowControl/>
        <w:suppressLineNumbers w:val="0"/>
        <w:spacing w:before="120" w:beforeLines="50" w:beforeAutospacing="0" w:after="120" w:afterLines="5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72508E62">
      <w:pPr>
        <w:keepNext w:val="0"/>
        <w:keepLines w:val="0"/>
        <w:widowControl/>
        <w:suppressLineNumbers w:val="0"/>
        <w:spacing w:before="120" w:beforeLines="50" w:beforeAutospacing="0" w:after="120" w:afterLines="50" w:afterAutospacing="0" w:line="440" w:lineRule="exact"/>
        <w:ind w:left="0" w:right="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11-2：工程设备暂估价表</w:t>
      </w:r>
    </w:p>
    <w:tbl>
      <w:tblPr>
        <w:tblStyle w:val="25"/>
        <w:tblW w:w="0" w:type="auto"/>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2"/>
      </w:tblGrid>
      <w:tr w14:paraId="112E4C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left w:val="single" w:color="auto" w:sz="12" w:space="0"/>
              <w:bottom w:val="double" w:color="auto" w:sz="6" w:space="0"/>
              <w:right w:val="single" w:color="auto" w:sz="6" w:space="0"/>
            </w:tcBorders>
          </w:tcPr>
          <w:p w14:paraId="546D6DD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序号</w:t>
            </w:r>
          </w:p>
        </w:tc>
        <w:tc>
          <w:tcPr>
            <w:tcW w:w="1984" w:type="dxa"/>
            <w:tcBorders>
              <w:top w:val="single" w:color="auto" w:sz="12" w:space="0"/>
              <w:left w:val="single" w:color="auto" w:sz="6" w:space="0"/>
              <w:bottom w:val="double" w:color="auto" w:sz="6" w:space="0"/>
              <w:right w:val="single" w:color="auto" w:sz="6" w:space="0"/>
            </w:tcBorders>
          </w:tcPr>
          <w:p w14:paraId="46EDCC5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名称</w:t>
            </w:r>
          </w:p>
        </w:tc>
        <w:tc>
          <w:tcPr>
            <w:tcW w:w="851" w:type="dxa"/>
            <w:tcBorders>
              <w:top w:val="single" w:color="auto" w:sz="12" w:space="0"/>
              <w:left w:val="single" w:color="auto" w:sz="6" w:space="0"/>
              <w:bottom w:val="double" w:color="auto" w:sz="6" w:space="0"/>
              <w:right w:val="single" w:color="auto" w:sz="6" w:space="0"/>
            </w:tcBorders>
          </w:tcPr>
          <w:p w14:paraId="1A77C25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单位</w:t>
            </w:r>
          </w:p>
        </w:tc>
        <w:tc>
          <w:tcPr>
            <w:tcW w:w="774" w:type="dxa"/>
            <w:tcBorders>
              <w:top w:val="single" w:color="auto" w:sz="12" w:space="0"/>
              <w:left w:val="single" w:color="auto" w:sz="6" w:space="0"/>
              <w:bottom w:val="double" w:color="auto" w:sz="6" w:space="0"/>
              <w:right w:val="single" w:color="auto" w:sz="6" w:space="0"/>
            </w:tcBorders>
          </w:tcPr>
          <w:p w14:paraId="64FFBBA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数量</w:t>
            </w:r>
          </w:p>
        </w:tc>
        <w:tc>
          <w:tcPr>
            <w:tcW w:w="1352" w:type="dxa"/>
            <w:tcBorders>
              <w:top w:val="single" w:color="auto" w:sz="12" w:space="0"/>
              <w:left w:val="single" w:color="auto" w:sz="6" w:space="0"/>
              <w:bottom w:val="double" w:color="auto" w:sz="6" w:space="0"/>
              <w:right w:val="single" w:color="auto" w:sz="6" w:space="0"/>
            </w:tcBorders>
          </w:tcPr>
          <w:p w14:paraId="3EA7934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单价（元）</w:t>
            </w:r>
          </w:p>
        </w:tc>
        <w:tc>
          <w:tcPr>
            <w:tcW w:w="1418" w:type="dxa"/>
            <w:tcBorders>
              <w:top w:val="single" w:color="auto" w:sz="12" w:space="0"/>
              <w:left w:val="single" w:color="auto" w:sz="6" w:space="0"/>
              <w:bottom w:val="double" w:color="auto" w:sz="6" w:space="0"/>
              <w:right w:val="single" w:color="auto" w:sz="6" w:space="0"/>
            </w:tcBorders>
          </w:tcPr>
          <w:p w14:paraId="7C5C783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合价（元）</w:t>
            </w:r>
          </w:p>
        </w:tc>
        <w:tc>
          <w:tcPr>
            <w:tcW w:w="1702" w:type="dxa"/>
            <w:tcBorders>
              <w:top w:val="single" w:color="auto" w:sz="12" w:space="0"/>
              <w:left w:val="single" w:color="auto" w:sz="6" w:space="0"/>
              <w:bottom w:val="double" w:color="auto" w:sz="6" w:space="0"/>
              <w:right w:val="single" w:color="auto" w:sz="12" w:space="0"/>
            </w:tcBorders>
          </w:tcPr>
          <w:p w14:paraId="0FEEB40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备注</w:t>
            </w:r>
          </w:p>
        </w:tc>
      </w:tr>
      <w:tr w14:paraId="5B573B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left w:val="single" w:color="auto" w:sz="12" w:space="0"/>
              <w:bottom w:val="single" w:color="auto" w:sz="6" w:space="0"/>
              <w:right w:val="single" w:color="auto" w:sz="6" w:space="0"/>
            </w:tcBorders>
          </w:tcPr>
          <w:p w14:paraId="210D0DA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double" w:color="auto" w:sz="6" w:space="0"/>
              <w:left w:val="single" w:color="auto" w:sz="6" w:space="0"/>
              <w:bottom w:val="single" w:color="auto" w:sz="6" w:space="0"/>
              <w:right w:val="single" w:color="auto" w:sz="6" w:space="0"/>
            </w:tcBorders>
          </w:tcPr>
          <w:p w14:paraId="2D4D885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double" w:color="auto" w:sz="6" w:space="0"/>
              <w:left w:val="single" w:color="auto" w:sz="6" w:space="0"/>
              <w:bottom w:val="single" w:color="auto" w:sz="6" w:space="0"/>
              <w:right w:val="single" w:color="auto" w:sz="6" w:space="0"/>
            </w:tcBorders>
          </w:tcPr>
          <w:p w14:paraId="662345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double" w:color="auto" w:sz="6" w:space="0"/>
              <w:left w:val="single" w:color="auto" w:sz="6" w:space="0"/>
              <w:bottom w:val="single" w:color="auto" w:sz="6" w:space="0"/>
              <w:right w:val="single" w:color="auto" w:sz="6" w:space="0"/>
            </w:tcBorders>
          </w:tcPr>
          <w:p w14:paraId="66C2F0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double" w:color="auto" w:sz="6" w:space="0"/>
              <w:left w:val="single" w:color="auto" w:sz="6" w:space="0"/>
              <w:bottom w:val="single" w:color="auto" w:sz="6" w:space="0"/>
              <w:right w:val="single" w:color="auto" w:sz="6" w:space="0"/>
            </w:tcBorders>
          </w:tcPr>
          <w:p w14:paraId="4E6DFC1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double" w:color="auto" w:sz="6" w:space="0"/>
              <w:left w:val="single" w:color="auto" w:sz="6" w:space="0"/>
              <w:bottom w:val="single" w:color="auto" w:sz="6" w:space="0"/>
              <w:right w:val="single" w:color="auto" w:sz="6" w:space="0"/>
            </w:tcBorders>
          </w:tcPr>
          <w:p w14:paraId="1CCBCB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double" w:color="auto" w:sz="6" w:space="0"/>
              <w:left w:val="single" w:color="auto" w:sz="6" w:space="0"/>
              <w:bottom w:val="single" w:color="auto" w:sz="6" w:space="0"/>
              <w:right w:val="single" w:color="auto" w:sz="12" w:space="0"/>
            </w:tcBorders>
          </w:tcPr>
          <w:p w14:paraId="46E91A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42F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left w:val="single" w:color="auto" w:sz="12" w:space="0"/>
              <w:bottom w:val="single" w:color="auto" w:sz="6" w:space="0"/>
              <w:right w:val="single" w:color="auto" w:sz="6" w:space="0"/>
            </w:tcBorders>
          </w:tcPr>
          <w:p w14:paraId="47E15D5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nil"/>
              <w:left w:val="single" w:color="auto" w:sz="6" w:space="0"/>
              <w:bottom w:val="single" w:color="auto" w:sz="6" w:space="0"/>
              <w:right w:val="single" w:color="auto" w:sz="6" w:space="0"/>
            </w:tcBorders>
          </w:tcPr>
          <w:p w14:paraId="153B474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nil"/>
              <w:left w:val="single" w:color="auto" w:sz="6" w:space="0"/>
              <w:bottom w:val="single" w:color="auto" w:sz="6" w:space="0"/>
              <w:right w:val="single" w:color="auto" w:sz="6" w:space="0"/>
            </w:tcBorders>
          </w:tcPr>
          <w:p w14:paraId="791ECC4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nil"/>
              <w:left w:val="single" w:color="auto" w:sz="6" w:space="0"/>
              <w:bottom w:val="single" w:color="auto" w:sz="6" w:space="0"/>
              <w:right w:val="single" w:color="auto" w:sz="6" w:space="0"/>
            </w:tcBorders>
          </w:tcPr>
          <w:p w14:paraId="3C186B8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nil"/>
              <w:left w:val="single" w:color="auto" w:sz="6" w:space="0"/>
              <w:bottom w:val="single" w:color="auto" w:sz="6" w:space="0"/>
              <w:right w:val="single" w:color="auto" w:sz="6" w:space="0"/>
            </w:tcBorders>
          </w:tcPr>
          <w:p w14:paraId="5FA584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nil"/>
              <w:left w:val="single" w:color="auto" w:sz="6" w:space="0"/>
              <w:bottom w:val="single" w:color="auto" w:sz="6" w:space="0"/>
              <w:right w:val="single" w:color="auto" w:sz="6" w:space="0"/>
            </w:tcBorders>
          </w:tcPr>
          <w:p w14:paraId="4BFCABD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nil"/>
              <w:left w:val="single" w:color="auto" w:sz="6" w:space="0"/>
              <w:bottom w:val="single" w:color="auto" w:sz="6" w:space="0"/>
              <w:right w:val="single" w:color="auto" w:sz="12" w:space="0"/>
            </w:tcBorders>
          </w:tcPr>
          <w:p w14:paraId="38BB3B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0D7C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420931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6D03295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0668D15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0E46DB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D1BAE5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7CA41AC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AB0B6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ED472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20AAD3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03630EE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972F16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8D19F4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B27C7D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91F52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5A0C83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9EF39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211BB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D24B73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DD801A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F1B0D6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4587F86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7EAA2AB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B66F0B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51637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EA534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47E0D2A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454EF6B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3077948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D588B1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3600AD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33A586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E198A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EDEC3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FB2E10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96628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93836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4DD2DE2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2C5751C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1C874CA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6B6BA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71ECA7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756FEA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18CC86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67F17DB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54D7E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8BACC5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D3E6F3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B6DBB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84C6E1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4BF339E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B5C63E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57108C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4822208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0CC5691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62D7729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E38FE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2EC1D43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95B11A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1E9EC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7D470F4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436ADC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D464A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FF6045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D2507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0FE5087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E420F2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7F8F517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4FE007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15291D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311DB0D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670F841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7A662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0833A8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19181E3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2F886E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1F20EA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1B45F29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0A1C804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B801FD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933E6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1B6C771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5C8875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3D2D834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5F8705E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36EBEEF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3A763D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F54FD3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06C1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E8FA7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497351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7AB464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713BE98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00CEFE2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04525DB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623C00F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8672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4085E7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773474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0365FA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21C04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B345B7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3E62B8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555C422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38ABC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929EC0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2AA893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F99CB5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057224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6459191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09C496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5D1B5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0EE21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6314EC3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9593FC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2350342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7E89D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6D5326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1DA4C46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3C41A7A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73E63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7E0BBB5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4B51E38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C5E25C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234DF4D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762B332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151294D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3B96E53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33FEB9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D33A2B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597EF9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4224CC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4C7AA85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28EEC3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5A46947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20FBBAC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9918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5C80B36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39A0824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4CA73D8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6698E6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08B5F45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625BB5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45AD972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184BC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6" w:hRule="atLeast"/>
        </w:trPr>
        <w:tc>
          <w:tcPr>
            <w:tcW w:w="993" w:type="dxa"/>
            <w:tcBorders>
              <w:top w:val="single" w:color="auto" w:sz="6" w:space="0"/>
              <w:left w:val="single" w:color="auto" w:sz="12" w:space="0"/>
              <w:bottom w:val="single" w:color="auto" w:sz="6" w:space="0"/>
              <w:right w:val="single" w:color="auto" w:sz="6" w:space="0"/>
            </w:tcBorders>
          </w:tcPr>
          <w:p w14:paraId="6701E11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7902E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6686AF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10BF5B4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0DA32B1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99AB70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69594B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6A2A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6" w:space="0"/>
              <w:right w:val="single" w:color="auto" w:sz="6" w:space="0"/>
            </w:tcBorders>
          </w:tcPr>
          <w:p w14:paraId="319334C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6" w:space="0"/>
              <w:right w:val="single" w:color="auto" w:sz="6" w:space="0"/>
            </w:tcBorders>
          </w:tcPr>
          <w:p w14:paraId="25817B9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6" w:space="0"/>
              <w:right w:val="single" w:color="auto" w:sz="6" w:space="0"/>
            </w:tcBorders>
          </w:tcPr>
          <w:p w14:paraId="5AA4EA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6" w:space="0"/>
              <w:right w:val="single" w:color="auto" w:sz="6" w:space="0"/>
            </w:tcBorders>
          </w:tcPr>
          <w:p w14:paraId="0AD61B3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6" w:space="0"/>
              <w:right w:val="single" w:color="auto" w:sz="6" w:space="0"/>
            </w:tcBorders>
          </w:tcPr>
          <w:p w14:paraId="55802D6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6" w:space="0"/>
              <w:right w:val="single" w:color="auto" w:sz="6" w:space="0"/>
            </w:tcBorders>
          </w:tcPr>
          <w:p w14:paraId="475FC00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6" w:space="0"/>
              <w:right w:val="single" w:color="auto" w:sz="12" w:space="0"/>
            </w:tcBorders>
          </w:tcPr>
          <w:p w14:paraId="3450664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81497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6" w:space="0"/>
              <w:left w:val="single" w:color="auto" w:sz="12" w:space="0"/>
              <w:bottom w:val="single" w:color="auto" w:sz="12" w:space="0"/>
              <w:right w:val="single" w:color="auto" w:sz="6" w:space="0"/>
            </w:tcBorders>
          </w:tcPr>
          <w:p w14:paraId="166E9E0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984" w:type="dxa"/>
            <w:tcBorders>
              <w:top w:val="single" w:color="auto" w:sz="6" w:space="0"/>
              <w:left w:val="single" w:color="auto" w:sz="6" w:space="0"/>
              <w:bottom w:val="single" w:color="auto" w:sz="12" w:space="0"/>
              <w:right w:val="single" w:color="auto" w:sz="6" w:space="0"/>
            </w:tcBorders>
          </w:tcPr>
          <w:p w14:paraId="3144076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851" w:type="dxa"/>
            <w:tcBorders>
              <w:top w:val="single" w:color="auto" w:sz="6" w:space="0"/>
              <w:left w:val="single" w:color="auto" w:sz="6" w:space="0"/>
              <w:bottom w:val="single" w:color="auto" w:sz="12" w:space="0"/>
              <w:right w:val="single" w:color="auto" w:sz="6" w:space="0"/>
            </w:tcBorders>
          </w:tcPr>
          <w:p w14:paraId="3B924FF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774" w:type="dxa"/>
            <w:tcBorders>
              <w:top w:val="single" w:color="auto" w:sz="6" w:space="0"/>
              <w:left w:val="single" w:color="auto" w:sz="6" w:space="0"/>
              <w:bottom w:val="single" w:color="auto" w:sz="12" w:space="0"/>
              <w:right w:val="single" w:color="auto" w:sz="6" w:space="0"/>
            </w:tcBorders>
          </w:tcPr>
          <w:p w14:paraId="3536FE5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352" w:type="dxa"/>
            <w:tcBorders>
              <w:top w:val="single" w:color="auto" w:sz="6" w:space="0"/>
              <w:left w:val="single" w:color="auto" w:sz="6" w:space="0"/>
              <w:bottom w:val="single" w:color="auto" w:sz="12" w:space="0"/>
              <w:right w:val="single" w:color="auto" w:sz="6" w:space="0"/>
            </w:tcBorders>
          </w:tcPr>
          <w:p w14:paraId="1B871CE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418" w:type="dxa"/>
            <w:tcBorders>
              <w:top w:val="single" w:color="auto" w:sz="6" w:space="0"/>
              <w:left w:val="single" w:color="auto" w:sz="6" w:space="0"/>
              <w:bottom w:val="single" w:color="auto" w:sz="12" w:space="0"/>
              <w:right w:val="single" w:color="auto" w:sz="6" w:space="0"/>
            </w:tcBorders>
          </w:tcPr>
          <w:p w14:paraId="7F285886">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02" w:type="dxa"/>
            <w:tcBorders>
              <w:top w:val="single" w:color="auto" w:sz="6" w:space="0"/>
              <w:left w:val="single" w:color="auto" w:sz="6" w:space="0"/>
              <w:bottom w:val="single" w:color="auto" w:sz="12" w:space="0"/>
              <w:right w:val="single" w:color="auto" w:sz="12" w:space="0"/>
            </w:tcBorders>
          </w:tcPr>
          <w:p w14:paraId="305B995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bl>
    <w:p w14:paraId="53A13957">
      <w:pPr>
        <w:keepNext w:val="0"/>
        <w:keepLines w:val="0"/>
        <w:widowControl/>
        <w:suppressLineNumbers w:val="0"/>
        <w:spacing w:before="120" w:beforeLines="50" w:beforeAutospacing="0" w:after="120" w:afterLines="50" w:afterAutospacing="0" w:line="440" w:lineRule="exact"/>
        <w:ind w:left="0" w:right="0"/>
        <w:rPr>
          <w:rFonts w:hint="eastAsia" w:asciiTheme="majorEastAsia" w:hAnsiTheme="majorEastAsia" w:eastAsiaTheme="majorEastAsia" w:cstheme="majorEastAsia"/>
          <w:color w:val="auto"/>
          <w:sz w:val="21"/>
          <w:szCs w:val="21"/>
          <w:highlight w:val="none"/>
          <w:lang w:bidi="ar"/>
        </w:rPr>
      </w:pPr>
    </w:p>
    <w:p w14:paraId="75D7E88F">
      <w:pPr>
        <w:keepNext w:val="0"/>
        <w:keepLines w:val="0"/>
        <w:pageBreakBefore w:val="0"/>
        <w:widowControl/>
        <w:suppressLineNumbers w:val="0"/>
        <w:kinsoku/>
        <w:wordWrap/>
        <w:overflowPunct/>
        <w:topLinePunct w:val="0"/>
        <w:autoSpaceDE/>
        <w:autoSpaceDN/>
        <w:bidi w:val="0"/>
        <w:adjustRightInd/>
        <w:snapToGrid/>
        <w:spacing w:before="120" w:beforeLines="50" w:beforeAutospacing="0" w:afterAutospacing="0" w:line="440" w:lineRule="exact"/>
        <w:ind w:left="0" w:right="0"/>
        <w:jc w:val="center"/>
        <w:textAlignment w:val="auto"/>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11-3：专业工程暂估价表</w:t>
      </w:r>
    </w:p>
    <w:tbl>
      <w:tblPr>
        <w:tblStyle w:val="25"/>
        <w:tblW w:w="0" w:type="auto"/>
        <w:tblInd w:w="8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077"/>
        <w:gridCol w:w="2045"/>
        <w:gridCol w:w="4719"/>
        <w:gridCol w:w="1759"/>
      </w:tblGrid>
      <w:tr w14:paraId="2E56D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12" w:space="0"/>
              <w:left w:val="single" w:color="auto" w:sz="12" w:space="0"/>
              <w:bottom w:val="double" w:color="auto" w:sz="6" w:space="0"/>
              <w:right w:val="single" w:color="auto" w:sz="6" w:space="0"/>
            </w:tcBorders>
          </w:tcPr>
          <w:p w14:paraId="6AD6B1D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序号</w:t>
            </w:r>
          </w:p>
        </w:tc>
        <w:tc>
          <w:tcPr>
            <w:tcW w:w="2045" w:type="dxa"/>
            <w:tcBorders>
              <w:top w:val="single" w:color="auto" w:sz="12" w:space="0"/>
              <w:left w:val="single" w:color="auto" w:sz="6" w:space="0"/>
              <w:bottom w:val="double" w:color="auto" w:sz="6" w:space="0"/>
              <w:right w:val="single" w:color="auto" w:sz="6" w:space="0"/>
            </w:tcBorders>
          </w:tcPr>
          <w:p w14:paraId="4E41B71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专业工程名称</w:t>
            </w:r>
          </w:p>
        </w:tc>
        <w:tc>
          <w:tcPr>
            <w:tcW w:w="4719" w:type="dxa"/>
            <w:tcBorders>
              <w:top w:val="single" w:color="auto" w:sz="12" w:space="0"/>
              <w:left w:val="single" w:color="auto" w:sz="6" w:space="0"/>
              <w:bottom w:val="double" w:color="auto" w:sz="6" w:space="0"/>
              <w:right w:val="single" w:color="auto" w:sz="6" w:space="0"/>
            </w:tcBorders>
          </w:tcPr>
          <w:p w14:paraId="59EEC60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工程内容</w:t>
            </w:r>
          </w:p>
        </w:tc>
        <w:tc>
          <w:tcPr>
            <w:tcW w:w="1759" w:type="dxa"/>
            <w:tcBorders>
              <w:top w:val="single" w:color="auto" w:sz="12" w:space="0"/>
              <w:left w:val="single" w:color="auto" w:sz="6" w:space="0"/>
              <w:bottom w:val="double" w:color="auto" w:sz="6" w:space="0"/>
              <w:right w:val="single" w:color="auto" w:sz="12" w:space="0"/>
            </w:tcBorders>
          </w:tcPr>
          <w:p w14:paraId="52AEEAF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金额</w:t>
            </w:r>
          </w:p>
        </w:tc>
      </w:tr>
      <w:tr w14:paraId="1D6181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double" w:color="auto" w:sz="6" w:space="0"/>
              <w:left w:val="single" w:color="auto" w:sz="12" w:space="0"/>
              <w:bottom w:val="single" w:color="auto" w:sz="6" w:space="0"/>
              <w:right w:val="single" w:color="auto" w:sz="6" w:space="0"/>
            </w:tcBorders>
          </w:tcPr>
          <w:p w14:paraId="6B5E16D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double" w:color="auto" w:sz="6" w:space="0"/>
              <w:left w:val="single" w:color="auto" w:sz="6" w:space="0"/>
              <w:bottom w:val="single" w:color="auto" w:sz="6" w:space="0"/>
              <w:right w:val="single" w:color="auto" w:sz="6" w:space="0"/>
            </w:tcBorders>
          </w:tcPr>
          <w:p w14:paraId="4D639D1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double" w:color="auto" w:sz="6" w:space="0"/>
              <w:left w:val="single" w:color="auto" w:sz="6" w:space="0"/>
              <w:bottom w:val="single" w:color="auto" w:sz="6" w:space="0"/>
              <w:right w:val="single" w:color="auto" w:sz="6" w:space="0"/>
            </w:tcBorders>
          </w:tcPr>
          <w:p w14:paraId="51928DA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double" w:color="auto" w:sz="6" w:space="0"/>
              <w:left w:val="single" w:color="auto" w:sz="6" w:space="0"/>
              <w:bottom w:val="single" w:color="auto" w:sz="6" w:space="0"/>
              <w:right w:val="single" w:color="auto" w:sz="12" w:space="0"/>
            </w:tcBorders>
          </w:tcPr>
          <w:p w14:paraId="5A1164A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C089E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nil"/>
              <w:left w:val="single" w:color="auto" w:sz="12" w:space="0"/>
              <w:bottom w:val="single" w:color="auto" w:sz="6" w:space="0"/>
              <w:right w:val="single" w:color="auto" w:sz="6" w:space="0"/>
            </w:tcBorders>
          </w:tcPr>
          <w:p w14:paraId="48CBF2D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nil"/>
              <w:left w:val="single" w:color="auto" w:sz="6" w:space="0"/>
              <w:bottom w:val="single" w:color="auto" w:sz="6" w:space="0"/>
              <w:right w:val="single" w:color="auto" w:sz="6" w:space="0"/>
            </w:tcBorders>
          </w:tcPr>
          <w:p w14:paraId="27B8ADB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nil"/>
              <w:left w:val="single" w:color="auto" w:sz="6" w:space="0"/>
              <w:bottom w:val="single" w:color="auto" w:sz="6" w:space="0"/>
              <w:right w:val="single" w:color="auto" w:sz="6" w:space="0"/>
            </w:tcBorders>
          </w:tcPr>
          <w:p w14:paraId="77101E3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nil"/>
              <w:left w:val="single" w:color="auto" w:sz="6" w:space="0"/>
              <w:bottom w:val="single" w:color="auto" w:sz="6" w:space="0"/>
              <w:right w:val="single" w:color="auto" w:sz="12" w:space="0"/>
            </w:tcBorders>
          </w:tcPr>
          <w:p w14:paraId="1F2852C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255F8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nil"/>
              <w:left w:val="single" w:color="auto" w:sz="12" w:space="0"/>
              <w:bottom w:val="single" w:color="auto" w:sz="6" w:space="0"/>
              <w:right w:val="single" w:color="auto" w:sz="6" w:space="0"/>
            </w:tcBorders>
          </w:tcPr>
          <w:p w14:paraId="7018EA1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nil"/>
              <w:left w:val="single" w:color="auto" w:sz="6" w:space="0"/>
              <w:bottom w:val="single" w:color="auto" w:sz="6" w:space="0"/>
              <w:right w:val="single" w:color="auto" w:sz="6" w:space="0"/>
            </w:tcBorders>
          </w:tcPr>
          <w:p w14:paraId="482CB9F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nil"/>
              <w:left w:val="single" w:color="auto" w:sz="6" w:space="0"/>
              <w:bottom w:val="single" w:color="auto" w:sz="6" w:space="0"/>
              <w:right w:val="single" w:color="auto" w:sz="6" w:space="0"/>
            </w:tcBorders>
          </w:tcPr>
          <w:p w14:paraId="0B3AA5D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nil"/>
              <w:left w:val="single" w:color="auto" w:sz="6" w:space="0"/>
              <w:bottom w:val="single" w:color="auto" w:sz="6" w:space="0"/>
              <w:right w:val="single" w:color="auto" w:sz="12" w:space="0"/>
            </w:tcBorders>
          </w:tcPr>
          <w:p w14:paraId="3AA2BF8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98466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6CFD8EB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32CFB41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41CCDD9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3CBF47B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C34C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107365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2746DC2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23444D0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7A143F9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46E3C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630646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23DFE7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5E905C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78BC56B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8EC5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097AE79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6C9B2AD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6536FE7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517261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ED903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77" w:type="dxa"/>
            <w:tcBorders>
              <w:top w:val="single" w:color="auto" w:sz="6" w:space="0"/>
              <w:left w:val="single" w:color="auto" w:sz="12" w:space="0"/>
              <w:bottom w:val="single" w:color="auto" w:sz="6" w:space="0"/>
              <w:right w:val="single" w:color="auto" w:sz="6" w:space="0"/>
            </w:tcBorders>
          </w:tcPr>
          <w:p w14:paraId="2C8092B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1264D92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5CDFCC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54A04E3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67B7E3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0B4E11E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67428EC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2A6AC12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480FD9E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DA7D2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6DE7CC7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47ED3C5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6E12F8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2C3E561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9A55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54040DB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2474AF8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72C31BA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573A662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708B0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23B8E16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2EC2F95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3B94606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6ECDD5A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A30C6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5736C1E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79C72B8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24210A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4223C16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865F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2A643800">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0E6C8A8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4D66644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4B30303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7B9460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19110E5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7244D5F7">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2F9B8F4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5C1500A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880DD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117CCDD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300E4BE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09E548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345D629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2FA75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6CDBC40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0CA45C45">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BB53F3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5EB2E05D">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E6E5D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15C26C6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62AE241F">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2ECCBEC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46E4605C">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45CB83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5889E9F2">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13F74E1E">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FB5B65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03D6CE3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0C86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1077" w:type="dxa"/>
            <w:tcBorders>
              <w:top w:val="single" w:color="auto" w:sz="6" w:space="0"/>
              <w:left w:val="single" w:color="auto" w:sz="12" w:space="0"/>
              <w:bottom w:val="single" w:color="auto" w:sz="6" w:space="0"/>
              <w:right w:val="single" w:color="auto" w:sz="6" w:space="0"/>
            </w:tcBorders>
          </w:tcPr>
          <w:p w14:paraId="3030F8B3">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6952970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033789CB">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27938D3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1BE41F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077" w:type="dxa"/>
            <w:tcBorders>
              <w:top w:val="single" w:color="auto" w:sz="6" w:space="0"/>
              <w:left w:val="single" w:color="auto" w:sz="12" w:space="0"/>
              <w:bottom w:val="single" w:color="auto" w:sz="6" w:space="0"/>
              <w:right w:val="single" w:color="auto" w:sz="6" w:space="0"/>
            </w:tcBorders>
          </w:tcPr>
          <w:p w14:paraId="397AE2F1">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2045" w:type="dxa"/>
            <w:tcBorders>
              <w:top w:val="single" w:color="auto" w:sz="6" w:space="0"/>
              <w:left w:val="single" w:color="auto" w:sz="6" w:space="0"/>
              <w:bottom w:val="single" w:color="auto" w:sz="6" w:space="0"/>
              <w:right w:val="single" w:color="auto" w:sz="6" w:space="0"/>
            </w:tcBorders>
          </w:tcPr>
          <w:p w14:paraId="3EFAA89A">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4719" w:type="dxa"/>
            <w:tcBorders>
              <w:top w:val="single" w:color="auto" w:sz="6" w:space="0"/>
              <w:left w:val="single" w:color="auto" w:sz="6" w:space="0"/>
              <w:bottom w:val="single" w:color="auto" w:sz="6" w:space="0"/>
              <w:right w:val="single" w:color="auto" w:sz="6" w:space="0"/>
            </w:tcBorders>
          </w:tcPr>
          <w:p w14:paraId="7BC1B398">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c>
          <w:tcPr>
            <w:tcW w:w="1759" w:type="dxa"/>
            <w:tcBorders>
              <w:top w:val="single" w:color="auto" w:sz="6" w:space="0"/>
              <w:left w:val="single" w:color="auto" w:sz="6" w:space="0"/>
              <w:bottom w:val="single" w:color="auto" w:sz="6" w:space="0"/>
              <w:right w:val="single" w:color="auto" w:sz="12" w:space="0"/>
            </w:tcBorders>
          </w:tcPr>
          <w:p w14:paraId="047C3564">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p>
        </w:tc>
      </w:tr>
      <w:tr w14:paraId="57A46D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600" w:type="dxa"/>
            <w:gridSpan w:val="4"/>
            <w:tcBorders>
              <w:top w:val="single" w:color="auto" w:sz="6" w:space="0"/>
              <w:left w:val="single" w:color="auto" w:sz="12" w:space="0"/>
              <w:bottom w:val="single" w:color="auto" w:sz="12" w:space="0"/>
              <w:right w:val="single" w:color="auto" w:sz="12" w:space="0"/>
            </w:tcBorders>
          </w:tcPr>
          <w:p w14:paraId="696811A9">
            <w:pPr>
              <w:keepNext/>
              <w:keepLines w:val="0"/>
              <w:widowControl/>
              <w:suppressLineNumbers w:val="0"/>
              <w:adjustRightInd w:val="0"/>
              <w:spacing w:before="0" w:beforeAutospacing="0" w:after="60" w:afterAutospacing="0" w:line="440" w:lineRule="exact"/>
              <w:ind w:left="63" w:leftChars="30" w:right="63" w:rightChars="30"/>
              <w:jc w:val="center"/>
              <w:rPr>
                <w:rFonts w:hint="eastAsia" w:asciiTheme="majorEastAsia" w:hAnsiTheme="majorEastAsia" w:eastAsiaTheme="majorEastAsia" w:cstheme="majorEastAsia"/>
                <w:color w:val="auto"/>
                <w:sz w:val="21"/>
                <w:szCs w:val="21"/>
                <w:highlight w:val="none"/>
                <w:lang w:bidi="ar"/>
              </w:rPr>
            </w:pPr>
            <w:r>
              <w:rPr>
                <w:rFonts w:hint="eastAsia" w:asciiTheme="majorEastAsia" w:hAnsiTheme="majorEastAsia" w:eastAsiaTheme="majorEastAsia" w:cstheme="majorEastAsia"/>
                <w:color w:val="auto"/>
                <w:sz w:val="21"/>
                <w:szCs w:val="21"/>
                <w:highlight w:val="none"/>
                <w:lang w:bidi="ar"/>
              </w:rPr>
              <w:t>小计：</w:t>
            </w:r>
          </w:p>
        </w:tc>
      </w:tr>
    </w:tbl>
    <w:p w14:paraId="15B507DF">
      <w:pPr>
        <w:pStyle w:val="11"/>
        <w:rPr>
          <w:rFonts w:hint="eastAsia"/>
          <w:color w:val="auto"/>
        </w:rPr>
      </w:pPr>
    </w:p>
    <w:p w14:paraId="761B49A6">
      <w:pPr>
        <w:pStyle w:val="2"/>
        <w:tabs>
          <w:tab w:val="left" w:pos="0"/>
        </w:tabs>
        <w:autoSpaceDE w:val="0"/>
        <w:autoSpaceDN w:val="0"/>
        <w:adjustRightInd w:val="0"/>
        <w:spacing w:before="0" w:after="0" w:line="240" w:lineRule="auto"/>
        <w:jc w:val="center"/>
        <w:rPr>
          <w:rFonts w:hint="eastAsia" w:ascii="宋体" w:hAnsi="宋体" w:eastAsia="宋体" w:cs="宋体"/>
          <w:b/>
          <w:color w:val="auto"/>
          <w:spacing w:val="-6"/>
          <w:kern w:val="0"/>
          <w:sz w:val="44"/>
          <w:szCs w:val="44"/>
          <w:highlight w:val="none"/>
          <w:u w:val="single"/>
        </w:rPr>
      </w:pPr>
      <w:r>
        <w:rPr>
          <w:rFonts w:hint="eastAsia" w:ascii="宋体" w:hAnsi="宋体" w:eastAsia="宋体" w:cs="宋体"/>
          <w:color w:val="auto"/>
          <w:sz w:val="44"/>
          <w:szCs w:val="44"/>
          <w:highlight w:val="none"/>
        </w:rPr>
        <w:t xml:space="preserve">第六章  </w:t>
      </w:r>
      <w:bookmarkEnd w:id="219"/>
      <w:r>
        <w:rPr>
          <w:rFonts w:hint="eastAsia" w:ascii="宋体" w:hAnsi="宋体" w:eastAsia="宋体" w:cs="宋体"/>
          <w:color w:val="auto"/>
          <w:sz w:val="44"/>
          <w:szCs w:val="44"/>
          <w:highlight w:val="none"/>
        </w:rPr>
        <w:t>竞争性磋商响应文件格式</w:t>
      </w:r>
    </w:p>
    <w:p w14:paraId="45BDFD92">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268F28F5">
      <w:pPr>
        <w:spacing w:line="360" w:lineRule="auto"/>
        <w:ind w:firstLine="309" w:firstLineChars="100"/>
        <w:jc w:val="center"/>
        <w:rPr>
          <w:rFonts w:hint="eastAsia" w:ascii="宋体" w:hAnsi="宋体" w:cs="宋体"/>
          <w:b/>
          <w:color w:val="auto"/>
          <w:spacing w:val="-6"/>
          <w:kern w:val="0"/>
          <w:sz w:val="32"/>
          <w:szCs w:val="32"/>
          <w:highlight w:val="none"/>
          <w:u w:val="single"/>
        </w:rPr>
      </w:pPr>
    </w:p>
    <w:p w14:paraId="5628BB20">
      <w:pPr>
        <w:spacing w:line="360" w:lineRule="auto"/>
        <w:ind w:firstLine="430" w:firstLineChars="100"/>
        <w:jc w:val="center"/>
        <w:rPr>
          <w:rFonts w:hint="eastAsia" w:ascii="宋体" w:hAnsi="宋体" w:eastAsia="宋体" w:cs="宋体"/>
          <w:b/>
          <w:color w:val="auto"/>
          <w:spacing w:val="-6"/>
          <w:kern w:val="0"/>
          <w:sz w:val="44"/>
          <w:szCs w:val="44"/>
          <w:highlight w:val="none"/>
          <w:u w:val="single"/>
          <w:lang w:eastAsia="zh-CN"/>
        </w:rPr>
      </w:pPr>
      <w:r>
        <w:rPr>
          <w:rFonts w:hint="eastAsia" w:ascii="宋体" w:hAnsi="宋体" w:cs="宋体"/>
          <w:b/>
          <w:color w:val="auto"/>
          <w:spacing w:val="-6"/>
          <w:kern w:val="0"/>
          <w:sz w:val="44"/>
          <w:szCs w:val="44"/>
          <w:highlight w:val="none"/>
          <w:u w:val="single"/>
          <w:lang w:eastAsia="zh-CN"/>
        </w:rPr>
        <w:t>瑞丽市人民医院肾内科血液净化中心改造项目</w:t>
      </w:r>
    </w:p>
    <w:p w14:paraId="6296E92C">
      <w:pPr>
        <w:pStyle w:val="10"/>
        <w:spacing w:line="360" w:lineRule="auto"/>
        <w:rPr>
          <w:rFonts w:ascii="宋体" w:hAnsi="宋体" w:cs="宋体"/>
          <w:b/>
          <w:bCs/>
          <w:color w:val="auto"/>
          <w:sz w:val="36"/>
          <w:szCs w:val="36"/>
          <w:highlight w:val="none"/>
        </w:rPr>
      </w:pPr>
    </w:p>
    <w:p w14:paraId="39E7FB7F">
      <w:pPr>
        <w:autoSpaceDE w:val="0"/>
        <w:autoSpaceDN w:val="0"/>
        <w:adjustRightInd w:val="0"/>
        <w:spacing w:line="360" w:lineRule="auto"/>
        <w:jc w:val="center"/>
        <w:rPr>
          <w:rFonts w:ascii="宋体" w:hAnsi="宋体" w:cs="宋体"/>
          <w:b/>
          <w:color w:val="auto"/>
          <w:kern w:val="0"/>
          <w:sz w:val="28"/>
          <w:szCs w:val="28"/>
          <w:highlight w:val="none"/>
        </w:rPr>
      </w:pPr>
    </w:p>
    <w:p w14:paraId="181609BC">
      <w:pPr>
        <w:autoSpaceDE w:val="0"/>
        <w:autoSpaceDN w:val="0"/>
        <w:adjustRightInd w:val="0"/>
        <w:spacing w:line="360" w:lineRule="auto"/>
        <w:jc w:val="center"/>
        <w:rPr>
          <w:rFonts w:ascii="宋体" w:hAnsi="宋体" w:cs="宋体"/>
          <w:b/>
          <w:color w:val="auto"/>
          <w:kern w:val="0"/>
          <w:sz w:val="36"/>
          <w:szCs w:val="36"/>
          <w:highlight w:val="none"/>
        </w:rPr>
      </w:pPr>
    </w:p>
    <w:p w14:paraId="67C7F1F5">
      <w:pPr>
        <w:jc w:val="both"/>
        <w:rPr>
          <w:rFonts w:ascii="宋体" w:hAnsi="宋体" w:cs="宋体"/>
          <w:b/>
          <w:color w:val="auto"/>
          <w:sz w:val="72"/>
          <w:szCs w:val="72"/>
          <w:highlight w:val="none"/>
        </w:rPr>
      </w:pPr>
    </w:p>
    <w:p w14:paraId="331B5E63">
      <w:pPr>
        <w:jc w:val="center"/>
        <w:rPr>
          <w:rFonts w:ascii="宋体" w:hAnsi="宋体" w:cs="宋体"/>
          <w:b/>
          <w:color w:val="auto"/>
          <w:sz w:val="72"/>
          <w:szCs w:val="72"/>
          <w:highlight w:val="none"/>
        </w:rPr>
      </w:pPr>
    </w:p>
    <w:p w14:paraId="2D2BB0C9">
      <w:pPr>
        <w:jc w:val="center"/>
        <w:rPr>
          <w:rFonts w:ascii="宋体" w:hAnsi="宋体" w:cs="宋体"/>
          <w:b/>
          <w:color w:val="auto"/>
          <w:sz w:val="52"/>
          <w:szCs w:val="52"/>
          <w:highlight w:val="none"/>
        </w:rPr>
      </w:pPr>
      <w:r>
        <w:rPr>
          <w:rFonts w:hint="eastAsia" w:ascii="宋体" w:hAnsi="宋体" w:cs="宋体"/>
          <w:b/>
          <w:color w:val="auto"/>
          <w:sz w:val="52"/>
          <w:szCs w:val="52"/>
          <w:highlight w:val="none"/>
        </w:rPr>
        <w:t>竞争性磋商响应文件</w:t>
      </w:r>
    </w:p>
    <w:p w14:paraId="782E67AB">
      <w:pPr>
        <w:pStyle w:val="13"/>
        <w:ind w:left="0" w:leftChars="0" w:firstLine="0" w:firstLineChars="0"/>
        <w:jc w:val="center"/>
        <w:rPr>
          <w:rFonts w:hint="default" w:ascii="宋体" w:hAnsi="宋体" w:eastAsia="宋体" w:cs="宋体"/>
          <w:color w:val="auto"/>
          <w:sz w:val="32"/>
          <w:highlight w:val="none"/>
          <w:lang w:val="en-US" w:eastAsia="zh-CN"/>
        </w:rPr>
      </w:pPr>
      <w:r>
        <w:rPr>
          <w:rFonts w:hint="eastAsia" w:ascii="宋体" w:hAnsi="宋体" w:eastAsia="宋体" w:cs="宋体"/>
          <w:color w:val="auto"/>
          <w:sz w:val="28"/>
          <w:szCs w:val="28"/>
          <w:highlight w:val="none"/>
        </w:rPr>
        <w:t>招标编号：</w:t>
      </w:r>
      <w:r>
        <w:rPr>
          <w:rFonts w:hint="eastAsia" w:ascii="宋体" w:hAnsi="宋体" w:cs="宋体"/>
          <w:color w:val="auto"/>
          <w:sz w:val="28"/>
          <w:szCs w:val="28"/>
          <w:highlight w:val="none"/>
          <w:lang w:eastAsia="zh-CN"/>
        </w:rPr>
        <w:t>YNHYRL2026-16（磋）</w:t>
      </w:r>
    </w:p>
    <w:p w14:paraId="7F45509C">
      <w:pPr>
        <w:autoSpaceDE w:val="0"/>
        <w:autoSpaceDN w:val="0"/>
        <w:adjustRightInd w:val="0"/>
        <w:spacing w:line="360" w:lineRule="auto"/>
        <w:jc w:val="left"/>
        <w:rPr>
          <w:rFonts w:ascii="宋体" w:hAnsi="宋体" w:cs="宋体"/>
          <w:color w:val="auto"/>
          <w:kern w:val="0"/>
          <w:sz w:val="24"/>
          <w:highlight w:val="none"/>
        </w:rPr>
      </w:pPr>
    </w:p>
    <w:p w14:paraId="073C5270">
      <w:pPr>
        <w:autoSpaceDE w:val="0"/>
        <w:autoSpaceDN w:val="0"/>
        <w:adjustRightInd w:val="0"/>
        <w:spacing w:line="360" w:lineRule="auto"/>
        <w:jc w:val="left"/>
        <w:rPr>
          <w:rFonts w:ascii="宋体" w:hAnsi="宋体" w:cs="宋体"/>
          <w:color w:val="auto"/>
          <w:kern w:val="0"/>
          <w:sz w:val="24"/>
          <w:highlight w:val="none"/>
        </w:rPr>
      </w:pPr>
    </w:p>
    <w:p w14:paraId="142F47F4">
      <w:pPr>
        <w:autoSpaceDE w:val="0"/>
        <w:autoSpaceDN w:val="0"/>
        <w:adjustRightInd w:val="0"/>
        <w:spacing w:line="360" w:lineRule="auto"/>
        <w:jc w:val="left"/>
        <w:rPr>
          <w:rFonts w:ascii="宋体" w:hAnsi="宋体" w:cs="宋体"/>
          <w:color w:val="auto"/>
          <w:kern w:val="0"/>
          <w:sz w:val="24"/>
          <w:highlight w:val="none"/>
        </w:rPr>
      </w:pPr>
    </w:p>
    <w:p w14:paraId="2361F24C">
      <w:pPr>
        <w:autoSpaceDE w:val="0"/>
        <w:autoSpaceDN w:val="0"/>
        <w:adjustRightInd w:val="0"/>
        <w:spacing w:line="360" w:lineRule="auto"/>
        <w:jc w:val="left"/>
        <w:rPr>
          <w:rFonts w:ascii="宋体" w:hAnsi="宋体" w:cs="宋体"/>
          <w:color w:val="auto"/>
          <w:kern w:val="0"/>
          <w:sz w:val="24"/>
          <w:highlight w:val="none"/>
        </w:rPr>
      </w:pPr>
    </w:p>
    <w:p w14:paraId="1A44717B">
      <w:pPr>
        <w:autoSpaceDE w:val="0"/>
        <w:autoSpaceDN w:val="0"/>
        <w:adjustRightInd w:val="0"/>
        <w:spacing w:line="360" w:lineRule="auto"/>
        <w:jc w:val="left"/>
        <w:rPr>
          <w:rFonts w:ascii="宋体" w:hAnsi="宋体" w:cs="宋体"/>
          <w:color w:val="auto"/>
          <w:kern w:val="0"/>
          <w:sz w:val="24"/>
          <w:highlight w:val="none"/>
        </w:rPr>
      </w:pPr>
    </w:p>
    <w:p w14:paraId="06EAE0C3">
      <w:pPr>
        <w:autoSpaceDE w:val="0"/>
        <w:autoSpaceDN w:val="0"/>
        <w:adjustRightInd w:val="0"/>
        <w:spacing w:line="360" w:lineRule="auto"/>
        <w:jc w:val="left"/>
        <w:rPr>
          <w:rFonts w:ascii="宋体" w:hAnsi="宋体" w:cs="宋体"/>
          <w:color w:val="auto"/>
          <w:kern w:val="0"/>
          <w:sz w:val="24"/>
          <w:highlight w:val="none"/>
        </w:rPr>
      </w:pPr>
    </w:p>
    <w:p w14:paraId="0D1032E7">
      <w:pPr>
        <w:autoSpaceDE w:val="0"/>
        <w:autoSpaceDN w:val="0"/>
        <w:adjustRightInd w:val="0"/>
        <w:spacing w:line="360" w:lineRule="auto"/>
        <w:jc w:val="both"/>
        <w:rPr>
          <w:rFonts w:hint="default"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 xml:space="preserve">          </w:t>
      </w:r>
    </w:p>
    <w:p w14:paraId="0FD7BCC5">
      <w:pPr>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lang w:eastAsia="zh-CN"/>
        </w:rPr>
        <w:t>供应商名称</w:t>
      </w:r>
      <w:r>
        <w:rPr>
          <w:rFonts w:hint="eastAsia" w:ascii="宋体" w:hAnsi="宋体" w:cs="宋体"/>
          <w:b/>
          <w:color w:val="auto"/>
          <w:kern w:val="0"/>
          <w:sz w:val="24"/>
          <w:highlight w:val="none"/>
        </w:rPr>
        <w:t>：_____________________________ （</w:t>
      </w:r>
      <w:r>
        <w:rPr>
          <w:rFonts w:hint="eastAsia" w:ascii="宋体" w:hAnsi="宋体" w:cs="宋体"/>
          <w:b/>
          <w:color w:val="auto"/>
          <w:kern w:val="0"/>
          <w:sz w:val="24"/>
          <w:highlight w:val="none"/>
          <w:lang w:val="en-US" w:eastAsia="zh-CN"/>
        </w:rPr>
        <w:t>加盖单位公章或电子公章</w:t>
      </w:r>
      <w:r>
        <w:rPr>
          <w:rFonts w:hint="eastAsia" w:ascii="宋体" w:hAnsi="宋体" w:cs="宋体"/>
          <w:b/>
          <w:color w:val="auto"/>
          <w:kern w:val="0"/>
          <w:sz w:val="24"/>
          <w:highlight w:val="none"/>
        </w:rPr>
        <w:t>）</w:t>
      </w:r>
    </w:p>
    <w:p w14:paraId="6CE34AFE">
      <w:pPr>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法定代表人或其委托代理人：_____________ （</w:t>
      </w:r>
      <w:r>
        <w:rPr>
          <w:rFonts w:hint="eastAsia" w:ascii="宋体" w:hAnsi="宋体" w:cs="宋体"/>
          <w:b/>
          <w:color w:val="auto"/>
          <w:kern w:val="0"/>
          <w:sz w:val="24"/>
          <w:highlight w:val="none"/>
          <w:lang w:val="en-US" w:eastAsia="zh-CN"/>
        </w:rPr>
        <w:t>签字或电子签章或电子签名</w:t>
      </w:r>
      <w:r>
        <w:rPr>
          <w:rFonts w:hint="eastAsia" w:ascii="宋体" w:hAnsi="宋体" w:cs="宋体"/>
          <w:b/>
          <w:color w:val="auto"/>
          <w:kern w:val="0"/>
          <w:sz w:val="24"/>
          <w:highlight w:val="none"/>
        </w:rPr>
        <w:t>）</w:t>
      </w:r>
    </w:p>
    <w:p w14:paraId="27AD8D88">
      <w:pPr>
        <w:keepNext w:val="0"/>
        <w:keepLines w:val="0"/>
        <w:pageBreakBefore w:val="0"/>
        <w:widowControl w:val="0"/>
        <w:kinsoku/>
        <w:wordWrap/>
        <w:overflowPunct/>
        <w:topLinePunct w:val="0"/>
        <w:autoSpaceDE w:val="0"/>
        <w:autoSpaceDN w:val="0"/>
        <w:bidi w:val="0"/>
        <w:adjustRightInd w:val="0"/>
        <w:snapToGrid/>
        <w:spacing w:line="480" w:lineRule="auto"/>
        <w:jc w:val="center"/>
        <w:textAlignment w:val="auto"/>
        <w:rPr>
          <w:rFonts w:ascii="宋体" w:hAnsi="宋体" w:cs="宋体"/>
          <w:b/>
          <w:color w:val="auto"/>
          <w:kern w:val="0"/>
          <w:sz w:val="24"/>
          <w:highlight w:val="none"/>
        </w:rPr>
      </w:pPr>
      <w:r>
        <w:rPr>
          <w:rFonts w:hint="eastAsia" w:ascii="宋体" w:hAnsi="宋体" w:cs="宋体"/>
          <w:b/>
          <w:color w:val="auto"/>
          <w:kern w:val="0"/>
          <w:sz w:val="24"/>
          <w:highlight w:val="none"/>
        </w:rPr>
        <w:t>______年____月____日</w:t>
      </w:r>
    </w:p>
    <w:p w14:paraId="75AB44B4">
      <w:pPr>
        <w:autoSpaceDE w:val="0"/>
        <w:autoSpaceDN w:val="0"/>
        <w:adjustRightInd w:val="0"/>
        <w:spacing w:line="360" w:lineRule="auto"/>
        <w:ind w:firstLine="482" w:firstLineChars="200"/>
        <w:jc w:val="center"/>
        <w:rPr>
          <w:rFonts w:hint="eastAsia" w:ascii="宋体" w:hAnsi="宋体" w:cs="宋体"/>
          <w:b/>
          <w:color w:val="auto"/>
          <w:kern w:val="0"/>
          <w:sz w:val="24"/>
          <w:highlight w:val="none"/>
        </w:rPr>
        <w:sectPr>
          <w:headerReference r:id="rId12" w:type="first"/>
          <w:footerReference r:id="rId14" w:type="first"/>
          <w:headerReference r:id="rId11" w:type="default"/>
          <w:footerReference r:id="rId13" w:type="default"/>
          <w:pgSz w:w="11906" w:h="16838"/>
          <w:pgMar w:top="1440" w:right="1080" w:bottom="1440" w:left="1080" w:header="851" w:footer="992" w:gutter="0"/>
          <w:pgNumType w:fmt="decimal"/>
          <w:cols w:space="720" w:num="1"/>
          <w:titlePg/>
          <w:docGrid w:type="lines" w:linePitch="312" w:charSpace="0"/>
        </w:sectPr>
      </w:pPr>
    </w:p>
    <w:p w14:paraId="408FDBC0">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bookmarkStart w:id="1121" w:name="_Toc265654039"/>
      <w:bookmarkStart w:id="1122" w:name="_Toc265954806"/>
      <w:bookmarkStart w:id="1123" w:name="_Toc199322165"/>
      <w:bookmarkStart w:id="1124" w:name="_Toc491246941"/>
      <w:bookmarkStart w:id="1125" w:name="_Toc488678615"/>
      <w:bookmarkStart w:id="1126" w:name="_Toc1488"/>
      <w:bookmarkStart w:id="1127" w:name="_Toc255659853"/>
      <w:bookmarkStart w:id="1128" w:name="_Toc265955103"/>
      <w:bookmarkStart w:id="1129" w:name="_Toc490385556"/>
    </w:p>
    <w:p w14:paraId="792E262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1265F49D">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6754F992">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76A9A6">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DF22FBA">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27A021B7">
      <w:pPr>
        <w:keepNext w:val="0"/>
        <w:keepLines w:val="0"/>
        <w:pageBreakBefore w:val="0"/>
        <w:widowControl w:val="0"/>
        <w:numPr>
          <w:ilvl w:val="0"/>
          <w:numId w:val="0"/>
        </w:numPr>
        <w:kinsoku/>
        <w:wordWrap/>
        <w:overflowPunct/>
        <w:topLinePunct w:val="0"/>
        <w:autoSpaceDE w:val="0"/>
        <w:autoSpaceDN w:val="0"/>
        <w:bidi w:val="0"/>
        <w:adjustRightInd w:val="0"/>
        <w:snapToGrid/>
        <w:spacing w:after="157" w:afterLines="50" w:line="360" w:lineRule="auto"/>
        <w:jc w:val="center"/>
        <w:textAlignment w:val="auto"/>
        <w:rPr>
          <w:rFonts w:hint="eastAsia" w:asciiTheme="minorEastAsia" w:hAnsiTheme="minorEastAsia" w:eastAsiaTheme="minorEastAsia" w:cstheme="minorEastAsia"/>
          <w:b/>
          <w:color w:val="auto"/>
          <w:sz w:val="36"/>
          <w:szCs w:val="36"/>
          <w:highlight w:val="none"/>
          <w:lang w:eastAsia="zh-CN"/>
        </w:rPr>
      </w:pPr>
    </w:p>
    <w:p w14:paraId="7ED79C72">
      <w:pPr>
        <w:keepNext/>
        <w:keepLines/>
        <w:autoSpaceDE w:val="0"/>
        <w:autoSpaceDN w:val="0"/>
        <w:adjustRightInd w:val="0"/>
        <w:snapToGrid w:val="0"/>
        <w:spacing w:line="360" w:lineRule="auto"/>
        <w:jc w:val="center"/>
        <w:outlineLvl w:val="3"/>
        <w:rPr>
          <w:rFonts w:hint="eastAsia" w:ascii="宋体" w:hAnsi="宋体" w:eastAsia="宋体" w:cs="宋体"/>
          <w:b/>
          <w:color w:val="auto"/>
          <w:sz w:val="44"/>
          <w:szCs w:val="44"/>
          <w:highlight w:val="none"/>
          <w:lang w:eastAsia="zh-CN"/>
        </w:rPr>
      </w:pPr>
      <w:r>
        <w:rPr>
          <w:rFonts w:hint="eastAsia" w:ascii="宋体" w:hAnsi="宋体" w:eastAsia="宋体" w:cs="宋体"/>
          <w:b/>
          <w:color w:val="auto"/>
          <w:sz w:val="44"/>
          <w:szCs w:val="44"/>
          <w:highlight w:val="none"/>
          <w:lang w:val="en-US" w:eastAsia="zh-CN"/>
        </w:rPr>
        <w:t xml:space="preserve">第一部分  </w:t>
      </w:r>
      <w:bookmarkStart w:id="1130" w:name="_Toc26907"/>
      <w:r>
        <w:rPr>
          <w:rFonts w:hint="eastAsia" w:ascii="宋体" w:hAnsi="宋体" w:eastAsia="宋体" w:cs="宋体"/>
          <w:b/>
          <w:color w:val="auto"/>
          <w:sz w:val="44"/>
          <w:szCs w:val="44"/>
          <w:highlight w:val="none"/>
          <w:lang w:eastAsia="zh-CN"/>
        </w:rPr>
        <w:t>资格</w:t>
      </w:r>
      <w:bookmarkEnd w:id="1130"/>
      <w:r>
        <w:rPr>
          <w:rFonts w:hint="eastAsia" w:ascii="宋体" w:hAnsi="宋体" w:eastAsia="宋体" w:cs="宋体"/>
          <w:b/>
          <w:color w:val="auto"/>
          <w:sz w:val="44"/>
          <w:szCs w:val="44"/>
          <w:highlight w:val="none"/>
          <w:lang w:val="en-US" w:eastAsia="zh-CN"/>
        </w:rPr>
        <w:t>文件</w:t>
      </w:r>
      <w:r>
        <w:rPr>
          <w:rFonts w:hint="eastAsia" w:ascii="宋体" w:hAnsi="宋体" w:eastAsia="宋体" w:cs="宋体"/>
          <w:b/>
          <w:color w:val="auto"/>
          <w:sz w:val="44"/>
          <w:szCs w:val="44"/>
          <w:highlight w:val="none"/>
          <w:lang w:eastAsia="zh-CN"/>
        </w:rPr>
        <w:t>格式</w:t>
      </w:r>
    </w:p>
    <w:p w14:paraId="455DBD72">
      <w:pPr>
        <w:pStyle w:val="41"/>
        <w:jc w:val="center"/>
        <w:rPr>
          <w:rFonts w:hint="eastAsia" w:asciiTheme="minorEastAsia" w:hAnsiTheme="minorEastAsia" w:eastAsiaTheme="minorEastAsia" w:cstheme="minorEastAsia"/>
          <w:b/>
          <w:color w:val="auto"/>
          <w:sz w:val="30"/>
          <w:szCs w:val="30"/>
          <w:highlight w:val="none"/>
          <w:lang w:val="en-US" w:eastAsia="zh-CN"/>
        </w:rPr>
        <w:sectPr>
          <w:pgSz w:w="11906" w:h="16838"/>
          <w:pgMar w:top="1440" w:right="1080" w:bottom="1440" w:left="1080" w:header="851" w:footer="992" w:gutter="0"/>
          <w:pgNumType w:fmt="decimal"/>
          <w:cols w:space="720" w:num="1"/>
          <w:titlePg/>
          <w:docGrid w:type="lines" w:linePitch="312" w:charSpace="0"/>
        </w:sectPr>
      </w:pPr>
    </w:p>
    <w:p w14:paraId="46FDFF1B">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一、具有独立承担民事责任的能力</w:t>
      </w:r>
    </w:p>
    <w:p w14:paraId="5A8749FC">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供应商基本情况表</w:t>
      </w:r>
    </w:p>
    <w:tbl>
      <w:tblPr>
        <w:tblStyle w:val="25"/>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6"/>
        <w:gridCol w:w="964"/>
        <w:gridCol w:w="813"/>
        <w:gridCol w:w="689"/>
        <w:gridCol w:w="1089"/>
        <w:gridCol w:w="226"/>
        <w:gridCol w:w="939"/>
        <w:gridCol w:w="615"/>
        <w:gridCol w:w="894"/>
        <w:gridCol w:w="1495"/>
      </w:tblGrid>
      <w:tr w14:paraId="7EC3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0EA954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供应商名称</w:t>
            </w:r>
          </w:p>
        </w:tc>
        <w:tc>
          <w:tcPr>
            <w:tcW w:w="7724" w:type="dxa"/>
            <w:gridSpan w:val="9"/>
            <w:vAlign w:val="center"/>
          </w:tcPr>
          <w:p w14:paraId="292E91F0">
            <w:pPr>
              <w:autoSpaceDE w:val="0"/>
              <w:autoSpaceDN w:val="0"/>
              <w:adjustRightInd w:val="0"/>
              <w:spacing w:line="360" w:lineRule="auto"/>
              <w:jc w:val="center"/>
              <w:rPr>
                <w:rFonts w:ascii="宋体" w:hAnsi="宋体" w:cs="宋体"/>
                <w:b/>
                <w:color w:val="auto"/>
                <w:kern w:val="0"/>
                <w:szCs w:val="21"/>
                <w:highlight w:val="none"/>
              </w:rPr>
            </w:pPr>
          </w:p>
        </w:tc>
      </w:tr>
      <w:tr w14:paraId="0832C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776" w:type="dxa"/>
            <w:vAlign w:val="center"/>
          </w:tcPr>
          <w:p w14:paraId="26ACBEF5">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注册地址</w:t>
            </w:r>
          </w:p>
        </w:tc>
        <w:tc>
          <w:tcPr>
            <w:tcW w:w="3555" w:type="dxa"/>
            <w:gridSpan w:val="4"/>
            <w:vAlign w:val="center"/>
          </w:tcPr>
          <w:p w14:paraId="54431296">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2B3AFB99">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邮政编码</w:t>
            </w:r>
          </w:p>
        </w:tc>
        <w:tc>
          <w:tcPr>
            <w:tcW w:w="3004" w:type="dxa"/>
            <w:gridSpan w:val="3"/>
            <w:vAlign w:val="center"/>
          </w:tcPr>
          <w:p w14:paraId="48610A0B">
            <w:pPr>
              <w:autoSpaceDE w:val="0"/>
              <w:autoSpaceDN w:val="0"/>
              <w:adjustRightInd w:val="0"/>
              <w:spacing w:line="360" w:lineRule="auto"/>
              <w:jc w:val="center"/>
              <w:rPr>
                <w:rFonts w:ascii="宋体" w:hAnsi="宋体" w:cs="宋体"/>
                <w:b/>
                <w:color w:val="auto"/>
                <w:kern w:val="0"/>
                <w:szCs w:val="21"/>
                <w:highlight w:val="none"/>
              </w:rPr>
            </w:pPr>
          </w:p>
        </w:tc>
      </w:tr>
      <w:tr w14:paraId="4E25D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Merge w:val="restart"/>
            <w:vAlign w:val="center"/>
          </w:tcPr>
          <w:p w14:paraId="625E699D">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联系方式</w:t>
            </w:r>
          </w:p>
        </w:tc>
        <w:tc>
          <w:tcPr>
            <w:tcW w:w="964" w:type="dxa"/>
            <w:vAlign w:val="center"/>
          </w:tcPr>
          <w:p w14:paraId="1D893DA5">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联系人</w:t>
            </w:r>
          </w:p>
        </w:tc>
        <w:tc>
          <w:tcPr>
            <w:tcW w:w="2591" w:type="dxa"/>
            <w:gridSpan w:val="3"/>
            <w:vAlign w:val="center"/>
          </w:tcPr>
          <w:p w14:paraId="179A1CCF">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07EE0BE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  话</w:t>
            </w:r>
          </w:p>
        </w:tc>
        <w:tc>
          <w:tcPr>
            <w:tcW w:w="3004" w:type="dxa"/>
            <w:gridSpan w:val="3"/>
            <w:vAlign w:val="center"/>
          </w:tcPr>
          <w:p w14:paraId="70C1F687">
            <w:pPr>
              <w:autoSpaceDE w:val="0"/>
              <w:autoSpaceDN w:val="0"/>
              <w:adjustRightInd w:val="0"/>
              <w:spacing w:line="360" w:lineRule="auto"/>
              <w:jc w:val="center"/>
              <w:rPr>
                <w:rFonts w:ascii="宋体" w:hAnsi="宋体" w:cs="宋体"/>
                <w:b/>
                <w:color w:val="auto"/>
                <w:kern w:val="0"/>
                <w:szCs w:val="21"/>
                <w:highlight w:val="none"/>
              </w:rPr>
            </w:pPr>
          </w:p>
        </w:tc>
      </w:tr>
      <w:tr w14:paraId="14C08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Merge w:val="continue"/>
            <w:vAlign w:val="center"/>
          </w:tcPr>
          <w:p w14:paraId="721A8D68">
            <w:pPr>
              <w:autoSpaceDE w:val="0"/>
              <w:autoSpaceDN w:val="0"/>
              <w:adjustRightInd w:val="0"/>
              <w:spacing w:line="360" w:lineRule="auto"/>
              <w:jc w:val="center"/>
              <w:rPr>
                <w:rFonts w:ascii="宋体" w:hAnsi="宋体" w:cs="宋体"/>
                <w:b/>
                <w:color w:val="auto"/>
                <w:kern w:val="0"/>
                <w:szCs w:val="21"/>
                <w:highlight w:val="none"/>
              </w:rPr>
            </w:pPr>
          </w:p>
        </w:tc>
        <w:tc>
          <w:tcPr>
            <w:tcW w:w="964" w:type="dxa"/>
            <w:vAlign w:val="center"/>
          </w:tcPr>
          <w:p w14:paraId="0096340B">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传真</w:t>
            </w:r>
          </w:p>
        </w:tc>
        <w:tc>
          <w:tcPr>
            <w:tcW w:w="2591" w:type="dxa"/>
            <w:gridSpan w:val="3"/>
            <w:vAlign w:val="center"/>
          </w:tcPr>
          <w:p w14:paraId="2EB1CF5A">
            <w:pPr>
              <w:autoSpaceDE w:val="0"/>
              <w:autoSpaceDN w:val="0"/>
              <w:adjustRightInd w:val="0"/>
              <w:spacing w:line="360" w:lineRule="auto"/>
              <w:jc w:val="center"/>
              <w:rPr>
                <w:rFonts w:ascii="宋体" w:hAnsi="宋体" w:cs="宋体"/>
                <w:b/>
                <w:color w:val="auto"/>
                <w:kern w:val="0"/>
                <w:szCs w:val="21"/>
                <w:highlight w:val="none"/>
              </w:rPr>
            </w:pPr>
          </w:p>
        </w:tc>
        <w:tc>
          <w:tcPr>
            <w:tcW w:w="1165" w:type="dxa"/>
            <w:gridSpan w:val="2"/>
            <w:vAlign w:val="center"/>
          </w:tcPr>
          <w:p w14:paraId="5CF825E9">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网  址</w:t>
            </w:r>
          </w:p>
        </w:tc>
        <w:tc>
          <w:tcPr>
            <w:tcW w:w="3004" w:type="dxa"/>
            <w:gridSpan w:val="3"/>
            <w:vAlign w:val="center"/>
          </w:tcPr>
          <w:p w14:paraId="0CDC1032">
            <w:pPr>
              <w:autoSpaceDE w:val="0"/>
              <w:autoSpaceDN w:val="0"/>
              <w:adjustRightInd w:val="0"/>
              <w:spacing w:line="360" w:lineRule="auto"/>
              <w:jc w:val="center"/>
              <w:rPr>
                <w:rFonts w:ascii="宋体" w:hAnsi="宋体" w:cs="宋体"/>
                <w:b/>
                <w:color w:val="auto"/>
                <w:kern w:val="0"/>
                <w:szCs w:val="21"/>
                <w:highlight w:val="none"/>
              </w:rPr>
            </w:pPr>
          </w:p>
        </w:tc>
      </w:tr>
      <w:tr w14:paraId="0F5E3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4013E8F">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组织结构</w:t>
            </w:r>
          </w:p>
        </w:tc>
        <w:tc>
          <w:tcPr>
            <w:tcW w:w="7724" w:type="dxa"/>
            <w:gridSpan w:val="9"/>
            <w:vAlign w:val="center"/>
          </w:tcPr>
          <w:p w14:paraId="3F93FE4D">
            <w:pPr>
              <w:autoSpaceDE w:val="0"/>
              <w:autoSpaceDN w:val="0"/>
              <w:adjustRightInd w:val="0"/>
              <w:spacing w:line="360" w:lineRule="auto"/>
              <w:jc w:val="center"/>
              <w:rPr>
                <w:rFonts w:ascii="宋体" w:hAnsi="宋体" w:cs="宋体"/>
                <w:b/>
                <w:color w:val="auto"/>
                <w:kern w:val="0"/>
                <w:szCs w:val="21"/>
                <w:highlight w:val="none"/>
              </w:rPr>
            </w:pPr>
          </w:p>
        </w:tc>
      </w:tr>
      <w:tr w14:paraId="0A0D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6BA7D2B1">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法定代表人</w:t>
            </w:r>
          </w:p>
        </w:tc>
        <w:tc>
          <w:tcPr>
            <w:tcW w:w="964" w:type="dxa"/>
            <w:vAlign w:val="center"/>
          </w:tcPr>
          <w:p w14:paraId="715F2D6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姓名</w:t>
            </w:r>
          </w:p>
        </w:tc>
        <w:tc>
          <w:tcPr>
            <w:tcW w:w="1502" w:type="dxa"/>
            <w:gridSpan w:val="2"/>
            <w:vAlign w:val="center"/>
          </w:tcPr>
          <w:p w14:paraId="635D63D8">
            <w:pPr>
              <w:autoSpaceDE w:val="0"/>
              <w:autoSpaceDN w:val="0"/>
              <w:adjustRightInd w:val="0"/>
              <w:spacing w:line="360" w:lineRule="auto"/>
              <w:jc w:val="center"/>
              <w:rPr>
                <w:rFonts w:ascii="宋体" w:hAnsi="宋体" w:cs="宋体"/>
                <w:b/>
                <w:color w:val="auto"/>
                <w:kern w:val="0"/>
                <w:szCs w:val="21"/>
                <w:highlight w:val="none"/>
              </w:rPr>
            </w:pPr>
          </w:p>
        </w:tc>
        <w:tc>
          <w:tcPr>
            <w:tcW w:w="1315" w:type="dxa"/>
            <w:gridSpan w:val="2"/>
            <w:vAlign w:val="center"/>
          </w:tcPr>
          <w:p w14:paraId="78BDCE40">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技术职称</w:t>
            </w:r>
          </w:p>
        </w:tc>
        <w:tc>
          <w:tcPr>
            <w:tcW w:w="1554" w:type="dxa"/>
            <w:gridSpan w:val="2"/>
            <w:vAlign w:val="center"/>
          </w:tcPr>
          <w:p w14:paraId="7D875484">
            <w:pPr>
              <w:autoSpaceDE w:val="0"/>
              <w:autoSpaceDN w:val="0"/>
              <w:adjustRightInd w:val="0"/>
              <w:spacing w:line="360" w:lineRule="auto"/>
              <w:jc w:val="center"/>
              <w:rPr>
                <w:rFonts w:ascii="宋体" w:hAnsi="宋体" w:cs="宋体"/>
                <w:b/>
                <w:color w:val="auto"/>
                <w:kern w:val="0"/>
                <w:szCs w:val="21"/>
                <w:highlight w:val="none"/>
              </w:rPr>
            </w:pPr>
          </w:p>
        </w:tc>
        <w:tc>
          <w:tcPr>
            <w:tcW w:w="894" w:type="dxa"/>
            <w:vAlign w:val="center"/>
          </w:tcPr>
          <w:p w14:paraId="34094B3D">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电话</w:t>
            </w:r>
          </w:p>
        </w:tc>
        <w:tc>
          <w:tcPr>
            <w:tcW w:w="1495" w:type="dxa"/>
            <w:vAlign w:val="center"/>
          </w:tcPr>
          <w:p w14:paraId="60E754CE">
            <w:pPr>
              <w:autoSpaceDE w:val="0"/>
              <w:autoSpaceDN w:val="0"/>
              <w:adjustRightInd w:val="0"/>
              <w:spacing w:line="360" w:lineRule="auto"/>
              <w:jc w:val="center"/>
              <w:rPr>
                <w:rFonts w:ascii="宋体" w:hAnsi="宋体" w:cs="宋体"/>
                <w:b/>
                <w:color w:val="auto"/>
                <w:kern w:val="0"/>
                <w:szCs w:val="21"/>
                <w:highlight w:val="none"/>
              </w:rPr>
            </w:pPr>
          </w:p>
        </w:tc>
      </w:tr>
      <w:tr w14:paraId="4C350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776" w:type="dxa"/>
            <w:vAlign w:val="center"/>
          </w:tcPr>
          <w:p w14:paraId="40AB4C7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技术负责人</w:t>
            </w:r>
          </w:p>
        </w:tc>
        <w:tc>
          <w:tcPr>
            <w:tcW w:w="964" w:type="dxa"/>
            <w:vAlign w:val="center"/>
          </w:tcPr>
          <w:p w14:paraId="5F3B0529">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姓名</w:t>
            </w:r>
          </w:p>
        </w:tc>
        <w:tc>
          <w:tcPr>
            <w:tcW w:w="1502" w:type="dxa"/>
            <w:gridSpan w:val="2"/>
            <w:vAlign w:val="center"/>
          </w:tcPr>
          <w:p w14:paraId="1A85EEFB">
            <w:pPr>
              <w:autoSpaceDE w:val="0"/>
              <w:autoSpaceDN w:val="0"/>
              <w:adjustRightInd w:val="0"/>
              <w:spacing w:line="360" w:lineRule="auto"/>
              <w:jc w:val="center"/>
              <w:rPr>
                <w:rFonts w:ascii="宋体" w:hAnsi="宋体" w:cs="宋体"/>
                <w:b/>
                <w:color w:val="auto"/>
                <w:kern w:val="0"/>
                <w:szCs w:val="21"/>
                <w:highlight w:val="none"/>
              </w:rPr>
            </w:pPr>
          </w:p>
        </w:tc>
        <w:tc>
          <w:tcPr>
            <w:tcW w:w="1315" w:type="dxa"/>
            <w:gridSpan w:val="2"/>
            <w:vAlign w:val="center"/>
          </w:tcPr>
          <w:p w14:paraId="30CC7D2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技术职称</w:t>
            </w:r>
          </w:p>
        </w:tc>
        <w:tc>
          <w:tcPr>
            <w:tcW w:w="1554" w:type="dxa"/>
            <w:gridSpan w:val="2"/>
            <w:vAlign w:val="center"/>
          </w:tcPr>
          <w:p w14:paraId="5672EBA0">
            <w:pPr>
              <w:autoSpaceDE w:val="0"/>
              <w:autoSpaceDN w:val="0"/>
              <w:adjustRightInd w:val="0"/>
              <w:spacing w:line="360" w:lineRule="auto"/>
              <w:jc w:val="center"/>
              <w:rPr>
                <w:rFonts w:ascii="宋体" w:hAnsi="宋体" w:cs="宋体"/>
                <w:color w:val="auto"/>
                <w:kern w:val="0"/>
                <w:szCs w:val="21"/>
                <w:highlight w:val="none"/>
              </w:rPr>
            </w:pPr>
          </w:p>
        </w:tc>
        <w:tc>
          <w:tcPr>
            <w:tcW w:w="894" w:type="dxa"/>
            <w:vAlign w:val="center"/>
          </w:tcPr>
          <w:p w14:paraId="52FBF8AC">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电话</w:t>
            </w:r>
          </w:p>
        </w:tc>
        <w:tc>
          <w:tcPr>
            <w:tcW w:w="1495" w:type="dxa"/>
            <w:vAlign w:val="center"/>
          </w:tcPr>
          <w:p w14:paraId="3D240C8A">
            <w:pPr>
              <w:autoSpaceDE w:val="0"/>
              <w:autoSpaceDN w:val="0"/>
              <w:adjustRightInd w:val="0"/>
              <w:spacing w:line="360" w:lineRule="auto"/>
              <w:jc w:val="center"/>
              <w:rPr>
                <w:rFonts w:ascii="宋体" w:hAnsi="宋体" w:cs="宋体"/>
                <w:b/>
                <w:color w:val="auto"/>
                <w:kern w:val="0"/>
                <w:szCs w:val="21"/>
                <w:highlight w:val="none"/>
              </w:rPr>
            </w:pPr>
          </w:p>
        </w:tc>
      </w:tr>
      <w:tr w14:paraId="0F410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1627E28E">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成立时间</w:t>
            </w:r>
          </w:p>
        </w:tc>
        <w:tc>
          <w:tcPr>
            <w:tcW w:w="2466" w:type="dxa"/>
            <w:gridSpan w:val="3"/>
            <w:vAlign w:val="center"/>
          </w:tcPr>
          <w:p w14:paraId="6C6EBD25">
            <w:pPr>
              <w:autoSpaceDE w:val="0"/>
              <w:autoSpaceDN w:val="0"/>
              <w:adjustRightInd w:val="0"/>
              <w:spacing w:line="360" w:lineRule="auto"/>
              <w:jc w:val="center"/>
              <w:rPr>
                <w:rFonts w:ascii="宋体" w:hAnsi="宋体" w:cs="宋体"/>
                <w:b/>
                <w:color w:val="auto"/>
                <w:kern w:val="0"/>
                <w:szCs w:val="21"/>
                <w:highlight w:val="none"/>
              </w:rPr>
            </w:pPr>
          </w:p>
        </w:tc>
        <w:tc>
          <w:tcPr>
            <w:tcW w:w="5258" w:type="dxa"/>
            <w:gridSpan w:val="6"/>
            <w:vAlign w:val="center"/>
          </w:tcPr>
          <w:p w14:paraId="08C92F9A">
            <w:pPr>
              <w:autoSpaceDE w:val="0"/>
              <w:autoSpaceDN w:val="0"/>
              <w:adjustRightInd w:val="0"/>
              <w:spacing w:line="360" w:lineRule="auto"/>
              <w:ind w:firstLine="630" w:firstLineChars="300"/>
              <w:jc w:val="center"/>
              <w:rPr>
                <w:rFonts w:ascii="宋体" w:hAnsi="宋体" w:cs="宋体"/>
                <w:color w:val="auto"/>
                <w:kern w:val="0"/>
                <w:szCs w:val="21"/>
                <w:highlight w:val="none"/>
              </w:rPr>
            </w:pPr>
            <w:r>
              <w:rPr>
                <w:rFonts w:hint="eastAsia" w:ascii="宋体" w:hAnsi="宋体" w:cs="宋体"/>
                <w:color w:val="auto"/>
                <w:kern w:val="0"/>
                <w:szCs w:val="21"/>
                <w:highlight w:val="none"/>
              </w:rPr>
              <w:t>员工总人数：</w:t>
            </w:r>
          </w:p>
        </w:tc>
      </w:tr>
      <w:tr w14:paraId="081A4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5D7CA7B2">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企业资质等级</w:t>
            </w:r>
          </w:p>
        </w:tc>
        <w:tc>
          <w:tcPr>
            <w:tcW w:w="1777" w:type="dxa"/>
            <w:gridSpan w:val="2"/>
            <w:vAlign w:val="center"/>
          </w:tcPr>
          <w:p w14:paraId="69931215">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restart"/>
            <w:vAlign w:val="center"/>
          </w:tcPr>
          <w:p w14:paraId="325C2CE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其中</w:t>
            </w:r>
          </w:p>
        </w:tc>
        <w:tc>
          <w:tcPr>
            <w:tcW w:w="2869" w:type="dxa"/>
            <w:gridSpan w:val="4"/>
            <w:vAlign w:val="center"/>
          </w:tcPr>
          <w:p w14:paraId="24F3C992">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项目负责人</w:t>
            </w:r>
          </w:p>
        </w:tc>
        <w:tc>
          <w:tcPr>
            <w:tcW w:w="2389" w:type="dxa"/>
            <w:gridSpan w:val="2"/>
            <w:vAlign w:val="center"/>
          </w:tcPr>
          <w:p w14:paraId="123EE138">
            <w:pPr>
              <w:autoSpaceDE w:val="0"/>
              <w:autoSpaceDN w:val="0"/>
              <w:adjustRightInd w:val="0"/>
              <w:spacing w:line="360" w:lineRule="auto"/>
              <w:jc w:val="center"/>
              <w:rPr>
                <w:rFonts w:ascii="宋体" w:hAnsi="宋体" w:cs="宋体"/>
                <w:b/>
                <w:color w:val="auto"/>
                <w:kern w:val="0"/>
                <w:szCs w:val="21"/>
                <w:highlight w:val="none"/>
              </w:rPr>
            </w:pPr>
          </w:p>
        </w:tc>
      </w:tr>
      <w:tr w14:paraId="4F04F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611D376C">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营业执照号</w:t>
            </w:r>
          </w:p>
        </w:tc>
        <w:tc>
          <w:tcPr>
            <w:tcW w:w="1777" w:type="dxa"/>
            <w:gridSpan w:val="2"/>
            <w:vAlign w:val="center"/>
          </w:tcPr>
          <w:p w14:paraId="53030A54">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43692D6C">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27079C2D">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高级职称人员</w:t>
            </w:r>
          </w:p>
        </w:tc>
        <w:tc>
          <w:tcPr>
            <w:tcW w:w="2389" w:type="dxa"/>
            <w:gridSpan w:val="2"/>
            <w:vAlign w:val="center"/>
          </w:tcPr>
          <w:p w14:paraId="62AA958C">
            <w:pPr>
              <w:autoSpaceDE w:val="0"/>
              <w:autoSpaceDN w:val="0"/>
              <w:adjustRightInd w:val="0"/>
              <w:spacing w:line="360" w:lineRule="auto"/>
              <w:jc w:val="center"/>
              <w:rPr>
                <w:rFonts w:ascii="宋体" w:hAnsi="宋体" w:cs="宋体"/>
                <w:b/>
                <w:color w:val="auto"/>
                <w:kern w:val="0"/>
                <w:szCs w:val="21"/>
                <w:highlight w:val="none"/>
              </w:rPr>
            </w:pPr>
          </w:p>
        </w:tc>
      </w:tr>
      <w:tr w14:paraId="15CCD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4D5BF877">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注册资金</w:t>
            </w:r>
          </w:p>
        </w:tc>
        <w:tc>
          <w:tcPr>
            <w:tcW w:w="1777" w:type="dxa"/>
            <w:gridSpan w:val="2"/>
            <w:vAlign w:val="center"/>
          </w:tcPr>
          <w:p w14:paraId="2CC3985E">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7FA63187">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10BEDF5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中级职称人员</w:t>
            </w:r>
          </w:p>
        </w:tc>
        <w:tc>
          <w:tcPr>
            <w:tcW w:w="2389" w:type="dxa"/>
            <w:gridSpan w:val="2"/>
            <w:vAlign w:val="center"/>
          </w:tcPr>
          <w:p w14:paraId="67F51A13">
            <w:pPr>
              <w:autoSpaceDE w:val="0"/>
              <w:autoSpaceDN w:val="0"/>
              <w:adjustRightInd w:val="0"/>
              <w:spacing w:line="360" w:lineRule="auto"/>
              <w:jc w:val="center"/>
              <w:rPr>
                <w:rFonts w:ascii="宋体" w:hAnsi="宋体" w:cs="宋体"/>
                <w:b/>
                <w:color w:val="auto"/>
                <w:kern w:val="0"/>
                <w:szCs w:val="21"/>
                <w:highlight w:val="none"/>
              </w:rPr>
            </w:pPr>
          </w:p>
        </w:tc>
      </w:tr>
      <w:tr w14:paraId="30958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776" w:type="dxa"/>
            <w:vAlign w:val="center"/>
          </w:tcPr>
          <w:p w14:paraId="2FF7B58E">
            <w:pPr>
              <w:autoSpaceDE w:val="0"/>
              <w:autoSpaceDN w:val="0"/>
              <w:adjustRightInd w:val="0"/>
              <w:spacing w:line="360" w:lineRule="auto"/>
              <w:jc w:val="center"/>
              <w:rPr>
                <w:rFonts w:ascii="宋体" w:hAnsi="宋体" w:cs="宋体"/>
                <w:b/>
                <w:color w:val="auto"/>
                <w:kern w:val="0"/>
                <w:szCs w:val="21"/>
                <w:highlight w:val="none"/>
              </w:rPr>
            </w:pPr>
            <w:r>
              <w:rPr>
                <w:rFonts w:hint="eastAsia" w:ascii="宋体" w:hAnsi="宋体" w:cs="宋体"/>
                <w:color w:val="auto"/>
                <w:kern w:val="0"/>
                <w:szCs w:val="21"/>
                <w:highlight w:val="none"/>
              </w:rPr>
              <w:t>开户银行</w:t>
            </w:r>
          </w:p>
        </w:tc>
        <w:tc>
          <w:tcPr>
            <w:tcW w:w="1777" w:type="dxa"/>
            <w:gridSpan w:val="2"/>
            <w:vAlign w:val="center"/>
          </w:tcPr>
          <w:p w14:paraId="1AE86473">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701AA7F0">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6EC50528">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初级职称人员</w:t>
            </w:r>
          </w:p>
        </w:tc>
        <w:tc>
          <w:tcPr>
            <w:tcW w:w="2389" w:type="dxa"/>
            <w:gridSpan w:val="2"/>
            <w:vAlign w:val="center"/>
          </w:tcPr>
          <w:p w14:paraId="57540C99">
            <w:pPr>
              <w:autoSpaceDE w:val="0"/>
              <w:autoSpaceDN w:val="0"/>
              <w:adjustRightInd w:val="0"/>
              <w:spacing w:line="360" w:lineRule="auto"/>
              <w:jc w:val="center"/>
              <w:rPr>
                <w:rFonts w:ascii="宋体" w:hAnsi="宋体" w:cs="宋体"/>
                <w:b/>
                <w:color w:val="auto"/>
                <w:kern w:val="0"/>
                <w:szCs w:val="21"/>
                <w:highlight w:val="none"/>
              </w:rPr>
            </w:pPr>
          </w:p>
        </w:tc>
      </w:tr>
      <w:tr w14:paraId="4A7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776" w:type="dxa"/>
            <w:vAlign w:val="center"/>
          </w:tcPr>
          <w:p w14:paraId="7CEA5D7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账号</w:t>
            </w:r>
          </w:p>
        </w:tc>
        <w:tc>
          <w:tcPr>
            <w:tcW w:w="1777" w:type="dxa"/>
            <w:gridSpan w:val="2"/>
            <w:vAlign w:val="center"/>
          </w:tcPr>
          <w:p w14:paraId="4BC8D492">
            <w:pPr>
              <w:autoSpaceDE w:val="0"/>
              <w:autoSpaceDN w:val="0"/>
              <w:adjustRightInd w:val="0"/>
              <w:spacing w:line="360" w:lineRule="auto"/>
              <w:jc w:val="center"/>
              <w:rPr>
                <w:rFonts w:ascii="宋体" w:hAnsi="宋体" w:cs="宋体"/>
                <w:b/>
                <w:color w:val="auto"/>
                <w:kern w:val="0"/>
                <w:szCs w:val="21"/>
                <w:highlight w:val="none"/>
              </w:rPr>
            </w:pPr>
          </w:p>
        </w:tc>
        <w:tc>
          <w:tcPr>
            <w:tcW w:w="689" w:type="dxa"/>
            <w:vMerge w:val="continue"/>
            <w:vAlign w:val="center"/>
          </w:tcPr>
          <w:p w14:paraId="2B7164FF">
            <w:pPr>
              <w:autoSpaceDE w:val="0"/>
              <w:autoSpaceDN w:val="0"/>
              <w:adjustRightInd w:val="0"/>
              <w:spacing w:line="360" w:lineRule="auto"/>
              <w:jc w:val="center"/>
              <w:rPr>
                <w:rFonts w:ascii="宋体" w:hAnsi="宋体" w:cs="宋体"/>
                <w:b/>
                <w:color w:val="auto"/>
                <w:kern w:val="0"/>
                <w:szCs w:val="21"/>
                <w:highlight w:val="none"/>
              </w:rPr>
            </w:pPr>
          </w:p>
        </w:tc>
        <w:tc>
          <w:tcPr>
            <w:tcW w:w="2869" w:type="dxa"/>
            <w:gridSpan w:val="4"/>
            <w:vAlign w:val="center"/>
          </w:tcPr>
          <w:p w14:paraId="393495B3">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技工</w:t>
            </w:r>
          </w:p>
        </w:tc>
        <w:tc>
          <w:tcPr>
            <w:tcW w:w="2389" w:type="dxa"/>
            <w:gridSpan w:val="2"/>
            <w:vAlign w:val="center"/>
          </w:tcPr>
          <w:p w14:paraId="347B070F">
            <w:pPr>
              <w:autoSpaceDE w:val="0"/>
              <w:autoSpaceDN w:val="0"/>
              <w:adjustRightInd w:val="0"/>
              <w:spacing w:line="360" w:lineRule="auto"/>
              <w:jc w:val="center"/>
              <w:rPr>
                <w:rFonts w:ascii="宋体" w:hAnsi="宋体" w:cs="宋体"/>
                <w:b/>
                <w:color w:val="auto"/>
                <w:kern w:val="0"/>
                <w:szCs w:val="21"/>
                <w:highlight w:val="none"/>
              </w:rPr>
            </w:pPr>
          </w:p>
        </w:tc>
      </w:tr>
      <w:tr w14:paraId="21A8E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776" w:type="dxa"/>
            <w:vAlign w:val="center"/>
          </w:tcPr>
          <w:p w14:paraId="5862FA1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经营范围</w:t>
            </w:r>
          </w:p>
        </w:tc>
        <w:tc>
          <w:tcPr>
            <w:tcW w:w="7724" w:type="dxa"/>
            <w:gridSpan w:val="9"/>
            <w:vAlign w:val="center"/>
          </w:tcPr>
          <w:p w14:paraId="58DEE569">
            <w:pPr>
              <w:autoSpaceDE w:val="0"/>
              <w:autoSpaceDN w:val="0"/>
              <w:adjustRightInd w:val="0"/>
              <w:spacing w:line="360" w:lineRule="auto"/>
              <w:jc w:val="center"/>
              <w:rPr>
                <w:rFonts w:ascii="宋体" w:hAnsi="宋体" w:cs="宋体"/>
                <w:b/>
                <w:color w:val="auto"/>
                <w:kern w:val="0"/>
                <w:szCs w:val="21"/>
                <w:highlight w:val="none"/>
              </w:rPr>
            </w:pPr>
          </w:p>
        </w:tc>
      </w:tr>
      <w:tr w14:paraId="67D12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776" w:type="dxa"/>
            <w:vAlign w:val="center"/>
          </w:tcPr>
          <w:p w14:paraId="77B23D86">
            <w:pPr>
              <w:autoSpaceDE w:val="0"/>
              <w:autoSpaceDN w:val="0"/>
              <w:adjustRightIn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7724" w:type="dxa"/>
            <w:gridSpan w:val="9"/>
            <w:vAlign w:val="center"/>
          </w:tcPr>
          <w:p w14:paraId="7B2D1379">
            <w:pPr>
              <w:autoSpaceDE w:val="0"/>
              <w:autoSpaceDN w:val="0"/>
              <w:adjustRightInd w:val="0"/>
              <w:spacing w:line="360" w:lineRule="auto"/>
              <w:jc w:val="center"/>
              <w:rPr>
                <w:rFonts w:ascii="宋体" w:hAnsi="宋体" w:cs="宋体"/>
                <w:b/>
                <w:color w:val="auto"/>
                <w:kern w:val="0"/>
                <w:szCs w:val="21"/>
                <w:highlight w:val="none"/>
              </w:rPr>
            </w:pPr>
          </w:p>
        </w:tc>
      </w:tr>
    </w:tbl>
    <w:p w14:paraId="3545EEB2">
      <w:pPr>
        <w:pStyle w:val="39"/>
        <w:keepNext w:val="0"/>
        <w:keepLines w:val="0"/>
        <w:pageBreakBefore w:val="0"/>
        <w:widowControl/>
        <w:kinsoku/>
        <w:wordWrap/>
        <w:overflowPunct w:val="0"/>
        <w:topLinePunct w:val="0"/>
        <w:autoSpaceDE w:val="0"/>
        <w:autoSpaceDN w:val="0"/>
        <w:bidi w:val="0"/>
        <w:adjustRightInd w:val="0"/>
        <w:snapToGrid/>
        <w:spacing w:after="0"/>
        <w:ind w:firstLine="0" w:firstLineChars="0"/>
        <w:textAlignment w:val="baseline"/>
        <w:rPr>
          <w:rFonts w:hint="eastAsia" w:ascii="宋体" w:hAnsi="宋体" w:eastAsia="宋体" w:cs="宋体"/>
          <w:b/>
          <w:bCs/>
          <w:color w:val="auto"/>
          <w:spacing w:val="0"/>
          <w:kern w:val="2"/>
          <w:sz w:val="21"/>
          <w:szCs w:val="21"/>
          <w:highlight w:val="none"/>
          <w:lang w:val="en-US" w:eastAsia="zh-CN" w:bidi="ar-SA"/>
        </w:rPr>
      </w:pPr>
      <w:r>
        <w:rPr>
          <w:rFonts w:hint="eastAsia" w:ascii="宋体" w:hAnsi="宋体" w:eastAsia="宋体" w:cs="宋体"/>
          <w:b/>
          <w:bCs/>
          <w:color w:val="auto"/>
          <w:spacing w:val="0"/>
          <w:kern w:val="2"/>
          <w:sz w:val="21"/>
          <w:szCs w:val="21"/>
          <w:highlight w:val="none"/>
          <w:lang w:val="en-US" w:eastAsia="zh-CN" w:bidi="ar-SA"/>
        </w:rPr>
        <w:t>注：1.附法人或者其他组织有效的营业执照，自然人的身份证明的扫描件或复印件；</w:t>
      </w:r>
    </w:p>
    <w:p w14:paraId="4FF19ADD">
      <w:pPr>
        <w:pStyle w:val="39"/>
        <w:keepNext w:val="0"/>
        <w:keepLines w:val="0"/>
        <w:pageBreakBefore w:val="0"/>
        <w:widowControl/>
        <w:kinsoku/>
        <w:wordWrap/>
        <w:overflowPunct w:val="0"/>
        <w:topLinePunct w:val="0"/>
        <w:autoSpaceDE w:val="0"/>
        <w:autoSpaceDN w:val="0"/>
        <w:bidi w:val="0"/>
        <w:adjustRightInd w:val="0"/>
        <w:snapToGrid/>
        <w:spacing w:after="0"/>
        <w:ind w:firstLine="422" w:firstLineChars="200"/>
        <w:textAlignment w:val="baseline"/>
        <w:rPr>
          <w:rFonts w:hint="default" w:ascii="宋体" w:hAnsi="宋体" w:eastAsia="宋体" w:cs="宋体"/>
          <w:b/>
          <w:bCs/>
          <w:color w:val="auto"/>
          <w:spacing w:val="0"/>
          <w:kern w:val="2"/>
          <w:sz w:val="21"/>
          <w:szCs w:val="21"/>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color w:val="auto"/>
          <w:spacing w:val="0"/>
          <w:kern w:val="2"/>
          <w:sz w:val="21"/>
          <w:szCs w:val="21"/>
          <w:highlight w:val="none"/>
          <w:lang w:val="en-US" w:eastAsia="zh-CN" w:bidi="ar-SA"/>
        </w:rPr>
        <w:t>2.以上表格若无所填内容可以填“/”。</w:t>
      </w:r>
    </w:p>
    <w:p w14:paraId="19D329E0">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二、具有良好的商业信誉</w:t>
      </w:r>
    </w:p>
    <w:p w14:paraId="4F462FDC">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具有良好的商业信誉声明</w:t>
      </w:r>
    </w:p>
    <w:p w14:paraId="3505E924">
      <w:pPr>
        <w:spacing w:line="440" w:lineRule="exact"/>
        <w:rPr>
          <w:rFonts w:hint="eastAsia" w:ascii="宋体" w:hAnsi="宋体"/>
          <w:color w:val="auto"/>
          <w:sz w:val="24"/>
          <w:highlight w:val="none"/>
        </w:rPr>
      </w:pPr>
    </w:p>
    <w:p w14:paraId="2F5617C8">
      <w:pPr>
        <w:keepNext w:val="0"/>
        <w:keepLines w:val="0"/>
        <w:pageBreakBefore w:val="0"/>
        <w:widowControl w:val="0"/>
        <w:kinsoku/>
        <w:wordWrap/>
        <w:overflowPunct/>
        <w:topLinePunct w:val="0"/>
        <w:autoSpaceDE/>
        <w:autoSpaceDN/>
        <w:bidi w:val="0"/>
        <w:adjustRightInd/>
        <w:snapToGrid/>
        <w:spacing w:after="157" w:afterLines="50" w:line="440" w:lineRule="exact"/>
        <w:textAlignment w:val="auto"/>
        <w:rPr>
          <w:rFonts w:hint="eastAsia" w:asciiTheme="minorEastAsia" w:hAnsiTheme="minorEastAsia" w:eastAsiaTheme="minorEastAsia" w:cstheme="minorEastAsia"/>
          <w:color w:val="auto"/>
          <w:sz w:val="21"/>
          <w:szCs w:val="21"/>
          <w:highlight w:val="none"/>
          <w:lang w:eastAsia="zh-CN"/>
        </w:rPr>
      </w:pPr>
      <w:r>
        <w:rPr>
          <w:rFonts w:hint="eastAsia" w:ascii="宋体" w:hAnsi="宋体"/>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 xml:space="preserve">        （采购人）        </w:t>
      </w:r>
      <w:r>
        <w:rPr>
          <w:rFonts w:hint="eastAsia" w:asciiTheme="minorEastAsia" w:hAnsiTheme="minorEastAsia" w:eastAsiaTheme="minorEastAsia" w:cstheme="minorEastAsia"/>
          <w:color w:val="auto"/>
          <w:sz w:val="21"/>
          <w:szCs w:val="21"/>
          <w:highlight w:val="none"/>
          <w:u w:val="none"/>
          <w:lang w:eastAsia="zh-CN"/>
        </w:rPr>
        <w:t>：</w:t>
      </w:r>
    </w:p>
    <w:p w14:paraId="5382C095">
      <w:pPr>
        <w:spacing w:line="440" w:lineRule="exact"/>
        <w:ind w:firstLine="420" w:firstLineChars="200"/>
        <w:rPr>
          <w:rFonts w:ascii="宋体" w:hAnsi="宋体"/>
          <w:color w:val="auto"/>
          <w:sz w:val="21"/>
          <w:szCs w:val="21"/>
          <w:highlight w:val="none"/>
        </w:rPr>
      </w:pPr>
      <w:r>
        <w:rPr>
          <w:rFonts w:hint="eastAsia" w:ascii="宋体" w:hAnsi="宋体" w:cs="宋体"/>
          <w:color w:val="auto"/>
          <w:sz w:val="21"/>
          <w:szCs w:val="21"/>
          <w:highlight w:val="none"/>
        </w:rPr>
        <w:t>我公司在</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①供应商应在“信用中国”（https://www.creditchina.gov.cn/）中未被列入重大税收违法失信主体。②供应商应在“中国政府采购网”（http://www.ccgp.gov.cn/）中未被列入政府采购严重违法失信行为记录名单。③供应商应在“中国执行信息公开网”（http://zxgk.court.gov.cn/）中未被列入失信被执行人</w:t>
      </w:r>
      <w:r>
        <w:rPr>
          <w:rFonts w:hint="eastAsia" w:ascii="宋体" w:hAnsi="宋体" w:cs="宋体"/>
          <w:color w:val="auto"/>
          <w:sz w:val="21"/>
          <w:szCs w:val="21"/>
          <w:highlight w:val="none"/>
        </w:rPr>
        <w:t>。</w:t>
      </w:r>
      <w:r>
        <w:rPr>
          <w:rFonts w:hint="eastAsia" w:ascii="宋体" w:hAnsi="宋体" w:eastAsia="宋体" w:cs="宋体"/>
          <w:color w:val="auto"/>
          <w:szCs w:val="21"/>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lang w:eastAsia="zh-CN"/>
        </w:rPr>
        <w:t>备注：以上网站均由磋商小组在资格审查时查询，若供应商有失信行为，则不满足资格要求</w:t>
      </w:r>
      <w:r>
        <w:rPr>
          <w:rFonts w:hint="eastAsia" w:ascii="宋体" w:hAnsi="宋体" w:cs="宋体"/>
          <w:color w:val="auto"/>
          <w:sz w:val="21"/>
          <w:szCs w:val="21"/>
          <w:highlight w:val="none"/>
        </w:rPr>
        <w:t>）</w:t>
      </w:r>
    </w:p>
    <w:p w14:paraId="0423E503">
      <w:pPr>
        <w:pStyle w:val="39"/>
        <w:ind w:firstLine="528"/>
        <w:rPr>
          <w:color w:val="auto"/>
          <w:sz w:val="21"/>
          <w:szCs w:val="21"/>
          <w:highlight w:val="none"/>
        </w:rPr>
      </w:pPr>
    </w:p>
    <w:p w14:paraId="3BB4BB93">
      <w:pPr>
        <w:pStyle w:val="39"/>
        <w:ind w:firstLine="528"/>
        <w:rPr>
          <w:color w:val="auto"/>
          <w:sz w:val="21"/>
          <w:szCs w:val="21"/>
          <w:highlight w:val="none"/>
        </w:rPr>
      </w:pPr>
    </w:p>
    <w:p w14:paraId="6BF01278">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加盖单位公章或电子公章</w:t>
      </w:r>
      <w:r>
        <w:rPr>
          <w:rFonts w:hint="eastAsia" w:ascii="宋体" w:hAnsi="宋体" w:cs="宋体"/>
          <w:color w:val="auto"/>
          <w:sz w:val="21"/>
          <w:szCs w:val="21"/>
          <w:highlight w:val="none"/>
        </w:rPr>
        <w:t>）</w:t>
      </w:r>
    </w:p>
    <w:p w14:paraId="5B8B1683">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签字或电子签章或电子签名</w:t>
      </w:r>
      <w:r>
        <w:rPr>
          <w:rFonts w:hint="eastAsia" w:ascii="宋体" w:hAnsi="宋体" w:cs="宋体"/>
          <w:color w:val="auto"/>
          <w:sz w:val="21"/>
          <w:szCs w:val="21"/>
          <w:highlight w:val="none"/>
        </w:rPr>
        <w:t>）</w:t>
      </w:r>
    </w:p>
    <w:p w14:paraId="57CD1796">
      <w:pPr>
        <w:snapToGrid w:val="0"/>
        <w:spacing w:line="480" w:lineRule="auto"/>
        <w:ind w:firstLine="5040" w:firstLineChars="2400"/>
        <w:jc w:val="left"/>
        <w:rPr>
          <w:rFonts w:ascii="宋体" w:hAnsi="宋体" w:cs="宋体"/>
          <w:b/>
          <w:color w:val="auto"/>
          <w:kern w:val="0"/>
          <w:sz w:val="21"/>
          <w:szCs w:val="21"/>
          <w:highlight w:val="none"/>
          <w:lang w:val="zh-CN"/>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38F1A9D0">
      <w:pPr>
        <w:snapToGrid w:val="0"/>
        <w:spacing w:line="480" w:lineRule="auto"/>
        <w:ind w:firstLine="7680" w:firstLineChars="3200"/>
        <w:jc w:val="right"/>
        <w:rPr>
          <w:rFonts w:ascii="宋体" w:hAnsi="宋体" w:cs="宋体"/>
          <w:color w:val="auto"/>
          <w:sz w:val="24"/>
          <w:highlight w:val="none"/>
        </w:rPr>
      </w:pPr>
    </w:p>
    <w:p w14:paraId="2A353B7B">
      <w:pPr>
        <w:keepNext/>
        <w:keepLines/>
        <w:autoSpaceDE w:val="0"/>
        <w:autoSpaceDN w:val="0"/>
        <w:adjustRightInd w:val="0"/>
        <w:snapToGrid w:val="0"/>
        <w:spacing w:line="360" w:lineRule="auto"/>
        <w:jc w:val="center"/>
        <w:outlineLvl w:val="3"/>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0EBD9E5A">
      <w:pPr>
        <w:pStyle w:val="41"/>
        <w:jc w:val="center"/>
        <w:rPr>
          <w:rFonts w:hint="eastAsia" w:asciiTheme="minorEastAsia" w:hAnsiTheme="minorEastAsia" w:eastAsiaTheme="minorEastAsia" w:cstheme="minorEastAsia"/>
          <w:b/>
          <w:color w:val="auto"/>
          <w:sz w:val="30"/>
          <w:szCs w:val="30"/>
          <w:highlight w:val="none"/>
          <w:lang w:val="zh-CN" w:eastAsia="zh-CN"/>
        </w:rPr>
      </w:pPr>
      <w:r>
        <w:rPr>
          <w:rFonts w:hint="eastAsia" w:asciiTheme="minorEastAsia" w:hAnsiTheme="minorEastAsia" w:eastAsiaTheme="minorEastAsia" w:cstheme="minorEastAsia"/>
          <w:b/>
          <w:color w:val="auto"/>
          <w:sz w:val="30"/>
          <w:szCs w:val="30"/>
          <w:highlight w:val="none"/>
          <w:lang w:val="en-US" w:eastAsia="zh-CN"/>
        </w:rPr>
        <w:t>三、</w:t>
      </w:r>
      <w:r>
        <w:rPr>
          <w:rFonts w:hint="eastAsia" w:asciiTheme="minorEastAsia" w:hAnsiTheme="minorEastAsia" w:eastAsiaTheme="minorEastAsia" w:cstheme="minorEastAsia"/>
          <w:b/>
          <w:color w:val="auto"/>
          <w:sz w:val="30"/>
          <w:szCs w:val="30"/>
          <w:highlight w:val="none"/>
          <w:lang w:val="zh-CN" w:eastAsia="zh-CN"/>
        </w:rPr>
        <w:t>健全的财务会计制度</w:t>
      </w:r>
    </w:p>
    <w:p w14:paraId="50F85BD7">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财务状况表</w:t>
      </w:r>
    </w:p>
    <w:tbl>
      <w:tblPr>
        <w:tblStyle w:val="25"/>
        <w:tblW w:w="9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5"/>
        <w:gridCol w:w="2410"/>
        <w:gridCol w:w="4169"/>
      </w:tblGrid>
      <w:tr w14:paraId="0BCA7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3699951A">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名称</w:t>
            </w:r>
          </w:p>
        </w:tc>
        <w:tc>
          <w:tcPr>
            <w:tcW w:w="2410" w:type="dxa"/>
            <w:vAlign w:val="center"/>
          </w:tcPr>
          <w:p w14:paraId="1AE474DF">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单位</w:t>
            </w:r>
          </w:p>
        </w:tc>
        <w:tc>
          <w:tcPr>
            <w:tcW w:w="4169" w:type="dxa"/>
            <w:vAlign w:val="center"/>
          </w:tcPr>
          <w:p w14:paraId="7DF79A62">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   </w:t>
            </w:r>
            <w:r>
              <w:rPr>
                <w:rFonts w:hint="eastAsia" w:asciiTheme="minorEastAsia" w:hAnsiTheme="minorEastAsia" w:eastAsiaTheme="minorEastAsia" w:cstheme="minorEastAsia"/>
                <w:color w:val="auto"/>
                <w:kern w:val="0"/>
                <w:sz w:val="21"/>
                <w:szCs w:val="21"/>
                <w:highlight w:val="none"/>
                <w:u w:val="single"/>
              </w:rPr>
              <w:t xml:space="preserve">     </w:t>
            </w:r>
            <w:r>
              <w:rPr>
                <w:rFonts w:hint="eastAsia" w:asciiTheme="minorEastAsia" w:hAnsiTheme="minorEastAsia" w:eastAsiaTheme="minorEastAsia" w:cstheme="minorEastAsia"/>
                <w:color w:val="auto"/>
                <w:kern w:val="0"/>
                <w:sz w:val="21"/>
                <w:szCs w:val="21"/>
                <w:highlight w:val="none"/>
              </w:rPr>
              <w:t>年</w:t>
            </w:r>
          </w:p>
        </w:tc>
      </w:tr>
      <w:tr w14:paraId="5BA4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025" w:type="dxa"/>
            <w:vAlign w:val="center"/>
          </w:tcPr>
          <w:p w14:paraId="0F8E72DD">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一、注册资金</w:t>
            </w:r>
          </w:p>
        </w:tc>
        <w:tc>
          <w:tcPr>
            <w:tcW w:w="2410" w:type="dxa"/>
            <w:vAlign w:val="center"/>
          </w:tcPr>
          <w:p w14:paraId="663A169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1B95BAC5">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EB5B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1CEEF3AB">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二、净资产</w:t>
            </w:r>
          </w:p>
        </w:tc>
        <w:tc>
          <w:tcPr>
            <w:tcW w:w="2410" w:type="dxa"/>
            <w:vAlign w:val="center"/>
          </w:tcPr>
          <w:p w14:paraId="36EF037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4D464E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525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537BA34F">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三、总资产</w:t>
            </w:r>
          </w:p>
        </w:tc>
        <w:tc>
          <w:tcPr>
            <w:tcW w:w="2410" w:type="dxa"/>
            <w:vAlign w:val="center"/>
          </w:tcPr>
          <w:p w14:paraId="16A0FD6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1E5C77F6">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59FA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42A7F24D">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四、固定资产</w:t>
            </w:r>
          </w:p>
        </w:tc>
        <w:tc>
          <w:tcPr>
            <w:tcW w:w="2410" w:type="dxa"/>
            <w:vAlign w:val="center"/>
          </w:tcPr>
          <w:p w14:paraId="638DA2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7C3AEF0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7CB11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4BA3D27F">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五、流动资产</w:t>
            </w:r>
          </w:p>
        </w:tc>
        <w:tc>
          <w:tcPr>
            <w:tcW w:w="2410" w:type="dxa"/>
            <w:vAlign w:val="center"/>
          </w:tcPr>
          <w:p w14:paraId="74F5D8A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063B317B">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631B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158CEDC5">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六、流动负债</w:t>
            </w:r>
          </w:p>
        </w:tc>
        <w:tc>
          <w:tcPr>
            <w:tcW w:w="2410" w:type="dxa"/>
            <w:vAlign w:val="center"/>
          </w:tcPr>
          <w:p w14:paraId="18952B8D">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2BFF09D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8C5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03E83EDB">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七、负债合计</w:t>
            </w:r>
          </w:p>
        </w:tc>
        <w:tc>
          <w:tcPr>
            <w:tcW w:w="2410" w:type="dxa"/>
            <w:vAlign w:val="center"/>
          </w:tcPr>
          <w:p w14:paraId="11C32411">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0EA84585">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7285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3F99A877">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八、营业收入</w:t>
            </w:r>
          </w:p>
        </w:tc>
        <w:tc>
          <w:tcPr>
            <w:tcW w:w="2410" w:type="dxa"/>
            <w:vAlign w:val="center"/>
          </w:tcPr>
          <w:p w14:paraId="67C3829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67A3928D">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61D4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727D3058">
            <w:pPr>
              <w:autoSpaceDE w:val="0"/>
              <w:autoSpaceDN w:val="0"/>
              <w:adjustRightInd w:val="0"/>
              <w:spacing w:line="360" w:lineRule="auto"/>
              <w:jc w:val="both"/>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九、净利润</w:t>
            </w:r>
          </w:p>
        </w:tc>
        <w:tc>
          <w:tcPr>
            <w:tcW w:w="2410" w:type="dxa"/>
            <w:vAlign w:val="center"/>
          </w:tcPr>
          <w:p w14:paraId="6B70B177">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c>
          <w:tcPr>
            <w:tcW w:w="4169" w:type="dxa"/>
            <w:vAlign w:val="center"/>
          </w:tcPr>
          <w:p w14:paraId="2781AFA9">
            <w:pPr>
              <w:autoSpaceDE w:val="0"/>
              <w:autoSpaceDN w:val="0"/>
              <w:adjustRightInd w:val="0"/>
              <w:spacing w:line="360" w:lineRule="auto"/>
              <w:jc w:val="center"/>
              <w:rPr>
                <w:rFonts w:hint="eastAsia" w:asciiTheme="minorEastAsia" w:hAnsiTheme="minorEastAsia" w:eastAsiaTheme="minorEastAsia" w:cstheme="minorEastAsia"/>
                <w:color w:val="auto"/>
                <w:kern w:val="0"/>
                <w:sz w:val="21"/>
                <w:szCs w:val="21"/>
                <w:highlight w:val="none"/>
              </w:rPr>
            </w:pPr>
          </w:p>
        </w:tc>
      </w:tr>
      <w:tr w14:paraId="1172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25" w:type="dxa"/>
            <w:vAlign w:val="center"/>
          </w:tcPr>
          <w:p w14:paraId="165812D2">
            <w:pPr>
              <w:autoSpaceDE w:val="0"/>
              <w:autoSpaceDN w:val="0"/>
              <w:adjustRightInd w:val="0"/>
              <w:spacing w:line="360" w:lineRule="auto"/>
              <w:jc w:val="both"/>
              <w:rPr>
                <w:rFonts w:hint="eastAsia" w:asciiTheme="minorEastAsia" w:hAnsiTheme="minorEastAsia" w:eastAsiaTheme="minorEastAsia" w:cstheme="minorEastAsia"/>
                <w:color w:val="auto"/>
                <w:kern w:val="0"/>
                <w:sz w:val="24"/>
                <w:szCs w:val="24"/>
                <w:highlight w:val="none"/>
              </w:rPr>
            </w:pPr>
          </w:p>
        </w:tc>
        <w:tc>
          <w:tcPr>
            <w:tcW w:w="2410" w:type="dxa"/>
            <w:vAlign w:val="center"/>
          </w:tcPr>
          <w:p w14:paraId="408994E8">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rPr>
            </w:pPr>
          </w:p>
        </w:tc>
        <w:tc>
          <w:tcPr>
            <w:tcW w:w="4169" w:type="dxa"/>
            <w:vAlign w:val="center"/>
          </w:tcPr>
          <w:p w14:paraId="2F2C4699">
            <w:pPr>
              <w:autoSpaceDE w:val="0"/>
              <w:autoSpaceDN w:val="0"/>
              <w:adjustRightInd w:val="0"/>
              <w:spacing w:line="360" w:lineRule="auto"/>
              <w:jc w:val="center"/>
              <w:rPr>
                <w:rFonts w:hint="eastAsia" w:asciiTheme="minorEastAsia" w:hAnsiTheme="minorEastAsia" w:eastAsiaTheme="minorEastAsia" w:cstheme="minorEastAsia"/>
                <w:color w:val="auto"/>
                <w:kern w:val="0"/>
                <w:sz w:val="24"/>
                <w:szCs w:val="24"/>
                <w:highlight w:val="none"/>
              </w:rPr>
            </w:pPr>
          </w:p>
        </w:tc>
      </w:tr>
    </w:tbl>
    <w:p w14:paraId="16F3CD75">
      <w:pPr>
        <w:autoSpaceDE w:val="0"/>
        <w:autoSpaceDN w:val="0"/>
        <w:adjustRightInd w:val="0"/>
        <w:spacing w:line="360" w:lineRule="auto"/>
        <w:ind w:firstLine="420" w:firstLineChars="200"/>
        <w:jc w:val="lef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rPr>
        <w:t>注：健全的财务会计制度</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内容可为以下二者之一</w:t>
      </w:r>
      <w:r>
        <w:rPr>
          <w:rFonts w:hint="eastAsia" w:ascii="宋体" w:hAnsi="宋体" w:cs="宋体"/>
          <w:color w:val="auto"/>
          <w:sz w:val="21"/>
          <w:szCs w:val="21"/>
          <w:highlight w:val="none"/>
          <w:lang w:eastAsia="zh-CN"/>
        </w:rPr>
        <w:t>）：①提供2023年至今任意年度经第三方审计机构审计的财务状况报告（包括资产负债表、利润表、现金流量表），成立不满1年的供应商提供自行编制的自成立至今的财务报表(包括资产负债表、利润表、现金流量表)；②提供基本开户银行出具的资信证明</w:t>
      </w:r>
      <w:r>
        <w:rPr>
          <w:rFonts w:hint="eastAsia" w:ascii="宋体" w:hAnsi="宋体" w:cs="宋体"/>
          <w:color w:val="auto"/>
          <w:sz w:val="21"/>
          <w:szCs w:val="21"/>
          <w:highlight w:val="none"/>
          <w:lang w:val="en-US" w:eastAsia="zh-CN"/>
        </w:rPr>
        <w:t>。</w:t>
      </w:r>
    </w:p>
    <w:p w14:paraId="04BC2B1C">
      <w:pPr>
        <w:autoSpaceDE w:val="0"/>
        <w:autoSpaceDN w:val="0"/>
        <w:adjustRightInd w:val="0"/>
        <w:spacing w:line="360" w:lineRule="auto"/>
        <w:ind w:firstLine="422" w:firstLineChars="200"/>
        <w:jc w:val="left"/>
        <w:rPr>
          <w:rFonts w:hint="eastAsia" w:ascii="宋体" w:hAnsi="宋体" w:eastAsia="宋体" w:cs="宋体"/>
          <w:b/>
          <w:bCs/>
          <w:color w:val="auto"/>
          <w:kern w:val="2"/>
          <w:sz w:val="21"/>
          <w:szCs w:val="21"/>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eastAsia="宋体" w:cs="宋体"/>
          <w:b/>
          <w:bCs/>
          <w:color w:val="auto"/>
          <w:kern w:val="2"/>
          <w:sz w:val="21"/>
          <w:szCs w:val="21"/>
          <w:highlight w:val="none"/>
          <w:lang w:val="en-US" w:eastAsia="zh-CN" w:bidi="ar-SA"/>
        </w:rPr>
        <w:t>附：证明材料的扫描件或复印件。</w:t>
      </w:r>
    </w:p>
    <w:p w14:paraId="159950CF">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四、具有履行合同所必需的设备和专业技术能力</w:t>
      </w:r>
    </w:p>
    <w:p w14:paraId="2EB0BCD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（一）</w:t>
      </w:r>
      <w:r>
        <w:rPr>
          <w:rFonts w:hint="eastAsia" w:asciiTheme="minorEastAsia" w:hAnsiTheme="minorEastAsia" w:eastAsiaTheme="minorEastAsia" w:cstheme="minorEastAsia"/>
          <w:b/>
          <w:bCs/>
          <w:color w:val="auto"/>
          <w:sz w:val="21"/>
          <w:szCs w:val="21"/>
          <w:highlight w:val="none"/>
        </w:rPr>
        <w:t>拟投入本</w:t>
      </w:r>
      <w:r>
        <w:rPr>
          <w:rFonts w:hint="eastAsia" w:asciiTheme="minorEastAsia" w:hAnsiTheme="minorEastAsia" w:eastAsiaTheme="minorEastAsia" w:cstheme="minorEastAsia"/>
          <w:b/>
          <w:bCs/>
          <w:color w:val="auto"/>
          <w:sz w:val="21"/>
          <w:szCs w:val="21"/>
          <w:highlight w:val="none"/>
          <w:lang w:eastAsia="zh-CN"/>
        </w:rPr>
        <w:t>项目</w:t>
      </w:r>
      <w:r>
        <w:rPr>
          <w:rFonts w:hint="eastAsia" w:asciiTheme="minorEastAsia" w:hAnsiTheme="minorEastAsia" w:eastAsiaTheme="minorEastAsia" w:cstheme="minorEastAsia"/>
          <w:b/>
          <w:bCs/>
          <w:color w:val="auto"/>
          <w:sz w:val="21"/>
          <w:szCs w:val="21"/>
          <w:highlight w:val="none"/>
        </w:rPr>
        <w:t>的主要施工设备</w:t>
      </w:r>
      <w:r>
        <w:rPr>
          <w:rFonts w:hint="eastAsia" w:asciiTheme="minorEastAsia" w:hAnsiTheme="minorEastAsia" w:eastAsiaTheme="minorEastAsia" w:cstheme="minorEastAsia"/>
          <w:b/>
          <w:bCs/>
          <w:color w:val="auto"/>
          <w:sz w:val="21"/>
          <w:szCs w:val="21"/>
          <w:highlight w:val="none"/>
          <w:lang w:eastAsia="zh-CN"/>
        </w:rPr>
        <w:t>、仪器</w:t>
      </w:r>
      <w:r>
        <w:rPr>
          <w:rFonts w:hint="eastAsia" w:asciiTheme="minorEastAsia" w:hAnsiTheme="minorEastAsia" w:eastAsiaTheme="minorEastAsia" w:cstheme="minorEastAsia"/>
          <w:b/>
          <w:bCs/>
          <w:color w:val="auto"/>
          <w:sz w:val="21"/>
          <w:szCs w:val="21"/>
          <w:highlight w:val="none"/>
        </w:rPr>
        <w:t>表</w:t>
      </w:r>
    </w:p>
    <w:tbl>
      <w:tblPr>
        <w:tblStyle w:val="26"/>
        <w:tblW w:w="0" w:type="auto"/>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1884"/>
        <w:gridCol w:w="1195"/>
        <w:gridCol w:w="997"/>
        <w:gridCol w:w="1588"/>
        <w:gridCol w:w="1312"/>
        <w:gridCol w:w="1613"/>
        <w:gridCol w:w="1114"/>
      </w:tblGrid>
      <w:tr w14:paraId="37398D1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639E0F6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w:t>
            </w:r>
            <w:r>
              <w:rPr>
                <w:rFonts w:hint="eastAsia" w:ascii="宋体" w:hAnsi="宋体" w:eastAsia="宋体" w:cs="宋体"/>
                <w:color w:val="auto"/>
                <w:sz w:val="21"/>
                <w:szCs w:val="21"/>
                <w:highlight w:val="none"/>
                <w:lang w:eastAsia="zh-CN"/>
              </w:rPr>
              <w:t>、仪器</w:t>
            </w:r>
            <w:r>
              <w:rPr>
                <w:rFonts w:hint="eastAsia" w:ascii="宋体" w:hAnsi="宋体" w:eastAsia="宋体" w:cs="宋体"/>
                <w:color w:val="auto"/>
                <w:sz w:val="21"/>
                <w:szCs w:val="21"/>
                <w:highlight w:val="none"/>
              </w:rPr>
              <w:t>名称</w:t>
            </w:r>
          </w:p>
        </w:tc>
        <w:tc>
          <w:tcPr>
            <w:tcW w:w="1195" w:type="dxa"/>
            <w:tcBorders>
              <w:tl2br w:val="nil"/>
              <w:tr2bl w:val="nil"/>
            </w:tcBorders>
            <w:vAlign w:val="center"/>
          </w:tcPr>
          <w:p w14:paraId="2D1ADEA9">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型号规格</w:t>
            </w:r>
          </w:p>
        </w:tc>
        <w:tc>
          <w:tcPr>
            <w:tcW w:w="997" w:type="dxa"/>
            <w:tcBorders>
              <w:tl2br w:val="nil"/>
              <w:tr2bl w:val="nil"/>
            </w:tcBorders>
            <w:vAlign w:val="center"/>
          </w:tcPr>
          <w:p w14:paraId="1022990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  量</w:t>
            </w:r>
          </w:p>
        </w:tc>
        <w:tc>
          <w:tcPr>
            <w:tcW w:w="1588" w:type="dxa"/>
            <w:tcBorders>
              <w:tl2br w:val="nil"/>
              <w:tr2bl w:val="nil"/>
            </w:tcBorders>
            <w:vAlign w:val="center"/>
          </w:tcPr>
          <w:p w14:paraId="1D4277C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目前状况</w:t>
            </w:r>
          </w:p>
        </w:tc>
        <w:tc>
          <w:tcPr>
            <w:tcW w:w="1312" w:type="dxa"/>
            <w:tcBorders>
              <w:tl2br w:val="nil"/>
              <w:tr2bl w:val="nil"/>
            </w:tcBorders>
            <w:vAlign w:val="center"/>
          </w:tcPr>
          <w:p w14:paraId="3794A8CC">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来  源</w:t>
            </w:r>
          </w:p>
        </w:tc>
        <w:tc>
          <w:tcPr>
            <w:tcW w:w="1613" w:type="dxa"/>
            <w:tcBorders>
              <w:tl2br w:val="nil"/>
              <w:tr2bl w:val="nil"/>
            </w:tcBorders>
            <w:vAlign w:val="center"/>
          </w:tcPr>
          <w:p w14:paraId="0F6C26B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现停放地点</w:t>
            </w:r>
          </w:p>
        </w:tc>
        <w:tc>
          <w:tcPr>
            <w:tcW w:w="1114" w:type="dxa"/>
            <w:tcBorders>
              <w:tl2br w:val="nil"/>
              <w:tr2bl w:val="nil"/>
            </w:tcBorders>
            <w:vAlign w:val="center"/>
          </w:tcPr>
          <w:p w14:paraId="50253C61">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  注</w:t>
            </w:r>
          </w:p>
        </w:tc>
      </w:tr>
      <w:tr w14:paraId="31CA6B1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29958B6F">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7C6735E7">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7845BC15">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58358BC4">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5730079A">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52827AD3">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657BAC19">
            <w:pPr>
              <w:spacing w:line="360" w:lineRule="auto"/>
              <w:jc w:val="center"/>
              <w:rPr>
                <w:rFonts w:hint="eastAsia" w:ascii="宋体" w:hAnsi="宋体" w:eastAsia="宋体" w:cs="宋体"/>
                <w:color w:val="auto"/>
                <w:sz w:val="21"/>
                <w:szCs w:val="21"/>
                <w:highlight w:val="none"/>
              </w:rPr>
            </w:pPr>
          </w:p>
        </w:tc>
      </w:tr>
      <w:tr w14:paraId="3CF4EFC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0954129B">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6D8C9DDD">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09D8BEA9">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47742D3C">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1F4D81EB">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0A55BC79">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6C54DC08">
            <w:pPr>
              <w:spacing w:line="360" w:lineRule="auto"/>
              <w:jc w:val="center"/>
              <w:rPr>
                <w:rFonts w:hint="eastAsia" w:ascii="宋体" w:hAnsi="宋体" w:eastAsia="宋体" w:cs="宋体"/>
                <w:color w:val="auto"/>
                <w:sz w:val="21"/>
                <w:szCs w:val="21"/>
                <w:highlight w:val="none"/>
              </w:rPr>
            </w:pPr>
          </w:p>
        </w:tc>
      </w:tr>
      <w:tr w14:paraId="6E189C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0CB858CD">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74722C96">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7CB884D9">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2515658D">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44583B01">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6CF02AE6">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281F4B4B">
            <w:pPr>
              <w:spacing w:line="360" w:lineRule="auto"/>
              <w:jc w:val="center"/>
              <w:rPr>
                <w:rFonts w:hint="eastAsia" w:ascii="宋体" w:hAnsi="宋体" w:eastAsia="宋体" w:cs="宋体"/>
                <w:color w:val="auto"/>
                <w:sz w:val="21"/>
                <w:szCs w:val="21"/>
                <w:highlight w:val="none"/>
              </w:rPr>
            </w:pPr>
          </w:p>
        </w:tc>
      </w:tr>
      <w:tr w14:paraId="7B52356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209ACD1A">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244BFF66">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1F8912BC">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70F01FFB">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28D60F59">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68431BB9">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3481641A">
            <w:pPr>
              <w:spacing w:line="360" w:lineRule="auto"/>
              <w:jc w:val="center"/>
              <w:rPr>
                <w:rFonts w:hint="eastAsia" w:ascii="宋体" w:hAnsi="宋体" w:eastAsia="宋体" w:cs="宋体"/>
                <w:color w:val="auto"/>
                <w:sz w:val="21"/>
                <w:szCs w:val="21"/>
                <w:highlight w:val="none"/>
              </w:rPr>
            </w:pPr>
          </w:p>
        </w:tc>
      </w:tr>
      <w:tr w14:paraId="38562B5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16F671B5">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25815D08">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4026B7DC">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616717BB">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3C370BCF">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5A6BF537">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7349186E">
            <w:pPr>
              <w:spacing w:line="360" w:lineRule="auto"/>
              <w:jc w:val="center"/>
              <w:rPr>
                <w:rFonts w:hint="eastAsia" w:ascii="宋体" w:hAnsi="宋体" w:eastAsia="宋体" w:cs="宋体"/>
                <w:color w:val="auto"/>
                <w:sz w:val="21"/>
                <w:szCs w:val="21"/>
                <w:highlight w:val="none"/>
              </w:rPr>
            </w:pPr>
          </w:p>
        </w:tc>
      </w:tr>
      <w:tr w14:paraId="6FAAEF7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3EA377F2">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2231FA5C">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4CA10EE3">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7A953246">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43FF964D">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0AD7D637">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2F098BA1">
            <w:pPr>
              <w:spacing w:line="360" w:lineRule="auto"/>
              <w:jc w:val="center"/>
              <w:rPr>
                <w:rFonts w:hint="eastAsia" w:ascii="宋体" w:hAnsi="宋体" w:eastAsia="宋体" w:cs="宋体"/>
                <w:color w:val="auto"/>
                <w:sz w:val="21"/>
                <w:szCs w:val="21"/>
                <w:highlight w:val="none"/>
              </w:rPr>
            </w:pPr>
          </w:p>
        </w:tc>
      </w:tr>
      <w:tr w14:paraId="03F9FA8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3BB530CF">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1336B083">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4F9E5328">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2C1E6A0E">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1E27F296">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0263E484">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7B8651E8">
            <w:pPr>
              <w:spacing w:line="360" w:lineRule="auto"/>
              <w:jc w:val="center"/>
              <w:rPr>
                <w:rFonts w:hint="eastAsia" w:ascii="宋体" w:hAnsi="宋体" w:eastAsia="宋体" w:cs="宋体"/>
                <w:color w:val="auto"/>
                <w:sz w:val="21"/>
                <w:szCs w:val="21"/>
                <w:highlight w:val="none"/>
              </w:rPr>
            </w:pPr>
          </w:p>
        </w:tc>
      </w:tr>
      <w:tr w14:paraId="4A31ABC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108" w:type="dxa"/>
            <w:bottom w:w="0" w:type="dxa"/>
            <w:right w:w="108" w:type="dxa"/>
          </w:tblCellMar>
        </w:tblPrEx>
        <w:trPr>
          <w:trHeight w:val="680" w:hRule="atLeast"/>
          <w:jc w:val="center"/>
        </w:trPr>
        <w:tc>
          <w:tcPr>
            <w:tcW w:w="1884" w:type="dxa"/>
            <w:tcBorders>
              <w:tl2br w:val="nil"/>
              <w:tr2bl w:val="nil"/>
            </w:tcBorders>
            <w:vAlign w:val="center"/>
          </w:tcPr>
          <w:p w14:paraId="29AB1187">
            <w:pPr>
              <w:spacing w:line="360" w:lineRule="auto"/>
              <w:jc w:val="center"/>
              <w:rPr>
                <w:rFonts w:hint="eastAsia" w:ascii="宋体" w:hAnsi="宋体" w:eastAsia="宋体" w:cs="宋体"/>
                <w:color w:val="auto"/>
                <w:sz w:val="21"/>
                <w:szCs w:val="21"/>
                <w:highlight w:val="none"/>
              </w:rPr>
            </w:pPr>
          </w:p>
        </w:tc>
        <w:tc>
          <w:tcPr>
            <w:tcW w:w="1195" w:type="dxa"/>
            <w:tcBorders>
              <w:tl2br w:val="nil"/>
              <w:tr2bl w:val="nil"/>
            </w:tcBorders>
            <w:vAlign w:val="center"/>
          </w:tcPr>
          <w:p w14:paraId="14AF21FA">
            <w:pPr>
              <w:spacing w:line="360" w:lineRule="auto"/>
              <w:jc w:val="center"/>
              <w:rPr>
                <w:rFonts w:hint="eastAsia" w:ascii="宋体" w:hAnsi="宋体" w:eastAsia="宋体" w:cs="宋体"/>
                <w:color w:val="auto"/>
                <w:sz w:val="21"/>
                <w:szCs w:val="21"/>
                <w:highlight w:val="none"/>
              </w:rPr>
            </w:pPr>
          </w:p>
        </w:tc>
        <w:tc>
          <w:tcPr>
            <w:tcW w:w="997" w:type="dxa"/>
            <w:tcBorders>
              <w:tl2br w:val="nil"/>
              <w:tr2bl w:val="nil"/>
            </w:tcBorders>
            <w:vAlign w:val="center"/>
          </w:tcPr>
          <w:p w14:paraId="68F4E448">
            <w:pPr>
              <w:spacing w:line="360" w:lineRule="auto"/>
              <w:jc w:val="center"/>
              <w:rPr>
                <w:rFonts w:hint="eastAsia" w:ascii="宋体" w:hAnsi="宋体" w:eastAsia="宋体" w:cs="宋体"/>
                <w:color w:val="auto"/>
                <w:sz w:val="21"/>
                <w:szCs w:val="21"/>
                <w:highlight w:val="none"/>
              </w:rPr>
            </w:pPr>
          </w:p>
        </w:tc>
        <w:tc>
          <w:tcPr>
            <w:tcW w:w="1588" w:type="dxa"/>
            <w:tcBorders>
              <w:tl2br w:val="nil"/>
              <w:tr2bl w:val="nil"/>
            </w:tcBorders>
            <w:vAlign w:val="center"/>
          </w:tcPr>
          <w:p w14:paraId="7FBD90EE">
            <w:pPr>
              <w:spacing w:line="360" w:lineRule="auto"/>
              <w:jc w:val="center"/>
              <w:rPr>
                <w:rFonts w:hint="eastAsia" w:ascii="宋体" w:hAnsi="宋体" w:eastAsia="宋体" w:cs="宋体"/>
                <w:color w:val="auto"/>
                <w:sz w:val="21"/>
                <w:szCs w:val="21"/>
                <w:highlight w:val="none"/>
              </w:rPr>
            </w:pPr>
          </w:p>
        </w:tc>
        <w:tc>
          <w:tcPr>
            <w:tcW w:w="1312" w:type="dxa"/>
            <w:tcBorders>
              <w:tl2br w:val="nil"/>
              <w:tr2bl w:val="nil"/>
            </w:tcBorders>
            <w:vAlign w:val="center"/>
          </w:tcPr>
          <w:p w14:paraId="574057DB">
            <w:pPr>
              <w:spacing w:line="360" w:lineRule="auto"/>
              <w:jc w:val="center"/>
              <w:rPr>
                <w:rFonts w:hint="eastAsia" w:ascii="宋体" w:hAnsi="宋体" w:eastAsia="宋体" w:cs="宋体"/>
                <w:color w:val="auto"/>
                <w:sz w:val="21"/>
                <w:szCs w:val="21"/>
                <w:highlight w:val="none"/>
              </w:rPr>
            </w:pPr>
          </w:p>
        </w:tc>
        <w:tc>
          <w:tcPr>
            <w:tcW w:w="1613" w:type="dxa"/>
            <w:tcBorders>
              <w:tl2br w:val="nil"/>
              <w:tr2bl w:val="nil"/>
            </w:tcBorders>
            <w:vAlign w:val="center"/>
          </w:tcPr>
          <w:p w14:paraId="3935FFE9">
            <w:pPr>
              <w:spacing w:line="360" w:lineRule="auto"/>
              <w:jc w:val="center"/>
              <w:rPr>
                <w:rFonts w:hint="eastAsia" w:ascii="宋体" w:hAnsi="宋体" w:eastAsia="宋体" w:cs="宋体"/>
                <w:color w:val="auto"/>
                <w:sz w:val="21"/>
                <w:szCs w:val="21"/>
                <w:highlight w:val="none"/>
              </w:rPr>
            </w:pPr>
          </w:p>
        </w:tc>
        <w:tc>
          <w:tcPr>
            <w:tcW w:w="1114" w:type="dxa"/>
            <w:tcBorders>
              <w:tl2br w:val="nil"/>
              <w:tr2bl w:val="nil"/>
            </w:tcBorders>
            <w:vAlign w:val="center"/>
          </w:tcPr>
          <w:p w14:paraId="0D2D9C86">
            <w:pPr>
              <w:spacing w:line="360" w:lineRule="auto"/>
              <w:jc w:val="center"/>
              <w:rPr>
                <w:rFonts w:hint="eastAsia" w:ascii="宋体" w:hAnsi="宋体" w:eastAsia="宋体" w:cs="宋体"/>
                <w:color w:val="auto"/>
                <w:sz w:val="21"/>
                <w:szCs w:val="21"/>
                <w:highlight w:val="none"/>
              </w:rPr>
            </w:pPr>
          </w:p>
        </w:tc>
      </w:tr>
    </w:tbl>
    <w:p w14:paraId="78D5734D">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color w:val="auto"/>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color w:val="auto"/>
          <w:highlight w:val="none"/>
          <w:lang w:eastAsia="zh-CN"/>
        </w:rPr>
        <w:t>注：本表可自行增、减，“目前状况”应说明已使用年限、是否完好以及目前是否正在使用，“来源”分为“自有”和“市场租赁”两种情况，正在使用中的设备应在“备注”中注明何时能够投入本项目，并提供</w:t>
      </w:r>
      <w:r>
        <w:rPr>
          <w:rFonts w:hint="eastAsia"/>
          <w:color w:val="auto"/>
          <w:highlight w:val="none"/>
          <w:lang w:val="en-US" w:eastAsia="zh-CN"/>
        </w:rPr>
        <w:t>相关</w:t>
      </w:r>
      <w:r>
        <w:rPr>
          <w:rFonts w:hint="eastAsia"/>
          <w:color w:val="auto"/>
          <w:highlight w:val="none"/>
          <w:lang w:eastAsia="zh-CN"/>
        </w:rPr>
        <w:t>证明材料。</w:t>
      </w:r>
    </w:p>
    <w:p w14:paraId="45701ACA">
      <w:pPr>
        <w:keepNext w:val="0"/>
        <w:keepLines w:val="0"/>
        <w:pageBreakBefore w:val="0"/>
        <w:widowControl w:val="0"/>
        <w:kinsoku/>
        <w:wordWrap/>
        <w:overflowPunct/>
        <w:topLinePunct w:val="0"/>
        <w:autoSpaceDE/>
        <w:autoSpaceDN/>
        <w:bidi w:val="0"/>
        <w:adjustRightInd/>
        <w:snapToGrid/>
        <w:spacing w:after="0" w:afterLines="50"/>
        <w:jc w:val="center"/>
        <w:textAlignment w:val="auto"/>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lang w:eastAsia="zh-CN"/>
        </w:rPr>
        <w:t>（二）</w:t>
      </w:r>
      <w:bookmarkStart w:id="1131" w:name="_Toc14241"/>
      <w:r>
        <w:rPr>
          <w:rFonts w:hint="eastAsia" w:asciiTheme="minorEastAsia" w:hAnsiTheme="minorEastAsia" w:eastAsiaTheme="minorEastAsia" w:cstheme="minorEastAsia"/>
          <w:b/>
          <w:bCs/>
          <w:color w:val="auto"/>
          <w:sz w:val="21"/>
          <w:szCs w:val="21"/>
          <w:highlight w:val="none"/>
        </w:rPr>
        <w:t>施工现场专业（管理）人员配备表</w:t>
      </w:r>
      <w:bookmarkEnd w:id="1131"/>
    </w:p>
    <w:tbl>
      <w:tblPr>
        <w:tblStyle w:val="25"/>
        <w:tblpPr w:leftFromText="180" w:rightFromText="180" w:vertAnchor="text" w:horzAnchor="page" w:tblpX="1037" w:tblpY="97"/>
        <w:tblOverlap w:val="never"/>
        <w:tblW w:w="997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1111"/>
        <w:gridCol w:w="750"/>
        <w:gridCol w:w="1301"/>
        <w:gridCol w:w="735"/>
        <w:gridCol w:w="765"/>
        <w:gridCol w:w="2084"/>
        <w:gridCol w:w="1332"/>
        <w:gridCol w:w="779"/>
      </w:tblGrid>
      <w:tr w14:paraId="24B49C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118" w:type="dxa"/>
            <w:vMerge w:val="restart"/>
            <w:vAlign w:val="center"/>
          </w:tcPr>
          <w:p w14:paraId="1BB8B9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拟任职务</w:t>
            </w:r>
          </w:p>
        </w:tc>
        <w:tc>
          <w:tcPr>
            <w:tcW w:w="1111" w:type="dxa"/>
            <w:vMerge w:val="restart"/>
            <w:vAlign w:val="center"/>
          </w:tcPr>
          <w:p w14:paraId="0420197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750" w:type="dxa"/>
            <w:vMerge w:val="restart"/>
            <w:vAlign w:val="center"/>
          </w:tcPr>
          <w:p w14:paraId="5D62886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4885" w:type="dxa"/>
            <w:gridSpan w:val="4"/>
            <w:vAlign w:val="center"/>
          </w:tcPr>
          <w:p w14:paraId="50F532B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执业或职业资格证明</w:t>
            </w:r>
          </w:p>
        </w:tc>
        <w:tc>
          <w:tcPr>
            <w:tcW w:w="1332" w:type="dxa"/>
            <w:vMerge w:val="restart"/>
            <w:vAlign w:val="center"/>
          </w:tcPr>
          <w:p w14:paraId="67F4F751">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联系电话</w:t>
            </w:r>
          </w:p>
        </w:tc>
        <w:tc>
          <w:tcPr>
            <w:tcW w:w="779" w:type="dxa"/>
            <w:vMerge w:val="restart"/>
            <w:vAlign w:val="center"/>
          </w:tcPr>
          <w:p w14:paraId="3A557AE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320771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Merge w:val="continue"/>
            <w:vAlign w:val="center"/>
          </w:tcPr>
          <w:p w14:paraId="32464B76">
            <w:pPr>
              <w:spacing w:line="360" w:lineRule="auto"/>
              <w:jc w:val="center"/>
              <w:rPr>
                <w:rFonts w:hint="eastAsia" w:ascii="宋体" w:hAnsi="宋体" w:eastAsia="宋体" w:cs="宋体"/>
                <w:color w:val="auto"/>
                <w:sz w:val="21"/>
                <w:szCs w:val="21"/>
                <w:highlight w:val="none"/>
              </w:rPr>
            </w:pPr>
          </w:p>
        </w:tc>
        <w:tc>
          <w:tcPr>
            <w:tcW w:w="1111" w:type="dxa"/>
            <w:vMerge w:val="continue"/>
            <w:vAlign w:val="center"/>
          </w:tcPr>
          <w:p w14:paraId="29325EE7">
            <w:pPr>
              <w:spacing w:line="360" w:lineRule="auto"/>
              <w:jc w:val="center"/>
              <w:rPr>
                <w:rFonts w:hint="eastAsia" w:ascii="宋体" w:hAnsi="宋体" w:eastAsia="宋体" w:cs="宋体"/>
                <w:color w:val="auto"/>
                <w:sz w:val="21"/>
                <w:szCs w:val="21"/>
                <w:highlight w:val="none"/>
              </w:rPr>
            </w:pPr>
          </w:p>
        </w:tc>
        <w:tc>
          <w:tcPr>
            <w:tcW w:w="750" w:type="dxa"/>
            <w:vMerge w:val="continue"/>
            <w:vAlign w:val="center"/>
          </w:tcPr>
          <w:p w14:paraId="5D40FD55">
            <w:pPr>
              <w:spacing w:line="360" w:lineRule="auto"/>
              <w:jc w:val="center"/>
              <w:rPr>
                <w:rFonts w:hint="eastAsia" w:ascii="宋体" w:hAnsi="宋体" w:eastAsia="宋体" w:cs="宋体"/>
                <w:color w:val="auto"/>
                <w:sz w:val="21"/>
                <w:szCs w:val="21"/>
                <w:highlight w:val="none"/>
              </w:rPr>
            </w:pPr>
          </w:p>
        </w:tc>
        <w:tc>
          <w:tcPr>
            <w:tcW w:w="1301" w:type="dxa"/>
            <w:vAlign w:val="center"/>
          </w:tcPr>
          <w:p w14:paraId="3EFF4D50">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证书名称</w:t>
            </w:r>
          </w:p>
        </w:tc>
        <w:tc>
          <w:tcPr>
            <w:tcW w:w="735" w:type="dxa"/>
            <w:vAlign w:val="center"/>
          </w:tcPr>
          <w:p w14:paraId="4DADBDA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级别</w:t>
            </w:r>
          </w:p>
        </w:tc>
        <w:tc>
          <w:tcPr>
            <w:tcW w:w="765" w:type="dxa"/>
            <w:vAlign w:val="center"/>
          </w:tcPr>
          <w:p w14:paraId="380666E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证号</w:t>
            </w:r>
          </w:p>
        </w:tc>
        <w:tc>
          <w:tcPr>
            <w:tcW w:w="2084" w:type="dxa"/>
            <w:vAlign w:val="center"/>
          </w:tcPr>
          <w:p w14:paraId="3E12093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专业</w:t>
            </w:r>
          </w:p>
        </w:tc>
        <w:tc>
          <w:tcPr>
            <w:tcW w:w="1332" w:type="dxa"/>
            <w:vMerge w:val="continue"/>
            <w:vAlign w:val="center"/>
          </w:tcPr>
          <w:p w14:paraId="4B398000">
            <w:pPr>
              <w:spacing w:line="360" w:lineRule="auto"/>
              <w:jc w:val="center"/>
              <w:rPr>
                <w:rFonts w:hint="eastAsia" w:ascii="宋体" w:hAnsi="宋体" w:eastAsia="宋体" w:cs="宋体"/>
                <w:color w:val="auto"/>
                <w:sz w:val="21"/>
                <w:szCs w:val="21"/>
                <w:highlight w:val="none"/>
              </w:rPr>
            </w:pPr>
          </w:p>
        </w:tc>
        <w:tc>
          <w:tcPr>
            <w:tcW w:w="779" w:type="dxa"/>
            <w:vMerge w:val="continue"/>
            <w:vAlign w:val="center"/>
          </w:tcPr>
          <w:p w14:paraId="49B39129">
            <w:pPr>
              <w:spacing w:line="360" w:lineRule="auto"/>
              <w:jc w:val="center"/>
              <w:rPr>
                <w:rFonts w:hint="eastAsia" w:ascii="宋体" w:hAnsi="宋体" w:eastAsia="宋体" w:cs="宋体"/>
                <w:color w:val="auto"/>
                <w:sz w:val="21"/>
                <w:szCs w:val="21"/>
                <w:highlight w:val="none"/>
              </w:rPr>
            </w:pPr>
          </w:p>
        </w:tc>
      </w:tr>
      <w:tr w14:paraId="027C5D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058AF740">
            <w:pPr>
              <w:spacing w:line="360" w:lineRule="auto"/>
              <w:jc w:val="center"/>
              <w:rPr>
                <w:rFonts w:hint="eastAsia" w:ascii="宋体" w:hAnsi="宋体" w:eastAsia="宋体" w:cs="宋体"/>
                <w:color w:val="auto"/>
                <w:sz w:val="21"/>
                <w:szCs w:val="21"/>
                <w:highlight w:val="none"/>
              </w:rPr>
            </w:pPr>
          </w:p>
        </w:tc>
        <w:tc>
          <w:tcPr>
            <w:tcW w:w="1111" w:type="dxa"/>
            <w:vAlign w:val="center"/>
          </w:tcPr>
          <w:p w14:paraId="41EC766C">
            <w:pPr>
              <w:spacing w:line="360" w:lineRule="auto"/>
              <w:jc w:val="center"/>
              <w:rPr>
                <w:rFonts w:hint="eastAsia" w:ascii="宋体" w:hAnsi="宋体" w:eastAsia="宋体" w:cs="宋体"/>
                <w:color w:val="auto"/>
                <w:sz w:val="21"/>
                <w:szCs w:val="21"/>
                <w:highlight w:val="none"/>
              </w:rPr>
            </w:pPr>
          </w:p>
        </w:tc>
        <w:tc>
          <w:tcPr>
            <w:tcW w:w="750" w:type="dxa"/>
            <w:vAlign w:val="center"/>
          </w:tcPr>
          <w:p w14:paraId="3AE6D14F">
            <w:pPr>
              <w:spacing w:line="360" w:lineRule="auto"/>
              <w:jc w:val="center"/>
              <w:rPr>
                <w:rFonts w:hint="eastAsia" w:ascii="宋体" w:hAnsi="宋体" w:eastAsia="宋体" w:cs="宋体"/>
                <w:color w:val="auto"/>
                <w:sz w:val="21"/>
                <w:szCs w:val="21"/>
                <w:highlight w:val="none"/>
              </w:rPr>
            </w:pPr>
          </w:p>
        </w:tc>
        <w:tc>
          <w:tcPr>
            <w:tcW w:w="1301" w:type="dxa"/>
            <w:vAlign w:val="center"/>
          </w:tcPr>
          <w:p w14:paraId="1C8B5ABE">
            <w:pPr>
              <w:spacing w:line="360" w:lineRule="auto"/>
              <w:jc w:val="center"/>
              <w:rPr>
                <w:rFonts w:hint="eastAsia" w:ascii="宋体" w:hAnsi="宋体" w:eastAsia="宋体" w:cs="宋体"/>
                <w:color w:val="auto"/>
                <w:sz w:val="21"/>
                <w:szCs w:val="21"/>
                <w:highlight w:val="none"/>
              </w:rPr>
            </w:pPr>
          </w:p>
        </w:tc>
        <w:tc>
          <w:tcPr>
            <w:tcW w:w="735" w:type="dxa"/>
            <w:vAlign w:val="center"/>
          </w:tcPr>
          <w:p w14:paraId="4E293237">
            <w:pPr>
              <w:spacing w:line="360" w:lineRule="auto"/>
              <w:jc w:val="center"/>
              <w:rPr>
                <w:rFonts w:hint="eastAsia" w:ascii="宋体" w:hAnsi="宋体" w:eastAsia="宋体" w:cs="宋体"/>
                <w:color w:val="auto"/>
                <w:sz w:val="21"/>
                <w:szCs w:val="21"/>
                <w:highlight w:val="none"/>
              </w:rPr>
            </w:pPr>
          </w:p>
        </w:tc>
        <w:tc>
          <w:tcPr>
            <w:tcW w:w="765" w:type="dxa"/>
            <w:vAlign w:val="center"/>
          </w:tcPr>
          <w:p w14:paraId="679F4541">
            <w:pPr>
              <w:spacing w:line="360" w:lineRule="auto"/>
              <w:jc w:val="center"/>
              <w:rPr>
                <w:rFonts w:hint="eastAsia" w:ascii="宋体" w:hAnsi="宋体" w:eastAsia="宋体" w:cs="宋体"/>
                <w:color w:val="auto"/>
                <w:sz w:val="21"/>
                <w:szCs w:val="21"/>
                <w:highlight w:val="none"/>
              </w:rPr>
            </w:pPr>
          </w:p>
        </w:tc>
        <w:tc>
          <w:tcPr>
            <w:tcW w:w="2084" w:type="dxa"/>
            <w:vAlign w:val="center"/>
          </w:tcPr>
          <w:p w14:paraId="0D1D538B">
            <w:pPr>
              <w:spacing w:line="360" w:lineRule="auto"/>
              <w:jc w:val="center"/>
              <w:rPr>
                <w:rFonts w:hint="eastAsia" w:ascii="宋体" w:hAnsi="宋体" w:eastAsia="宋体" w:cs="宋体"/>
                <w:color w:val="auto"/>
                <w:sz w:val="21"/>
                <w:szCs w:val="21"/>
                <w:highlight w:val="none"/>
              </w:rPr>
            </w:pPr>
          </w:p>
        </w:tc>
        <w:tc>
          <w:tcPr>
            <w:tcW w:w="1332" w:type="dxa"/>
            <w:vAlign w:val="center"/>
          </w:tcPr>
          <w:p w14:paraId="1D0810B9">
            <w:pPr>
              <w:spacing w:line="360" w:lineRule="auto"/>
              <w:jc w:val="center"/>
              <w:rPr>
                <w:rFonts w:hint="eastAsia" w:ascii="宋体" w:hAnsi="宋体" w:eastAsia="宋体" w:cs="宋体"/>
                <w:color w:val="auto"/>
                <w:sz w:val="21"/>
                <w:szCs w:val="21"/>
                <w:highlight w:val="none"/>
              </w:rPr>
            </w:pPr>
          </w:p>
        </w:tc>
        <w:tc>
          <w:tcPr>
            <w:tcW w:w="779" w:type="dxa"/>
            <w:vAlign w:val="center"/>
          </w:tcPr>
          <w:p w14:paraId="0D868BB6">
            <w:pPr>
              <w:spacing w:line="360" w:lineRule="auto"/>
              <w:jc w:val="center"/>
              <w:rPr>
                <w:rFonts w:hint="eastAsia" w:ascii="宋体" w:hAnsi="宋体" w:eastAsia="宋体" w:cs="宋体"/>
                <w:color w:val="auto"/>
                <w:sz w:val="21"/>
                <w:szCs w:val="21"/>
                <w:highlight w:val="none"/>
              </w:rPr>
            </w:pPr>
          </w:p>
        </w:tc>
      </w:tr>
      <w:tr w14:paraId="7A2EF4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180DB2EF">
            <w:pPr>
              <w:spacing w:line="360" w:lineRule="auto"/>
              <w:jc w:val="center"/>
              <w:rPr>
                <w:rFonts w:hint="eastAsia" w:ascii="宋体" w:hAnsi="宋体" w:eastAsia="宋体" w:cs="宋体"/>
                <w:color w:val="auto"/>
                <w:sz w:val="21"/>
                <w:szCs w:val="21"/>
                <w:highlight w:val="none"/>
              </w:rPr>
            </w:pPr>
          </w:p>
        </w:tc>
        <w:tc>
          <w:tcPr>
            <w:tcW w:w="1111" w:type="dxa"/>
            <w:vAlign w:val="center"/>
          </w:tcPr>
          <w:p w14:paraId="6A02C22E">
            <w:pPr>
              <w:spacing w:line="360" w:lineRule="auto"/>
              <w:jc w:val="center"/>
              <w:rPr>
                <w:rFonts w:hint="eastAsia" w:ascii="宋体" w:hAnsi="宋体" w:eastAsia="宋体" w:cs="宋体"/>
                <w:color w:val="auto"/>
                <w:sz w:val="21"/>
                <w:szCs w:val="21"/>
                <w:highlight w:val="none"/>
              </w:rPr>
            </w:pPr>
          </w:p>
        </w:tc>
        <w:tc>
          <w:tcPr>
            <w:tcW w:w="750" w:type="dxa"/>
            <w:vAlign w:val="center"/>
          </w:tcPr>
          <w:p w14:paraId="464925B4">
            <w:pPr>
              <w:spacing w:line="360" w:lineRule="auto"/>
              <w:jc w:val="center"/>
              <w:rPr>
                <w:rFonts w:hint="eastAsia" w:ascii="宋体" w:hAnsi="宋体" w:eastAsia="宋体" w:cs="宋体"/>
                <w:color w:val="auto"/>
                <w:sz w:val="21"/>
                <w:szCs w:val="21"/>
                <w:highlight w:val="none"/>
              </w:rPr>
            </w:pPr>
          </w:p>
        </w:tc>
        <w:tc>
          <w:tcPr>
            <w:tcW w:w="1301" w:type="dxa"/>
            <w:vAlign w:val="center"/>
          </w:tcPr>
          <w:p w14:paraId="47967AD5">
            <w:pPr>
              <w:spacing w:line="360" w:lineRule="auto"/>
              <w:jc w:val="center"/>
              <w:rPr>
                <w:rFonts w:hint="eastAsia" w:ascii="宋体" w:hAnsi="宋体" w:eastAsia="宋体" w:cs="宋体"/>
                <w:color w:val="auto"/>
                <w:sz w:val="21"/>
                <w:szCs w:val="21"/>
                <w:highlight w:val="none"/>
              </w:rPr>
            </w:pPr>
          </w:p>
        </w:tc>
        <w:tc>
          <w:tcPr>
            <w:tcW w:w="735" w:type="dxa"/>
            <w:vAlign w:val="center"/>
          </w:tcPr>
          <w:p w14:paraId="1A9AFD5D">
            <w:pPr>
              <w:spacing w:line="360" w:lineRule="auto"/>
              <w:jc w:val="center"/>
              <w:rPr>
                <w:rFonts w:hint="eastAsia" w:ascii="宋体" w:hAnsi="宋体" w:eastAsia="宋体" w:cs="宋体"/>
                <w:color w:val="auto"/>
                <w:sz w:val="21"/>
                <w:szCs w:val="21"/>
                <w:highlight w:val="none"/>
              </w:rPr>
            </w:pPr>
          </w:p>
        </w:tc>
        <w:tc>
          <w:tcPr>
            <w:tcW w:w="765" w:type="dxa"/>
            <w:vAlign w:val="center"/>
          </w:tcPr>
          <w:p w14:paraId="539B29BA">
            <w:pPr>
              <w:spacing w:line="360" w:lineRule="auto"/>
              <w:jc w:val="center"/>
              <w:rPr>
                <w:rFonts w:hint="eastAsia" w:ascii="宋体" w:hAnsi="宋体" w:eastAsia="宋体" w:cs="宋体"/>
                <w:color w:val="auto"/>
                <w:sz w:val="21"/>
                <w:szCs w:val="21"/>
                <w:highlight w:val="none"/>
              </w:rPr>
            </w:pPr>
          </w:p>
        </w:tc>
        <w:tc>
          <w:tcPr>
            <w:tcW w:w="2084" w:type="dxa"/>
            <w:vAlign w:val="center"/>
          </w:tcPr>
          <w:p w14:paraId="2EFA03E7">
            <w:pPr>
              <w:spacing w:line="360" w:lineRule="auto"/>
              <w:jc w:val="center"/>
              <w:rPr>
                <w:rFonts w:hint="eastAsia" w:ascii="宋体" w:hAnsi="宋体" w:eastAsia="宋体" w:cs="宋体"/>
                <w:color w:val="auto"/>
                <w:sz w:val="21"/>
                <w:szCs w:val="21"/>
                <w:highlight w:val="none"/>
              </w:rPr>
            </w:pPr>
          </w:p>
        </w:tc>
        <w:tc>
          <w:tcPr>
            <w:tcW w:w="1332" w:type="dxa"/>
            <w:vAlign w:val="center"/>
          </w:tcPr>
          <w:p w14:paraId="2F19E5E1">
            <w:pPr>
              <w:spacing w:line="360" w:lineRule="auto"/>
              <w:jc w:val="center"/>
              <w:rPr>
                <w:rFonts w:hint="eastAsia" w:ascii="宋体" w:hAnsi="宋体" w:eastAsia="宋体" w:cs="宋体"/>
                <w:color w:val="auto"/>
                <w:sz w:val="21"/>
                <w:szCs w:val="21"/>
                <w:highlight w:val="none"/>
              </w:rPr>
            </w:pPr>
          </w:p>
        </w:tc>
        <w:tc>
          <w:tcPr>
            <w:tcW w:w="779" w:type="dxa"/>
            <w:vAlign w:val="center"/>
          </w:tcPr>
          <w:p w14:paraId="1FAE4CBC">
            <w:pPr>
              <w:spacing w:line="360" w:lineRule="auto"/>
              <w:jc w:val="center"/>
              <w:rPr>
                <w:rFonts w:hint="eastAsia" w:ascii="宋体" w:hAnsi="宋体" w:eastAsia="宋体" w:cs="宋体"/>
                <w:color w:val="auto"/>
                <w:sz w:val="21"/>
                <w:szCs w:val="21"/>
                <w:highlight w:val="none"/>
              </w:rPr>
            </w:pPr>
          </w:p>
        </w:tc>
      </w:tr>
      <w:tr w14:paraId="0348F4C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77A84344">
            <w:pPr>
              <w:spacing w:line="360" w:lineRule="auto"/>
              <w:jc w:val="center"/>
              <w:rPr>
                <w:rFonts w:hint="eastAsia" w:ascii="宋体" w:hAnsi="宋体" w:eastAsia="宋体" w:cs="宋体"/>
                <w:color w:val="auto"/>
                <w:sz w:val="21"/>
                <w:szCs w:val="21"/>
                <w:highlight w:val="none"/>
              </w:rPr>
            </w:pPr>
          </w:p>
        </w:tc>
        <w:tc>
          <w:tcPr>
            <w:tcW w:w="1111" w:type="dxa"/>
            <w:vAlign w:val="center"/>
          </w:tcPr>
          <w:p w14:paraId="2A908CBD">
            <w:pPr>
              <w:spacing w:line="360" w:lineRule="auto"/>
              <w:jc w:val="center"/>
              <w:rPr>
                <w:rFonts w:hint="eastAsia" w:ascii="宋体" w:hAnsi="宋体" w:eastAsia="宋体" w:cs="宋体"/>
                <w:color w:val="auto"/>
                <w:sz w:val="21"/>
                <w:szCs w:val="21"/>
                <w:highlight w:val="none"/>
              </w:rPr>
            </w:pPr>
          </w:p>
        </w:tc>
        <w:tc>
          <w:tcPr>
            <w:tcW w:w="750" w:type="dxa"/>
            <w:vAlign w:val="center"/>
          </w:tcPr>
          <w:p w14:paraId="55327354">
            <w:pPr>
              <w:spacing w:line="360" w:lineRule="auto"/>
              <w:jc w:val="center"/>
              <w:rPr>
                <w:rFonts w:hint="eastAsia" w:ascii="宋体" w:hAnsi="宋体" w:eastAsia="宋体" w:cs="宋体"/>
                <w:color w:val="auto"/>
                <w:sz w:val="21"/>
                <w:szCs w:val="21"/>
                <w:highlight w:val="none"/>
              </w:rPr>
            </w:pPr>
          </w:p>
        </w:tc>
        <w:tc>
          <w:tcPr>
            <w:tcW w:w="1301" w:type="dxa"/>
            <w:vAlign w:val="center"/>
          </w:tcPr>
          <w:p w14:paraId="6D2C9E0B">
            <w:pPr>
              <w:spacing w:line="360" w:lineRule="auto"/>
              <w:jc w:val="center"/>
              <w:rPr>
                <w:rFonts w:hint="eastAsia" w:ascii="宋体" w:hAnsi="宋体" w:eastAsia="宋体" w:cs="宋体"/>
                <w:color w:val="auto"/>
                <w:sz w:val="21"/>
                <w:szCs w:val="21"/>
                <w:highlight w:val="none"/>
              </w:rPr>
            </w:pPr>
          </w:p>
        </w:tc>
        <w:tc>
          <w:tcPr>
            <w:tcW w:w="735" w:type="dxa"/>
            <w:vAlign w:val="center"/>
          </w:tcPr>
          <w:p w14:paraId="4E437F10">
            <w:pPr>
              <w:spacing w:line="360" w:lineRule="auto"/>
              <w:jc w:val="center"/>
              <w:rPr>
                <w:rFonts w:hint="eastAsia" w:ascii="宋体" w:hAnsi="宋体" w:eastAsia="宋体" w:cs="宋体"/>
                <w:color w:val="auto"/>
                <w:sz w:val="21"/>
                <w:szCs w:val="21"/>
                <w:highlight w:val="none"/>
              </w:rPr>
            </w:pPr>
          </w:p>
        </w:tc>
        <w:tc>
          <w:tcPr>
            <w:tcW w:w="765" w:type="dxa"/>
            <w:vAlign w:val="center"/>
          </w:tcPr>
          <w:p w14:paraId="47BA886C">
            <w:pPr>
              <w:spacing w:line="360" w:lineRule="auto"/>
              <w:jc w:val="center"/>
              <w:rPr>
                <w:rFonts w:hint="eastAsia" w:ascii="宋体" w:hAnsi="宋体" w:eastAsia="宋体" w:cs="宋体"/>
                <w:color w:val="auto"/>
                <w:sz w:val="21"/>
                <w:szCs w:val="21"/>
                <w:highlight w:val="none"/>
              </w:rPr>
            </w:pPr>
          </w:p>
        </w:tc>
        <w:tc>
          <w:tcPr>
            <w:tcW w:w="2084" w:type="dxa"/>
            <w:vAlign w:val="center"/>
          </w:tcPr>
          <w:p w14:paraId="55E975EC">
            <w:pPr>
              <w:spacing w:line="360" w:lineRule="auto"/>
              <w:jc w:val="center"/>
              <w:rPr>
                <w:rFonts w:hint="eastAsia" w:ascii="宋体" w:hAnsi="宋体" w:eastAsia="宋体" w:cs="宋体"/>
                <w:color w:val="auto"/>
                <w:sz w:val="21"/>
                <w:szCs w:val="21"/>
                <w:highlight w:val="none"/>
              </w:rPr>
            </w:pPr>
          </w:p>
        </w:tc>
        <w:tc>
          <w:tcPr>
            <w:tcW w:w="1332" w:type="dxa"/>
            <w:vAlign w:val="center"/>
          </w:tcPr>
          <w:p w14:paraId="609BDBD1">
            <w:pPr>
              <w:spacing w:line="360" w:lineRule="auto"/>
              <w:jc w:val="center"/>
              <w:rPr>
                <w:rFonts w:hint="eastAsia" w:ascii="宋体" w:hAnsi="宋体" w:eastAsia="宋体" w:cs="宋体"/>
                <w:color w:val="auto"/>
                <w:sz w:val="21"/>
                <w:szCs w:val="21"/>
                <w:highlight w:val="none"/>
              </w:rPr>
            </w:pPr>
          </w:p>
        </w:tc>
        <w:tc>
          <w:tcPr>
            <w:tcW w:w="779" w:type="dxa"/>
            <w:vAlign w:val="center"/>
          </w:tcPr>
          <w:p w14:paraId="5DDB5926">
            <w:pPr>
              <w:spacing w:line="360" w:lineRule="auto"/>
              <w:jc w:val="center"/>
              <w:rPr>
                <w:rFonts w:hint="eastAsia" w:ascii="宋体" w:hAnsi="宋体" w:eastAsia="宋体" w:cs="宋体"/>
                <w:color w:val="auto"/>
                <w:sz w:val="21"/>
                <w:szCs w:val="21"/>
                <w:highlight w:val="none"/>
              </w:rPr>
            </w:pPr>
          </w:p>
        </w:tc>
      </w:tr>
      <w:tr w14:paraId="187692A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7E31D9D7">
            <w:pPr>
              <w:spacing w:line="360" w:lineRule="auto"/>
              <w:jc w:val="center"/>
              <w:rPr>
                <w:rFonts w:hint="eastAsia" w:ascii="宋体" w:hAnsi="宋体" w:eastAsia="宋体" w:cs="宋体"/>
                <w:color w:val="auto"/>
                <w:sz w:val="21"/>
                <w:szCs w:val="21"/>
                <w:highlight w:val="none"/>
              </w:rPr>
            </w:pPr>
          </w:p>
        </w:tc>
        <w:tc>
          <w:tcPr>
            <w:tcW w:w="1111" w:type="dxa"/>
            <w:vAlign w:val="center"/>
          </w:tcPr>
          <w:p w14:paraId="2E1DC555">
            <w:pPr>
              <w:spacing w:line="360" w:lineRule="auto"/>
              <w:jc w:val="center"/>
              <w:rPr>
                <w:rFonts w:hint="eastAsia" w:ascii="宋体" w:hAnsi="宋体" w:eastAsia="宋体" w:cs="宋体"/>
                <w:color w:val="auto"/>
                <w:sz w:val="21"/>
                <w:szCs w:val="21"/>
                <w:highlight w:val="none"/>
              </w:rPr>
            </w:pPr>
          </w:p>
        </w:tc>
        <w:tc>
          <w:tcPr>
            <w:tcW w:w="750" w:type="dxa"/>
            <w:vAlign w:val="center"/>
          </w:tcPr>
          <w:p w14:paraId="070AD400">
            <w:pPr>
              <w:spacing w:line="360" w:lineRule="auto"/>
              <w:jc w:val="center"/>
              <w:rPr>
                <w:rFonts w:hint="eastAsia" w:ascii="宋体" w:hAnsi="宋体" w:eastAsia="宋体" w:cs="宋体"/>
                <w:color w:val="auto"/>
                <w:sz w:val="21"/>
                <w:szCs w:val="21"/>
                <w:highlight w:val="none"/>
              </w:rPr>
            </w:pPr>
          </w:p>
        </w:tc>
        <w:tc>
          <w:tcPr>
            <w:tcW w:w="1301" w:type="dxa"/>
            <w:vAlign w:val="center"/>
          </w:tcPr>
          <w:p w14:paraId="45928CBE">
            <w:pPr>
              <w:spacing w:line="360" w:lineRule="auto"/>
              <w:jc w:val="center"/>
              <w:rPr>
                <w:rFonts w:hint="eastAsia" w:ascii="宋体" w:hAnsi="宋体" w:eastAsia="宋体" w:cs="宋体"/>
                <w:color w:val="auto"/>
                <w:sz w:val="21"/>
                <w:szCs w:val="21"/>
                <w:highlight w:val="none"/>
              </w:rPr>
            </w:pPr>
          </w:p>
        </w:tc>
        <w:tc>
          <w:tcPr>
            <w:tcW w:w="735" w:type="dxa"/>
            <w:vAlign w:val="center"/>
          </w:tcPr>
          <w:p w14:paraId="642B379D">
            <w:pPr>
              <w:spacing w:line="360" w:lineRule="auto"/>
              <w:jc w:val="center"/>
              <w:rPr>
                <w:rFonts w:hint="eastAsia" w:ascii="宋体" w:hAnsi="宋体" w:eastAsia="宋体" w:cs="宋体"/>
                <w:color w:val="auto"/>
                <w:sz w:val="21"/>
                <w:szCs w:val="21"/>
                <w:highlight w:val="none"/>
              </w:rPr>
            </w:pPr>
          </w:p>
        </w:tc>
        <w:tc>
          <w:tcPr>
            <w:tcW w:w="765" w:type="dxa"/>
            <w:vAlign w:val="center"/>
          </w:tcPr>
          <w:p w14:paraId="4D6322F4">
            <w:pPr>
              <w:spacing w:line="360" w:lineRule="auto"/>
              <w:jc w:val="center"/>
              <w:rPr>
                <w:rFonts w:hint="eastAsia" w:ascii="宋体" w:hAnsi="宋体" w:eastAsia="宋体" w:cs="宋体"/>
                <w:color w:val="auto"/>
                <w:sz w:val="21"/>
                <w:szCs w:val="21"/>
                <w:highlight w:val="none"/>
              </w:rPr>
            </w:pPr>
          </w:p>
        </w:tc>
        <w:tc>
          <w:tcPr>
            <w:tcW w:w="2084" w:type="dxa"/>
            <w:vAlign w:val="center"/>
          </w:tcPr>
          <w:p w14:paraId="71B03BAC">
            <w:pPr>
              <w:spacing w:line="360" w:lineRule="auto"/>
              <w:jc w:val="center"/>
              <w:rPr>
                <w:rFonts w:hint="eastAsia" w:ascii="宋体" w:hAnsi="宋体" w:eastAsia="宋体" w:cs="宋体"/>
                <w:color w:val="auto"/>
                <w:sz w:val="21"/>
                <w:szCs w:val="21"/>
                <w:highlight w:val="none"/>
              </w:rPr>
            </w:pPr>
          </w:p>
        </w:tc>
        <w:tc>
          <w:tcPr>
            <w:tcW w:w="1332" w:type="dxa"/>
            <w:vAlign w:val="center"/>
          </w:tcPr>
          <w:p w14:paraId="7FBC0FD2">
            <w:pPr>
              <w:spacing w:line="360" w:lineRule="auto"/>
              <w:jc w:val="center"/>
              <w:rPr>
                <w:rFonts w:hint="eastAsia" w:ascii="宋体" w:hAnsi="宋体" w:eastAsia="宋体" w:cs="宋体"/>
                <w:color w:val="auto"/>
                <w:sz w:val="21"/>
                <w:szCs w:val="21"/>
                <w:highlight w:val="none"/>
              </w:rPr>
            </w:pPr>
          </w:p>
        </w:tc>
        <w:tc>
          <w:tcPr>
            <w:tcW w:w="779" w:type="dxa"/>
            <w:vAlign w:val="center"/>
          </w:tcPr>
          <w:p w14:paraId="36C5F60D">
            <w:pPr>
              <w:spacing w:line="360" w:lineRule="auto"/>
              <w:jc w:val="center"/>
              <w:rPr>
                <w:rFonts w:hint="eastAsia" w:ascii="宋体" w:hAnsi="宋体" w:eastAsia="宋体" w:cs="宋体"/>
                <w:color w:val="auto"/>
                <w:sz w:val="21"/>
                <w:szCs w:val="21"/>
                <w:highlight w:val="none"/>
              </w:rPr>
            </w:pPr>
          </w:p>
        </w:tc>
      </w:tr>
      <w:tr w14:paraId="1A39F3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31BBE7EA">
            <w:pPr>
              <w:spacing w:line="360" w:lineRule="auto"/>
              <w:jc w:val="center"/>
              <w:rPr>
                <w:rFonts w:hint="eastAsia" w:ascii="宋体" w:hAnsi="宋体" w:eastAsia="宋体" w:cs="宋体"/>
                <w:color w:val="auto"/>
                <w:sz w:val="21"/>
                <w:szCs w:val="21"/>
                <w:highlight w:val="none"/>
              </w:rPr>
            </w:pPr>
          </w:p>
        </w:tc>
        <w:tc>
          <w:tcPr>
            <w:tcW w:w="1111" w:type="dxa"/>
            <w:vAlign w:val="center"/>
          </w:tcPr>
          <w:p w14:paraId="4ED4681F">
            <w:pPr>
              <w:spacing w:line="360" w:lineRule="auto"/>
              <w:jc w:val="center"/>
              <w:rPr>
                <w:rFonts w:hint="eastAsia" w:ascii="宋体" w:hAnsi="宋体" w:eastAsia="宋体" w:cs="宋体"/>
                <w:color w:val="auto"/>
                <w:sz w:val="21"/>
                <w:szCs w:val="21"/>
                <w:highlight w:val="none"/>
              </w:rPr>
            </w:pPr>
          </w:p>
        </w:tc>
        <w:tc>
          <w:tcPr>
            <w:tcW w:w="750" w:type="dxa"/>
            <w:vAlign w:val="center"/>
          </w:tcPr>
          <w:p w14:paraId="4B907208">
            <w:pPr>
              <w:spacing w:line="360" w:lineRule="auto"/>
              <w:jc w:val="center"/>
              <w:rPr>
                <w:rFonts w:hint="eastAsia" w:ascii="宋体" w:hAnsi="宋体" w:eastAsia="宋体" w:cs="宋体"/>
                <w:color w:val="auto"/>
                <w:sz w:val="21"/>
                <w:szCs w:val="21"/>
                <w:highlight w:val="none"/>
              </w:rPr>
            </w:pPr>
          </w:p>
        </w:tc>
        <w:tc>
          <w:tcPr>
            <w:tcW w:w="1301" w:type="dxa"/>
            <w:vAlign w:val="center"/>
          </w:tcPr>
          <w:p w14:paraId="39E6B514">
            <w:pPr>
              <w:spacing w:line="360" w:lineRule="auto"/>
              <w:jc w:val="center"/>
              <w:rPr>
                <w:rFonts w:hint="eastAsia" w:ascii="宋体" w:hAnsi="宋体" w:eastAsia="宋体" w:cs="宋体"/>
                <w:color w:val="auto"/>
                <w:sz w:val="21"/>
                <w:szCs w:val="21"/>
                <w:highlight w:val="none"/>
              </w:rPr>
            </w:pPr>
          </w:p>
        </w:tc>
        <w:tc>
          <w:tcPr>
            <w:tcW w:w="735" w:type="dxa"/>
            <w:vAlign w:val="center"/>
          </w:tcPr>
          <w:p w14:paraId="6EE55370">
            <w:pPr>
              <w:spacing w:line="360" w:lineRule="auto"/>
              <w:jc w:val="center"/>
              <w:rPr>
                <w:rFonts w:hint="eastAsia" w:ascii="宋体" w:hAnsi="宋体" w:eastAsia="宋体" w:cs="宋体"/>
                <w:color w:val="auto"/>
                <w:sz w:val="21"/>
                <w:szCs w:val="21"/>
                <w:highlight w:val="none"/>
              </w:rPr>
            </w:pPr>
          </w:p>
        </w:tc>
        <w:tc>
          <w:tcPr>
            <w:tcW w:w="765" w:type="dxa"/>
            <w:vAlign w:val="center"/>
          </w:tcPr>
          <w:p w14:paraId="6D462527">
            <w:pPr>
              <w:spacing w:line="360" w:lineRule="auto"/>
              <w:jc w:val="center"/>
              <w:rPr>
                <w:rFonts w:hint="eastAsia" w:ascii="宋体" w:hAnsi="宋体" w:eastAsia="宋体" w:cs="宋体"/>
                <w:color w:val="auto"/>
                <w:sz w:val="21"/>
                <w:szCs w:val="21"/>
                <w:highlight w:val="none"/>
              </w:rPr>
            </w:pPr>
          </w:p>
        </w:tc>
        <w:tc>
          <w:tcPr>
            <w:tcW w:w="2084" w:type="dxa"/>
            <w:vAlign w:val="center"/>
          </w:tcPr>
          <w:p w14:paraId="51010385">
            <w:pPr>
              <w:spacing w:line="360" w:lineRule="auto"/>
              <w:jc w:val="center"/>
              <w:rPr>
                <w:rFonts w:hint="eastAsia" w:ascii="宋体" w:hAnsi="宋体" w:eastAsia="宋体" w:cs="宋体"/>
                <w:color w:val="auto"/>
                <w:sz w:val="21"/>
                <w:szCs w:val="21"/>
                <w:highlight w:val="none"/>
              </w:rPr>
            </w:pPr>
          </w:p>
        </w:tc>
        <w:tc>
          <w:tcPr>
            <w:tcW w:w="1332" w:type="dxa"/>
            <w:vAlign w:val="center"/>
          </w:tcPr>
          <w:p w14:paraId="1ACBAE79">
            <w:pPr>
              <w:spacing w:line="360" w:lineRule="auto"/>
              <w:jc w:val="center"/>
              <w:rPr>
                <w:rFonts w:hint="eastAsia" w:ascii="宋体" w:hAnsi="宋体" w:eastAsia="宋体" w:cs="宋体"/>
                <w:color w:val="auto"/>
                <w:sz w:val="21"/>
                <w:szCs w:val="21"/>
                <w:highlight w:val="none"/>
              </w:rPr>
            </w:pPr>
          </w:p>
        </w:tc>
        <w:tc>
          <w:tcPr>
            <w:tcW w:w="779" w:type="dxa"/>
            <w:vAlign w:val="center"/>
          </w:tcPr>
          <w:p w14:paraId="389CB03F">
            <w:pPr>
              <w:spacing w:line="360" w:lineRule="auto"/>
              <w:jc w:val="center"/>
              <w:rPr>
                <w:rFonts w:hint="eastAsia" w:ascii="宋体" w:hAnsi="宋体" w:eastAsia="宋体" w:cs="宋体"/>
                <w:color w:val="auto"/>
                <w:sz w:val="21"/>
                <w:szCs w:val="21"/>
                <w:highlight w:val="none"/>
              </w:rPr>
            </w:pPr>
          </w:p>
        </w:tc>
      </w:tr>
      <w:tr w14:paraId="567B01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008A734C">
            <w:pPr>
              <w:spacing w:line="360" w:lineRule="auto"/>
              <w:jc w:val="center"/>
              <w:rPr>
                <w:rFonts w:hint="eastAsia" w:ascii="宋体" w:hAnsi="宋体" w:eastAsia="宋体" w:cs="宋体"/>
                <w:color w:val="auto"/>
                <w:sz w:val="21"/>
                <w:szCs w:val="21"/>
                <w:highlight w:val="none"/>
              </w:rPr>
            </w:pPr>
          </w:p>
        </w:tc>
        <w:tc>
          <w:tcPr>
            <w:tcW w:w="1111" w:type="dxa"/>
            <w:vAlign w:val="center"/>
          </w:tcPr>
          <w:p w14:paraId="60B00543">
            <w:pPr>
              <w:spacing w:line="360" w:lineRule="auto"/>
              <w:jc w:val="center"/>
              <w:rPr>
                <w:rFonts w:hint="eastAsia" w:ascii="宋体" w:hAnsi="宋体" w:eastAsia="宋体" w:cs="宋体"/>
                <w:color w:val="auto"/>
                <w:sz w:val="21"/>
                <w:szCs w:val="21"/>
                <w:highlight w:val="none"/>
              </w:rPr>
            </w:pPr>
          </w:p>
        </w:tc>
        <w:tc>
          <w:tcPr>
            <w:tcW w:w="750" w:type="dxa"/>
            <w:vAlign w:val="center"/>
          </w:tcPr>
          <w:p w14:paraId="2EFEE871">
            <w:pPr>
              <w:spacing w:line="360" w:lineRule="auto"/>
              <w:jc w:val="center"/>
              <w:rPr>
                <w:rFonts w:hint="eastAsia" w:ascii="宋体" w:hAnsi="宋体" w:eastAsia="宋体" w:cs="宋体"/>
                <w:color w:val="auto"/>
                <w:sz w:val="21"/>
                <w:szCs w:val="21"/>
                <w:highlight w:val="none"/>
              </w:rPr>
            </w:pPr>
          </w:p>
        </w:tc>
        <w:tc>
          <w:tcPr>
            <w:tcW w:w="1301" w:type="dxa"/>
            <w:vAlign w:val="center"/>
          </w:tcPr>
          <w:p w14:paraId="72581C57">
            <w:pPr>
              <w:spacing w:line="360" w:lineRule="auto"/>
              <w:jc w:val="center"/>
              <w:rPr>
                <w:rFonts w:hint="eastAsia" w:ascii="宋体" w:hAnsi="宋体" w:eastAsia="宋体" w:cs="宋体"/>
                <w:color w:val="auto"/>
                <w:sz w:val="21"/>
                <w:szCs w:val="21"/>
                <w:highlight w:val="none"/>
              </w:rPr>
            </w:pPr>
          </w:p>
        </w:tc>
        <w:tc>
          <w:tcPr>
            <w:tcW w:w="735" w:type="dxa"/>
            <w:vAlign w:val="center"/>
          </w:tcPr>
          <w:p w14:paraId="35CBE2A1">
            <w:pPr>
              <w:spacing w:line="360" w:lineRule="auto"/>
              <w:jc w:val="center"/>
              <w:rPr>
                <w:rFonts w:hint="eastAsia" w:ascii="宋体" w:hAnsi="宋体" w:eastAsia="宋体" w:cs="宋体"/>
                <w:color w:val="auto"/>
                <w:sz w:val="21"/>
                <w:szCs w:val="21"/>
                <w:highlight w:val="none"/>
              </w:rPr>
            </w:pPr>
          </w:p>
        </w:tc>
        <w:tc>
          <w:tcPr>
            <w:tcW w:w="765" w:type="dxa"/>
            <w:vAlign w:val="center"/>
          </w:tcPr>
          <w:p w14:paraId="433A3F4F">
            <w:pPr>
              <w:spacing w:line="360" w:lineRule="auto"/>
              <w:jc w:val="center"/>
              <w:rPr>
                <w:rFonts w:hint="eastAsia" w:ascii="宋体" w:hAnsi="宋体" w:eastAsia="宋体" w:cs="宋体"/>
                <w:color w:val="auto"/>
                <w:sz w:val="21"/>
                <w:szCs w:val="21"/>
                <w:highlight w:val="none"/>
              </w:rPr>
            </w:pPr>
          </w:p>
        </w:tc>
        <w:tc>
          <w:tcPr>
            <w:tcW w:w="2084" w:type="dxa"/>
            <w:vAlign w:val="center"/>
          </w:tcPr>
          <w:p w14:paraId="2A194816">
            <w:pPr>
              <w:spacing w:line="360" w:lineRule="auto"/>
              <w:jc w:val="center"/>
              <w:rPr>
                <w:rFonts w:hint="eastAsia" w:ascii="宋体" w:hAnsi="宋体" w:eastAsia="宋体" w:cs="宋体"/>
                <w:color w:val="auto"/>
                <w:sz w:val="21"/>
                <w:szCs w:val="21"/>
                <w:highlight w:val="none"/>
              </w:rPr>
            </w:pPr>
          </w:p>
        </w:tc>
        <w:tc>
          <w:tcPr>
            <w:tcW w:w="1332" w:type="dxa"/>
            <w:vAlign w:val="center"/>
          </w:tcPr>
          <w:p w14:paraId="504FFC93">
            <w:pPr>
              <w:spacing w:line="360" w:lineRule="auto"/>
              <w:jc w:val="center"/>
              <w:rPr>
                <w:rFonts w:hint="eastAsia" w:ascii="宋体" w:hAnsi="宋体" w:eastAsia="宋体" w:cs="宋体"/>
                <w:color w:val="auto"/>
                <w:sz w:val="21"/>
                <w:szCs w:val="21"/>
                <w:highlight w:val="none"/>
              </w:rPr>
            </w:pPr>
          </w:p>
        </w:tc>
        <w:tc>
          <w:tcPr>
            <w:tcW w:w="779" w:type="dxa"/>
            <w:vAlign w:val="center"/>
          </w:tcPr>
          <w:p w14:paraId="7C1510D4">
            <w:pPr>
              <w:spacing w:line="360" w:lineRule="auto"/>
              <w:jc w:val="center"/>
              <w:rPr>
                <w:rFonts w:hint="eastAsia" w:ascii="宋体" w:hAnsi="宋体" w:eastAsia="宋体" w:cs="宋体"/>
                <w:color w:val="auto"/>
                <w:sz w:val="21"/>
                <w:szCs w:val="21"/>
                <w:highlight w:val="none"/>
              </w:rPr>
            </w:pPr>
          </w:p>
        </w:tc>
      </w:tr>
      <w:tr w14:paraId="73E421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081305AE">
            <w:pPr>
              <w:spacing w:line="360" w:lineRule="auto"/>
              <w:jc w:val="center"/>
              <w:rPr>
                <w:rFonts w:hint="eastAsia" w:ascii="宋体" w:hAnsi="宋体" w:eastAsia="宋体" w:cs="宋体"/>
                <w:color w:val="auto"/>
                <w:sz w:val="21"/>
                <w:szCs w:val="21"/>
                <w:highlight w:val="none"/>
              </w:rPr>
            </w:pPr>
          </w:p>
        </w:tc>
        <w:tc>
          <w:tcPr>
            <w:tcW w:w="1111" w:type="dxa"/>
            <w:vAlign w:val="center"/>
          </w:tcPr>
          <w:p w14:paraId="0296725C">
            <w:pPr>
              <w:spacing w:line="360" w:lineRule="auto"/>
              <w:jc w:val="center"/>
              <w:rPr>
                <w:rFonts w:hint="eastAsia" w:ascii="宋体" w:hAnsi="宋体" w:eastAsia="宋体" w:cs="宋体"/>
                <w:color w:val="auto"/>
                <w:sz w:val="21"/>
                <w:szCs w:val="21"/>
                <w:highlight w:val="none"/>
              </w:rPr>
            </w:pPr>
          </w:p>
        </w:tc>
        <w:tc>
          <w:tcPr>
            <w:tcW w:w="750" w:type="dxa"/>
            <w:vAlign w:val="center"/>
          </w:tcPr>
          <w:p w14:paraId="0682E63E">
            <w:pPr>
              <w:spacing w:line="360" w:lineRule="auto"/>
              <w:jc w:val="center"/>
              <w:rPr>
                <w:rFonts w:hint="eastAsia" w:ascii="宋体" w:hAnsi="宋体" w:eastAsia="宋体" w:cs="宋体"/>
                <w:color w:val="auto"/>
                <w:sz w:val="21"/>
                <w:szCs w:val="21"/>
                <w:highlight w:val="none"/>
              </w:rPr>
            </w:pPr>
          </w:p>
        </w:tc>
        <w:tc>
          <w:tcPr>
            <w:tcW w:w="1301" w:type="dxa"/>
            <w:vAlign w:val="center"/>
          </w:tcPr>
          <w:p w14:paraId="27A0A8F1">
            <w:pPr>
              <w:spacing w:line="360" w:lineRule="auto"/>
              <w:jc w:val="center"/>
              <w:rPr>
                <w:rFonts w:hint="eastAsia" w:ascii="宋体" w:hAnsi="宋体" w:eastAsia="宋体" w:cs="宋体"/>
                <w:color w:val="auto"/>
                <w:sz w:val="21"/>
                <w:szCs w:val="21"/>
                <w:highlight w:val="none"/>
              </w:rPr>
            </w:pPr>
          </w:p>
        </w:tc>
        <w:tc>
          <w:tcPr>
            <w:tcW w:w="735" w:type="dxa"/>
            <w:vAlign w:val="center"/>
          </w:tcPr>
          <w:p w14:paraId="04B02089">
            <w:pPr>
              <w:spacing w:line="360" w:lineRule="auto"/>
              <w:jc w:val="center"/>
              <w:rPr>
                <w:rFonts w:hint="eastAsia" w:ascii="宋体" w:hAnsi="宋体" w:eastAsia="宋体" w:cs="宋体"/>
                <w:color w:val="auto"/>
                <w:sz w:val="21"/>
                <w:szCs w:val="21"/>
                <w:highlight w:val="none"/>
              </w:rPr>
            </w:pPr>
          </w:p>
        </w:tc>
        <w:tc>
          <w:tcPr>
            <w:tcW w:w="765" w:type="dxa"/>
            <w:vAlign w:val="center"/>
          </w:tcPr>
          <w:p w14:paraId="12582D2E">
            <w:pPr>
              <w:spacing w:line="360" w:lineRule="auto"/>
              <w:jc w:val="center"/>
              <w:rPr>
                <w:rFonts w:hint="eastAsia" w:ascii="宋体" w:hAnsi="宋体" w:eastAsia="宋体" w:cs="宋体"/>
                <w:color w:val="auto"/>
                <w:sz w:val="21"/>
                <w:szCs w:val="21"/>
                <w:highlight w:val="none"/>
              </w:rPr>
            </w:pPr>
          </w:p>
        </w:tc>
        <w:tc>
          <w:tcPr>
            <w:tcW w:w="2084" w:type="dxa"/>
            <w:vAlign w:val="center"/>
          </w:tcPr>
          <w:p w14:paraId="20C2C167">
            <w:pPr>
              <w:spacing w:line="360" w:lineRule="auto"/>
              <w:jc w:val="center"/>
              <w:rPr>
                <w:rFonts w:hint="eastAsia" w:ascii="宋体" w:hAnsi="宋体" w:eastAsia="宋体" w:cs="宋体"/>
                <w:color w:val="auto"/>
                <w:sz w:val="21"/>
                <w:szCs w:val="21"/>
                <w:highlight w:val="none"/>
              </w:rPr>
            </w:pPr>
          </w:p>
        </w:tc>
        <w:tc>
          <w:tcPr>
            <w:tcW w:w="1332" w:type="dxa"/>
            <w:vAlign w:val="center"/>
          </w:tcPr>
          <w:p w14:paraId="1C3E4736">
            <w:pPr>
              <w:spacing w:line="360" w:lineRule="auto"/>
              <w:jc w:val="center"/>
              <w:rPr>
                <w:rFonts w:hint="eastAsia" w:ascii="宋体" w:hAnsi="宋体" w:eastAsia="宋体" w:cs="宋体"/>
                <w:color w:val="auto"/>
                <w:sz w:val="21"/>
                <w:szCs w:val="21"/>
                <w:highlight w:val="none"/>
              </w:rPr>
            </w:pPr>
          </w:p>
        </w:tc>
        <w:tc>
          <w:tcPr>
            <w:tcW w:w="779" w:type="dxa"/>
            <w:vAlign w:val="center"/>
          </w:tcPr>
          <w:p w14:paraId="305BF7AB">
            <w:pPr>
              <w:spacing w:line="360" w:lineRule="auto"/>
              <w:jc w:val="center"/>
              <w:rPr>
                <w:rFonts w:hint="eastAsia" w:ascii="宋体" w:hAnsi="宋体" w:eastAsia="宋体" w:cs="宋体"/>
                <w:color w:val="auto"/>
                <w:sz w:val="21"/>
                <w:szCs w:val="21"/>
                <w:highlight w:val="none"/>
              </w:rPr>
            </w:pPr>
          </w:p>
        </w:tc>
      </w:tr>
      <w:tr w14:paraId="1F1668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27B23217">
            <w:pPr>
              <w:spacing w:line="360" w:lineRule="auto"/>
              <w:jc w:val="center"/>
              <w:rPr>
                <w:rFonts w:hint="eastAsia" w:ascii="宋体" w:hAnsi="宋体" w:eastAsia="宋体" w:cs="宋体"/>
                <w:color w:val="auto"/>
                <w:sz w:val="21"/>
                <w:szCs w:val="21"/>
                <w:highlight w:val="none"/>
              </w:rPr>
            </w:pPr>
          </w:p>
        </w:tc>
        <w:tc>
          <w:tcPr>
            <w:tcW w:w="1111" w:type="dxa"/>
            <w:vAlign w:val="center"/>
          </w:tcPr>
          <w:p w14:paraId="4146FDCC">
            <w:pPr>
              <w:spacing w:line="360" w:lineRule="auto"/>
              <w:jc w:val="center"/>
              <w:rPr>
                <w:rFonts w:hint="eastAsia" w:ascii="宋体" w:hAnsi="宋体" w:eastAsia="宋体" w:cs="宋体"/>
                <w:color w:val="auto"/>
                <w:sz w:val="21"/>
                <w:szCs w:val="21"/>
                <w:highlight w:val="none"/>
              </w:rPr>
            </w:pPr>
          </w:p>
        </w:tc>
        <w:tc>
          <w:tcPr>
            <w:tcW w:w="750" w:type="dxa"/>
            <w:vAlign w:val="center"/>
          </w:tcPr>
          <w:p w14:paraId="0A85177B">
            <w:pPr>
              <w:spacing w:line="360" w:lineRule="auto"/>
              <w:jc w:val="center"/>
              <w:rPr>
                <w:rFonts w:hint="eastAsia" w:ascii="宋体" w:hAnsi="宋体" w:eastAsia="宋体" w:cs="宋体"/>
                <w:color w:val="auto"/>
                <w:sz w:val="21"/>
                <w:szCs w:val="21"/>
                <w:highlight w:val="none"/>
              </w:rPr>
            </w:pPr>
          </w:p>
        </w:tc>
        <w:tc>
          <w:tcPr>
            <w:tcW w:w="1301" w:type="dxa"/>
            <w:vAlign w:val="center"/>
          </w:tcPr>
          <w:p w14:paraId="4C0B4173">
            <w:pPr>
              <w:spacing w:line="360" w:lineRule="auto"/>
              <w:jc w:val="center"/>
              <w:rPr>
                <w:rFonts w:hint="eastAsia" w:ascii="宋体" w:hAnsi="宋体" w:eastAsia="宋体" w:cs="宋体"/>
                <w:color w:val="auto"/>
                <w:sz w:val="21"/>
                <w:szCs w:val="21"/>
                <w:highlight w:val="none"/>
              </w:rPr>
            </w:pPr>
          </w:p>
        </w:tc>
        <w:tc>
          <w:tcPr>
            <w:tcW w:w="735" w:type="dxa"/>
            <w:vAlign w:val="center"/>
          </w:tcPr>
          <w:p w14:paraId="096F10BB">
            <w:pPr>
              <w:spacing w:line="360" w:lineRule="auto"/>
              <w:jc w:val="center"/>
              <w:rPr>
                <w:rFonts w:hint="eastAsia" w:ascii="宋体" w:hAnsi="宋体" w:eastAsia="宋体" w:cs="宋体"/>
                <w:color w:val="auto"/>
                <w:sz w:val="21"/>
                <w:szCs w:val="21"/>
                <w:highlight w:val="none"/>
              </w:rPr>
            </w:pPr>
          </w:p>
        </w:tc>
        <w:tc>
          <w:tcPr>
            <w:tcW w:w="765" w:type="dxa"/>
            <w:vAlign w:val="center"/>
          </w:tcPr>
          <w:p w14:paraId="31185861">
            <w:pPr>
              <w:spacing w:line="360" w:lineRule="auto"/>
              <w:jc w:val="center"/>
              <w:rPr>
                <w:rFonts w:hint="eastAsia" w:ascii="宋体" w:hAnsi="宋体" w:eastAsia="宋体" w:cs="宋体"/>
                <w:color w:val="auto"/>
                <w:sz w:val="21"/>
                <w:szCs w:val="21"/>
                <w:highlight w:val="none"/>
              </w:rPr>
            </w:pPr>
          </w:p>
        </w:tc>
        <w:tc>
          <w:tcPr>
            <w:tcW w:w="2084" w:type="dxa"/>
            <w:vAlign w:val="center"/>
          </w:tcPr>
          <w:p w14:paraId="30CA9CC3">
            <w:pPr>
              <w:spacing w:line="360" w:lineRule="auto"/>
              <w:jc w:val="center"/>
              <w:rPr>
                <w:rFonts w:hint="eastAsia" w:ascii="宋体" w:hAnsi="宋体" w:eastAsia="宋体" w:cs="宋体"/>
                <w:color w:val="auto"/>
                <w:sz w:val="21"/>
                <w:szCs w:val="21"/>
                <w:highlight w:val="none"/>
              </w:rPr>
            </w:pPr>
          </w:p>
        </w:tc>
        <w:tc>
          <w:tcPr>
            <w:tcW w:w="1332" w:type="dxa"/>
            <w:vAlign w:val="center"/>
          </w:tcPr>
          <w:p w14:paraId="5EF107EC">
            <w:pPr>
              <w:spacing w:line="360" w:lineRule="auto"/>
              <w:jc w:val="center"/>
              <w:rPr>
                <w:rFonts w:hint="eastAsia" w:ascii="宋体" w:hAnsi="宋体" w:eastAsia="宋体" w:cs="宋体"/>
                <w:color w:val="auto"/>
                <w:sz w:val="21"/>
                <w:szCs w:val="21"/>
                <w:highlight w:val="none"/>
              </w:rPr>
            </w:pPr>
          </w:p>
        </w:tc>
        <w:tc>
          <w:tcPr>
            <w:tcW w:w="779" w:type="dxa"/>
            <w:vAlign w:val="center"/>
          </w:tcPr>
          <w:p w14:paraId="57F165A9">
            <w:pPr>
              <w:spacing w:line="360" w:lineRule="auto"/>
              <w:jc w:val="center"/>
              <w:rPr>
                <w:rFonts w:hint="eastAsia" w:ascii="宋体" w:hAnsi="宋体" w:eastAsia="宋体" w:cs="宋体"/>
                <w:color w:val="auto"/>
                <w:sz w:val="21"/>
                <w:szCs w:val="21"/>
                <w:highlight w:val="none"/>
              </w:rPr>
            </w:pPr>
          </w:p>
        </w:tc>
      </w:tr>
      <w:tr w14:paraId="3E9466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2CD7817F">
            <w:pPr>
              <w:spacing w:line="360" w:lineRule="auto"/>
              <w:jc w:val="center"/>
              <w:rPr>
                <w:rFonts w:hint="eastAsia" w:ascii="宋体" w:hAnsi="宋体" w:eastAsia="宋体" w:cs="宋体"/>
                <w:color w:val="auto"/>
                <w:sz w:val="21"/>
                <w:szCs w:val="21"/>
                <w:highlight w:val="none"/>
              </w:rPr>
            </w:pPr>
          </w:p>
        </w:tc>
        <w:tc>
          <w:tcPr>
            <w:tcW w:w="1111" w:type="dxa"/>
            <w:vAlign w:val="center"/>
          </w:tcPr>
          <w:p w14:paraId="36892FDE">
            <w:pPr>
              <w:spacing w:line="360" w:lineRule="auto"/>
              <w:jc w:val="center"/>
              <w:rPr>
                <w:rFonts w:hint="eastAsia" w:ascii="宋体" w:hAnsi="宋体" w:eastAsia="宋体" w:cs="宋体"/>
                <w:color w:val="auto"/>
                <w:sz w:val="21"/>
                <w:szCs w:val="21"/>
                <w:highlight w:val="none"/>
              </w:rPr>
            </w:pPr>
          </w:p>
        </w:tc>
        <w:tc>
          <w:tcPr>
            <w:tcW w:w="750" w:type="dxa"/>
            <w:vAlign w:val="center"/>
          </w:tcPr>
          <w:p w14:paraId="5181910C">
            <w:pPr>
              <w:spacing w:line="360" w:lineRule="auto"/>
              <w:jc w:val="center"/>
              <w:rPr>
                <w:rFonts w:hint="eastAsia" w:ascii="宋体" w:hAnsi="宋体" w:eastAsia="宋体" w:cs="宋体"/>
                <w:color w:val="auto"/>
                <w:sz w:val="21"/>
                <w:szCs w:val="21"/>
                <w:highlight w:val="none"/>
              </w:rPr>
            </w:pPr>
          </w:p>
        </w:tc>
        <w:tc>
          <w:tcPr>
            <w:tcW w:w="1301" w:type="dxa"/>
            <w:vAlign w:val="center"/>
          </w:tcPr>
          <w:p w14:paraId="542B2188">
            <w:pPr>
              <w:spacing w:line="360" w:lineRule="auto"/>
              <w:jc w:val="center"/>
              <w:rPr>
                <w:rFonts w:hint="eastAsia" w:ascii="宋体" w:hAnsi="宋体" w:eastAsia="宋体" w:cs="宋体"/>
                <w:color w:val="auto"/>
                <w:sz w:val="21"/>
                <w:szCs w:val="21"/>
                <w:highlight w:val="none"/>
              </w:rPr>
            </w:pPr>
          </w:p>
        </w:tc>
        <w:tc>
          <w:tcPr>
            <w:tcW w:w="735" w:type="dxa"/>
            <w:vAlign w:val="center"/>
          </w:tcPr>
          <w:p w14:paraId="5D144D16">
            <w:pPr>
              <w:spacing w:line="360" w:lineRule="auto"/>
              <w:jc w:val="center"/>
              <w:rPr>
                <w:rFonts w:hint="eastAsia" w:ascii="宋体" w:hAnsi="宋体" w:eastAsia="宋体" w:cs="宋体"/>
                <w:color w:val="auto"/>
                <w:sz w:val="21"/>
                <w:szCs w:val="21"/>
                <w:highlight w:val="none"/>
              </w:rPr>
            </w:pPr>
          </w:p>
        </w:tc>
        <w:tc>
          <w:tcPr>
            <w:tcW w:w="765" w:type="dxa"/>
            <w:vAlign w:val="center"/>
          </w:tcPr>
          <w:p w14:paraId="3E823B99">
            <w:pPr>
              <w:spacing w:line="360" w:lineRule="auto"/>
              <w:jc w:val="center"/>
              <w:rPr>
                <w:rFonts w:hint="eastAsia" w:ascii="宋体" w:hAnsi="宋体" w:eastAsia="宋体" w:cs="宋体"/>
                <w:color w:val="auto"/>
                <w:sz w:val="21"/>
                <w:szCs w:val="21"/>
                <w:highlight w:val="none"/>
              </w:rPr>
            </w:pPr>
          </w:p>
        </w:tc>
        <w:tc>
          <w:tcPr>
            <w:tcW w:w="2084" w:type="dxa"/>
            <w:vAlign w:val="center"/>
          </w:tcPr>
          <w:p w14:paraId="51B4C6E0">
            <w:pPr>
              <w:spacing w:line="360" w:lineRule="auto"/>
              <w:jc w:val="center"/>
              <w:rPr>
                <w:rFonts w:hint="eastAsia" w:ascii="宋体" w:hAnsi="宋体" w:eastAsia="宋体" w:cs="宋体"/>
                <w:color w:val="auto"/>
                <w:sz w:val="21"/>
                <w:szCs w:val="21"/>
                <w:highlight w:val="none"/>
              </w:rPr>
            </w:pPr>
          </w:p>
        </w:tc>
        <w:tc>
          <w:tcPr>
            <w:tcW w:w="1332" w:type="dxa"/>
            <w:vAlign w:val="center"/>
          </w:tcPr>
          <w:p w14:paraId="0CE829E8">
            <w:pPr>
              <w:spacing w:line="360" w:lineRule="auto"/>
              <w:jc w:val="center"/>
              <w:rPr>
                <w:rFonts w:hint="eastAsia" w:ascii="宋体" w:hAnsi="宋体" w:eastAsia="宋体" w:cs="宋体"/>
                <w:color w:val="auto"/>
                <w:sz w:val="21"/>
                <w:szCs w:val="21"/>
                <w:highlight w:val="none"/>
              </w:rPr>
            </w:pPr>
          </w:p>
        </w:tc>
        <w:tc>
          <w:tcPr>
            <w:tcW w:w="779" w:type="dxa"/>
            <w:vAlign w:val="center"/>
          </w:tcPr>
          <w:p w14:paraId="54D8A5B2">
            <w:pPr>
              <w:spacing w:line="360" w:lineRule="auto"/>
              <w:jc w:val="center"/>
              <w:rPr>
                <w:rFonts w:hint="eastAsia" w:ascii="宋体" w:hAnsi="宋体" w:eastAsia="宋体" w:cs="宋体"/>
                <w:color w:val="auto"/>
                <w:sz w:val="21"/>
                <w:szCs w:val="21"/>
                <w:highlight w:val="none"/>
              </w:rPr>
            </w:pPr>
          </w:p>
        </w:tc>
      </w:tr>
      <w:tr w14:paraId="751EEB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371754DC">
            <w:pPr>
              <w:spacing w:line="360" w:lineRule="auto"/>
              <w:jc w:val="center"/>
              <w:rPr>
                <w:rFonts w:hint="eastAsia" w:ascii="宋体" w:hAnsi="宋体" w:eastAsia="宋体" w:cs="宋体"/>
                <w:color w:val="auto"/>
                <w:sz w:val="21"/>
                <w:szCs w:val="21"/>
                <w:highlight w:val="none"/>
              </w:rPr>
            </w:pPr>
          </w:p>
        </w:tc>
        <w:tc>
          <w:tcPr>
            <w:tcW w:w="1111" w:type="dxa"/>
            <w:vAlign w:val="center"/>
          </w:tcPr>
          <w:p w14:paraId="0BA031CC">
            <w:pPr>
              <w:spacing w:line="360" w:lineRule="auto"/>
              <w:jc w:val="center"/>
              <w:rPr>
                <w:rFonts w:hint="eastAsia" w:ascii="宋体" w:hAnsi="宋体" w:eastAsia="宋体" w:cs="宋体"/>
                <w:color w:val="auto"/>
                <w:sz w:val="21"/>
                <w:szCs w:val="21"/>
                <w:highlight w:val="none"/>
              </w:rPr>
            </w:pPr>
          </w:p>
        </w:tc>
        <w:tc>
          <w:tcPr>
            <w:tcW w:w="750" w:type="dxa"/>
            <w:vAlign w:val="center"/>
          </w:tcPr>
          <w:p w14:paraId="3CC9541B">
            <w:pPr>
              <w:spacing w:line="360" w:lineRule="auto"/>
              <w:jc w:val="center"/>
              <w:rPr>
                <w:rFonts w:hint="eastAsia" w:ascii="宋体" w:hAnsi="宋体" w:eastAsia="宋体" w:cs="宋体"/>
                <w:color w:val="auto"/>
                <w:sz w:val="21"/>
                <w:szCs w:val="21"/>
                <w:highlight w:val="none"/>
              </w:rPr>
            </w:pPr>
          </w:p>
        </w:tc>
        <w:tc>
          <w:tcPr>
            <w:tcW w:w="1301" w:type="dxa"/>
            <w:vAlign w:val="center"/>
          </w:tcPr>
          <w:p w14:paraId="0674F5E3">
            <w:pPr>
              <w:spacing w:line="360" w:lineRule="auto"/>
              <w:jc w:val="center"/>
              <w:rPr>
                <w:rFonts w:hint="eastAsia" w:ascii="宋体" w:hAnsi="宋体" w:eastAsia="宋体" w:cs="宋体"/>
                <w:color w:val="auto"/>
                <w:sz w:val="21"/>
                <w:szCs w:val="21"/>
                <w:highlight w:val="none"/>
              </w:rPr>
            </w:pPr>
          </w:p>
        </w:tc>
        <w:tc>
          <w:tcPr>
            <w:tcW w:w="735" w:type="dxa"/>
            <w:vAlign w:val="center"/>
          </w:tcPr>
          <w:p w14:paraId="45813FF5">
            <w:pPr>
              <w:spacing w:line="360" w:lineRule="auto"/>
              <w:jc w:val="center"/>
              <w:rPr>
                <w:rFonts w:hint="eastAsia" w:ascii="宋体" w:hAnsi="宋体" w:eastAsia="宋体" w:cs="宋体"/>
                <w:color w:val="auto"/>
                <w:sz w:val="21"/>
                <w:szCs w:val="21"/>
                <w:highlight w:val="none"/>
              </w:rPr>
            </w:pPr>
          </w:p>
        </w:tc>
        <w:tc>
          <w:tcPr>
            <w:tcW w:w="765" w:type="dxa"/>
            <w:vAlign w:val="center"/>
          </w:tcPr>
          <w:p w14:paraId="2354A176">
            <w:pPr>
              <w:spacing w:line="360" w:lineRule="auto"/>
              <w:jc w:val="center"/>
              <w:rPr>
                <w:rFonts w:hint="eastAsia" w:ascii="宋体" w:hAnsi="宋体" w:eastAsia="宋体" w:cs="宋体"/>
                <w:color w:val="auto"/>
                <w:sz w:val="21"/>
                <w:szCs w:val="21"/>
                <w:highlight w:val="none"/>
              </w:rPr>
            </w:pPr>
          </w:p>
        </w:tc>
        <w:tc>
          <w:tcPr>
            <w:tcW w:w="2084" w:type="dxa"/>
            <w:vAlign w:val="center"/>
          </w:tcPr>
          <w:p w14:paraId="00B9B5A9">
            <w:pPr>
              <w:spacing w:line="360" w:lineRule="auto"/>
              <w:jc w:val="center"/>
              <w:rPr>
                <w:rFonts w:hint="eastAsia" w:ascii="宋体" w:hAnsi="宋体" w:eastAsia="宋体" w:cs="宋体"/>
                <w:color w:val="auto"/>
                <w:sz w:val="21"/>
                <w:szCs w:val="21"/>
                <w:highlight w:val="none"/>
              </w:rPr>
            </w:pPr>
          </w:p>
        </w:tc>
        <w:tc>
          <w:tcPr>
            <w:tcW w:w="1332" w:type="dxa"/>
            <w:vAlign w:val="center"/>
          </w:tcPr>
          <w:p w14:paraId="1E98E748">
            <w:pPr>
              <w:spacing w:line="360" w:lineRule="auto"/>
              <w:jc w:val="center"/>
              <w:rPr>
                <w:rFonts w:hint="eastAsia" w:ascii="宋体" w:hAnsi="宋体" w:eastAsia="宋体" w:cs="宋体"/>
                <w:color w:val="auto"/>
                <w:sz w:val="21"/>
                <w:szCs w:val="21"/>
                <w:highlight w:val="none"/>
              </w:rPr>
            </w:pPr>
          </w:p>
        </w:tc>
        <w:tc>
          <w:tcPr>
            <w:tcW w:w="779" w:type="dxa"/>
            <w:vAlign w:val="center"/>
          </w:tcPr>
          <w:p w14:paraId="0AC088F6">
            <w:pPr>
              <w:spacing w:line="360" w:lineRule="auto"/>
              <w:jc w:val="center"/>
              <w:rPr>
                <w:rFonts w:hint="eastAsia" w:ascii="宋体" w:hAnsi="宋体" w:eastAsia="宋体" w:cs="宋体"/>
                <w:color w:val="auto"/>
                <w:sz w:val="21"/>
                <w:szCs w:val="21"/>
                <w:highlight w:val="none"/>
              </w:rPr>
            </w:pPr>
          </w:p>
        </w:tc>
      </w:tr>
      <w:tr w14:paraId="5C03162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0CBDC55C">
            <w:pPr>
              <w:spacing w:line="360" w:lineRule="auto"/>
              <w:jc w:val="center"/>
              <w:rPr>
                <w:rFonts w:hint="eastAsia" w:ascii="宋体" w:hAnsi="宋体" w:eastAsia="宋体" w:cs="宋体"/>
                <w:color w:val="auto"/>
                <w:sz w:val="21"/>
                <w:szCs w:val="21"/>
                <w:highlight w:val="none"/>
              </w:rPr>
            </w:pPr>
          </w:p>
        </w:tc>
        <w:tc>
          <w:tcPr>
            <w:tcW w:w="1111" w:type="dxa"/>
            <w:vAlign w:val="center"/>
          </w:tcPr>
          <w:p w14:paraId="16634FF0">
            <w:pPr>
              <w:spacing w:line="360" w:lineRule="auto"/>
              <w:jc w:val="center"/>
              <w:rPr>
                <w:rFonts w:hint="eastAsia" w:ascii="宋体" w:hAnsi="宋体" w:eastAsia="宋体" w:cs="宋体"/>
                <w:color w:val="auto"/>
                <w:sz w:val="21"/>
                <w:szCs w:val="21"/>
                <w:highlight w:val="none"/>
              </w:rPr>
            </w:pPr>
          </w:p>
        </w:tc>
        <w:tc>
          <w:tcPr>
            <w:tcW w:w="750" w:type="dxa"/>
            <w:vAlign w:val="center"/>
          </w:tcPr>
          <w:p w14:paraId="37F3472B">
            <w:pPr>
              <w:spacing w:line="360" w:lineRule="auto"/>
              <w:jc w:val="center"/>
              <w:rPr>
                <w:rFonts w:hint="eastAsia" w:ascii="宋体" w:hAnsi="宋体" w:eastAsia="宋体" w:cs="宋体"/>
                <w:color w:val="auto"/>
                <w:sz w:val="21"/>
                <w:szCs w:val="21"/>
                <w:highlight w:val="none"/>
              </w:rPr>
            </w:pPr>
          </w:p>
        </w:tc>
        <w:tc>
          <w:tcPr>
            <w:tcW w:w="1301" w:type="dxa"/>
            <w:vAlign w:val="center"/>
          </w:tcPr>
          <w:p w14:paraId="74BEF296">
            <w:pPr>
              <w:spacing w:line="360" w:lineRule="auto"/>
              <w:jc w:val="center"/>
              <w:rPr>
                <w:rFonts w:hint="eastAsia" w:ascii="宋体" w:hAnsi="宋体" w:eastAsia="宋体" w:cs="宋体"/>
                <w:color w:val="auto"/>
                <w:sz w:val="21"/>
                <w:szCs w:val="21"/>
                <w:highlight w:val="none"/>
              </w:rPr>
            </w:pPr>
          </w:p>
        </w:tc>
        <w:tc>
          <w:tcPr>
            <w:tcW w:w="735" w:type="dxa"/>
            <w:vAlign w:val="center"/>
          </w:tcPr>
          <w:p w14:paraId="0F743476">
            <w:pPr>
              <w:spacing w:line="360" w:lineRule="auto"/>
              <w:jc w:val="center"/>
              <w:rPr>
                <w:rFonts w:hint="eastAsia" w:ascii="宋体" w:hAnsi="宋体" w:eastAsia="宋体" w:cs="宋体"/>
                <w:color w:val="auto"/>
                <w:sz w:val="21"/>
                <w:szCs w:val="21"/>
                <w:highlight w:val="none"/>
              </w:rPr>
            </w:pPr>
          </w:p>
        </w:tc>
        <w:tc>
          <w:tcPr>
            <w:tcW w:w="765" w:type="dxa"/>
            <w:vAlign w:val="center"/>
          </w:tcPr>
          <w:p w14:paraId="3FD0D49B">
            <w:pPr>
              <w:spacing w:line="360" w:lineRule="auto"/>
              <w:jc w:val="center"/>
              <w:rPr>
                <w:rFonts w:hint="eastAsia" w:ascii="宋体" w:hAnsi="宋体" w:eastAsia="宋体" w:cs="宋体"/>
                <w:color w:val="auto"/>
                <w:sz w:val="21"/>
                <w:szCs w:val="21"/>
                <w:highlight w:val="none"/>
              </w:rPr>
            </w:pPr>
          </w:p>
        </w:tc>
        <w:tc>
          <w:tcPr>
            <w:tcW w:w="2084" w:type="dxa"/>
            <w:vAlign w:val="center"/>
          </w:tcPr>
          <w:p w14:paraId="0E82F4E0">
            <w:pPr>
              <w:spacing w:line="360" w:lineRule="auto"/>
              <w:jc w:val="center"/>
              <w:rPr>
                <w:rFonts w:hint="eastAsia" w:ascii="宋体" w:hAnsi="宋体" w:eastAsia="宋体" w:cs="宋体"/>
                <w:color w:val="auto"/>
                <w:sz w:val="21"/>
                <w:szCs w:val="21"/>
                <w:highlight w:val="none"/>
              </w:rPr>
            </w:pPr>
          </w:p>
        </w:tc>
        <w:tc>
          <w:tcPr>
            <w:tcW w:w="1332" w:type="dxa"/>
            <w:vAlign w:val="center"/>
          </w:tcPr>
          <w:p w14:paraId="77A89D70">
            <w:pPr>
              <w:spacing w:line="360" w:lineRule="auto"/>
              <w:jc w:val="center"/>
              <w:rPr>
                <w:rFonts w:hint="eastAsia" w:ascii="宋体" w:hAnsi="宋体" w:eastAsia="宋体" w:cs="宋体"/>
                <w:color w:val="auto"/>
                <w:sz w:val="21"/>
                <w:szCs w:val="21"/>
                <w:highlight w:val="none"/>
              </w:rPr>
            </w:pPr>
          </w:p>
        </w:tc>
        <w:tc>
          <w:tcPr>
            <w:tcW w:w="779" w:type="dxa"/>
            <w:vAlign w:val="center"/>
          </w:tcPr>
          <w:p w14:paraId="2E8DD7B0">
            <w:pPr>
              <w:spacing w:line="360" w:lineRule="auto"/>
              <w:jc w:val="center"/>
              <w:rPr>
                <w:rFonts w:hint="eastAsia" w:ascii="宋体" w:hAnsi="宋体" w:eastAsia="宋体" w:cs="宋体"/>
                <w:color w:val="auto"/>
                <w:sz w:val="21"/>
                <w:szCs w:val="21"/>
                <w:highlight w:val="none"/>
              </w:rPr>
            </w:pPr>
          </w:p>
        </w:tc>
      </w:tr>
      <w:tr w14:paraId="73119F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19E01148">
            <w:pPr>
              <w:spacing w:line="360" w:lineRule="auto"/>
              <w:jc w:val="center"/>
              <w:rPr>
                <w:rFonts w:hint="eastAsia" w:ascii="宋体" w:hAnsi="宋体" w:eastAsia="宋体" w:cs="宋体"/>
                <w:color w:val="auto"/>
                <w:sz w:val="21"/>
                <w:szCs w:val="21"/>
                <w:highlight w:val="none"/>
              </w:rPr>
            </w:pPr>
          </w:p>
        </w:tc>
        <w:tc>
          <w:tcPr>
            <w:tcW w:w="1111" w:type="dxa"/>
            <w:vAlign w:val="center"/>
          </w:tcPr>
          <w:p w14:paraId="573BD9A4">
            <w:pPr>
              <w:spacing w:line="360" w:lineRule="auto"/>
              <w:jc w:val="center"/>
              <w:rPr>
                <w:rFonts w:hint="eastAsia" w:ascii="宋体" w:hAnsi="宋体" w:eastAsia="宋体" w:cs="宋体"/>
                <w:color w:val="auto"/>
                <w:sz w:val="21"/>
                <w:szCs w:val="21"/>
                <w:highlight w:val="none"/>
              </w:rPr>
            </w:pPr>
          </w:p>
        </w:tc>
        <w:tc>
          <w:tcPr>
            <w:tcW w:w="750" w:type="dxa"/>
            <w:vAlign w:val="center"/>
          </w:tcPr>
          <w:p w14:paraId="18A03924">
            <w:pPr>
              <w:spacing w:line="360" w:lineRule="auto"/>
              <w:jc w:val="center"/>
              <w:rPr>
                <w:rFonts w:hint="eastAsia" w:ascii="宋体" w:hAnsi="宋体" w:eastAsia="宋体" w:cs="宋体"/>
                <w:color w:val="auto"/>
                <w:sz w:val="21"/>
                <w:szCs w:val="21"/>
                <w:highlight w:val="none"/>
              </w:rPr>
            </w:pPr>
          </w:p>
        </w:tc>
        <w:tc>
          <w:tcPr>
            <w:tcW w:w="1301" w:type="dxa"/>
            <w:vAlign w:val="center"/>
          </w:tcPr>
          <w:p w14:paraId="4BFEA8F6">
            <w:pPr>
              <w:spacing w:line="360" w:lineRule="auto"/>
              <w:jc w:val="center"/>
              <w:rPr>
                <w:rFonts w:hint="eastAsia" w:ascii="宋体" w:hAnsi="宋体" w:eastAsia="宋体" w:cs="宋体"/>
                <w:color w:val="auto"/>
                <w:sz w:val="21"/>
                <w:szCs w:val="21"/>
                <w:highlight w:val="none"/>
              </w:rPr>
            </w:pPr>
          </w:p>
        </w:tc>
        <w:tc>
          <w:tcPr>
            <w:tcW w:w="735" w:type="dxa"/>
            <w:vAlign w:val="center"/>
          </w:tcPr>
          <w:p w14:paraId="4FB308AB">
            <w:pPr>
              <w:spacing w:line="360" w:lineRule="auto"/>
              <w:jc w:val="center"/>
              <w:rPr>
                <w:rFonts w:hint="eastAsia" w:ascii="宋体" w:hAnsi="宋体" w:eastAsia="宋体" w:cs="宋体"/>
                <w:color w:val="auto"/>
                <w:sz w:val="21"/>
                <w:szCs w:val="21"/>
                <w:highlight w:val="none"/>
              </w:rPr>
            </w:pPr>
          </w:p>
        </w:tc>
        <w:tc>
          <w:tcPr>
            <w:tcW w:w="765" w:type="dxa"/>
            <w:vAlign w:val="center"/>
          </w:tcPr>
          <w:p w14:paraId="5988C0F9">
            <w:pPr>
              <w:spacing w:line="360" w:lineRule="auto"/>
              <w:jc w:val="center"/>
              <w:rPr>
                <w:rFonts w:hint="eastAsia" w:ascii="宋体" w:hAnsi="宋体" w:eastAsia="宋体" w:cs="宋体"/>
                <w:color w:val="auto"/>
                <w:sz w:val="21"/>
                <w:szCs w:val="21"/>
                <w:highlight w:val="none"/>
              </w:rPr>
            </w:pPr>
          </w:p>
        </w:tc>
        <w:tc>
          <w:tcPr>
            <w:tcW w:w="2084" w:type="dxa"/>
            <w:vAlign w:val="center"/>
          </w:tcPr>
          <w:p w14:paraId="41924A71">
            <w:pPr>
              <w:spacing w:line="360" w:lineRule="auto"/>
              <w:jc w:val="center"/>
              <w:rPr>
                <w:rFonts w:hint="eastAsia" w:ascii="宋体" w:hAnsi="宋体" w:eastAsia="宋体" w:cs="宋体"/>
                <w:color w:val="auto"/>
                <w:sz w:val="21"/>
                <w:szCs w:val="21"/>
                <w:highlight w:val="none"/>
              </w:rPr>
            </w:pPr>
          </w:p>
        </w:tc>
        <w:tc>
          <w:tcPr>
            <w:tcW w:w="1332" w:type="dxa"/>
            <w:vAlign w:val="center"/>
          </w:tcPr>
          <w:p w14:paraId="566FF2B2">
            <w:pPr>
              <w:spacing w:line="360" w:lineRule="auto"/>
              <w:jc w:val="center"/>
              <w:rPr>
                <w:rFonts w:hint="eastAsia" w:ascii="宋体" w:hAnsi="宋体" w:eastAsia="宋体" w:cs="宋体"/>
                <w:color w:val="auto"/>
                <w:sz w:val="21"/>
                <w:szCs w:val="21"/>
                <w:highlight w:val="none"/>
              </w:rPr>
            </w:pPr>
          </w:p>
        </w:tc>
        <w:tc>
          <w:tcPr>
            <w:tcW w:w="779" w:type="dxa"/>
            <w:vAlign w:val="center"/>
          </w:tcPr>
          <w:p w14:paraId="77E5C6C8">
            <w:pPr>
              <w:spacing w:line="360" w:lineRule="auto"/>
              <w:jc w:val="center"/>
              <w:rPr>
                <w:rFonts w:hint="eastAsia" w:ascii="宋体" w:hAnsi="宋体" w:eastAsia="宋体" w:cs="宋体"/>
                <w:color w:val="auto"/>
                <w:sz w:val="21"/>
                <w:szCs w:val="21"/>
                <w:highlight w:val="none"/>
              </w:rPr>
            </w:pPr>
          </w:p>
        </w:tc>
      </w:tr>
      <w:tr w14:paraId="0D7C65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39278B47">
            <w:pPr>
              <w:spacing w:line="360" w:lineRule="auto"/>
              <w:jc w:val="center"/>
              <w:rPr>
                <w:rFonts w:hint="eastAsia" w:ascii="宋体" w:hAnsi="宋体" w:eastAsia="宋体" w:cs="宋体"/>
                <w:color w:val="auto"/>
                <w:sz w:val="21"/>
                <w:szCs w:val="21"/>
                <w:highlight w:val="none"/>
              </w:rPr>
            </w:pPr>
          </w:p>
        </w:tc>
        <w:tc>
          <w:tcPr>
            <w:tcW w:w="1111" w:type="dxa"/>
            <w:vAlign w:val="center"/>
          </w:tcPr>
          <w:p w14:paraId="47FC9596">
            <w:pPr>
              <w:spacing w:line="360" w:lineRule="auto"/>
              <w:jc w:val="center"/>
              <w:rPr>
                <w:rFonts w:hint="eastAsia" w:ascii="宋体" w:hAnsi="宋体" w:eastAsia="宋体" w:cs="宋体"/>
                <w:color w:val="auto"/>
                <w:sz w:val="21"/>
                <w:szCs w:val="21"/>
                <w:highlight w:val="none"/>
              </w:rPr>
            </w:pPr>
          </w:p>
        </w:tc>
        <w:tc>
          <w:tcPr>
            <w:tcW w:w="750" w:type="dxa"/>
            <w:vAlign w:val="center"/>
          </w:tcPr>
          <w:p w14:paraId="417E73CD">
            <w:pPr>
              <w:spacing w:line="360" w:lineRule="auto"/>
              <w:jc w:val="center"/>
              <w:rPr>
                <w:rFonts w:hint="eastAsia" w:ascii="宋体" w:hAnsi="宋体" w:eastAsia="宋体" w:cs="宋体"/>
                <w:color w:val="auto"/>
                <w:sz w:val="21"/>
                <w:szCs w:val="21"/>
                <w:highlight w:val="none"/>
              </w:rPr>
            </w:pPr>
          </w:p>
        </w:tc>
        <w:tc>
          <w:tcPr>
            <w:tcW w:w="1301" w:type="dxa"/>
            <w:vAlign w:val="center"/>
          </w:tcPr>
          <w:p w14:paraId="1EEFA0F4">
            <w:pPr>
              <w:spacing w:line="360" w:lineRule="auto"/>
              <w:jc w:val="center"/>
              <w:rPr>
                <w:rFonts w:hint="eastAsia" w:ascii="宋体" w:hAnsi="宋体" w:eastAsia="宋体" w:cs="宋体"/>
                <w:color w:val="auto"/>
                <w:sz w:val="21"/>
                <w:szCs w:val="21"/>
                <w:highlight w:val="none"/>
              </w:rPr>
            </w:pPr>
          </w:p>
        </w:tc>
        <w:tc>
          <w:tcPr>
            <w:tcW w:w="735" w:type="dxa"/>
            <w:vAlign w:val="center"/>
          </w:tcPr>
          <w:p w14:paraId="6237C8F7">
            <w:pPr>
              <w:spacing w:line="360" w:lineRule="auto"/>
              <w:jc w:val="center"/>
              <w:rPr>
                <w:rFonts w:hint="eastAsia" w:ascii="宋体" w:hAnsi="宋体" w:eastAsia="宋体" w:cs="宋体"/>
                <w:color w:val="auto"/>
                <w:sz w:val="21"/>
                <w:szCs w:val="21"/>
                <w:highlight w:val="none"/>
              </w:rPr>
            </w:pPr>
          </w:p>
        </w:tc>
        <w:tc>
          <w:tcPr>
            <w:tcW w:w="765" w:type="dxa"/>
            <w:vAlign w:val="center"/>
          </w:tcPr>
          <w:p w14:paraId="67215506">
            <w:pPr>
              <w:spacing w:line="360" w:lineRule="auto"/>
              <w:jc w:val="center"/>
              <w:rPr>
                <w:rFonts w:hint="eastAsia" w:ascii="宋体" w:hAnsi="宋体" w:eastAsia="宋体" w:cs="宋体"/>
                <w:color w:val="auto"/>
                <w:sz w:val="21"/>
                <w:szCs w:val="21"/>
                <w:highlight w:val="none"/>
              </w:rPr>
            </w:pPr>
          </w:p>
        </w:tc>
        <w:tc>
          <w:tcPr>
            <w:tcW w:w="2084" w:type="dxa"/>
            <w:vAlign w:val="center"/>
          </w:tcPr>
          <w:p w14:paraId="66BE554B">
            <w:pPr>
              <w:spacing w:line="360" w:lineRule="auto"/>
              <w:jc w:val="center"/>
              <w:rPr>
                <w:rFonts w:hint="eastAsia" w:ascii="宋体" w:hAnsi="宋体" w:eastAsia="宋体" w:cs="宋体"/>
                <w:color w:val="auto"/>
                <w:sz w:val="21"/>
                <w:szCs w:val="21"/>
                <w:highlight w:val="none"/>
              </w:rPr>
            </w:pPr>
          </w:p>
        </w:tc>
        <w:tc>
          <w:tcPr>
            <w:tcW w:w="1332" w:type="dxa"/>
            <w:vAlign w:val="center"/>
          </w:tcPr>
          <w:p w14:paraId="4418876A">
            <w:pPr>
              <w:spacing w:line="360" w:lineRule="auto"/>
              <w:jc w:val="center"/>
              <w:rPr>
                <w:rFonts w:hint="eastAsia" w:ascii="宋体" w:hAnsi="宋体" w:eastAsia="宋体" w:cs="宋体"/>
                <w:color w:val="auto"/>
                <w:sz w:val="21"/>
                <w:szCs w:val="21"/>
                <w:highlight w:val="none"/>
              </w:rPr>
            </w:pPr>
          </w:p>
        </w:tc>
        <w:tc>
          <w:tcPr>
            <w:tcW w:w="779" w:type="dxa"/>
            <w:vAlign w:val="center"/>
          </w:tcPr>
          <w:p w14:paraId="718FF726">
            <w:pPr>
              <w:spacing w:line="360" w:lineRule="auto"/>
              <w:jc w:val="center"/>
              <w:rPr>
                <w:rFonts w:hint="eastAsia" w:ascii="宋体" w:hAnsi="宋体" w:eastAsia="宋体" w:cs="宋体"/>
                <w:color w:val="auto"/>
                <w:sz w:val="21"/>
                <w:szCs w:val="21"/>
                <w:highlight w:val="none"/>
              </w:rPr>
            </w:pPr>
          </w:p>
        </w:tc>
      </w:tr>
      <w:tr w14:paraId="71024C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172B5A78">
            <w:pPr>
              <w:spacing w:line="360" w:lineRule="auto"/>
              <w:jc w:val="center"/>
              <w:rPr>
                <w:rFonts w:hint="eastAsia" w:ascii="宋体" w:hAnsi="宋体" w:eastAsia="宋体" w:cs="宋体"/>
                <w:color w:val="auto"/>
                <w:sz w:val="21"/>
                <w:szCs w:val="21"/>
                <w:highlight w:val="none"/>
              </w:rPr>
            </w:pPr>
          </w:p>
        </w:tc>
        <w:tc>
          <w:tcPr>
            <w:tcW w:w="1111" w:type="dxa"/>
            <w:vAlign w:val="center"/>
          </w:tcPr>
          <w:p w14:paraId="07104CFA">
            <w:pPr>
              <w:spacing w:line="360" w:lineRule="auto"/>
              <w:jc w:val="center"/>
              <w:rPr>
                <w:rFonts w:hint="eastAsia" w:ascii="宋体" w:hAnsi="宋体" w:eastAsia="宋体" w:cs="宋体"/>
                <w:color w:val="auto"/>
                <w:sz w:val="21"/>
                <w:szCs w:val="21"/>
                <w:highlight w:val="none"/>
              </w:rPr>
            </w:pPr>
          </w:p>
        </w:tc>
        <w:tc>
          <w:tcPr>
            <w:tcW w:w="750" w:type="dxa"/>
            <w:vAlign w:val="center"/>
          </w:tcPr>
          <w:p w14:paraId="6B7DB380">
            <w:pPr>
              <w:spacing w:line="360" w:lineRule="auto"/>
              <w:jc w:val="center"/>
              <w:rPr>
                <w:rFonts w:hint="eastAsia" w:ascii="宋体" w:hAnsi="宋体" w:eastAsia="宋体" w:cs="宋体"/>
                <w:color w:val="auto"/>
                <w:sz w:val="21"/>
                <w:szCs w:val="21"/>
                <w:highlight w:val="none"/>
              </w:rPr>
            </w:pPr>
          </w:p>
        </w:tc>
        <w:tc>
          <w:tcPr>
            <w:tcW w:w="1301" w:type="dxa"/>
            <w:vAlign w:val="center"/>
          </w:tcPr>
          <w:p w14:paraId="26D2C2FD">
            <w:pPr>
              <w:spacing w:line="360" w:lineRule="auto"/>
              <w:jc w:val="center"/>
              <w:rPr>
                <w:rFonts w:hint="eastAsia" w:ascii="宋体" w:hAnsi="宋体" w:eastAsia="宋体" w:cs="宋体"/>
                <w:color w:val="auto"/>
                <w:sz w:val="21"/>
                <w:szCs w:val="21"/>
                <w:highlight w:val="none"/>
              </w:rPr>
            </w:pPr>
          </w:p>
        </w:tc>
        <w:tc>
          <w:tcPr>
            <w:tcW w:w="735" w:type="dxa"/>
            <w:vAlign w:val="center"/>
          </w:tcPr>
          <w:p w14:paraId="4EC48FAD">
            <w:pPr>
              <w:spacing w:line="360" w:lineRule="auto"/>
              <w:jc w:val="center"/>
              <w:rPr>
                <w:rFonts w:hint="eastAsia" w:ascii="宋体" w:hAnsi="宋体" w:eastAsia="宋体" w:cs="宋体"/>
                <w:color w:val="auto"/>
                <w:sz w:val="21"/>
                <w:szCs w:val="21"/>
                <w:highlight w:val="none"/>
              </w:rPr>
            </w:pPr>
          </w:p>
        </w:tc>
        <w:tc>
          <w:tcPr>
            <w:tcW w:w="765" w:type="dxa"/>
            <w:vAlign w:val="center"/>
          </w:tcPr>
          <w:p w14:paraId="16CDE1D0">
            <w:pPr>
              <w:spacing w:line="360" w:lineRule="auto"/>
              <w:jc w:val="center"/>
              <w:rPr>
                <w:rFonts w:hint="eastAsia" w:ascii="宋体" w:hAnsi="宋体" w:eastAsia="宋体" w:cs="宋体"/>
                <w:color w:val="auto"/>
                <w:sz w:val="21"/>
                <w:szCs w:val="21"/>
                <w:highlight w:val="none"/>
              </w:rPr>
            </w:pPr>
          </w:p>
        </w:tc>
        <w:tc>
          <w:tcPr>
            <w:tcW w:w="2084" w:type="dxa"/>
            <w:vAlign w:val="center"/>
          </w:tcPr>
          <w:p w14:paraId="099E7B47">
            <w:pPr>
              <w:spacing w:line="360" w:lineRule="auto"/>
              <w:jc w:val="center"/>
              <w:rPr>
                <w:rFonts w:hint="eastAsia" w:ascii="宋体" w:hAnsi="宋体" w:eastAsia="宋体" w:cs="宋体"/>
                <w:color w:val="auto"/>
                <w:sz w:val="21"/>
                <w:szCs w:val="21"/>
                <w:highlight w:val="none"/>
              </w:rPr>
            </w:pPr>
          </w:p>
        </w:tc>
        <w:tc>
          <w:tcPr>
            <w:tcW w:w="1332" w:type="dxa"/>
            <w:vAlign w:val="center"/>
          </w:tcPr>
          <w:p w14:paraId="29A5FB7A">
            <w:pPr>
              <w:spacing w:line="360" w:lineRule="auto"/>
              <w:jc w:val="center"/>
              <w:rPr>
                <w:rFonts w:hint="eastAsia" w:ascii="宋体" w:hAnsi="宋体" w:eastAsia="宋体" w:cs="宋体"/>
                <w:color w:val="auto"/>
                <w:sz w:val="21"/>
                <w:szCs w:val="21"/>
                <w:highlight w:val="none"/>
              </w:rPr>
            </w:pPr>
          </w:p>
        </w:tc>
        <w:tc>
          <w:tcPr>
            <w:tcW w:w="779" w:type="dxa"/>
            <w:vAlign w:val="center"/>
          </w:tcPr>
          <w:p w14:paraId="05F26C05">
            <w:pPr>
              <w:spacing w:line="360" w:lineRule="auto"/>
              <w:jc w:val="center"/>
              <w:rPr>
                <w:rFonts w:hint="eastAsia" w:ascii="宋体" w:hAnsi="宋体" w:eastAsia="宋体" w:cs="宋体"/>
                <w:color w:val="auto"/>
                <w:sz w:val="21"/>
                <w:szCs w:val="21"/>
                <w:highlight w:val="none"/>
              </w:rPr>
            </w:pPr>
          </w:p>
        </w:tc>
      </w:tr>
      <w:tr w14:paraId="3D2D57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118" w:type="dxa"/>
            <w:vAlign w:val="center"/>
          </w:tcPr>
          <w:p w14:paraId="7162E293">
            <w:pPr>
              <w:spacing w:line="360" w:lineRule="auto"/>
              <w:jc w:val="center"/>
              <w:rPr>
                <w:rFonts w:hint="eastAsia" w:ascii="宋体" w:hAnsi="宋体" w:eastAsia="宋体" w:cs="宋体"/>
                <w:color w:val="auto"/>
                <w:sz w:val="21"/>
                <w:szCs w:val="21"/>
                <w:highlight w:val="none"/>
              </w:rPr>
            </w:pPr>
          </w:p>
        </w:tc>
        <w:tc>
          <w:tcPr>
            <w:tcW w:w="1111" w:type="dxa"/>
            <w:vAlign w:val="center"/>
          </w:tcPr>
          <w:p w14:paraId="7863085B">
            <w:pPr>
              <w:spacing w:line="360" w:lineRule="auto"/>
              <w:jc w:val="center"/>
              <w:rPr>
                <w:rFonts w:hint="eastAsia" w:ascii="宋体" w:hAnsi="宋体" w:eastAsia="宋体" w:cs="宋体"/>
                <w:color w:val="auto"/>
                <w:sz w:val="21"/>
                <w:szCs w:val="21"/>
                <w:highlight w:val="none"/>
              </w:rPr>
            </w:pPr>
          </w:p>
        </w:tc>
        <w:tc>
          <w:tcPr>
            <w:tcW w:w="750" w:type="dxa"/>
            <w:vAlign w:val="center"/>
          </w:tcPr>
          <w:p w14:paraId="7B95D64C">
            <w:pPr>
              <w:spacing w:line="360" w:lineRule="auto"/>
              <w:jc w:val="center"/>
              <w:rPr>
                <w:rFonts w:hint="eastAsia" w:ascii="宋体" w:hAnsi="宋体" w:eastAsia="宋体" w:cs="宋体"/>
                <w:color w:val="auto"/>
                <w:sz w:val="21"/>
                <w:szCs w:val="21"/>
                <w:highlight w:val="none"/>
              </w:rPr>
            </w:pPr>
          </w:p>
        </w:tc>
        <w:tc>
          <w:tcPr>
            <w:tcW w:w="1301" w:type="dxa"/>
            <w:vAlign w:val="center"/>
          </w:tcPr>
          <w:p w14:paraId="366D1797">
            <w:pPr>
              <w:spacing w:line="360" w:lineRule="auto"/>
              <w:jc w:val="center"/>
              <w:rPr>
                <w:rFonts w:hint="eastAsia" w:ascii="宋体" w:hAnsi="宋体" w:eastAsia="宋体" w:cs="宋体"/>
                <w:color w:val="auto"/>
                <w:sz w:val="21"/>
                <w:szCs w:val="21"/>
                <w:highlight w:val="none"/>
              </w:rPr>
            </w:pPr>
          </w:p>
        </w:tc>
        <w:tc>
          <w:tcPr>
            <w:tcW w:w="735" w:type="dxa"/>
            <w:vAlign w:val="center"/>
          </w:tcPr>
          <w:p w14:paraId="4FB15E63">
            <w:pPr>
              <w:spacing w:line="360" w:lineRule="auto"/>
              <w:jc w:val="center"/>
              <w:rPr>
                <w:rFonts w:hint="eastAsia" w:ascii="宋体" w:hAnsi="宋体" w:eastAsia="宋体" w:cs="宋体"/>
                <w:color w:val="auto"/>
                <w:sz w:val="21"/>
                <w:szCs w:val="21"/>
                <w:highlight w:val="none"/>
              </w:rPr>
            </w:pPr>
          </w:p>
        </w:tc>
        <w:tc>
          <w:tcPr>
            <w:tcW w:w="765" w:type="dxa"/>
            <w:vAlign w:val="center"/>
          </w:tcPr>
          <w:p w14:paraId="682965BF">
            <w:pPr>
              <w:spacing w:line="360" w:lineRule="auto"/>
              <w:jc w:val="center"/>
              <w:rPr>
                <w:rFonts w:hint="eastAsia" w:ascii="宋体" w:hAnsi="宋体" w:eastAsia="宋体" w:cs="宋体"/>
                <w:color w:val="auto"/>
                <w:sz w:val="21"/>
                <w:szCs w:val="21"/>
                <w:highlight w:val="none"/>
              </w:rPr>
            </w:pPr>
          </w:p>
        </w:tc>
        <w:tc>
          <w:tcPr>
            <w:tcW w:w="2084" w:type="dxa"/>
            <w:vAlign w:val="center"/>
          </w:tcPr>
          <w:p w14:paraId="1D7FBAAE">
            <w:pPr>
              <w:spacing w:line="360" w:lineRule="auto"/>
              <w:jc w:val="center"/>
              <w:rPr>
                <w:rFonts w:hint="eastAsia" w:ascii="宋体" w:hAnsi="宋体" w:eastAsia="宋体" w:cs="宋体"/>
                <w:color w:val="auto"/>
                <w:sz w:val="21"/>
                <w:szCs w:val="21"/>
                <w:highlight w:val="none"/>
              </w:rPr>
            </w:pPr>
          </w:p>
        </w:tc>
        <w:tc>
          <w:tcPr>
            <w:tcW w:w="1332" w:type="dxa"/>
            <w:vAlign w:val="center"/>
          </w:tcPr>
          <w:p w14:paraId="5304BCF2">
            <w:pPr>
              <w:spacing w:line="360" w:lineRule="auto"/>
              <w:jc w:val="center"/>
              <w:rPr>
                <w:rFonts w:hint="eastAsia" w:ascii="宋体" w:hAnsi="宋体" w:eastAsia="宋体" w:cs="宋体"/>
                <w:color w:val="auto"/>
                <w:sz w:val="21"/>
                <w:szCs w:val="21"/>
                <w:highlight w:val="none"/>
              </w:rPr>
            </w:pPr>
          </w:p>
        </w:tc>
        <w:tc>
          <w:tcPr>
            <w:tcW w:w="779" w:type="dxa"/>
            <w:vAlign w:val="center"/>
          </w:tcPr>
          <w:p w14:paraId="66C6E4DE">
            <w:pPr>
              <w:spacing w:line="360" w:lineRule="auto"/>
              <w:jc w:val="center"/>
              <w:rPr>
                <w:rFonts w:hint="eastAsia" w:ascii="宋体" w:hAnsi="宋体" w:eastAsia="宋体" w:cs="宋体"/>
                <w:color w:val="auto"/>
                <w:sz w:val="21"/>
                <w:szCs w:val="21"/>
                <w:highlight w:val="none"/>
              </w:rPr>
            </w:pPr>
          </w:p>
        </w:tc>
      </w:tr>
      <w:tr w14:paraId="2D6A8F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8" w:type="dxa"/>
            <w:vAlign w:val="center"/>
          </w:tcPr>
          <w:p w14:paraId="6862D094">
            <w:pPr>
              <w:spacing w:line="360" w:lineRule="auto"/>
              <w:jc w:val="center"/>
              <w:rPr>
                <w:rFonts w:hint="eastAsia" w:ascii="宋体" w:hAnsi="宋体" w:eastAsia="宋体" w:cs="宋体"/>
                <w:color w:val="auto"/>
                <w:sz w:val="21"/>
                <w:szCs w:val="21"/>
                <w:highlight w:val="none"/>
              </w:rPr>
            </w:pPr>
          </w:p>
        </w:tc>
        <w:tc>
          <w:tcPr>
            <w:tcW w:w="1111" w:type="dxa"/>
            <w:vAlign w:val="center"/>
          </w:tcPr>
          <w:p w14:paraId="28A08EF4">
            <w:pPr>
              <w:spacing w:line="360" w:lineRule="auto"/>
              <w:jc w:val="center"/>
              <w:rPr>
                <w:rFonts w:hint="eastAsia" w:ascii="宋体" w:hAnsi="宋体" w:eastAsia="宋体" w:cs="宋体"/>
                <w:color w:val="auto"/>
                <w:sz w:val="21"/>
                <w:szCs w:val="21"/>
                <w:highlight w:val="none"/>
              </w:rPr>
            </w:pPr>
          </w:p>
        </w:tc>
        <w:tc>
          <w:tcPr>
            <w:tcW w:w="750" w:type="dxa"/>
            <w:vAlign w:val="center"/>
          </w:tcPr>
          <w:p w14:paraId="4D3A3B57">
            <w:pPr>
              <w:spacing w:line="360" w:lineRule="auto"/>
              <w:jc w:val="center"/>
              <w:rPr>
                <w:rFonts w:hint="eastAsia" w:ascii="宋体" w:hAnsi="宋体" w:eastAsia="宋体" w:cs="宋体"/>
                <w:color w:val="auto"/>
                <w:sz w:val="21"/>
                <w:szCs w:val="21"/>
                <w:highlight w:val="none"/>
              </w:rPr>
            </w:pPr>
          </w:p>
        </w:tc>
        <w:tc>
          <w:tcPr>
            <w:tcW w:w="1301" w:type="dxa"/>
            <w:vAlign w:val="center"/>
          </w:tcPr>
          <w:p w14:paraId="3D0E4824">
            <w:pPr>
              <w:spacing w:line="360" w:lineRule="auto"/>
              <w:jc w:val="center"/>
              <w:rPr>
                <w:rFonts w:hint="eastAsia" w:ascii="宋体" w:hAnsi="宋体" w:eastAsia="宋体" w:cs="宋体"/>
                <w:color w:val="auto"/>
                <w:sz w:val="21"/>
                <w:szCs w:val="21"/>
                <w:highlight w:val="none"/>
              </w:rPr>
            </w:pPr>
          </w:p>
        </w:tc>
        <w:tc>
          <w:tcPr>
            <w:tcW w:w="735" w:type="dxa"/>
            <w:vAlign w:val="center"/>
          </w:tcPr>
          <w:p w14:paraId="27C9D03C">
            <w:pPr>
              <w:spacing w:line="360" w:lineRule="auto"/>
              <w:jc w:val="center"/>
              <w:rPr>
                <w:rFonts w:hint="eastAsia" w:ascii="宋体" w:hAnsi="宋体" w:eastAsia="宋体" w:cs="宋体"/>
                <w:color w:val="auto"/>
                <w:sz w:val="21"/>
                <w:szCs w:val="21"/>
                <w:highlight w:val="none"/>
              </w:rPr>
            </w:pPr>
          </w:p>
        </w:tc>
        <w:tc>
          <w:tcPr>
            <w:tcW w:w="765" w:type="dxa"/>
            <w:vAlign w:val="center"/>
          </w:tcPr>
          <w:p w14:paraId="65C1BE8B">
            <w:pPr>
              <w:spacing w:line="360" w:lineRule="auto"/>
              <w:jc w:val="center"/>
              <w:rPr>
                <w:rFonts w:hint="eastAsia" w:ascii="宋体" w:hAnsi="宋体" w:eastAsia="宋体" w:cs="宋体"/>
                <w:color w:val="auto"/>
                <w:sz w:val="21"/>
                <w:szCs w:val="21"/>
                <w:highlight w:val="none"/>
              </w:rPr>
            </w:pPr>
          </w:p>
        </w:tc>
        <w:tc>
          <w:tcPr>
            <w:tcW w:w="2084" w:type="dxa"/>
            <w:vAlign w:val="center"/>
          </w:tcPr>
          <w:p w14:paraId="49929509">
            <w:pPr>
              <w:spacing w:line="360" w:lineRule="auto"/>
              <w:jc w:val="center"/>
              <w:rPr>
                <w:rFonts w:hint="eastAsia" w:ascii="宋体" w:hAnsi="宋体" w:eastAsia="宋体" w:cs="宋体"/>
                <w:color w:val="auto"/>
                <w:sz w:val="21"/>
                <w:szCs w:val="21"/>
                <w:highlight w:val="none"/>
              </w:rPr>
            </w:pPr>
          </w:p>
        </w:tc>
        <w:tc>
          <w:tcPr>
            <w:tcW w:w="1332" w:type="dxa"/>
            <w:vAlign w:val="center"/>
          </w:tcPr>
          <w:p w14:paraId="6004A9F5">
            <w:pPr>
              <w:spacing w:line="360" w:lineRule="auto"/>
              <w:jc w:val="center"/>
              <w:rPr>
                <w:rFonts w:hint="eastAsia" w:ascii="宋体" w:hAnsi="宋体" w:eastAsia="宋体" w:cs="宋体"/>
                <w:color w:val="auto"/>
                <w:sz w:val="21"/>
                <w:szCs w:val="21"/>
                <w:highlight w:val="none"/>
              </w:rPr>
            </w:pPr>
          </w:p>
        </w:tc>
        <w:tc>
          <w:tcPr>
            <w:tcW w:w="779" w:type="dxa"/>
            <w:vAlign w:val="center"/>
          </w:tcPr>
          <w:p w14:paraId="2464DDF6">
            <w:pPr>
              <w:spacing w:line="360" w:lineRule="auto"/>
              <w:jc w:val="center"/>
              <w:rPr>
                <w:rFonts w:hint="eastAsia" w:ascii="宋体" w:hAnsi="宋体" w:eastAsia="宋体" w:cs="宋体"/>
                <w:color w:val="auto"/>
                <w:sz w:val="21"/>
                <w:szCs w:val="21"/>
                <w:highlight w:val="none"/>
              </w:rPr>
            </w:pPr>
          </w:p>
        </w:tc>
      </w:tr>
    </w:tbl>
    <w:p w14:paraId="3C9C0E14">
      <w:pPr>
        <w:pStyle w:val="7"/>
        <w:keepNext w:val="0"/>
        <w:keepLines w:val="0"/>
        <w:pageBreakBefore w:val="0"/>
        <w:widowControl w:val="0"/>
        <w:kinsoku/>
        <w:wordWrap/>
        <w:overflowPunct/>
        <w:topLinePunct w:val="0"/>
        <w:autoSpaceDE/>
        <w:autoSpaceDN/>
        <w:bidi w:val="0"/>
        <w:adjustRightInd/>
        <w:snapToGrid/>
        <w:spacing w:before="157" w:beforeLines="50"/>
        <w:ind w:left="0" w:leftChars="0" w:firstLine="0" w:firstLineChars="0"/>
        <w:textAlignment w:val="auto"/>
        <w:rPr>
          <w:rFonts w:hint="eastAsia" w:ascii="Times New Roman" w:hAnsi="Times New Roman" w:eastAsia="宋体" w:cs="Times New Roman"/>
          <w:color w:val="auto"/>
          <w:highlight w:val="none"/>
          <w:lang w:eastAsia="zh-CN"/>
        </w:rPr>
        <w:sectPr>
          <w:pgSz w:w="11907" w:h="16840"/>
          <w:pgMar w:top="1440" w:right="1080" w:bottom="1440" w:left="1080" w:header="720" w:footer="720" w:gutter="0"/>
          <w:pgNumType w:fmt="decimal"/>
          <w:cols w:space="720" w:num="1"/>
        </w:sectPr>
      </w:pPr>
      <w:r>
        <w:rPr>
          <w:rFonts w:hint="eastAsia" w:ascii="Times New Roman" w:hAnsi="Times New Roman" w:eastAsia="宋体" w:cs="Times New Roman"/>
          <w:color w:val="auto"/>
          <w:highlight w:val="none"/>
          <w:lang w:eastAsia="zh-CN"/>
        </w:rPr>
        <w:t>注：表中</w:t>
      </w:r>
      <w:r>
        <w:rPr>
          <w:rFonts w:hint="eastAsia" w:ascii="Times New Roman" w:hAnsi="Times New Roman" w:eastAsia="宋体" w:cs="Times New Roman"/>
          <w:color w:val="auto"/>
          <w:highlight w:val="none"/>
          <w:lang w:val="en-US" w:eastAsia="zh-CN"/>
        </w:rPr>
        <w:t>至少须包含项目经理、技术负责人、施工员、安全员、质量员、标准员、材料员、机械员、劳务员、资料员各1人，所有人员需持证上岗，本表后不需附人员证件、证明等材料。</w:t>
      </w:r>
    </w:p>
    <w:p w14:paraId="3E35C1FA">
      <w:pPr>
        <w:keepNext w:val="0"/>
        <w:keepLines w:val="0"/>
        <w:pageBreakBefore w:val="0"/>
        <w:widowControl w:val="0"/>
        <w:numPr>
          <w:ilvl w:val="0"/>
          <w:numId w:val="9"/>
        </w:numPr>
        <w:kinsoku/>
        <w:wordWrap/>
        <w:overflowPunct/>
        <w:topLinePunct w:val="0"/>
        <w:autoSpaceDE/>
        <w:autoSpaceDN/>
        <w:bidi w:val="0"/>
        <w:adjustRightInd/>
        <w:snapToGrid/>
        <w:spacing w:after="157" w:afterLines="50"/>
        <w:jc w:val="center"/>
        <w:textAlignment w:val="auto"/>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eastAsia="zh-CN"/>
        </w:rPr>
        <w:t>主要人员简历表</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1"/>
        <w:gridCol w:w="406"/>
        <w:gridCol w:w="814"/>
        <w:gridCol w:w="1049"/>
        <w:gridCol w:w="1613"/>
        <w:gridCol w:w="393"/>
        <w:gridCol w:w="1426"/>
        <w:gridCol w:w="182"/>
        <w:gridCol w:w="2592"/>
      </w:tblGrid>
      <w:tr w14:paraId="76B60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477940F9">
            <w:pPr>
              <w:spacing w:line="440" w:lineRule="exact"/>
              <w:jc w:val="center"/>
              <w:rPr>
                <w:rFonts w:ascii="宋体" w:hAnsi="宋体"/>
                <w:color w:val="auto"/>
                <w:sz w:val="21"/>
                <w:szCs w:val="21"/>
                <w:highlight w:val="none"/>
              </w:rPr>
            </w:pPr>
            <w:r>
              <w:rPr>
                <w:rFonts w:ascii="宋体" w:hAnsi="宋体"/>
                <w:color w:val="auto"/>
                <w:sz w:val="21"/>
                <w:szCs w:val="21"/>
                <w:highlight w:val="none"/>
              </w:rPr>
              <w:t>姓  名</w:t>
            </w:r>
          </w:p>
        </w:tc>
        <w:tc>
          <w:tcPr>
            <w:tcW w:w="1220" w:type="dxa"/>
            <w:gridSpan w:val="2"/>
            <w:noWrap w:val="0"/>
            <w:vAlign w:val="center"/>
          </w:tcPr>
          <w:p w14:paraId="15738448">
            <w:pPr>
              <w:spacing w:line="440" w:lineRule="exact"/>
              <w:jc w:val="center"/>
              <w:rPr>
                <w:rFonts w:ascii="宋体" w:hAnsi="宋体"/>
                <w:color w:val="auto"/>
                <w:sz w:val="21"/>
                <w:szCs w:val="21"/>
                <w:highlight w:val="none"/>
              </w:rPr>
            </w:pPr>
          </w:p>
        </w:tc>
        <w:tc>
          <w:tcPr>
            <w:tcW w:w="1049" w:type="dxa"/>
            <w:noWrap w:val="0"/>
            <w:vAlign w:val="center"/>
          </w:tcPr>
          <w:p w14:paraId="6E8C3821">
            <w:pPr>
              <w:spacing w:line="440" w:lineRule="exact"/>
              <w:jc w:val="center"/>
              <w:rPr>
                <w:rFonts w:ascii="宋体" w:hAnsi="宋体"/>
                <w:color w:val="auto"/>
                <w:sz w:val="21"/>
                <w:szCs w:val="21"/>
                <w:highlight w:val="none"/>
              </w:rPr>
            </w:pPr>
            <w:r>
              <w:rPr>
                <w:rFonts w:ascii="宋体" w:hAnsi="宋体"/>
                <w:color w:val="auto"/>
                <w:sz w:val="21"/>
                <w:szCs w:val="21"/>
                <w:highlight w:val="none"/>
              </w:rPr>
              <w:t>年 龄</w:t>
            </w:r>
          </w:p>
        </w:tc>
        <w:tc>
          <w:tcPr>
            <w:tcW w:w="1613" w:type="dxa"/>
            <w:noWrap w:val="0"/>
            <w:vAlign w:val="center"/>
          </w:tcPr>
          <w:p w14:paraId="2BE04BFF">
            <w:pPr>
              <w:spacing w:line="440" w:lineRule="exact"/>
              <w:jc w:val="center"/>
              <w:rPr>
                <w:rFonts w:ascii="宋体" w:hAnsi="宋体"/>
                <w:color w:val="auto"/>
                <w:sz w:val="21"/>
                <w:szCs w:val="21"/>
                <w:highlight w:val="none"/>
              </w:rPr>
            </w:pPr>
          </w:p>
        </w:tc>
        <w:tc>
          <w:tcPr>
            <w:tcW w:w="2001" w:type="dxa"/>
            <w:gridSpan w:val="3"/>
            <w:noWrap w:val="0"/>
            <w:vAlign w:val="center"/>
          </w:tcPr>
          <w:p w14:paraId="5D0149BC">
            <w:pPr>
              <w:spacing w:line="440" w:lineRule="exact"/>
              <w:jc w:val="center"/>
              <w:rPr>
                <w:rFonts w:ascii="宋体" w:hAnsi="宋体"/>
                <w:color w:val="auto"/>
                <w:sz w:val="21"/>
                <w:szCs w:val="21"/>
                <w:highlight w:val="none"/>
              </w:rPr>
            </w:pPr>
            <w:r>
              <w:rPr>
                <w:rFonts w:ascii="宋体" w:hAnsi="宋体"/>
                <w:color w:val="auto"/>
                <w:sz w:val="21"/>
                <w:szCs w:val="21"/>
                <w:highlight w:val="none"/>
              </w:rPr>
              <w:t>学历</w:t>
            </w:r>
          </w:p>
        </w:tc>
        <w:tc>
          <w:tcPr>
            <w:tcW w:w="2592" w:type="dxa"/>
            <w:noWrap w:val="0"/>
            <w:vAlign w:val="center"/>
          </w:tcPr>
          <w:p w14:paraId="34AEC8DE">
            <w:pPr>
              <w:spacing w:line="440" w:lineRule="exact"/>
              <w:jc w:val="center"/>
              <w:rPr>
                <w:rFonts w:ascii="宋体" w:hAnsi="宋体"/>
                <w:color w:val="auto"/>
                <w:sz w:val="21"/>
                <w:szCs w:val="21"/>
                <w:highlight w:val="none"/>
              </w:rPr>
            </w:pPr>
          </w:p>
        </w:tc>
      </w:tr>
      <w:tr w14:paraId="545A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05BFD355">
            <w:pPr>
              <w:spacing w:line="440" w:lineRule="exact"/>
              <w:jc w:val="center"/>
              <w:rPr>
                <w:rFonts w:ascii="宋体" w:hAnsi="宋体"/>
                <w:color w:val="auto"/>
                <w:sz w:val="21"/>
                <w:szCs w:val="21"/>
                <w:highlight w:val="none"/>
              </w:rPr>
            </w:pPr>
            <w:r>
              <w:rPr>
                <w:rFonts w:ascii="宋体" w:hAnsi="宋体"/>
                <w:color w:val="auto"/>
                <w:sz w:val="21"/>
                <w:szCs w:val="21"/>
                <w:highlight w:val="none"/>
              </w:rPr>
              <w:t>职  称</w:t>
            </w:r>
          </w:p>
        </w:tc>
        <w:tc>
          <w:tcPr>
            <w:tcW w:w="1220" w:type="dxa"/>
            <w:gridSpan w:val="2"/>
            <w:noWrap w:val="0"/>
            <w:vAlign w:val="center"/>
          </w:tcPr>
          <w:p w14:paraId="32FAD9F1">
            <w:pPr>
              <w:spacing w:line="440" w:lineRule="exact"/>
              <w:jc w:val="center"/>
              <w:rPr>
                <w:rFonts w:ascii="宋体" w:hAnsi="宋体"/>
                <w:color w:val="auto"/>
                <w:sz w:val="21"/>
                <w:szCs w:val="21"/>
                <w:highlight w:val="none"/>
              </w:rPr>
            </w:pPr>
          </w:p>
        </w:tc>
        <w:tc>
          <w:tcPr>
            <w:tcW w:w="1049" w:type="dxa"/>
            <w:noWrap w:val="0"/>
            <w:vAlign w:val="center"/>
          </w:tcPr>
          <w:p w14:paraId="2A1D19E2">
            <w:pPr>
              <w:spacing w:line="440" w:lineRule="exact"/>
              <w:jc w:val="center"/>
              <w:rPr>
                <w:rFonts w:ascii="宋体" w:hAnsi="宋体"/>
                <w:color w:val="auto"/>
                <w:sz w:val="21"/>
                <w:szCs w:val="21"/>
                <w:highlight w:val="none"/>
              </w:rPr>
            </w:pPr>
            <w:r>
              <w:rPr>
                <w:rFonts w:ascii="宋体" w:hAnsi="宋体"/>
                <w:color w:val="auto"/>
                <w:sz w:val="21"/>
                <w:szCs w:val="21"/>
                <w:highlight w:val="none"/>
              </w:rPr>
              <w:t>职 务</w:t>
            </w:r>
          </w:p>
        </w:tc>
        <w:tc>
          <w:tcPr>
            <w:tcW w:w="1613" w:type="dxa"/>
            <w:noWrap w:val="0"/>
            <w:vAlign w:val="center"/>
          </w:tcPr>
          <w:p w14:paraId="3C226CC6">
            <w:pPr>
              <w:spacing w:line="440" w:lineRule="exact"/>
              <w:jc w:val="center"/>
              <w:rPr>
                <w:rFonts w:ascii="宋体" w:hAnsi="宋体"/>
                <w:color w:val="auto"/>
                <w:sz w:val="21"/>
                <w:szCs w:val="21"/>
                <w:highlight w:val="none"/>
              </w:rPr>
            </w:pPr>
          </w:p>
        </w:tc>
        <w:tc>
          <w:tcPr>
            <w:tcW w:w="2001" w:type="dxa"/>
            <w:gridSpan w:val="3"/>
            <w:noWrap w:val="0"/>
            <w:vAlign w:val="center"/>
          </w:tcPr>
          <w:p w14:paraId="1EFF94DD">
            <w:pPr>
              <w:spacing w:line="440" w:lineRule="exact"/>
              <w:jc w:val="center"/>
              <w:rPr>
                <w:rFonts w:ascii="宋体" w:hAnsi="宋体"/>
                <w:color w:val="auto"/>
                <w:sz w:val="21"/>
                <w:szCs w:val="21"/>
                <w:highlight w:val="none"/>
              </w:rPr>
            </w:pPr>
            <w:r>
              <w:rPr>
                <w:rFonts w:ascii="宋体" w:hAnsi="宋体"/>
                <w:color w:val="auto"/>
                <w:sz w:val="21"/>
                <w:szCs w:val="21"/>
                <w:highlight w:val="none"/>
              </w:rPr>
              <w:t>拟在本合同任职</w:t>
            </w:r>
          </w:p>
        </w:tc>
        <w:tc>
          <w:tcPr>
            <w:tcW w:w="2592" w:type="dxa"/>
            <w:noWrap w:val="0"/>
            <w:vAlign w:val="center"/>
          </w:tcPr>
          <w:p w14:paraId="3008BFA1">
            <w:pPr>
              <w:spacing w:line="440" w:lineRule="exact"/>
              <w:jc w:val="center"/>
              <w:rPr>
                <w:rFonts w:ascii="宋体" w:hAnsi="宋体"/>
                <w:color w:val="auto"/>
                <w:sz w:val="21"/>
                <w:szCs w:val="21"/>
                <w:highlight w:val="none"/>
              </w:rPr>
            </w:pPr>
          </w:p>
        </w:tc>
      </w:tr>
      <w:tr w14:paraId="6EC7C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noWrap w:val="0"/>
            <w:vAlign w:val="center"/>
          </w:tcPr>
          <w:p w14:paraId="5341F170">
            <w:pPr>
              <w:spacing w:line="440" w:lineRule="exact"/>
              <w:jc w:val="center"/>
              <w:rPr>
                <w:rFonts w:ascii="宋体" w:hAnsi="宋体"/>
                <w:color w:val="auto"/>
                <w:sz w:val="21"/>
                <w:szCs w:val="21"/>
                <w:highlight w:val="none"/>
              </w:rPr>
            </w:pPr>
            <w:r>
              <w:rPr>
                <w:rFonts w:ascii="宋体" w:hAnsi="宋体"/>
                <w:color w:val="auto"/>
                <w:sz w:val="21"/>
                <w:szCs w:val="21"/>
                <w:highlight w:val="none"/>
              </w:rPr>
              <w:t>毕业学校</w:t>
            </w:r>
          </w:p>
        </w:tc>
        <w:tc>
          <w:tcPr>
            <w:tcW w:w="8475" w:type="dxa"/>
            <w:gridSpan w:val="8"/>
            <w:noWrap w:val="0"/>
            <w:vAlign w:val="top"/>
          </w:tcPr>
          <w:p w14:paraId="07D09FEE">
            <w:pPr>
              <w:spacing w:line="440" w:lineRule="exact"/>
              <w:rPr>
                <w:rFonts w:ascii="宋体" w:hAnsi="宋体"/>
                <w:color w:val="auto"/>
                <w:sz w:val="21"/>
                <w:szCs w:val="21"/>
                <w:highlight w:val="none"/>
              </w:rPr>
            </w:pPr>
            <w:r>
              <w:rPr>
                <w:rFonts w:ascii="宋体" w:hAnsi="宋体"/>
                <w:color w:val="auto"/>
                <w:sz w:val="21"/>
                <w:szCs w:val="21"/>
                <w:highlight w:val="none"/>
              </w:rPr>
              <w:t xml:space="preserve">      年毕业于            学校        专业</w:t>
            </w:r>
          </w:p>
        </w:tc>
      </w:tr>
      <w:tr w14:paraId="563E7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6" w:type="dxa"/>
            <w:gridSpan w:val="9"/>
            <w:noWrap w:val="0"/>
            <w:vAlign w:val="center"/>
          </w:tcPr>
          <w:p w14:paraId="1FF54675">
            <w:pPr>
              <w:spacing w:line="440" w:lineRule="exact"/>
              <w:jc w:val="center"/>
              <w:rPr>
                <w:rFonts w:ascii="宋体" w:hAnsi="宋体"/>
                <w:color w:val="auto"/>
                <w:sz w:val="21"/>
                <w:szCs w:val="21"/>
                <w:highlight w:val="none"/>
              </w:rPr>
            </w:pPr>
            <w:r>
              <w:rPr>
                <w:rFonts w:ascii="宋体" w:hAnsi="宋体"/>
                <w:color w:val="auto"/>
                <w:sz w:val="21"/>
                <w:szCs w:val="21"/>
                <w:highlight w:val="none"/>
              </w:rPr>
              <w:t>主要工作经历</w:t>
            </w:r>
          </w:p>
        </w:tc>
      </w:tr>
      <w:tr w14:paraId="3EE2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747" w:type="dxa"/>
            <w:gridSpan w:val="2"/>
            <w:noWrap w:val="0"/>
            <w:vAlign w:val="center"/>
          </w:tcPr>
          <w:p w14:paraId="2E19411B">
            <w:pPr>
              <w:spacing w:line="440" w:lineRule="exact"/>
              <w:jc w:val="center"/>
              <w:rPr>
                <w:rFonts w:ascii="宋体" w:hAnsi="宋体"/>
                <w:color w:val="auto"/>
                <w:sz w:val="21"/>
                <w:szCs w:val="21"/>
                <w:highlight w:val="none"/>
              </w:rPr>
            </w:pPr>
            <w:r>
              <w:rPr>
                <w:rFonts w:ascii="宋体" w:hAnsi="宋体"/>
                <w:color w:val="auto"/>
                <w:sz w:val="21"/>
                <w:szCs w:val="21"/>
                <w:highlight w:val="none"/>
              </w:rPr>
              <w:t>时  间</w:t>
            </w:r>
          </w:p>
        </w:tc>
        <w:tc>
          <w:tcPr>
            <w:tcW w:w="3869" w:type="dxa"/>
            <w:gridSpan w:val="4"/>
            <w:noWrap w:val="0"/>
            <w:vAlign w:val="center"/>
          </w:tcPr>
          <w:p w14:paraId="0B20710F">
            <w:pPr>
              <w:spacing w:line="440" w:lineRule="exact"/>
              <w:jc w:val="center"/>
              <w:rPr>
                <w:rFonts w:ascii="宋体" w:hAnsi="宋体"/>
                <w:color w:val="auto"/>
                <w:sz w:val="21"/>
                <w:szCs w:val="21"/>
                <w:highlight w:val="none"/>
              </w:rPr>
            </w:pPr>
            <w:r>
              <w:rPr>
                <w:rFonts w:ascii="宋体" w:hAnsi="宋体"/>
                <w:color w:val="auto"/>
                <w:sz w:val="21"/>
                <w:szCs w:val="21"/>
                <w:highlight w:val="none"/>
              </w:rPr>
              <w:t>参加过的类似项目</w:t>
            </w:r>
          </w:p>
        </w:tc>
        <w:tc>
          <w:tcPr>
            <w:tcW w:w="1426" w:type="dxa"/>
            <w:noWrap w:val="0"/>
            <w:vAlign w:val="center"/>
          </w:tcPr>
          <w:p w14:paraId="5A4855B9">
            <w:pPr>
              <w:spacing w:line="440" w:lineRule="exact"/>
              <w:jc w:val="center"/>
              <w:rPr>
                <w:rFonts w:ascii="宋体" w:hAnsi="宋体"/>
                <w:color w:val="auto"/>
                <w:sz w:val="21"/>
                <w:szCs w:val="21"/>
                <w:highlight w:val="none"/>
              </w:rPr>
            </w:pPr>
            <w:r>
              <w:rPr>
                <w:rFonts w:ascii="宋体" w:hAnsi="宋体"/>
                <w:color w:val="auto"/>
                <w:sz w:val="21"/>
                <w:szCs w:val="21"/>
                <w:highlight w:val="none"/>
              </w:rPr>
              <w:t>担任职务</w:t>
            </w:r>
          </w:p>
        </w:tc>
        <w:tc>
          <w:tcPr>
            <w:tcW w:w="2774" w:type="dxa"/>
            <w:gridSpan w:val="2"/>
            <w:noWrap w:val="0"/>
            <w:vAlign w:val="center"/>
          </w:tcPr>
          <w:p w14:paraId="6B87BC02">
            <w:pPr>
              <w:spacing w:line="440" w:lineRule="exact"/>
              <w:jc w:val="center"/>
              <w:rPr>
                <w:rFonts w:ascii="宋体" w:hAnsi="宋体"/>
                <w:color w:val="auto"/>
                <w:sz w:val="21"/>
                <w:szCs w:val="21"/>
                <w:highlight w:val="none"/>
              </w:rPr>
            </w:pPr>
            <w:r>
              <w:rPr>
                <w:rFonts w:ascii="宋体" w:hAnsi="宋体"/>
                <w:color w:val="auto"/>
                <w:sz w:val="21"/>
                <w:szCs w:val="21"/>
                <w:highlight w:val="none"/>
              </w:rPr>
              <w:t>发包人及联系电话</w:t>
            </w:r>
          </w:p>
        </w:tc>
      </w:tr>
      <w:tr w14:paraId="36069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5A8CE71E">
            <w:pPr>
              <w:spacing w:line="440" w:lineRule="exact"/>
              <w:rPr>
                <w:rFonts w:ascii="宋体" w:hAnsi="宋体"/>
                <w:color w:val="auto"/>
                <w:sz w:val="24"/>
                <w:szCs w:val="24"/>
                <w:highlight w:val="none"/>
              </w:rPr>
            </w:pPr>
          </w:p>
        </w:tc>
        <w:tc>
          <w:tcPr>
            <w:tcW w:w="3869" w:type="dxa"/>
            <w:gridSpan w:val="4"/>
            <w:noWrap w:val="0"/>
            <w:vAlign w:val="top"/>
          </w:tcPr>
          <w:p w14:paraId="2D362E74">
            <w:pPr>
              <w:spacing w:line="440" w:lineRule="exact"/>
              <w:rPr>
                <w:rFonts w:ascii="宋体" w:hAnsi="宋体"/>
                <w:color w:val="auto"/>
                <w:sz w:val="24"/>
                <w:szCs w:val="24"/>
                <w:highlight w:val="none"/>
              </w:rPr>
            </w:pPr>
          </w:p>
        </w:tc>
        <w:tc>
          <w:tcPr>
            <w:tcW w:w="1426" w:type="dxa"/>
            <w:noWrap w:val="0"/>
            <w:vAlign w:val="top"/>
          </w:tcPr>
          <w:p w14:paraId="47D2860F">
            <w:pPr>
              <w:spacing w:line="440" w:lineRule="exact"/>
              <w:rPr>
                <w:rFonts w:ascii="宋体" w:hAnsi="宋体"/>
                <w:color w:val="auto"/>
                <w:sz w:val="24"/>
                <w:szCs w:val="24"/>
                <w:highlight w:val="none"/>
              </w:rPr>
            </w:pPr>
          </w:p>
        </w:tc>
        <w:tc>
          <w:tcPr>
            <w:tcW w:w="2774" w:type="dxa"/>
            <w:gridSpan w:val="2"/>
            <w:noWrap w:val="0"/>
            <w:vAlign w:val="top"/>
          </w:tcPr>
          <w:p w14:paraId="7888791C">
            <w:pPr>
              <w:spacing w:line="440" w:lineRule="exact"/>
              <w:rPr>
                <w:rFonts w:ascii="宋体" w:hAnsi="宋体"/>
                <w:color w:val="auto"/>
                <w:sz w:val="24"/>
                <w:szCs w:val="24"/>
                <w:highlight w:val="none"/>
              </w:rPr>
            </w:pPr>
          </w:p>
        </w:tc>
      </w:tr>
      <w:tr w14:paraId="6B4B6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640C5581">
            <w:pPr>
              <w:spacing w:line="440" w:lineRule="exact"/>
              <w:rPr>
                <w:rFonts w:ascii="宋体" w:hAnsi="宋体"/>
                <w:color w:val="auto"/>
                <w:sz w:val="24"/>
                <w:szCs w:val="24"/>
                <w:highlight w:val="none"/>
              </w:rPr>
            </w:pPr>
          </w:p>
        </w:tc>
        <w:tc>
          <w:tcPr>
            <w:tcW w:w="3869" w:type="dxa"/>
            <w:gridSpan w:val="4"/>
            <w:noWrap w:val="0"/>
            <w:vAlign w:val="top"/>
          </w:tcPr>
          <w:p w14:paraId="00D51BD6">
            <w:pPr>
              <w:spacing w:line="440" w:lineRule="exact"/>
              <w:rPr>
                <w:rFonts w:ascii="宋体" w:hAnsi="宋体"/>
                <w:color w:val="auto"/>
                <w:sz w:val="24"/>
                <w:szCs w:val="24"/>
                <w:highlight w:val="none"/>
              </w:rPr>
            </w:pPr>
          </w:p>
        </w:tc>
        <w:tc>
          <w:tcPr>
            <w:tcW w:w="1426" w:type="dxa"/>
            <w:noWrap w:val="0"/>
            <w:vAlign w:val="top"/>
          </w:tcPr>
          <w:p w14:paraId="0FA190F2">
            <w:pPr>
              <w:spacing w:line="440" w:lineRule="exact"/>
              <w:rPr>
                <w:rFonts w:ascii="宋体" w:hAnsi="宋体"/>
                <w:color w:val="auto"/>
                <w:sz w:val="24"/>
                <w:szCs w:val="24"/>
                <w:highlight w:val="none"/>
              </w:rPr>
            </w:pPr>
          </w:p>
        </w:tc>
        <w:tc>
          <w:tcPr>
            <w:tcW w:w="2774" w:type="dxa"/>
            <w:gridSpan w:val="2"/>
            <w:noWrap w:val="0"/>
            <w:vAlign w:val="top"/>
          </w:tcPr>
          <w:p w14:paraId="7F2A9055">
            <w:pPr>
              <w:spacing w:line="440" w:lineRule="exact"/>
              <w:rPr>
                <w:rFonts w:ascii="宋体" w:hAnsi="宋体"/>
                <w:color w:val="auto"/>
                <w:sz w:val="24"/>
                <w:szCs w:val="24"/>
                <w:highlight w:val="none"/>
              </w:rPr>
            </w:pPr>
          </w:p>
        </w:tc>
      </w:tr>
      <w:tr w14:paraId="49AB6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top"/>
          </w:tcPr>
          <w:p w14:paraId="4BF66376">
            <w:pPr>
              <w:spacing w:line="440" w:lineRule="exact"/>
              <w:rPr>
                <w:rFonts w:ascii="宋体" w:hAnsi="宋体"/>
                <w:color w:val="auto"/>
                <w:sz w:val="24"/>
                <w:szCs w:val="24"/>
                <w:highlight w:val="none"/>
              </w:rPr>
            </w:pPr>
          </w:p>
        </w:tc>
        <w:tc>
          <w:tcPr>
            <w:tcW w:w="3869" w:type="dxa"/>
            <w:gridSpan w:val="4"/>
            <w:noWrap w:val="0"/>
            <w:vAlign w:val="top"/>
          </w:tcPr>
          <w:p w14:paraId="0BAA7681">
            <w:pPr>
              <w:spacing w:line="440" w:lineRule="exact"/>
              <w:rPr>
                <w:rFonts w:ascii="宋体" w:hAnsi="宋体"/>
                <w:color w:val="auto"/>
                <w:sz w:val="24"/>
                <w:szCs w:val="24"/>
                <w:highlight w:val="none"/>
              </w:rPr>
            </w:pPr>
          </w:p>
        </w:tc>
        <w:tc>
          <w:tcPr>
            <w:tcW w:w="1426" w:type="dxa"/>
            <w:noWrap w:val="0"/>
            <w:vAlign w:val="top"/>
          </w:tcPr>
          <w:p w14:paraId="384D6C56">
            <w:pPr>
              <w:spacing w:line="440" w:lineRule="exact"/>
              <w:rPr>
                <w:rFonts w:ascii="宋体" w:hAnsi="宋体"/>
                <w:color w:val="auto"/>
                <w:sz w:val="24"/>
                <w:szCs w:val="24"/>
                <w:highlight w:val="none"/>
              </w:rPr>
            </w:pPr>
          </w:p>
        </w:tc>
        <w:tc>
          <w:tcPr>
            <w:tcW w:w="2774" w:type="dxa"/>
            <w:gridSpan w:val="2"/>
            <w:noWrap w:val="0"/>
            <w:vAlign w:val="top"/>
          </w:tcPr>
          <w:p w14:paraId="1764113C">
            <w:pPr>
              <w:spacing w:line="440" w:lineRule="exact"/>
              <w:rPr>
                <w:rFonts w:ascii="宋体" w:hAnsi="宋体"/>
                <w:color w:val="auto"/>
                <w:sz w:val="24"/>
                <w:szCs w:val="24"/>
                <w:highlight w:val="none"/>
              </w:rPr>
            </w:pPr>
          </w:p>
        </w:tc>
      </w:tr>
      <w:tr w14:paraId="1E657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63E7260">
            <w:pPr>
              <w:spacing w:line="440" w:lineRule="exact"/>
              <w:rPr>
                <w:rFonts w:ascii="宋体" w:hAnsi="宋体"/>
                <w:color w:val="auto"/>
                <w:sz w:val="24"/>
                <w:szCs w:val="24"/>
                <w:highlight w:val="none"/>
              </w:rPr>
            </w:pPr>
          </w:p>
        </w:tc>
        <w:tc>
          <w:tcPr>
            <w:tcW w:w="3869" w:type="dxa"/>
            <w:gridSpan w:val="4"/>
            <w:noWrap w:val="0"/>
            <w:vAlign w:val="center"/>
          </w:tcPr>
          <w:p w14:paraId="0938430C">
            <w:pPr>
              <w:spacing w:line="440" w:lineRule="exact"/>
              <w:rPr>
                <w:rFonts w:ascii="宋体" w:hAnsi="宋体"/>
                <w:color w:val="auto"/>
                <w:sz w:val="24"/>
                <w:szCs w:val="24"/>
                <w:highlight w:val="none"/>
              </w:rPr>
            </w:pPr>
          </w:p>
        </w:tc>
        <w:tc>
          <w:tcPr>
            <w:tcW w:w="1426" w:type="dxa"/>
            <w:noWrap w:val="0"/>
            <w:vAlign w:val="center"/>
          </w:tcPr>
          <w:p w14:paraId="4AD27928">
            <w:pPr>
              <w:spacing w:line="440" w:lineRule="exact"/>
              <w:rPr>
                <w:rFonts w:ascii="宋体" w:hAnsi="宋体"/>
                <w:color w:val="auto"/>
                <w:sz w:val="24"/>
                <w:szCs w:val="24"/>
                <w:highlight w:val="none"/>
              </w:rPr>
            </w:pPr>
          </w:p>
        </w:tc>
        <w:tc>
          <w:tcPr>
            <w:tcW w:w="2774" w:type="dxa"/>
            <w:gridSpan w:val="2"/>
            <w:noWrap w:val="0"/>
            <w:vAlign w:val="center"/>
          </w:tcPr>
          <w:p w14:paraId="78C480AE">
            <w:pPr>
              <w:spacing w:line="440" w:lineRule="exact"/>
              <w:rPr>
                <w:rFonts w:ascii="宋体" w:hAnsi="宋体"/>
                <w:color w:val="auto"/>
                <w:sz w:val="24"/>
                <w:szCs w:val="24"/>
                <w:highlight w:val="none"/>
              </w:rPr>
            </w:pPr>
          </w:p>
        </w:tc>
      </w:tr>
      <w:tr w14:paraId="5072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60B6D4D1">
            <w:pPr>
              <w:spacing w:line="440" w:lineRule="exact"/>
              <w:rPr>
                <w:rFonts w:ascii="宋体" w:hAnsi="宋体"/>
                <w:color w:val="auto"/>
                <w:sz w:val="24"/>
                <w:szCs w:val="24"/>
                <w:highlight w:val="none"/>
              </w:rPr>
            </w:pPr>
          </w:p>
        </w:tc>
        <w:tc>
          <w:tcPr>
            <w:tcW w:w="3869" w:type="dxa"/>
            <w:gridSpan w:val="4"/>
            <w:noWrap w:val="0"/>
            <w:vAlign w:val="center"/>
          </w:tcPr>
          <w:p w14:paraId="5BE72320">
            <w:pPr>
              <w:spacing w:line="440" w:lineRule="exact"/>
              <w:rPr>
                <w:rFonts w:ascii="宋体" w:hAnsi="宋体"/>
                <w:color w:val="auto"/>
                <w:sz w:val="24"/>
                <w:szCs w:val="24"/>
                <w:highlight w:val="none"/>
              </w:rPr>
            </w:pPr>
          </w:p>
        </w:tc>
        <w:tc>
          <w:tcPr>
            <w:tcW w:w="1426" w:type="dxa"/>
            <w:noWrap w:val="0"/>
            <w:vAlign w:val="center"/>
          </w:tcPr>
          <w:p w14:paraId="1EDA2504">
            <w:pPr>
              <w:spacing w:line="440" w:lineRule="exact"/>
              <w:rPr>
                <w:rFonts w:ascii="宋体" w:hAnsi="宋体"/>
                <w:color w:val="auto"/>
                <w:sz w:val="24"/>
                <w:szCs w:val="24"/>
                <w:highlight w:val="none"/>
              </w:rPr>
            </w:pPr>
          </w:p>
        </w:tc>
        <w:tc>
          <w:tcPr>
            <w:tcW w:w="2774" w:type="dxa"/>
            <w:gridSpan w:val="2"/>
            <w:noWrap w:val="0"/>
            <w:vAlign w:val="center"/>
          </w:tcPr>
          <w:p w14:paraId="05A9C69D">
            <w:pPr>
              <w:spacing w:line="440" w:lineRule="exact"/>
              <w:rPr>
                <w:rFonts w:ascii="宋体" w:hAnsi="宋体"/>
                <w:color w:val="auto"/>
                <w:sz w:val="24"/>
                <w:szCs w:val="24"/>
                <w:highlight w:val="none"/>
              </w:rPr>
            </w:pPr>
          </w:p>
        </w:tc>
      </w:tr>
      <w:tr w14:paraId="6D5C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0DC3DDA8">
            <w:pPr>
              <w:spacing w:line="440" w:lineRule="exact"/>
              <w:rPr>
                <w:rFonts w:ascii="宋体" w:hAnsi="宋体"/>
                <w:color w:val="auto"/>
                <w:sz w:val="24"/>
                <w:szCs w:val="24"/>
                <w:highlight w:val="none"/>
              </w:rPr>
            </w:pPr>
          </w:p>
        </w:tc>
        <w:tc>
          <w:tcPr>
            <w:tcW w:w="3869" w:type="dxa"/>
            <w:gridSpan w:val="4"/>
            <w:noWrap w:val="0"/>
            <w:vAlign w:val="center"/>
          </w:tcPr>
          <w:p w14:paraId="72529103">
            <w:pPr>
              <w:spacing w:line="440" w:lineRule="exact"/>
              <w:rPr>
                <w:rFonts w:ascii="宋体" w:hAnsi="宋体"/>
                <w:color w:val="auto"/>
                <w:sz w:val="24"/>
                <w:szCs w:val="24"/>
                <w:highlight w:val="none"/>
              </w:rPr>
            </w:pPr>
          </w:p>
        </w:tc>
        <w:tc>
          <w:tcPr>
            <w:tcW w:w="1426" w:type="dxa"/>
            <w:noWrap w:val="0"/>
            <w:vAlign w:val="center"/>
          </w:tcPr>
          <w:p w14:paraId="39B433D1">
            <w:pPr>
              <w:spacing w:line="440" w:lineRule="exact"/>
              <w:rPr>
                <w:rFonts w:ascii="宋体" w:hAnsi="宋体"/>
                <w:color w:val="auto"/>
                <w:sz w:val="24"/>
                <w:szCs w:val="24"/>
                <w:highlight w:val="none"/>
              </w:rPr>
            </w:pPr>
          </w:p>
        </w:tc>
        <w:tc>
          <w:tcPr>
            <w:tcW w:w="2774" w:type="dxa"/>
            <w:gridSpan w:val="2"/>
            <w:noWrap w:val="0"/>
            <w:vAlign w:val="center"/>
          </w:tcPr>
          <w:p w14:paraId="3B43AB6D">
            <w:pPr>
              <w:spacing w:line="440" w:lineRule="exact"/>
              <w:rPr>
                <w:rFonts w:ascii="宋体" w:hAnsi="宋体"/>
                <w:color w:val="auto"/>
                <w:sz w:val="24"/>
                <w:szCs w:val="24"/>
                <w:highlight w:val="none"/>
              </w:rPr>
            </w:pPr>
          </w:p>
        </w:tc>
      </w:tr>
      <w:tr w14:paraId="0779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E5C2E8B">
            <w:pPr>
              <w:spacing w:line="440" w:lineRule="exact"/>
              <w:rPr>
                <w:rFonts w:ascii="宋体" w:hAnsi="宋体"/>
                <w:color w:val="auto"/>
                <w:sz w:val="24"/>
                <w:szCs w:val="24"/>
                <w:highlight w:val="none"/>
              </w:rPr>
            </w:pPr>
          </w:p>
        </w:tc>
        <w:tc>
          <w:tcPr>
            <w:tcW w:w="3869" w:type="dxa"/>
            <w:gridSpan w:val="4"/>
            <w:noWrap w:val="0"/>
            <w:vAlign w:val="center"/>
          </w:tcPr>
          <w:p w14:paraId="38C17A02">
            <w:pPr>
              <w:spacing w:line="440" w:lineRule="exact"/>
              <w:rPr>
                <w:rFonts w:ascii="宋体" w:hAnsi="宋体"/>
                <w:color w:val="auto"/>
                <w:sz w:val="24"/>
                <w:szCs w:val="24"/>
                <w:highlight w:val="none"/>
              </w:rPr>
            </w:pPr>
          </w:p>
        </w:tc>
        <w:tc>
          <w:tcPr>
            <w:tcW w:w="1426" w:type="dxa"/>
            <w:noWrap w:val="0"/>
            <w:vAlign w:val="center"/>
          </w:tcPr>
          <w:p w14:paraId="2CEB62E8">
            <w:pPr>
              <w:spacing w:line="440" w:lineRule="exact"/>
              <w:rPr>
                <w:rFonts w:ascii="宋体" w:hAnsi="宋体"/>
                <w:color w:val="auto"/>
                <w:sz w:val="24"/>
                <w:szCs w:val="24"/>
                <w:highlight w:val="none"/>
              </w:rPr>
            </w:pPr>
          </w:p>
        </w:tc>
        <w:tc>
          <w:tcPr>
            <w:tcW w:w="2774" w:type="dxa"/>
            <w:gridSpan w:val="2"/>
            <w:noWrap w:val="0"/>
            <w:vAlign w:val="center"/>
          </w:tcPr>
          <w:p w14:paraId="55E5CC7B">
            <w:pPr>
              <w:spacing w:line="440" w:lineRule="exact"/>
              <w:rPr>
                <w:rFonts w:ascii="宋体" w:hAnsi="宋体"/>
                <w:color w:val="auto"/>
                <w:sz w:val="24"/>
                <w:szCs w:val="24"/>
                <w:highlight w:val="none"/>
              </w:rPr>
            </w:pPr>
          </w:p>
        </w:tc>
      </w:tr>
      <w:tr w14:paraId="2264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5B919A37">
            <w:pPr>
              <w:spacing w:line="440" w:lineRule="exact"/>
              <w:rPr>
                <w:rFonts w:ascii="宋体" w:hAnsi="宋体"/>
                <w:color w:val="auto"/>
                <w:sz w:val="24"/>
                <w:szCs w:val="24"/>
                <w:highlight w:val="none"/>
              </w:rPr>
            </w:pPr>
          </w:p>
        </w:tc>
        <w:tc>
          <w:tcPr>
            <w:tcW w:w="3869" w:type="dxa"/>
            <w:gridSpan w:val="4"/>
            <w:noWrap w:val="0"/>
            <w:vAlign w:val="center"/>
          </w:tcPr>
          <w:p w14:paraId="1193CC9D">
            <w:pPr>
              <w:spacing w:line="440" w:lineRule="exact"/>
              <w:rPr>
                <w:rFonts w:ascii="宋体" w:hAnsi="宋体"/>
                <w:color w:val="auto"/>
                <w:sz w:val="24"/>
                <w:szCs w:val="24"/>
                <w:highlight w:val="none"/>
              </w:rPr>
            </w:pPr>
          </w:p>
        </w:tc>
        <w:tc>
          <w:tcPr>
            <w:tcW w:w="1426" w:type="dxa"/>
            <w:noWrap w:val="0"/>
            <w:vAlign w:val="center"/>
          </w:tcPr>
          <w:p w14:paraId="24945DAC">
            <w:pPr>
              <w:spacing w:line="440" w:lineRule="exact"/>
              <w:rPr>
                <w:rFonts w:ascii="宋体" w:hAnsi="宋体"/>
                <w:color w:val="auto"/>
                <w:sz w:val="24"/>
                <w:szCs w:val="24"/>
                <w:highlight w:val="none"/>
              </w:rPr>
            </w:pPr>
          </w:p>
        </w:tc>
        <w:tc>
          <w:tcPr>
            <w:tcW w:w="2774" w:type="dxa"/>
            <w:gridSpan w:val="2"/>
            <w:noWrap w:val="0"/>
            <w:vAlign w:val="center"/>
          </w:tcPr>
          <w:p w14:paraId="28BE4778">
            <w:pPr>
              <w:spacing w:line="440" w:lineRule="exact"/>
              <w:rPr>
                <w:rFonts w:ascii="宋体" w:hAnsi="宋体"/>
                <w:color w:val="auto"/>
                <w:sz w:val="24"/>
                <w:szCs w:val="24"/>
                <w:highlight w:val="none"/>
              </w:rPr>
            </w:pPr>
          </w:p>
        </w:tc>
      </w:tr>
      <w:tr w14:paraId="52FE5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234F79CD">
            <w:pPr>
              <w:spacing w:line="440" w:lineRule="exact"/>
              <w:rPr>
                <w:rFonts w:ascii="宋体" w:hAnsi="宋体"/>
                <w:color w:val="auto"/>
                <w:sz w:val="24"/>
                <w:szCs w:val="24"/>
                <w:highlight w:val="none"/>
              </w:rPr>
            </w:pPr>
          </w:p>
        </w:tc>
        <w:tc>
          <w:tcPr>
            <w:tcW w:w="3869" w:type="dxa"/>
            <w:gridSpan w:val="4"/>
            <w:noWrap w:val="0"/>
            <w:vAlign w:val="center"/>
          </w:tcPr>
          <w:p w14:paraId="2CF72518">
            <w:pPr>
              <w:spacing w:line="440" w:lineRule="exact"/>
              <w:rPr>
                <w:rFonts w:ascii="宋体" w:hAnsi="宋体"/>
                <w:color w:val="auto"/>
                <w:sz w:val="24"/>
                <w:szCs w:val="24"/>
                <w:highlight w:val="none"/>
              </w:rPr>
            </w:pPr>
          </w:p>
        </w:tc>
        <w:tc>
          <w:tcPr>
            <w:tcW w:w="1426" w:type="dxa"/>
            <w:noWrap w:val="0"/>
            <w:vAlign w:val="center"/>
          </w:tcPr>
          <w:p w14:paraId="26B179E7">
            <w:pPr>
              <w:spacing w:line="440" w:lineRule="exact"/>
              <w:rPr>
                <w:rFonts w:ascii="宋体" w:hAnsi="宋体"/>
                <w:color w:val="auto"/>
                <w:sz w:val="24"/>
                <w:szCs w:val="24"/>
                <w:highlight w:val="none"/>
              </w:rPr>
            </w:pPr>
          </w:p>
        </w:tc>
        <w:tc>
          <w:tcPr>
            <w:tcW w:w="2774" w:type="dxa"/>
            <w:gridSpan w:val="2"/>
            <w:noWrap w:val="0"/>
            <w:vAlign w:val="center"/>
          </w:tcPr>
          <w:p w14:paraId="6C9F68EA">
            <w:pPr>
              <w:spacing w:line="440" w:lineRule="exact"/>
              <w:rPr>
                <w:rFonts w:ascii="宋体" w:hAnsi="宋体"/>
                <w:color w:val="auto"/>
                <w:sz w:val="24"/>
                <w:szCs w:val="24"/>
                <w:highlight w:val="none"/>
              </w:rPr>
            </w:pPr>
          </w:p>
        </w:tc>
      </w:tr>
      <w:tr w14:paraId="6F60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7D998D0F">
            <w:pPr>
              <w:spacing w:line="440" w:lineRule="exact"/>
              <w:rPr>
                <w:rFonts w:ascii="宋体" w:hAnsi="宋体"/>
                <w:color w:val="auto"/>
                <w:sz w:val="24"/>
                <w:szCs w:val="24"/>
                <w:highlight w:val="none"/>
              </w:rPr>
            </w:pPr>
          </w:p>
        </w:tc>
        <w:tc>
          <w:tcPr>
            <w:tcW w:w="3869" w:type="dxa"/>
            <w:gridSpan w:val="4"/>
            <w:noWrap w:val="0"/>
            <w:vAlign w:val="center"/>
          </w:tcPr>
          <w:p w14:paraId="7067EE90">
            <w:pPr>
              <w:spacing w:line="440" w:lineRule="exact"/>
              <w:rPr>
                <w:rFonts w:ascii="宋体" w:hAnsi="宋体"/>
                <w:color w:val="auto"/>
                <w:sz w:val="24"/>
                <w:szCs w:val="24"/>
                <w:highlight w:val="none"/>
              </w:rPr>
            </w:pPr>
          </w:p>
        </w:tc>
        <w:tc>
          <w:tcPr>
            <w:tcW w:w="1426" w:type="dxa"/>
            <w:noWrap w:val="0"/>
            <w:vAlign w:val="center"/>
          </w:tcPr>
          <w:p w14:paraId="7BD0393E">
            <w:pPr>
              <w:spacing w:line="440" w:lineRule="exact"/>
              <w:rPr>
                <w:rFonts w:ascii="宋体" w:hAnsi="宋体"/>
                <w:color w:val="auto"/>
                <w:sz w:val="24"/>
                <w:szCs w:val="24"/>
                <w:highlight w:val="none"/>
              </w:rPr>
            </w:pPr>
          </w:p>
        </w:tc>
        <w:tc>
          <w:tcPr>
            <w:tcW w:w="2774" w:type="dxa"/>
            <w:gridSpan w:val="2"/>
            <w:noWrap w:val="0"/>
            <w:vAlign w:val="center"/>
          </w:tcPr>
          <w:p w14:paraId="3316D151">
            <w:pPr>
              <w:spacing w:line="440" w:lineRule="exact"/>
              <w:rPr>
                <w:rFonts w:ascii="宋体" w:hAnsi="宋体"/>
                <w:color w:val="auto"/>
                <w:sz w:val="24"/>
                <w:szCs w:val="24"/>
                <w:highlight w:val="none"/>
              </w:rPr>
            </w:pPr>
          </w:p>
        </w:tc>
      </w:tr>
      <w:tr w14:paraId="7E7C6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47" w:type="dxa"/>
            <w:gridSpan w:val="2"/>
            <w:noWrap w:val="0"/>
            <w:vAlign w:val="center"/>
          </w:tcPr>
          <w:p w14:paraId="40111D08">
            <w:pPr>
              <w:spacing w:line="440" w:lineRule="exact"/>
              <w:rPr>
                <w:rFonts w:ascii="宋体" w:hAnsi="宋体"/>
                <w:color w:val="auto"/>
                <w:sz w:val="24"/>
                <w:szCs w:val="24"/>
                <w:highlight w:val="none"/>
              </w:rPr>
            </w:pPr>
          </w:p>
        </w:tc>
        <w:tc>
          <w:tcPr>
            <w:tcW w:w="3869" w:type="dxa"/>
            <w:gridSpan w:val="4"/>
            <w:noWrap w:val="0"/>
            <w:vAlign w:val="center"/>
          </w:tcPr>
          <w:p w14:paraId="57BC05D2">
            <w:pPr>
              <w:spacing w:line="440" w:lineRule="exact"/>
              <w:rPr>
                <w:rFonts w:ascii="宋体" w:hAnsi="宋体"/>
                <w:color w:val="auto"/>
                <w:sz w:val="24"/>
                <w:szCs w:val="24"/>
                <w:highlight w:val="none"/>
              </w:rPr>
            </w:pPr>
          </w:p>
        </w:tc>
        <w:tc>
          <w:tcPr>
            <w:tcW w:w="1426" w:type="dxa"/>
            <w:noWrap w:val="0"/>
            <w:vAlign w:val="center"/>
          </w:tcPr>
          <w:p w14:paraId="5A9B706A">
            <w:pPr>
              <w:spacing w:line="440" w:lineRule="exact"/>
              <w:rPr>
                <w:rFonts w:ascii="宋体" w:hAnsi="宋体"/>
                <w:color w:val="auto"/>
                <w:sz w:val="24"/>
                <w:szCs w:val="24"/>
                <w:highlight w:val="none"/>
              </w:rPr>
            </w:pPr>
          </w:p>
        </w:tc>
        <w:tc>
          <w:tcPr>
            <w:tcW w:w="2774" w:type="dxa"/>
            <w:gridSpan w:val="2"/>
            <w:noWrap w:val="0"/>
            <w:vAlign w:val="center"/>
          </w:tcPr>
          <w:p w14:paraId="1350442F">
            <w:pPr>
              <w:spacing w:line="440" w:lineRule="exact"/>
              <w:rPr>
                <w:rFonts w:ascii="宋体" w:hAnsi="宋体"/>
                <w:color w:val="auto"/>
                <w:sz w:val="24"/>
                <w:szCs w:val="24"/>
                <w:highlight w:val="none"/>
              </w:rPr>
            </w:pPr>
          </w:p>
        </w:tc>
      </w:tr>
    </w:tbl>
    <w:p w14:paraId="63DF3FB0">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outlineLvl w:val="1"/>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注：（1）根据“施工现场专业（管理）人员配备表”</w:t>
      </w:r>
      <w:r>
        <w:rPr>
          <w:rFonts w:hint="eastAsia" w:ascii="宋体" w:hAnsi="宋体"/>
          <w:color w:val="auto"/>
          <w:sz w:val="21"/>
          <w:szCs w:val="21"/>
          <w:highlight w:val="none"/>
        </w:rPr>
        <w:t>主要人员填写此表</w:t>
      </w:r>
      <w:r>
        <w:rPr>
          <w:rFonts w:hint="eastAsia" w:ascii="宋体" w:hAnsi="宋体"/>
          <w:b/>
          <w:bCs/>
          <w:color w:val="auto"/>
          <w:sz w:val="21"/>
          <w:szCs w:val="21"/>
          <w:highlight w:val="none"/>
        </w:rPr>
        <w:t>（</w:t>
      </w:r>
      <w:r>
        <w:rPr>
          <w:rFonts w:hint="eastAsia" w:ascii="宋体" w:hAnsi="宋体"/>
          <w:b/>
          <w:bCs/>
          <w:color w:val="auto"/>
          <w:sz w:val="21"/>
          <w:szCs w:val="21"/>
          <w:highlight w:val="none"/>
          <w:lang w:eastAsia="zh-CN"/>
        </w:rPr>
        <w:t>除项目经理外，</w:t>
      </w:r>
      <w:r>
        <w:rPr>
          <w:rFonts w:hint="eastAsia" w:ascii="宋体" w:hAnsi="宋体"/>
          <w:b/>
          <w:bCs/>
          <w:color w:val="auto"/>
          <w:sz w:val="21"/>
          <w:szCs w:val="21"/>
          <w:highlight w:val="none"/>
        </w:rPr>
        <w:t>每人填一张</w:t>
      </w:r>
      <w:r>
        <w:rPr>
          <w:rFonts w:hint="eastAsia" w:ascii="宋体" w:hAnsi="宋体"/>
          <w:b/>
          <w:bCs/>
          <w:color w:val="auto"/>
          <w:sz w:val="21"/>
          <w:szCs w:val="21"/>
          <w:highlight w:val="none"/>
          <w:lang w:eastAsia="zh-CN"/>
        </w:rPr>
        <w:t>，项目经理证件资料请附在特定资格要求中</w:t>
      </w:r>
      <w:r>
        <w:rPr>
          <w:rFonts w:hint="eastAsia" w:ascii="宋体" w:hAnsi="宋体"/>
          <w:b/>
          <w:bCs/>
          <w:color w:val="auto"/>
          <w:sz w:val="21"/>
          <w:szCs w:val="21"/>
          <w:highlight w:val="none"/>
        </w:rPr>
        <w:t>）</w:t>
      </w:r>
      <w:r>
        <w:rPr>
          <w:rFonts w:hint="eastAsia" w:ascii="宋体" w:hAnsi="宋体"/>
          <w:color w:val="auto"/>
          <w:sz w:val="21"/>
          <w:szCs w:val="21"/>
          <w:highlight w:val="none"/>
          <w:lang w:val="en-US" w:eastAsia="zh-CN"/>
        </w:rPr>
        <w:t>；</w:t>
      </w:r>
    </w:p>
    <w:p w14:paraId="2EFB45BC">
      <w:pPr>
        <w:keepNext w:val="0"/>
        <w:keepLines w:val="0"/>
        <w:pageBreakBefore w:val="0"/>
        <w:widowControl w:val="0"/>
        <w:kinsoku/>
        <w:overflowPunct/>
        <w:topLinePunct w:val="0"/>
        <w:autoSpaceDE/>
        <w:autoSpaceDN/>
        <w:bidi w:val="0"/>
        <w:adjustRightInd/>
        <w:snapToGrid/>
        <w:spacing w:line="360" w:lineRule="auto"/>
        <w:ind w:firstLine="420" w:firstLineChars="200"/>
        <w:jc w:val="left"/>
        <w:textAlignment w:val="auto"/>
        <w:rPr>
          <w:rFonts w:hint="eastAsia" w:ascii="宋体" w:hAnsi="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2</w:t>
      </w:r>
      <w:r>
        <w:rPr>
          <w:rFonts w:hint="eastAsia" w:ascii="宋体" w:hAnsi="宋体"/>
          <w:color w:val="auto"/>
          <w:sz w:val="21"/>
          <w:szCs w:val="21"/>
          <w:highlight w:val="none"/>
          <w:lang w:eastAsia="zh-CN"/>
        </w:rPr>
        <w:t>）</w:t>
      </w:r>
      <w:r>
        <w:rPr>
          <w:rFonts w:hint="eastAsia" w:ascii="宋体" w:hAnsi="宋体"/>
          <w:color w:val="auto"/>
          <w:sz w:val="21"/>
          <w:szCs w:val="21"/>
          <w:highlight w:val="none"/>
        </w:rPr>
        <w:t>简历表后应附相应人员的身份证、学历证、职称证</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如有</w:t>
      </w:r>
      <w:r>
        <w:rPr>
          <w:rFonts w:hint="eastAsia" w:ascii="宋体" w:hAnsi="宋体"/>
          <w:color w:val="auto"/>
          <w:sz w:val="21"/>
          <w:szCs w:val="21"/>
          <w:highlight w:val="none"/>
          <w:lang w:eastAsia="zh-CN"/>
        </w:rPr>
        <w:t>）</w:t>
      </w:r>
      <w:r>
        <w:rPr>
          <w:rFonts w:hint="eastAsia" w:ascii="宋体" w:hAnsi="宋体"/>
          <w:color w:val="auto"/>
          <w:sz w:val="21"/>
          <w:szCs w:val="21"/>
          <w:highlight w:val="none"/>
          <w:lang w:val="en-US" w:eastAsia="zh-CN"/>
        </w:rPr>
        <w:t>、职业/</w:t>
      </w:r>
      <w:r>
        <w:rPr>
          <w:rFonts w:hint="eastAsia" w:ascii="宋体" w:hAnsi="宋体"/>
          <w:color w:val="auto"/>
          <w:sz w:val="21"/>
          <w:szCs w:val="21"/>
          <w:highlight w:val="none"/>
        </w:rPr>
        <w:t>执业资格</w:t>
      </w:r>
      <w:r>
        <w:rPr>
          <w:rFonts w:hint="eastAsia" w:ascii="宋体" w:hAnsi="宋体"/>
          <w:color w:val="auto"/>
          <w:sz w:val="21"/>
          <w:szCs w:val="21"/>
          <w:highlight w:val="none"/>
          <w:lang w:eastAsia="zh-CN"/>
        </w:rPr>
        <w:t>、</w:t>
      </w:r>
      <w:r>
        <w:rPr>
          <w:rFonts w:hint="eastAsia" w:ascii="宋体" w:hAnsi="宋体"/>
          <w:color w:val="auto"/>
          <w:sz w:val="21"/>
          <w:szCs w:val="21"/>
          <w:highlight w:val="none"/>
        </w:rPr>
        <w:t>拟任岗位相关证件</w:t>
      </w:r>
      <w:r>
        <w:rPr>
          <w:rFonts w:hint="eastAsia" w:ascii="宋体" w:hAnsi="宋体"/>
          <w:color w:val="auto"/>
          <w:sz w:val="21"/>
          <w:szCs w:val="21"/>
          <w:highlight w:val="none"/>
          <w:lang w:eastAsia="zh-CN"/>
        </w:rPr>
        <w:t>、社保证明或有效劳动合同</w:t>
      </w:r>
      <w:r>
        <w:rPr>
          <w:rFonts w:hint="eastAsia" w:ascii="宋体" w:hAnsi="宋体"/>
          <w:color w:val="auto"/>
          <w:sz w:val="21"/>
          <w:szCs w:val="21"/>
          <w:highlight w:val="none"/>
        </w:rPr>
        <w:t>等</w:t>
      </w:r>
      <w:r>
        <w:rPr>
          <w:rFonts w:hint="eastAsia" w:ascii="宋体" w:hAnsi="宋体"/>
          <w:color w:val="auto"/>
          <w:sz w:val="21"/>
          <w:szCs w:val="21"/>
          <w:highlight w:val="none"/>
          <w:lang w:val="en-US" w:eastAsia="zh-CN"/>
        </w:rPr>
        <w:t>的扫描件或复印件。</w:t>
      </w:r>
    </w:p>
    <w:p w14:paraId="39A4BD67">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五、具有依法缴纳税收和社会保障资金的良好记录</w:t>
      </w:r>
    </w:p>
    <w:p w14:paraId="762445AE">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20" w:firstLineChars="200"/>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提供2025年1月至今任意1个月依法缴纳税收和缴纳社会保障资金的证明（成立未满1个月的提供成立以来的税收和社会保障资金缴纳凭证或相关情况说明；依法免税或不需要缴纳社会保障资金的供应商，应提供文件证明其依法免税或不需要缴纳社会保障资金）。</w:t>
      </w:r>
    </w:p>
    <w:p w14:paraId="03A358DD">
      <w:pPr>
        <w:pStyle w:val="13"/>
        <w:keepNext w:val="0"/>
        <w:keepLines w:val="0"/>
        <w:pageBreakBefore w:val="0"/>
        <w:widowControl w:val="0"/>
        <w:kinsoku/>
        <w:wordWrap/>
        <w:overflowPunct/>
        <w:topLinePunct w:val="0"/>
        <w:autoSpaceDE/>
        <w:autoSpaceDN/>
        <w:bidi w:val="0"/>
        <w:adjustRightInd/>
        <w:snapToGrid/>
        <w:spacing w:line="500" w:lineRule="exact"/>
        <w:ind w:left="0" w:leftChars="0" w:firstLine="422" w:firstLineChars="200"/>
        <w:textAlignment w:val="auto"/>
        <w:rPr>
          <w:rFonts w:hint="eastAsia" w:ascii="宋体" w:hAnsi="宋体" w:eastAsia="宋体" w:cs="宋体"/>
          <w:color w:val="auto"/>
          <w:sz w:val="21"/>
          <w:szCs w:val="21"/>
          <w:highlight w:val="none"/>
        </w:rPr>
      </w:pPr>
      <w:r>
        <w:rPr>
          <w:rFonts w:hint="eastAsia" w:ascii="宋体" w:hAnsi="宋体" w:cs="宋体"/>
          <w:b/>
          <w:bCs/>
          <w:color w:val="auto"/>
          <w:kern w:val="2"/>
          <w:sz w:val="21"/>
          <w:lang w:val="en-US" w:eastAsia="zh-CN"/>
        </w:rPr>
        <w:t>附：证明材料的扫描件或复印件。</w:t>
      </w:r>
    </w:p>
    <w:p w14:paraId="164105A1">
      <w:pPr>
        <w:pStyle w:val="39"/>
        <w:ind w:firstLine="528"/>
        <w:rPr>
          <w:color w:val="auto"/>
          <w:highlight w:val="none"/>
        </w:rPr>
      </w:pPr>
    </w:p>
    <w:p w14:paraId="50BCBDEF">
      <w:pPr>
        <w:keepNext/>
        <w:keepLines/>
        <w:autoSpaceDE w:val="0"/>
        <w:autoSpaceDN w:val="0"/>
        <w:adjustRightInd w:val="0"/>
        <w:snapToGrid w:val="0"/>
        <w:spacing w:line="360" w:lineRule="auto"/>
        <w:jc w:val="center"/>
        <w:outlineLvl w:val="3"/>
        <w:rPr>
          <w:rFonts w:hint="eastAsia" w:ascii="宋体" w:hAnsi="宋体" w:cs="宋体"/>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3651A1EA">
      <w:pPr>
        <w:pStyle w:val="41"/>
        <w:jc w:val="center"/>
        <w:rPr>
          <w:rFonts w:hint="eastAsia" w:asciiTheme="minorEastAsia" w:hAnsiTheme="minorEastAsia" w:eastAsiaTheme="minorEastAsia" w:cstheme="minorEastAsia"/>
          <w:b/>
          <w:color w:val="auto"/>
          <w:sz w:val="30"/>
          <w:szCs w:val="30"/>
          <w:highlight w:val="none"/>
          <w:lang w:eastAsia="zh-CN"/>
        </w:rPr>
      </w:pPr>
      <w:r>
        <w:rPr>
          <w:rFonts w:hint="eastAsia" w:asciiTheme="minorEastAsia" w:hAnsiTheme="minorEastAsia" w:eastAsiaTheme="minorEastAsia" w:cstheme="minorEastAsia"/>
          <w:b/>
          <w:color w:val="auto"/>
          <w:sz w:val="30"/>
          <w:szCs w:val="30"/>
          <w:highlight w:val="none"/>
          <w:lang w:val="en-US" w:eastAsia="zh-CN"/>
        </w:rPr>
        <w:t>六、</w:t>
      </w:r>
      <w:r>
        <w:rPr>
          <w:rFonts w:hint="eastAsia" w:asciiTheme="minorEastAsia" w:hAnsiTheme="minorEastAsia" w:eastAsiaTheme="minorEastAsia" w:cstheme="minorEastAsia"/>
          <w:b/>
          <w:color w:val="auto"/>
          <w:sz w:val="30"/>
          <w:szCs w:val="30"/>
          <w:highlight w:val="none"/>
          <w:lang w:eastAsia="zh-CN"/>
        </w:rPr>
        <w:t>无重大违法记录声明</w:t>
      </w:r>
    </w:p>
    <w:p w14:paraId="10EE45A2">
      <w:pPr>
        <w:keepNext/>
        <w:keepLines/>
        <w:pageBreakBefore w:val="0"/>
        <w:widowControl w:val="0"/>
        <w:kinsoku/>
        <w:wordWrap/>
        <w:overflowPunct/>
        <w:topLinePunct w:val="0"/>
        <w:autoSpaceDE w:val="0"/>
        <w:autoSpaceDN w:val="0"/>
        <w:bidi w:val="0"/>
        <w:adjustRightInd w:val="0"/>
        <w:snapToGrid w:val="0"/>
        <w:spacing w:before="157" w:beforeLines="50" w:after="157" w:afterLines="50" w:line="240" w:lineRule="auto"/>
        <w:jc w:val="center"/>
        <w:textAlignment w:val="auto"/>
        <w:outlineLvl w:val="3"/>
        <w:rPr>
          <w:rFonts w:hint="eastAsia" w:asciiTheme="minorEastAsia" w:hAnsiTheme="minorEastAsia" w:eastAsiaTheme="minorEastAsia" w:cstheme="minorEastAsia"/>
          <w:b/>
          <w:color w:val="auto"/>
          <w:sz w:val="28"/>
          <w:szCs w:val="28"/>
          <w:highlight w:val="none"/>
          <w:lang w:val="zh-CN" w:eastAsia="zh-CN"/>
        </w:rPr>
      </w:pPr>
      <w:r>
        <w:rPr>
          <w:rFonts w:hint="eastAsia" w:asciiTheme="minorEastAsia" w:hAnsiTheme="minorEastAsia" w:eastAsiaTheme="minorEastAsia" w:cstheme="minorEastAsia"/>
          <w:b/>
          <w:color w:val="auto"/>
          <w:sz w:val="28"/>
          <w:szCs w:val="28"/>
          <w:highlight w:val="none"/>
          <w:lang w:val="zh-CN" w:eastAsia="zh-CN"/>
        </w:rPr>
        <w:t>三年内在经营活动中没有重大违法记录声明</w:t>
      </w:r>
    </w:p>
    <w:p w14:paraId="08DD0D89">
      <w:pPr>
        <w:pageBreakBefore w:val="0"/>
        <w:kinsoku/>
        <w:wordWrap w:val="0"/>
        <w:topLinePunct w:val="0"/>
        <w:bidi w:val="0"/>
        <w:spacing w:line="440" w:lineRule="exact"/>
        <w:rPr>
          <w:rFonts w:hint="eastAsia" w:asciiTheme="minorEastAsia" w:hAnsiTheme="minorEastAsia" w:eastAsiaTheme="minorEastAsia" w:cstheme="minorEastAsia"/>
          <w:color w:val="auto"/>
          <w:sz w:val="24"/>
          <w:highlight w:val="none"/>
        </w:rPr>
      </w:pPr>
    </w:p>
    <w:p w14:paraId="46D003A5">
      <w:pPr>
        <w:pageBreakBefore w:val="0"/>
        <w:kinsoku/>
        <w:wordWrap w:val="0"/>
        <w:topLinePunct w:val="0"/>
        <w:bidi w:val="0"/>
        <w:spacing w:line="440" w:lineRule="exact"/>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致</w:t>
      </w:r>
      <w:r>
        <w:rPr>
          <w:rFonts w:hint="eastAsia" w:asciiTheme="minorEastAsia" w:hAnsiTheme="minorEastAsia" w:eastAsiaTheme="minorEastAsia" w:cstheme="minorEastAsia"/>
          <w:color w:val="auto"/>
          <w:sz w:val="21"/>
          <w:szCs w:val="21"/>
          <w:highlight w:val="none"/>
          <w:u w:val="single"/>
        </w:rPr>
        <w:t xml:space="preserve">        （采购人）        </w:t>
      </w:r>
      <w:r>
        <w:rPr>
          <w:rFonts w:hint="eastAsia" w:asciiTheme="minorEastAsia" w:hAnsiTheme="minorEastAsia" w:eastAsiaTheme="minorEastAsia" w:cstheme="minorEastAsia"/>
          <w:color w:val="auto"/>
          <w:sz w:val="21"/>
          <w:szCs w:val="21"/>
          <w:highlight w:val="none"/>
          <w:u w:val="none"/>
        </w:rPr>
        <w:t xml:space="preserve"> </w:t>
      </w:r>
      <w:r>
        <w:rPr>
          <w:rFonts w:hint="eastAsia" w:asciiTheme="minorEastAsia" w:hAnsiTheme="minorEastAsia" w:eastAsiaTheme="minorEastAsia" w:cstheme="minorEastAsia"/>
          <w:color w:val="auto"/>
          <w:sz w:val="21"/>
          <w:szCs w:val="21"/>
          <w:highlight w:val="none"/>
          <w:u w:val="none"/>
          <w:lang w:eastAsia="zh-CN"/>
        </w:rPr>
        <w:t>：</w:t>
      </w:r>
    </w:p>
    <w:p w14:paraId="64F5F5C4">
      <w:pPr>
        <w:pageBreakBefore w:val="0"/>
        <w:kinsoku/>
        <w:wordWrap w:val="0"/>
        <w:topLinePunct w:val="0"/>
        <w:bidi w:val="0"/>
        <w:spacing w:line="440" w:lineRule="exact"/>
        <w:jc w:val="center"/>
        <w:rPr>
          <w:rFonts w:hint="eastAsia" w:asciiTheme="minorEastAsia" w:hAnsiTheme="minorEastAsia" w:eastAsiaTheme="minorEastAsia" w:cstheme="minorEastAsia"/>
          <w:color w:val="auto"/>
          <w:sz w:val="21"/>
          <w:szCs w:val="21"/>
          <w:highlight w:val="none"/>
        </w:rPr>
      </w:pPr>
    </w:p>
    <w:p w14:paraId="4C483414">
      <w:pPr>
        <w:spacing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供应商自行承诺参加政府采购活动前三年内在经营活动中没有重大违法记录声明</w:t>
      </w:r>
    </w:p>
    <w:p w14:paraId="66646CA2">
      <w:pPr>
        <w:spacing w:line="440" w:lineRule="exact"/>
        <w:jc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b/>
          <w:bCs/>
          <w:color w:val="auto"/>
          <w:sz w:val="21"/>
          <w:szCs w:val="21"/>
          <w:highlight w:val="none"/>
          <w:lang w:eastAsia="zh-CN"/>
        </w:rPr>
        <w:t>内容</w:t>
      </w:r>
      <w:r>
        <w:rPr>
          <w:rFonts w:hint="eastAsia" w:asciiTheme="minorEastAsia" w:hAnsiTheme="minorEastAsia" w:eastAsiaTheme="minorEastAsia" w:cstheme="minorEastAsia"/>
          <w:b/>
          <w:bCs/>
          <w:color w:val="auto"/>
          <w:sz w:val="21"/>
          <w:szCs w:val="21"/>
          <w:highlight w:val="none"/>
        </w:rPr>
        <w:t>自拟）</w:t>
      </w:r>
    </w:p>
    <w:p w14:paraId="1E8D79E6">
      <w:pPr>
        <w:snapToGrid w:val="0"/>
        <w:spacing w:line="480" w:lineRule="auto"/>
        <w:ind w:firstLine="4200"/>
        <w:jc w:val="left"/>
        <w:rPr>
          <w:rFonts w:hint="eastAsia" w:ascii="宋体" w:hAnsi="宋体" w:cs="宋体"/>
          <w:color w:val="auto"/>
          <w:kern w:val="0"/>
          <w:sz w:val="21"/>
          <w:szCs w:val="21"/>
          <w:highlight w:val="none"/>
        </w:rPr>
      </w:pPr>
    </w:p>
    <w:p w14:paraId="228BF6BE">
      <w:pPr>
        <w:pStyle w:val="7"/>
        <w:rPr>
          <w:rFonts w:hint="eastAsia" w:ascii="宋体" w:hAnsi="宋体" w:cs="宋体"/>
          <w:color w:val="auto"/>
          <w:kern w:val="0"/>
          <w:sz w:val="21"/>
          <w:szCs w:val="21"/>
          <w:highlight w:val="none"/>
        </w:rPr>
      </w:pPr>
    </w:p>
    <w:p w14:paraId="0CDB5BEA">
      <w:pPr>
        <w:pStyle w:val="7"/>
        <w:rPr>
          <w:rFonts w:hint="eastAsia" w:ascii="宋体" w:hAnsi="宋体" w:cs="宋体"/>
          <w:color w:val="auto"/>
          <w:kern w:val="0"/>
          <w:sz w:val="21"/>
          <w:szCs w:val="21"/>
          <w:highlight w:val="none"/>
        </w:rPr>
      </w:pPr>
    </w:p>
    <w:p w14:paraId="29A5AEDC">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 w:val="21"/>
          <w:szCs w:val="21"/>
          <w:highlight w:val="none"/>
          <w:lang w:val="en-US" w:eastAsia="zh-CN"/>
        </w:rPr>
        <w:t>加盖单位公章或电子公章</w:t>
      </w:r>
      <w:r>
        <w:rPr>
          <w:rFonts w:hint="eastAsia" w:ascii="宋体" w:hAnsi="宋体" w:cs="宋体"/>
          <w:color w:val="auto"/>
          <w:sz w:val="21"/>
          <w:szCs w:val="21"/>
          <w:highlight w:val="none"/>
        </w:rPr>
        <w:t>）</w:t>
      </w:r>
    </w:p>
    <w:p w14:paraId="1861CEF2">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rPr>
        <w:t>法定代表人或其委托代理人：</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49CE76CE">
      <w:pPr>
        <w:pStyle w:val="13"/>
        <w:ind w:left="840" w:leftChars="400" w:firstLine="0" w:firstLineChars="0"/>
        <w:jc w:val="center"/>
        <w:rPr>
          <w:rFonts w:hint="eastAsia" w:ascii="宋体" w:hAnsi="宋体" w:cs="宋体"/>
          <w:color w:val="auto"/>
          <w:sz w:val="21"/>
          <w:szCs w:val="21"/>
          <w:highlight w:val="none"/>
        </w:rPr>
        <w:sectPr>
          <w:pgSz w:w="11906" w:h="16838"/>
          <w:pgMar w:top="1440" w:right="1080" w:bottom="1440" w:left="1080" w:header="851" w:footer="992" w:gutter="0"/>
          <w:pgNumType w:fmt="decimal"/>
          <w:cols w:space="720" w:num="1"/>
          <w:titlePg/>
          <w:docGrid w:type="lines" w:linePitch="312" w:charSpace="0"/>
        </w:sectPr>
      </w:pP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w:t>
      </w:r>
    </w:p>
    <w:p w14:paraId="21167BD1">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七、法律、行政法规规定的其他条件</w:t>
      </w:r>
    </w:p>
    <w:p w14:paraId="2D20DFA9">
      <w:pPr>
        <w:pStyle w:val="13"/>
        <w:pageBreakBefore w:val="0"/>
        <w:kinsoku/>
        <w:wordWrap/>
        <w:topLinePunct w:val="0"/>
        <w:bidi w:val="0"/>
        <w:snapToGrid/>
        <w:spacing w:line="44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①单位负责人为同一人或者存在直接控股、管理关系的不同供应商，不得参加同一合同项下的政府采购活动。</w:t>
      </w:r>
      <w:r>
        <w:rPr>
          <w:rFonts w:hint="eastAsia" w:ascii="宋体" w:hAnsi="宋体" w:cs="宋体"/>
          <w:b/>
          <w:bCs/>
          <w:color w:val="auto"/>
          <w:sz w:val="21"/>
          <w:szCs w:val="21"/>
          <w:highlight w:val="none"/>
          <w:lang w:val="en-US" w:eastAsia="zh-CN"/>
        </w:rPr>
        <w:t>（自行承诺，内容自拟）</w:t>
      </w:r>
    </w:p>
    <w:p w14:paraId="642B55C1">
      <w:pPr>
        <w:pStyle w:val="13"/>
        <w:pageBreakBefore w:val="0"/>
        <w:kinsoku/>
        <w:wordWrap/>
        <w:topLinePunct w:val="0"/>
        <w:bidi w:val="0"/>
        <w:snapToGrid/>
        <w:spacing w:line="440" w:lineRule="exact"/>
        <w:ind w:left="0" w:leftChars="0"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②为采购项目提供整体设计、规范编制或者项目管理、监理、检测等服务的供应商，不得再参加该采购项目的其他采购活动。</w:t>
      </w:r>
      <w:r>
        <w:rPr>
          <w:rFonts w:hint="eastAsia" w:ascii="宋体" w:hAnsi="宋体" w:cs="宋体"/>
          <w:b/>
          <w:bCs/>
          <w:color w:val="auto"/>
          <w:sz w:val="21"/>
          <w:szCs w:val="21"/>
          <w:highlight w:val="none"/>
          <w:lang w:val="en-US" w:eastAsia="zh-CN"/>
        </w:rPr>
        <w:t>（自行承诺，内容自拟）</w:t>
      </w:r>
    </w:p>
    <w:p w14:paraId="44F6A115">
      <w:pPr>
        <w:pStyle w:val="39"/>
        <w:rPr>
          <w:color w:val="auto"/>
          <w:highlight w:val="none"/>
          <w:lang w:val="zh-CN"/>
        </w:rPr>
      </w:pPr>
    </w:p>
    <w:p w14:paraId="55E7D738">
      <w:pPr>
        <w:pStyle w:val="13"/>
        <w:ind w:left="840" w:leftChars="400" w:firstLine="0" w:firstLineChars="0"/>
        <w:jc w:val="center"/>
        <w:rPr>
          <w:rFonts w:ascii="宋体" w:hAnsi="宋体" w:cs="宋体"/>
          <w:b/>
          <w:color w:val="auto"/>
          <w:kern w:val="0"/>
          <w:sz w:val="28"/>
          <w:szCs w:val="28"/>
          <w:highlight w:val="none"/>
          <w:lang w:val="zh-CN"/>
        </w:rPr>
      </w:pPr>
    </w:p>
    <w:p w14:paraId="0BCE4A2F">
      <w:pPr>
        <w:pStyle w:val="13"/>
        <w:ind w:left="840" w:leftChars="400" w:firstLine="0" w:firstLineChars="0"/>
        <w:jc w:val="center"/>
        <w:rPr>
          <w:rFonts w:ascii="宋体" w:hAnsi="宋体" w:cs="宋体"/>
          <w:b/>
          <w:color w:val="auto"/>
          <w:kern w:val="0"/>
          <w:sz w:val="28"/>
          <w:szCs w:val="28"/>
          <w:highlight w:val="none"/>
          <w:lang w:val="zh-CN"/>
        </w:rPr>
      </w:pPr>
    </w:p>
    <w:p w14:paraId="5DF1ADEE">
      <w:pPr>
        <w:pStyle w:val="13"/>
        <w:ind w:left="840" w:leftChars="400" w:firstLine="0" w:firstLineChars="0"/>
        <w:jc w:val="center"/>
        <w:rPr>
          <w:rFonts w:ascii="宋体" w:hAnsi="宋体" w:cs="宋体"/>
          <w:b/>
          <w:color w:val="auto"/>
          <w:kern w:val="0"/>
          <w:sz w:val="28"/>
          <w:szCs w:val="28"/>
          <w:highlight w:val="none"/>
          <w:lang w:val="zh-CN"/>
        </w:rPr>
      </w:pPr>
    </w:p>
    <w:p w14:paraId="31439E3F">
      <w:pPr>
        <w:pStyle w:val="13"/>
        <w:ind w:left="840" w:leftChars="400" w:firstLine="0" w:firstLineChars="0"/>
        <w:jc w:val="center"/>
        <w:rPr>
          <w:rFonts w:ascii="宋体" w:hAnsi="宋体" w:cs="宋体"/>
          <w:b/>
          <w:color w:val="auto"/>
          <w:kern w:val="0"/>
          <w:sz w:val="28"/>
          <w:szCs w:val="28"/>
          <w:highlight w:val="none"/>
          <w:lang w:val="zh-CN"/>
        </w:rPr>
      </w:pPr>
    </w:p>
    <w:p w14:paraId="56B84E11">
      <w:pPr>
        <w:pStyle w:val="13"/>
        <w:ind w:left="840" w:leftChars="400" w:firstLine="0" w:firstLineChars="0"/>
        <w:jc w:val="center"/>
        <w:rPr>
          <w:rFonts w:ascii="宋体" w:hAnsi="宋体" w:cs="宋体"/>
          <w:b/>
          <w:color w:val="auto"/>
          <w:kern w:val="0"/>
          <w:sz w:val="28"/>
          <w:szCs w:val="28"/>
          <w:highlight w:val="none"/>
          <w:lang w:val="zh-CN"/>
        </w:rPr>
      </w:pPr>
    </w:p>
    <w:p w14:paraId="38CC0757">
      <w:pPr>
        <w:pStyle w:val="13"/>
        <w:ind w:left="840" w:leftChars="400" w:firstLine="0" w:firstLineChars="0"/>
        <w:jc w:val="center"/>
        <w:rPr>
          <w:rFonts w:ascii="宋体" w:hAnsi="宋体" w:cs="宋体"/>
          <w:b/>
          <w:color w:val="auto"/>
          <w:kern w:val="0"/>
          <w:sz w:val="28"/>
          <w:szCs w:val="28"/>
          <w:highlight w:val="none"/>
          <w:lang w:val="zh-CN"/>
        </w:rPr>
      </w:pPr>
    </w:p>
    <w:p w14:paraId="748B01A0">
      <w:pPr>
        <w:pStyle w:val="13"/>
        <w:ind w:left="840" w:leftChars="400" w:firstLine="0" w:firstLineChars="0"/>
        <w:jc w:val="center"/>
        <w:rPr>
          <w:rFonts w:ascii="宋体" w:hAnsi="宋体" w:cs="宋体"/>
          <w:b/>
          <w:color w:val="auto"/>
          <w:kern w:val="0"/>
          <w:sz w:val="28"/>
          <w:szCs w:val="28"/>
          <w:highlight w:val="none"/>
          <w:lang w:val="zh-CN"/>
        </w:rPr>
        <w:sectPr>
          <w:pgSz w:w="11906" w:h="16838"/>
          <w:pgMar w:top="1440" w:right="1080" w:bottom="1440" w:left="1080" w:header="851" w:footer="992" w:gutter="0"/>
          <w:pgNumType w:fmt="decimal"/>
          <w:cols w:space="720" w:num="1"/>
          <w:titlePg/>
          <w:docGrid w:type="lines" w:linePitch="312" w:charSpace="0"/>
        </w:sectPr>
      </w:pPr>
    </w:p>
    <w:p w14:paraId="7E35EA30">
      <w:pPr>
        <w:pStyle w:val="41"/>
        <w:jc w:val="center"/>
        <w:rPr>
          <w:rFonts w:hint="eastAsia"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b/>
          <w:color w:val="auto"/>
          <w:sz w:val="30"/>
          <w:szCs w:val="30"/>
          <w:highlight w:val="none"/>
          <w:lang w:val="en-US" w:eastAsia="zh-CN"/>
        </w:rPr>
        <w:t>八、特定资格要求</w:t>
      </w:r>
    </w:p>
    <w:p w14:paraId="181FCFB5">
      <w:pPr>
        <w:pStyle w:val="13"/>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kern w:val="2"/>
          <w:sz w:val="21"/>
          <w:szCs w:val="21"/>
          <w:highlight w:val="none"/>
          <w:lang w:val="en-US" w:eastAsia="zh-CN" w:bidi="ar-SA"/>
        </w:rPr>
        <w:t>1.企业资质：</w:t>
      </w:r>
      <w:r>
        <w:rPr>
          <w:rFonts w:hint="eastAsia" w:ascii="宋体" w:hAnsi="宋体" w:cs="宋体"/>
          <w:color w:val="auto"/>
          <w:sz w:val="21"/>
          <w:szCs w:val="21"/>
          <w:highlight w:val="none"/>
          <w:lang w:eastAsia="zh-CN"/>
        </w:rPr>
        <w:t>供应商须具备建设行政主管部门颁发的建筑工程施工总承包叁级及以上资质</w:t>
      </w:r>
      <w:r>
        <w:rPr>
          <w:rFonts w:hint="eastAsia" w:asciiTheme="majorEastAsia" w:hAnsiTheme="majorEastAsia" w:eastAsiaTheme="majorEastAsia" w:cstheme="majorEastAsia"/>
          <w:b/>
          <w:bCs/>
          <w:color w:val="auto"/>
          <w:kern w:val="2"/>
          <w:sz w:val="21"/>
          <w:szCs w:val="21"/>
          <w:highlight w:val="none"/>
          <w:lang w:val="en-US" w:eastAsia="zh-CN" w:bidi="ar-SA"/>
        </w:rPr>
        <w:t>（提供企业资质证书的扫描件或复印件）</w:t>
      </w:r>
    </w:p>
    <w:p w14:paraId="3F2CE78B">
      <w:pPr>
        <w:pStyle w:val="13"/>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Theme="majorEastAsia" w:hAnsiTheme="majorEastAsia" w:eastAsiaTheme="majorEastAsia" w:cstheme="majorEastAsia"/>
          <w:color w:val="auto"/>
          <w:kern w:val="2"/>
          <w:sz w:val="21"/>
          <w:szCs w:val="21"/>
          <w:highlight w:val="none"/>
          <w:lang w:val="en-US" w:eastAsia="zh-CN" w:bidi="ar-SA"/>
        </w:rPr>
        <w:t>2.安全生产许可证：</w:t>
      </w:r>
      <w:r>
        <w:rPr>
          <w:rFonts w:hint="eastAsia" w:ascii="宋体" w:hAnsi="宋体" w:eastAsia="宋体" w:cs="宋体"/>
          <w:color w:val="auto"/>
          <w:sz w:val="21"/>
          <w:szCs w:val="21"/>
          <w:highlight w:val="none"/>
        </w:rPr>
        <w:t>具备有效</w:t>
      </w:r>
      <w:r>
        <w:rPr>
          <w:rFonts w:hint="eastAsia" w:ascii="宋体" w:hAnsi="宋体" w:cs="宋体"/>
          <w:color w:val="auto"/>
          <w:sz w:val="21"/>
          <w:szCs w:val="21"/>
          <w:highlight w:val="none"/>
          <w:lang w:eastAsia="zh-CN"/>
        </w:rPr>
        <w:t>的</w:t>
      </w:r>
      <w:r>
        <w:rPr>
          <w:rFonts w:hint="eastAsia" w:ascii="宋体" w:hAnsi="宋体" w:eastAsia="宋体" w:cs="宋体"/>
          <w:color w:val="auto"/>
          <w:sz w:val="21"/>
          <w:szCs w:val="21"/>
          <w:highlight w:val="none"/>
        </w:rPr>
        <w:t>安全生产许可证；当前未被建设行政主管部门取消投标资格</w:t>
      </w:r>
      <w:r>
        <w:rPr>
          <w:rFonts w:hint="eastAsia" w:asciiTheme="majorEastAsia" w:hAnsiTheme="majorEastAsia" w:eastAsiaTheme="majorEastAsia" w:cstheme="majorEastAsia"/>
          <w:b/>
          <w:bCs/>
          <w:color w:val="auto"/>
          <w:kern w:val="2"/>
          <w:sz w:val="21"/>
          <w:szCs w:val="21"/>
          <w:highlight w:val="none"/>
          <w:lang w:val="en-US" w:eastAsia="zh-CN" w:bidi="ar-SA"/>
        </w:rPr>
        <w:t>（提供安全生产许可证的扫描件或复印件）</w:t>
      </w:r>
      <w:r>
        <w:rPr>
          <w:rFonts w:hint="eastAsia" w:asciiTheme="majorEastAsia" w:hAnsiTheme="majorEastAsia" w:eastAsiaTheme="majorEastAsia" w:cstheme="majorEastAsia"/>
          <w:color w:val="auto"/>
          <w:kern w:val="2"/>
          <w:sz w:val="21"/>
          <w:szCs w:val="21"/>
          <w:highlight w:val="none"/>
          <w:lang w:val="en-US" w:eastAsia="zh-CN" w:bidi="ar-SA"/>
        </w:rPr>
        <w:t>；</w:t>
      </w:r>
    </w:p>
    <w:p w14:paraId="5492CF9F">
      <w:pPr>
        <w:pStyle w:val="13"/>
        <w:pageBreakBefore w:val="0"/>
        <w:kinsoku/>
        <w:wordWrap w:val="0"/>
        <w:topLinePunct w:val="0"/>
        <w:bidi w:val="0"/>
        <w:spacing w:line="440" w:lineRule="exact"/>
        <w:ind w:left="0" w:leftChars="0" w:firstLine="0" w:firstLineChars="0"/>
        <w:rPr>
          <w:rFonts w:hint="eastAsia" w:asciiTheme="majorEastAsia" w:hAnsiTheme="majorEastAsia" w:eastAsiaTheme="majorEastAsia" w:cstheme="majorEastAsia"/>
          <w:color w:val="auto"/>
          <w:kern w:val="2"/>
          <w:sz w:val="21"/>
          <w:szCs w:val="21"/>
          <w:highlight w:val="none"/>
          <w:lang w:val="en-US" w:eastAsia="zh-CN" w:bidi="ar-SA"/>
        </w:rPr>
      </w:pPr>
      <w:r>
        <w:rPr>
          <w:rFonts w:hint="eastAsia" w:asciiTheme="majorEastAsia" w:hAnsiTheme="majorEastAsia" w:eastAsiaTheme="majorEastAsia" w:cstheme="majorEastAsia"/>
          <w:color w:val="auto"/>
          <w:kern w:val="2"/>
          <w:sz w:val="21"/>
          <w:szCs w:val="21"/>
          <w:highlight w:val="none"/>
          <w:lang w:val="en-US" w:eastAsia="zh-CN" w:bidi="ar-SA"/>
        </w:rPr>
        <w:t>3.</w:t>
      </w:r>
      <w:r>
        <w:rPr>
          <w:rFonts w:hint="eastAsia" w:ascii="宋体" w:hAnsi="宋体" w:cs="宋体"/>
          <w:color w:val="auto"/>
          <w:sz w:val="21"/>
          <w:szCs w:val="21"/>
          <w:highlight w:val="none"/>
          <w:lang w:eastAsia="zh-CN"/>
        </w:rPr>
        <w:t>拟派的建造师（项目经理）必须具有建筑工程专业贰级（含贰级）以上注册建造师资格，具备合格有效的安全生产考核合格证书，承诺无在建工程，且是本单位的在职人员</w:t>
      </w:r>
      <w:r>
        <w:rPr>
          <w:rFonts w:hint="eastAsia" w:asciiTheme="majorEastAsia" w:hAnsiTheme="majorEastAsia" w:eastAsiaTheme="majorEastAsia" w:cstheme="majorEastAsia"/>
          <w:color w:val="auto"/>
          <w:kern w:val="2"/>
          <w:sz w:val="21"/>
          <w:szCs w:val="21"/>
          <w:highlight w:val="none"/>
          <w:lang w:val="en-US" w:eastAsia="zh-CN" w:bidi="ar-SA"/>
        </w:rPr>
        <w:t>。</w:t>
      </w:r>
    </w:p>
    <w:p w14:paraId="7BD802B0">
      <w:pPr>
        <w:keepNext w:val="0"/>
        <w:keepLines w:val="0"/>
        <w:pageBreakBefore w:val="0"/>
        <w:widowControl w:val="0"/>
        <w:kinsoku/>
        <w:wordWrap w:val="0"/>
        <w:overflowPunct/>
        <w:topLinePunct w:val="0"/>
        <w:autoSpaceDE w:val="0"/>
        <w:autoSpaceDN w:val="0"/>
        <w:bidi w:val="0"/>
        <w:adjustRightInd w:val="0"/>
        <w:snapToGrid/>
        <w:spacing w:before="313" w:beforeLines="100" w:after="157" w:afterLines="50" w:line="360" w:lineRule="auto"/>
        <w:jc w:val="center"/>
        <w:textAlignment w:val="auto"/>
        <w:rPr>
          <w:rFonts w:hint="eastAsia"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项目经理简历表</w:t>
      </w:r>
    </w:p>
    <w:tbl>
      <w:tblPr>
        <w:tblStyle w:val="25"/>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454"/>
        <w:gridCol w:w="1971"/>
        <w:gridCol w:w="1580"/>
        <w:gridCol w:w="1560"/>
        <w:gridCol w:w="1301"/>
        <w:gridCol w:w="1718"/>
      </w:tblGrid>
      <w:tr w14:paraId="2D67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3A71598B">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5B130EBD">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1C24EE30">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性别</w:t>
            </w:r>
          </w:p>
        </w:tc>
        <w:tc>
          <w:tcPr>
            <w:tcW w:w="1560" w:type="dxa"/>
            <w:tcBorders>
              <w:top w:val="single" w:color="auto" w:sz="4" w:space="0"/>
              <w:left w:val="single" w:color="auto" w:sz="4" w:space="0"/>
              <w:bottom w:val="single" w:color="auto" w:sz="4" w:space="0"/>
              <w:right w:val="single" w:color="auto" w:sz="4" w:space="0"/>
            </w:tcBorders>
            <w:vAlign w:val="center"/>
          </w:tcPr>
          <w:p w14:paraId="2CFDB30A">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F7254B5">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年龄</w:t>
            </w:r>
          </w:p>
        </w:tc>
        <w:tc>
          <w:tcPr>
            <w:tcW w:w="1718" w:type="dxa"/>
            <w:tcBorders>
              <w:top w:val="single" w:color="auto" w:sz="4" w:space="0"/>
              <w:left w:val="single" w:color="auto" w:sz="4" w:space="0"/>
              <w:bottom w:val="single" w:color="auto" w:sz="4" w:space="0"/>
              <w:right w:val="single" w:color="auto" w:sz="4" w:space="0"/>
            </w:tcBorders>
            <w:vAlign w:val="center"/>
          </w:tcPr>
          <w:p w14:paraId="055AE961">
            <w:pPr>
              <w:pageBreakBefore w:val="0"/>
              <w:kinsoku/>
              <w:wordWrap w:val="0"/>
              <w:topLinePunct w:val="0"/>
              <w:bidi w:val="0"/>
              <w:jc w:val="center"/>
              <w:rPr>
                <w:rFonts w:hint="eastAsia" w:ascii="宋体" w:hAnsi="宋体" w:eastAsia="宋体" w:cs="宋体"/>
                <w:color w:val="auto"/>
                <w:sz w:val="21"/>
                <w:szCs w:val="21"/>
                <w:highlight w:val="none"/>
              </w:rPr>
            </w:pPr>
          </w:p>
        </w:tc>
      </w:tr>
      <w:tr w14:paraId="3228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319" w:type="dxa"/>
            <w:tcBorders>
              <w:top w:val="single" w:color="auto" w:sz="4" w:space="0"/>
              <w:left w:val="single" w:color="auto" w:sz="4" w:space="0"/>
              <w:bottom w:val="single" w:color="auto" w:sz="4" w:space="0"/>
              <w:right w:val="single" w:color="auto" w:sz="4" w:space="0"/>
            </w:tcBorders>
            <w:vAlign w:val="center"/>
          </w:tcPr>
          <w:p w14:paraId="2B66BF5F">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2425" w:type="dxa"/>
            <w:gridSpan w:val="2"/>
            <w:tcBorders>
              <w:top w:val="single" w:color="auto" w:sz="4" w:space="0"/>
              <w:left w:val="single" w:color="auto" w:sz="4" w:space="0"/>
              <w:bottom w:val="single" w:color="auto" w:sz="4" w:space="0"/>
              <w:right w:val="single" w:color="auto" w:sz="4" w:space="0"/>
            </w:tcBorders>
            <w:vAlign w:val="center"/>
          </w:tcPr>
          <w:p w14:paraId="71D6C3BC">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339B990E">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560" w:type="dxa"/>
            <w:tcBorders>
              <w:top w:val="single" w:color="auto" w:sz="4" w:space="0"/>
              <w:left w:val="single" w:color="auto" w:sz="4" w:space="0"/>
              <w:bottom w:val="single" w:color="auto" w:sz="4" w:space="0"/>
              <w:right w:val="single" w:color="auto" w:sz="4" w:space="0"/>
            </w:tcBorders>
            <w:vAlign w:val="center"/>
          </w:tcPr>
          <w:p w14:paraId="6B54EB0E">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761E4C41">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学历</w:t>
            </w:r>
          </w:p>
        </w:tc>
        <w:tc>
          <w:tcPr>
            <w:tcW w:w="1718" w:type="dxa"/>
            <w:tcBorders>
              <w:top w:val="single" w:color="auto" w:sz="4" w:space="0"/>
              <w:left w:val="single" w:color="auto" w:sz="4" w:space="0"/>
              <w:bottom w:val="single" w:color="auto" w:sz="4" w:space="0"/>
              <w:right w:val="single" w:color="auto" w:sz="4" w:space="0"/>
            </w:tcBorders>
            <w:vAlign w:val="center"/>
          </w:tcPr>
          <w:p w14:paraId="1B972B8D">
            <w:pPr>
              <w:pageBreakBefore w:val="0"/>
              <w:kinsoku/>
              <w:wordWrap w:val="0"/>
              <w:topLinePunct w:val="0"/>
              <w:bidi w:val="0"/>
              <w:jc w:val="center"/>
              <w:rPr>
                <w:rFonts w:hint="eastAsia" w:ascii="宋体" w:hAnsi="宋体" w:eastAsia="宋体" w:cs="宋体"/>
                <w:color w:val="auto"/>
                <w:sz w:val="21"/>
                <w:szCs w:val="21"/>
                <w:highlight w:val="none"/>
              </w:rPr>
            </w:pPr>
          </w:p>
        </w:tc>
      </w:tr>
      <w:tr w14:paraId="5322D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744" w:type="dxa"/>
            <w:gridSpan w:val="3"/>
            <w:tcBorders>
              <w:top w:val="single" w:color="auto" w:sz="4" w:space="0"/>
              <w:left w:val="single" w:color="auto" w:sz="4" w:space="0"/>
              <w:bottom w:val="single" w:color="auto" w:sz="4" w:space="0"/>
              <w:right w:val="single" w:color="auto" w:sz="4" w:space="0"/>
            </w:tcBorders>
            <w:vAlign w:val="center"/>
          </w:tcPr>
          <w:p w14:paraId="0EEF54D1">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参加工作时间</w:t>
            </w:r>
          </w:p>
        </w:tc>
        <w:tc>
          <w:tcPr>
            <w:tcW w:w="1580" w:type="dxa"/>
            <w:tcBorders>
              <w:top w:val="single" w:color="auto" w:sz="4" w:space="0"/>
              <w:left w:val="single" w:color="auto" w:sz="4" w:space="0"/>
              <w:bottom w:val="single" w:color="auto" w:sz="4" w:space="0"/>
              <w:right w:val="single" w:color="auto" w:sz="4" w:space="0"/>
            </w:tcBorders>
            <w:vAlign w:val="center"/>
          </w:tcPr>
          <w:p w14:paraId="3E2377EF">
            <w:pPr>
              <w:pageBreakBefore w:val="0"/>
              <w:kinsoku/>
              <w:wordWrap w:val="0"/>
              <w:topLinePunct w:val="0"/>
              <w:bidi w:val="0"/>
              <w:jc w:val="center"/>
              <w:rPr>
                <w:rFonts w:hint="eastAsia" w:ascii="宋体" w:hAnsi="宋体" w:eastAsia="宋体" w:cs="宋体"/>
                <w:color w:val="auto"/>
                <w:sz w:val="21"/>
                <w:szCs w:val="21"/>
                <w:highlight w:val="none"/>
              </w:rPr>
            </w:pPr>
          </w:p>
        </w:tc>
        <w:tc>
          <w:tcPr>
            <w:tcW w:w="2861" w:type="dxa"/>
            <w:gridSpan w:val="2"/>
            <w:tcBorders>
              <w:top w:val="single" w:color="auto" w:sz="4" w:space="0"/>
              <w:left w:val="single" w:color="auto" w:sz="4" w:space="0"/>
              <w:bottom w:val="single" w:color="auto" w:sz="4" w:space="0"/>
              <w:right w:val="single" w:color="auto" w:sz="4" w:space="0"/>
            </w:tcBorders>
            <w:vAlign w:val="center"/>
          </w:tcPr>
          <w:p w14:paraId="1BE7D480">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担任项目经理(建造师)年限</w:t>
            </w:r>
          </w:p>
        </w:tc>
        <w:tc>
          <w:tcPr>
            <w:tcW w:w="1718" w:type="dxa"/>
            <w:tcBorders>
              <w:top w:val="single" w:color="auto" w:sz="4" w:space="0"/>
              <w:left w:val="single" w:color="auto" w:sz="4" w:space="0"/>
              <w:bottom w:val="single" w:color="auto" w:sz="4" w:space="0"/>
              <w:right w:val="single" w:color="auto" w:sz="4" w:space="0"/>
            </w:tcBorders>
            <w:vAlign w:val="center"/>
          </w:tcPr>
          <w:p w14:paraId="0ADA1CEC">
            <w:pPr>
              <w:pageBreakBefore w:val="0"/>
              <w:kinsoku/>
              <w:wordWrap w:val="0"/>
              <w:topLinePunct w:val="0"/>
              <w:bidi w:val="0"/>
              <w:jc w:val="center"/>
              <w:rPr>
                <w:rFonts w:hint="eastAsia" w:ascii="宋体" w:hAnsi="宋体" w:eastAsia="宋体" w:cs="宋体"/>
                <w:color w:val="auto"/>
                <w:sz w:val="21"/>
                <w:szCs w:val="21"/>
                <w:highlight w:val="none"/>
              </w:rPr>
            </w:pPr>
          </w:p>
        </w:tc>
      </w:tr>
      <w:tr w14:paraId="1A6E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44" w:type="dxa"/>
            <w:gridSpan w:val="3"/>
            <w:tcBorders>
              <w:top w:val="single" w:color="auto" w:sz="4" w:space="0"/>
              <w:left w:val="single" w:color="auto" w:sz="4" w:space="0"/>
              <w:bottom w:val="single" w:color="auto" w:sz="4" w:space="0"/>
              <w:right w:val="single" w:color="auto" w:sz="4" w:space="0"/>
            </w:tcBorders>
            <w:vAlign w:val="center"/>
          </w:tcPr>
          <w:p w14:paraId="5045B65E">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项目经理</w:t>
            </w:r>
            <w:r>
              <w:rPr>
                <w:rFonts w:hint="eastAsia" w:ascii="宋体" w:hAnsi="宋体" w:cs="宋体"/>
                <w:color w:val="auto"/>
                <w:sz w:val="21"/>
                <w:szCs w:val="21"/>
                <w:highlight w:val="none"/>
                <w:lang w:eastAsia="zh-CN"/>
              </w:rPr>
              <w:t>注册</w:t>
            </w:r>
            <w:r>
              <w:rPr>
                <w:rFonts w:hint="eastAsia" w:ascii="宋体" w:hAnsi="宋体" w:eastAsia="宋体" w:cs="宋体"/>
                <w:color w:val="auto"/>
                <w:sz w:val="21"/>
                <w:szCs w:val="21"/>
                <w:highlight w:val="none"/>
              </w:rPr>
              <w:t>证书编号</w:t>
            </w:r>
          </w:p>
        </w:tc>
        <w:tc>
          <w:tcPr>
            <w:tcW w:w="6159" w:type="dxa"/>
            <w:gridSpan w:val="4"/>
            <w:tcBorders>
              <w:top w:val="single" w:color="auto" w:sz="4" w:space="0"/>
              <w:left w:val="single" w:color="auto" w:sz="4" w:space="0"/>
              <w:bottom w:val="single" w:color="auto" w:sz="4" w:space="0"/>
              <w:right w:val="single" w:color="auto" w:sz="4" w:space="0"/>
            </w:tcBorders>
            <w:vAlign w:val="center"/>
          </w:tcPr>
          <w:p w14:paraId="22F18329">
            <w:pPr>
              <w:pageBreakBefore w:val="0"/>
              <w:kinsoku/>
              <w:wordWrap w:val="0"/>
              <w:topLinePunct w:val="0"/>
              <w:bidi w:val="0"/>
              <w:jc w:val="center"/>
              <w:rPr>
                <w:rFonts w:hint="eastAsia" w:ascii="宋体" w:hAnsi="宋体" w:eastAsia="宋体" w:cs="宋体"/>
                <w:color w:val="auto"/>
                <w:sz w:val="21"/>
                <w:szCs w:val="21"/>
                <w:highlight w:val="none"/>
              </w:rPr>
            </w:pPr>
          </w:p>
        </w:tc>
      </w:tr>
      <w:tr w14:paraId="0A6E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3744" w:type="dxa"/>
            <w:gridSpan w:val="3"/>
            <w:tcBorders>
              <w:top w:val="single" w:color="auto" w:sz="4" w:space="0"/>
              <w:left w:val="single" w:color="auto" w:sz="4" w:space="0"/>
              <w:bottom w:val="single" w:color="auto" w:sz="4" w:space="0"/>
              <w:right w:val="single" w:color="auto" w:sz="4" w:space="0"/>
            </w:tcBorders>
            <w:vAlign w:val="center"/>
          </w:tcPr>
          <w:p w14:paraId="6EB5742C">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Theme="majorEastAsia" w:hAnsiTheme="majorEastAsia" w:eastAsiaTheme="majorEastAsia" w:cstheme="majorEastAsia"/>
                <w:color w:val="auto"/>
                <w:kern w:val="2"/>
                <w:sz w:val="21"/>
                <w:szCs w:val="21"/>
                <w:highlight w:val="none"/>
                <w:lang w:val="en-US" w:eastAsia="zh-CN" w:bidi="ar-SA"/>
              </w:rPr>
              <w:t>安全生产考核合格证书编号</w:t>
            </w:r>
          </w:p>
        </w:tc>
        <w:tc>
          <w:tcPr>
            <w:tcW w:w="6159" w:type="dxa"/>
            <w:gridSpan w:val="4"/>
            <w:tcBorders>
              <w:top w:val="single" w:color="auto" w:sz="4" w:space="0"/>
              <w:left w:val="single" w:color="auto" w:sz="4" w:space="0"/>
              <w:bottom w:val="single" w:color="auto" w:sz="4" w:space="0"/>
              <w:right w:val="single" w:color="auto" w:sz="4" w:space="0"/>
            </w:tcBorders>
            <w:vAlign w:val="center"/>
          </w:tcPr>
          <w:p w14:paraId="524F0DBB">
            <w:pPr>
              <w:pageBreakBefore w:val="0"/>
              <w:kinsoku/>
              <w:wordWrap w:val="0"/>
              <w:topLinePunct w:val="0"/>
              <w:bidi w:val="0"/>
              <w:jc w:val="center"/>
              <w:rPr>
                <w:rFonts w:hint="eastAsia" w:ascii="宋体" w:hAnsi="宋体" w:eastAsia="宋体" w:cs="宋体"/>
                <w:color w:val="auto"/>
                <w:sz w:val="21"/>
                <w:szCs w:val="21"/>
                <w:highlight w:val="none"/>
              </w:rPr>
            </w:pPr>
          </w:p>
        </w:tc>
      </w:tr>
      <w:tr w14:paraId="040B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903" w:type="dxa"/>
            <w:gridSpan w:val="7"/>
            <w:tcBorders>
              <w:top w:val="single" w:color="auto" w:sz="4" w:space="0"/>
              <w:left w:val="single" w:color="auto" w:sz="4" w:space="0"/>
              <w:bottom w:val="single" w:color="auto" w:sz="4" w:space="0"/>
              <w:right w:val="single" w:color="auto" w:sz="4" w:space="0"/>
            </w:tcBorders>
            <w:vAlign w:val="center"/>
          </w:tcPr>
          <w:p w14:paraId="7FB01C57">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在建和已完工程情况</w:t>
            </w:r>
          </w:p>
        </w:tc>
      </w:tr>
      <w:tr w14:paraId="0B165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396D2AE2">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建设单位</w:t>
            </w:r>
          </w:p>
        </w:tc>
        <w:tc>
          <w:tcPr>
            <w:tcW w:w="1971" w:type="dxa"/>
            <w:tcBorders>
              <w:top w:val="single" w:color="auto" w:sz="4" w:space="0"/>
              <w:left w:val="single" w:color="auto" w:sz="4" w:space="0"/>
              <w:bottom w:val="single" w:color="auto" w:sz="4" w:space="0"/>
              <w:right w:val="single" w:color="auto" w:sz="4" w:space="0"/>
            </w:tcBorders>
            <w:vAlign w:val="center"/>
          </w:tcPr>
          <w:p w14:paraId="6CA98135">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580" w:type="dxa"/>
            <w:tcBorders>
              <w:top w:val="single" w:color="auto" w:sz="4" w:space="0"/>
              <w:left w:val="single" w:color="auto" w:sz="4" w:space="0"/>
              <w:bottom w:val="single" w:color="auto" w:sz="4" w:space="0"/>
              <w:right w:val="single" w:color="auto" w:sz="4" w:space="0"/>
            </w:tcBorders>
            <w:vAlign w:val="center"/>
          </w:tcPr>
          <w:p w14:paraId="2392BB73">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建设规模</w:t>
            </w:r>
          </w:p>
        </w:tc>
        <w:tc>
          <w:tcPr>
            <w:tcW w:w="1560" w:type="dxa"/>
            <w:tcBorders>
              <w:top w:val="single" w:color="auto" w:sz="4" w:space="0"/>
              <w:left w:val="single" w:color="auto" w:sz="4" w:space="0"/>
              <w:bottom w:val="single" w:color="auto" w:sz="4" w:space="0"/>
              <w:right w:val="single" w:color="auto" w:sz="4" w:space="0"/>
            </w:tcBorders>
            <w:vAlign w:val="center"/>
          </w:tcPr>
          <w:p w14:paraId="763898EC">
            <w:pPr>
              <w:pageBreakBefore w:val="0"/>
              <w:kinsoku/>
              <w:wordWrap w:val="0"/>
              <w:topLinePunct w:val="0"/>
              <w:bidi w:val="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开、竣工日期</w:t>
            </w:r>
          </w:p>
        </w:tc>
        <w:tc>
          <w:tcPr>
            <w:tcW w:w="1301" w:type="dxa"/>
            <w:tcBorders>
              <w:top w:val="single" w:color="auto" w:sz="4" w:space="0"/>
              <w:left w:val="single" w:color="auto" w:sz="4" w:space="0"/>
              <w:bottom w:val="single" w:color="auto" w:sz="4" w:space="0"/>
              <w:right w:val="single" w:color="auto" w:sz="4" w:space="0"/>
            </w:tcBorders>
            <w:vAlign w:val="center"/>
          </w:tcPr>
          <w:p w14:paraId="1CD75723">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在建或已完</w:t>
            </w:r>
          </w:p>
        </w:tc>
        <w:tc>
          <w:tcPr>
            <w:tcW w:w="1718" w:type="dxa"/>
            <w:tcBorders>
              <w:top w:val="single" w:color="auto" w:sz="4" w:space="0"/>
              <w:left w:val="single" w:color="auto" w:sz="4" w:space="0"/>
              <w:bottom w:val="single" w:color="auto" w:sz="4" w:space="0"/>
              <w:right w:val="single" w:color="auto" w:sz="4" w:space="0"/>
            </w:tcBorders>
            <w:vAlign w:val="center"/>
          </w:tcPr>
          <w:p w14:paraId="089F4F14">
            <w:pPr>
              <w:pageBreakBefore w:val="0"/>
              <w:kinsoku/>
              <w:wordWrap w:val="0"/>
              <w:topLinePunct w:val="0"/>
              <w:bidi w:val="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w:t>
            </w:r>
          </w:p>
        </w:tc>
      </w:tr>
      <w:tr w14:paraId="56BD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4F750795">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6BE1E517">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27AE593">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65279D32">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5DD2B68D">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2B610A30">
            <w:pPr>
              <w:pageBreakBefore w:val="0"/>
              <w:kinsoku/>
              <w:wordWrap w:val="0"/>
              <w:topLinePunct w:val="0"/>
              <w:bidi w:val="0"/>
              <w:jc w:val="center"/>
              <w:rPr>
                <w:rFonts w:hint="eastAsia" w:ascii="宋体" w:hAnsi="宋体" w:eastAsia="宋体" w:cs="宋体"/>
                <w:color w:val="auto"/>
                <w:sz w:val="21"/>
                <w:szCs w:val="21"/>
                <w:highlight w:val="none"/>
              </w:rPr>
            </w:pPr>
          </w:p>
        </w:tc>
      </w:tr>
      <w:tr w14:paraId="5580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43FF8F9C">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52F029FD">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9C1A503">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B403AED">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3D975240">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661A86DA">
            <w:pPr>
              <w:pageBreakBefore w:val="0"/>
              <w:kinsoku/>
              <w:wordWrap w:val="0"/>
              <w:topLinePunct w:val="0"/>
              <w:bidi w:val="0"/>
              <w:jc w:val="center"/>
              <w:rPr>
                <w:rFonts w:hint="eastAsia" w:ascii="宋体" w:hAnsi="宋体" w:eastAsia="宋体" w:cs="宋体"/>
                <w:color w:val="auto"/>
                <w:sz w:val="21"/>
                <w:szCs w:val="21"/>
                <w:highlight w:val="none"/>
              </w:rPr>
            </w:pPr>
          </w:p>
        </w:tc>
      </w:tr>
      <w:tr w14:paraId="55C7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25CACE83">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25EB3526">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30DF472">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7093373">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3F45BFDE">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54CDB482">
            <w:pPr>
              <w:pageBreakBefore w:val="0"/>
              <w:kinsoku/>
              <w:wordWrap w:val="0"/>
              <w:topLinePunct w:val="0"/>
              <w:bidi w:val="0"/>
              <w:jc w:val="center"/>
              <w:rPr>
                <w:rFonts w:hint="eastAsia" w:ascii="宋体" w:hAnsi="宋体" w:eastAsia="宋体" w:cs="宋体"/>
                <w:color w:val="auto"/>
                <w:sz w:val="21"/>
                <w:szCs w:val="21"/>
                <w:highlight w:val="none"/>
              </w:rPr>
            </w:pPr>
          </w:p>
        </w:tc>
      </w:tr>
      <w:tr w14:paraId="35A0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3EB8F312">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59E0ED8B">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685CB2DA">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D170E9B">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48F478A3">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6EFF7BE3">
            <w:pPr>
              <w:pageBreakBefore w:val="0"/>
              <w:kinsoku/>
              <w:wordWrap w:val="0"/>
              <w:topLinePunct w:val="0"/>
              <w:bidi w:val="0"/>
              <w:jc w:val="center"/>
              <w:rPr>
                <w:rFonts w:hint="eastAsia" w:ascii="宋体" w:hAnsi="宋体" w:eastAsia="宋体" w:cs="宋体"/>
                <w:color w:val="auto"/>
                <w:sz w:val="21"/>
                <w:szCs w:val="21"/>
                <w:highlight w:val="none"/>
              </w:rPr>
            </w:pPr>
          </w:p>
        </w:tc>
      </w:tr>
      <w:tr w14:paraId="3AB8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34242EC0">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3B27D0FD">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419E6857">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3DC176C5">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33498ADE">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75537F1E">
            <w:pPr>
              <w:pageBreakBefore w:val="0"/>
              <w:kinsoku/>
              <w:wordWrap w:val="0"/>
              <w:topLinePunct w:val="0"/>
              <w:bidi w:val="0"/>
              <w:jc w:val="center"/>
              <w:rPr>
                <w:rFonts w:hint="eastAsia" w:ascii="宋体" w:hAnsi="宋体" w:eastAsia="宋体" w:cs="宋体"/>
                <w:color w:val="auto"/>
                <w:sz w:val="21"/>
                <w:szCs w:val="21"/>
                <w:highlight w:val="none"/>
              </w:rPr>
            </w:pPr>
          </w:p>
        </w:tc>
      </w:tr>
      <w:tr w14:paraId="71E1A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30F23DBB">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3CB7714B">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4087B5BB">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5B438701">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192E66E8">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7C0BCAC0">
            <w:pPr>
              <w:pageBreakBefore w:val="0"/>
              <w:kinsoku/>
              <w:wordWrap w:val="0"/>
              <w:topLinePunct w:val="0"/>
              <w:bidi w:val="0"/>
              <w:jc w:val="center"/>
              <w:rPr>
                <w:rFonts w:hint="eastAsia" w:ascii="宋体" w:hAnsi="宋体" w:eastAsia="宋体" w:cs="宋体"/>
                <w:color w:val="auto"/>
                <w:sz w:val="21"/>
                <w:szCs w:val="21"/>
                <w:highlight w:val="none"/>
              </w:rPr>
            </w:pPr>
          </w:p>
        </w:tc>
      </w:tr>
      <w:tr w14:paraId="5A584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5FAD66DF">
            <w:pPr>
              <w:pageBreakBefore w:val="0"/>
              <w:kinsoku/>
              <w:wordWrap w:val="0"/>
              <w:topLinePunct w:val="0"/>
              <w:bidi w:val="0"/>
              <w:jc w:val="center"/>
              <w:rPr>
                <w:rFonts w:hint="eastAsia" w:ascii="宋体" w:hAnsi="宋体" w:eastAsia="宋体" w:cs="宋体"/>
                <w:color w:val="auto"/>
                <w:sz w:val="21"/>
                <w:szCs w:val="21"/>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5B2471AE">
            <w:pPr>
              <w:pageBreakBefore w:val="0"/>
              <w:kinsoku/>
              <w:wordWrap w:val="0"/>
              <w:topLinePunct w:val="0"/>
              <w:bidi w:val="0"/>
              <w:jc w:val="center"/>
              <w:rPr>
                <w:rFonts w:hint="eastAsia" w:ascii="宋体" w:hAnsi="宋体" w:eastAsia="宋体" w:cs="宋体"/>
                <w:color w:val="auto"/>
                <w:sz w:val="21"/>
                <w:szCs w:val="21"/>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53F41F8F">
            <w:pPr>
              <w:pageBreakBefore w:val="0"/>
              <w:kinsoku/>
              <w:wordWrap w:val="0"/>
              <w:topLinePunct w:val="0"/>
              <w:bidi w:val="0"/>
              <w:jc w:val="center"/>
              <w:rPr>
                <w:rFonts w:hint="eastAsia" w:ascii="宋体" w:hAnsi="宋体" w:eastAsia="宋体" w:cs="宋体"/>
                <w:color w:val="auto"/>
                <w:sz w:val="21"/>
                <w:szCs w:val="21"/>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48DC677A">
            <w:pPr>
              <w:pageBreakBefore w:val="0"/>
              <w:kinsoku/>
              <w:wordWrap w:val="0"/>
              <w:topLinePunct w:val="0"/>
              <w:bidi w:val="0"/>
              <w:jc w:val="center"/>
              <w:rPr>
                <w:rFonts w:hint="eastAsia" w:ascii="宋体" w:hAnsi="宋体" w:eastAsia="宋体" w:cs="宋体"/>
                <w:color w:val="auto"/>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11FAD9F5">
            <w:pPr>
              <w:pageBreakBefore w:val="0"/>
              <w:kinsoku/>
              <w:wordWrap w:val="0"/>
              <w:topLinePunct w:val="0"/>
              <w:bidi w:val="0"/>
              <w:jc w:val="center"/>
              <w:rPr>
                <w:rFonts w:hint="eastAsia" w:ascii="宋体" w:hAnsi="宋体" w:eastAsia="宋体" w:cs="宋体"/>
                <w:color w:val="auto"/>
                <w:sz w:val="21"/>
                <w:szCs w:val="21"/>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70DCE2D9">
            <w:pPr>
              <w:pageBreakBefore w:val="0"/>
              <w:kinsoku/>
              <w:wordWrap w:val="0"/>
              <w:topLinePunct w:val="0"/>
              <w:bidi w:val="0"/>
              <w:jc w:val="center"/>
              <w:rPr>
                <w:rFonts w:hint="eastAsia" w:ascii="宋体" w:hAnsi="宋体" w:eastAsia="宋体" w:cs="宋体"/>
                <w:color w:val="auto"/>
                <w:sz w:val="21"/>
                <w:szCs w:val="21"/>
                <w:highlight w:val="none"/>
              </w:rPr>
            </w:pPr>
          </w:p>
        </w:tc>
      </w:tr>
      <w:tr w14:paraId="35EA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773" w:type="dxa"/>
            <w:gridSpan w:val="2"/>
            <w:tcBorders>
              <w:top w:val="single" w:color="auto" w:sz="4" w:space="0"/>
              <w:left w:val="single" w:color="auto" w:sz="4" w:space="0"/>
              <w:bottom w:val="single" w:color="auto" w:sz="4" w:space="0"/>
              <w:right w:val="single" w:color="auto" w:sz="4" w:space="0"/>
            </w:tcBorders>
            <w:vAlign w:val="center"/>
          </w:tcPr>
          <w:p w14:paraId="130DA83A">
            <w:pPr>
              <w:pageBreakBefore w:val="0"/>
              <w:kinsoku/>
              <w:wordWrap w:val="0"/>
              <w:topLinePunct w:val="0"/>
              <w:bidi w:val="0"/>
              <w:jc w:val="center"/>
              <w:rPr>
                <w:rFonts w:hint="eastAsia" w:ascii="宋体" w:hAnsi="宋体" w:eastAsia="宋体" w:cs="宋体"/>
                <w:color w:val="auto"/>
                <w:sz w:val="24"/>
                <w:szCs w:val="24"/>
                <w:highlight w:val="none"/>
              </w:rPr>
            </w:pPr>
          </w:p>
        </w:tc>
        <w:tc>
          <w:tcPr>
            <w:tcW w:w="1971" w:type="dxa"/>
            <w:tcBorders>
              <w:top w:val="single" w:color="auto" w:sz="4" w:space="0"/>
              <w:left w:val="single" w:color="auto" w:sz="4" w:space="0"/>
              <w:bottom w:val="single" w:color="auto" w:sz="4" w:space="0"/>
              <w:right w:val="single" w:color="auto" w:sz="4" w:space="0"/>
            </w:tcBorders>
            <w:vAlign w:val="center"/>
          </w:tcPr>
          <w:p w14:paraId="1B40F0CE">
            <w:pPr>
              <w:pageBreakBefore w:val="0"/>
              <w:kinsoku/>
              <w:wordWrap w:val="0"/>
              <w:topLinePunct w:val="0"/>
              <w:bidi w:val="0"/>
              <w:jc w:val="center"/>
              <w:rPr>
                <w:rFonts w:hint="eastAsia" w:ascii="宋体" w:hAnsi="宋体" w:eastAsia="宋体" w:cs="宋体"/>
                <w:color w:val="auto"/>
                <w:sz w:val="24"/>
                <w:szCs w:val="24"/>
                <w:highlight w:val="none"/>
              </w:rPr>
            </w:pPr>
          </w:p>
        </w:tc>
        <w:tc>
          <w:tcPr>
            <w:tcW w:w="1580" w:type="dxa"/>
            <w:tcBorders>
              <w:top w:val="single" w:color="auto" w:sz="4" w:space="0"/>
              <w:left w:val="single" w:color="auto" w:sz="4" w:space="0"/>
              <w:bottom w:val="single" w:color="auto" w:sz="4" w:space="0"/>
              <w:right w:val="single" w:color="auto" w:sz="4" w:space="0"/>
            </w:tcBorders>
            <w:vAlign w:val="center"/>
          </w:tcPr>
          <w:p w14:paraId="44EC1789">
            <w:pPr>
              <w:pageBreakBefore w:val="0"/>
              <w:kinsoku/>
              <w:wordWrap w:val="0"/>
              <w:topLinePunct w:val="0"/>
              <w:bidi w:val="0"/>
              <w:jc w:val="center"/>
              <w:rPr>
                <w:rFonts w:hint="eastAsia" w:ascii="宋体" w:hAnsi="宋体" w:eastAsia="宋体" w:cs="宋体"/>
                <w:color w:val="auto"/>
                <w:sz w:val="24"/>
                <w:szCs w:val="24"/>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14:paraId="123D5A03">
            <w:pPr>
              <w:pageBreakBefore w:val="0"/>
              <w:kinsoku/>
              <w:wordWrap w:val="0"/>
              <w:topLinePunct w:val="0"/>
              <w:bidi w:val="0"/>
              <w:jc w:val="center"/>
              <w:rPr>
                <w:rFonts w:hint="eastAsia" w:ascii="宋体" w:hAnsi="宋体" w:eastAsia="宋体" w:cs="宋体"/>
                <w:color w:val="auto"/>
                <w:sz w:val="24"/>
                <w:szCs w:val="24"/>
                <w:highlight w:val="none"/>
              </w:rPr>
            </w:pPr>
          </w:p>
        </w:tc>
        <w:tc>
          <w:tcPr>
            <w:tcW w:w="1301" w:type="dxa"/>
            <w:tcBorders>
              <w:top w:val="single" w:color="auto" w:sz="4" w:space="0"/>
              <w:left w:val="single" w:color="auto" w:sz="4" w:space="0"/>
              <w:bottom w:val="single" w:color="auto" w:sz="4" w:space="0"/>
              <w:right w:val="single" w:color="auto" w:sz="4" w:space="0"/>
            </w:tcBorders>
            <w:vAlign w:val="center"/>
          </w:tcPr>
          <w:p w14:paraId="418A4BD7">
            <w:pPr>
              <w:pageBreakBefore w:val="0"/>
              <w:kinsoku/>
              <w:wordWrap w:val="0"/>
              <w:topLinePunct w:val="0"/>
              <w:bidi w:val="0"/>
              <w:jc w:val="center"/>
              <w:rPr>
                <w:rFonts w:hint="eastAsia" w:ascii="宋体" w:hAnsi="宋体" w:eastAsia="宋体" w:cs="宋体"/>
                <w:color w:val="auto"/>
                <w:sz w:val="24"/>
                <w:szCs w:val="24"/>
                <w:highlight w:val="none"/>
              </w:rPr>
            </w:pPr>
          </w:p>
        </w:tc>
        <w:tc>
          <w:tcPr>
            <w:tcW w:w="1718" w:type="dxa"/>
            <w:tcBorders>
              <w:top w:val="single" w:color="auto" w:sz="4" w:space="0"/>
              <w:left w:val="single" w:color="auto" w:sz="4" w:space="0"/>
              <w:bottom w:val="single" w:color="auto" w:sz="4" w:space="0"/>
              <w:right w:val="single" w:color="auto" w:sz="4" w:space="0"/>
            </w:tcBorders>
            <w:vAlign w:val="center"/>
          </w:tcPr>
          <w:p w14:paraId="6A0140A6">
            <w:pPr>
              <w:pageBreakBefore w:val="0"/>
              <w:kinsoku/>
              <w:wordWrap w:val="0"/>
              <w:topLinePunct w:val="0"/>
              <w:bidi w:val="0"/>
              <w:jc w:val="center"/>
              <w:rPr>
                <w:rFonts w:hint="eastAsia" w:ascii="宋体" w:hAnsi="宋体" w:eastAsia="宋体" w:cs="宋体"/>
                <w:color w:val="auto"/>
                <w:sz w:val="24"/>
                <w:szCs w:val="24"/>
                <w:highlight w:val="none"/>
              </w:rPr>
            </w:pPr>
          </w:p>
        </w:tc>
      </w:tr>
    </w:tbl>
    <w:p w14:paraId="5A820BCC">
      <w:pPr>
        <w:pageBreakBefore w:val="0"/>
        <w:kinsoku/>
        <w:wordWrap w:val="0"/>
        <w:topLinePunct w:val="0"/>
        <w:bidi w:val="0"/>
        <w:spacing w:line="360" w:lineRule="auto"/>
        <w:rPr>
          <w:b/>
          <w:bCs/>
          <w:color w:val="auto"/>
          <w:szCs w:val="21"/>
          <w:highlight w:val="none"/>
        </w:rPr>
      </w:pPr>
      <w:r>
        <w:rPr>
          <w:rFonts w:hint="eastAsia"/>
          <w:b/>
          <w:bCs/>
          <w:color w:val="auto"/>
          <w:szCs w:val="21"/>
          <w:highlight w:val="none"/>
        </w:rPr>
        <w:t>注：附拟派往本工程的项目经理的注册证书、安全生产考核合格证书、身份证、职称证</w:t>
      </w:r>
      <w:r>
        <w:rPr>
          <w:rFonts w:hint="eastAsia"/>
          <w:b/>
          <w:bCs/>
          <w:color w:val="auto"/>
          <w:szCs w:val="21"/>
          <w:highlight w:val="none"/>
          <w:lang w:eastAsia="zh-CN"/>
        </w:rPr>
        <w:t>（如有）、</w:t>
      </w:r>
      <w:r>
        <w:rPr>
          <w:rFonts w:hint="eastAsia"/>
          <w:b/>
          <w:bCs/>
          <w:color w:val="auto"/>
          <w:szCs w:val="21"/>
          <w:highlight w:val="none"/>
        </w:rPr>
        <w:t>学历证、</w:t>
      </w:r>
      <w:r>
        <w:rPr>
          <w:rFonts w:hint="eastAsia"/>
          <w:b/>
          <w:bCs/>
          <w:color w:val="auto"/>
          <w:szCs w:val="21"/>
          <w:highlight w:val="none"/>
          <w:lang w:eastAsia="zh-CN"/>
        </w:rPr>
        <w:t>社保证明或有效</w:t>
      </w:r>
      <w:r>
        <w:rPr>
          <w:rFonts w:hint="eastAsia" w:ascii="宋体" w:hAnsi="宋体" w:cs="宋体"/>
          <w:b/>
          <w:bCs/>
          <w:color w:val="auto"/>
          <w:highlight w:val="none"/>
        </w:rPr>
        <w:t>劳动合同</w:t>
      </w:r>
      <w:r>
        <w:rPr>
          <w:rFonts w:hint="eastAsia"/>
          <w:b/>
          <w:bCs/>
          <w:color w:val="auto"/>
          <w:szCs w:val="21"/>
          <w:highlight w:val="none"/>
        </w:rPr>
        <w:t>等</w:t>
      </w:r>
      <w:r>
        <w:rPr>
          <w:rFonts w:hint="eastAsia" w:asciiTheme="majorEastAsia" w:hAnsiTheme="majorEastAsia" w:eastAsiaTheme="majorEastAsia" w:cstheme="majorEastAsia"/>
          <w:b/>
          <w:bCs/>
          <w:color w:val="auto"/>
          <w:kern w:val="2"/>
          <w:sz w:val="21"/>
          <w:szCs w:val="21"/>
          <w:highlight w:val="none"/>
          <w:lang w:val="en-US" w:eastAsia="zh-CN" w:bidi="ar-SA"/>
        </w:rPr>
        <w:t>的扫描件或复印件</w:t>
      </w:r>
      <w:r>
        <w:rPr>
          <w:rFonts w:hint="eastAsia"/>
          <w:b/>
          <w:bCs/>
          <w:color w:val="auto"/>
          <w:szCs w:val="21"/>
          <w:highlight w:val="none"/>
        </w:rPr>
        <w:t>。</w:t>
      </w:r>
    </w:p>
    <w:p w14:paraId="77328A7B">
      <w:pPr>
        <w:pStyle w:val="13"/>
        <w:pageBreakBefore w:val="0"/>
        <w:kinsoku/>
        <w:wordWrap w:val="0"/>
        <w:topLinePunct w:val="0"/>
        <w:bidi w:val="0"/>
        <w:spacing w:line="440" w:lineRule="exact"/>
        <w:ind w:left="0" w:leftChars="0" w:firstLine="0" w:firstLineChars="0"/>
        <w:rPr>
          <w:rFonts w:hint="eastAsia" w:asciiTheme="minorEastAsia" w:hAnsiTheme="minorEastAsia" w:eastAsiaTheme="minorEastAsia" w:cstheme="minorEastAsia"/>
          <w:color w:val="auto"/>
          <w:kern w:val="2"/>
          <w:sz w:val="24"/>
          <w:szCs w:val="24"/>
          <w:highlight w:val="none"/>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33E97123">
      <w:pPr>
        <w:pStyle w:val="4"/>
        <w:spacing w:line="360" w:lineRule="auto"/>
        <w:ind w:right="175" w:firstLine="0" w:firstLineChars="0"/>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承  诺  书</w:t>
      </w:r>
    </w:p>
    <w:p w14:paraId="2EDF3D88">
      <w:pPr>
        <w:spacing w:line="360" w:lineRule="auto"/>
        <w:jc w:val="center"/>
        <w:rPr>
          <w:rFonts w:hint="eastAsia" w:ascii="宋体" w:hAnsi="宋体" w:eastAsia="宋体" w:cs="宋体"/>
          <w:color w:val="auto"/>
          <w:sz w:val="28"/>
          <w:szCs w:val="28"/>
          <w:highlight w:val="none"/>
        </w:rPr>
      </w:pPr>
    </w:p>
    <w:p w14:paraId="24FBB0A7">
      <w:pPr>
        <w:spacing w:after="240" w:afterLines="100" w:line="360" w:lineRule="auto"/>
        <w:jc w:val="left"/>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人名称）：</w:t>
      </w:r>
    </w:p>
    <w:p w14:paraId="3F2B1B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我方在此声明，我方拟派往</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（以下简称“本工程”）的</w:t>
      </w:r>
      <w:r>
        <w:rPr>
          <w:rFonts w:hint="eastAsia" w:ascii="宋体" w:hAnsi="宋体" w:cs="宋体"/>
          <w:color w:val="auto"/>
          <w:sz w:val="21"/>
          <w:szCs w:val="21"/>
          <w:highlight w:val="none"/>
          <w:lang w:val="en-US" w:eastAsia="zh-CN"/>
        </w:rPr>
        <w:t>项目经理</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姓名）现阶段没有担任任何在建建设工程项目的</w:t>
      </w:r>
      <w:r>
        <w:rPr>
          <w:rFonts w:hint="eastAsia" w:ascii="宋体" w:hAnsi="宋体" w:cs="宋体"/>
          <w:color w:val="auto"/>
          <w:sz w:val="21"/>
          <w:szCs w:val="21"/>
          <w:highlight w:val="none"/>
          <w:lang w:val="en-US" w:eastAsia="zh-CN"/>
        </w:rPr>
        <w:t>项目经理</w:t>
      </w:r>
      <w:r>
        <w:rPr>
          <w:rFonts w:hint="eastAsia" w:ascii="宋体" w:hAnsi="宋体" w:eastAsia="宋体" w:cs="宋体"/>
          <w:color w:val="auto"/>
          <w:sz w:val="21"/>
          <w:szCs w:val="21"/>
          <w:highlight w:val="none"/>
        </w:rPr>
        <w:t>。</w:t>
      </w:r>
    </w:p>
    <w:p w14:paraId="0061CBE1">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我方保证上述信息的真实和准确，并愿意承担因我方就此弄虚作假所引起的一切法律后果。</w:t>
      </w:r>
    </w:p>
    <w:p w14:paraId="69EF5911">
      <w:pPr>
        <w:spacing w:line="360" w:lineRule="auto"/>
        <w:ind w:firstLine="420" w:firstLineChars="200"/>
        <w:jc w:val="left"/>
        <w:rPr>
          <w:rFonts w:hint="eastAsia" w:ascii="宋体" w:hAnsi="宋体" w:eastAsia="宋体" w:cs="宋体"/>
          <w:color w:val="auto"/>
          <w:sz w:val="21"/>
          <w:szCs w:val="21"/>
          <w:highlight w:val="none"/>
        </w:rPr>
      </w:pPr>
    </w:p>
    <w:p w14:paraId="39A93FE4">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特此承诺</w:t>
      </w:r>
      <w:r>
        <w:rPr>
          <w:rFonts w:hint="eastAsia" w:ascii="宋体" w:hAnsi="宋体" w:eastAsia="宋体" w:cs="宋体"/>
          <w:color w:val="auto"/>
          <w:sz w:val="21"/>
          <w:szCs w:val="21"/>
          <w:highlight w:val="none"/>
          <w:lang w:eastAsia="zh-CN"/>
        </w:rPr>
        <w:t>。</w:t>
      </w:r>
    </w:p>
    <w:p w14:paraId="4632EDE7">
      <w:pPr>
        <w:spacing w:line="360" w:lineRule="auto"/>
        <w:ind w:firstLine="420" w:firstLineChars="200"/>
        <w:jc w:val="left"/>
        <w:rPr>
          <w:rFonts w:hint="eastAsia" w:ascii="宋体" w:hAnsi="宋体" w:eastAsia="宋体" w:cs="宋体"/>
          <w:color w:val="auto"/>
          <w:sz w:val="21"/>
          <w:szCs w:val="21"/>
          <w:highlight w:val="none"/>
        </w:rPr>
      </w:pPr>
    </w:p>
    <w:p w14:paraId="20F7DDB8">
      <w:pPr>
        <w:spacing w:line="360" w:lineRule="auto"/>
        <w:ind w:firstLine="420" w:firstLineChars="200"/>
        <w:jc w:val="left"/>
        <w:rPr>
          <w:rFonts w:hint="eastAsia" w:ascii="宋体" w:hAnsi="宋体" w:eastAsia="宋体" w:cs="宋体"/>
          <w:color w:val="auto"/>
          <w:sz w:val="21"/>
          <w:szCs w:val="21"/>
          <w:highlight w:val="none"/>
        </w:rPr>
      </w:pPr>
    </w:p>
    <w:p w14:paraId="4C0C3BD3">
      <w:pPr>
        <w:spacing w:line="360" w:lineRule="auto"/>
        <w:ind w:firstLine="420" w:firstLineChars="200"/>
        <w:jc w:val="left"/>
        <w:rPr>
          <w:rFonts w:hint="eastAsia" w:ascii="宋体" w:hAnsi="宋体" w:eastAsia="宋体" w:cs="宋体"/>
          <w:color w:val="auto"/>
          <w:sz w:val="21"/>
          <w:szCs w:val="21"/>
          <w:highlight w:val="none"/>
        </w:rPr>
      </w:pPr>
    </w:p>
    <w:p w14:paraId="21E12071">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color w:val="auto"/>
          <w:sz w:val="21"/>
          <w:szCs w:val="21"/>
          <w:highlight w:val="none"/>
        </w:rPr>
        <w:t>）</w:t>
      </w:r>
    </w:p>
    <w:p w14:paraId="6AA81532">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581E613E">
      <w:pPr>
        <w:jc w:val="right"/>
        <w:rPr>
          <w:rFonts w:hint="eastAsia" w:ascii="宋体" w:hAnsi="宋体" w:eastAsia="宋体" w:cs="宋体"/>
          <w:color w:val="auto"/>
          <w:sz w:val="21"/>
          <w:szCs w:val="21"/>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cs="宋体"/>
          <w:b w:val="0"/>
          <w:bCs w:val="0"/>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月</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eastAsia="宋体" w:cs="宋体"/>
          <w:color w:val="auto"/>
          <w:sz w:val="21"/>
          <w:szCs w:val="21"/>
          <w:highlight w:val="none"/>
        </w:rPr>
        <w:t>日</w:t>
      </w:r>
    </w:p>
    <w:p w14:paraId="5C3063E3">
      <w:pPr>
        <w:pStyle w:val="19"/>
        <w:rPr>
          <w:rFonts w:hint="eastAsia"/>
          <w:color w:val="auto"/>
          <w:lang w:val="en-US" w:eastAsia="zh-CN"/>
        </w:rPr>
      </w:pPr>
    </w:p>
    <w:p w14:paraId="3317DB87">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76706D84">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4D93DAF">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06A0850">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0108815">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4F4A887">
      <w:pPr>
        <w:numPr>
          <w:ilvl w:val="0"/>
          <w:numId w:val="0"/>
        </w:numPr>
        <w:jc w:val="center"/>
        <w:rPr>
          <w:rFonts w:hint="eastAsia" w:ascii="宋体" w:hAnsi="宋体" w:eastAsia="宋体" w:cs="宋体"/>
          <w:b/>
          <w:color w:val="auto"/>
          <w:sz w:val="44"/>
          <w:szCs w:val="44"/>
          <w:highlight w:val="none"/>
          <w:lang w:val="en-US" w:eastAsia="zh-CN"/>
        </w:rPr>
      </w:pPr>
    </w:p>
    <w:p w14:paraId="1337F5AD">
      <w:pPr>
        <w:numPr>
          <w:ilvl w:val="0"/>
          <w:numId w:val="0"/>
        </w:numPr>
        <w:jc w:val="center"/>
        <w:rPr>
          <w:rFonts w:hint="eastAsia" w:ascii="宋体" w:hAnsi="宋体" w:eastAsia="宋体" w:cs="宋体"/>
          <w:b/>
          <w:color w:val="auto"/>
          <w:sz w:val="44"/>
          <w:szCs w:val="44"/>
          <w:highlight w:val="none"/>
          <w:lang w:val="en-US" w:eastAsia="zh-CN"/>
        </w:rPr>
      </w:pPr>
    </w:p>
    <w:p w14:paraId="17E7A274">
      <w:pPr>
        <w:numPr>
          <w:ilvl w:val="0"/>
          <w:numId w:val="0"/>
        </w:numPr>
        <w:jc w:val="center"/>
        <w:rPr>
          <w:rFonts w:hint="eastAsia" w:ascii="宋体" w:hAnsi="宋体" w:eastAsia="宋体" w:cs="宋体"/>
          <w:b/>
          <w:color w:val="auto"/>
          <w:sz w:val="44"/>
          <w:szCs w:val="44"/>
          <w:highlight w:val="none"/>
          <w:lang w:val="en-US" w:eastAsia="zh-CN"/>
        </w:rPr>
      </w:pPr>
    </w:p>
    <w:p w14:paraId="73990FAB">
      <w:pPr>
        <w:numPr>
          <w:ilvl w:val="0"/>
          <w:numId w:val="0"/>
        </w:numPr>
        <w:jc w:val="center"/>
        <w:rPr>
          <w:rFonts w:hint="eastAsia" w:ascii="宋体" w:hAnsi="宋体" w:cs="宋体"/>
          <w:b/>
          <w:bCs/>
          <w:color w:val="auto"/>
          <w:kern w:val="0"/>
          <w:sz w:val="28"/>
          <w:szCs w:val="28"/>
          <w:highlight w:val="none"/>
          <w:lang w:val="en-US" w:eastAsia="zh-CN" w:bidi="ar-SA"/>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第二部分  商务报价文件格式</w:t>
      </w:r>
    </w:p>
    <w:p w14:paraId="16256049">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zh-CN" w:eastAsia="zh-CN" w:bidi="ar-SA"/>
        </w:rPr>
        <w:t>一、初次报价一览表</w:t>
      </w:r>
    </w:p>
    <w:p w14:paraId="4836B1D2">
      <w:pPr>
        <w:rPr>
          <w:rFonts w:ascii="宋体" w:hAnsi="宋体"/>
          <w:color w:val="auto"/>
          <w:highlight w:val="none"/>
        </w:rPr>
      </w:pPr>
    </w:p>
    <w:p w14:paraId="2BF921DD">
      <w:pPr>
        <w:spacing w:line="360" w:lineRule="auto"/>
        <w:jc w:val="left"/>
        <w:rPr>
          <w:color w:val="auto"/>
          <w:sz w:val="21"/>
          <w:szCs w:val="21"/>
          <w:highlight w:val="none"/>
        </w:rPr>
      </w:pPr>
      <w:r>
        <w:rPr>
          <w:rFonts w:hint="eastAsia"/>
          <w:color w:val="auto"/>
          <w:sz w:val="21"/>
          <w:szCs w:val="21"/>
          <w:highlight w:val="none"/>
          <w:lang w:eastAsia="zh-CN"/>
        </w:rPr>
        <w:t>项目名称</w:t>
      </w:r>
      <w:r>
        <w:rPr>
          <w:color w:val="auto"/>
          <w:sz w:val="21"/>
          <w:szCs w:val="21"/>
          <w:highlight w:val="none"/>
        </w:rPr>
        <w:t>：</w:t>
      </w:r>
      <w:r>
        <w:rPr>
          <w:color w:val="auto"/>
          <w:sz w:val="21"/>
          <w:szCs w:val="21"/>
          <w:highlight w:val="none"/>
          <w:u w:val="single"/>
        </w:rPr>
        <w:t xml:space="preserve">                          </w:t>
      </w:r>
      <w:r>
        <w:rPr>
          <w:color w:val="auto"/>
          <w:sz w:val="21"/>
          <w:szCs w:val="21"/>
          <w:highlight w:val="none"/>
        </w:rPr>
        <w:t xml:space="preserve">                                   </w:t>
      </w:r>
    </w:p>
    <w:tbl>
      <w:tblPr>
        <w:tblStyle w:val="25"/>
        <w:tblW w:w="9631"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72"/>
        <w:gridCol w:w="6442"/>
      </w:tblGrid>
      <w:tr w14:paraId="165E5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1" w:hRule="atLeast"/>
        </w:trPr>
        <w:tc>
          <w:tcPr>
            <w:tcW w:w="817" w:type="dxa"/>
            <w:vAlign w:val="center"/>
          </w:tcPr>
          <w:p w14:paraId="14156F93">
            <w:pPr>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2372" w:type="dxa"/>
            <w:vAlign w:val="center"/>
          </w:tcPr>
          <w:p w14:paraId="4B0AEC0F">
            <w:pPr>
              <w:jc w:val="center"/>
              <w:rPr>
                <w:rFonts w:ascii="宋体" w:hAnsi="宋体"/>
                <w:b/>
                <w:color w:val="auto"/>
                <w:sz w:val="21"/>
                <w:szCs w:val="21"/>
                <w:highlight w:val="none"/>
              </w:rPr>
            </w:pPr>
            <w:r>
              <w:rPr>
                <w:rFonts w:hint="eastAsia" w:ascii="宋体" w:hAnsi="宋体"/>
                <w:b/>
                <w:color w:val="auto"/>
                <w:sz w:val="21"/>
                <w:szCs w:val="21"/>
                <w:highlight w:val="none"/>
              </w:rPr>
              <w:t>项    目</w:t>
            </w:r>
          </w:p>
        </w:tc>
        <w:tc>
          <w:tcPr>
            <w:tcW w:w="6442" w:type="dxa"/>
            <w:vAlign w:val="center"/>
          </w:tcPr>
          <w:p w14:paraId="485D62AA">
            <w:pPr>
              <w:jc w:val="center"/>
              <w:rPr>
                <w:rFonts w:ascii="宋体" w:hAnsi="宋体"/>
                <w:b/>
                <w:color w:val="auto"/>
                <w:sz w:val="21"/>
                <w:szCs w:val="21"/>
                <w:highlight w:val="none"/>
              </w:rPr>
            </w:pPr>
            <w:r>
              <w:rPr>
                <w:rFonts w:hint="eastAsia" w:ascii="宋体" w:hAnsi="宋体"/>
                <w:b/>
                <w:color w:val="auto"/>
                <w:sz w:val="21"/>
                <w:szCs w:val="21"/>
                <w:highlight w:val="none"/>
              </w:rPr>
              <w:t>内      容</w:t>
            </w:r>
          </w:p>
        </w:tc>
      </w:tr>
      <w:tr w14:paraId="4B385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817" w:type="dxa"/>
            <w:vAlign w:val="center"/>
          </w:tcPr>
          <w:p w14:paraId="444ACCD8">
            <w:pPr>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372" w:type="dxa"/>
            <w:vAlign w:val="center"/>
          </w:tcPr>
          <w:p w14:paraId="5A27C164">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报价</w:t>
            </w:r>
            <w:r>
              <w:rPr>
                <w:rFonts w:hint="eastAsia" w:ascii="宋体" w:hAnsi="宋体"/>
                <w:color w:val="auto"/>
                <w:sz w:val="21"/>
                <w:szCs w:val="21"/>
                <w:highlight w:val="none"/>
              </w:rPr>
              <w:t>（</w:t>
            </w:r>
            <w:r>
              <w:rPr>
                <w:rFonts w:hint="eastAsia" w:ascii="宋体" w:hAnsi="宋体"/>
                <w:color w:val="auto"/>
                <w:sz w:val="21"/>
                <w:szCs w:val="21"/>
                <w:highlight w:val="none"/>
                <w:lang w:val="en-US" w:eastAsia="zh-CN"/>
              </w:rPr>
              <w:t>元</w:t>
            </w:r>
            <w:r>
              <w:rPr>
                <w:rFonts w:hint="eastAsia" w:ascii="宋体" w:hAnsi="宋体"/>
                <w:color w:val="auto"/>
                <w:sz w:val="21"/>
                <w:szCs w:val="21"/>
                <w:highlight w:val="none"/>
              </w:rPr>
              <w:t>）</w:t>
            </w:r>
          </w:p>
        </w:tc>
        <w:tc>
          <w:tcPr>
            <w:tcW w:w="6442" w:type="dxa"/>
            <w:vAlign w:val="center"/>
          </w:tcPr>
          <w:p w14:paraId="1B0AB943">
            <w:pPr>
              <w:jc w:val="center"/>
              <w:rPr>
                <w:rFonts w:hint="default" w:ascii="宋体" w:hAnsi="宋体" w:eastAsia="宋体"/>
                <w:color w:val="auto"/>
                <w:sz w:val="21"/>
                <w:szCs w:val="21"/>
                <w:highlight w:val="none"/>
                <w:lang w:val="en-US" w:eastAsia="zh-CN"/>
              </w:rPr>
            </w:pPr>
          </w:p>
        </w:tc>
      </w:tr>
      <w:tr w14:paraId="3659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8" w:hRule="atLeast"/>
        </w:trPr>
        <w:tc>
          <w:tcPr>
            <w:tcW w:w="817" w:type="dxa"/>
            <w:vAlign w:val="center"/>
          </w:tcPr>
          <w:p w14:paraId="54553597">
            <w:pPr>
              <w:jc w:val="center"/>
              <w:rPr>
                <w:rFonts w:hint="eastAsia" w:ascii="宋体" w:hAnsi="宋体"/>
                <w:color w:val="auto"/>
                <w:sz w:val="21"/>
                <w:szCs w:val="21"/>
                <w:highlight w:val="none"/>
              </w:rPr>
            </w:pPr>
            <w:r>
              <w:rPr>
                <w:rFonts w:hint="eastAsia" w:ascii="宋体" w:hAnsi="宋体"/>
                <w:bCs/>
                <w:color w:val="auto"/>
                <w:sz w:val="21"/>
                <w:szCs w:val="21"/>
                <w:highlight w:val="none"/>
                <w:lang w:val="en-US" w:eastAsia="zh-CN"/>
              </w:rPr>
              <w:t>2</w:t>
            </w:r>
          </w:p>
        </w:tc>
        <w:tc>
          <w:tcPr>
            <w:tcW w:w="2372" w:type="dxa"/>
            <w:vAlign w:val="center"/>
          </w:tcPr>
          <w:p w14:paraId="5B30DC0F">
            <w:pPr>
              <w:spacing w:line="360" w:lineRule="auto"/>
              <w:jc w:val="center"/>
              <w:rPr>
                <w:rFonts w:hint="eastAsia" w:ascii="宋体" w:hAnsi="宋体"/>
                <w:color w:val="auto"/>
                <w:sz w:val="21"/>
                <w:szCs w:val="21"/>
                <w:highlight w:val="none"/>
                <w:lang w:val="en-US" w:eastAsia="zh-CN"/>
              </w:rPr>
            </w:pPr>
            <w:r>
              <w:rPr>
                <w:rFonts w:hint="eastAsia" w:ascii="宋体" w:hAnsi="宋体"/>
                <w:color w:val="auto"/>
                <w:sz w:val="21"/>
                <w:szCs w:val="21"/>
                <w:highlight w:val="none"/>
              </w:rPr>
              <w:t>项目经理</w:t>
            </w:r>
          </w:p>
        </w:tc>
        <w:tc>
          <w:tcPr>
            <w:tcW w:w="6442" w:type="dxa"/>
            <w:vAlign w:val="center"/>
          </w:tcPr>
          <w:p w14:paraId="1B0486EF">
            <w:pPr>
              <w:jc w:val="center"/>
              <w:rPr>
                <w:rFonts w:hint="default" w:ascii="宋体" w:hAnsi="宋体" w:eastAsia="宋体"/>
                <w:color w:val="auto"/>
                <w:sz w:val="21"/>
                <w:szCs w:val="21"/>
                <w:highlight w:val="none"/>
                <w:lang w:val="en-US" w:eastAsia="zh-CN"/>
              </w:rPr>
            </w:pPr>
          </w:p>
        </w:tc>
      </w:tr>
      <w:tr w14:paraId="6929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trPr>
        <w:tc>
          <w:tcPr>
            <w:tcW w:w="817" w:type="dxa"/>
            <w:vAlign w:val="center"/>
          </w:tcPr>
          <w:p w14:paraId="30E93B7D">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3</w:t>
            </w:r>
          </w:p>
        </w:tc>
        <w:tc>
          <w:tcPr>
            <w:tcW w:w="2372" w:type="dxa"/>
            <w:vAlign w:val="center"/>
          </w:tcPr>
          <w:p w14:paraId="26FF6CAB">
            <w:pPr>
              <w:jc w:val="center"/>
              <w:rPr>
                <w:rFonts w:hint="eastAsia" w:ascii="宋体" w:hAnsi="宋体" w:eastAsia="宋体"/>
                <w:b/>
                <w:color w:val="auto"/>
                <w:sz w:val="21"/>
                <w:szCs w:val="21"/>
                <w:highlight w:val="none"/>
                <w:lang w:val="en-US" w:eastAsia="zh-CN"/>
              </w:rPr>
            </w:pPr>
            <w:r>
              <w:rPr>
                <w:rFonts w:hint="eastAsia" w:ascii="宋体" w:hAnsi="宋体"/>
                <w:color w:val="auto"/>
                <w:sz w:val="21"/>
                <w:szCs w:val="21"/>
                <w:highlight w:val="none"/>
              </w:rPr>
              <w:t>工期</w:t>
            </w:r>
            <w:r>
              <w:rPr>
                <w:rFonts w:hint="eastAsia" w:ascii="宋体" w:hAnsi="宋体"/>
                <w:color w:val="auto"/>
                <w:sz w:val="21"/>
                <w:szCs w:val="21"/>
                <w:highlight w:val="none"/>
                <w:lang w:val="en-US" w:eastAsia="zh-CN"/>
              </w:rPr>
              <w:t>承诺</w:t>
            </w:r>
          </w:p>
        </w:tc>
        <w:tc>
          <w:tcPr>
            <w:tcW w:w="6442" w:type="dxa"/>
            <w:vAlign w:val="center"/>
          </w:tcPr>
          <w:p w14:paraId="58AB8748">
            <w:pPr>
              <w:jc w:val="center"/>
              <w:rPr>
                <w:rFonts w:ascii="宋体" w:hAnsi="宋体"/>
                <w:color w:val="auto"/>
                <w:sz w:val="21"/>
                <w:szCs w:val="21"/>
                <w:highlight w:val="none"/>
              </w:rPr>
            </w:pPr>
          </w:p>
        </w:tc>
      </w:tr>
      <w:tr w14:paraId="16827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trPr>
        <w:tc>
          <w:tcPr>
            <w:tcW w:w="817" w:type="dxa"/>
            <w:vAlign w:val="center"/>
          </w:tcPr>
          <w:p w14:paraId="69A7E60A">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4</w:t>
            </w:r>
          </w:p>
        </w:tc>
        <w:tc>
          <w:tcPr>
            <w:tcW w:w="2372" w:type="dxa"/>
            <w:vAlign w:val="center"/>
          </w:tcPr>
          <w:p w14:paraId="210615E3">
            <w:pPr>
              <w:jc w:val="center"/>
              <w:rPr>
                <w:rFonts w:hint="eastAsia" w:ascii="宋体" w:hAnsi="宋体" w:eastAsia="宋体"/>
                <w:b/>
                <w:color w:val="auto"/>
                <w:sz w:val="21"/>
                <w:szCs w:val="21"/>
                <w:highlight w:val="none"/>
                <w:lang w:eastAsia="zh-CN"/>
              </w:rPr>
            </w:pPr>
            <w:r>
              <w:rPr>
                <w:rFonts w:hint="eastAsia" w:ascii="宋体" w:hAnsi="宋体"/>
                <w:color w:val="auto"/>
                <w:sz w:val="21"/>
                <w:szCs w:val="21"/>
                <w:highlight w:val="none"/>
              </w:rPr>
              <w:t>质量</w:t>
            </w:r>
            <w:r>
              <w:rPr>
                <w:rFonts w:hint="eastAsia" w:ascii="宋体" w:hAnsi="宋体"/>
                <w:color w:val="auto"/>
                <w:sz w:val="21"/>
                <w:szCs w:val="21"/>
                <w:highlight w:val="none"/>
                <w:lang w:val="en-US" w:eastAsia="zh-CN"/>
              </w:rPr>
              <w:t>承诺</w:t>
            </w:r>
          </w:p>
        </w:tc>
        <w:tc>
          <w:tcPr>
            <w:tcW w:w="6442" w:type="dxa"/>
            <w:vAlign w:val="center"/>
          </w:tcPr>
          <w:p w14:paraId="4A9826E2">
            <w:pPr>
              <w:jc w:val="center"/>
              <w:rPr>
                <w:rFonts w:ascii="宋体" w:hAnsi="宋体"/>
                <w:color w:val="auto"/>
                <w:sz w:val="21"/>
                <w:szCs w:val="21"/>
                <w:highlight w:val="none"/>
              </w:rPr>
            </w:pPr>
          </w:p>
        </w:tc>
      </w:tr>
      <w:tr w14:paraId="0CC9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817" w:type="dxa"/>
            <w:vAlign w:val="center"/>
          </w:tcPr>
          <w:p w14:paraId="43AD4831">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5</w:t>
            </w:r>
          </w:p>
        </w:tc>
        <w:tc>
          <w:tcPr>
            <w:tcW w:w="2372" w:type="dxa"/>
            <w:vAlign w:val="center"/>
          </w:tcPr>
          <w:p w14:paraId="3E0B73FB">
            <w:pPr>
              <w:spacing w:line="400" w:lineRule="exact"/>
              <w:jc w:val="center"/>
              <w:rPr>
                <w:rFonts w:ascii="宋体" w:hAnsi="宋体"/>
                <w:color w:val="auto"/>
                <w:sz w:val="21"/>
                <w:szCs w:val="21"/>
                <w:highlight w:val="none"/>
              </w:rPr>
            </w:pPr>
            <w:r>
              <w:rPr>
                <w:rFonts w:hint="eastAsia" w:ascii="宋体" w:hAnsi="宋体"/>
                <w:color w:val="auto"/>
                <w:sz w:val="21"/>
                <w:szCs w:val="21"/>
                <w:highlight w:val="none"/>
                <w:lang w:val="en-US" w:eastAsia="zh-CN"/>
              </w:rPr>
              <w:t>磋商</w:t>
            </w:r>
            <w:r>
              <w:rPr>
                <w:rFonts w:hint="eastAsia" w:ascii="宋体" w:hAnsi="宋体"/>
                <w:color w:val="auto"/>
                <w:sz w:val="21"/>
                <w:szCs w:val="21"/>
                <w:highlight w:val="none"/>
              </w:rPr>
              <w:t>保证金（元）</w:t>
            </w:r>
          </w:p>
        </w:tc>
        <w:tc>
          <w:tcPr>
            <w:tcW w:w="6442" w:type="dxa"/>
            <w:vAlign w:val="center"/>
          </w:tcPr>
          <w:p w14:paraId="105AEE3F">
            <w:pPr>
              <w:jc w:val="center"/>
              <w:rPr>
                <w:rFonts w:ascii="宋体" w:hAnsi="宋体"/>
                <w:b/>
                <w:color w:val="auto"/>
                <w:sz w:val="21"/>
                <w:szCs w:val="21"/>
                <w:highlight w:val="none"/>
              </w:rPr>
            </w:pPr>
          </w:p>
        </w:tc>
      </w:tr>
      <w:tr w14:paraId="28288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trPr>
        <w:tc>
          <w:tcPr>
            <w:tcW w:w="817" w:type="dxa"/>
            <w:tcBorders>
              <w:bottom w:val="single" w:color="auto" w:sz="4" w:space="0"/>
            </w:tcBorders>
            <w:vAlign w:val="center"/>
          </w:tcPr>
          <w:p w14:paraId="145F85DD">
            <w:pPr>
              <w:jc w:val="center"/>
              <w:rPr>
                <w:rFonts w:hint="default" w:ascii="宋体" w:hAnsi="宋体" w:eastAsia="宋体"/>
                <w:bCs/>
                <w:color w:val="auto"/>
                <w:sz w:val="21"/>
                <w:szCs w:val="21"/>
                <w:highlight w:val="none"/>
                <w:lang w:val="en-US" w:eastAsia="zh-CN"/>
              </w:rPr>
            </w:pPr>
            <w:r>
              <w:rPr>
                <w:rFonts w:hint="eastAsia" w:ascii="宋体" w:hAnsi="宋体"/>
                <w:bCs/>
                <w:color w:val="auto"/>
                <w:sz w:val="21"/>
                <w:szCs w:val="21"/>
                <w:highlight w:val="none"/>
                <w:lang w:val="en-US" w:eastAsia="zh-CN"/>
              </w:rPr>
              <w:t>6</w:t>
            </w:r>
          </w:p>
        </w:tc>
        <w:tc>
          <w:tcPr>
            <w:tcW w:w="2372" w:type="dxa"/>
            <w:tcBorders>
              <w:bottom w:val="single" w:color="auto" w:sz="4" w:space="0"/>
            </w:tcBorders>
            <w:vAlign w:val="center"/>
          </w:tcPr>
          <w:p w14:paraId="3D1E8943">
            <w:pPr>
              <w:jc w:val="center"/>
              <w:rPr>
                <w:rFonts w:ascii="宋体" w:hAnsi="宋体"/>
                <w:color w:val="auto"/>
                <w:sz w:val="21"/>
                <w:szCs w:val="21"/>
                <w:highlight w:val="none"/>
              </w:rPr>
            </w:pPr>
            <w:r>
              <w:rPr>
                <w:rFonts w:hint="eastAsia" w:ascii="宋体" w:hAnsi="宋体"/>
                <w:color w:val="auto"/>
                <w:sz w:val="21"/>
                <w:szCs w:val="21"/>
                <w:highlight w:val="none"/>
                <w:lang w:val="en-US" w:eastAsia="zh-CN"/>
              </w:rPr>
              <w:t>备</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注</w:t>
            </w:r>
          </w:p>
        </w:tc>
        <w:tc>
          <w:tcPr>
            <w:tcW w:w="6442" w:type="dxa"/>
            <w:tcBorders>
              <w:bottom w:val="single" w:color="auto" w:sz="4" w:space="0"/>
            </w:tcBorders>
            <w:vAlign w:val="center"/>
          </w:tcPr>
          <w:p w14:paraId="2D8D82EB">
            <w:pPr>
              <w:jc w:val="center"/>
              <w:rPr>
                <w:rFonts w:ascii="宋体" w:hAnsi="宋体"/>
                <w:b/>
                <w:color w:val="auto"/>
                <w:sz w:val="21"/>
                <w:szCs w:val="21"/>
                <w:highlight w:val="none"/>
              </w:rPr>
            </w:pPr>
            <w:r>
              <w:rPr>
                <w:rFonts w:hint="eastAsia" w:ascii="宋体" w:hAnsi="宋体"/>
                <w:color w:val="auto"/>
                <w:sz w:val="21"/>
                <w:szCs w:val="21"/>
                <w:highlight w:val="none"/>
              </w:rPr>
              <w:t xml:space="preserve"> </w:t>
            </w:r>
          </w:p>
        </w:tc>
      </w:tr>
    </w:tbl>
    <w:p w14:paraId="16A8BAA0">
      <w:pPr>
        <w:pStyle w:val="75"/>
        <w:keepNext w:val="0"/>
        <w:keepLines w:val="0"/>
        <w:pageBreakBefore w:val="0"/>
        <w:widowControl w:val="0"/>
        <w:kinsoku/>
        <w:wordWrap/>
        <w:overflowPunct/>
        <w:topLinePunct w:val="0"/>
        <w:autoSpaceDE w:val="0"/>
        <w:autoSpaceDN w:val="0"/>
        <w:bidi w:val="0"/>
        <w:adjustRightInd w:val="0"/>
        <w:snapToGrid/>
        <w:spacing w:before="0" w:after="0" w:line="460" w:lineRule="exact"/>
        <w:ind w:left="0" w:right="0"/>
        <w:jc w:val="both"/>
        <w:textAlignment w:val="auto"/>
        <w:rPr>
          <w:rFonts w:hint="eastAsia" w:asciiTheme="minorEastAsia" w:hAnsiTheme="minorEastAsia" w:eastAsiaTheme="minorEastAsia" w:cstheme="minorEastAsia"/>
          <w:color w:val="auto"/>
          <w:kern w:val="2"/>
          <w:position w:val="0"/>
          <w:sz w:val="21"/>
          <w:szCs w:val="21"/>
          <w:highlight w:val="none"/>
          <w:lang w:val="en-US" w:eastAsia="zh-CN" w:bidi="ar-SA"/>
        </w:rPr>
      </w:pPr>
      <w:r>
        <w:rPr>
          <w:rFonts w:hint="eastAsia" w:asciiTheme="minorEastAsia" w:hAnsiTheme="minorEastAsia" w:eastAsiaTheme="minorEastAsia" w:cstheme="minorEastAsia"/>
          <w:color w:val="auto"/>
          <w:kern w:val="2"/>
          <w:position w:val="0"/>
          <w:sz w:val="21"/>
          <w:szCs w:val="21"/>
          <w:highlight w:val="none"/>
          <w:lang w:val="en-US" w:eastAsia="zh-CN" w:bidi="ar-SA"/>
        </w:rPr>
        <w:t>注：报价包含供应商须知前附表3.2条所含内容。</w:t>
      </w:r>
    </w:p>
    <w:p w14:paraId="22055635">
      <w:pPr>
        <w:jc w:val="left"/>
        <w:rPr>
          <w:color w:val="auto"/>
          <w:sz w:val="21"/>
          <w:szCs w:val="21"/>
          <w:highlight w:val="none"/>
        </w:rPr>
      </w:pPr>
    </w:p>
    <w:p w14:paraId="01E02440">
      <w:pPr>
        <w:spacing w:line="360" w:lineRule="auto"/>
        <w:ind w:firstLine="441" w:firstLineChars="210"/>
        <w:rPr>
          <w:rFonts w:ascii="宋体" w:hAnsi="宋体"/>
          <w:color w:val="auto"/>
          <w:sz w:val="21"/>
          <w:szCs w:val="21"/>
          <w:highlight w:val="none"/>
        </w:rPr>
      </w:pPr>
    </w:p>
    <w:p w14:paraId="72CC8791">
      <w:pPr>
        <w:spacing w:line="440" w:lineRule="exact"/>
        <w:ind w:firstLine="420" w:firstLineChars="200"/>
        <w:rPr>
          <w:rFonts w:ascii="宋体" w:hAnsi="宋体"/>
          <w:color w:val="auto"/>
          <w:sz w:val="21"/>
          <w:szCs w:val="21"/>
          <w:highlight w:val="none"/>
        </w:rPr>
      </w:pPr>
    </w:p>
    <w:p w14:paraId="362E0F03">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color w:val="auto"/>
          <w:sz w:val="21"/>
          <w:szCs w:val="21"/>
          <w:highlight w:val="none"/>
        </w:rPr>
        <w:t>）</w:t>
      </w:r>
    </w:p>
    <w:p w14:paraId="5DB95286">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5163165D">
      <w:pPr>
        <w:snapToGrid w:val="0"/>
        <w:spacing w:line="480" w:lineRule="auto"/>
        <w:ind w:firstLine="5250" w:firstLineChars="2500"/>
        <w:jc w:val="left"/>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w:t>
      </w:r>
      <w:r>
        <w:rPr>
          <w:rFonts w:hint="eastAsia" w:ascii="宋体" w:hAnsi="宋体" w:cs="宋体"/>
          <w:b w:val="0"/>
          <w:bCs/>
          <w:color w:val="auto"/>
          <w:kern w:val="0"/>
          <w:sz w:val="21"/>
          <w:szCs w:val="21"/>
          <w:highlight w:val="none"/>
          <w:u w:val="single"/>
        </w:rPr>
        <w:t>____</w:t>
      </w:r>
      <w:r>
        <w:rPr>
          <w:rFonts w:hint="eastAsia" w:ascii="宋体" w:hAnsi="宋体" w:cs="宋体"/>
          <w:b w:val="0"/>
          <w:bCs/>
          <w:color w:val="auto"/>
          <w:kern w:val="0"/>
          <w:sz w:val="21"/>
          <w:szCs w:val="21"/>
          <w:highlight w:val="none"/>
        </w:rPr>
        <w:t>月</w:t>
      </w:r>
      <w:r>
        <w:rPr>
          <w:rFonts w:hint="eastAsia" w:ascii="宋体" w:hAnsi="宋体" w:cs="宋体"/>
          <w:b w:val="0"/>
          <w:bCs/>
          <w:color w:val="auto"/>
          <w:kern w:val="0"/>
          <w:sz w:val="21"/>
          <w:szCs w:val="21"/>
          <w:highlight w:val="none"/>
          <w:u w:val="single"/>
        </w:rPr>
        <w:t>____</w:t>
      </w:r>
      <w:r>
        <w:rPr>
          <w:rFonts w:hint="eastAsia" w:ascii="宋体" w:hAnsi="宋体" w:cs="宋体"/>
          <w:b w:val="0"/>
          <w:bCs/>
          <w:color w:val="auto"/>
          <w:kern w:val="0"/>
          <w:sz w:val="21"/>
          <w:szCs w:val="21"/>
          <w:highlight w:val="none"/>
        </w:rPr>
        <w:t>日</w:t>
      </w:r>
    </w:p>
    <w:p w14:paraId="037F7F1B">
      <w:pPr>
        <w:pStyle w:val="13"/>
        <w:rPr>
          <w:color w:val="auto"/>
          <w:highlight w:val="none"/>
        </w:rPr>
      </w:pPr>
    </w:p>
    <w:p w14:paraId="7067BDDB">
      <w:pPr>
        <w:pStyle w:val="4"/>
        <w:ind w:firstLine="562"/>
        <w:rPr>
          <w:rFonts w:hAnsi="宋体"/>
          <w:color w:val="auto"/>
          <w:highlight w:val="none"/>
        </w:rPr>
        <w:sectPr>
          <w:pgSz w:w="11906" w:h="16838"/>
          <w:pgMar w:top="1440" w:right="1080" w:bottom="1440" w:left="1080" w:header="851" w:footer="992" w:gutter="0"/>
          <w:pgNumType w:fmt="decimal"/>
          <w:cols w:space="720" w:num="1"/>
          <w:titlePg/>
          <w:docGrid w:type="lines" w:linePitch="312" w:charSpace="0"/>
        </w:sectPr>
      </w:pPr>
    </w:p>
    <w:p w14:paraId="4EF73DF0">
      <w:pPr>
        <w:jc w:val="center"/>
        <w:rPr>
          <w:rFonts w:hint="eastAsia" w:asciiTheme="minorEastAsia" w:hAnsiTheme="minorEastAsia" w:eastAsiaTheme="minorEastAsia" w:cstheme="minorEastAsia"/>
          <w:b/>
          <w:color w:val="auto"/>
          <w:kern w:val="0"/>
          <w:sz w:val="30"/>
          <w:szCs w:val="30"/>
          <w:highlight w:val="none"/>
          <w:lang w:val="zh-CN"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二、</w:t>
      </w:r>
      <w:r>
        <w:rPr>
          <w:rFonts w:hint="eastAsia" w:asciiTheme="minorEastAsia" w:hAnsiTheme="minorEastAsia" w:eastAsiaTheme="minorEastAsia" w:cstheme="minorEastAsia"/>
          <w:b/>
          <w:color w:val="auto"/>
          <w:kern w:val="0"/>
          <w:sz w:val="30"/>
          <w:szCs w:val="30"/>
          <w:highlight w:val="none"/>
          <w:lang w:val="zh-CN" w:eastAsia="zh-CN" w:bidi="ar-SA"/>
        </w:rPr>
        <w:t>已标价工程量清单</w:t>
      </w:r>
    </w:p>
    <w:p w14:paraId="72EA663E">
      <w:pPr>
        <w:keepNext w:val="0"/>
        <w:keepLines w:val="0"/>
        <w:pageBreakBefore w:val="0"/>
        <w:widowControl w:val="0"/>
        <w:kinsoku/>
        <w:wordWrap w:val="0"/>
        <w:overflowPunct/>
        <w:topLinePunct w:val="0"/>
        <w:autoSpaceDE/>
        <w:autoSpaceDN/>
        <w:bidi w:val="0"/>
        <w:adjustRightInd/>
        <w:snapToGrid/>
        <w:spacing w:line="360" w:lineRule="auto"/>
        <w:ind w:firstLine="420" w:firstLineChars="200"/>
        <w:jc w:val="left"/>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说明：已标价工程量清单按“工程量清单”中的相关清单表格式填写。构成合同文件的已标价工程量清单包括“工程量清单”有关工程量清单、</w:t>
      </w:r>
      <w:r>
        <w:rPr>
          <w:rFonts w:hint="eastAsia" w:asciiTheme="minorEastAsia" w:hAnsiTheme="minorEastAsia" w:eastAsiaTheme="minorEastAsia" w:cstheme="minorEastAsia"/>
          <w:color w:val="auto"/>
          <w:sz w:val="21"/>
          <w:szCs w:val="21"/>
          <w:highlight w:val="none"/>
          <w:lang w:eastAsia="zh-CN"/>
        </w:rPr>
        <w:t>磋商</w:t>
      </w:r>
      <w:r>
        <w:rPr>
          <w:rFonts w:hint="eastAsia" w:asciiTheme="minorEastAsia" w:hAnsiTheme="minorEastAsia" w:eastAsiaTheme="minorEastAsia" w:cstheme="minorEastAsia"/>
          <w:color w:val="auto"/>
          <w:sz w:val="21"/>
          <w:szCs w:val="21"/>
          <w:highlight w:val="none"/>
        </w:rPr>
        <w:t>报价以及其他说明的内容。</w:t>
      </w:r>
    </w:p>
    <w:p w14:paraId="1C816F8C">
      <w:pPr>
        <w:jc w:val="center"/>
        <w:rPr>
          <w:rFonts w:hint="eastAsia" w:asciiTheme="minorEastAsia" w:hAnsiTheme="minorEastAsia" w:eastAsiaTheme="minorEastAsia" w:cstheme="minorEastAsia"/>
          <w:b/>
          <w:color w:val="auto"/>
          <w:kern w:val="0"/>
          <w:sz w:val="30"/>
          <w:szCs w:val="30"/>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p>
    <w:p w14:paraId="561EC54C">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三、磋商函</w:t>
      </w:r>
      <w:bookmarkEnd w:id="1121"/>
      <w:bookmarkEnd w:id="1122"/>
      <w:bookmarkEnd w:id="1123"/>
      <w:bookmarkEnd w:id="1124"/>
      <w:bookmarkEnd w:id="1125"/>
      <w:bookmarkEnd w:id="1126"/>
      <w:bookmarkEnd w:id="1127"/>
      <w:bookmarkEnd w:id="1128"/>
      <w:bookmarkEnd w:id="1129"/>
    </w:p>
    <w:p w14:paraId="153970D4">
      <w:pPr>
        <w:jc w:val="left"/>
        <w:rPr>
          <w:rFonts w:hint="eastAsia" w:ascii="宋体" w:hAnsi="宋体" w:cs="宋体"/>
          <w:color w:val="auto"/>
          <w:kern w:val="0"/>
          <w:szCs w:val="21"/>
          <w:highlight w:val="none"/>
          <w:u w:val="single"/>
        </w:rPr>
      </w:pPr>
    </w:p>
    <w:p w14:paraId="7C0D8DAA">
      <w:pPr>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（采购人名称):</w:t>
      </w:r>
    </w:p>
    <w:p w14:paraId="3B13DD09">
      <w:pPr>
        <w:autoSpaceDE w:val="0"/>
        <w:autoSpaceDN w:val="0"/>
        <w:adjustRightInd w:val="0"/>
        <w:spacing w:line="360" w:lineRule="auto"/>
        <w:ind w:firstLine="309" w:firstLineChars="150"/>
        <w:jc w:val="left"/>
        <w:rPr>
          <w:rFonts w:ascii="宋体" w:hAnsi="宋体" w:cs="宋体"/>
          <w:color w:val="auto"/>
          <w:spacing w:val="-4"/>
          <w:kern w:val="0"/>
          <w:sz w:val="21"/>
          <w:szCs w:val="21"/>
          <w:highlight w:val="none"/>
        </w:rPr>
      </w:pPr>
      <w:r>
        <w:rPr>
          <w:rFonts w:hint="eastAsia" w:ascii="宋体" w:hAnsi="宋体" w:cs="宋体"/>
          <w:color w:val="auto"/>
          <w:spacing w:val="-2"/>
          <w:kern w:val="0"/>
          <w:sz w:val="21"/>
          <w:szCs w:val="21"/>
          <w:highlight w:val="none"/>
        </w:rPr>
        <w:t>1. 我方</w:t>
      </w:r>
      <w:r>
        <w:rPr>
          <w:rFonts w:hint="eastAsia" w:ascii="宋体" w:hAnsi="宋体" w:cs="宋体"/>
          <w:color w:val="auto"/>
          <w:spacing w:val="-2"/>
          <w:kern w:val="0"/>
          <w:sz w:val="21"/>
          <w:szCs w:val="21"/>
          <w:highlight w:val="none"/>
          <w:lang w:eastAsia="zh-CN"/>
        </w:rPr>
        <w:t>已</w:t>
      </w:r>
      <w:r>
        <w:rPr>
          <w:rFonts w:hint="eastAsia" w:ascii="宋体" w:hAnsi="宋体" w:cs="宋体"/>
          <w:color w:val="auto"/>
          <w:spacing w:val="-2"/>
          <w:kern w:val="0"/>
          <w:sz w:val="21"/>
          <w:szCs w:val="21"/>
          <w:highlight w:val="none"/>
        </w:rPr>
        <w:t>仔细研究了</w:t>
      </w:r>
      <w:r>
        <w:rPr>
          <w:rFonts w:hint="eastAsia" w:ascii="宋体" w:hAnsi="宋体" w:cs="宋体"/>
          <w:color w:val="auto"/>
          <w:spacing w:val="-2"/>
          <w:kern w:val="0"/>
          <w:sz w:val="21"/>
          <w:szCs w:val="21"/>
          <w:highlight w:val="none"/>
          <w:u w:val="single"/>
        </w:rPr>
        <w:t xml:space="preserve">              </w:t>
      </w:r>
      <w:r>
        <w:rPr>
          <w:rFonts w:hint="eastAsia" w:ascii="宋体" w:hAnsi="宋体" w:cs="宋体"/>
          <w:color w:val="auto"/>
          <w:spacing w:val="-2"/>
          <w:kern w:val="0"/>
          <w:sz w:val="21"/>
          <w:szCs w:val="21"/>
          <w:highlight w:val="none"/>
          <w:u w:val="single"/>
          <w:lang w:val="en-US" w:eastAsia="zh-CN"/>
        </w:rPr>
        <w:t xml:space="preserve">          </w:t>
      </w:r>
      <w:r>
        <w:rPr>
          <w:rFonts w:hint="eastAsia" w:ascii="宋体" w:hAnsi="宋体" w:cs="宋体"/>
          <w:color w:val="auto"/>
          <w:spacing w:val="-2"/>
          <w:kern w:val="0"/>
          <w:sz w:val="21"/>
          <w:szCs w:val="21"/>
          <w:highlight w:val="none"/>
          <w:u w:val="single"/>
        </w:rPr>
        <w:t xml:space="preserve">  </w:t>
      </w:r>
      <w:r>
        <w:rPr>
          <w:rFonts w:hint="eastAsia" w:ascii="宋体" w:hAnsi="宋体" w:cs="宋体"/>
          <w:color w:val="auto"/>
          <w:spacing w:val="-2"/>
          <w:kern w:val="0"/>
          <w:sz w:val="21"/>
          <w:szCs w:val="21"/>
          <w:highlight w:val="none"/>
          <w:u w:val="none"/>
        </w:rPr>
        <w:t>（项目名称）</w:t>
      </w:r>
      <w:r>
        <w:rPr>
          <w:rFonts w:hint="eastAsia" w:ascii="宋体" w:hAnsi="宋体" w:cs="宋体"/>
          <w:color w:val="auto"/>
          <w:spacing w:val="-2"/>
          <w:kern w:val="0"/>
          <w:sz w:val="21"/>
          <w:szCs w:val="21"/>
          <w:highlight w:val="none"/>
        </w:rPr>
        <w:t>磋商文件的全部内容，愿</w:t>
      </w:r>
      <w:r>
        <w:rPr>
          <w:rFonts w:hint="eastAsia" w:ascii="宋体" w:hAnsi="宋体" w:cs="宋体"/>
          <w:color w:val="auto"/>
          <w:kern w:val="0"/>
          <w:sz w:val="21"/>
          <w:szCs w:val="21"/>
          <w:highlight w:val="none"/>
        </w:rPr>
        <w:t>意以人民币（大写）</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元)的总报价进行磋商，工期</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，按合同约定实施和完成承包工程，修补工程中的任何缺陷，工程质量</w:t>
      </w:r>
      <w:r>
        <w:rPr>
          <w:rFonts w:hint="eastAsia" w:ascii="宋体" w:hAnsi="宋体" w:cs="宋体"/>
          <w:color w:val="auto"/>
          <w:kern w:val="0"/>
          <w:sz w:val="21"/>
          <w:szCs w:val="21"/>
          <w:highlight w:val="none"/>
          <w:lang w:eastAsia="zh-CN"/>
        </w:rPr>
        <w:t>符合</w:t>
      </w:r>
      <w:r>
        <w:rPr>
          <w:rFonts w:hint="eastAsia" w:ascii="宋体" w:hAnsi="宋体" w:cs="宋体"/>
          <w:color w:val="auto"/>
          <w:kern w:val="0"/>
          <w:sz w:val="21"/>
          <w:szCs w:val="21"/>
          <w:highlight w:val="none"/>
          <w:u w:val="single"/>
        </w:rPr>
        <w:t xml:space="preserve">              </w:t>
      </w:r>
      <w:r>
        <w:rPr>
          <w:rFonts w:hint="eastAsia" w:ascii="宋体" w:hAnsi="宋体" w:cs="宋体"/>
          <w:color w:val="auto"/>
          <w:spacing w:val="-4"/>
          <w:kern w:val="0"/>
          <w:sz w:val="21"/>
          <w:szCs w:val="21"/>
          <w:highlight w:val="none"/>
        </w:rPr>
        <w:t>。</w:t>
      </w:r>
    </w:p>
    <w:p w14:paraId="252A0F5E">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 我方承诺在</w:t>
      </w:r>
      <w:r>
        <w:rPr>
          <w:rFonts w:hint="eastAsia" w:ascii="宋体" w:hAnsi="宋体" w:cs="宋体"/>
          <w:color w:val="auto"/>
          <w:kern w:val="0"/>
          <w:sz w:val="21"/>
          <w:szCs w:val="21"/>
          <w:highlight w:val="none"/>
          <w:lang w:eastAsia="zh-CN"/>
        </w:rPr>
        <w:t>磋商</w:t>
      </w:r>
      <w:r>
        <w:rPr>
          <w:rFonts w:hint="eastAsia" w:ascii="宋体" w:hAnsi="宋体" w:cs="宋体"/>
          <w:color w:val="auto"/>
          <w:kern w:val="0"/>
          <w:sz w:val="21"/>
          <w:szCs w:val="21"/>
          <w:highlight w:val="none"/>
        </w:rPr>
        <w:t>有效期内不补充、修改、替代或者撤回本</w:t>
      </w:r>
      <w:r>
        <w:rPr>
          <w:rFonts w:hint="eastAsia" w:ascii="宋体" w:hAnsi="宋体" w:cs="宋体"/>
          <w:color w:val="auto"/>
          <w:kern w:val="0"/>
          <w:sz w:val="21"/>
          <w:szCs w:val="21"/>
          <w:highlight w:val="none"/>
          <w:lang w:eastAsia="zh-CN"/>
        </w:rPr>
        <w:t>磋商响应</w:t>
      </w:r>
      <w:r>
        <w:rPr>
          <w:rFonts w:hint="eastAsia" w:ascii="宋体" w:hAnsi="宋体" w:cs="宋体"/>
          <w:color w:val="auto"/>
          <w:kern w:val="0"/>
          <w:sz w:val="21"/>
          <w:szCs w:val="21"/>
          <w:highlight w:val="none"/>
        </w:rPr>
        <w:t>文件。</w:t>
      </w:r>
    </w:p>
    <w:p w14:paraId="0D7AF398">
      <w:pPr>
        <w:autoSpaceDE w:val="0"/>
        <w:autoSpaceDN w:val="0"/>
        <w:adjustRightInd w:val="0"/>
        <w:spacing w:line="360" w:lineRule="auto"/>
        <w:ind w:firstLine="315"/>
        <w:jc w:val="left"/>
        <w:rPr>
          <w:rFonts w:ascii="宋体" w:hAnsi="宋体" w:cs="宋体"/>
          <w:color w:val="auto"/>
          <w:kern w:val="0"/>
          <w:sz w:val="21"/>
          <w:szCs w:val="21"/>
          <w:highlight w:val="none"/>
          <w:u w:val="single"/>
        </w:rPr>
      </w:pPr>
      <w:r>
        <w:rPr>
          <w:rFonts w:hint="eastAsia" w:ascii="宋体" w:hAnsi="宋体" w:cs="宋体"/>
          <w:color w:val="auto"/>
          <w:kern w:val="0"/>
          <w:sz w:val="21"/>
          <w:szCs w:val="21"/>
          <w:highlight w:val="none"/>
        </w:rPr>
        <w:t>3. 随同本磋商函递交</w:t>
      </w:r>
      <w:r>
        <w:rPr>
          <w:rFonts w:hint="eastAsia" w:ascii="宋体" w:hAnsi="宋体" w:cs="宋体"/>
          <w:color w:val="auto"/>
          <w:kern w:val="0"/>
          <w:sz w:val="21"/>
          <w:szCs w:val="21"/>
          <w:highlight w:val="none"/>
          <w:lang w:eastAsia="zh-CN"/>
        </w:rPr>
        <w:t>磋商</w:t>
      </w:r>
      <w:r>
        <w:rPr>
          <w:rFonts w:hint="eastAsia" w:ascii="宋体" w:hAnsi="宋体" w:cs="宋体"/>
          <w:color w:val="auto"/>
          <w:kern w:val="0"/>
          <w:sz w:val="21"/>
          <w:szCs w:val="21"/>
          <w:highlight w:val="none"/>
        </w:rPr>
        <w:t>保证金一份，金额为人民币(大写)</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w:t>
      </w:r>
      <w:r>
        <w:rPr>
          <w:rFonts w:hint="eastAsia" w:ascii="宋体" w:hAnsi="宋体" w:cs="宋体"/>
          <w:color w:val="auto"/>
          <w:kern w:val="0"/>
          <w:sz w:val="21"/>
          <w:szCs w:val="21"/>
          <w:highlight w:val="none"/>
          <w:lang w:eastAsia="zh-CN"/>
        </w:rPr>
        <w:t>¥</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none"/>
        </w:rPr>
        <w:t>元</w:t>
      </w:r>
      <w:r>
        <w:rPr>
          <w:rFonts w:hint="eastAsia" w:ascii="宋体" w:hAnsi="宋体" w:cs="宋体"/>
          <w:color w:val="auto"/>
          <w:kern w:val="0"/>
          <w:sz w:val="21"/>
          <w:szCs w:val="21"/>
          <w:highlight w:val="none"/>
        </w:rPr>
        <w:t>)。</w:t>
      </w:r>
    </w:p>
    <w:p w14:paraId="5FDDAAC9">
      <w:pPr>
        <w:autoSpaceDE w:val="0"/>
        <w:autoSpaceDN w:val="0"/>
        <w:adjustRightInd w:val="0"/>
        <w:spacing w:line="360" w:lineRule="auto"/>
        <w:ind w:firstLine="315"/>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4. 如我方中标：</w:t>
      </w:r>
    </w:p>
    <w:p w14:paraId="74C5C1E4">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(1) 我方承诺在收到磋商通知书后，在磋商通知书规定的期限内与你方签订合同；</w:t>
      </w:r>
    </w:p>
    <w:p w14:paraId="001CFDD0">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(2) 随同本磋商函递交的磋商函附录属于合同文件的组成部分；</w:t>
      </w:r>
    </w:p>
    <w:p w14:paraId="6BBE4224">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(3) 我方承诺在合同约定的期限内完成并移交全部合同工程。</w:t>
      </w:r>
    </w:p>
    <w:p w14:paraId="42542DE6">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5. 我方在此声明，所递交的磋商响应文件及有关资料内容完整、真实和准确。</w:t>
      </w:r>
      <w:r>
        <w:rPr>
          <w:rFonts w:hint="eastAsia" w:ascii="宋体" w:hAnsi="宋体" w:cs="宋体"/>
          <w:color w:val="auto"/>
          <w:kern w:val="0"/>
          <w:sz w:val="21"/>
          <w:szCs w:val="21"/>
          <w:highlight w:val="none"/>
        </w:rPr>
        <w:tab/>
      </w:r>
    </w:p>
    <w:p w14:paraId="54214562">
      <w:pPr>
        <w:autoSpaceDE w:val="0"/>
        <w:autoSpaceDN w:val="0"/>
        <w:adjustRightInd w:val="0"/>
        <w:spacing w:line="360" w:lineRule="auto"/>
        <w:ind w:firstLine="315" w:firstLineChars="150"/>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6.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(其它补充说明)。</w:t>
      </w:r>
    </w:p>
    <w:p w14:paraId="7D6599C7">
      <w:pPr>
        <w:autoSpaceDE w:val="0"/>
        <w:autoSpaceDN w:val="0"/>
        <w:adjustRightInd w:val="0"/>
        <w:spacing w:line="360" w:lineRule="auto"/>
        <w:jc w:val="left"/>
        <w:rPr>
          <w:rFonts w:ascii="宋体" w:hAnsi="宋体" w:cs="宋体"/>
          <w:color w:val="auto"/>
          <w:kern w:val="0"/>
          <w:sz w:val="21"/>
          <w:szCs w:val="21"/>
          <w:highlight w:val="none"/>
        </w:rPr>
      </w:pPr>
    </w:p>
    <w:p w14:paraId="490499E0">
      <w:pPr>
        <w:autoSpaceDE w:val="0"/>
        <w:autoSpaceDN w:val="0"/>
        <w:adjustRightInd w:val="0"/>
        <w:spacing w:line="360" w:lineRule="auto"/>
        <w:ind w:firstLine="3103" w:firstLineChars="1478"/>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lang w:eastAsia="zh-CN"/>
        </w:rPr>
        <w:t>供应商名称</w:t>
      </w:r>
      <w:r>
        <w:rPr>
          <w:rFonts w:hint="eastAsia" w:ascii="宋体" w:hAnsi="宋体" w:cs="宋体"/>
          <w:bCs/>
          <w:color w:val="auto"/>
          <w:kern w:val="0"/>
          <w:sz w:val="21"/>
          <w:szCs w:val="21"/>
          <w:highlight w:val="none"/>
        </w:rPr>
        <w:t>：</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none"/>
        </w:rPr>
        <w:t>（</w:t>
      </w:r>
      <w:r>
        <w:rPr>
          <w:rFonts w:hint="eastAsia" w:ascii="宋体" w:hAnsi="宋体" w:cs="宋体"/>
          <w:color w:val="auto"/>
          <w:szCs w:val="21"/>
          <w:lang w:val="en-US" w:eastAsia="zh-CN"/>
        </w:rPr>
        <w:t>加盖单位公章或电子公章</w:t>
      </w:r>
      <w:r>
        <w:rPr>
          <w:rFonts w:hint="eastAsia" w:ascii="宋体" w:hAnsi="宋体" w:cs="宋体"/>
          <w:color w:val="auto"/>
          <w:kern w:val="0"/>
          <w:sz w:val="21"/>
          <w:szCs w:val="21"/>
          <w:highlight w:val="none"/>
          <w:u w:val="none"/>
        </w:rPr>
        <w:t>）</w:t>
      </w:r>
    </w:p>
    <w:p w14:paraId="12525694">
      <w:pPr>
        <w:autoSpaceDE w:val="0"/>
        <w:autoSpaceDN w:val="0"/>
        <w:adjustRightInd w:val="0"/>
        <w:spacing w:line="360" w:lineRule="auto"/>
        <w:ind w:firstLine="3103" w:firstLineChars="1478"/>
        <w:jc w:val="left"/>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法定代表人或其委托代理人:</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single"/>
        </w:rPr>
        <w:t xml:space="preserve">  </w:t>
      </w:r>
      <w:r>
        <w:rPr>
          <w:rFonts w:hint="eastAsia" w:ascii="宋体" w:hAnsi="宋体" w:cs="宋体"/>
          <w:bCs/>
          <w:color w:val="auto"/>
          <w:kern w:val="0"/>
          <w:sz w:val="21"/>
          <w:szCs w:val="21"/>
          <w:highlight w:val="none"/>
          <w:u w:val="single"/>
          <w:lang w:val="en-US" w:eastAsia="zh-CN"/>
        </w:rPr>
        <w:t xml:space="preserve">  </w:t>
      </w:r>
      <w:r>
        <w:rPr>
          <w:rFonts w:hint="eastAsia" w:ascii="宋体" w:hAnsi="宋体" w:cs="宋体"/>
          <w:bCs/>
          <w:color w:val="auto"/>
          <w:kern w:val="0"/>
          <w:sz w:val="21"/>
          <w:szCs w:val="21"/>
          <w:highlight w:val="none"/>
          <w:u w:val="none"/>
        </w:rPr>
        <w:t>（</w:t>
      </w:r>
      <w:r>
        <w:rPr>
          <w:rFonts w:hint="eastAsia" w:ascii="宋体" w:hAnsi="宋体" w:cs="宋体"/>
          <w:bCs/>
          <w:color w:val="auto"/>
          <w:kern w:val="0"/>
          <w:sz w:val="21"/>
          <w:szCs w:val="21"/>
          <w:highlight w:val="none"/>
          <w:u w:val="none"/>
          <w:lang w:val="en-US" w:eastAsia="zh-CN"/>
        </w:rPr>
        <w:t>签字或电子签章或电子签名</w:t>
      </w:r>
      <w:r>
        <w:rPr>
          <w:rFonts w:hint="eastAsia" w:ascii="宋体" w:hAnsi="宋体" w:cs="宋体"/>
          <w:bCs/>
          <w:color w:val="auto"/>
          <w:kern w:val="0"/>
          <w:sz w:val="21"/>
          <w:szCs w:val="21"/>
          <w:highlight w:val="none"/>
          <w:u w:val="none"/>
        </w:rPr>
        <w:t>）</w:t>
      </w:r>
    </w:p>
    <w:p w14:paraId="0069A4B5">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地址：</w:t>
      </w:r>
      <w:r>
        <w:rPr>
          <w:rFonts w:hint="eastAsia" w:ascii="宋体" w:hAnsi="宋体" w:cs="宋体"/>
          <w:bCs/>
          <w:color w:val="auto"/>
          <w:kern w:val="0"/>
          <w:sz w:val="21"/>
          <w:szCs w:val="21"/>
          <w:highlight w:val="none"/>
          <w:u w:val="single"/>
        </w:rPr>
        <w:t xml:space="preserve">                               </w:t>
      </w:r>
    </w:p>
    <w:p w14:paraId="23D64C53">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网址：</w:t>
      </w:r>
      <w:r>
        <w:rPr>
          <w:rFonts w:hint="eastAsia" w:ascii="宋体" w:hAnsi="宋体" w:cs="宋体"/>
          <w:bCs/>
          <w:color w:val="auto"/>
          <w:kern w:val="0"/>
          <w:sz w:val="21"/>
          <w:szCs w:val="21"/>
          <w:highlight w:val="none"/>
          <w:u w:val="single"/>
        </w:rPr>
        <w:t xml:space="preserve">                               </w:t>
      </w:r>
    </w:p>
    <w:p w14:paraId="19FE6D39">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电话：</w:t>
      </w:r>
      <w:r>
        <w:rPr>
          <w:rFonts w:hint="eastAsia" w:ascii="宋体" w:hAnsi="宋体" w:cs="宋体"/>
          <w:bCs/>
          <w:color w:val="auto"/>
          <w:kern w:val="0"/>
          <w:sz w:val="21"/>
          <w:szCs w:val="21"/>
          <w:highlight w:val="none"/>
          <w:u w:val="single"/>
        </w:rPr>
        <w:t xml:space="preserve">                               </w:t>
      </w:r>
    </w:p>
    <w:p w14:paraId="05DE2EA0">
      <w:pPr>
        <w:autoSpaceDE w:val="0"/>
        <w:autoSpaceDN w:val="0"/>
        <w:adjustRightInd w:val="0"/>
        <w:spacing w:line="360" w:lineRule="auto"/>
        <w:ind w:firstLine="3103" w:firstLineChars="1478"/>
        <w:jc w:val="left"/>
        <w:rPr>
          <w:rFonts w:ascii="宋体" w:hAnsi="宋体" w:cs="宋体"/>
          <w:bCs/>
          <w:color w:val="auto"/>
          <w:kern w:val="0"/>
          <w:sz w:val="21"/>
          <w:szCs w:val="21"/>
          <w:highlight w:val="none"/>
          <w:u w:val="single"/>
        </w:rPr>
      </w:pPr>
      <w:r>
        <w:rPr>
          <w:rFonts w:hint="eastAsia" w:ascii="宋体" w:hAnsi="宋体" w:cs="宋体"/>
          <w:bCs/>
          <w:color w:val="auto"/>
          <w:kern w:val="0"/>
          <w:sz w:val="21"/>
          <w:szCs w:val="21"/>
          <w:highlight w:val="none"/>
        </w:rPr>
        <w:t>传真：</w:t>
      </w:r>
      <w:r>
        <w:rPr>
          <w:rFonts w:hint="eastAsia" w:ascii="宋体" w:hAnsi="宋体" w:cs="宋体"/>
          <w:bCs/>
          <w:color w:val="auto"/>
          <w:kern w:val="0"/>
          <w:sz w:val="21"/>
          <w:szCs w:val="21"/>
          <w:highlight w:val="none"/>
          <w:u w:val="single"/>
        </w:rPr>
        <w:t xml:space="preserve">                               </w:t>
      </w:r>
    </w:p>
    <w:p w14:paraId="0E2289F3">
      <w:pPr>
        <w:autoSpaceDE w:val="0"/>
        <w:autoSpaceDN w:val="0"/>
        <w:adjustRightInd w:val="0"/>
        <w:spacing w:line="360" w:lineRule="auto"/>
        <w:ind w:firstLine="3103" w:firstLineChars="1478"/>
        <w:jc w:val="left"/>
        <w:rPr>
          <w:rFonts w:ascii="宋体" w:hAnsi="宋体" w:cs="宋体"/>
          <w:b/>
          <w:color w:val="auto"/>
          <w:kern w:val="0"/>
          <w:sz w:val="21"/>
          <w:szCs w:val="21"/>
          <w:highlight w:val="none"/>
          <w:u w:val="single"/>
        </w:rPr>
      </w:pPr>
      <w:r>
        <w:rPr>
          <w:rFonts w:hint="eastAsia" w:ascii="宋体" w:hAnsi="宋体" w:cs="宋体"/>
          <w:bCs/>
          <w:color w:val="auto"/>
          <w:kern w:val="0"/>
          <w:sz w:val="21"/>
          <w:szCs w:val="21"/>
          <w:highlight w:val="none"/>
        </w:rPr>
        <w:t>邮政编码：</w:t>
      </w:r>
      <w:r>
        <w:rPr>
          <w:rFonts w:hint="eastAsia" w:ascii="宋体" w:hAnsi="宋体" w:cs="宋体"/>
          <w:b/>
          <w:color w:val="auto"/>
          <w:kern w:val="0"/>
          <w:sz w:val="21"/>
          <w:szCs w:val="21"/>
          <w:highlight w:val="none"/>
          <w:u w:val="single"/>
        </w:rPr>
        <w:t xml:space="preserve">                           </w:t>
      </w:r>
    </w:p>
    <w:p w14:paraId="0CBBA0DE">
      <w:pPr>
        <w:autoSpaceDE w:val="0"/>
        <w:autoSpaceDN w:val="0"/>
        <w:adjustRightInd w:val="0"/>
        <w:spacing w:line="360" w:lineRule="auto"/>
        <w:jc w:val="center"/>
        <w:rPr>
          <w:rFonts w:ascii="宋体" w:hAnsi="宋体" w:cs="宋体"/>
          <w:color w:val="auto"/>
          <w:kern w:val="0"/>
          <w:sz w:val="21"/>
          <w:szCs w:val="21"/>
          <w:highlight w:val="none"/>
        </w:rPr>
      </w:pPr>
      <w:r>
        <w:rPr>
          <w:rFonts w:hint="eastAsia" w:ascii="宋体" w:hAnsi="宋体" w:cs="宋体"/>
          <w:b/>
          <w:color w:val="auto"/>
          <w:kern w:val="0"/>
          <w:sz w:val="21"/>
          <w:szCs w:val="21"/>
          <w:highlight w:val="none"/>
          <w:lang w:val="en-US" w:eastAsia="zh-CN"/>
        </w:rPr>
        <w:t xml:space="preserve">                                </w:t>
      </w:r>
      <w:r>
        <w:rPr>
          <w:rFonts w:hint="eastAsia" w:ascii="宋体" w:hAnsi="宋体" w:cs="宋体"/>
          <w:b w:val="0"/>
          <w:bCs w:val="0"/>
          <w:color w:val="auto"/>
          <w:sz w:val="21"/>
          <w:szCs w:val="21"/>
          <w:highlight w:val="none"/>
          <w:u w:val="single"/>
        </w:rPr>
        <w:t xml:space="preserve">        </w:t>
      </w:r>
      <w:r>
        <w:rPr>
          <w:rFonts w:hint="eastAsia" w:ascii="宋体" w:hAnsi="宋体" w:cs="宋体"/>
          <w:b w:val="0"/>
          <w:bCs w:val="0"/>
          <w:color w:val="auto"/>
          <w:kern w:val="0"/>
          <w:sz w:val="21"/>
          <w:szCs w:val="21"/>
          <w:highlight w:val="none"/>
        </w:rPr>
        <w:t>年____月____日</w:t>
      </w:r>
    </w:p>
    <w:p w14:paraId="3ABD5A02">
      <w:pPr>
        <w:jc w:val="center"/>
        <w:rPr>
          <w:rFonts w:hint="eastAsia" w:asciiTheme="minorEastAsia" w:hAnsiTheme="minorEastAsia" w:eastAsiaTheme="minorEastAsia" w:cstheme="minorEastAsia"/>
          <w:b/>
          <w:color w:val="auto"/>
          <w:kern w:val="0"/>
          <w:sz w:val="30"/>
          <w:szCs w:val="30"/>
          <w:highlight w:val="none"/>
          <w:lang w:val="en-US" w:eastAsia="zh-CN" w:bidi="ar-SA"/>
        </w:rPr>
        <w:sectPr>
          <w:pgSz w:w="11906" w:h="16838"/>
          <w:pgMar w:top="1440" w:right="1080" w:bottom="1440" w:left="1080" w:header="851" w:footer="992" w:gutter="0"/>
          <w:pgNumType w:fmt="decimal"/>
          <w:cols w:space="720" w:num="1"/>
          <w:titlePg/>
          <w:docGrid w:type="lines" w:linePitch="312" w:charSpace="0"/>
        </w:sectPr>
      </w:pPr>
    </w:p>
    <w:p w14:paraId="39614E84">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四、磋商函附录</w:t>
      </w:r>
    </w:p>
    <w:p w14:paraId="2C636A75">
      <w:pPr>
        <w:adjustRightInd w:val="0"/>
        <w:snapToGrid w:val="0"/>
        <w:spacing w:line="360" w:lineRule="auto"/>
        <w:jc w:val="center"/>
        <w:rPr>
          <w:rFonts w:ascii="宋体" w:hAnsi="宋体" w:cs="宋体"/>
          <w:color w:val="auto"/>
          <w:kern w:val="0"/>
          <w:sz w:val="28"/>
          <w:szCs w:val="28"/>
          <w:highlight w:val="none"/>
        </w:rPr>
      </w:pPr>
    </w:p>
    <w:p w14:paraId="533B7E71">
      <w:pPr>
        <w:adjustRightInd w:val="0"/>
        <w:snapToGrid w:val="0"/>
        <w:spacing w:line="360" w:lineRule="auto"/>
        <w:jc w:val="left"/>
        <w:rPr>
          <w:rFonts w:hint="default" w:ascii="宋体" w:hAnsi="宋体" w:eastAsia="宋体" w:cs="宋体"/>
          <w:color w:val="auto"/>
          <w:kern w:val="0"/>
          <w:sz w:val="21"/>
          <w:szCs w:val="21"/>
          <w:highlight w:val="none"/>
          <w:u w:val="single"/>
          <w:lang w:val="en-US" w:eastAsia="zh-CN"/>
        </w:rPr>
      </w:pPr>
      <w:r>
        <w:rPr>
          <w:rFonts w:hint="eastAsia" w:ascii="宋体" w:hAnsi="宋体" w:cs="宋体"/>
          <w:color w:val="auto"/>
          <w:kern w:val="0"/>
          <w:sz w:val="21"/>
          <w:szCs w:val="21"/>
          <w:highlight w:val="none"/>
          <w:lang w:eastAsia="zh-CN"/>
        </w:rPr>
        <w:t>项目名称</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u w:val="single"/>
          <w:lang w:val="en-US" w:eastAsia="zh-CN"/>
        </w:rPr>
        <w:t xml:space="preserve">                            </w:t>
      </w:r>
    </w:p>
    <w:tbl>
      <w:tblPr>
        <w:tblStyle w:val="25"/>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3104"/>
        <w:gridCol w:w="1635"/>
        <w:gridCol w:w="3116"/>
        <w:gridCol w:w="969"/>
      </w:tblGrid>
      <w:tr w14:paraId="0657A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28726A2D">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 号</w:t>
            </w:r>
          </w:p>
        </w:tc>
        <w:tc>
          <w:tcPr>
            <w:tcW w:w="3104" w:type="dxa"/>
            <w:vAlign w:val="center"/>
          </w:tcPr>
          <w:p w14:paraId="2AF929C0">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条款内容</w:t>
            </w:r>
          </w:p>
        </w:tc>
        <w:tc>
          <w:tcPr>
            <w:tcW w:w="1635" w:type="dxa"/>
            <w:vAlign w:val="center"/>
          </w:tcPr>
          <w:p w14:paraId="20CD0B02">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合同条款号</w:t>
            </w:r>
          </w:p>
        </w:tc>
        <w:tc>
          <w:tcPr>
            <w:tcW w:w="3116" w:type="dxa"/>
            <w:vAlign w:val="center"/>
          </w:tcPr>
          <w:p w14:paraId="1A6DEC2A">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约定内容</w:t>
            </w:r>
          </w:p>
        </w:tc>
        <w:tc>
          <w:tcPr>
            <w:tcW w:w="969" w:type="dxa"/>
            <w:vAlign w:val="center"/>
          </w:tcPr>
          <w:p w14:paraId="7248D8BC">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p>
        </w:tc>
      </w:tr>
      <w:tr w14:paraId="4264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009C25C">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1</w:t>
            </w:r>
          </w:p>
        </w:tc>
        <w:tc>
          <w:tcPr>
            <w:tcW w:w="3104" w:type="dxa"/>
            <w:vAlign w:val="center"/>
          </w:tcPr>
          <w:p w14:paraId="6D4B4A0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项目经理（建造师）</w:t>
            </w:r>
          </w:p>
        </w:tc>
        <w:tc>
          <w:tcPr>
            <w:tcW w:w="1635" w:type="dxa"/>
            <w:tcMar>
              <w:left w:w="170" w:type="dxa"/>
            </w:tcMar>
            <w:vAlign w:val="center"/>
          </w:tcPr>
          <w:p w14:paraId="2CA2E7F1">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654B48D0">
            <w:pPr>
              <w:rPr>
                <w:rFonts w:ascii="宋体" w:hAnsi="宋体" w:cs="宋体"/>
                <w:color w:val="auto"/>
                <w:kern w:val="0"/>
                <w:sz w:val="21"/>
                <w:szCs w:val="21"/>
                <w:highlight w:val="none"/>
              </w:rPr>
            </w:pPr>
            <w:r>
              <w:rPr>
                <w:rFonts w:hint="eastAsia" w:ascii="宋体" w:hAnsi="宋体" w:cs="宋体"/>
                <w:color w:val="auto"/>
                <w:kern w:val="0"/>
                <w:sz w:val="21"/>
                <w:szCs w:val="21"/>
                <w:highlight w:val="none"/>
              </w:rPr>
              <w:t>姓名：</w:t>
            </w:r>
            <w:r>
              <w:rPr>
                <w:rFonts w:hint="eastAsia" w:ascii="宋体" w:hAnsi="宋体" w:cs="宋体"/>
                <w:color w:val="auto"/>
                <w:kern w:val="0"/>
                <w:sz w:val="21"/>
                <w:szCs w:val="21"/>
                <w:highlight w:val="none"/>
                <w:u w:val="single"/>
              </w:rPr>
              <w:t xml:space="preserve">          </w:t>
            </w:r>
          </w:p>
        </w:tc>
        <w:tc>
          <w:tcPr>
            <w:tcW w:w="969" w:type="dxa"/>
            <w:vAlign w:val="center"/>
          </w:tcPr>
          <w:p w14:paraId="5325462E">
            <w:pPr>
              <w:adjustRightInd w:val="0"/>
              <w:snapToGrid w:val="0"/>
              <w:spacing w:line="360" w:lineRule="auto"/>
              <w:jc w:val="center"/>
              <w:rPr>
                <w:rFonts w:ascii="宋体" w:hAnsi="宋体" w:cs="宋体"/>
                <w:color w:val="auto"/>
                <w:kern w:val="0"/>
                <w:sz w:val="21"/>
                <w:szCs w:val="21"/>
                <w:highlight w:val="none"/>
              </w:rPr>
            </w:pPr>
          </w:p>
        </w:tc>
      </w:tr>
      <w:tr w14:paraId="28C7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40368B92">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2</w:t>
            </w:r>
          </w:p>
        </w:tc>
        <w:tc>
          <w:tcPr>
            <w:tcW w:w="3104" w:type="dxa"/>
            <w:vAlign w:val="center"/>
          </w:tcPr>
          <w:p w14:paraId="564F99C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工期</w:t>
            </w:r>
          </w:p>
        </w:tc>
        <w:tc>
          <w:tcPr>
            <w:tcW w:w="1635" w:type="dxa"/>
            <w:tcMar>
              <w:left w:w="170" w:type="dxa"/>
            </w:tcMar>
            <w:vAlign w:val="center"/>
          </w:tcPr>
          <w:p w14:paraId="7D27A381">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38D40203">
            <w:pPr>
              <w:jc w:val="both"/>
              <w:rPr>
                <w:rFonts w:hint="eastAsia" w:ascii="宋体" w:hAnsi="宋体" w:eastAsia="宋体" w:cs="宋体"/>
                <w:color w:val="auto"/>
                <w:kern w:val="0"/>
                <w:sz w:val="21"/>
                <w:szCs w:val="21"/>
                <w:highlight w:val="none"/>
                <w:lang w:eastAsia="zh-CN"/>
              </w:rPr>
            </w:pPr>
            <w:r>
              <w:rPr>
                <w:rFonts w:hint="eastAsia" w:ascii="宋体" w:hAnsi="宋体" w:cs="宋体"/>
                <w:strike w:val="0"/>
                <w:dstrike w:val="0"/>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non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lang w:val="en-US" w:eastAsia="zh-CN"/>
              </w:rPr>
              <w:t xml:space="preserve"> </w:t>
            </w:r>
          </w:p>
        </w:tc>
        <w:tc>
          <w:tcPr>
            <w:tcW w:w="969" w:type="dxa"/>
            <w:vAlign w:val="center"/>
          </w:tcPr>
          <w:p w14:paraId="789872FD">
            <w:pPr>
              <w:adjustRightInd w:val="0"/>
              <w:snapToGrid w:val="0"/>
              <w:spacing w:line="360" w:lineRule="auto"/>
              <w:jc w:val="center"/>
              <w:rPr>
                <w:rFonts w:ascii="宋体" w:hAnsi="宋体" w:cs="宋体"/>
                <w:color w:val="auto"/>
                <w:kern w:val="0"/>
                <w:sz w:val="21"/>
                <w:szCs w:val="21"/>
                <w:highlight w:val="none"/>
              </w:rPr>
            </w:pPr>
          </w:p>
        </w:tc>
      </w:tr>
      <w:tr w14:paraId="2010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71A5BAA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3</w:t>
            </w:r>
          </w:p>
        </w:tc>
        <w:tc>
          <w:tcPr>
            <w:tcW w:w="3104" w:type="dxa"/>
            <w:vAlign w:val="center"/>
          </w:tcPr>
          <w:p w14:paraId="7D85F895">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缺陷责任期</w:t>
            </w:r>
          </w:p>
        </w:tc>
        <w:tc>
          <w:tcPr>
            <w:tcW w:w="1635" w:type="dxa"/>
            <w:tcMar>
              <w:left w:w="170" w:type="dxa"/>
            </w:tcMar>
            <w:vAlign w:val="center"/>
          </w:tcPr>
          <w:p w14:paraId="006ECA53">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5E1124AB">
            <w:pPr>
              <w:ind w:firstLine="630" w:firstLineChars="300"/>
              <w:jc w:val="both"/>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个月</w:t>
            </w:r>
          </w:p>
        </w:tc>
        <w:tc>
          <w:tcPr>
            <w:tcW w:w="969" w:type="dxa"/>
            <w:vAlign w:val="center"/>
          </w:tcPr>
          <w:p w14:paraId="286C9DDB">
            <w:pPr>
              <w:adjustRightInd w:val="0"/>
              <w:snapToGrid w:val="0"/>
              <w:spacing w:line="360" w:lineRule="auto"/>
              <w:jc w:val="center"/>
              <w:rPr>
                <w:rFonts w:ascii="宋体" w:hAnsi="宋体" w:cs="宋体"/>
                <w:color w:val="auto"/>
                <w:kern w:val="0"/>
                <w:sz w:val="21"/>
                <w:szCs w:val="21"/>
                <w:highlight w:val="none"/>
              </w:rPr>
            </w:pPr>
          </w:p>
        </w:tc>
      </w:tr>
      <w:tr w14:paraId="2735D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B1FB63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4</w:t>
            </w:r>
          </w:p>
        </w:tc>
        <w:tc>
          <w:tcPr>
            <w:tcW w:w="3104" w:type="dxa"/>
            <w:vAlign w:val="center"/>
          </w:tcPr>
          <w:p w14:paraId="643D4031">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逾期竣工违约金</w:t>
            </w:r>
          </w:p>
        </w:tc>
        <w:tc>
          <w:tcPr>
            <w:tcW w:w="1635" w:type="dxa"/>
            <w:tcMar>
              <w:left w:w="170" w:type="dxa"/>
            </w:tcMar>
            <w:vAlign w:val="center"/>
          </w:tcPr>
          <w:p w14:paraId="11DBE4EE">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46FD0BF7">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元/天</w:t>
            </w:r>
          </w:p>
        </w:tc>
        <w:tc>
          <w:tcPr>
            <w:tcW w:w="969" w:type="dxa"/>
            <w:vAlign w:val="center"/>
          </w:tcPr>
          <w:p w14:paraId="23A04A64">
            <w:pPr>
              <w:adjustRightInd w:val="0"/>
              <w:snapToGrid w:val="0"/>
              <w:spacing w:line="360" w:lineRule="auto"/>
              <w:jc w:val="center"/>
              <w:rPr>
                <w:rFonts w:ascii="宋体" w:hAnsi="宋体" w:cs="宋体"/>
                <w:color w:val="auto"/>
                <w:kern w:val="0"/>
                <w:sz w:val="21"/>
                <w:szCs w:val="21"/>
                <w:highlight w:val="none"/>
              </w:rPr>
            </w:pPr>
          </w:p>
        </w:tc>
      </w:tr>
      <w:tr w14:paraId="1F038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13D34AC1">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5</w:t>
            </w:r>
          </w:p>
        </w:tc>
        <w:tc>
          <w:tcPr>
            <w:tcW w:w="3104" w:type="dxa"/>
            <w:vAlign w:val="center"/>
          </w:tcPr>
          <w:p w14:paraId="4F8DEA98">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质量标准</w:t>
            </w:r>
          </w:p>
        </w:tc>
        <w:tc>
          <w:tcPr>
            <w:tcW w:w="1635" w:type="dxa"/>
            <w:tcMar>
              <w:left w:w="170" w:type="dxa"/>
            </w:tcMar>
            <w:vAlign w:val="center"/>
          </w:tcPr>
          <w:p w14:paraId="01A5517C">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55BC8B6B">
            <w:pPr>
              <w:jc w:val="center"/>
              <w:rPr>
                <w:rFonts w:ascii="宋体" w:hAnsi="宋体" w:cs="宋体"/>
                <w:color w:val="auto"/>
                <w:sz w:val="21"/>
                <w:szCs w:val="21"/>
                <w:highlight w:val="none"/>
              </w:rPr>
            </w:pPr>
          </w:p>
        </w:tc>
        <w:tc>
          <w:tcPr>
            <w:tcW w:w="969" w:type="dxa"/>
            <w:vAlign w:val="center"/>
          </w:tcPr>
          <w:p w14:paraId="2B3A5C7C">
            <w:pPr>
              <w:adjustRightInd w:val="0"/>
              <w:snapToGrid w:val="0"/>
              <w:spacing w:line="360" w:lineRule="auto"/>
              <w:jc w:val="center"/>
              <w:rPr>
                <w:rFonts w:ascii="宋体" w:hAnsi="宋体" w:cs="宋体"/>
                <w:color w:val="auto"/>
                <w:kern w:val="0"/>
                <w:sz w:val="21"/>
                <w:szCs w:val="21"/>
                <w:highlight w:val="none"/>
              </w:rPr>
            </w:pPr>
          </w:p>
        </w:tc>
      </w:tr>
      <w:tr w14:paraId="27D4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05907A4D">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6</w:t>
            </w:r>
          </w:p>
        </w:tc>
        <w:tc>
          <w:tcPr>
            <w:tcW w:w="3104" w:type="dxa"/>
            <w:vAlign w:val="center"/>
          </w:tcPr>
          <w:p w14:paraId="55D236B2">
            <w:pPr>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质量违约金</w:t>
            </w:r>
          </w:p>
        </w:tc>
        <w:tc>
          <w:tcPr>
            <w:tcW w:w="1635" w:type="dxa"/>
            <w:tcMar>
              <w:left w:w="170" w:type="dxa"/>
            </w:tcMar>
            <w:vAlign w:val="center"/>
          </w:tcPr>
          <w:p w14:paraId="3E3390FB">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061D7DDA">
            <w:pPr>
              <w:jc w:val="center"/>
              <w:rPr>
                <w:rFonts w:ascii="宋体" w:hAnsi="宋体" w:cs="宋体"/>
                <w:color w:val="auto"/>
                <w:sz w:val="21"/>
                <w:szCs w:val="21"/>
                <w:highlight w:val="none"/>
              </w:rPr>
            </w:pPr>
            <w:r>
              <w:rPr>
                <w:rFonts w:hint="eastAsia" w:ascii="宋体" w:hAnsi="宋体" w:cs="宋体"/>
                <w:color w:val="auto"/>
                <w:sz w:val="21"/>
                <w:szCs w:val="21"/>
                <w:highlight w:val="none"/>
              </w:rPr>
              <w:t>若因承包人不按规范要求施工，质量达不到相关质量验收标准要求，一次罚款</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元，并承担全部返工费用。</w:t>
            </w:r>
          </w:p>
        </w:tc>
        <w:tc>
          <w:tcPr>
            <w:tcW w:w="969" w:type="dxa"/>
            <w:vAlign w:val="center"/>
          </w:tcPr>
          <w:p w14:paraId="6B9BFDD2">
            <w:pPr>
              <w:adjustRightInd w:val="0"/>
              <w:snapToGrid w:val="0"/>
              <w:spacing w:line="360" w:lineRule="auto"/>
              <w:jc w:val="center"/>
              <w:rPr>
                <w:rFonts w:ascii="宋体" w:hAnsi="宋体" w:cs="宋体"/>
                <w:color w:val="auto"/>
                <w:kern w:val="0"/>
                <w:sz w:val="21"/>
                <w:szCs w:val="21"/>
                <w:highlight w:val="none"/>
              </w:rPr>
            </w:pPr>
          </w:p>
        </w:tc>
      </w:tr>
      <w:tr w14:paraId="40CBE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354E0C39">
            <w:pPr>
              <w:adjustRightInd w:val="0"/>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7</w:t>
            </w:r>
          </w:p>
        </w:tc>
        <w:tc>
          <w:tcPr>
            <w:tcW w:w="3104" w:type="dxa"/>
            <w:vAlign w:val="center"/>
          </w:tcPr>
          <w:p w14:paraId="5EFCABEC">
            <w:pPr>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磋商有效期</w:t>
            </w:r>
          </w:p>
        </w:tc>
        <w:tc>
          <w:tcPr>
            <w:tcW w:w="1635" w:type="dxa"/>
            <w:tcMar>
              <w:left w:w="170" w:type="dxa"/>
            </w:tcMar>
            <w:vAlign w:val="center"/>
          </w:tcPr>
          <w:p w14:paraId="16598A83">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3A658725">
            <w:pPr>
              <w:jc w:val="center"/>
              <w:rPr>
                <w:rFonts w:hint="eastAsia" w:ascii="宋体" w:hAnsi="宋体" w:cs="宋体"/>
                <w:color w:val="auto"/>
                <w:sz w:val="21"/>
                <w:szCs w:val="21"/>
                <w:highlight w:val="none"/>
              </w:rPr>
            </w:pPr>
          </w:p>
        </w:tc>
        <w:tc>
          <w:tcPr>
            <w:tcW w:w="969" w:type="dxa"/>
            <w:vAlign w:val="center"/>
          </w:tcPr>
          <w:p w14:paraId="074A8FA1">
            <w:pPr>
              <w:adjustRightInd w:val="0"/>
              <w:snapToGrid w:val="0"/>
              <w:spacing w:line="360" w:lineRule="auto"/>
              <w:jc w:val="center"/>
              <w:rPr>
                <w:rFonts w:ascii="宋体" w:hAnsi="宋体" w:cs="宋体"/>
                <w:color w:val="auto"/>
                <w:kern w:val="0"/>
                <w:sz w:val="21"/>
                <w:szCs w:val="21"/>
                <w:highlight w:val="none"/>
              </w:rPr>
            </w:pPr>
          </w:p>
        </w:tc>
      </w:tr>
      <w:tr w14:paraId="1D06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 w:type="dxa"/>
            <w:vAlign w:val="center"/>
          </w:tcPr>
          <w:p w14:paraId="5EE18B0B">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3104" w:type="dxa"/>
            <w:vAlign w:val="center"/>
          </w:tcPr>
          <w:p w14:paraId="5707F0D9">
            <w:pPr>
              <w:adjustRightInd w:val="0"/>
              <w:snapToGrid w:val="0"/>
              <w:spacing w:line="360" w:lineRule="auto"/>
              <w:jc w:val="center"/>
              <w:rPr>
                <w:rFonts w:ascii="宋体" w:hAnsi="宋体" w:cs="宋体"/>
                <w:color w:val="auto"/>
                <w:kern w:val="0"/>
                <w:sz w:val="21"/>
                <w:szCs w:val="21"/>
                <w:highlight w:val="none"/>
              </w:rPr>
            </w:pPr>
            <w:r>
              <w:rPr>
                <w:rFonts w:hint="eastAsia" w:ascii="宋体" w:hAnsi="宋体" w:cs="宋体"/>
                <w:color w:val="auto"/>
                <w:kern w:val="0"/>
                <w:sz w:val="21"/>
                <w:szCs w:val="21"/>
                <w:highlight w:val="none"/>
              </w:rPr>
              <w:t>……</w:t>
            </w:r>
          </w:p>
        </w:tc>
        <w:tc>
          <w:tcPr>
            <w:tcW w:w="1635" w:type="dxa"/>
            <w:vAlign w:val="center"/>
          </w:tcPr>
          <w:p w14:paraId="6B33F6BA">
            <w:pPr>
              <w:adjustRightInd w:val="0"/>
              <w:snapToGrid w:val="0"/>
              <w:spacing w:line="360" w:lineRule="auto"/>
              <w:jc w:val="center"/>
              <w:rPr>
                <w:rFonts w:ascii="宋体" w:hAnsi="宋体" w:cs="宋体"/>
                <w:color w:val="auto"/>
                <w:kern w:val="0"/>
                <w:sz w:val="21"/>
                <w:szCs w:val="21"/>
                <w:highlight w:val="none"/>
              </w:rPr>
            </w:pPr>
          </w:p>
        </w:tc>
        <w:tc>
          <w:tcPr>
            <w:tcW w:w="3116" w:type="dxa"/>
            <w:vAlign w:val="center"/>
          </w:tcPr>
          <w:p w14:paraId="2B22384C">
            <w:pPr>
              <w:adjustRightInd w:val="0"/>
              <w:snapToGrid w:val="0"/>
              <w:spacing w:line="360" w:lineRule="auto"/>
              <w:jc w:val="center"/>
              <w:rPr>
                <w:rFonts w:ascii="宋体" w:hAnsi="宋体" w:cs="宋体"/>
                <w:color w:val="auto"/>
                <w:kern w:val="0"/>
                <w:sz w:val="21"/>
                <w:szCs w:val="21"/>
                <w:highlight w:val="none"/>
              </w:rPr>
            </w:pPr>
          </w:p>
        </w:tc>
        <w:tc>
          <w:tcPr>
            <w:tcW w:w="969" w:type="dxa"/>
            <w:vAlign w:val="center"/>
          </w:tcPr>
          <w:p w14:paraId="150DEA75">
            <w:pPr>
              <w:adjustRightInd w:val="0"/>
              <w:snapToGrid w:val="0"/>
              <w:spacing w:line="360" w:lineRule="auto"/>
              <w:jc w:val="center"/>
              <w:rPr>
                <w:rFonts w:ascii="宋体" w:hAnsi="宋体" w:cs="宋体"/>
                <w:color w:val="auto"/>
                <w:kern w:val="0"/>
                <w:sz w:val="21"/>
                <w:szCs w:val="21"/>
                <w:highlight w:val="none"/>
              </w:rPr>
            </w:pPr>
          </w:p>
        </w:tc>
      </w:tr>
      <w:tr w14:paraId="5AB08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9804" w:type="dxa"/>
            <w:gridSpan w:val="5"/>
            <w:vAlign w:val="center"/>
          </w:tcPr>
          <w:p w14:paraId="44A53775">
            <w:pPr>
              <w:adjustRightInd w:val="0"/>
              <w:snapToGrid w:val="0"/>
              <w:spacing w:line="360" w:lineRule="auto"/>
              <w:jc w:val="left"/>
              <w:rPr>
                <w:rFonts w:ascii="宋体" w:hAnsi="宋体" w:cs="宋体"/>
                <w:color w:val="auto"/>
                <w:kern w:val="0"/>
                <w:sz w:val="21"/>
                <w:szCs w:val="21"/>
                <w:highlight w:val="none"/>
              </w:rPr>
            </w:pPr>
            <w:r>
              <w:rPr>
                <w:rFonts w:hint="eastAsia" w:ascii="宋体" w:hAnsi="宋体" w:cs="宋体"/>
                <w:color w:val="auto"/>
                <w:kern w:val="0"/>
                <w:sz w:val="21"/>
                <w:szCs w:val="21"/>
                <w:highlight w:val="none"/>
              </w:rPr>
              <w:t>备注：</w:t>
            </w:r>
            <w:r>
              <w:rPr>
                <w:rFonts w:hint="eastAsia" w:ascii="宋体" w:hAnsi="宋体" w:cs="宋体"/>
                <w:color w:val="auto"/>
                <w:kern w:val="0"/>
                <w:sz w:val="21"/>
                <w:szCs w:val="21"/>
                <w:highlight w:val="none"/>
                <w:lang w:eastAsia="zh-CN"/>
              </w:rPr>
              <w:t>供应商</w:t>
            </w:r>
            <w:r>
              <w:rPr>
                <w:rFonts w:hint="eastAsia" w:ascii="宋体" w:hAnsi="宋体" w:cs="宋体"/>
                <w:color w:val="auto"/>
                <w:kern w:val="0"/>
                <w:sz w:val="21"/>
                <w:szCs w:val="21"/>
                <w:highlight w:val="none"/>
              </w:rPr>
              <w:t>在响应磋商文件中规定的实质性要求和条件的基础上，可做出其他有利于采购人的承诺。此类承诺可在本表中予以补充填写。</w:t>
            </w:r>
          </w:p>
        </w:tc>
      </w:tr>
    </w:tbl>
    <w:p w14:paraId="7A8AC13F">
      <w:pPr>
        <w:adjustRightInd w:val="0"/>
        <w:snapToGrid w:val="0"/>
        <w:spacing w:line="360" w:lineRule="auto"/>
        <w:ind w:firstLine="4200" w:firstLineChars="2000"/>
        <w:jc w:val="left"/>
        <w:rPr>
          <w:rFonts w:ascii="宋体" w:hAnsi="宋体" w:cs="宋体"/>
          <w:color w:val="auto"/>
          <w:kern w:val="0"/>
          <w:sz w:val="21"/>
          <w:szCs w:val="21"/>
          <w:highlight w:val="none"/>
        </w:rPr>
      </w:pPr>
    </w:p>
    <w:p w14:paraId="32697E74">
      <w:pPr>
        <w:snapToGrid w:val="0"/>
        <w:spacing w:line="480" w:lineRule="auto"/>
        <w:ind w:firstLine="4200"/>
        <w:jc w:val="left"/>
        <w:rPr>
          <w:rFonts w:hint="eastAsia" w:ascii="宋体" w:hAnsi="宋体" w:cs="宋体"/>
          <w:color w:val="auto"/>
          <w:kern w:val="0"/>
          <w:sz w:val="21"/>
          <w:szCs w:val="21"/>
          <w:highlight w:val="none"/>
        </w:rPr>
      </w:pPr>
    </w:p>
    <w:p w14:paraId="018C44A9">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color w:val="auto"/>
          <w:sz w:val="21"/>
          <w:szCs w:val="21"/>
          <w:highlight w:val="none"/>
        </w:rPr>
        <w:t>）</w:t>
      </w:r>
    </w:p>
    <w:p w14:paraId="598DAB36">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6275B1DB">
      <w:pPr>
        <w:snapToGrid w:val="0"/>
        <w:spacing w:line="480" w:lineRule="auto"/>
        <w:ind w:firstLine="5670" w:firstLineChars="2700"/>
        <w:jc w:val="left"/>
        <w:rPr>
          <w:rFonts w:ascii="宋体" w:hAnsi="宋体" w:cs="宋体"/>
          <w:b w:val="0"/>
          <w:bCs/>
          <w:color w:val="auto"/>
          <w:kern w:val="0"/>
          <w:sz w:val="24"/>
          <w:szCs w:val="24"/>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0DB70D4B">
      <w:pPr>
        <w:spacing w:line="360" w:lineRule="auto"/>
        <w:jc w:val="right"/>
        <w:rPr>
          <w:rFonts w:ascii="宋体" w:hAnsi="宋体" w:cs="宋体"/>
          <w:b/>
          <w:color w:val="auto"/>
          <w:szCs w:val="21"/>
          <w:highlight w:val="none"/>
        </w:rPr>
      </w:pPr>
      <w:r>
        <w:rPr>
          <w:rFonts w:hint="eastAsia" w:ascii="宋体" w:hAnsi="宋体" w:cs="宋体"/>
          <w:b/>
          <w:color w:val="auto"/>
          <w:szCs w:val="21"/>
          <w:highlight w:val="none"/>
        </w:rPr>
        <w:t xml:space="preserve"> </w:t>
      </w:r>
    </w:p>
    <w:p w14:paraId="02114322">
      <w:pPr>
        <w:spacing w:line="360" w:lineRule="auto"/>
        <w:jc w:val="center"/>
        <w:rPr>
          <w:rFonts w:ascii="宋体" w:hAnsi="宋体" w:cs="宋体"/>
          <w:b/>
          <w:color w:val="auto"/>
          <w:szCs w:val="21"/>
          <w:highlight w:val="none"/>
        </w:rPr>
      </w:pPr>
    </w:p>
    <w:p w14:paraId="47A6AB45">
      <w:pPr>
        <w:spacing w:line="360" w:lineRule="auto"/>
        <w:jc w:val="center"/>
        <w:rPr>
          <w:rFonts w:ascii="宋体" w:hAnsi="宋体" w:cs="宋体"/>
          <w:b/>
          <w:color w:val="auto"/>
          <w:szCs w:val="21"/>
          <w:highlight w:val="none"/>
        </w:rPr>
        <w:sectPr>
          <w:pgSz w:w="11906" w:h="16838"/>
          <w:pgMar w:top="1440" w:right="1080" w:bottom="1440" w:left="1080" w:header="851" w:footer="992" w:gutter="0"/>
          <w:pgNumType w:fmt="decimal"/>
          <w:cols w:space="720" w:num="1"/>
          <w:titlePg/>
          <w:docGrid w:type="lines" w:linePitch="312" w:charSpace="0"/>
        </w:sectPr>
      </w:pPr>
    </w:p>
    <w:p w14:paraId="580BEE2C">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1132" w:name="_Toc265954807"/>
      <w:bookmarkStart w:id="1133" w:name="_Toc265654040"/>
      <w:bookmarkStart w:id="1134" w:name="_Toc29691"/>
      <w:bookmarkStart w:id="1135" w:name="_Toc265955104"/>
      <w:bookmarkStart w:id="1136" w:name="_Toc255659854"/>
      <w:bookmarkStart w:id="1137" w:name="_Toc199322166"/>
      <w:bookmarkStart w:id="1138" w:name="_Toc488678616"/>
      <w:bookmarkStart w:id="1139" w:name="_Toc837"/>
      <w:r>
        <w:rPr>
          <w:rFonts w:hint="eastAsia" w:asciiTheme="minorEastAsia" w:hAnsiTheme="minorEastAsia" w:eastAsiaTheme="minorEastAsia" w:cstheme="minorEastAsia"/>
          <w:b/>
          <w:color w:val="auto"/>
          <w:kern w:val="0"/>
          <w:sz w:val="30"/>
          <w:szCs w:val="30"/>
          <w:highlight w:val="none"/>
          <w:lang w:val="en-US" w:eastAsia="zh-CN" w:bidi="ar-SA"/>
        </w:rPr>
        <w:t>五、法定代表人身份证明</w:t>
      </w:r>
      <w:bookmarkEnd w:id="1132"/>
      <w:bookmarkEnd w:id="1133"/>
      <w:bookmarkEnd w:id="1134"/>
      <w:bookmarkEnd w:id="1135"/>
      <w:bookmarkEnd w:id="1136"/>
      <w:bookmarkEnd w:id="1137"/>
      <w:bookmarkEnd w:id="1138"/>
      <w:bookmarkEnd w:id="1139"/>
    </w:p>
    <w:p w14:paraId="13EFB29E">
      <w:pPr>
        <w:autoSpaceDE w:val="0"/>
        <w:autoSpaceDN w:val="0"/>
        <w:adjustRightInd w:val="0"/>
        <w:spacing w:line="360" w:lineRule="auto"/>
        <w:jc w:val="left"/>
        <w:rPr>
          <w:rFonts w:ascii="宋体" w:hAnsi="宋体" w:cs="宋体"/>
          <w:b/>
          <w:color w:val="auto"/>
          <w:kern w:val="0"/>
          <w:szCs w:val="21"/>
          <w:highlight w:val="none"/>
        </w:rPr>
      </w:pPr>
    </w:p>
    <w:p w14:paraId="30768971">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 xml:space="preserve">供应商名称： </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single"/>
        </w:rPr>
        <w:t xml:space="preserve">     </w:t>
      </w:r>
    </w:p>
    <w:p w14:paraId="53DCDA5E">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单位性质：</w:t>
      </w:r>
      <w:r>
        <w:rPr>
          <w:rFonts w:hint="eastAsia" w:ascii="宋体" w:hAnsi="宋体" w:cs="宋体"/>
          <w:b w:val="0"/>
          <w:bCs/>
          <w:color w:val="auto"/>
          <w:kern w:val="0"/>
          <w:sz w:val="21"/>
          <w:szCs w:val="21"/>
          <w:highlight w:val="none"/>
          <w:u w:val="single"/>
        </w:rPr>
        <w:t xml:space="preserve">                              </w:t>
      </w:r>
    </w:p>
    <w:p w14:paraId="43618322">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地址：</w:t>
      </w:r>
      <w:r>
        <w:rPr>
          <w:rFonts w:hint="eastAsia" w:ascii="宋体" w:hAnsi="宋体" w:cs="宋体"/>
          <w:b w:val="0"/>
          <w:bCs/>
          <w:color w:val="auto"/>
          <w:kern w:val="0"/>
          <w:sz w:val="21"/>
          <w:szCs w:val="21"/>
          <w:highlight w:val="none"/>
          <w:u w:val="single"/>
        </w:rPr>
        <w:t xml:space="preserve">                                  </w:t>
      </w:r>
    </w:p>
    <w:p w14:paraId="3030F1FD">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成立时间：</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年</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月</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日</w:t>
      </w:r>
    </w:p>
    <w:p w14:paraId="244F1136">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经营期限：</w:t>
      </w:r>
      <w:r>
        <w:rPr>
          <w:rFonts w:hint="eastAsia" w:ascii="宋体" w:hAnsi="宋体" w:cs="宋体"/>
          <w:b w:val="0"/>
          <w:bCs/>
          <w:color w:val="auto"/>
          <w:kern w:val="0"/>
          <w:sz w:val="21"/>
          <w:szCs w:val="21"/>
          <w:highlight w:val="none"/>
          <w:u w:val="single"/>
        </w:rPr>
        <w:t xml:space="preserve">                              </w:t>
      </w:r>
    </w:p>
    <w:p w14:paraId="0320F2A3">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u w:val="single"/>
        </w:rPr>
      </w:pPr>
      <w:r>
        <w:rPr>
          <w:rFonts w:hint="eastAsia" w:ascii="宋体" w:hAnsi="宋体" w:cs="宋体"/>
          <w:b w:val="0"/>
          <w:bCs/>
          <w:color w:val="auto"/>
          <w:kern w:val="0"/>
          <w:sz w:val="21"/>
          <w:szCs w:val="21"/>
          <w:highlight w:val="none"/>
        </w:rPr>
        <w:t>姓名：</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性别：</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u w:val="none"/>
          <w:lang w:val="en-US" w:eastAsia="zh-CN"/>
        </w:rPr>
        <w:t xml:space="preserve"> </w:t>
      </w:r>
      <w:r>
        <w:rPr>
          <w:rFonts w:hint="eastAsia" w:ascii="宋体" w:hAnsi="宋体" w:cs="宋体"/>
          <w:b w:val="0"/>
          <w:bCs/>
          <w:color w:val="auto"/>
          <w:kern w:val="0"/>
          <w:sz w:val="21"/>
          <w:szCs w:val="21"/>
          <w:highlight w:val="none"/>
        </w:rPr>
        <w:t>年龄：</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rPr>
        <w:t>身份证号码：</w:t>
      </w:r>
      <w:r>
        <w:rPr>
          <w:rFonts w:hint="eastAsia" w:ascii="宋体" w:hAnsi="宋体" w:cs="宋体"/>
          <w:b w:val="0"/>
          <w:bCs/>
          <w:color w:val="auto"/>
          <w:kern w:val="0"/>
          <w:sz w:val="21"/>
          <w:szCs w:val="21"/>
          <w:highlight w:val="none"/>
          <w:u w:val="single"/>
        </w:rPr>
        <w:t xml:space="preserve">                       </w:t>
      </w:r>
    </w:p>
    <w:p w14:paraId="636F9F42">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职务：</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系</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w:t>
      </w:r>
      <w:r>
        <w:rPr>
          <w:rFonts w:hint="eastAsia" w:ascii="宋体" w:hAnsi="宋体" w:cs="宋体"/>
          <w:b w:val="0"/>
          <w:bCs/>
          <w:color w:val="auto"/>
          <w:kern w:val="0"/>
          <w:sz w:val="21"/>
          <w:szCs w:val="21"/>
          <w:highlight w:val="none"/>
          <w:lang w:eastAsia="zh-CN"/>
        </w:rPr>
        <w:t>供应商名称</w:t>
      </w:r>
      <w:r>
        <w:rPr>
          <w:rFonts w:hint="eastAsia" w:ascii="宋体" w:hAnsi="宋体" w:cs="宋体"/>
          <w:b w:val="0"/>
          <w:bCs/>
          <w:color w:val="auto"/>
          <w:kern w:val="0"/>
          <w:sz w:val="21"/>
          <w:szCs w:val="21"/>
          <w:highlight w:val="none"/>
        </w:rPr>
        <w:t>）的法定代表人。</w:t>
      </w:r>
    </w:p>
    <w:p w14:paraId="6CC1F7F8">
      <w:pPr>
        <w:autoSpaceDE w:val="0"/>
        <w:autoSpaceDN w:val="0"/>
        <w:adjustRightInd w:val="0"/>
        <w:spacing w:line="360" w:lineRule="auto"/>
        <w:ind w:firstLine="420"/>
        <w:jc w:val="left"/>
        <w:rPr>
          <w:rFonts w:ascii="宋体" w:hAnsi="宋体" w:cs="宋体"/>
          <w:b w:val="0"/>
          <w:bCs/>
          <w:color w:val="auto"/>
          <w:kern w:val="0"/>
          <w:sz w:val="21"/>
          <w:szCs w:val="21"/>
          <w:highlight w:val="none"/>
        </w:rPr>
      </w:pPr>
    </w:p>
    <w:p w14:paraId="673E22FB">
      <w:pPr>
        <w:autoSpaceDE w:val="0"/>
        <w:autoSpaceDN w:val="0"/>
        <w:adjustRightInd w:val="0"/>
        <w:spacing w:line="360" w:lineRule="auto"/>
        <w:ind w:firstLine="420"/>
        <w:jc w:val="lef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特此证明。</w:t>
      </w:r>
    </w:p>
    <w:p w14:paraId="3C3A0661">
      <w:pPr>
        <w:pStyle w:val="13"/>
        <w:rPr>
          <w:rFonts w:ascii="宋体" w:hAnsi="宋体" w:cs="宋体"/>
          <w:b w:val="0"/>
          <w:bCs/>
          <w:color w:val="auto"/>
          <w:sz w:val="21"/>
          <w:szCs w:val="21"/>
          <w:highlight w:val="none"/>
        </w:rPr>
      </w:pPr>
    </w:p>
    <w:p w14:paraId="3F2BABFE">
      <w:pPr>
        <w:pStyle w:val="41"/>
        <w:spacing w:line="360" w:lineRule="auto"/>
        <w:rPr>
          <w:b w:val="0"/>
          <w:bCs/>
          <w:color w:val="auto"/>
          <w:sz w:val="21"/>
          <w:szCs w:val="21"/>
          <w:highlight w:val="none"/>
        </w:rPr>
      </w:pPr>
    </w:p>
    <w:p w14:paraId="0771D454">
      <w:pPr>
        <w:jc w:val="center"/>
        <w:rPr>
          <w:rFonts w:ascii="宋体" w:hAnsi="宋体" w:cs="宋体"/>
          <w:b w:val="0"/>
          <w:bCs/>
          <w:color w:val="auto"/>
          <w:sz w:val="21"/>
          <w:szCs w:val="21"/>
          <w:highlight w:val="none"/>
        </w:rPr>
      </w:pPr>
      <w:r>
        <w:rPr>
          <w:rFonts w:hint="eastAsia" w:ascii="宋体" w:hAnsi="宋体" w:cs="宋体"/>
          <w:b w:val="0"/>
          <w:bCs/>
          <w:color w:val="auto"/>
          <w:sz w:val="21"/>
          <w:szCs w:val="21"/>
          <w:highlight w:val="none"/>
        </w:rPr>
        <w:t>附：法定代表人身份证</w:t>
      </w:r>
      <w:r>
        <w:rPr>
          <w:rFonts w:hint="eastAsia" w:ascii="宋体" w:hAnsi="宋体" w:cs="宋体"/>
          <w:b w:val="0"/>
          <w:bCs/>
          <w:color w:val="auto"/>
          <w:sz w:val="21"/>
          <w:szCs w:val="21"/>
          <w:highlight w:val="none"/>
          <w:lang w:eastAsia="zh-CN"/>
        </w:rPr>
        <w:t>的</w:t>
      </w:r>
      <w:r>
        <w:rPr>
          <w:rFonts w:hint="eastAsia" w:ascii="宋体" w:hAnsi="宋体" w:cs="宋体"/>
          <w:b w:val="0"/>
          <w:bCs/>
          <w:color w:val="auto"/>
          <w:sz w:val="21"/>
          <w:szCs w:val="21"/>
          <w:highlight w:val="none"/>
          <w:lang w:val="en-US" w:eastAsia="zh-CN"/>
        </w:rPr>
        <w:t>扫描件或复印件</w:t>
      </w:r>
    </w:p>
    <w:p w14:paraId="1BAC1A72">
      <w:pPr>
        <w:pStyle w:val="13"/>
        <w:rPr>
          <w:rFonts w:ascii="宋体" w:hAnsi="宋体" w:cs="宋体"/>
          <w:b w:val="0"/>
          <w:bCs/>
          <w:color w:val="auto"/>
          <w:sz w:val="21"/>
          <w:szCs w:val="21"/>
          <w:highlight w:val="none"/>
        </w:rPr>
      </w:pPr>
    </w:p>
    <w:p w14:paraId="77349C16">
      <w:pPr>
        <w:autoSpaceDE w:val="0"/>
        <w:autoSpaceDN w:val="0"/>
        <w:adjustRightInd w:val="0"/>
        <w:spacing w:line="360" w:lineRule="auto"/>
        <w:jc w:val="left"/>
        <w:rPr>
          <w:rFonts w:ascii="宋体" w:hAnsi="宋体" w:cs="宋体"/>
          <w:b w:val="0"/>
          <w:bCs/>
          <w:color w:val="auto"/>
          <w:kern w:val="0"/>
          <w:sz w:val="21"/>
          <w:szCs w:val="21"/>
          <w:highlight w:val="none"/>
        </w:rPr>
      </w:pPr>
    </w:p>
    <w:p w14:paraId="7678505D">
      <w:pPr>
        <w:autoSpaceDE w:val="0"/>
        <w:autoSpaceDN w:val="0"/>
        <w:adjustRightInd w:val="0"/>
        <w:spacing w:line="360" w:lineRule="auto"/>
        <w:jc w:val="left"/>
        <w:rPr>
          <w:rFonts w:ascii="宋体" w:hAnsi="宋体" w:cs="宋体"/>
          <w:b w:val="0"/>
          <w:bCs/>
          <w:color w:val="auto"/>
          <w:kern w:val="0"/>
          <w:sz w:val="21"/>
          <w:szCs w:val="21"/>
          <w:highlight w:val="none"/>
        </w:rPr>
      </w:pPr>
    </w:p>
    <w:p w14:paraId="22661488">
      <w:pPr>
        <w:autoSpaceDE w:val="0"/>
        <w:autoSpaceDN w:val="0"/>
        <w:adjustRightInd w:val="0"/>
        <w:spacing w:line="360" w:lineRule="auto"/>
        <w:ind w:firstLine="4410" w:firstLineChars="2100"/>
        <w:jc w:val="left"/>
        <w:rPr>
          <w:rFonts w:ascii="宋体" w:hAnsi="宋体" w:cs="宋体"/>
          <w:b w:val="0"/>
          <w:bCs/>
          <w:color w:val="auto"/>
          <w:kern w:val="0"/>
          <w:sz w:val="21"/>
          <w:szCs w:val="21"/>
          <w:highlight w:val="none"/>
        </w:rPr>
      </w:pPr>
      <w:bookmarkStart w:id="1140" w:name="_Toc265654041"/>
      <w:bookmarkStart w:id="1141" w:name="_Toc488678617"/>
      <w:bookmarkStart w:id="1142" w:name="_Toc31219"/>
      <w:bookmarkStart w:id="1143" w:name="_Toc199322167"/>
      <w:bookmarkStart w:id="1144" w:name="_Toc255659855"/>
      <w:bookmarkStart w:id="1145" w:name="_Toc2343"/>
      <w:bookmarkStart w:id="1146" w:name="_Toc265954808"/>
      <w:bookmarkStart w:id="1147" w:name="_Toc265955105"/>
    </w:p>
    <w:p w14:paraId="5CF0F94B">
      <w:pPr>
        <w:autoSpaceDE w:val="0"/>
        <w:autoSpaceDN w:val="0"/>
        <w:adjustRightInd w:val="0"/>
        <w:spacing w:line="360" w:lineRule="auto"/>
        <w:jc w:val="left"/>
        <w:rPr>
          <w:rFonts w:ascii="宋体" w:hAnsi="宋体" w:cs="宋体"/>
          <w:b w:val="0"/>
          <w:bCs/>
          <w:color w:val="auto"/>
          <w:kern w:val="0"/>
          <w:sz w:val="21"/>
          <w:szCs w:val="21"/>
          <w:highlight w:val="none"/>
        </w:rPr>
      </w:pPr>
    </w:p>
    <w:p w14:paraId="39E6473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lang w:eastAsia="zh-CN"/>
        </w:rPr>
        <w:t>供应商名称</w:t>
      </w:r>
      <w:r>
        <w:rPr>
          <w:rFonts w:hint="eastAsia" w:ascii="宋体" w:hAnsi="宋体" w:cs="宋体"/>
          <w:b w:val="0"/>
          <w:bCs/>
          <w:color w:val="auto"/>
          <w:kern w:val="0"/>
          <w:sz w:val="21"/>
          <w:szCs w:val="21"/>
          <w:highlight w:val="none"/>
        </w:rPr>
        <w:t>：</w:t>
      </w:r>
      <w:r>
        <w:rPr>
          <w:rFonts w:hint="eastAsia" w:ascii="宋体" w:hAnsi="宋体" w:cs="宋体"/>
          <w:b w:val="0"/>
          <w:bCs/>
          <w:color w:val="auto"/>
          <w:kern w:val="0"/>
          <w:sz w:val="21"/>
          <w:szCs w:val="21"/>
          <w:highlight w:val="none"/>
          <w:u w:val="single"/>
        </w:rPr>
        <w:t xml:space="preserve">                         </w:t>
      </w:r>
      <w:r>
        <w:rPr>
          <w:rFonts w:hint="eastAsia" w:ascii="宋体" w:hAnsi="宋体" w:cs="宋体"/>
          <w:b w:val="0"/>
          <w:bCs/>
          <w:color w:val="auto"/>
          <w:kern w:val="0"/>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b w:val="0"/>
          <w:bCs/>
          <w:color w:val="auto"/>
          <w:kern w:val="0"/>
          <w:sz w:val="21"/>
          <w:szCs w:val="21"/>
          <w:highlight w:val="none"/>
        </w:rPr>
        <w:t>）</w:t>
      </w:r>
    </w:p>
    <w:p w14:paraId="08A0CC22">
      <w:pPr>
        <w:autoSpaceDE w:val="0"/>
        <w:autoSpaceDN w:val="0"/>
        <w:adjustRightInd w:val="0"/>
        <w:spacing w:line="360" w:lineRule="auto"/>
        <w:jc w:val="right"/>
        <w:rPr>
          <w:rFonts w:ascii="宋体" w:hAnsi="宋体" w:cs="宋体"/>
          <w:b w:val="0"/>
          <w:bCs/>
          <w:color w:val="auto"/>
          <w:kern w:val="0"/>
          <w:sz w:val="21"/>
          <w:szCs w:val="21"/>
          <w:highlight w:val="none"/>
        </w:rPr>
      </w:pPr>
      <w:r>
        <w:rPr>
          <w:rFonts w:hint="eastAsia" w:ascii="宋体" w:hAnsi="宋体" w:cs="宋体"/>
          <w:b w:val="0"/>
          <w:bCs/>
          <w:color w:val="auto"/>
          <w:kern w:val="0"/>
          <w:sz w:val="21"/>
          <w:szCs w:val="21"/>
          <w:highlight w:val="none"/>
        </w:rPr>
        <w:t xml:space="preserve">                              </w:t>
      </w:r>
      <w:r>
        <w:rPr>
          <w:rFonts w:hint="eastAsia" w:ascii="宋体" w:hAnsi="宋体" w:cs="宋体"/>
          <w:b w:val="0"/>
          <w:bCs/>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4E5DA07D">
      <w:pPr>
        <w:autoSpaceDE w:val="0"/>
        <w:autoSpaceDN w:val="0"/>
        <w:adjustRightInd w:val="0"/>
        <w:spacing w:line="360" w:lineRule="auto"/>
        <w:jc w:val="right"/>
        <w:rPr>
          <w:rFonts w:ascii="宋体" w:hAnsi="宋体" w:cs="宋体"/>
          <w:color w:val="auto"/>
          <w:kern w:val="0"/>
          <w:szCs w:val="21"/>
          <w:highlight w:val="none"/>
        </w:rPr>
      </w:pPr>
    </w:p>
    <w:p w14:paraId="20C26CE7">
      <w:pPr>
        <w:pStyle w:val="41"/>
        <w:spacing w:line="360" w:lineRule="auto"/>
        <w:rPr>
          <w:b/>
          <w:color w:val="auto"/>
          <w:szCs w:val="21"/>
          <w:highlight w:val="none"/>
        </w:rPr>
      </w:pPr>
    </w:p>
    <w:p w14:paraId="21BAA7D4">
      <w:pPr>
        <w:spacing w:line="360" w:lineRule="auto"/>
        <w:jc w:val="center"/>
        <w:outlineLvl w:val="1"/>
        <w:rPr>
          <w:rFonts w:hint="eastAsia"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p w14:paraId="42EDA4D2">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六、授权委托书</w:t>
      </w:r>
      <w:bookmarkEnd w:id="1140"/>
      <w:bookmarkEnd w:id="1141"/>
      <w:bookmarkEnd w:id="1142"/>
      <w:bookmarkEnd w:id="1143"/>
      <w:bookmarkEnd w:id="1144"/>
      <w:bookmarkEnd w:id="1145"/>
      <w:bookmarkEnd w:id="1146"/>
      <w:bookmarkEnd w:id="1147"/>
    </w:p>
    <w:p w14:paraId="368426D8">
      <w:pPr>
        <w:autoSpaceDE w:val="0"/>
        <w:autoSpaceDN w:val="0"/>
        <w:adjustRightInd w:val="0"/>
        <w:spacing w:line="360" w:lineRule="auto"/>
        <w:jc w:val="center"/>
        <w:rPr>
          <w:rFonts w:ascii="宋体" w:hAnsi="宋体" w:cs="宋体"/>
          <w:b/>
          <w:color w:val="auto"/>
          <w:kern w:val="0"/>
          <w:sz w:val="24"/>
          <w:highlight w:val="none"/>
        </w:rPr>
      </w:pPr>
    </w:p>
    <w:p w14:paraId="384C7452">
      <w:pPr>
        <w:keepNext w:val="0"/>
        <w:keepLines w:val="0"/>
        <w:pageBreakBefore w:val="0"/>
        <w:widowControl w:val="0"/>
        <w:kinsoku/>
        <w:wordWrap/>
        <w:overflowPunct/>
        <w:topLinePunct w:val="0"/>
        <w:autoSpaceDE w:val="0"/>
        <w:autoSpaceDN w:val="0"/>
        <w:bidi w:val="0"/>
        <w:adjustRightInd w:val="0"/>
        <w:snapToGrid/>
        <w:spacing w:line="480" w:lineRule="auto"/>
        <w:ind w:firstLine="630" w:firstLineChars="30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本人</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(姓名)系</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r>
        <w:rPr>
          <w:rFonts w:hint="eastAsia" w:ascii="宋体" w:hAnsi="宋体" w:cs="宋体"/>
          <w:color w:val="auto"/>
          <w:kern w:val="0"/>
          <w:sz w:val="21"/>
          <w:szCs w:val="21"/>
          <w:highlight w:val="none"/>
          <w:lang w:eastAsia="zh-CN"/>
        </w:rPr>
        <w:t>供应商名称</w:t>
      </w:r>
      <w:r>
        <w:rPr>
          <w:rFonts w:hint="eastAsia" w:ascii="宋体" w:hAnsi="宋体" w:cs="宋体"/>
          <w:color w:val="auto"/>
          <w:kern w:val="0"/>
          <w:sz w:val="21"/>
          <w:szCs w:val="21"/>
          <w:highlight w:val="none"/>
        </w:rPr>
        <w:t>)的法定代表人，现委托</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 xml:space="preserve"> (姓名)为我方代理人。代理人根据授权，以我方名义签署、澄清、说明、补正、递交、撤回、修改</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(项目名称)磋商文件、签订合同和处理有关事宜，其法律后果由我方承担。</w:t>
      </w:r>
    </w:p>
    <w:p w14:paraId="3B49DD3D">
      <w:pPr>
        <w:keepNext w:val="0"/>
        <w:keepLines w:val="0"/>
        <w:pageBreakBefore w:val="0"/>
        <w:widowControl w:val="0"/>
        <w:kinsoku/>
        <w:wordWrap/>
        <w:overflowPunct/>
        <w:topLinePunct w:val="0"/>
        <w:autoSpaceDE w:val="0"/>
        <w:autoSpaceDN w:val="0"/>
        <w:bidi w:val="0"/>
        <w:adjustRightInd w:val="0"/>
        <w:snapToGrid/>
        <w:spacing w:line="480" w:lineRule="auto"/>
        <w:ind w:firstLine="42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委托期限：</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u w:val="single"/>
          <w:lang w:val="en-US" w:eastAsia="zh-CN"/>
        </w:rPr>
        <w:t xml:space="preserve">                                      </w:t>
      </w:r>
      <w:r>
        <w:rPr>
          <w:rFonts w:hint="eastAsia" w:ascii="宋体" w:hAnsi="宋体" w:cs="宋体"/>
          <w:color w:val="auto"/>
          <w:kern w:val="0"/>
          <w:sz w:val="21"/>
          <w:szCs w:val="21"/>
          <w:highlight w:val="none"/>
          <w:u w:val="single"/>
        </w:rPr>
        <w:t xml:space="preserve">  </w:t>
      </w:r>
      <w:r>
        <w:rPr>
          <w:rFonts w:hint="eastAsia" w:ascii="宋体" w:hAnsi="宋体" w:cs="宋体"/>
          <w:color w:val="auto"/>
          <w:kern w:val="0"/>
          <w:sz w:val="21"/>
          <w:szCs w:val="21"/>
          <w:highlight w:val="none"/>
        </w:rPr>
        <w:t>。</w:t>
      </w:r>
    </w:p>
    <w:p w14:paraId="2FD5A225">
      <w:pPr>
        <w:keepNext w:val="0"/>
        <w:keepLines w:val="0"/>
        <w:pageBreakBefore w:val="0"/>
        <w:widowControl w:val="0"/>
        <w:kinsoku/>
        <w:wordWrap/>
        <w:overflowPunct/>
        <w:topLinePunct w:val="0"/>
        <w:autoSpaceDE w:val="0"/>
        <w:autoSpaceDN w:val="0"/>
        <w:bidi w:val="0"/>
        <w:adjustRightInd w:val="0"/>
        <w:snapToGrid/>
        <w:spacing w:line="480" w:lineRule="auto"/>
        <w:ind w:firstLine="420"/>
        <w:jc w:val="left"/>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代理人无转委托权。</w:t>
      </w:r>
    </w:p>
    <w:p w14:paraId="18DA90A1">
      <w:pPr>
        <w:keepNext w:val="0"/>
        <w:keepLines w:val="0"/>
        <w:pageBreakBefore w:val="0"/>
        <w:widowControl w:val="0"/>
        <w:kinsoku/>
        <w:wordWrap/>
        <w:overflowPunct/>
        <w:topLinePunct w:val="0"/>
        <w:autoSpaceDE w:val="0"/>
        <w:autoSpaceDN w:val="0"/>
        <w:bidi w:val="0"/>
        <w:adjustRightInd w:val="0"/>
        <w:snapToGrid/>
        <w:spacing w:line="480" w:lineRule="auto"/>
        <w:ind w:firstLine="420"/>
        <w:jc w:val="left"/>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rPr>
        <w:t>附：授权委托人身份证</w:t>
      </w:r>
      <w:r>
        <w:rPr>
          <w:rFonts w:hint="eastAsia" w:ascii="宋体" w:hAnsi="宋体" w:cs="宋体"/>
          <w:color w:val="auto"/>
          <w:kern w:val="0"/>
          <w:sz w:val="21"/>
          <w:szCs w:val="21"/>
          <w:highlight w:val="none"/>
          <w:lang w:eastAsia="zh-CN"/>
        </w:rPr>
        <w:t>的</w:t>
      </w:r>
      <w:r>
        <w:rPr>
          <w:rFonts w:hint="eastAsia" w:ascii="宋体" w:hAnsi="宋体" w:cs="宋体"/>
          <w:color w:val="auto"/>
          <w:kern w:val="0"/>
          <w:sz w:val="21"/>
          <w:szCs w:val="21"/>
          <w:highlight w:val="none"/>
          <w:lang w:val="en-US" w:eastAsia="zh-CN"/>
        </w:rPr>
        <w:t>扫描件或</w:t>
      </w:r>
      <w:r>
        <w:rPr>
          <w:rFonts w:hint="eastAsia" w:ascii="宋体" w:hAnsi="宋体" w:cs="宋体"/>
          <w:color w:val="auto"/>
          <w:kern w:val="0"/>
          <w:sz w:val="21"/>
          <w:szCs w:val="21"/>
          <w:highlight w:val="none"/>
        </w:rPr>
        <w:t>复印件</w:t>
      </w:r>
      <w:r>
        <w:rPr>
          <w:rFonts w:hint="eastAsia" w:ascii="宋体" w:hAnsi="宋体" w:cs="宋体"/>
          <w:color w:val="auto"/>
          <w:kern w:val="0"/>
          <w:sz w:val="21"/>
          <w:szCs w:val="21"/>
          <w:highlight w:val="none"/>
          <w:lang w:eastAsia="zh-CN"/>
        </w:rPr>
        <w:t>。</w:t>
      </w:r>
    </w:p>
    <w:p w14:paraId="11AAA4D2">
      <w:pPr>
        <w:autoSpaceDE w:val="0"/>
        <w:autoSpaceDN w:val="0"/>
        <w:adjustRightInd w:val="0"/>
        <w:spacing w:line="360" w:lineRule="auto"/>
        <w:jc w:val="left"/>
        <w:rPr>
          <w:rFonts w:ascii="宋体" w:hAnsi="宋体" w:cs="宋体"/>
          <w:color w:val="auto"/>
          <w:kern w:val="0"/>
          <w:sz w:val="21"/>
          <w:szCs w:val="21"/>
          <w:highlight w:val="none"/>
        </w:rPr>
      </w:pPr>
    </w:p>
    <w:p w14:paraId="1CAF6DE6">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lang w:eastAsia="zh-CN"/>
        </w:rPr>
      </w:pPr>
    </w:p>
    <w:p w14:paraId="0A52AE96">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lang w:eastAsia="zh-CN"/>
        </w:rPr>
        <w:t>供应商名称</w:t>
      </w:r>
      <w:r>
        <w:rPr>
          <w:rFonts w:hint="eastAsia" w:ascii="宋体" w:hAnsi="宋体" w:eastAsia="宋体" w:cs="宋体"/>
          <w:bCs/>
          <w:color w:val="auto"/>
          <w:kern w:val="0"/>
          <w:sz w:val="21"/>
          <w:szCs w:val="21"/>
          <w:highlight w:val="none"/>
        </w:rPr>
        <w:t>：</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eastAsia="宋体" w:cs="宋体"/>
          <w:bCs/>
          <w:color w:val="auto"/>
          <w:kern w:val="0"/>
          <w:sz w:val="21"/>
          <w:szCs w:val="21"/>
          <w:highlight w:val="none"/>
        </w:rPr>
        <w:t>）</w:t>
      </w:r>
    </w:p>
    <w:p w14:paraId="12CB310F">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法定代表人：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eastAsia="宋体" w:cs="宋体"/>
          <w:bCs/>
          <w:color w:val="auto"/>
          <w:kern w:val="0"/>
          <w:sz w:val="21"/>
          <w:szCs w:val="21"/>
          <w:highlight w:val="none"/>
        </w:rPr>
        <w:t>）</w:t>
      </w:r>
    </w:p>
    <w:p w14:paraId="3685C364">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身份证号码：</w:t>
      </w:r>
      <w:r>
        <w:rPr>
          <w:rFonts w:hint="eastAsia" w:ascii="宋体" w:hAnsi="宋体" w:eastAsia="宋体" w:cs="宋体"/>
          <w:bCs/>
          <w:color w:val="auto"/>
          <w:kern w:val="0"/>
          <w:sz w:val="21"/>
          <w:szCs w:val="21"/>
          <w:highlight w:val="none"/>
          <w:u w:val="single"/>
        </w:rPr>
        <w:t xml:space="preserve">                         </w:t>
      </w:r>
    </w:p>
    <w:p w14:paraId="49C563C4">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委托代理人：</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rPr>
        <w:t>（</w:t>
      </w:r>
      <w:r>
        <w:rPr>
          <w:rFonts w:hint="eastAsia" w:ascii="宋体" w:hAnsi="宋体" w:cs="宋体"/>
          <w:color w:val="auto"/>
          <w:szCs w:val="21"/>
        </w:rPr>
        <w:t>签字</w:t>
      </w:r>
      <w:r>
        <w:rPr>
          <w:rFonts w:hint="eastAsia" w:ascii="宋体" w:hAnsi="宋体" w:eastAsia="宋体" w:cs="宋体"/>
          <w:bCs/>
          <w:color w:val="auto"/>
          <w:kern w:val="0"/>
          <w:sz w:val="21"/>
          <w:szCs w:val="21"/>
          <w:highlight w:val="none"/>
        </w:rPr>
        <w:t>）</w:t>
      </w:r>
    </w:p>
    <w:p w14:paraId="3A36666F">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rPr>
      </w:pPr>
      <w:r>
        <w:rPr>
          <w:rFonts w:hint="eastAsia" w:ascii="宋体" w:hAnsi="宋体" w:eastAsia="宋体" w:cs="宋体"/>
          <w:bCs/>
          <w:color w:val="auto"/>
          <w:kern w:val="0"/>
          <w:sz w:val="21"/>
          <w:szCs w:val="21"/>
          <w:highlight w:val="none"/>
        </w:rPr>
        <w:t>联系电话：</w:t>
      </w:r>
      <w:r>
        <w:rPr>
          <w:rFonts w:hint="eastAsia" w:ascii="宋体" w:hAnsi="宋体" w:eastAsia="宋体" w:cs="宋体"/>
          <w:bCs/>
          <w:color w:val="auto"/>
          <w:kern w:val="0"/>
          <w:sz w:val="21"/>
          <w:szCs w:val="21"/>
          <w:highlight w:val="none"/>
          <w:u w:val="single"/>
        </w:rPr>
        <w:t xml:space="preserve">                         </w:t>
      </w:r>
      <w:r>
        <w:rPr>
          <w:rFonts w:hint="eastAsia" w:ascii="宋体" w:hAnsi="宋体" w:eastAsia="宋体" w:cs="宋体"/>
          <w:bCs/>
          <w:color w:val="auto"/>
          <w:kern w:val="0"/>
          <w:sz w:val="21"/>
          <w:szCs w:val="21"/>
          <w:highlight w:val="none"/>
          <w:u w:val="single"/>
          <w:lang w:val="en-US" w:eastAsia="zh-CN"/>
        </w:rPr>
        <w:t xml:space="preserve">  </w:t>
      </w:r>
      <w:r>
        <w:rPr>
          <w:rFonts w:hint="eastAsia" w:ascii="宋体" w:hAnsi="宋体" w:eastAsia="宋体" w:cs="宋体"/>
          <w:bCs/>
          <w:color w:val="auto"/>
          <w:kern w:val="0"/>
          <w:sz w:val="21"/>
          <w:szCs w:val="21"/>
          <w:highlight w:val="none"/>
        </w:rPr>
        <w:t xml:space="preserve">           </w:t>
      </w:r>
    </w:p>
    <w:p w14:paraId="2F15D379">
      <w:pPr>
        <w:keepNext w:val="0"/>
        <w:keepLines w:val="0"/>
        <w:pageBreakBefore w:val="0"/>
        <w:widowControl w:val="0"/>
        <w:kinsoku/>
        <w:wordWrap/>
        <w:overflowPunct/>
        <w:topLinePunct w:val="0"/>
        <w:autoSpaceDE w:val="0"/>
        <w:autoSpaceDN w:val="0"/>
        <w:bidi w:val="0"/>
        <w:adjustRightInd w:val="0"/>
        <w:snapToGrid/>
        <w:spacing w:line="480" w:lineRule="auto"/>
        <w:ind w:right="420" w:firstLine="420" w:firstLineChars="200"/>
        <w:textAlignment w:val="auto"/>
        <w:rPr>
          <w:rFonts w:hint="eastAsia" w:ascii="宋体" w:hAnsi="宋体" w:eastAsia="宋体" w:cs="宋体"/>
          <w:bCs/>
          <w:color w:val="auto"/>
          <w:kern w:val="0"/>
          <w:sz w:val="21"/>
          <w:szCs w:val="21"/>
          <w:highlight w:val="none"/>
          <w:u w:val="single"/>
        </w:rPr>
      </w:pPr>
      <w:r>
        <w:rPr>
          <w:rFonts w:hint="eastAsia" w:ascii="宋体" w:hAnsi="宋体" w:eastAsia="宋体" w:cs="宋体"/>
          <w:bCs/>
          <w:color w:val="auto"/>
          <w:kern w:val="0"/>
          <w:sz w:val="21"/>
          <w:szCs w:val="21"/>
          <w:highlight w:val="none"/>
        </w:rPr>
        <w:t>身份证号码：</w:t>
      </w:r>
      <w:r>
        <w:rPr>
          <w:rFonts w:hint="eastAsia" w:ascii="宋体" w:hAnsi="宋体" w:eastAsia="宋体" w:cs="宋体"/>
          <w:bCs/>
          <w:color w:val="auto"/>
          <w:kern w:val="0"/>
          <w:sz w:val="21"/>
          <w:szCs w:val="21"/>
          <w:highlight w:val="none"/>
          <w:u w:val="single"/>
        </w:rPr>
        <w:t xml:space="preserve">                         </w:t>
      </w:r>
    </w:p>
    <w:p w14:paraId="1DF130C5">
      <w:pPr>
        <w:keepNext w:val="0"/>
        <w:keepLines w:val="0"/>
        <w:pageBreakBefore w:val="0"/>
        <w:widowControl w:val="0"/>
        <w:kinsoku/>
        <w:wordWrap/>
        <w:overflowPunct/>
        <w:topLinePunct w:val="0"/>
        <w:autoSpaceDE w:val="0"/>
        <w:autoSpaceDN w:val="0"/>
        <w:bidi w:val="0"/>
        <w:adjustRightInd w:val="0"/>
        <w:snapToGrid/>
        <w:spacing w:line="480" w:lineRule="auto"/>
        <w:ind w:right="420" w:firstLine="2310" w:firstLineChars="1100"/>
        <w:textAlignment w:val="auto"/>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rPr>
        <w:t>月</w:t>
      </w:r>
      <w:r>
        <w:rPr>
          <w:rFonts w:hint="eastAsia" w:ascii="宋体" w:hAnsi="宋体" w:cs="宋体"/>
          <w:b w:val="0"/>
          <w:bCs/>
          <w:color w:val="auto"/>
          <w:kern w:val="0"/>
          <w:sz w:val="21"/>
          <w:szCs w:val="21"/>
          <w:highlight w:val="none"/>
          <w:u w:val="single"/>
          <w:lang w:val="en-US" w:eastAsia="zh-CN"/>
        </w:rPr>
        <w:t xml:space="preserve">    </w:t>
      </w:r>
      <w:r>
        <w:rPr>
          <w:rFonts w:hint="eastAsia" w:ascii="宋体" w:hAnsi="宋体" w:cs="宋体"/>
          <w:b w:val="0"/>
          <w:bCs/>
          <w:color w:val="auto"/>
          <w:kern w:val="0"/>
          <w:sz w:val="21"/>
          <w:szCs w:val="21"/>
          <w:highlight w:val="none"/>
        </w:rPr>
        <w:t>日</w:t>
      </w:r>
    </w:p>
    <w:p w14:paraId="2B75522C">
      <w:pPr>
        <w:jc w:val="center"/>
        <w:rPr>
          <w:rFonts w:hint="eastAsia" w:asciiTheme="minorEastAsia" w:hAnsiTheme="minorEastAsia" w:eastAsiaTheme="minorEastAsia" w:cstheme="minorEastAsia"/>
          <w:b/>
          <w:color w:val="auto"/>
          <w:kern w:val="0"/>
          <w:sz w:val="30"/>
          <w:szCs w:val="30"/>
          <w:highlight w:val="none"/>
          <w:lang w:val="en-US" w:eastAsia="zh-CN" w:bidi="ar-SA"/>
        </w:rPr>
      </w:pPr>
      <w:bookmarkStart w:id="1148" w:name="_Toc10419"/>
      <w:bookmarkStart w:id="1149" w:name="_Toc18022"/>
      <w:bookmarkStart w:id="1150" w:name="_Toc30179"/>
      <w:bookmarkStart w:id="1151" w:name="_Toc265954810"/>
      <w:bookmarkStart w:id="1152" w:name="_Toc265955107"/>
      <w:bookmarkStart w:id="1153" w:name="_Toc10055"/>
      <w:bookmarkStart w:id="1154" w:name="_Toc255659857"/>
      <w:bookmarkStart w:id="1155" w:name="_Toc265654043"/>
    </w:p>
    <w:p w14:paraId="2DF609AB">
      <w:pPr>
        <w:jc w:val="center"/>
        <w:rPr>
          <w:rFonts w:hint="eastAsia" w:asciiTheme="minorEastAsia" w:hAnsiTheme="minorEastAsia" w:eastAsiaTheme="minorEastAsia" w:cstheme="minorEastAsia"/>
          <w:b/>
          <w:color w:val="auto"/>
          <w:kern w:val="0"/>
          <w:sz w:val="30"/>
          <w:szCs w:val="30"/>
          <w:highlight w:val="none"/>
          <w:lang w:val="en-US" w:eastAsia="zh-CN" w:bidi="ar-SA"/>
        </w:rPr>
      </w:pPr>
    </w:p>
    <w:p w14:paraId="42EDB76D">
      <w:pPr>
        <w:jc w:val="center"/>
        <w:rPr>
          <w:rFonts w:hint="eastAsia" w:asciiTheme="minorEastAsia" w:hAnsiTheme="minorEastAsia" w:eastAsiaTheme="minorEastAsia" w:cstheme="minorEastAsia"/>
          <w:b/>
          <w:color w:val="auto"/>
          <w:kern w:val="0"/>
          <w:sz w:val="30"/>
          <w:szCs w:val="30"/>
          <w:highlight w:val="none"/>
          <w:lang w:val="en-US" w:eastAsia="zh-CN" w:bidi="ar-SA"/>
        </w:rPr>
      </w:pPr>
    </w:p>
    <w:p w14:paraId="44C96168">
      <w:pPr>
        <w:jc w:val="center"/>
        <w:rPr>
          <w:rFonts w:hint="eastAsia" w:asciiTheme="minorEastAsia" w:hAnsiTheme="minorEastAsia" w:eastAsiaTheme="minorEastAsia" w:cstheme="minorEastAsia"/>
          <w:b/>
          <w:color w:val="auto"/>
          <w:kern w:val="0"/>
          <w:sz w:val="30"/>
          <w:szCs w:val="30"/>
          <w:highlight w:val="none"/>
          <w:lang w:val="en-US" w:eastAsia="zh-CN" w:bidi="ar-SA"/>
        </w:rPr>
      </w:pPr>
    </w:p>
    <w:p w14:paraId="6D383063">
      <w:pPr>
        <w:jc w:val="center"/>
        <w:rPr>
          <w:rFonts w:hint="eastAsia" w:asciiTheme="minorEastAsia" w:hAnsiTheme="minorEastAsia" w:eastAsiaTheme="minorEastAsia" w:cstheme="minorEastAsia"/>
          <w:b/>
          <w:color w:val="auto"/>
          <w:kern w:val="0"/>
          <w:sz w:val="30"/>
          <w:szCs w:val="30"/>
          <w:highlight w:val="none"/>
          <w:lang w:val="en-US" w:eastAsia="zh-CN" w:bidi="ar-SA"/>
        </w:rPr>
      </w:pPr>
    </w:p>
    <w:p w14:paraId="5D4AB66F">
      <w:pPr>
        <w:jc w:val="center"/>
        <w:rPr>
          <w:rFonts w:hint="eastAsia" w:asciiTheme="minorEastAsia" w:hAnsiTheme="minorEastAsia" w:eastAsiaTheme="minorEastAsia" w:cstheme="minorEastAsia"/>
          <w:b/>
          <w:color w:val="auto"/>
          <w:kern w:val="0"/>
          <w:sz w:val="30"/>
          <w:szCs w:val="30"/>
          <w:highlight w:val="none"/>
          <w:lang w:val="en-US" w:eastAsia="zh-CN" w:bidi="ar-SA"/>
        </w:rPr>
      </w:pPr>
    </w:p>
    <w:p w14:paraId="4474F9CF">
      <w:pPr>
        <w:jc w:val="center"/>
        <w:rPr>
          <w:rFonts w:hint="eastAsia" w:asciiTheme="minorEastAsia" w:hAnsiTheme="minorEastAsia" w:eastAsiaTheme="minorEastAsia" w:cstheme="minorEastAsia"/>
          <w:b/>
          <w:color w:val="auto"/>
          <w:kern w:val="0"/>
          <w:sz w:val="30"/>
          <w:szCs w:val="30"/>
          <w:highlight w:val="none"/>
          <w:lang w:val="en-US" w:eastAsia="zh-CN" w:bidi="ar-SA"/>
        </w:rPr>
      </w:pPr>
      <w:r>
        <w:rPr>
          <w:rFonts w:hint="eastAsia" w:asciiTheme="minorEastAsia" w:hAnsiTheme="minorEastAsia" w:eastAsiaTheme="minorEastAsia" w:cstheme="minorEastAsia"/>
          <w:b/>
          <w:color w:val="auto"/>
          <w:kern w:val="0"/>
          <w:sz w:val="30"/>
          <w:szCs w:val="30"/>
          <w:highlight w:val="none"/>
          <w:lang w:val="en-US" w:eastAsia="zh-CN" w:bidi="ar-SA"/>
        </w:rPr>
        <w:t>七、磋商保证金缴纳凭证</w:t>
      </w:r>
      <w:bookmarkEnd w:id="1148"/>
      <w:bookmarkEnd w:id="1149"/>
      <w:bookmarkEnd w:id="1150"/>
    </w:p>
    <w:p w14:paraId="5F9016CF">
      <w:pPr>
        <w:pStyle w:val="41"/>
        <w:spacing w:line="360" w:lineRule="auto"/>
        <w:rPr>
          <w:color w:val="auto"/>
          <w:highlight w:val="none"/>
        </w:rPr>
      </w:pPr>
    </w:p>
    <w:p w14:paraId="65A0AA70">
      <w:pPr>
        <w:keepNext w:val="0"/>
        <w:keepLines w:val="0"/>
        <w:pageBreakBefore w:val="0"/>
        <w:widowControl w:val="0"/>
        <w:kinsoku/>
        <w:wordWrap/>
        <w:overflowPunct/>
        <w:topLinePunct w:val="0"/>
        <w:autoSpaceDE/>
        <w:autoSpaceDN/>
        <w:bidi w:val="0"/>
        <w:adjustRightInd/>
        <w:snapToGrid w:val="0"/>
        <w:spacing w:line="480" w:lineRule="auto"/>
        <w:ind w:firstLine="210" w:firstLineChars="1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（采购人名称）：</w:t>
      </w:r>
    </w:p>
    <w:p w14:paraId="161AA48B">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r>
        <w:rPr>
          <w:rFonts w:hint="eastAsia" w:ascii="宋体" w:hAnsi="宋体" w:eastAsia="宋体" w:cs="宋体"/>
          <w:color w:val="auto"/>
          <w:sz w:val="21"/>
          <w:szCs w:val="21"/>
          <w:u w:val="single"/>
        </w:rPr>
        <w:t>（</w:t>
      </w:r>
      <w:r>
        <w:rPr>
          <w:rFonts w:hint="eastAsia" w:ascii="宋体" w:hAnsi="宋体" w:cs="宋体"/>
          <w:color w:val="auto"/>
          <w:sz w:val="21"/>
          <w:szCs w:val="21"/>
          <w:u w:val="single"/>
          <w:lang w:eastAsia="zh-CN"/>
        </w:rPr>
        <w:t>供应商名称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参加贵方组织的</w:t>
      </w:r>
      <w:r>
        <w:rPr>
          <w:rFonts w:hint="eastAsia" w:ascii="宋体" w:hAnsi="宋体" w:eastAsia="宋体" w:cs="宋体"/>
          <w:color w:val="auto"/>
          <w:sz w:val="21"/>
          <w:szCs w:val="21"/>
          <w:u w:val="single"/>
        </w:rPr>
        <w:t xml:space="preserve"> （项目名称）（招标编号） </w:t>
      </w:r>
      <w:r>
        <w:rPr>
          <w:rFonts w:hint="eastAsia" w:ascii="宋体" w:hAnsi="宋体" w:eastAsia="宋体" w:cs="宋体"/>
          <w:color w:val="auto"/>
          <w:sz w:val="21"/>
          <w:szCs w:val="21"/>
        </w:rPr>
        <w:t>的</w:t>
      </w:r>
      <w:r>
        <w:rPr>
          <w:rFonts w:hint="eastAsia" w:ascii="宋体" w:hAnsi="宋体" w:cs="宋体"/>
          <w:color w:val="auto"/>
          <w:sz w:val="21"/>
          <w:szCs w:val="21"/>
          <w:lang w:val="en-US" w:eastAsia="zh-CN"/>
        </w:rPr>
        <w:t>采购</w:t>
      </w:r>
      <w:r>
        <w:rPr>
          <w:rFonts w:hint="eastAsia" w:ascii="宋体" w:hAnsi="宋体" w:eastAsia="宋体" w:cs="宋体"/>
          <w:color w:val="auto"/>
          <w:sz w:val="21"/>
          <w:szCs w:val="21"/>
        </w:rPr>
        <w:t>活动。按竞争性磋商文件的规定，已通过</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形式</w:t>
      </w:r>
      <w:r>
        <w:rPr>
          <w:rFonts w:hint="eastAsia" w:ascii="宋体" w:hAnsi="宋体" w:cs="宋体"/>
          <w:color w:val="auto"/>
          <w:sz w:val="21"/>
          <w:szCs w:val="21"/>
          <w:lang w:eastAsia="zh-CN"/>
        </w:rPr>
        <w:t>缴纳</w:t>
      </w:r>
      <w:r>
        <w:rPr>
          <w:rFonts w:hint="eastAsia" w:ascii="宋体" w:hAnsi="宋体" w:eastAsia="宋体" w:cs="宋体"/>
          <w:color w:val="auto"/>
          <w:sz w:val="21"/>
          <w:szCs w:val="21"/>
        </w:rPr>
        <w:t>人民币</w:t>
      </w:r>
      <w:r>
        <w:rPr>
          <w:rFonts w:hint="eastAsia" w:ascii="宋体" w:hAnsi="宋体" w:eastAsia="宋体" w:cs="宋体"/>
          <w:color w:val="auto"/>
          <w:sz w:val="21"/>
          <w:szCs w:val="21"/>
          <w:u w:val="single"/>
        </w:rPr>
        <w:t xml:space="preserve"> （大写： ）（小写： ） </w:t>
      </w:r>
      <w:r>
        <w:rPr>
          <w:rFonts w:hint="eastAsia" w:ascii="宋体" w:hAnsi="宋体" w:eastAsia="宋体" w:cs="宋体"/>
          <w:color w:val="auto"/>
          <w:sz w:val="21"/>
          <w:szCs w:val="21"/>
        </w:rPr>
        <w:t>的磋商保证金。</w:t>
      </w:r>
    </w:p>
    <w:p w14:paraId="3F2CB445">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供应商名称：</w:t>
      </w:r>
      <w:r>
        <w:rPr>
          <w:rFonts w:hint="eastAsia" w:ascii="宋体" w:hAnsi="宋体" w:eastAsia="宋体" w:cs="宋体"/>
          <w:color w:val="auto"/>
          <w:sz w:val="21"/>
          <w:szCs w:val="21"/>
          <w:u w:val="single"/>
        </w:rPr>
        <w:t xml:space="preserve">                              </w:t>
      </w:r>
    </w:p>
    <w:p w14:paraId="0C36311B">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供应商开户银行：</w:t>
      </w:r>
      <w:r>
        <w:rPr>
          <w:rFonts w:hint="eastAsia" w:ascii="宋体" w:hAnsi="宋体" w:eastAsia="宋体" w:cs="宋体"/>
          <w:color w:val="auto"/>
          <w:sz w:val="21"/>
          <w:szCs w:val="21"/>
          <w:u w:val="single"/>
        </w:rPr>
        <w:t xml:space="preserve">                          </w:t>
      </w:r>
    </w:p>
    <w:p w14:paraId="2F3C1362">
      <w:pPr>
        <w:spacing w:line="50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供应商银行帐号：</w:t>
      </w:r>
      <w:r>
        <w:rPr>
          <w:rFonts w:hint="eastAsia" w:ascii="宋体" w:hAnsi="宋体" w:eastAsia="宋体" w:cs="宋体"/>
          <w:color w:val="auto"/>
          <w:sz w:val="21"/>
          <w:szCs w:val="21"/>
          <w:u w:val="single"/>
        </w:rPr>
        <w:t xml:space="preserve">                          </w:t>
      </w:r>
    </w:p>
    <w:p w14:paraId="5CE85F5F">
      <w:pPr>
        <w:spacing w:line="500" w:lineRule="exact"/>
        <w:ind w:firstLine="420" w:firstLineChars="200"/>
        <w:rPr>
          <w:rFonts w:hint="eastAsia" w:ascii="宋体" w:hAnsi="宋体" w:eastAsia="宋体" w:cs="宋体"/>
          <w:color w:val="auto"/>
          <w:sz w:val="21"/>
          <w:szCs w:val="21"/>
        </w:rPr>
      </w:pPr>
    </w:p>
    <w:p w14:paraId="4307CCC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附件：</w:t>
      </w:r>
    </w:p>
    <w:p w14:paraId="2056340E">
      <w:pPr>
        <w:spacing w:line="500" w:lineRule="exact"/>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(1)磋商保证金缴纳凭证</w:t>
      </w:r>
      <w:r>
        <w:rPr>
          <w:rFonts w:hint="eastAsia" w:ascii="宋体" w:hAnsi="宋体" w:eastAsia="宋体" w:cs="宋体"/>
          <w:color w:val="auto"/>
          <w:sz w:val="21"/>
          <w:szCs w:val="21"/>
          <w:lang w:val="en-US" w:eastAsia="zh-CN"/>
        </w:rPr>
        <w:t>的扫描件或复印件</w:t>
      </w:r>
      <w:r>
        <w:rPr>
          <w:rFonts w:hint="eastAsia" w:ascii="宋体" w:hAnsi="宋体" w:eastAsia="宋体" w:cs="宋体"/>
          <w:color w:val="auto"/>
          <w:sz w:val="21"/>
          <w:szCs w:val="21"/>
          <w:lang w:eastAsia="zh-CN"/>
        </w:rPr>
        <w:t>；</w:t>
      </w:r>
    </w:p>
    <w:p w14:paraId="26EDD6CC">
      <w:pPr>
        <w:spacing w:line="50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(2)人民银行颁布的基本存款账户开户许可证</w:t>
      </w:r>
      <w:r>
        <w:rPr>
          <w:rFonts w:hint="eastAsia" w:ascii="宋体" w:hAnsi="宋体" w:eastAsia="宋体" w:cs="宋体"/>
          <w:color w:val="auto"/>
          <w:sz w:val="21"/>
          <w:szCs w:val="21"/>
          <w:lang w:val="en-US" w:eastAsia="zh-CN"/>
        </w:rPr>
        <w:t>的扫描件或复印件。</w:t>
      </w:r>
    </w:p>
    <w:p w14:paraId="2EB0A93E">
      <w:pPr>
        <w:snapToGrid w:val="0"/>
        <w:spacing w:line="360" w:lineRule="auto"/>
        <w:ind w:firstLine="420"/>
        <w:jc w:val="left"/>
        <w:rPr>
          <w:rFonts w:ascii="宋体" w:hAnsi="宋体" w:cs="宋体"/>
          <w:color w:val="auto"/>
          <w:sz w:val="21"/>
          <w:szCs w:val="21"/>
          <w:highlight w:val="none"/>
        </w:rPr>
      </w:pPr>
    </w:p>
    <w:p w14:paraId="35D11F05">
      <w:pPr>
        <w:snapToGrid w:val="0"/>
        <w:spacing w:line="360" w:lineRule="auto"/>
        <w:ind w:firstLine="420"/>
        <w:jc w:val="left"/>
        <w:rPr>
          <w:rFonts w:ascii="宋体" w:hAnsi="宋体" w:cs="宋体"/>
          <w:color w:val="auto"/>
          <w:sz w:val="21"/>
          <w:szCs w:val="21"/>
          <w:highlight w:val="none"/>
        </w:rPr>
      </w:pPr>
    </w:p>
    <w:p w14:paraId="1E95B75F">
      <w:pPr>
        <w:snapToGrid w:val="0"/>
        <w:spacing w:line="360" w:lineRule="auto"/>
        <w:ind w:firstLine="420"/>
        <w:jc w:val="left"/>
        <w:rPr>
          <w:rFonts w:ascii="宋体" w:hAnsi="宋体" w:cs="宋体"/>
          <w:color w:val="auto"/>
          <w:sz w:val="21"/>
          <w:szCs w:val="21"/>
          <w:highlight w:val="none"/>
        </w:rPr>
      </w:pPr>
    </w:p>
    <w:p w14:paraId="7E95276E">
      <w:pPr>
        <w:snapToGrid w:val="0"/>
        <w:spacing w:line="360" w:lineRule="auto"/>
        <w:ind w:firstLine="420"/>
        <w:jc w:val="left"/>
        <w:rPr>
          <w:rFonts w:ascii="宋体" w:hAnsi="宋体" w:cs="宋体"/>
          <w:color w:val="auto"/>
          <w:sz w:val="21"/>
          <w:szCs w:val="21"/>
          <w:highlight w:val="none"/>
        </w:rPr>
      </w:pPr>
    </w:p>
    <w:p w14:paraId="02B32D47">
      <w:pPr>
        <w:snapToGrid w:val="0"/>
        <w:spacing w:line="360" w:lineRule="auto"/>
        <w:ind w:firstLine="420"/>
        <w:jc w:val="left"/>
        <w:rPr>
          <w:rFonts w:ascii="宋体" w:hAnsi="宋体" w:cs="宋体"/>
          <w:color w:val="auto"/>
          <w:sz w:val="21"/>
          <w:szCs w:val="21"/>
          <w:highlight w:val="none"/>
        </w:rPr>
      </w:pPr>
    </w:p>
    <w:p w14:paraId="3EAA6F29">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color w:val="auto"/>
          <w:sz w:val="21"/>
          <w:szCs w:val="21"/>
          <w:highlight w:val="none"/>
        </w:rPr>
        <w:t>）</w:t>
      </w:r>
    </w:p>
    <w:p w14:paraId="1F0F2AE4">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25034A9A">
      <w:pPr>
        <w:snapToGrid w:val="0"/>
        <w:spacing w:line="480" w:lineRule="auto"/>
        <w:ind w:firstLine="5460" w:firstLineChars="2600"/>
        <w:jc w:val="left"/>
        <w:rPr>
          <w:rFonts w:ascii="宋体" w:hAnsi="宋体" w:cs="宋体"/>
          <w:b w:val="0"/>
          <w:bCs/>
          <w:color w:val="auto"/>
          <w:kern w:val="0"/>
          <w:sz w:val="21"/>
          <w:szCs w:val="21"/>
          <w:highlight w:val="none"/>
        </w:rPr>
      </w:pP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年____月____日</w:t>
      </w:r>
    </w:p>
    <w:p w14:paraId="0AD677E3">
      <w:pPr>
        <w:rPr>
          <w:rFonts w:hint="eastAsia" w:ascii="宋体" w:hAnsi="宋体" w:eastAsia="宋体" w:cs="宋体"/>
          <w:b/>
          <w:color w:val="auto"/>
          <w:sz w:val="21"/>
          <w:szCs w:val="21"/>
        </w:rPr>
      </w:pPr>
      <w:r>
        <w:rPr>
          <w:rFonts w:hint="eastAsia" w:ascii="宋体" w:hAnsi="宋体" w:eastAsia="宋体" w:cs="宋体"/>
          <w:b/>
          <w:color w:val="auto"/>
          <w:sz w:val="21"/>
          <w:szCs w:val="21"/>
        </w:rPr>
        <w:t>注：若保证金选择银行转账的需提供以上格式并附保证金</w:t>
      </w:r>
      <w:r>
        <w:rPr>
          <w:rFonts w:hint="eastAsia" w:ascii="宋体" w:hAnsi="宋体" w:cs="宋体"/>
          <w:b/>
          <w:color w:val="auto"/>
          <w:sz w:val="21"/>
          <w:szCs w:val="21"/>
          <w:lang w:eastAsia="zh-CN"/>
        </w:rPr>
        <w:t>缴纳</w:t>
      </w:r>
      <w:r>
        <w:rPr>
          <w:rFonts w:hint="eastAsia" w:ascii="宋体" w:hAnsi="宋体" w:eastAsia="宋体" w:cs="宋体"/>
          <w:b/>
          <w:color w:val="auto"/>
          <w:sz w:val="21"/>
          <w:szCs w:val="21"/>
        </w:rPr>
        <w:t>凭证；若选择银行保函或保证保险的，则只需提供保函单或保险单扫描件即可。</w:t>
      </w:r>
    </w:p>
    <w:p w14:paraId="7C342DD1">
      <w:pPr>
        <w:spacing w:line="360" w:lineRule="auto"/>
        <w:jc w:val="center"/>
        <w:outlineLvl w:val="1"/>
        <w:rPr>
          <w:rFonts w:ascii="宋体" w:hAnsi="宋体"/>
          <w:b/>
          <w:bCs/>
          <w:color w:val="auto"/>
          <w:kern w:val="0"/>
          <w:sz w:val="32"/>
          <w:szCs w:val="32"/>
          <w:highlight w:val="none"/>
        </w:rPr>
      </w:pPr>
    </w:p>
    <w:p w14:paraId="04AC14B6">
      <w:pPr>
        <w:spacing w:line="360" w:lineRule="auto"/>
        <w:jc w:val="center"/>
        <w:outlineLvl w:val="1"/>
        <w:rPr>
          <w:rFonts w:ascii="宋体" w:hAnsi="宋体"/>
          <w:b/>
          <w:bCs/>
          <w:color w:val="auto"/>
          <w:kern w:val="0"/>
          <w:sz w:val="32"/>
          <w:szCs w:val="32"/>
          <w:highlight w:val="none"/>
        </w:rPr>
        <w:sectPr>
          <w:headerReference r:id="rId15" w:type="default"/>
          <w:footerReference r:id="rId16" w:type="default"/>
          <w:pgSz w:w="11906" w:h="16838"/>
          <w:pgMar w:top="1440" w:right="1080" w:bottom="1440" w:left="1080" w:header="851" w:footer="992" w:gutter="0"/>
          <w:pgNumType w:fmt="decimal"/>
          <w:cols w:space="720" w:num="1"/>
          <w:titlePg/>
          <w:docGrid w:type="lines" w:linePitch="312" w:charSpace="0"/>
        </w:sectPr>
      </w:pPr>
    </w:p>
    <w:p w14:paraId="7B852A1C">
      <w:pPr>
        <w:pStyle w:val="4"/>
        <w:numPr>
          <w:ilvl w:val="0"/>
          <w:numId w:val="0"/>
        </w:numPr>
        <w:spacing w:line="360" w:lineRule="auto"/>
        <w:ind w:leftChars="0"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八、磋商承诺书</w:t>
      </w:r>
    </w:p>
    <w:p w14:paraId="30C9BADE">
      <w:pPr>
        <w:rPr>
          <w:rFonts w:hint="eastAsia" w:ascii="宋体" w:hAnsi="宋体" w:eastAsia="宋体" w:cs="宋体"/>
          <w:color w:val="auto"/>
          <w:highlight w:val="none"/>
        </w:rPr>
      </w:pPr>
    </w:p>
    <w:p w14:paraId="097BBFC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color w:val="auto"/>
          <w:sz w:val="21"/>
          <w:szCs w:val="21"/>
          <w:highlight w:val="none"/>
          <w:u w:val="single"/>
          <w:lang w:val="en-US" w:eastAsia="zh-CN"/>
        </w:rPr>
      </w:pPr>
      <w:r>
        <w:rPr>
          <w:rFonts w:hint="eastAsia"/>
          <w:color w:val="auto"/>
          <w:sz w:val="21"/>
          <w:szCs w:val="21"/>
          <w:highlight w:val="none"/>
          <w:lang w:val="en-US" w:eastAsia="zh-CN"/>
        </w:rPr>
        <w:t>致：</w:t>
      </w:r>
      <w:r>
        <w:rPr>
          <w:rFonts w:hint="eastAsia" w:asciiTheme="minorEastAsia" w:hAnsiTheme="minorEastAsia" w:eastAsiaTheme="minorEastAsia" w:cstheme="minorEastAsia"/>
          <w:color w:val="auto"/>
          <w:sz w:val="21"/>
          <w:szCs w:val="21"/>
          <w:highlight w:val="none"/>
          <w:u w:val="single"/>
        </w:rPr>
        <w:t xml:space="preserve">       （采购人</w:t>
      </w:r>
      <w:r>
        <w:rPr>
          <w:rFonts w:hint="eastAsia" w:asciiTheme="minorEastAsia" w:hAnsiTheme="minorEastAsia" w:eastAsiaTheme="minorEastAsia" w:cstheme="minorEastAsia"/>
          <w:color w:val="auto"/>
          <w:sz w:val="21"/>
          <w:szCs w:val="21"/>
          <w:highlight w:val="none"/>
          <w:u w:val="single"/>
          <w:lang w:eastAsia="zh-CN"/>
        </w:rPr>
        <w:t>名称</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u w:val="none"/>
        </w:rPr>
        <w:t xml:space="preserve"> </w:t>
      </w:r>
    </w:p>
    <w:p w14:paraId="09C58542">
      <w:pPr>
        <w:spacing w:line="48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我方认真阅读了</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项目名称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eastAsia="zh-CN"/>
        </w:rPr>
        <w:t>的竞争性</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文件，我方知道在</w:t>
      </w:r>
      <w:r>
        <w:rPr>
          <w:rFonts w:hint="eastAsia" w:ascii="宋体" w:hAnsi="宋体" w:eastAsia="宋体" w:cs="宋体"/>
          <w:color w:val="auto"/>
          <w:sz w:val="21"/>
          <w:szCs w:val="21"/>
          <w:highlight w:val="none"/>
          <w:lang w:eastAsia="zh-CN"/>
        </w:rPr>
        <w:t>采购活动</w:t>
      </w:r>
      <w:r>
        <w:rPr>
          <w:rFonts w:hint="eastAsia" w:ascii="宋体" w:hAnsi="宋体" w:eastAsia="宋体" w:cs="宋体"/>
          <w:color w:val="auto"/>
          <w:sz w:val="21"/>
          <w:szCs w:val="21"/>
          <w:highlight w:val="none"/>
        </w:rPr>
        <w:t>中必须按照法律法规和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文件的规定参与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，如违反将会导致</w:t>
      </w:r>
      <w:r>
        <w:rPr>
          <w:rFonts w:hint="eastAsia" w:ascii="宋体" w:hAnsi="宋体" w:eastAsia="宋体" w:cs="宋体"/>
          <w:color w:val="auto"/>
          <w:sz w:val="21"/>
          <w:szCs w:val="21"/>
          <w:highlight w:val="none"/>
          <w:lang w:eastAsia="zh-CN"/>
        </w:rPr>
        <w:t>磋商响应</w:t>
      </w:r>
      <w:r>
        <w:rPr>
          <w:rFonts w:hint="eastAsia" w:ascii="宋体" w:hAnsi="宋体" w:eastAsia="宋体" w:cs="宋体"/>
          <w:color w:val="auto"/>
          <w:sz w:val="21"/>
          <w:szCs w:val="21"/>
          <w:highlight w:val="none"/>
        </w:rPr>
        <w:t>文件无效、保证金不能退还和其他违法后果。在此，我方郑重承诺，我方遵守</w:t>
      </w:r>
      <w:r>
        <w:rPr>
          <w:rFonts w:hint="eastAsia" w:ascii="宋体" w:hAnsi="宋体" w:eastAsia="宋体" w:cs="宋体"/>
          <w:color w:val="auto"/>
          <w:sz w:val="21"/>
          <w:szCs w:val="21"/>
          <w:highlight w:val="none"/>
          <w:lang w:eastAsia="zh-CN"/>
        </w:rPr>
        <w:t>政府采购</w:t>
      </w:r>
      <w:r>
        <w:rPr>
          <w:rFonts w:hint="eastAsia" w:ascii="宋体" w:hAnsi="宋体" w:eastAsia="宋体" w:cs="宋体"/>
          <w:color w:val="auto"/>
          <w:sz w:val="21"/>
          <w:szCs w:val="21"/>
          <w:highlight w:val="none"/>
        </w:rPr>
        <w:t>法律法规的规定，愿意接受</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文件的所有条款规定参与上述项目的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，不围标，不串通投标，</w:t>
      </w:r>
      <w:r>
        <w:rPr>
          <w:rFonts w:hint="eastAsia" w:ascii="宋体" w:hAnsi="宋体" w:eastAsia="宋体" w:cs="宋体"/>
          <w:color w:val="auto"/>
          <w:sz w:val="21"/>
          <w:szCs w:val="21"/>
          <w:highlight w:val="none"/>
          <w:lang w:val="en-US" w:eastAsia="zh-CN"/>
        </w:rPr>
        <w:t>提供的所有响应资料真实有效，采购人有权对提供的响应资料进行查询，一旦查出有弄虚作假或故意隐瞒行为，将取消</w:t>
      </w: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lang w:val="en-US" w:eastAsia="zh-CN"/>
        </w:rPr>
        <w:t>资格，已经</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的</w:t>
      </w:r>
      <w:r>
        <w:rPr>
          <w:rFonts w:hint="eastAsia" w:ascii="宋体" w:hAnsi="宋体" w:cs="宋体"/>
          <w:color w:val="auto"/>
          <w:sz w:val="21"/>
          <w:szCs w:val="21"/>
          <w:highlight w:val="none"/>
          <w:lang w:val="en-US" w:eastAsia="zh-CN"/>
        </w:rPr>
        <w:t>成交</w:t>
      </w:r>
      <w:r>
        <w:rPr>
          <w:rFonts w:hint="eastAsia" w:ascii="宋体" w:hAnsi="宋体" w:eastAsia="宋体" w:cs="宋体"/>
          <w:color w:val="auto"/>
          <w:sz w:val="21"/>
          <w:szCs w:val="21"/>
          <w:highlight w:val="none"/>
          <w:lang w:val="en-US" w:eastAsia="zh-CN"/>
        </w:rPr>
        <w:t>无效，并承担一切法律责任和经济损失</w:t>
      </w:r>
      <w:r>
        <w:rPr>
          <w:rFonts w:hint="eastAsia" w:ascii="宋体" w:hAnsi="宋体" w:eastAsia="宋体" w:cs="宋体"/>
          <w:color w:val="auto"/>
          <w:sz w:val="21"/>
          <w:szCs w:val="21"/>
          <w:highlight w:val="none"/>
        </w:rPr>
        <w:t>。</w:t>
      </w:r>
    </w:p>
    <w:p w14:paraId="3AACE3E5">
      <w:pPr>
        <w:spacing w:line="48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 xml:space="preserve">     特此承诺</w:t>
      </w:r>
      <w:r>
        <w:rPr>
          <w:rFonts w:hint="eastAsia" w:ascii="宋体" w:hAnsi="宋体" w:cs="宋体"/>
          <w:color w:val="auto"/>
          <w:sz w:val="21"/>
          <w:szCs w:val="21"/>
          <w:highlight w:val="none"/>
          <w:lang w:eastAsia="zh-CN"/>
        </w:rPr>
        <w:t>！</w:t>
      </w:r>
    </w:p>
    <w:p w14:paraId="24BF6AFC">
      <w:pPr>
        <w:spacing w:line="480" w:lineRule="auto"/>
        <w:rPr>
          <w:rFonts w:hint="eastAsia" w:ascii="宋体" w:hAnsi="宋体" w:eastAsia="宋体" w:cs="宋体"/>
          <w:color w:val="auto"/>
          <w:sz w:val="24"/>
          <w:szCs w:val="24"/>
          <w:highlight w:val="none"/>
        </w:rPr>
      </w:pPr>
    </w:p>
    <w:p w14:paraId="3A2D39D7">
      <w:pPr>
        <w:pStyle w:val="13"/>
        <w:rPr>
          <w:rFonts w:hint="eastAsia"/>
          <w:color w:val="auto"/>
          <w:highlight w:val="none"/>
        </w:rPr>
      </w:pPr>
    </w:p>
    <w:p w14:paraId="28814CBC">
      <w:pPr>
        <w:snapToGrid w:val="0"/>
        <w:spacing w:line="480" w:lineRule="auto"/>
        <w:jc w:val="right"/>
        <w:rPr>
          <w:rFonts w:ascii="宋体" w:hAnsi="宋体" w:cs="宋体"/>
          <w:color w:val="auto"/>
          <w:sz w:val="21"/>
          <w:szCs w:val="21"/>
          <w:highlight w:val="none"/>
        </w:rPr>
      </w:pPr>
      <w:r>
        <w:rPr>
          <w:rFonts w:hint="eastAsia" w:ascii="宋体" w:hAnsi="宋体" w:cs="宋体"/>
          <w:color w:val="auto"/>
          <w:sz w:val="21"/>
          <w:szCs w:val="21"/>
          <w:highlight w:val="none"/>
          <w:lang w:eastAsia="zh-CN"/>
        </w:rPr>
        <w:t>供应商名称</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加盖单位公章或电子公章</w:t>
      </w:r>
      <w:r>
        <w:rPr>
          <w:rFonts w:hint="eastAsia" w:ascii="宋体" w:hAnsi="宋体" w:cs="宋体"/>
          <w:color w:val="auto"/>
          <w:sz w:val="21"/>
          <w:szCs w:val="21"/>
          <w:highlight w:val="none"/>
        </w:rPr>
        <w:t>）</w:t>
      </w:r>
    </w:p>
    <w:p w14:paraId="1F0D0E7D">
      <w:pPr>
        <w:snapToGrid w:val="0"/>
        <w:spacing w:line="480" w:lineRule="auto"/>
        <w:jc w:val="right"/>
        <w:rPr>
          <w:rFonts w:hint="eastAsia" w:ascii="宋体" w:hAnsi="宋体" w:cs="宋体"/>
          <w:color w:val="auto"/>
          <w:sz w:val="21"/>
          <w:szCs w:val="21"/>
          <w:highlight w:val="none"/>
        </w:rPr>
      </w:pPr>
      <w:r>
        <w:rPr>
          <w:rFonts w:hint="eastAsia" w:ascii="宋体" w:hAnsi="宋体" w:cs="宋体"/>
          <w:color w:val="auto"/>
          <w:szCs w:val="21"/>
        </w:rPr>
        <w:t>法定代表人或其委托代理人</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lang w:val="en-US" w:eastAsia="zh-CN"/>
        </w:rPr>
        <w:t xml:space="preserve">            </w:t>
      </w:r>
      <w:r>
        <w:rPr>
          <w:rFonts w:hint="eastAsia" w:ascii="宋体" w:hAnsi="宋体" w:cs="宋体"/>
          <w:color w:val="auto"/>
          <w:sz w:val="21"/>
          <w:szCs w:val="21"/>
          <w:highlight w:val="none"/>
        </w:rPr>
        <w:t>（</w:t>
      </w:r>
      <w:r>
        <w:rPr>
          <w:rFonts w:hint="eastAsia" w:ascii="宋体" w:hAnsi="宋体" w:cs="宋体"/>
          <w:color w:val="auto"/>
          <w:szCs w:val="21"/>
          <w:lang w:val="en-US" w:eastAsia="zh-CN"/>
        </w:rPr>
        <w:t>签字或电子签章或电子签名</w:t>
      </w:r>
      <w:r>
        <w:rPr>
          <w:rFonts w:hint="eastAsia" w:ascii="宋体" w:hAnsi="宋体" w:cs="宋体"/>
          <w:color w:val="auto"/>
          <w:sz w:val="21"/>
          <w:szCs w:val="21"/>
          <w:highlight w:val="none"/>
        </w:rPr>
        <w:t>）</w:t>
      </w:r>
    </w:p>
    <w:p w14:paraId="064B2C59">
      <w:pPr>
        <w:spacing w:line="360" w:lineRule="auto"/>
        <w:jc w:val="center"/>
        <w:outlineLvl w:val="1"/>
        <w:rPr>
          <w:rFonts w:ascii="宋体" w:hAnsi="宋体"/>
          <w:b/>
          <w:bCs/>
          <w:color w:val="auto"/>
          <w:kern w:val="0"/>
          <w:sz w:val="32"/>
          <w:szCs w:val="32"/>
          <w:highlight w:val="none"/>
        </w:rPr>
      </w:pPr>
      <w:r>
        <w:rPr>
          <w:rFonts w:hint="eastAsia" w:ascii="宋体" w:hAnsi="宋体" w:cs="宋体"/>
          <w:color w:val="auto"/>
          <w:sz w:val="21"/>
          <w:szCs w:val="21"/>
          <w:highlight w:val="none"/>
          <w:u w:val="none"/>
          <w:lang w:val="en-US" w:eastAsia="zh-CN"/>
        </w:rPr>
        <w:t xml:space="preserve">                                 </w:t>
      </w:r>
      <w:r>
        <w:rPr>
          <w:rFonts w:hint="eastAsia" w:ascii="宋体" w:hAnsi="宋体" w:cs="宋体"/>
          <w:color w:val="auto"/>
          <w:sz w:val="21"/>
          <w:szCs w:val="21"/>
          <w:highlight w:val="none"/>
          <w:u w:val="single"/>
        </w:rPr>
        <w:t xml:space="preserve">        </w:t>
      </w:r>
      <w:r>
        <w:rPr>
          <w:rFonts w:hint="eastAsia" w:ascii="宋体" w:hAnsi="宋体" w:cs="宋体"/>
          <w:b w:val="0"/>
          <w:bCs/>
          <w:color w:val="auto"/>
          <w:kern w:val="0"/>
          <w:sz w:val="21"/>
          <w:szCs w:val="21"/>
          <w:highlight w:val="none"/>
        </w:rPr>
        <w:t>年____月</w:t>
      </w:r>
      <w:r>
        <w:rPr>
          <w:rFonts w:hint="eastAsia" w:ascii="宋体" w:hAnsi="宋体" w:cs="宋体"/>
          <w:b w:val="0"/>
          <w:bCs/>
          <w:color w:val="auto"/>
          <w:kern w:val="0"/>
          <w:sz w:val="21"/>
          <w:szCs w:val="21"/>
          <w:highlight w:val="none"/>
          <w:u w:val="none"/>
        </w:rPr>
        <w:t>____</w:t>
      </w:r>
      <w:r>
        <w:rPr>
          <w:rFonts w:hint="eastAsia" w:ascii="宋体" w:hAnsi="宋体" w:cs="宋体"/>
          <w:b w:val="0"/>
          <w:bCs/>
          <w:color w:val="auto"/>
          <w:kern w:val="0"/>
          <w:sz w:val="21"/>
          <w:szCs w:val="21"/>
          <w:highlight w:val="none"/>
        </w:rPr>
        <w:t>日</w:t>
      </w:r>
    </w:p>
    <w:p w14:paraId="346F8321">
      <w:pPr>
        <w:spacing w:line="360" w:lineRule="auto"/>
        <w:jc w:val="center"/>
        <w:outlineLvl w:val="1"/>
        <w:rPr>
          <w:rFonts w:ascii="宋体" w:hAnsi="宋体"/>
          <w:b/>
          <w:bCs/>
          <w:color w:val="auto"/>
          <w:kern w:val="0"/>
          <w:sz w:val="32"/>
          <w:szCs w:val="32"/>
          <w:highlight w:val="none"/>
        </w:rPr>
      </w:pPr>
    </w:p>
    <w:p w14:paraId="7D341C12">
      <w:pPr>
        <w:spacing w:line="360" w:lineRule="auto"/>
        <w:jc w:val="center"/>
        <w:outlineLvl w:val="1"/>
        <w:rPr>
          <w:rFonts w:ascii="宋体" w:hAnsi="宋体"/>
          <w:b/>
          <w:bCs/>
          <w:color w:val="auto"/>
          <w:kern w:val="0"/>
          <w:sz w:val="32"/>
          <w:szCs w:val="32"/>
          <w:highlight w:val="none"/>
        </w:rPr>
      </w:pPr>
    </w:p>
    <w:p w14:paraId="6BE37CFA">
      <w:pPr>
        <w:spacing w:line="360" w:lineRule="auto"/>
        <w:jc w:val="center"/>
        <w:outlineLvl w:val="1"/>
        <w:rPr>
          <w:rFonts w:ascii="宋体" w:hAnsi="宋体"/>
          <w:b/>
          <w:bCs/>
          <w:color w:val="auto"/>
          <w:kern w:val="0"/>
          <w:sz w:val="32"/>
          <w:szCs w:val="32"/>
          <w:highlight w:val="none"/>
        </w:rPr>
      </w:pPr>
    </w:p>
    <w:p w14:paraId="22FBD205">
      <w:pPr>
        <w:spacing w:line="360" w:lineRule="auto"/>
        <w:jc w:val="center"/>
        <w:outlineLvl w:val="1"/>
        <w:rPr>
          <w:rFonts w:ascii="宋体" w:hAnsi="宋体"/>
          <w:b/>
          <w:bCs/>
          <w:color w:val="auto"/>
          <w:kern w:val="0"/>
          <w:sz w:val="32"/>
          <w:szCs w:val="32"/>
          <w:highlight w:val="none"/>
        </w:rPr>
      </w:pPr>
    </w:p>
    <w:p w14:paraId="66171790">
      <w:pPr>
        <w:spacing w:line="360" w:lineRule="auto"/>
        <w:jc w:val="center"/>
        <w:outlineLvl w:val="1"/>
        <w:rPr>
          <w:rFonts w:ascii="宋体" w:hAnsi="宋体"/>
          <w:b/>
          <w:bCs/>
          <w:color w:val="auto"/>
          <w:kern w:val="0"/>
          <w:sz w:val="32"/>
          <w:szCs w:val="32"/>
          <w:highlight w:val="none"/>
        </w:rPr>
      </w:pPr>
    </w:p>
    <w:p w14:paraId="2E157763">
      <w:pPr>
        <w:spacing w:line="360" w:lineRule="auto"/>
        <w:jc w:val="center"/>
        <w:outlineLvl w:val="1"/>
        <w:rPr>
          <w:rFonts w:ascii="宋体" w:hAnsi="宋体"/>
          <w:b/>
          <w:bCs/>
          <w:color w:val="auto"/>
          <w:kern w:val="0"/>
          <w:sz w:val="32"/>
          <w:szCs w:val="32"/>
          <w:highlight w:val="none"/>
        </w:rPr>
      </w:pPr>
    </w:p>
    <w:p w14:paraId="6638361A">
      <w:pPr>
        <w:spacing w:line="360" w:lineRule="auto"/>
        <w:jc w:val="center"/>
        <w:outlineLvl w:val="1"/>
        <w:rPr>
          <w:rFonts w:ascii="宋体" w:hAnsi="宋体" w:cs="宋体"/>
          <w:b/>
          <w:color w:val="auto"/>
          <w:kern w:val="0"/>
          <w:sz w:val="28"/>
          <w:szCs w:val="28"/>
          <w:highlight w:val="none"/>
        </w:rPr>
        <w:sectPr>
          <w:pgSz w:w="11906" w:h="16838"/>
          <w:pgMar w:top="1440" w:right="1080" w:bottom="1440" w:left="1080" w:header="851" w:footer="992" w:gutter="0"/>
          <w:pgNumType w:fmt="decimal"/>
          <w:cols w:space="720" w:num="1"/>
          <w:titlePg/>
          <w:docGrid w:type="lines" w:linePitch="312" w:charSpace="0"/>
        </w:sectPr>
      </w:pPr>
    </w:p>
    <w:bookmarkEnd w:id="1151"/>
    <w:bookmarkEnd w:id="1152"/>
    <w:bookmarkEnd w:id="1153"/>
    <w:bookmarkEnd w:id="1154"/>
    <w:bookmarkEnd w:id="1155"/>
    <w:p w14:paraId="5A153389">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九、中小企业</w:t>
      </w:r>
      <w:r>
        <w:rPr>
          <w:rFonts w:hint="eastAsia" w:asciiTheme="minorEastAsia" w:hAnsiTheme="minorEastAsia" w:eastAsiaTheme="minorEastAsia" w:cstheme="minorEastAsia"/>
          <w:b/>
          <w:bCs/>
          <w:color w:val="auto"/>
          <w:sz w:val="28"/>
          <w:szCs w:val="28"/>
          <w:highlight w:val="none"/>
          <w:lang w:val="zh-CN" w:eastAsia="zh-CN"/>
        </w:rPr>
        <w:t>声明函</w:t>
      </w: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及其他资料</w:t>
      </w:r>
    </w:p>
    <w:p w14:paraId="1DAE7827">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val="zh-CN" w:eastAsia="zh-CN"/>
        </w:rPr>
      </w:pPr>
      <w:r>
        <w:rPr>
          <w:rFonts w:hint="eastAsia" w:asciiTheme="minorEastAsia" w:hAnsiTheme="minorEastAsia" w:eastAsiaTheme="minorEastAsia" w:cstheme="minorEastAsia"/>
          <w:b/>
          <w:bCs/>
          <w:color w:val="auto"/>
          <w:sz w:val="28"/>
          <w:szCs w:val="28"/>
          <w:highlight w:val="none"/>
          <w:lang w:eastAsia="zh-CN"/>
        </w:rPr>
        <w:t>（一）</w:t>
      </w:r>
      <w:r>
        <w:rPr>
          <w:rFonts w:hint="eastAsia" w:asciiTheme="minorEastAsia" w:hAnsiTheme="minorEastAsia" w:eastAsiaTheme="minorEastAsia" w:cstheme="minorEastAsia"/>
          <w:b/>
          <w:bCs/>
          <w:color w:val="auto"/>
          <w:sz w:val="28"/>
          <w:szCs w:val="28"/>
          <w:highlight w:val="none"/>
          <w:lang w:val="zh-CN" w:eastAsia="zh-CN"/>
        </w:rPr>
        <w:t>中小企业声明函</w:t>
      </w:r>
    </w:p>
    <w:p w14:paraId="17E22E6C">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本公司(联合体)郑重声明，根据《政府采购促进中小企业发展管理办法》(财库( 2020 ) 46号)的规定，本公司（联合体）参加</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single"/>
          <w:shd w:val="clear" w:color="auto" w:fill="FFFFFF"/>
          <w:lang w:val="zh-CN"/>
        </w:rPr>
        <w:t>（单位名称）</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的</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u w:val="single"/>
          <w:shd w:val="clear" w:color="auto" w:fill="FFFFFF"/>
          <w:lang w:val="zh-CN"/>
        </w:rPr>
        <w:t>(项目名称)</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采购活动，工程的施工单位全部为符合政策要求的中小企业(</w:t>
      </w:r>
      <w:r>
        <w:rPr>
          <w:rFonts w:hint="eastAsia" w:asciiTheme="minorEastAsia" w:hAnsiTheme="minorEastAsia" w:eastAsiaTheme="minorEastAsia" w:cstheme="minorEastAsia"/>
          <w:b w:val="0"/>
          <w:bCs w:val="0"/>
          <w:color w:val="auto"/>
          <w:sz w:val="21"/>
          <w:szCs w:val="21"/>
          <w:highlight w:val="none"/>
          <w:shd w:val="clear" w:color="auto" w:fill="FFFFFF"/>
          <w:lang w:val="zh-CN"/>
        </w:rPr>
        <w:t>或者:服务全部由符合政策要求的中小企业承接</w:t>
      </w:r>
      <w:r>
        <w:rPr>
          <w:rFonts w:hint="eastAsia" w:asciiTheme="minorEastAsia" w:hAnsiTheme="minorEastAsia" w:eastAsiaTheme="minorEastAsia" w:cstheme="minorEastAsia"/>
          <w:color w:val="auto"/>
          <w:sz w:val="21"/>
          <w:szCs w:val="21"/>
          <w:highlight w:val="none"/>
          <w:shd w:val="clear" w:color="auto" w:fill="FFFFFF"/>
          <w:lang w:val="zh-CN"/>
        </w:rPr>
        <w:t>)。相关企业(含联合体中的中小企业、签订分包意向协议的中小企业)的具体情况如下:</w:t>
      </w:r>
    </w:p>
    <w:p w14:paraId="5AA0956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1</w:t>
      </w:r>
      <w:r>
        <w:rPr>
          <w:rFonts w:hint="eastAsia" w:asciiTheme="minorEastAsia" w:hAnsiTheme="minorEastAsia" w:eastAsiaTheme="minorEastAsia" w:cstheme="minorEastAsia"/>
          <w:color w:val="auto"/>
          <w:sz w:val="21"/>
          <w:szCs w:val="21"/>
          <w:highlight w:val="none"/>
          <w:shd w:val="clear" w:color="auto" w:fill="FFFFFF"/>
          <w:lang w:val="en-US" w:eastAsia="zh-CN"/>
        </w:rPr>
        <w:t>.</w:t>
      </w:r>
      <w:r>
        <w:rPr>
          <w:rFonts w:hint="eastAsia" w:asciiTheme="minorEastAsia" w:hAnsiTheme="minorEastAsia" w:eastAsiaTheme="minorEastAsia" w:cstheme="minorEastAsia"/>
          <w:color w:val="auto"/>
          <w:sz w:val="21"/>
          <w:szCs w:val="21"/>
          <w:highlight w:val="none"/>
          <w:u w:val="single"/>
          <w:shd w:val="clear" w:color="auto" w:fill="FFFFFF"/>
          <w:lang w:val="zh-CN"/>
        </w:rPr>
        <w:t xml:space="preserve">       (标的名称)</w:t>
      </w:r>
      <w:r>
        <w:rPr>
          <w:rFonts w:hint="eastAsia" w:asciiTheme="minorEastAsia" w:hAnsiTheme="minorEastAsia" w:eastAsiaTheme="minorEastAsia" w:cstheme="minorEastAsia"/>
          <w:color w:val="auto"/>
          <w:sz w:val="21"/>
          <w:szCs w:val="21"/>
          <w:highlight w:val="none"/>
          <w:shd w:val="clear" w:color="auto" w:fill="FFFFFF"/>
          <w:lang w:val="zh-CN"/>
        </w:rPr>
        <w:t>，属于</w:t>
      </w:r>
      <w:r>
        <w:rPr>
          <w:rFonts w:hint="eastAsia" w:asciiTheme="minorEastAsia" w:hAnsiTheme="minorEastAsia" w:eastAsiaTheme="minorEastAsia" w:cstheme="minorEastAsia"/>
          <w:color w:val="auto"/>
          <w:sz w:val="21"/>
          <w:szCs w:val="21"/>
          <w:highlight w:val="none"/>
          <w:u w:val="single"/>
          <w:shd w:val="clear" w:color="auto" w:fill="FFFFFF"/>
          <w:lang w:val="zh-CN"/>
        </w:rPr>
        <w:t>(采购文件中明确的所属行业)；</w:t>
      </w:r>
      <w:r>
        <w:rPr>
          <w:rFonts w:hint="eastAsia" w:asciiTheme="minorEastAsia" w:hAnsiTheme="minorEastAsia" w:eastAsiaTheme="minorEastAsia" w:cstheme="minorEastAsia"/>
          <w:color w:val="auto"/>
          <w:sz w:val="21"/>
          <w:szCs w:val="21"/>
          <w:highlight w:val="none"/>
          <w:u w:val="none"/>
          <w:shd w:val="clear" w:color="auto" w:fill="FFFFFF"/>
          <w:lang w:val="zh-CN"/>
        </w:rPr>
        <w:t>承建(承接)</w:t>
      </w:r>
      <w:r>
        <w:rPr>
          <w:rFonts w:hint="eastAsia" w:asciiTheme="minorEastAsia" w:hAnsiTheme="minorEastAsia" w:eastAsiaTheme="minorEastAsia" w:cstheme="minorEastAsia"/>
          <w:color w:val="auto"/>
          <w:sz w:val="21"/>
          <w:szCs w:val="21"/>
          <w:highlight w:val="none"/>
          <w:shd w:val="clear" w:color="auto" w:fill="FFFFFF"/>
          <w:lang w:val="zh-CN"/>
        </w:rPr>
        <w:t>企业为</w:t>
      </w:r>
      <w:r>
        <w:rPr>
          <w:rFonts w:hint="eastAsia" w:asciiTheme="minorEastAsia" w:hAnsiTheme="minorEastAsia" w:eastAsiaTheme="minorEastAsia" w:cstheme="minorEastAsia"/>
          <w:color w:val="auto"/>
          <w:sz w:val="21"/>
          <w:szCs w:val="21"/>
          <w:highlight w:val="none"/>
          <w:u w:val="single"/>
          <w:shd w:val="clear" w:color="auto" w:fill="FFFFFF"/>
          <w:lang w:val="zh-CN"/>
        </w:rPr>
        <w:t>（企业名称）</w:t>
      </w:r>
      <w:r>
        <w:rPr>
          <w:rFonts w:hint="eastAsia" w:asciiTheme="minorEastAsia" w:hAnsiTheme="minorEastAsia" w:eastAsiaTheme="minorEastAsia" w:cstheme="minorEastAsia"/>
          <w:color w:val="auto"/>
          <w:sz w:val="21"/>
          <w:szCs w:val="21"/>
          <w:highlight w:val="none"/>
          <w:shd w:val="clear" w:color="auto" w:fill="FFFFFF"/>
          <w:lang w:val="zh-CN"/>
        </w:rPr>
        <w:t>，从</w:t>
      </w:r>
      <w:r>
        <w:rPr>
          <w:rFonts w:hint="eastAsia" w:asciiTheme="minorEastAsia" w:hAnsiTheme="minorEastAsia" w:eastAsiaTheme="minorEastAsia" w:cstheme="minorEastAsia"/>
          <w:color w:val="auto"/>
          <w:sz w:val="21"/>
          <w:szCs w:val="21"/>
          <w:highlight w:val="none"/>
          <w:shd w:val="clear" w:color="auto" w:fill="FFFFFF"/>
          <w:lang w:val="zh-CN" w:eastAsia="zh-CN"/>
        </w:rPr>
        <w:t>业人员</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人，营业收入为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万元，资产总额为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eastAsia="zh-CN"/>
        </w:rPr>
        <w:t>万元，属于</w:t>
      </w:r>
      <w:r>
        <w:rPr>
          <w:rFonts w:hint="eastAsia" w:asciiTheme="minorEastAsia" w:hAnsiTheme="minorEastAsia" w:eastAsiaTheme="minorEastAsia" w:cstheme="minorEastAsia"/>
          <w:color w:val="auto"/>
          <w:sz w:val="21"/>
          <w:szCs w:val="21"/>
          <w:highlight w:val="none"/>
          <w:u w:val="single"/>
          <w:shd w:val="clear" w:color="auto" w:fill="FFFFFF"/>
          <w:lang w:val="zh-CN" w:eastAsia="zh-CN"/>
        </w:rPr>
        <w:t>(中型企业、小型企业、微</w:t>
      </w:r>
      <w:r>
        <w:rPr>
          <w:rFonts w:hint="eastAsia" w:asciiTheme="minorEastAsia" w:hAnsiTheme="minorEastAsia" w:eastAsiaTheme="minorEastAsia" w:cstheme="minorEastAsia"/>
          <w:color w:val="auto"/>
          <w:sz w:val="21"/>
          <w:szCs w:val="21"/>
          <w:highlight w:val="none"/>
          <w:u w:val="single"/>
          <w:shd w:val="clear" w:color="auto" w:fill="FFFFFF"/>
          <w:lang w:val="zh-CN"/>
        </w:rPr>
        <w:t>型企业)；</w:t>
      </w:r>
    </w:p>
    <w:p w14:paraId="1DBADDC5">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2.</w:t>
      </w:r>
      <w:r>
        <w:rPr>
          <w:rFonts w:hint="eastAsia" w:asciiTheme="minorEastAsia" w:hAnsiTheme="minorEastAsia" w:eastAsiaTheme="minorEastAsia" w:cstheme="minorEastAsia"/>
          <w:color w:val="auto"/>
          <w:sz w:val="21"/>
          <w:szCs w:val="21"/>
          <w:highlight w:val="none"/>
          <w:u w:val="single"/>
          <w:shd w:val="clear" w:color="auto" w:fill="FFFFFF"/>
          <w:lang w:val="zh-CN"/>
        </w:rPr>
        <w:t xml:space="preserve">       (标的名称)</w:t>
      </w:r>
      <w:r>
        <w:rPr>
          <w:rFonts w:hint="eastAsia" w:asciiTheme="minorEastAsia" w:hAnsiTheme="minorEastAsia" w:eastAsiaTheme="minorEastAsia" w:cstheme="minorEastAsia"/>
          <w:color w:val="auto"/>
          <w:sz w:val="21"/>
          <w:szCs w:val="21"/>
          <w:highlight w:val="none"/>
          <w:shd w:val="clear" w:color="auto" w:fill="FFFFFF"/>
          <w:lang w:val="zh-CN"/>
        </w:rPr>
        <w:t>，属于</w:t>
      </w:r>
      <w:r>
        <w:rPr>
          <w:rFonts w:hint="eastAsia" w:asciiTheme="minorEastAsia" w:hAnsiTheme="minorEastAsia" w:eastAsiaTheme="minorEastAsia" w:cstheme="minorEastAsia"/>
          <w:color w:val="auto"/>
          <w:sz w:val="21"/>
          <w:szCs w:val="21"/>
          <w:highlight w:val="none"/>
          <w:u w:val="single"/>
          <w:shd w:val="clear" w:color="auto" w:fill="FFFFFF"/>
          <w:lang w:val="zh-CN"/>
        </w:rPr>
        <w:t>(采购文件中明确的所属行业)；</w:t>
      </w:r>
      <w:r>
        <w:rPr>
          <w:rFonts w:hint="eastAsia" w:asciiTheme="minorEastAsia" w:hAnsiTheme="minorEastAsia" w:eastAsiaTheme="minorEastAsia" w:cstheme="minorEastAsia"/>
          <w:color w:val="auto"/>
          <w:sz w:val="21"/>
          <w:szCs w:val="21"/>
          <w:highlight w:val="none"/>
          <w:u w:val="none"/>
          <w:shd w:val="clear" w:color="auto" w:fill="FFFFFF"/>
          <w:lang w:val="zh-CN"/>
        </w:rPr>
        <w:t>承建(承接)</w:t>
      </w:r>
      <w:r>
        <w:rPr>
          <w:rFonts w:hint="eastAsia" w:asciiTheme="minorEastAsia" w:hAnsiTheme="minorEastAsia" w:eastAsiaTheme="minorEastAsia" w:cstheme="minorEastAsia"/>
          <w:color w:val="auto"/>
          <w:sz w:val="21"/>
          <w:szCs w:val="21"/>
          <w:highlight w:val="none"/>
          <w:shd w:val="clear" w:color="auto" w:fill="FFFFFF"/>
          <w:lang w:val="zh-CN"/>
        </w:rPr>
        <w:t>企业为</w:t>
      </w:r>
      <w:r>
        <w:rPr>
          <w:rFonts w:hint="eastAsia" w:asciiTheme="minorEastAsia" w:hAnsiTheme="minorEastAsia" w:eastAsiaTheme="minorEastAsia" w:cstheme="minorEastAsia"/>
          <w:color w:val="auto"/>
          <w:sz w:val="21"/>
          <w:szCs w:val="21"/>
          <w:highlight w:val="none"/>
          <w:u w:val="single"/>
          <w:shd w:val="clear" w:color="auto" w:fill="FFFFFF"/>
          <w:lang w:val="zh-CN"/>
        </w:rPr>
        <w:t>（企业名称）</w:t>
      </w:r>
      <w:r>
        <w:rPr>
          <w:rFonts w:hint="eastAsia" w:asciiTheme="minorEastAsia" w:hAnsiTheme="minorEastAsia" w:eastAsiaTheme="minorEastAsia" w:cstheme="minorEastAsia"/>
          <w:color w:val="auto"/>
          <w:sz w:val="21"/>
          <w:szCs w:val="21"/>
          <w:highlight w:val="none"/>
          <w:shd w:val="clear" w:color="auto" w:fill="FFFFFF"/>
          <w:lang w:val="zh-CN"/>
        </w:rPr>
        <w:t>，从业人员</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人，营业收入为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万元，资产总额为</w:t>
      </w:r>
      <w:r>
        <w:rPr>
          <w:rFonts w:hint="eastAsia" w:asciiTheme="minorEastAsia" w:hAnsiTheme="minorEastAsia" w:eastAsiaTheme="minorEastAsia" w:cstheme="minorEastAsia"/>
          <w:color w:val="auto"/>
          <w:sz w:val="21"/>
          <w:szCs w:val="21"/>
          <w:highlight w:val="none"/>
          <w:u w:val="single"/>
          <w:shd w:val="clear" w:color="auto" w:fill="FFFFFF"/>
          <w:lang w:val="en-US" w:eastAsia="zh-CN"/>
        </w:rPr>
        <w:t xml:space="preserve">       </w:t>
      </w:r>
      <w:r>
        <w:rPr>
          <w:rFonts w:hint="eastAsia" w:asciiTheme="minorEastAsia" w:hAnsiTheme="minorEastAsia" w:eastAsiaTheme="minorEastAsia" w:cstheme="minorEastAsia"/>
          <w:color w:val="auto"/>
          <w:sz w:val="21"/>
          <w:szCs w:val="21"/>
          <w:highlight w:val="none"/>
          <w:shd w:val="clear" w:color="auto" w:fill="FFFFFF"/>
          <w:lang w:val="zh-CN"/>
        </w:rPr>
        <w:t>万元，属于</w:t>
      </w:r>
      <w:r>
        <w:rPr>
          <w:rFonts w:hint="eastAsia" w:asciiTheme="minorEastAsia" w:hAnsiTheme="minorEastAsia" w:eastAsiaTheme="minorEastAsia" w:cstheme="minorEastAsia"/>
          <w:color w:val="auto"/>
          <w:sz w:val="21"/>
          <w:szCs w:val="21"/>
          <w:highlight w:val="none"/>
          <w:u w:val="single"/>
          <w:shd w:val="clear" w:color="auto" w:fill="FFFFFF"/>
          <w:lang w:val="zh-CN"/>
        </w:rPr>
        <w:t>(中型企业、小型企业、微型企业)</w:t>
      </w:r>
      <w:r>
        <w:rPr>
          <w:rFonts w:hint="eastAsia" w:asciiTheme="minorEastAsia" w:hAnsiTheme="minorEastAsia" w:eastAsiaTheme="minorEastAsia" w:cstheme="minorEastAsia"/>
          <w:color w:val="auto"/>
          <w:sz w:val="21"/>
          <w:szCs w:val="21"/>
          <w:highlight w:val="none"/>
          <w:shd w:val="clear" w:color="auto" w:fill="FFFFFF"/>
          <w:lang w:val="zh-CN"/>
        </w:rPr>
        <w:t>；</w:t>
      </w:r>
    </w:p>
    <w:p w14:paraId="28C199B3">
      <w:pPr>
        <w:keepNext w:val="0"/>
        <w:keepLines w:val="0"/>
        <w:pageBreakBefore w:val="0"/>
        <w:widowControl w:val="0"/>
        <w:kinsoku/>
        <w:wordWrap w:val="0"/>
        <w:overflowPunct/>
        <w:topLinePunct w:val="0"/>
        <w:bidi w:val="0"/>
        <w:snapToGrid/>
        <w:spacing w:line="600" w:lineRule="exact"/>
        <w:ind w:firstLine="420" w:firstLineChars="200"/>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shd w:val="clear" w:color="auto" w:fill="FFFFFF"/>
        </w:rPr>
        <w:t>......</w:t>
      </w:r>
    </w:p>
    <w:p w14:paraId="7E0DE0D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以上企业，不属于大企业的分支机构，不存在控股股东为大企业的情形，也不存在与大企业的负责人为同一人的情形。</w:t>
      </w:r>
    </w:p>
    <w:p w14:paraId="48677233">
      <w:pPr>
        <w:keepNext w:val="0"/>
        <w:keepLines w:val="0"/>
        <w:pageBreakBefore w:val="0"/>
        <w:widowControl w:val="0"/>
        <w:kinsoku/>
        <w:wordWrap w:val="0"/>
        <w:overflowPunct/>
        <w:topLinePunct w:val="0"/>
        <w:bidi w:val="0"/>
        <w:snapToGrid/>
        <w:spacing w:line="600" w:lineRule="exact"/>
        <w:ind w:firstLine="420" w:firstLineChars="200"/>
        <w:jc w:val="both"/>
        <w:textAlignment w:val="auto"/>
        <w:rPr>
          <w:rFonts w:hint="eastAsia" w:asciiTheme="minorEastAsia" w:hAnsiTheme="minorEastAsia" w:eastAsiaTheme="minorEastAsia" w:cstheme="minorEastAsia"/>
          <w:color w:val="auto"/>
          <w:sz w:val="21"/>
          <w:szCs w:val="21"/>
          <w:highlight w:val="none"/>
          <w:shd w:val="clear" w:color="auto" w:fill="FFFFFF"/>
          <w:lang w:val="zh-CN"/>
        </w:rPr>
      </w:pPr>
      <w:r>
        <w:rPr>
          <w:rFonts w:hint="eastAsia" w:asciiTheme="minorEastAsia" w:hAnsiTheme="minorEastAsia" w:eastAsiaTheme="minorEastAsia" w:cstheme="minorEastAsia"/>
          <w:color w:val="auto"/>
          <w:sz w:val="21"/>
          <w:szCs w:val="21"/>
          <w:highlight w:val="none"/>
          <w:shd w:val="clear" w:color="auto" w:fill="FFFFFF"/>
          <w:lang w:val="zh-CN"/>
        </w:rPr>
        <w:t>本企业对上述声明内容的真实性负责。如有虚假，将依法承担相应责任。</w:t>
      </w:r>
    </w:p>
    <w:p w14:paraId="66EAECF7">
      <w:pPr>
        <w:pStyle w:val="41"/>
        <w:keepNext w:val="0"/>
        <w:keepLines w:val="0"/>
        <w:pageBreakBefore w:val="0"/>
        <w:widowControl w:val="0"/>
        <w:kinsoku/>
        <w:wordWrap w:val="0"/>
        <w:overflowPunct/>
        <w:topLinePunct w:val="0"/>
        <w:bidi w:val="0"/>
        <w:snapToGrid/>
        <w:spacing w:before="120" w:line="600" w:lineRule="exact"/>
        <w:ind w:firstLine="4830" w:firstLineChars="23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企业名称（</w:t>
      </w:r>
      <w:r>
        <w:rPr>
          <w:rFonts w:hint="eastAsia" w:asciiTheme="minorEastAsia" w:hAnsiTheme="minorEastAsia" w:eastAsiaTheme="minorEastAsia" w:cstheme="minorEastAsia"/>
          <w:color w:val="auto"/>
          <w:sz w:val="21"/>
          <w:szCs w:val="21"/>
          <w:highlight w:val="none"/>
          <w:lang w:val="en-US" w:eastAsia="zh-CN"/>
        </w:rPr>
        <w:t>加盖单位公章或电子公章</w:t>
      </w:r>
      <w:r>
        <w:rPr>
          <w:rFonts w:hint="eastAsia" w:asciiTheme="minorEastAsia" w:hAnsiTheme="minorEastAsia" w:eastAsiaTheme="minorEastAsia" w:cstheme="minorEastAsia"/>
          <w:color w:val="auto"/>
          <w:sz w:val="21"/>
          <w:szCs w:val="21"/>
          <w:highlight w:val="none"/>
        </w:rPr>
        <w:t>）：</w:t>
      </w:r>
    </w:p>
    <w:p w14:paraId="27D845D5">
      <w:pPr>
        <w:keepNext w:val="0"/>
        <w:keepLines w:val="0"/>
        <w:pageBreakBefore w:val="0"/>
        <w:widowControl w:val="0"/>
        <w:kinsoku/>
        <w:wordWrap w:val="0"/>
        <w:overflowPunct/>
        <w:topLinePunct w:val="0"/>
        <w:bidi w:val="0"/>
        <w:snapToGrid/>
        <w:spacing w:line="600" w:lineRule="exact"/>
        <w:ind w:firstLine="4830" w:firstLineChars="2300"/>
        <w:jc w:val="both"/>
        <w:textAlignment w:val="auto"/>
        <w:rPr>
          <w:rFonts w:hint="eastAsia" w:asciiTheme="minorEastAsia" w:hAnsiTheme="minorEastAsia" w:eastAsiaTheme="minorEastAsia" w:cstheme="minorEastAsia"/>
          <w:color w:val="auto"/>
          <w:sz w:val="21"/>
          <w:szCs w:val="21"/>
          <w:highlight w:val="none"/>
          <w:shd w:val="clear" w:color="auto" w:fill="FFFFFF"/>
        </w:rPr>
      </w:pPr>
      <w:r>
        <w:rPr>
          <w:rFonts w:hint="eastAsia" w:asciiTheme="minorEastAsia" w:hAnsiTheme="minorEastAsia" w:eastAsiaTheme="minorEastAsia" w:cstheme="minorEastAsia"/>
          <w:color w:val="auto"/>
          <w:sz w:val="21"/>
          <w:szCs w:val="21"/>
          <w:highlight w:val="none"/>
        </w:rPr>
        <w:t>日</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color w:val="auto"/>
          <w:sz w:val="21"/>
          <w:szCs w:val="21"/>
          <w:highlight w:val="none"/>
        </w:rPr>
        <w:t>期：</w:t>
      </w:r>
      <w:r>
        <w:rPr>
          <w:rFonts w:hint="eastAsia" w:asciiTheme="minorEastAsia" w:hAnsiTheme="minorEastAsia" w:eastAsiaTheme="minorEastAsia" w:cstheme="minorEastAsia"/>
          <w:color w:val="auto"/>
          <w:sz w:val="21"/>
          <w:szCs w:val="21"/>
          <w:highlight w:val="none"/>
          <w:lang w:val="en-US" w:eastAsia="zh-CN"/>
        </w:rPr>
        <w:t xml:space="preserve"> </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7C61BF3A">
      <w:pPr>
        <w:pageBreakBefore w:val="0"/>
        <w:kinsoku/>
        <w:wordWrap w:val="0"/>
        <w:topLinePunct w:val="0"/>
        <w:bidi w:val="0"/>
        <w:spacing w:line="360" w:lineRule="auto"/>
        <w:ind w:right="960" w:firstLine="4482" w:firstLineChars="2126"/>
        <w:jc w:val="center"/>
        <w:rPr>
          <w:rFonts w:hint="eastAsia" w:asciiTheme="minorEastAsia" w:hAnsiTheme="minorEastAsia" w:eastAsiaTheme="minorEastAsia" w:cstheme="minorEastAsia"/>
          <w:b/>
          <w:color w:val="auto"/>
          <w:sz w:val="21"/>
          <w:szCs w:val="21"/>
          <w:highlight w:val="none"/>
        </w:rPr>
      </w:pPr>
    </w:p>
    <w:p w14:paraId="30999FAB">
      <w:pPr>
        <w:spacing w:line="480" w:lineRule="auto"/>
        <w:rPr>
          <w:rFonts w:hint="eastAsia" w:ascii="宋体" w:hAnsi="宋体" w:eastAsia="宋体" w:cs="Arial Narrow"/>
          <w:color w:val="auto"/>
          <w:sz w:val="21"/>
          <w:szCs w:val="21"/>
          <w:highlight w:val="none"/>
          <w:shd w:val="clear" w:color="auto" w:fill="FFFFFF"/>
        </w:rPr>
      </w:pPr>
    </w:p>
    <w:p w14:paraId="746BB152">
      <w:pPr>
        <w:spacing w:line="480" w:lineRule="auto"/>
        <w:rPr>
          <w:rFonts w:hint="eastAsia" w:ascii="宋体" w:hAnsi="宋体" w:eastAsia="宋体" w:cs="Arial Narrow"/>
          <w:color w:val="auto"/>
          <w:sz w:val="21"/>
          <w:szCs w:val="21"/>
          <w:highlight w:val="none"/>
          <w:shd w:val="clear" w:color="auto" w:fill="FFFFFF"/>
        </w:rPr>
      </w:pPr>
    </w:p>
    <w:p w14:paraId="61AE802B">
      <w:pPr>
        <w:spacing w:line="480" w:lineRule="auto"/>
        <w:rPr>
          <w:rFonts w:hint="eastAsia" w:ascii="宋体" w:hAnsi="宋体" w:eastAsia="宋体" w:cs="Arial Narrow"/>
          <w:color w:val="auto"/>
          <w:sz w:val="21"/>
          <w:szCs w:val="21"/>
          <w:highlight w:val="none"/>
          <w:shd w:val="clear" w:color="auto" w:fill="FFFFFF"/>
        </w:rPr>
      </w:pPr>
      <w:r>
        <w:rPr>
          <w:rFonts w:hint="eastAsia" w:ascii="宋体" w:hAnsi="宋体" w:eastAsia="宋体" w:cs="Arial Narrow"/>
          <w:color w:val="auto"/>
          <w:sz w:val="21"/>
          <w:szCs w:val="21"/>
          <w:highlight w:val="none"/>
          <w:shd w:val="clear" w:color="auto" w:fill="FFFFFF"/>
        </w:rPr>
        <w:t>从业人员、营业收入、资产总额填报上一年度数据，无上一年度数据的新成立企业可不填报。</w:t>
      </w:r>
    </w:p>
    <w:p w14:paraId="3E6340E6">
      <w:pPr>
        <w:keepNext/>
        <w:keepLines/>
        <w:pageBreakBefore w:val="0"/>
        <w:widowControl/>
        <w:kinsoku/>
        <w:wordWrap w:val="0"/>
        <w:topLinePunct w:val="0"/>
        <w:autoSpaceDE w:val="0"/>
        <w:bidi w:val="0"/>
        <w:spacing w:line="360" w:lineRule="auto"/>
        <w:jc w:val="center"/>
        <w:outlineLvl w:val="9"/>
        <w:rPr>
          <w:rFonts w:hint="eastAsia" w:asciiTheme="minorEastAsia" w:hAnsiTheme="minorEastAsia" w:eastAsiaTheme="minorEastAsia" w:cstheme="minorEastAsia"/>
          <w:b/>
          <w:bCs/>
          <w:color w:val="auto"/>
          <w:sz w:val="21"/>
          <w:szCs w:val="21"/>
          <w:highlight w:val="none"/>
          <w:lang w:eastAsia="zh-CN"/>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r>
        <w:rPr>
          <w:rFonts w:hint="eastAsia" w:ascii="宋体" w:hAnsi="宋体" w:eastAsia="宋体" w:cs="Arial Narrow"/>
          <w:b/>
          <w:bCs/>
          <w:color w:val="auto"/>
          <w:sz w:val="21"/>
          <w:szCs w:val="21"/>
          <w:highlight w:val="none"/>
          <w:shd w:val="clear" w:color="auto" w:fill="FFFFFF"/>
        </w:rPr>
        <w:t>注：</w:t>
      </w:r>
      <w:bookmarkStart w:id="1156" w:name="_Toc12254"/>
      <w:bookmarkEnd w:id="1156"/>
      <w:bookmarkStart w:id="1157" w:name="_Toc468"/>
      <w:bookmarkEnd w:id="1157"/>
      <w:r>
        <w:rPr>
          <w:rFonts w:hint="eastAsia" w:ascii="宋体" w:hAnsi="宋体" w:cs="Arial Narrow"/>
          <w:b/>
          <w:bCs/>
          <w:color w:val="auto"/>
          <w:sz w:val="21"/>
          <w:szCs w:val="21"/>
          <w:highlight w:val="none"/>
          <w:shd w:val="clear" w:color="auto" w:fill="FFFFFF"/>
          <w:lang w:val="en-US" w:eastAsia="zh-CN"/>
        </w:rPr>
        <w:t>非小微企业可不填报。</w:t>
      </w:r>
    </w:p>
    <w:p w14:paraId="0D3CE2B0">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二</w:t>
      </w:r>
      <w:r>
        <w:rPr>
          <w:rFonts w:hint="eastAsia" w:asciiTheme="minorEastAsia" w:hAnsiTheme="minorEastAsia" w:eastAsiaTheme="minorEastAsia" w:cstheme="minorEastAsia"/>
          <w:b/>
          <w:bCs/>
          <w:color w:val="auto"/>
          <w:sz w:val="28"/>
          <w:szCs w:val="28"/>
          <w:highlight w:val="none"/>
          <w:lang w:eastAsia="zh-CN"/>
        </w:rPr>
        <w:t>）残疾人福利性单位声明函（若有）</w:t>
      </w:r>
    </w:p>
    <w:p w14:paraId="6DD165A6">
      <w:pPr>
        <w:pageBreakBefore w:val="0"/>
        <w:kinsoku/>
        <w:wordWrap w:val="0"/>
        <w:topLinePunct w:val="0"/>
        <w:bidi w:val="0"/>
        <w:spacing w:line="360" w:lineRule="auto"/>
        <w:ind w:firstLine="444" w:firstLineChars="200"/>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本单位郑重声明，根据《财政部 民政部 中国残疾人联合会关于促进残疾人就业政府采购政策的通知》（财库</w:t>
      </w:r>
      <w:r>
        <w:rPr>
          <w:rFonts w:hint="eastAsia" w:asciiTheme="minorEastAsia" w:hAnsiTheme="minorEastAsia" w:eastAsiaTheme="minorEastAsia" w:cstheme="minorEastAsia"/>
          <w:color w:val="auto"/>
          <w:sz w:val="21"/>
          <w:szCs w:val="21"/>
          <w:highlight w:val="none"/>
        </w:rPr>
        <w:t>〔2017〕 141</w:t>
      </w:r>
      <w:r>
        <w:rPr>
          <w:rFonts w:hint="eastAsia" w:asciiTheme="minorEastAsia" w:hAnsiTheme="minorEastAsia" w:eastAsiaTheme="minorEastAsia" w:cstheme="minorEastAsia"/>
          <w:color w:val="auto"/>
          <w:spacing w:val="6"/>
          <w:sz w:val="21"/>
          <w:szCs w:val="21"/>
          <w:highlight w:val="none"/>
        </w:rPr>
        <w:t>号）的规定，本单位为符合条件的残疾人福利性单位，且本单位参加</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单位的</w:t>
      </w:r>
      <w:r>
        <w:rPr>
          <w:rFonts w:hint="eastAsia" w:asciiTheme="minorEastAsia" w:hAnsiTheme="minorEastAsia" w:eastAsiaTheme="minorEastAsia" w:cstheme="minorEastAsia"/>
          <w:color w:val="auto"/>
          <w:spacing w:val="6"/>
          <w:sz w:val="21"/>
          <w:szCs w:val="21"/>
          <w:highlight w:val="none"/>
          <w:u w:val="single"/>
        </w:rPr>
        <w:t xml:space="preserve">          </w:t>
      </w:r>
      <w:r>
        <w:rPr>
          <w:rFonts w:hint="eastAsia" w:asciiTheme="minorEastAsia" w:hAnsiTheme="minorEastAsia" w:eastAsiaTheme="minorEastAsia" w:cstheme="minorEastAsia"/>
          <w:color w:val="auto"/>
          <w:spacing w:val="6"/>
          <w:sz w:val="21"/>
          <w:szCs w:val="21"/>
          <w:highlight w:val="none"/>
        </w:rPr>
        <w:t>项目采购活动提供本单位制造的货物（由本单位</w:t>
      </w:r>
      <w:r>
        <w:rPr>
          <w:rFonts w:hint="eastAsia" w:asciiTheme="minorEastAsia" w:hAnsiTheme="minorEastAsia" w:eastAsiaTheme="minorEastAsia" w:cstheme="minorEastAsia"/>
          <w:b/>
          <w:bCs/>
          <w:color w:val="auto"/>
          <w:spacing w:val="6"/>
          <w:sz w:val="21"/>
          <w:szCs w:val="21"/>
          <w:highlight w:val="none"/>
        </w:rPr>
        <w:t>承担工程</w:t>
      </w:r>
      <w:r>
        <w:rPr>
          <w:rFonts w:hint="eastAsia" w:asciiTheme="minorEastAsia" w:hAnsiTheme="minorEastAsia" w:eastAsiaTheme="minorEastAsia" w:cstheme="minorEastAsia"/>
          <w:color w:val="auto"/>
          <w:spacing w:val="6"/>
          <w:sz w:val="21"/>
          <w:szCs w:val="21"/>
          <w:highlight w:val="none"/>
        </w:rPr>
        <w:t>/</w:t>
      </w:r>
      <w:r>
        <w:rPr>
          <w:rFonts w:hint="eastAsia" w:asciiTheme="minorEastAsia" w:hAnsiTheme="minorEastAsia" w:eastAsiaTheme="minorEastAsia" w:cstheme="minorEastAsia"/>
          <w:b w:val="0"/>
          <w:bCs w:val="0"/>
          <w:color w:val="auto"/>
          <w:spacing w:val="6"/>
          <w:sz w:val="21"/>
          <w:szCs w:val="21"/>
          <w:highlight w:val="none"/>
        </w:rPr>
        <w:t>提供服务</w:t>
      </w:r>
      <w:r>
        <w:rPr>
          <w:rFonts w:hint="eastAsia" w:asciiTheme="minorEastAsia" w:hAnsiTheme="minorEastAsia" w:eastAsiaTheme="minorEastAsia" w:cstheme="minorEastAsia"/>
          <w:color w:val="auto"/>
          <w:spacing w:val="6"/>
          <w:sz w:val="21"/>
          <w:szCs w:val="21"/>
          <w:highlight w:val="none"/>
        </w:rPr>
        <w:t>），或者提供其他残疾人福利性单位制造的货物（不包括使用非残疾人福利性单位注册商标的货物）。</w:t>
      </w:r>
    </w:p>
    <w:p w14:paraId="7FD22B14">
      <w:pPr>
        <w:pageBreakBefore w:val="0"/>
        <w:kinsoku/>
        <w:wordWrap w:val="0"/>
        <w:topLinePunct w:val="0"/>
        <w:bidi w:val="0"/>
        <w:spacing w:line="360" w:lineRule="auto"/>
        <w:ind w:firstLine="444" w:firstLineChars="200"/>
        <w:rPr>
          <w:rFonts w:hint="eastAsia" w:asciiTheme="minorEastAsia" w:hAnsiTheme="minorEastAsia" w:eastAsiaTheme="minorEastAsia" w:cstheme="minorEastAsia"/>
          <w:color w:val="auto"/>
          <w:spacing w:val="6"/>
          <w:sz w:val="21"/>
          <w:szCs w:val="21"/>
          <w:highlight w:val="none"/>
        </w:rPr>
      </w:pPr>
      <w:r>
        <w:rPr>
          <w:rFonts w:hint="eastAsia" w:asciiTheme="minorEastAsia" w:hAnsiTheme="minorEastAsia" w:eastAsiaTheme="minorEastAsia" w:cstheme="minorEastAsia"/>
          <w:color w:val="auto"/>
          <w:spacing w:val="6"/>
          <w:sz w:val="21"/>
          <w:szCs w:val="21"/>
          <w:highlight w:val="none"/>
        </w:rPr>
        <w:t>本单位对上述声明的真实性负责。如有虚假，将依法承担相应责任。</w:t>
      </w:r>
    </w:p>
    <w:p w14:paraId="4ADD26B0">
      <w:pPr>
        <w:pageBreakBefore w:val="0"/>
        <w:kinsoku/>
        <w:wordWrap w:val="0"/>
        <w:topLinePunct w:val="0"/>
        <w:bidi w:val="0"/>
        <w:spacing w:line="360" w:lineRule="auto"/>
        <w:ind w:firstLine="444" w:firstLineChars="200"/>
        <w:rPr>
          <w:rFonts w:hint="eastAsia" w:asciiTheme="minorEastAsia" w:hAnsiTheme="minorEastAsia" w:eastAsiaTheme="minorEastAsia" w:cstheme="minorEastAsia"/>
          <w:color w:val="auto"/>
          <w:spacing w:val="6"/>
          <w:sz w:val="21"/>
          <w:szCs w:val="21"/>
          <w:highlight w:val="none"/>
        </w:rPr>
      </w:pPr>
    </w:p>
    <w:p w14:paraId="308D5770">
      <w:pPr>
        <w:pageBreakBefore w:val="0"/>
        <w:kinsoku/>
        <w:wordWrap w:val="0"/>
        <w:topLinePunct w:val="0"/>
        <w:bidi w:val="0"/>
        <w:spacing w:line="360" w:lineRule="auto"/>
        <w:ind w:firstLine="444" w:firstLineChars="200"/>
        <w:rPr>
          <w:rFonts w:hint="eastAsia" w:asciiTheme="minorEastAsia" w:hAnsiTheme="minorEastAsia" w:eastAsiaTheme="minorEastAsia" w:cstheme="minorEastAsia"/>
          <w:color w:val="auto"/>
          <w:spacing w:val="6"/>
          <w:sz w:val="21"/>
          <w:szCs w:val="21"/>
          <w:highlight w:val="none"/>
        </w:rPr>
      </w:pPr>
    </w:p>
    <w:p w14:paraId="69AB00AF">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val="0"/>
          <w:bCs/>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单位名称（</w:t>
      </w:r>
      <w:r>
        <w:rPr>
          <w:rFonts w:hint="eastAsia" w:asciiTheme="minorEastAsia" w:hAnsiTheme="minorEastAsia" w:eastAsiaTheme="minorEastAsia" w:cstheme="minorEastAsia"/>
          <w:b w:val="0"/>
          <w:bCs/>
          <w:color w:val="auto"/>
          <w:sz w:val="21"/>
          <w:szCs w:val="21"/>
          <w:highlight w:val="none"/>
          <w:lang w:val="en-US" w:eastAsia="zh-CN"/>
        </w:rPr>
        <w:t>加盖单位公章或电子公章</w:t>
      </w:r>
      <w:r>
        <w:rPr>
          <w:rFonts w:hint="eastAsia" w:asciiTheme="minorEastAsia" w:hAnsiTheme="minorEastAsia" w:eastAsiaTheme="minorEastAsia" w:cstheme="minorEastAsia"/>
          <w:b w:val="0"/>
          <w:bCs/>
          <w:color w:val="auto"/>
          <w:sz w:val="21"/>
          <w:szCs w:val="21"/>
          <w:highlight w:val="none"/>
        </w:rPr>
        <w:t>）：</w:t>
      </w:r>
      <w:r>
        <w:rPr>
          <w:rFonts w:hint="eastAsia" w:asciiTheme="minorEastAsia" w:hAnsiTheme="minorEastAsia" w:eastAsiaTheme="minorEastAsia" w:cstheme="minorEastAsia"/>
          <w:b w:val="0"/>
          <w:bCs/>
          <w:color w:val="auto"/>
          <w:sz w:val="21"/>
          <w:szCs w:val="21"/>
          <w:highlight w:val="none"/>
          <w:u w:val="single"/>
          <w:lang w:val="en-US" w:eastAsia="zh-CN"/>
        </w:rPr>
        <w:t xml:space="preserve">                   </w:t>
      </w:r>
    </w:p>
    <w:p w14:paraId="12059CFD">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val="0"/>
          <w:bCs/>
          <w:color w:val="auto"/>
          <w:sz w:val="21"/>
          <w:szCs w:val="21"/>
          <w:highlight w:val="none"/>
        </w:rPr>
        <w:t>日  期：</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u w:val="single"/>
          <w:lang w:val="en-US" w:eastAsia="zh-CN"/>
        </w:rPr>
        <w:t xml:space="preserve"> </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年</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月</w:t>
      </w:r>
      <w:r>
        <w:rPr>
          <w:rFonts w:hint="eastAsia" w:asciiTheme="minorEastAsia" w:hAnsiTheme="minorEastAsia" w:eastAsiaTheme="minorEastAsia" w:cstheme="minorEastAsia"/>
          <w:b w:val="0"/>
          <w:bCs/>
          <w:color w:val="auto"/>
          <w:sz w:val="21"/>
          <w:szCs w:val="21"/>
          <w:highlight w:val="none"/>
          <w:u w:val="single"/>
        </w:rPr>
        <w:t xml:space="preserve">     </w:t>
      </w:r>
      <w:r>
        <w:rPr>
          <w:rFonts w:hint="eastAsia" w:asciiTheme="minorEastAsia" w:hAnsiTheme="minorEastAsia" w:eastAsiaTheme="minorEastAsia" w:cstheme="minorEastAsia"/>
          <w:b w:val="0"/>
          <w:bCs/>
          <w:color w:val="auto"/>
          <w:sz w:val="21"/>
          <w:szCs w:val="21"/>
          <w:highlight w:val="none"/>
        </w:rPr>
        <w:t>日</w:t>
      </w:r>
    </w:p>
    <w:p w14:paraId="1CAFE67B">
      <w:pPr>
        <w:pageBreakBefore w:val="0"/>
        <w:kinsoku/>
        <w:wordWrap w:val="0"/>
        <w:topLinePunct w:val="0"/>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397E6F80">
      <w:pPr>
        <w:pageBreakBefore w:val="0"/>
        <w:kinsoku/>
        <w:wordWrap w:val="0"/>
        <w:topLinePunct w:val="0"/>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p>
    <w:p w14:paraId="1AD19702">
      <w:pPr>
        <w:pStyle w:val="7"/>
        <w:pageBreakBefore w:val="0"/>
        <w:kinsoku/>
        <w:wordWrap w:val="0"/>
        <w:topLinePunct w:val="0"/>
        <w:bidi w:val="0"/>
        <w:spacing w:line="360" w:lineRule="auto"/>
        <w:ind w:firstLine="422"/>
        <w:rPr>
          <w:rFonts w:hint="eastAsia" w:asciiTheme="minorEastAsia" w:hAnsiTheme="minorEastAsia" w:eastAsiaTheme="minorEastAsia" w:cstheme="minorEastAsia"/>
          <w:b/>
          <w:color w:val="auto"/>
          <w:sz w:val="21"/>
          <w:szCs w:val="21"/>
          <w:highlight w:val="none"/>
        </w:rPr>
      </w:pPr>
      <w:r>
        <w:rPr>
          <w:rFonts w:hint="eastAsia" w:asciiTheme="minorEastAsia" w:hAnsiTheme="minorEastAsia" w:eastAsiaTheme="minorEastAsia" w:cstheme="minorEastAsia"/>
          <w:b/>
          <w:color w:val="auto"/>
          <w:sz w:val="21"/>
          <w:szCs w:val="21"/>
          <w:highlight w:val="none"/>
        </w:rPr>
        <w:t>注：符合条件的残疾人福利性单位在参加政府采购活动时，应当按《三部门联合发布关于促进残疾人就业政府采购政策的通知》（财库〔2017〕141号）提供规定的《残疾人福利性单位声明函》，并对声明的真实性负责。</w:t>
      </w:r>
    </w:p>
    <w:p w14:paraId="19A3B758">
      <w:pPr>
        <w:rPr>
          <w:rFonts w:hint="eastAsia" w:asciiTheme="minorEastAsia" w:hAnsiTheme="minorEastAsia" w:eastAsiaTheme="minorEastAsia" w:cstheme="minorEastAsia"/>
          <w:color w:val="auto"/>
          <w:highlight w:val="none"/>
        </w:rPr>
      </w:pPr>
    </w:p>
    <w:p w14:paraId="51AF5506">
      <w:pPr>
        <w:pStyle w:val="14"/>
        <w:rPr>
          <w:rFonts w:hint="eastAsia" w:asciiTheme="minorEastAsia" w:hAnsiTheme="minorEastAsia" w:eastAsiaTheme="minorEastAsia" w:cstheme="minorEastAsia"/>
          <w:color w:val="auto"/>
          <w:highlight w:val="none"/>
        </w:rPr>
      </w:pPr>
    </w:p>
    <w:p w14:paraId="311B03EC">
      <w:pPr>
        <w:pStyle w:val="13"/>
        <w:rPr>
          <w:rFonts w:hint="eastAsia" w:asciiTheme="minorEastAsia" w:hAnsiTheme="minorEastAsia" w:eastAsiaTheme="minorEastAsia" w:cstheme="minorEastAsia"/>
          <w:color w:val="auto"/>
          <w:highlight w:val="none"/>
        </w:rPr>
        <w:sectPr>
          <w:pgSz w:w="11906" w:h="16838"/>
          <w:pgMar w:top="1440" w:right="1083" w:bottom="1440" w:left="1083" w:header="851" w:footer="992" w:gutter="0"/>
          <w:pgNumType w:fmt="decimal"/>
          <w:cols w:space="0" w:num="1"/>
          <w:rtlGutter w:val="0"/>
          <w:docGrid w:type="lines" w:linePitch="312" w:charSpace="0"/>
        </w:sectPr>
      </w:pPr>
    </w:p>
    <w:p w14:paraId="0F2C6032">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eastAsia="zh-CN"/>
        </w:rPr>
      </w:pPr>
      <w:bookmarkStart w:id="1158" w:name="_Toc530392270"/>
      <w:bookmarkStart w:id="1159" w:name="_Toc10117047"/>
      <w:r>
        <w:rPr>
          <w:rFonts w:hint="eastAsia" w:asciiTheme="minorEastAsia" w:hAnsiTheme="minorEastAsia" w:eastAsiaTheme="minorEastAsia" w:cstheme="minorEastAsia"/>
          <w:b/>
          <w:bCs/>
          <w:color w:val="auto"/>
          <w:sz w:val="28"/>
          <w:szCs w:val="28"/>
          <w:highlight w:val="none"/>
          <w:lang w:eastAsia="zh-CN"/>
        </w:rPr>
        <w:t>（</w:t>
      </w:r>
      <w:r>
        <w:rPr>
          <w:rFonts w:hint="eastAsia" w:asciiTheme="minorEastAsia" w:hAnsiTheme="minorEastAsia" w:eastAsiaTheme="minorEastAsia" w:cstheme="minorEastAsia"/>
          <w:b/>
          <w:bCs/>
          <w:color w:val="auto"/>
          <w:sz w:val="28"/>
          <w:szCs w:val="28"/>
          <w:highlight w:val="none"/>
          <w:lang w:val="en-US" w:eastAsia="zh-CN"/>
        </w:rPr>
        <w:t>三</w:t>
      </w:r>
      <w:r>
        <w:rPr>
          <w:rFonts w:hint="eastAsia" w:asciiTheme="minorEastAsia" w:hAnsiTheme="minorEastAsia" w:eastAsiaTheme="minorEastAsia" w:cstheme="minorEastAsia"/>
          <w:b/>
          <w:bCs/>
          <w:color w:val="auto"/>
          <w:sz w:val="28"/>
          <w:szCs w:val="28"/>
          <w:highlight w:val="none"/>
          <w:lang w:eastAsia="zh-CN"/>
        </w:rPr>
        <w:t>）监狱企业证明材料</w:t>
      </w:r>
      <w:bookmarkEnd w:id="1158"/>
      <w:bookmarkEnd w:id="1159"/>
      <w:r>
        <w:rPr>
          <w:rFonts w:hint="eastAsia" w:asciiTheme="minorEastAsia" w:hAnsiTheme="minorEastAsia" w:eastAsiaTheme="minorEastAsia" w:cstheme="minorEastAsia"/>
          <w:b/>
          <w:bCs/>
          <w:color w:val="auto"/>
          <w:sz w:val="28"/>
          <w:szCs w:val="28"/>
          <w:highlight w:val="none"/>
          <w:lang w:eastAsia="zh-CN"/>
        </w:rPr>
        <w:t>（若有）</w:t>
      </w:r>
    </w:p>
    <w:p w14:paraId="5C63D008">
      <w:pPr>
        <w:pageBreakBefore w:val="0"/>
        <w:kinsoku/>
        <w:wordWrap w:val="0"/>
        <w:topLinePunct w:val="0"/>
        <w:bidi w:val="0"/>
        <w:jc w:val="center"/>
        <w:rPr>
          <w:rFonts w:hint="eastAsia" w:asciiTheme="minorEastAsia" w:hAnsiTheme="minorEastAsia" w:eastAsiaTheme="minorEastAsia" w:cstheme="minorEastAsia"/>
          <w:color w:val="auto"/>
          <w:highlight w:val="none"/>
          <w:shd w:val="clear" w:color="auto" w:fill="FFFFFF"/>
        </w:rPr>
      </w:pPr>
    </w:p>
    <w:p w14:paraId="6ACAC54A">
      <w:pPr>
        <w:pageBreakBefore w:val="0"/>
        <w:kinsoku/>
        <w:wordWrap w:val="0"/>
        <w:topLinePunct w:val="0"/>
        <w:bidi w:val="0"/>
        <w:jc w:val="center"/>
        <w:rPr>
          <w:rFonts w:hint="eastAsia" w:asciiTheme="minorEastAsia" w:hAnsiTheme="minorEastAsia" w:eastAsiaTheme="minorEastAsia" w:cstheme="minorEastAsia"/>
          <w:color w:val="auto"/>
          <w:sz w:val="21"/>
          <w:szCs w:val="21"/>
          <w:highlight w:val="none"/>
          <w:shd w:val="clear" w:color="auto" w:fill="FFFFFF"/>
          <w:lang w:eastAsia="zh-CN"/>
        </w:rPr>
        <w:sectPr>
          <w:pgSz w:w="11906" w:h="16838"/>
          <w:pgMar w:top="1440" w:right="1083" w:bottom="1440" w:left="1083" w:header="851" w:footer="992" w:gutter="0"/>
          <w:pgNumType w:fmt="decimal"/>
          <w:cols w:space="0" w:num="1"/>
          <w:rtlGutter w:val="0"/>
          <w:docGrid w:type="lines" w:linePitch="312" w:charSpace="0"/>
        </w:sectPr>
      </w:pPr>
      <w:r>
        <w:rPr>
          <w:rFonts w:hint="eastAsia" w:asciiTheme="minorEastAsia" w:hAnsiTheme="minorEastAsia" w:eastAsiaTheme="minorEastAsia" w:cstheme="minorEastAsia"/>
          <w:color w:val="auto"/>
          <w:sz w:val="21"/>
          <w:szCs w:val="21"/>
          <w:highlight w:val="none"/>
          <w:shd w:val="clear" w:color="auto" w:fill="FFFFFF"/>
        </w:rPr>
        <w:t>附监狱企业证明材料</w:t>
      </w:r>
      <w:r>
        <w:rPr>
          <w:rFonts w:hint="eastAsia" w:asciiTheme="minorEastAsia" w:hAnsiTheme="minorEastAsia" w:eastAsiaTheme="minorEastAsia" w:cstheme="minorEastAsia"/>
          <w:color w:val="auto"/>
          <w:sz w:val="21"/>
          <w:szCs w:val="21"/>
          <w:highlight w:val="none"/>
          <w:shd w:val="clear" w:color="auto" w:fill="FFFFFF"/>
          <w:lang w:eastAsia="zh-CN"/>
        </w:rPr>
        <w:t>复印件</w:t>
      </w:r>
    </w:p>
    <w:p w14:paraId="4A5C1B5D">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eastAsia="zh-CN"/>
        </w:rPr>
        <w:sectPr>
          <w:pgSz w:w="11906" w:h="16838"/>
          <w:pgMar w:top="1440" w:right="1080" w:bottom="1440" w:left="1080" w:header="851" w:footer="992" w:gutter="0"/>
          <w:pgNumType w:fmt="decimal"/>
          <w:cols w:space="720" w:num="1"/>
          <w:titlePg/>
          <w:docGrid w:type="lines" w:linePitch="312" w:charSpace="0"/>
        </w:sectPr>
      </w:pPr>
      <w:r>
        <w:rPr>
          <w:rFonts w:hint="eastAsia" w:asciiTheme="minorEastAsia" w:hAnsiTheme="minorEastAsia" w:eastAsiaTheme="minorEastAsia" w:cstheme="minorEastAsia"/>
          <w:b/>
          <w:bCs/>
          <w:color w:val="auto"/>
          <w:sz w:val="28"/>
          <w:szCs w:val="28"/>
          <w:highlight w:val="none"/>
          <w:lang w:eastAsia="zh-CN"/>
        </w:rPr>
        <w:t>（四）供应商认为需要提交的其他资料</w:t>
      </w:r>
    </w:p>
    <w:p w14:paraId="30D51C5E">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3A4F6B5">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077BC8BC">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820A24A">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F817EE3">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62FBB3EB">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42515C74">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3BADD248">
      <w:pPr>
        <w:pStyle w:val="41"/>
        <w:keepNext w:val="0"/>
        <w:keepLines w:val="0"/>
        <w:pageBreakBefore w:val="0"/>
        <w:widowControl w:val="0"/>
        <w:kinsoku/>
        <w:wordWrap/>
        <w:overflowPunct/>
        <w:topLinePunct w:val="0"/>
        <w:autoSpaceDE w:val="0"/>
        <w:autoSpaceDN w:val="0"/>
        <w:bidi w:val="0"/>
        <w:adjustRightInd w:val="0"/>
        <w:snapToGrid/>
        <w:spacing w:after="157" w:afterLines="50"/>
        <w:jc w:val="center"/>
        <w:textAlignment w:val="auto"/>
        <w:rPr>
          <w:rFonts w:hint="eastAsia" w:asciiTheme="minorEastAsia" w:hAnsiTheme="minorEastAsia" w:eastAsiaTheme="minorEastAsia" w:cstheme="minorEastAsia"/>
          <w:b/>
          <w:color w:val="auto"/>
          <w:sz w:val="36"/>
          <w:szCs w:val="36"/>
          <w:highlight w:val="none"/>
          <w:lang w:val="en-US" w:eastAsia="zh-CN"/>
        </w:rPr>
      </w:pPr>
    </w:p>
    <w:p w14:paraId="55489357">
      <w:pPr>
        <w:pStyle w:val="75"/>
        <w:keepNext w:val="0"/>
        <w:keepLines w:val="0"/>
        <w:pageBreakBefore w:val="0"/>
        <w:widowControl w:val="0"/>
        <w:numPr>
          <w:ilvl w:val="0"/>
          <w:numId w:val="0"/>
        </w:numPr>
        <w:kinsoku/>
        <w:wordWrap/>
        <w:overflowPunct/>
        <w:topLinePunct w:val="0"/>
        <w:autoSpaceDE w:val="0"/>
        <w:autoSpaceDN w:val="0"/>
        <w:bidi w:val="0"/>
        <w:adjustRightInd w:val="0"/>
        <w:snapToGrid/>
        <w:spacing w:before="0" w:after="0" w:line="460" w:lineRule="exact"/>
        <w:ind w:right="23" w:rightChars="0"/>
        <w:jc w:val="center"/>
        <w:textAlignment w:val="auto"/>
        <w:outlineLvl w:val="9"/>
        <w:rPr>
          <w:rFonts w:hint="eastAsia" w:ascii="宋体" w:hAnsi="宋体" w:cs="宋体"/>
          <w:color w:val="auto"/>
          <w:sz w:val="24"/>
          <w:szCs w:val="24"/>
          <w:highlight w:val="none"/>
          <w:lang w:val="en-US" w:eastAsia="zh-CN"/>
        </w:rPr>
        <w:sectPr>
          <w:pgSz w:w="11906" w:h="16838"/>
          <w:pgMar w:top="1440" w:right="1080" w:bottom="1440" w:left="1080" w:header="851" w:footer="992" w:gutter="0"/>
          <w:pgNumType w:fmt="decimal"/>
          <w:cols w:space="720" w:num="1"/>
          <w:docGrid w:type="lines" w:linePitch="312" w:charSpace="0"/>
        </w:sectPr>
      </w:pPr>
      <w:r>
        <w:rPr>
          <w:rFonts w:hint="eastAsia" w:ascii="宋体" w:hAnsi="宋体" w:eastAsia="宋体" w:cs="宋体"/>
          <w:b/>
          <w:color w:val="auto"/>
          <w:sz w:val="44"/>
          <w:szCs w:val="44"/>
          <w:highlight w:val="none"/>
          <w:lang w:val="en-US" w:eastAsia="zh-CN"/>
        </w:rPr>
        <w:t>第三部分  技术文件</w:t>
      </w:r>
      <w:r>
        <w:rPr>
          <w:rFonts w:hint="eastAsia" w:ascii="宋体" w:hAnsi="宋体" w:cs="宋体"/>
          <w:b/>
          <w:color w:val="auto"/>
          <w:sz w:val="44"/>
          <w:szCs w:val="44"/>
          <w:highlight w:val="none"/>
          <w:lang w:val="en-US" w:eastAsia="zh-CN"/>
        </w:rPr>
        <w:t>格式</w:t>
      </w:r>
    </w:p>
    <w:p w14:paraId="4CB2263F">
      <w:pPr>
        <w:pStyle w:val="4"/>
        <w:numPr>
          <w:ilvl w:val="0"/>
          <w:numId w:val="0"/>
        </w:numPr>
        <w:spacing w:line="360" w:lineRule="auto"/>
        <w:ind w:right="175" w:rightChars="0"/>
        <w:jc w:val="center"/>
        <w:outlineLvl w:val="1"/>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一、施工方案与技术措施</w:t>
      </w:r>
    </w:p>
    <w:p w14:paraId="2D5CE533">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588BE4CC">
      <w:pPr>
        <w:rPr>
          <w:rFonts w:hint="eastAsia"/>
          <w:color w:val="auto"/>
          <w:lang w:val="en-US" w:eastAsia="zh-CN"/>
        </w:rPr>
      </w:pPr>
    </w:p>
    <w:p w14:paraId="05F6E0C9">
      <w:pPr>
        <w:jc w:val="center"/>
        <w:rPr>
          <w:rFonts w:hint="eastAsia"/>
          <w:color w:val="auto"/>
          <w:lang w:val="en-US" w:eastAsia="zh-CN"/>
        </w:rPr>
      </w:pPr>
    </w:p>
    <w:p w14:paraId="0BBEFE72">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二、质量管理体系与措施</w:t>
      </w:r>
    </w:p>
    <w:p w14:paraId="7C15AF7D">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68A43A70">
      <w:pPr>
        <w:rPr>
          <w:rFonts w:hint="eastAsia"/>
          <w:color w:val="auto"/>
          <w:lang w:val="en-US" w:eastAsia="zh-CN"/>
        </w:rPr>
      </w:pPr>
    </w:p>
    <w:p w14:paraId="04BEFC5F">
      <w:pPr>
        <w:jc w:val="center"/>
        <w:rPr>
          <w:rFonts w:hint="eastAsia"/>
          <w:color w:val="auto"/>
          <w:lang w:val="en-US" w:eastAsia="zh-CN"/>
        </w:rPr>
      </w:pPr>
    </w:p>
    <w:p w14:paraId="499F9869">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三、安全管理体系与措施</w:t>
      </w:r>
    </w:p>
    <w:p w14:paraId="013BE09B">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2F5C26BB">
      <w:pPr>
        <w:rPr>
          <w:rFonts w:hint="eastAsia"/>
          <w:color w:val="auto"/>
          <w:lang w:val="en-US" w:eastAsia="zh-CN"/>
        </w:rPr>
      </w:pPr>
    </w:p>
    <w:p w14:paraId="53E76255">
      <w:pPr>
        <w:jc w:val="center"/>
        <w:rPr>
          <w:rFonts w:hint="eastAsia"/>
          <w:color w:val="auto"/>
          <w:lang w:val="en-US" w:eastAsia="zh-CN"/>
        </w:rPr>
      </w:pPr>
    </w:p>
    <w:p w14:paraId="28AF247C">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四、工程进度计划与保证措施</w:t>
      </w:r>
    </w:p>
    <w:p w14:paraId="51FEF4F9">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1D86E579">
      <w:pPr>
        <w:jc w:val="center"/>
        <w:rPr>
          <w:rFonts w:hint="eastAsia"/>
          <w:color w:val="auto"/>
          <w:lang w:val="en-US" w:eastAsia="zh-CN"/>
        </w:rPr>
      </w:pPr>
    </w:p>
    <w:p w14:paraId="58BE5873">
      <w:pPr>
        <w:jc w:val="center"/>
        <w:rPr>
          <w:rFonts w:hint="eastAsia"/>
          <w:color w:val="auto"/>
          <w:lang w:val="en-US" w:eastAsia="zh-CN"/>
        </w:rPr>
      </w:pPr>
    </w:p>
    <w:p w14:paraId="3E9A70F3">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五、环境保护管理体系与措施</w:t>
      </w:r>
    </w:p>
    <w:p w14:paraId="4D41F064">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5DB9CA81">
      <w:pPr>
        <w:rPr>
          <w:rFonts w:hint="eastAsia"/>
          <w:color w:val="auto"/>
          <w:lang w:val="en-US" w:eastAsia="zh-CN"/>
        </w:rPr>
      </w:pPr>
    </w:p>
    <w:p w14:paraId="236905C6">
      <w:pPr>
        <w:jc w:val="center"/>
        <w:rPr>
          <w:rFonts w:hint="eastAsia"/>
          <w:color w:val="auto"/>
          <w:lang w:val="en-US" w:eastAsia="zh-CN"/>
        </w:rPr>
      </w:pPr>
    </w:p>
    <w:p w14:paraId="1D0FD9B4">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六、生产安全事故应急预案</w:t>
      </w:r>
    </w:p>
    <w:p w14:paraId="5A72F9EF">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695D5944">
      <w:pPr>
        <w:rPr>
          <w:rFonts w:hint="eastAsia"/>
          <w:color w:val="auto"/>
          <w:lang w:val="en-US" w:eastAsia="zh-CN"/>
        </w:rPr>
      </w:pPr>
    </w:p>
    <w:p w14:paraId="190D9E3B">
      <w:pPr>
        <w:jc w:val="center"/>
        <w:rPr>
          <w:rFonts w:hint="eastAsia"/>
          <w:color w:val="auto"/>
          <w:lang w:val="en-US" w:eastAsia="zh-CN"/>
        </w:rPr>
      </w:pPr>
    </w:p>
    <w:p w14:paraId="289D2CF5">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七、风险防范处理措施</w:t>
      </w:r>
    </w:p>
    <w:p w14:paraId="42A78A96">
      <w:pPr>
        <w:pStyle w:val="16"/>
        <w:jc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p w14:paraId="374B5A3A">
      <w:pPr>
        <w:rPr>
          <w:rFonts w:hint="eastAsia"/>
          <w:color w:val="auto"/>
          <w:lang w:val="en-US" w:eastAsia="zh-CN"/>
        </w:rPr>
      </w:pPr>
    </w:p>
    <w:p w14:paraId="14430DAC">
      <w:pPr>
        <w:jc w:val="center"/>
        <w:rPr>
          <w:rFonts w:hint="eastAsia"/>
          <w:color w:val="auto"/>
          <w:lang w:val="en-US" w:eastAsia="zh-CN"/>
        </w:rPr>
      </w:pPr>
    </w:p>
    <w:p w14:paraId="14E2C61F">
      <w:pPr>
        <w:pStyle w:val="16"/>
        <w:jc w:val="center"/>
        <w:rPr>
          <w:rFonts w:hint="eastAsia" w:asciiTheme="minorEastAsia" w:hAnsiTheme="minorEastAsia" w:eastAsiaTheme="minorEastAsia" w:cstheme="minorEastAsia"/>
          <w:b/>
          <w:bCs w:val="0"/>
          <w:color w:val="auto"/>
          <w:spacing w:val="0"/>
          <w:kern w:val="0"/>
          <w:sz w:val="30"/>
          <w:szCs w:val="30"/>
          <w:highlight w:val="none"/>
          <w:lang w:val="en-US" w:eastAsia="zh-CN" w:bidi="ar-SA"/>
        </w:rPr>
      </w:pPr>
      <w:r>
        <w:rPr>
          <w:rFonts w:hint="eastAsia" w:asciiTheme="minorEastAsia" w:hAnsiTheme="minorEastAsia" w:eastAsiaTheme="minorEastAsia" w:cstheme="minorEastAsia"/>
          <w:b/>
          <w:bCs w:val="0"/>
          <w:color w:val="auto"/>
          <w:spacing w:val="0"/>
          <w:kern w:val="0"/>
          <w:sz w:val="30"/>
          <w:szCs w:val="30"/>
          <w:highlight w:val="none"/>
          <w:lang w:val="en-US" w:eastAsia="zh-CN" w:bidi="ar-SA"/>
        </w:rPr>
        <w:t>八、施工总平面布置图</w:t>
      </w:r>
    </w:p>
    <w:p w14:paraId="57E9CA95">
      <w:pPr>
        <w:keepNext/>
        <w:keepLines/>
        <w:pageBreakBefore w:val="0"/>
        <w:widowControl/>
        <w:kinsoku/>
        <w:wordWrap w:val="0"/>
        <w:topLinePunct w:val="0"/>
        <w:autoSpaceDE w:val="0"/>
        <w:bidi w:val="0"/>
        <w:spacing w:line="360" w:lineRule="auto"/>
        <w:jc w:val="center"/>
        <w:outlineLvl w:val="2"/>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（格式自拟）</w:t>
      </w:r>
    </w:p>
    <w:sectPr>
      <w:pgSz w:w="11906" w:h="16838"/>
      <w:pgMar w:top="1440" w:right="1080" w:bottom="1440" w:left="108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C54E0CA-3278-48D7-AFEE-333B6D6CAD06}"/>
  </w:font>
  <w:font w:name="黑体">
    <w:panose1 w:val="02010609060101010101"/>
    <w:charset w:val="86"/>
    <w:family w:val="auto"/>
    <w:pitch w:val="default"/>
    <w:sig w:usb0="800002BF" w:usb1="38CF7CFA" w:usb2="00000016" w:usb3="00000000" w:csb0="00040001" w:csb1="00000000"/>
    <w:embedRegular r:id="rId2" w:fontKey="{D86B8DFF-EE68-417B-B46A-0285B68BCB1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MS Sans Serif">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3" w:fontKey="{10AB7AF0-E749-46B6-9C1F-BDFFEECC04A6}"/>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宋体-18030">
    <w:altName w:val="宋体"/>
    <w:panose1 w:val="00000000000000000000"/>
    <w:charset w:val="86"/>
    <w:family w:val="roman"/>
    <w:pitch w:val="default"/>
    <w:sig w:usb0="00000000" w:usb1="00000000" w:usb2="00000010" w:usb3="00000000" w:csb0="00040000" w:csb1="00000000"/>
    <w:embedRegular r:id="rId4" w:fontKey="{1C639C36-4239-42BF-9597-201A016769D0}"/>
  </w:font>
  <w:font w:name="华文中宋">
    <w:panose1 w:val="02010600040101010101"/>
    <w:charset w:val="86"/>
    <w:family w:val="auto"/>
    <w:pitch w:val="default"/>
    <w:sig w:usb0="00000287" w:usb1="080F0000" w:usb2="00000000" w:usb3="00000000" w:csb0="0004009F" w:csb1="DFD70000"/>
    <w:embedRegular r:id="rId5" w:fontKey="{F32C152D-9418-4ED1-ADB0-6A35E4AC50E2}"/>
  </w:font>
  <w:font w:name="Arial Narrow">
    <w:panose1 w:val="020B0606020202030204"/>
    <w:charset w:val="00"/>
    <w:family w:val="swiss"/>
    <w:pitch w:val="default"/>
    <w:sig w:usb0="00000287" w:usb1="00000800" w:usb2="00000000" w:usb3="00000000" w:csb0="2000009F" w:csb1="DFD70000"/>
    <w:embedRegular r:id="rId6" w:fontKey="{E5A9CD71-1054-4717-8E7E-C1BACB8950D8}"/>
  </w:font>
  <w:font w:name="WPSEMBED2">
    <w:panose1 w:val="02010600040101010101"/>
    <w:charset w:val="86"/>
    <w:family w:val="auto"/>
    <w:pitch w:val="default"/>
    <w:sig w:usb0="00000287" w:usb1="080F0000" w:usb2="00000000" w:usb3="00000000" w:csb0="0004009F" w:csb1="DFD70000"/>
  </w:font>
  <w:font w:name="WPSEMBED1">
    <w:panose1 w:val="02010609030101010101"/>
    <w:charset w:val="86"/>
    <w:family w:val="auto"/>
    <w:pitch w:val="default"/>
    <w:sig w:usb0="00000001" w:usb1="080E0000" w:usb2="00000000" w:usb3="00000000" w:csb0="00040000" w:csb1="00000000"/>
  </w:font>
  <w:font w:name="WPSEMBED3">
    <w:panose1 w:val="020B0606020202030204"/>
    <w:charset w:val="00"/>
    <w:family w:val="auto"/>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DDE32">
    <w:pPr>
      <w:pStyle w:val="17"/>
    </w:pPr>
  </w:p>
  <w:p w14:paraId="37FFFECD">
    <w:pPr>
      <w:pStyle w:val="17"/>
      <w:rPr>
        <w:rFonts w:hint="eastAsia" w:eastAsia="宋体"/>
        <w:lang w:eastAsia="zh-CN"/>
      </w:rPr>
    </w:pPr>
    <w:r>
      <w:rPr>
        <w:rFonts w:hint="eastAsia"/>
        <w:lang w:eastAsia="zh-CN"/>
      </w:rPr>
      <w:t>采购代理机构</w:t>
    </w:r>
    <w:r>
      <w:rPr>
        <w:rFonts w:hint="eastAsia"/>
      </w:rPr>
      <w:t>：</w:t>
    </w:r>
    <w:r>
      <w:rPr>
        <w:rFonts w:hint="eastAsia"/>
        <w:lang w:eastAsia="zh-CN"/>
      </w:rPr>
      <w:t>云南宏业招标咨询有限责任公司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AF7B5">
    <w:pPr>
      <w:pStyle w:val="17"/>
      <w:rPr>
        <w:rFonts w:hint="eastAsia" w:eastAsia="宋体"/>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822D5">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88E544">
    <w:pPr>
      <w:pStyle w:val="17"/>
      <w:rPr>
        <w:rFonts w:hint="eastAsia" w:eastAsia="宋体"/>
        <w:lang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4EC6C2">
                          <w:pPr>
                            <w:pStyle w:val="1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04EC6C2">
                    <w:pPr>
                      <w:pStyle w:val="17"/>
                    </w:pPr>
                    <w:r>
                      <w:t xml:space="preserve">第 </w:t>
                    </w:r>
                    <w:r>
                      <w:fldChar w:fldCharType="begin"/>
                    </w:r>
                    <w:r>
                      <w:instrText xml:space="preserve"> PAGE  \* MERGEFORMAT </w:instrText>
                    </w:r>
                    <w:r>
                      <w:fldChar w:fldCharType="separate"/>
                    </w:r>
                    <w:r>
                      <w:t>2</w:t>
                    </w:r>
                    <w:r>
                      <w:fldChar w:fldCharType="end"/>
                    </w:r>
                    <w:r>
                      <w:t xml:space="preserve"> 页 共 </w:t>
                    </w:r>
                    <w:r>
                      <w:rPr>
                        <w:rFonts w:hint="eastAsia"/>
                        <w:lang w:val="en-US" w:eastAsia="zh-CN"/>
                      </w:rPr>
                      <w:t>164</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8132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C5B1A">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DFC5B1A">
                    <w:pPr>
                      <w:pStyle w:val="17"/>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164</w:t>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97896">
    <w:pPr>
      <w:pStyle w:val="17"/>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080904">
                          <w:pPr>
                            <w:pStyle w:val="17"/>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080904">
                    <w:pPr>
                      <w:pStyle w:val="17"/>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164</w:t>
                    </w:r>
                    <w:r>
                      <w:t xml:space="preserve"> 页</w:t>
                    </w:r>
                  </w:p>
                </w:txbxContent>
              </v:textbox>
            </v:shape>
          </w:pict>
        </mc:Fallback>
      </mc:AlternateContent>
    </w:r>
  </w:p>
  <w:p w14:paraId="5BBA65A6">
    <w:pPr>
      <w:pStyle w:val="17"/>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3E74">
    <w:pPr>
      <w:pStyle w:val="17"/>
      <w:jc w:val="center"/>
      <w:rPr>
        <w:rFonts w:ascii="Times New Roman" w:hAnsi="Times New Roman" w:eastAsia="仿宋_GB2312"/>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6DA669">
                          <w:pPr>
                            <w:pStyle w:val="17"/>
                          </w:pPr>
                          <w:r>
                            <w:t xml:space="preserve">第 </w:t>
                          </w:r>
                          <w:r>
                            <w:fldChar w:fldCharType="begin"/>
                          </w:r>
                          <w:r>
                            <w:instrText xml:space="preserve"> PAGE  \* MERGEFORMAT </w:instrText>
                          </w:r>
                          <w:r>
                            <w:fldChar w:fldCharType="separate"/>
                          </w:r>
                          <w:r>
                            <w:t>121</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C6DA669">
                    <w:pPr>
                      <w:pStyle w:val="17"/>
                    </w:pPr>
                    <w:r>
                      <w:t xml:space="preserve">第 </w:t>
                    </w:r>
                    <w:r>
                      <w:fldChar w:fldCharType="begin"/>
                    </w:r>
                    <w:r>
                      <w:instrText xml:space="preserve"> PAGE  \* MERGEFORMAT </w:instrText>
                    </w:r>
                    <w:r>
                      <w:fldChar w:fldCharType="separate"/>
                    </w:r>
                    <w:r>
                      <w:t>121</w:t>
                    </w:r>
                    <w:r>
                      <w:fldChar w:fldCharType="end"/>
                    </w:r>
                    <w:r>
                      <w:t xml:space="preserve"> 页 共 </w:t>
                    </w:r>
                    <w:r>
                      <w:rPr>
                        <w:rFonts w:hint="eastAsia"/>
                        <w:lang w:val="en-US" w:eastAsia="zh-CN"/>
                      </w:rPr>
                      <w:t>164</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DA560">
    <w:pPr>
      <w:jc w:val="center"/>
      <w:rPr>
        <w:rFonts w:hint="eastAsia"/>
      </w:rP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72351E">
                          <w:pPr>
                            <w:pStyle w:val="17"/>
                          </w:pPr>
                          <w:r>
                            <w:t xml:space="preserve">第 </w:t>
                          </w:r>
                          <w:r>
                            <w:fldChar w:fldCharType="begin"/>
                          </w:r>
                          <w:r>
                            <w:instrText xml:space="preserve"> PAGE  \* MERGEFORMAT </w:instrText>
                          </w:r>
                          <w:r>
                            <w:fldChar w:fldCharType="separate"/>
                          </w:r>
                          <w:r>
                            <w:t>120</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1172351E">
                    <w:pPr>
                      <w:pStyle w:val="17"/>
                    </w:pPr>
                    <w:r>
                      <w:t xml:space="preserve">第 </w:t>
                    </w:r>
                    <w:r>
                      <w:fldChar w:fldCharType="begin"/>
                    </w:r>
                    <w:r>
                      <w:instrText xml:space="preserve"> PAGE  \* MERGEFORMAT </w:instrText>
                    </w:r>
                    <w:r>
                      <w:fldChar w:fldCharType="separate"/>
                    </w:r>
                    <w:r>
                      <w:t>120</w:t>
                    </w:r>
                    <w:r>
                      <w:fldChar w:fldCharType="end"/>
                    </w:r>
                    <w:r>
                      <w:t xml:space="preserve"> 页 共 </w:t>
                    </w:r>
                    <w:r>
                      <w:rPr>
                        <w:rFonts w:hint="eastAsia"/>
                        <w:lang w:val="en-US" w:eastAsia="zh-CN"/>
                      </w:rPr>
                      <w:t>164</w:t>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DABF1">
    <w:pPr>
      <w:pStyle w:val="17"/>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E09B1">
                          <w:pPr>
                            <w:pStyle w:val="17"/>
                          </w:pPr>
                          <w:r>
                            <w:t xml:space="preserve">第 </w:t>
                          </w:r>
                          <w:r>
                            <w:fldChar w:fldCharType="begin"/>
                          </w:r>
                          <w:r>
                            <w:instrText xml:space="preserve"> PAGE  \* MERGEFORMAT </w:instrText>
                          </w:r>
                          <w:r>
                            <w:fldChar w:fldCharType="separate"/>
                          </w:r>
                          <w:r>
                            <w:t>156</w:t>
                          </w:r>
                          <w:r>
                            <w:fldChar w:fldCharType="end"/>
                          </w:r>
                          <w:r>
                            <w:t xml:space="preserve"> 页 共 </w:t>
                          </w:r>
                          <w:r>
                            <w:rPr>
                              <w:rFonts w:hint="eastAsia"/>
                              <w:lang w:val="en-US" w:eastAsia="zh-CN"/>
                            </w:rPr>
                            <w:t>164</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D7E09B1">
                    <w:pPr>
                      <w:pStyle w:val="17"/>
                    </w:pPr>
                    <w:r>
                      <w:t xml:space="preserve">第 </w:t>
                    </w:r>
                    <w:r>
                      <w:fldChar w:fldCharType="begin"/>
                    </w:r>
                    <w:r>
                      <w:instrText xml:space="preserve"> PAGE  \* MERGEFORMAT </w:instrText>
                    </w:r>
                    <w:r>
                      <w:fldChar w:fldCharType="separate"/>
                    </w:r>
                    <w:r>
                      <w:t>156</w:t>
                    </w:r>
                    <w:r>
                      <w:fldChar w:fldCharType="end"/>
                    </w:r>
                    <w:r>
                      <w:t xml:space="preserve"> 页 共 </w:t>
                    </w:r>
                    <w:r>
                      <w:rPr>
                        <w:rFonts w:hint="eastAsia"/>
                        <w:lang w:val="en-US" w:eastAsia="zh-CN"/>
                      </w:rPr>
                      <w:t>164</w:t>
                    </w:r>
                    <w:r>
                      <w:t xml:space="preserve"> 页</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051560" cy="310515"/>
              <wp:effectExtent l="0" t="0" r="0" b="0"/>
              <wp:wrapNone/>
              <wp:docPr id="7" name="图像2"/>
              <wp:cNvGraphicFramePr/>
              <a:graphic xmlns:a="http://schemas.openxmlformats.org/drawingml/2006/main">
                <a:graphicData uri="http://schemas.microsoft.com/office/word/2010/wordprocessingShape">
                  <wps:wsp>
                    <wps:cNvSpPr/>
                    <wps:spPr>
                      <a:xfrm>
                        <a:off x="0" y="0"/>
                        <a:ext cx="1051560" cy="310515"/>
                      </a:xfrm>
                      <a:prstGeom prst="rect">
                        <a:avLst/>
                      </a:prstGeom>
                      <a:solidFill>
                        <a:srgbClr val="FFFFFF">
                          <a:alpha val="0"/>
                        </a:srgbClr>
                      </a:solidFill>
                      <a:ln>
                        <a:noFill/>
                      </a:ln>
                    </wps:spPr>
                    <wps:txbx>
                      <w:txbxContent>
                        <w:p w14:paraId="619C8F74">
                          <w:pPr>
                            <w:pStyle w:val="80"/>
                            <w:snapToGrid w:val="0"/>
                            <w:rPr>
                              <w:sz w:val="18"/>
                            </w:rPr>
                          </w:pPr>
                          <w:r>
                            <w:rPr>
                              <w:sz w:val="18"/>
                            </w:rPr>
                            <w:t xml:space="preserve"> </w:t>
                          </w:r>
                        </w:p>
                      </w:txbxContent>
                    </wps:txbx>
                    <wps:bodyPr lIns="0" tIns="0" rIns="0" bIns="0" upright="1"/>
                  </wps:wsp>
                </a:graphicData>
              </a:graphic>
            </wp:anchor>
          </w:drawing>
        </mc:Choice>
        <mc:Fallback>
          <w:pict>
            <v:rect id="图像2" o:spid="_x0000_s1026" o:spt="1" style="position:absolute;left:0pt;margin-top:0pt;height:24.45pt;width:82.8pt;mso-position-horizontal:center;mso-position-horizontal-relative:margin;z-index:251660288;mso-width-relative:page;mso-height-relative:page;" fillcolor="#FFFFFF" filled="t" stroked="f" coordsize="21600,21600" o:gfxdata="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hB01CNQAAAAEAQAADwAAAAAAAAABACAAAAAiAAAAZHJzL2Rv&#10;d25yZXYueG1sUEsBAhQAFAAAAAgAh07iQD9WahDMAQAAqgMAAA4AAAAAAAAAAQAgAAAAIwEAAGRy&#10;cy9lMm9Eb2MueG1sUEsFBgAAAAAGAAYAWQEAAGEFAAAAAA==&#10;">
              <v:fill on="t" opacity="0f" focussize="0,0"/>
              <v:stroke on="f"/>
              <v:imagedata o:title=""/>
              <o:lock v:ext="edit" aspectratio="f"/>
              <v:textbox inset="0mm,0mm,0mm,0mm">
                <w:txbxContent>
                  <w:p w14:paraId="619C8F74">
                    <w:pPr>
                      <w:pStyle w:val="80"/>
                      <w:snapToGrid w:val="0"/>
                      <w:rPr>
                        <w:sz w:val="18"/>
                      </w:rPr>
                    </w:pPr>
                    <w:r>
                      <w:rPr>
                        <w:sz w:val="18"/>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C8668">
    <w:pPr>
      <w:pStyle w:val="19"/>
      <w:pBdr>
        <w:top w:val="none" w:color="auto" w:sz="0" w:space="1"/>
        <w:left w:val="none" w:color="auto" w:sz="0" w:space="4"/>
        <w:bottom w:val="none" w:color="auto" w:sz="0" w:space="1"/>
        <w:right w:val="none" w:color="auto" w:sz="0" w:space="4"/>
        <w:between w:val="none" w:color="auto" w:sz="0" w:space="0"/>
      </w:pBdr>
      <w:jc w:val="left"/>
    </w:pPr>
    <w:r>
      <w:rPr>
        <w:rFonts w:hint="eastAsia"/>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55C2">
    <w:pPr>
      <w:pStyle w:val="19"/>
      <w:pBdr>
        <w:bottom w:val="none" w:color="auto" w:sz="0" w:space="1"/>
      </w:pBd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89701">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D7CF0">
    <w:pPr>
      <w:jc w:val="center"/>
      <w:rPr>
        <w:rFonts w:hint="eastAsia" w:ascii="Times New Roman" w:hAnsi="Times New Roman" w:eastAsia="华文中宋"/>
        <w:b/>
        <w:color w:val="000000"/>
        <w:sz w:val="24"/>
        <w:szCs w:val="24"/>
      </w:rPr>
    </w:pPr>
  </w:p>
  <w:p w14:paraId="5696C7E8">
    <w:pPr>
      <w:pStyle w:val="19"/>
      <w:rPr>
        <w:sz w:val="13"/>
        <w:szCs w:val="13"/>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B675A">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F49AA1"/>
    <w:multiLevelType w:val="multilevel"/>
    <w:tmpl w:val="87F49AA1"/>
    <w:lvl w:ilvl="0" w:tentative="0">
      <w:start w:val="8"/>
      <w:numFmt w:val="decimal"/>
      <w:suff w:val="space"/>
      <w:lvlText w:val="%1."/>
      <w:lvlJc w:val="left"/>
      <w:pPr>
        <w:tabs>
          <w:tab w:val="left" w:pos="0"/>
        </w:tabs>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EE542646"/>
    <w:multiLevelType w:val="singleLevel"/>
    <w:tmpl w:val="EE542646"/>
    <w:lvl w:ilvl="0" w:tentative="0">
      <w:start w:val="1"/>
      <w:numFmt w:val="decimal"/>
      <w:suff w:val="nothing"/>
      <w:lvlText w:val="（%1）"/>
      <w:lvlJc w:val="left"/>
    </w:lvl>
  </w:abstractNum>
  <w:abstractNum w:abstractNumId="2">
    <w:nsid w:val="00000001"/>
    <w:multiLevelType w:val="multilevel"/>
    <w:tmpl w:val="00000001"/>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56"/>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00000003"/>
    <w:multiLevelType w:val="singleLevel"/>
    <w:tmpl w:val="00000003"/>
    <w:lvl w:ilvl="0" w:tentative="0">
      <w:start w:val="6"/>
      <w:numFmt w:val="decimal"/>
      <w:lvlText w:val="%1."/>
      <w:lvlJc w:val="left"/>
      <w:pPr>
        <w:tabs>
          <w:tab w:val="left" w:pos="312"/>
        </w:tabs>
      </w:pPr>
    </w:lvl>
  </w:abstractNum>
  <w:abstractNum w:abstractNumId="4">
    <w:nsid w:val="00000005"/>
    <w:multiLevelType w:val="multilevel"/>
    <w:tmpl w:val="00000005"/>
    <w:lvl w:ilvl="0" w:tentative="0">
      <w:start w:val="1"/>
      <w:numFmt w:val="decimal"/>
      <w:pStyle w:val="48"/>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ascii="宋体" w:hAnsi="宋体" w:eastAsia="宋体"/>
        <w:b w:val="0"/>
        <w:color w:val="auto"/>
        <w:sz w:val="21"/>
        <w:szCs w:val="21"/>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00000006"/>
    <w:multiLevelType w:val="singleLevel"/>
    <w:tmpl w:val="00000006"/>
    <w:lvl w:ilvl="0" w:tentative="0">
      <w:start w:val="2"/>
      <w:numFmt w:val="decimal"/>
      <w:suff w:val="space"/>
      <w:lvlText w:val="%1."/>
      <w:lvlJc w:val="left"/>
    </w:lvl>
  </w:abstractNum>
  <w:abstractNum w:abstractNumId="6">
    <w:nsid w:val="3A4289F3"/>
    <w:multiLevelType w:val="singleLevel"/>
    <w:tmpl w:val="3A4289F3"/>
    <w:lvl w:ilvl="0" w:tentative="0">
      <w:start w:val="3"/>
      <w:numFmt w:val="chineseCounting"/>
      <w:suff w:val="nothing"/>
      <w:lvlText w:val="（%1）"/>
      <w:lvlJc w:val="left"/>
      <w:rPr>
        <w:rFonts w:hint="eastAsia"/>
      </w:rPr>
    </w:lvl>
  </w:abstractNum>
  <w:abstractNum w:abstractNumId="7">
    <w:nsid w:val="5096CD00"/>
    <w:multiLevelType w:val="multilevel"/>
    <w:tmpl w:val="5096CD00"/>
    <w:lvl w:ilvl="0" w:tentative="0">
      <w:start w:val="10"/>
      <w:numFmt w:val="decimal"/>
      <w:suff w:val="nothing"/>
      <w:lvlText w:val="（%1）"/>
      <w:lvlJc w:val="left"/>
      <w:pPr>
        <w:tabs>
          <w:tab w:val="left" w:pos="0"/>
        </w:tabs>
        <w:ind w:left="0" w:firstLine="0"/>
      </w:pPr>
      <w:rPr>
        <w:rFonts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2"/>
  </w:num>
  <w:num w:numId="3">
    <w:abstractNumId w:val="5"/>
  </w:num>
  <w:num w:numId="4">
    <w:abstractNumId w:val="1"/>
  </w:num>
  <w:num w:numId="5">
    <w:abstractNumId w:val="3"/>
  </w:num>
  <w:num w:numId="6">
    <w:abstractNumId w:val="5"/>
    <w:lvlOverride w:ilvl="0">
      <w:startOverride w:val="1"/>
    </w:lvlOverride>
  </w:num>
  <w:num w:numId="7">
    <w:abstractNumId w:val="7"/>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3OTg0ODQ0YzRiMTZkN2E5ZDgxMzMzNWI4YWU3M2IifQ=="/>
  </w:docVars>
  <w:rsids>
    <w:rsidRoot w:val="00000000"/>
    <w:rsid w:val="000243FB"/>
    <w:rsid w:val="0018408C"/>
    <w:rsid w:val="001B2684"/>
    <w:rsid w:val="001F503A"/>
    <w:rsid w:val="00673E1A"/>
    <w:rsid w:val="006C47FC"/>
    <w:rsid w:val="006D7D32"/>
    <w:rsid w:val="00712A15"/>
    <w:rsid w:val="00D5688F"/>
    <w:rsid w:val="00E67317"/>
    <w:rsid w:val="01510884"/>
    <w:rsid w:val="015D0D5E"/>
    <w:rsid w:val="01802DBB"/>
    <w:rsid w:val="01971FAC"/>
    <w:rsid w:val="01CC076C"/>
    <w:rsid w:val="01CF645C"/>
    <w:rsid w:val="020F7D08"/>
    <w:rsid w:val="02484B21"/>
    <w:rsid w:val="02791088"/>
    <w:rsid w:val="02866093"/>
    <w:rsid w:val="028F6DC2"/>
    <w:rsid w:val="0293578E"/>
    <w:rsid w:val="029550BB"/>
    <w:rsid w:val="02AB5AF9"/>
    <w:rsid w:val="02C31530"/>
    <w:rsid w:val="02C4524D"/>
    <w:rsid w:val="031269D0"/>
    <w:rsid w:val="03541328"/>
    <w:rsid w:val="036514A2"/>
    <w:rsid w:val="036E1E02"/>
    <w:rsid w:val="03C137FD"/>
    <w:rsid w:val="03E5328D"/>
    <w:rsid w:val="04085613"/>
    <w:rsid w:val="04111D9A"/>
    <w:rsid w:val="041125BD"/>
    <w:rsid w:val="042D7513"/>
    <w:rsid w:val="0435684E"/>
    <w:rsid w:val="043B31E7"/>
    <w:rsid w:val="043D792D"/>
    <w:rsid w:val="044064BE"/>
    <w:rsid w:val="04471852"/>
    <w:rsid w:val="0493047E"/>
    <w:rsid w:val="049A36CE"/>
    <w:rsid w:val="04AB4BBF"/>
    <w:rsid w:val="04D75D6B"/>
    <w:rsid w:val="04E03924"/>
    <w:rsid w:val="04F13C4D"/>
    <w:rsid w:val="04F66E27"/>
    <w:rsid w:val="05011729"/>
    <w:rsid w:val="052D4222"/>
    <w:rsid w:val="054162A1"/>
    <w:rsid w:val="05A64BB1"/>
    <w:rsid w:val="05CA354F"/>
    <w:rsid w:val="05CC1B0C"/>
    <w:rsid w:val="05E24F2C"/>
    <w:rsid w:val="05E72946"/>
    <w:rsid w:val="05F62D49"/>
    <w:rsid w:val="05FB193B"/>
    <w:rsid w:val="061B01C1"/>
    <w:rsid w:val="061D5EC7"/>
    <w:rsid w:val="06495601"/>
    <w:rsid w:val="064E6EC7"/>
    <w:rsid w:val="064F5B51"/>
    <w:rsid w:val="06523C1F"/>
    <w:rsid w:val="068D1CD9"/>
    <w:rsid w:val="06D3561E"/>
    <w:rsid w:val="074C4E17"/>
    <w:rsid w:val="07732AAF"/>
    <w:rsid w:val="077363FF"/>
    <w:rsid w:val="077F3CE2"/>
    <w:rsid w:val="07A84194"/>
    <w:rsid w:val="07B028E5"/>
    <w:rsid w:val="07B93C8A"/>
    <w:rsid w:val="07F72D3E"/>
    <w:rsid w:val="08013370"/>
    <w:rsid w:val="0837003E"/>
    <w:rsid w:val="084237C9"/>
    <w:rsid w:val="08491062"/>
    <w:rsid w:val="084E19E7"/>
    <w:rsid w:val="087049CB"/>
    <w:rsid w:val="0890384D"/>
    <w:rsid w:val="08AE16DC"/>
    <w:rsid w:val="08F22421"/>
    <w:rsid w:val="091869D9"/>
    <w:rsid w:val="093929F5"/>
    <w:rsid w:val="097D3C0D"/>
    <w:rsid w:val="09AC5091"/>
    <w:rsid w:val="09CC5F4A"/>
    <w:rsid w:val="09F61D50"/>
    <w:rsid w:val="0A080810"/>
    <w:rsid w:val="0A116E13"/>
    <w:rsid w:val="0A136F96"/>
    <w:rsid w:val="0A7113D6"/>
    <w:rsid w:val="0A8E2B46"/>
    <w:rsid w:val="0AE47F04"/>
    <w:rsid w:val="0AE509BE"/>
    <w:rsid w:val="0B0943E6"/>
    <w:rsid w:val="0B155A6C"/>
    <w:rsid w:val="0B505490"/>
    <w:rsid w:val="0B550251"/>
    <w:rsid w:val="0B5C3E34"/>
    <w:rsid w:val="0B5F26FA"/>
    <w:rsid w:val="0B7429D4"/>
    <w:rsid w:val="0B92399A"/>
    <w:rsid w:val="0B960F76"/>
    <w:rsid w:val="0BAB1E8A"/>
    <w:rsid w:val="0C204075"/>
    <w:rsid w:val="0C2F6393"/>
    <w:rsid w:val="0C497205"/>
    <w:rsid w:val="0C5C1C12"/>
    <w:rsid w:val="0C601E79"/>
    <w:rsid w:val="0C65770C"/>
    <w:rsid w:val="0C8E2713"/>
    <w:rsid w:val="0CB50BB5"/>
    <w:rsid w:val="0D1C7A7B"/>
    <w:rsid w:val="0D31575F"/>
    <w:rsid w:val="0D495A60"/>
    <w:rsid w:val="0D721847"/>
    <w:rsid w:val="0D892719"/>
    <w:rsid w:val="0DAD1C6A"/>
    <w:rsid w:val="0DED5A26"/>
    <w:rsid w:val="0E1C10FB"/>
    <w:rsid w:val="0E1C1E81"/>
    <w:rsid w:val="0E2C64A4"/>
    <w:rsid w:val="0E465605"/>
    <w:rsid w:val="0E4874EA"/>
    <w:rsid w:val="0E5F0B11"/>
    <w:rsid w:val="0E8F2A64"/>
    <w:rsid w:val="0EDE0257"/>
    <w:rsid w:val="0EED4F94"/>
    <w:rsid w:val="0EEE2ABD"/>
    <w:rsid w:val="0EEF3F59"/>
    <w:rsid w:val="0F0942D3"/>
    <w:rsid w:val="0F135689"/>
    <w:rsid w:val="0F253D36"/>
    <w:rsid w:val="0F2E4826"/>
    <w:rsid w:val="0F690013"/>
    <w:rsid w:val="0FB21280"/>
    <w:rsid w:val="0FDC489E"/>
    <w:rsid w:val="0FE42C9E"/>
    <w:rsid w:val="0FED28D8"/>
    <w:rsid w:val="108242B0"/>
    <w:rsid w:val="10835660"/>
    <w:rsid w:val="109611B9"/>
    <w:rsid w:val="10B95043"/>
    <w:rsid w:val="10CD200B"/>
    <w:rsid w:val="113E58D7"/>
    <w:rsid w:val="11484EBD"/>
    <w:rsid w:val="117443FC"/>
    <w:rsid w:val="11BB6F3A"/>
    <w:rsid w:val="12165234"/>
    <w:rsid w:val="121D6A3F"/>
    <w:rsid w:val="123A5DA9"/>
    <w:rsid w:val="1254758B"/>
    <w:rsid w:val="126D4B79"/>
    <w:rsid w:val="12CA5051"/>
    <w:rsid w:val="12CA5B28"/>
    <w:rsid w:val="12D759AF"/>
    <w:rsid w:val="12DB23B0"/>
    <w:rsid w:val="12ED232E"/>
    <w:rsid w:val="130A6249"/>
    <w:rsid w:val="13751BC3"/>
    <w:rsid w:val="1383605D"/>
    <w:rsid w:val="139373C7"/>
    <w:rsid w:val="13943C0E"/>
    <w:rsid w:val="13B32A60"/>
    <w:rsid w:val="13D9398B"/>
    <w:rsid w:val="13DB152C"/>
    <w:rsid w:val="13E83FBA"/>
    <w:rsid w:val="13FF735B"/>
    <w:rsid w:val="14103624"/>
    <w:rsid w:val="14881894"/>
    <w:rsid w:val="149A2D9E"/>
    <w:rsid w:val="150A2521"/>
    <w:rsid w:val="1543180E"/>
    <w:rsid w:val="15570BD6"/>
    <w:rsid w:val="15665197"/>
    <w:rsid w:val="157749A1"/>
    <w:rsid w:val="15826B8D"/>
    <w:rsid w:val="15D74B1E"/>
    <w:rsid w:val="15DC54FB"/>
    <w:rsid w:val="160277DC"/>
    <w:rsid w:val="161966C7"/>
    <w:rsid w:val="16270EF3"/>
    <w:rsid w:val="163E7E0E"/>
    <w:rsid w:val="165E67AC"/>
    <w:rsid w:val="165F7050"/>
    <w:rsid w:val="16631052"/>
    <w:rsid w:val="166718DF"/>
    <w:rsid w:val="167F4F5C"/>
    <w:rsid w:val="16930926"/>
    <w:rsid w:val="169E1983"/>
    <w:rsid w:val="16B54D41"/>
    <w:rsid w:val="16DE2E7F"/>
    <w:rsid w:val="16FC5ADF"/>
    <w:rsid w:val="172B5F8A"/>
    <w:rsid w:val="173503D8"/>
    <w:rsid w:val="17500C67"/>
    <w:rsid w:val="17602EFE"/>
    <w:rsid w:val="17A2170E"/>
    <w:rsid w:val="17C62A74"/>
    <w:rsid w:val="17CB0880"/>
    <w:rsid w:val="17D25EBC"/>
    <w:rsid w:val="18290523"/>
    <w:rsid w:val="183D31A3"/>
    <w:rsid w:val="184D3056"/>
    <w:rsid w:val="18542930"/>
    <w:rsid w:val="185814DD"/>
    <w:rsid w:val="185C07CF"/>
    <w:rsid w:val="18665A05"/>
    <w:rsid w:val="186F4D76"/>
    <w:rsid w:val="188151F0"/>
    <w:rsid w:val="18956BD8"/>
    <w:rsid w:val="189F2061"/>
    <w:rsid w:val="18DD04F6"/>
    <w:rsid w:val="18E079F9"/>
    <w:rsid w:val="18F54AFC"/>
    <w:rsid w:val="19173B47"/>
    <w:rsid w:val="192C4736"/>
    <w:rsid w:val="19443B69"/>
    <w:rsid w:val="195161C5"/>
    <w:rsid w:val="19D90D46"/>
    <w:rsid w:val="19E915E0"/>
    <w:rsid w:val="19F8548E"/>
    <w:rsid w:val="1A280982"/>
    <w:rsid w:val="1A6E76E0"/>
    <w:rsid w:val="1A744E10"/>
    <w:rsid w:val="1A7E58B5"/>
    <w:rsid w:val="1A897781"/>
    <w:rsid w:val="1AA23DC5"/>
    <w:rsid w:val="1AB75A02"/>
    <w:rsid w:val="1ACA50F4"/>
    <w:rsid w:val="1AD05377"/>
    <w:rsid w:val="1AF2632B"/>
    <w:rsid w:val="1AFE47C6"/>
    <w:rsid w:val="1B23665A"/>
    <w:rsid w:val="1B607A85"/>
    <w:rsid w:val="1BA23ACF"/>
    <w:rsid w:val="1BA333BA"/>
    <w:rsid w:val="1BC42AC7"/>
    <w:rsid w:val="1BFE3286"/>
    <w:rsid w:val="1C0871C4"/>
    <w:rsid w:val="1C3861F8"/>
    <w:rsid w:val="1C392E2A"/>
    <w:rsid w:val="1C3D380E"/>
    <w:rsid w:val="1CAD0994"/>
    <w:rsid w:val="1CB3762C"/>
    <w:rsid w:val="1CB449E2"/>
    <w:rsid w:val="1CB90F7C"/>
    <w:rsid w:val="1CB91E30"/>
    <w:rsid w:val="1CDE05B8"/>
    <w:rsid w:val="1CDF636E"/>
    <w:rsid w:val="1D1F1740"/>
    <w:rsid w:val="1D6001EC"/>
    <w:rsid w:val="1D6F13DB"/>
    <w:rsid w:val="1D813BCE"/>
    <w:rsid w:val="1D844DFE"/>
    <w:rsid w:val="1DA469DA"/>
    <w:rsid w:val="1DCC5841"/>
    <w:rsid w:val="1DD64B1F"/>
    <w:rsid w:val="1DD863E8"/>
    <w:rsid w:val="1DD91315"/>
    <w:rsid w:val="1DF00E2C"/>
    <w:rsid w:val="1E23319A"/>
    <w:rsid w:val="1E466713"/>
    <w:rsid w:val="1E675F3A"/>
    <w:rsid w:val="1E847AE1"/>
    <w:rsid w:val="1EA3182A"/>
    <w:rsid w:val="1EB82252"/>
    <w:rsid w:val="1EBE5978"/>
    <w:rsid w:val="1F023E4E"/>
    <w:rsid w:val="1F405218"/>
    <w:rsid w:val="1F6609C9"/>
    <w:rsid w:val="1F896EC9"/>
    <w:rsid w:val="1F8D2032"/>
    <w:rsid w:val="1FBC7140"/>
    <w:rsid w:val="1FE10255"/>
    <w:rsid w:val="1FEC6BAE"/>
    <w:rsid w:val="1FEE40BC"/>
    <w:rsid w:val="200509DE"/>
    <w:rsid w:val="201817AA"/>
    <w:rsid w:val="2022054B"/>
    <w:rsid w:val="209E0AFE"/>
    <w:rsid w:val="209E6308"/>
    <w:rsid w:val="20C77FF3"/>
    <w:rsid w:val="20EE54B2"/>
    <w:rsid w:val="21085BF7"/>
    <w:rsid w:val="21315529"/>
    <w:rsid w:val="213B5E42"/>
    <w:rsid w:val="21464F13"/>
    <w:rsid w:val="21483611"/>
    <w:rsid w:val="21663B20"/>
    <w:rsid w:val="216B602B"/>
    <w:rsid w:val="21812CA8"/>
    <w:rsid w:val="21824FD8"/>
    <w:rsid w:val="21D544E9"/>
    <w:rsid w:val="22267D04"/>
    <w:rsid w:val="222B5CCB"/>
    <w:rsid w:val="223119FD"/>
    <w:rsid w:val="22946A32"/>
    <w:rsid w:val="22A2261D"/>
    <w:rsid w:val="22AA02CC"/>
    <w:rsid w:val="23124B3A"/>
    <w:rsid w:val="23414FA0"/>
    <w:rsid w:val="2353724F"/>
    <w:rsid w:val="236F5215"/>
    <w:rsid w:val="23801CCF"/>
    <w:rsid w:val="239E5AAD"/>
    <w:rsid w:val="23BE00C7"/>
    <w:rsid w:val="23E9602A"/>
    <w:rsid w:val="23F11A7C"/>
    <w:rsid w:val="24482A95"/>
    <w:rsid w:val="24517416"/>
    <w:rsid w:val="246A7C84"/>
    <w:rsid w:val="247E6772"/>
    <w:rsid w:val="24861ACA"/>
    <w:rsid w:val="248D586D"/>
    <w:rsid w:val="249406CE"/>
    <w:rsid w:val="25332DB9"/>
    <w:rsid w:val="255F235E"/>
    <w:rsid w:val="25600B63"/>
    <w:rsid w:val="25651D5A"/>
    <w:rsid w:val="257317BC"/>
    <w:rsid w:val="259B3353"/>
    <w:rsid w:val="25BC4E16"/>
    <w:rsid w:val="25DE41B5"/>
    <w:rsid w:val="261554D3"/>
    <w:rsid w:val="265B763B"/>
    <w:rsid w:val="266C4FC5"/>
    <w:rsid w:val="267D5A40"/>
    <w:rsid w:val="26847FEE"/>
    <w:rsid w:val="26B26F4A"/>
    <w:rsid w:val="26F13FC5"/>
    <w:rsid w:val="27013A4F"/>
    <w:rsid w:val="27574196"/>
    <w:rsid w:val="27716327"/>
    <w:rsid w:val="27842310"/>
    <w:rsid w:val="27886569"/>
    <w:rsid w:val="278F6DE2"/>
    <w:rsid w:val="2790679B"/>
    <w:rsid w:val="27A10C04"/>
    <w:rsid w:val="27A22A31"/>
    <w:rsid w:val="27C000EF"/>
    <w:rsid w:val="27E00D8B"/>
    <w:rsid w:val="27F0677B"/>
    <w:rsid w:val="280245E9"/>
    <w:rsid w:val="28C35286"/>
    <w:rsid w:val="28C4705F"/>
    <w:rsid w:val="28C77F64"/>
    <w:rsid w:val="28CD2F24"/>
    <w:rsid w:val="28DE5113"/>
    <w:rsid w:val="291D5203"/>
    <w:rsid w:val="2925637D"/>
    <w:rsid w:val="296B092D"/>
    <w:rsid w:val="297D3A84"/>
    <w:rsid w:val="29C12CF7"/>
    <w:rsid w:val="29C540C7"/>
    <w:rsid w:val="29D60DFE"/>
    <w:rsid w:val="29DB0112"/>
    <w:rsid w:val="29E1421C"/>
    <w:rsid w:val="2A281705"/>
    <w:rsid w:val="2A471801"/>
    <w:rsid w:val="2A513AEC"/>
    <w:rsid w:val="2AA108F3"/>
    <w:rsid w:val="2ABE1216"/>
    <w:rsid w:val="2AD36DE1"/>
    <w:rsid w:val="2AEA73F3"/>
    <w:rsid w:val="2AF301FE"/>
    <w:rsid w:val="2B0971E3"/>
    <w:rsid w:val="2B5519AC"/>
    <w:rsid w:val="2B580D68"/>
    <w:rsid w:val="2B661CD5"/>
    <w:rsid w:val="2BA6504F"/>
    <w:rsid w:val="2BF74EFF"/>
    <w:rsid w:val="2C0979CF"/>
    <w:rsid w:val="2C3E5EB7"/>
    <w:rsid w:val="2C6941AB"/>
    <w:rsid w:val="2D055FA2"/>
    <w:rsid w:val="2D085872"/>
    <w:rsid w:val="2D9165EB"/>
    <w:rsid w:val="2DA9668B"/>
    <w:rsid w:val="2DB9074D"/>
    <w:rsid w:val="2DB958D9"/>
    <w:rsid w:val="2DBB614E"/>
    <w:rsid w:val="2DE320C9"/>
    <w:rsid w:val="2DE85227"/>
    <w:rsid w:val="2DFF2727"/>
    <w:rsid w:val="2E040AD7"/>
    <w:rsid w:val="2E580034"/>
    <w:rsid w:val="2E7C08B6"/>
    <w:rsid w:val="2EBF1128"/>
    <w:rsid w:val="2EDE2C2F"/>
    <w:rsid w:val="2F1670D0"/>
    <w:rsid w:val="2F513F88"/>
    <w:rsid w:val="2F772ABD"/>
    <w:rsid w:val="2FC50AE4"/>
    <w:rsid w:val="303638C9"/>
    <w:rsid w:val="303D7328"/>
    <w:rsid w:val="306A7536"/>
    <w:rsid w:val="30926048"/>
    <w:rsid w:val="30C8448F"/>
    <w:rsid w:val="30ED0AB9"/>
    <w:rsid w:val="30F8421D"/>
    <w:rsid w:val="310E6EB2"/>
    <w:rsid w:val="3150224A"/>
    <w:rsid w:val="319C7E4B"/>
    <w:rsid w:val="31B15D29"/>
    <w:rsid w:val="31C003CA"/>
    <w:rsid w:val="31C24616"/>
    <w:rsid w:val="31E06DBD"/>
    <w:rsid w:val="320947AD"/>
    <w:rsid w:val="32281D6B"/>
    <w:rsid w:val="324857A1"/>
    <w:rsid w:val="32603105"/>
    <w:rsid w:val="327E1C29"/>
    <w:rsid w:val="32D37E41"/>
    <w:rsid w:val="33421811"/>
    <w:rsid w:val="339733AC"/>
    <w:rsid w:val="33C3151C"/>
    <w:rsid w:val="33D13F1C"/>
    <w:rsid w:val="34254027"/>
    <w:rsid w:val="347A07E2"/>
    <w:rsid w:val="347A7327"/>
    <w:rsid w:val="34984A51"/>
    <w:rsid w:val="34A36A44"/>
    <w:rsid w:val="34CE6701"/>
    <w:rsid w:val="34DB272B"/>
    <w:rsid w:val="34DC1FAB"/>
    <w:rsid w:val="34E34C02"/>
    <w:rsid w:val="355304F3"/>
    <w:rsid w:val="35580248"/>
    <w:rsid w:val="356779FE"/>
    <w:rsid w:val="359F7AF6"/>
    <w:rsid w:val="35C07D37"/>
    <w:rsid w:val="35CB0051"/>
    <w:rsid w:val="35DA28A7"/>
    <w:rsid w:val="360D6657"/>
    <w:rsid w:val="360F469F"/>
    <w:rsid w:val="362900F1"/>
    <w:rsid w:val="367B1F23"/>
    <w:rsid w:val="36901785"/>
    <w:rsid w:val="36AF5C11"/>
    <w:rsid w:val="3733756F"/>
    <w:rsid w:val="37365CAF"/>
    <w:rsid w:val="373E028C"/>
    <w:rsid w:val="375E0B40"/>
    <w:rsid w:val="376E2676"/>
    <w:rsid w:val="37A147F9"/>
    <w:rsid w:val="37A717BE"/>
    <w:rsid w:val="37BA4872"/>
    <w:rsid w:val="37BE7081"/>
    <w:rsid w:val="37C643B0"/>
    <w:rsid w:val="37E82428"/>
    <w:rsid w:val="37EC0564"/>
    <w:rsid w:val="384A4E91"/>
    <w:rsid w:val="38A945A5"/>
    <w:rsid w:val="38AD33DC"/>
    <w:rsid w:val="38B86D15"/>
    <w:rsid w:val="390E1686"/>
    <w:rsid w:val="391373CA"/>
    <w:rsid w:val="391A2AB5"/>
    <w:rsid w:val="3955327F"/>
    <w:rsid w:val="39C26234"/>
    <w:rsid w:val="39CB2A6F"/>
    <w:rsid w:val="39CF3613"/>
    <w:rsid w:val="39D559B3"/>
    <w:rsid w:val="3A076929"/>
    <w:rsid w:val="3A112E8C"/>
    <w:rsid w:val="3A1B404D"/>
    <w:rsid w:val="3A2321FE"/>
    <w:rsid w:val="3AB94E96"/>
    <w:rsid w:val="3AD50EDA"/>
    <w:rsid w:val="3AE25855"/>
    <w:rsid w:val="3AE63230"/>
    <w:rsid w:val="3B17124E"/>
    <w:rsid w:val="3B586356"/>
    <w:rsid w:val="3B727B52"/>
    <w:rsid w:val="3B891A8F"/>
    <w:rsid w:val="3BA84540"/>
    <w:rsid w:val="3BBC2EEC"/>
    <w:rsid w:val="3BEB04D1"/>
    <w:rsid w:val="3BEF699F"/>
    <w:rsid w:val="3C0678AA"/>
    <w:rsid w:val="3C327D77"/>
    <w:rsid w:val="3C464486"/>
    <w:rsid w:val="3C900D9A"/>
    <w:rsid w:val="3C9C3D89"/>
    <w:rsid w:val="3CA95461"/>
    <w:rsid w:val="3CB21118"/>
    <w:rsid w:val="3CE77407"/>
    <w:rsid w:val="3D15400D"/>
    <w:rsid w:val="3D23467C"/>
    <w:rsid w:val="3D24616A"/>
    <w:rsid w:val="3D2771C9"/>
    <w:rsid w:val="3D3653B1"/>
    <w:rsid w:val="3D3F57A2"/>
    <w:rsid w:val="3D3F6CE2"/>
    <w:rsid w:val="3D793B60"/>
    <w:rsid w:val="3D970CBA"/>
    <w:rsid w:val="3D9F3F91"/>
    <w:rsid w:val="3DC26E3A"/>
    <w:rsid w:val="3E255E73"/>
    <w:rsid w:val="3E6D57BA"/>
    <w:rsid w:val="3E8B2E4F"/>
    <w:rsid w:val="3E952EEF"/>
    <w:rsid w:val="3E966BD5"/>
    <w:rsid w:val="3F0C1F89"/>
    <w:rsid w:val="3F3E0DC8"/>
    <w:rsid w:val="3F567DD9"/>
    <w:rsid w:val="3F601AF2"/>
    <w:rsid w:val="3F9966FE"/>
    <w:rsid w:val="3FA30D39"/>
    <w:rsid w:val="3FEE38A1"/>
    <w:rsid w:val="3FFD039B"/>
    <w:rsid w:val="4004327C"/>
    <w:rsid w:val="400F3DCB"/>
    <w:rsid w:val="402828F4"/>
    <w:rsid w:val="402D5DC0"/>
    <w:rsid w:val="405469BD"/>
    <w:rsid w:val="406C29EB"/>
    <w:rsid w:val="40C0232B"/>
    <w:rsid w:val="40D4097B"/>
    <w:rsid w:val="40E56D02"/>
    <w:rsid w:val="410E3FFA"/>
    <w:rsid w:val="412E299C"/>
    <w:rsid w:val="41543B7F"/>
    <w:rsid w:val="415B3C6B"/>
    <w:rsid w:val="4168728E"/>
    <w:rsid w:val="416C1574"/>
    <w:rsid w:val="418B1EC6"/>
    <w:rsid w:val="41E40E7E"/>
    <w:rsid w:val="4207310C"/>
    <w:rsid w:val="42337ADA"/>
    <w:rsid w:val="428D593C"/>
    <w:rsid w:val="42A52E26"/>
    <w:rsid w:val="42BA54CE"/>
    <w:rsid w:val="43091EBB"/>
    <w:rsid w:val="430C1434"/>
    <w:rsid w:val="43104CF7"/>
    <w:rsid w:val="43462AA5"/>
    <w:rsid w:val="43865A06"/>
    <w:rsid w:val="43944E8D"/>
    <w:rsid w:val="43A26FDD"/>
    <w:rsid w:val="43B35E09"/>
    <w:rsid w:val="43BA5EC9"/>
    <w:rsid w:val="43BD1699"/>
    <w:rsid w:val="43C419D5"/>
    <w:rsid w:val="440C3A50"/>
    <w:rsid w:val="441A48AB"/>
    <w:rsid w:val="44207DDF"/>
    <w:rsid w:val="44316F05"/>
    <w:rsid w:val="44392A6D"/>
    <w:rsid w:val="44497291"/>
    <w:rsid w:val="44500011"/>
    <w:rsid w:val="445D7DC8"/>
    <w:rsid w:val="44B042CE"/>
    <w:rsid w:val="44B227AF"/>
    <w:rsid w:val="44B55352"/>
    <w:rsid w:val="44C44BEA"/>
    <w:rsid w:val="44CE7A88"/>
    <w:rsid w:val="4504286C"/>
    <w:rsid w:val="45091C30"/>
    <w:rsid w:val="452D21C8"/>
    <w:rsid w:val="45357383"/>
    <w:rsid w:val="45847E3D"/>
    <w:rsid w:val="45B707A4"/>
    <w:rsid w:val="45B81805"/>
    <w:rsid w:val="45C41339"/>
    <w:rsid w:val="45C43A78"/>
    <w:rsid w:val="45E01DCC"/>
    <w:rsid w:val="460101C2"/>
    <w:rsid w:val="46186DDB"/>
    <w:rsid w:val="463A18CD"/>
    <w:rsid w:val="463E71C8"/>
    <w:rsid w:val="46445AA3"/>
    <w:rsid w:val="464F665E"/>
    <w:rsid w:val="46650E65"/>
    <w:rsid w:val="46657EC9"/>
    <w:rsid w:val="46733805"/>
    <w:rsid w:val="468A5B17"/>
    <w:rsid w:val="46A76D4F"/>
    <w:rsid w:val="46ED4F1C"/>
    <w:rsid w:val="46FF32EA"/>
    <w:rsid w:val="471744E6"/>
    <w:rsid w:val="471F1A3C"/>
    <w:rsid w:val="473904C3"/>
    <w:rsid w:val="47D604EF"/>
    <w:rsid w:val="47FD5FB7"/>
    <w:rsid w:val="482B1817"/>
    <w:rsid w:val="484B5EC1"/>
    <w:rsid w:val="48515DC8"/>
    <w:rsid w:val="48661D77"/>
    <w:rsid w:val="488E4926"/>
    <w:rsid w:val="489068EF"/>
    <w:rsid w:val="489C3438"/>
    <w:rsid w:val="48B776C5"/>
    <w:rsid w:val="48D71FC3"/>
    <w:rsid w:val="48E110DD"/>
    <w:rsid w:val="49022FAD"/>
    <w:rsid w:val="491D3EFC"/>
    <w:rsid w:val="49647D7D"/>
    <w:rsid w:val="49973BDF"/>
    <w:rsid w:val="49AC0022"/>
    <w:rsid w:val="49AD4F80"/>
    <w:rsid w:val="49D432A0"/>
    <w:rsid w:val="49DC7E7C"/>
    <w:rsid w:val="49E8133A"/>
    <w:rsid w:val="49F64E79"/>
    <w:rsid w:val="49FA6188"/>
    <w:rsid w:val="4A125DE7"/>
    <w:rsid w:val="4A802994"/>
    <w:rsid w:val="4A851B96"/>
    <w:rsid w:val="4A9274F7"/>
    <w:rsid w:val="4A9C2CFD"/>
    <w:rsid w:val="4AA20C95"/>
    <w:rsid w:val="4AAB13E9"/>
    <w:rsid w:val="4AAF3487"/>
    <w:rsid w:val="4ADA20A4"/>
    <w:rsid w:val="4AE03060"/>
    <w:rsid w:val="4AF27193"/>
    <w:rsid w:val="4B315A3D"/>
    <w:rsid w:val="4B41175D"/>
    <w:rsid w:val="4B5C0D0B"/>
    <w:rsid w:val="4B612B92"/>
    <w:rsid w:val="4B944F98"/>
    <w:rsid w:val="4BC726C0"/>
    <w:rsid w:val="4BD227ED"/>
    <w:rsid w:val="4C0D5FCD"/>
    <w:rsid w:val="4C4874E2"/>
    <w:rsid w:val="4C914B10"/>
    <w:rsid w:val="4C976993"/>
    <w:rsid w:val="4CD41144"/>
    <w:rsid w:val="4CD96FA7"/>
    <w:rsid w:val="4CDE4421"/>
    <w:rsid w:val="4D0866E7"/>
    <w:rsid w:val="4D135E4A"/>
    <w:rsid w:val="4D384E95"/>
    <w:rsid w:val="4D78512C"/>
    <w:rsid w:val="4D8521F2"/>
    <w:rsid w:val="4DB444EC"/>
    <w:rsid w:val="4DCD0833"/>
    <w:rsid w:val="4DD6189A"/>
    <w:rsid w:val="4DE73C3A"/>
    <w:rsid w:val="4DEE40E5"/>
    <w:rsid w:val="4DF276D6"/>
    <w:rsid w:val="4E01301A"/>
    <w:rsid w:val="4E021BEE"/>
    <w:rsid w:val="4E1B258B"/>
    <w:rsid w:val="4E3160E5"/>
    <w:rsid w:val="4E9F61C6"/>
    <w:rsid w:val="4EA76C84"/>
    <w:rsid w:val="4EAA770B"/>
    <w:rsid w:val="4EB120F2"/>
    <w:rsid w:val="4EE14784"/>
    <w:rsid w:val="4EE23C1E"/>
    <w:rsid w:val="4EF456FF"/>
    <w:rsid w:val="4EF66AD9"/>
    <w:rsid w:val="4F144117"/>
    <w:rsid w:val="4F1E7884"/>
    <w:rsid w:val="4F2B0DF3"/>
    <w:rsid w:val="4F3044D8"/>
    <w:rsid w:val="4F522366"/>
    <w:rsid w:val="4F566F36"/>
    <w:rsid w:val="4F7C06E2"/>
    <w:rsid w:val="4FA070A9"/>
    <w:rsid w:val="4FAA4CFB"/>
    <w:rsid w:val="4FC43323"/>
    <w:rsid w:val="4FDC48A1"/>
    <w:rsid w:val="4FEE1F20"/>
    <w:rsid w:val="50217E90"/>
    <w:rsid w:val="504013D7"/>
    <w:rsid w:val="504B7366"/>
    <w:rsid w:val="50544478"/>
    <w:rsid w:val="505837AD"/>
    <w:rsid w:val="50DD5AFE"/>
    <w:rsid w:val="50F11EF6"/>
    <w:rsid w:val="510C54FA"/>
    <w:rsid w:val="510E6463"/>
    <w:rsid w:val="51A22A48"/>
    <w:rsid w:val="51A74466"/>
    <w:rsid w:val="51B967AB"/>
    <w:rsid w:val="51D7751D"/>
    <w:rsid w:val="51F81A9B"/>
    <w:rsid w:val="521524AC"/>
    <w:rsid w:val="52321B21"/>
    <w:rsid w:val="5244074B"/>
    <w:rsid w:val="525E207C"/>
    <w:rsid w:val="52662EE7"/>
    <w:rsid w:val="526E2F16"/>
    <w:rsid w:val="527E1EAF"/>
    <w:rsid w:val="527E66EC"/>
    <w:rsid w:val="52A35000"/>
    <w:rsid w:val="52A500EC"/>
    <w:rsid w:val="52BE0E66"/>
    <w:rsid w:val="52CF2802"/>
    <w:rsid w:val="52EF4B5B"/>
    <w:rsid w:val="5301303B"/>
    <w:rsid w:val="534E59C0"/>
    <w:rsid w:val="535C4FE2"/>
    <w:rsid w:val="5388595D"/>
    <w:rsid w:val="53D165F8"/>
    <w:rsid w:val="53EE4E13"/>
    <w:rsid w:val="53F109E6"/>
    <w:rsid w:val="5407444A"/>
    <w:rsid w:val="54475235"/>
    <w:rsid w:val="54664E09"/>
    <w:rsid w:val="547D2291"/>
    <w:rsid w:val="54836F7C"/>
    <w:rsid w:val="54A3006C"/>
    <w:rsid w:val="54AB418A"/>
    <w:rsid w:val="54CD47AC"/>
    <w:rsid w:val="54D536EF"/>
    <w:rsid w:val="54D577C2"/>
    <w:rsid w:val="54FB2B8D"/>
    <w:rsid w:val="5502025C"/>
    <w:rsid w:val="552346A9"/>
    <w:rsid w:val="55511877"/>
    <w:rsid w:val="5583536A"/>
    <w:rsid w:val="558C761E"/>
    <w:rsid w:val="55A80D72"/>
    <w:rsid w:val="55B16A87"/>
    <w:rsid w:val="55C46029"/>
    <w:rsid w:val="55D43B94"/>
    <w:rsid w:val="55F33B8C"/>
    <w:rsid w:val="55F3697C"/>
    <w:rsid w:val="56112C03"/>
    <w:rsid w:val="56252E0A"/>
    <w:rsid w:val="562D2626"/>
    <w:rsid w:val="563642AF"/>
    <w:rsid w:val="568A60C4"/>
    <w:rsid w:val="56AE2637"/>
    <w:rsid w:val="56B45E9F"/>
    <w:rsid w:val="56ED412E"/>
    <w:rsid w:val="56F81B2B"/>
    <w:rsid w:val="57291D39"/>
    <w:rsid w:val="572C1FDF"/>
    <w:rsid w:val="577F458C"/>
    <w:rsid w:val="57D2100B"/>
    <w:rsid w:val="58112E7E"/>
    <w:rsid w:val="58210ED9"/>
    <w:rsid w:val="583B50ED"/>
    <w:rsid w:val="5843433B"/>
    <w:rsid w:val="585B767A"/>
    <w:rsid w:val="586B6A4E"/>
    <w:rsid w:val="58823924"/>
    <w:rsid w:val="58987865"/>
    <w:rsid w:val="589B3315"/>
    <w:rsid w:val="58C268D3"/>
    <w:rsid w:val="58DA7713"/>
    <w:rsid w:val="58DF4D2A"/>
    <w:rsid w:val="591041E6"/>
    <w:rsid w:val="5924008C"/>
    <w:rsid w:val="597F72CF"/>
    <w:rsid w:val="59A029C1"/>
    <w:rsid w:val="5A282587"/>
    <w:rsid w:val="5A367922"/>
    <w:rsid w:val="5A401B54"/>
    <w:rsid w:val="5A814339"/>
    <w:rsid w:val="5AA6485C"/>
    <w:rsid w:val="5AB634F1"/>
    <w:rsid w:val="5B113D25"/>
    <w:rsid w:val="5B1E16A2"/>
    <w:rsid w:val="5B2375D1"/>
    <w:rsid w:val="5B331C89"/>
    <w:rsid w:val="5B3E01B1"/>
    <w:rsid w:val="5B411CCC"/>
    <w:rsid w:val="5B4332C4"/>
    <w:rsid w:val="5B4449E0"/>
    <w:rsid w:val="5B4D0671"/>
    <w:rsid w:val="5B7F0C70"/>
    <w:rsid w:val="5B805A45"/>
    <w:rsid w:val="5B9718EC"/>
    <w:rsid w:val="5BC10DA0"/>
    <w:rsid w:val="5C3929DC"/>
    <w:rsid w:val="5C837F16"/>
    <w:rsid w:val="5CAF3619"/>
    <w:rsid w:val="5CBC2A3D"/>
    <w:rsid w:val="5D3C591D"/>
    <w:rsid w:val="5D512D50"/>
    <w:rsid w:val="5D573A29"/>
    <w:rsid w:val="5D5D6645"/>
    <w:rsid w:val="5D7C5EAE"/>
    <w:rsid w:val="5D8937B9"/>
    <w:rsid w:val="5D8E5993"/>
    <w:rsid w:val="5DDC29AF"/>
    <w:rsid w:val="5DE2195F"/>
    <w:rsid w:val="5E184B66"/>
    <w:rsid w:val="5E186AB3"/>
    <w:rsid w:val="5E272CB2"/>
    <w:rsid w:val="5E311218"/>
    <w:rsid w:val="5E3574D4"/>
    <w:rsid w:val="5E685CB2"/>
    <w:rsid w:val="5E736092"/>
    <w:rsid w:val="5E8C0FB6"/>
    <w:rsid w:val="5EBE5ADD"/>
    <w:rsid w:val="5F44142B"/>
    <w:rsid w:val="5F882936"/>
    <w:rsid w:val="5FF54C37"/>
    <w:rsid w:val="5FFD6F2A"/>
    <w:rsid w:val="60250C5E"/>
    <w:rsid w:val="60340051"/>
    <w:rsid w:val="604723D6"/>
    <w:rsid w:val="604C495D"/>
    <w:rsid w:val="606D3048"/>
    <w:rsid w:val="6089379F"/>
    <w:rsid w:val="60A7423E"/>
    <w:rsid w:val="611679FD"/>
    <w:rsid w:val="61343639"/>
    <w:rsid w:val="613D41D4"/>
    <w:rsid w:val="619535D9"/>
    <w:rsid w:val="61AA7562"/>
    <w:rsid w:val="61B52D59"/>
    <w:rsid w:val="61CC270D"/>
    <w:rsid w:val="61D12784"/>
    <w:rsid w:val="61D82E86"/>
    <w:rsid w:val="61E842E1"/>
    <w:rsid w:val="61ED6B6C"/>
    <w:rsid w:val="621517BC"/>
    <w:rsid w:val="625A6C6E"/>
    <w:rsid w:val="62654D0D"/>
    <w:rsid w:val="626F0238"/>
    <w:rsid w:val="62834C30"/>
    <w:rsid w:val="62AA45FB"/>
    <w:rsid w:val="62C236F2"/>
    <w:rsid w:val="62D17DD9"/>
    <w:rsid w:val="62D378CB"/>
    <w:rsid w:val="62D85586"/>
    <w:rsid w:val="62DF24F6"/>
    <w:rsid w:val="632C0C82"/>
    <w:rsid w:val="635D4CE7"/>
    <w:rsid w:val="6399385A"/>
    <w:rsid w:val="63C80F5E"/>
    <w:rsid w:val="641C2A38"/>
    <w:rsid w:val="64267CB1"/>
    <w:rsid w:val="6434233F"/>
    <w:rsid w:val="64354769"/>
    <w:rsid w:val="646B2031"/>
    <w:rsid w:val="646E5692"/>
    <w:rsid w:val="647629E6"/>
    <w:rsid w:val="647B3379"/>
    <w:rsid w:val="649F0C9A"/>
    <w:rsid w:val="64B61035"/>
    <w:rsid w:val="64D73AB0"/>
    <w:rsid w:val="64EA6203"/>
    <w:rsid w:val="650143EE"/>
    <w:rsid w:val="654F6CA4"/>
    <w:rsid w:val="65570BC6"/>
    <w:rsid w:val="656E0581"/>
    <w:rsid w:val="65870C23"/>
    <w:rsid w:val="65A03F3D"/>
    <w:rsid w:val="65C92FEA"/>
    <w:rsid w:val="65DD4CBC"/>
    <w:rsid w:val="65DE0457"/>
    <w:rsid w:val="65FD3F7D"/>
    <w:rsid w:val="65FF01BC"/>
    <w:rsid w:val="661940CC"/>
    <w:rsid w:val="663A2510"/>
    <w:rsid w:val="66555245"/>
    <w:rsid w:val="66595CEE"/>
    <w:rsid w:val="66625644"/>
    <w:rsid w:val="6679400C"/>
    <w:rsid w:val="669929BC"/>
    <w:rsid w:val="66C11BEB"/>
    <w:rsid w:val="66C63825"/>
    <w:rsid w:val="66D8044D"/>
    <w:rsid w:val="66FE4697"/>
    <w:rsid w:val="671167C3"/>
    <w:rsid w:val="67702502"/>
    <w:rsid w:val="677964B6"/>
    <w:rsid w:val="67B553EB"/>
    <w:rsid w:val="67C12EBA"/>
    <w:rsid w:val="67DB304B"/>
    <w:rsid w:val="67FE3B46"/>
    <w:rsid w:val="680B1697"/>
    <w:rsid w:val="680C61E2"/>
    <w:rsid w:val="68451DB0"/>
    <w:rsid w:val="68A3136D"/>
    <w:rsid w:val="68AE0CAE"/>
    <w:rsid w:val="691F30BE"/>
    <w:rsid w:val="692D4131"/>
    <w:rsid w:val="69516285"/>
    <w:rsid w:val="6956146A"/>
    <w:rsid w:val="69780FAF"/>
    <w:rsid w:val="699509A1"/>
    <w:rsid w:val="69A30A89"/>
    <w:rsid w:val="69A66667"/>
    <w:rsid w:val="69A73885"/>
    <w:rsid w:val="69A822B1"/>
    <w:rsid w:val="6A0A336C"/>
    <w:rsid w:val="6A556925"/>
    <w:rsid w:val="6A8120E5"/>
    <w:rsid w:val="6A8D5760"/>
    <w:rsid w:val="6A9C1C91"/>
    <w:rsid w:val="6AA5228E"/>
    <w:rsid w:val="6AB20E27"/>
    <w:rsid w:val="6AC36140"/>
    <w:rsid w:val="6B0012EC"/>
    <w:rsid w:val="6B03334B"/>
    <w:rsid w:val="6B6E2157"/>
    <w:rsid w:val="6BA74108"/>
    <w:rsid w:val="6BC04E8F"/>
    <w:rsid w:val="6BC40E33"/>
    <w:rsid w:val="6BDE012C"/>
    <w:rsid w:val="6C20148A"/>
    <w:rsid w:val="6C5D6596"/>
    <w:rsid w:val="6CC510B4"/>
    <w:rsid w:val="6CEF2CD8"/>
    <w:rsid w:val="6CF73D1C"/>
    <w:rsid w:val="6D6A6E60"/>
    <w:rsid w:val="6D762A3E"/>
    <w:rsid w:val="6D7C661F"/>
    <w:rsid w:val="6D7E6438"/>
    <w:rsid w:val="6DBB7398"/>
    <w:rsid w:val="6DD80975"/>
    <w:rsid w:val="6DFD2828"/>
    <w:rsid w:val="6E3D6C17"/>
    <w:rsid w:val="6E4C2A0A"/>
    <w:rsid w:val="6E554C66"/>
    <w:rsid w:val="6E9A5523"/>
    <w:rsid w:val="6EB3025D"/>
    <w:rsid w:val="6EC579D2"/>
    <w:rsid w:val="6EE33335"/>
    <w:rsid w:val="6F28035E"/>
    <w:rsid w:val="6F296491"/>
    <w:rsid w:val="6F3816F9"/>
    <w:rsid w:val="6F6E3C3B"/>
    <w:rsid w:val="6F8E6057"/>
    <w:rsid w:val="6FAC691D"/>
    <w:rsid w:val="6FD7501A"/>
    <w:rsid w:val="6FDD3F6A"/>
    <w:rsid w:val="704716DB"/>
    <w:rsid w:val="704D7BB7"/>
    <w:rsid w:val="70B807FE"/>
    <w:rsid w:val="70D62F2A"/>
    <w:rsid w:val="70EB3E10"/>
    <w:rsid w:val="710B6BAC"/>
    <w:rsid w:val="714A687E"/>
    <w:rsid w:val="714B6A4F"/>
    <w:rsid w:val="71503AF3"/>
    <w:rsid w:val="71713F81"/>
    <w:rsid w:val="71716D3A"/>
    <w:rsid w:val="71966D32"/>
    <w:rsid w:val="71A4504D"/>
    <w:rsid w:val="71C93960"/>
    <w:rsid w:val="720D56CA"/>
    <w:rsid w:val="726E06C3"/>
    <w:rsid w:val="72AC308C"/>
    <w:rsid w:val="72B017B9"/>
    <w:rsid w:val="72ED19A0"/>
    <w:rsid w:val="72EE7C82"/>
    <w:rsid w:val="73142AD7"/>
    <w:rsid w:val="731B2E6F"/>
    <w:rsid w:val="73353407"/>
    <w:rsid w:val="73665110"/>
    <w:rsid w:val="73700F48"/>
    <w:rsid w:val="73725407"/>
    <w:rsid w:val="739D6314"/>
    <w:rsid w:val="73BF4F91"/>
    <w:rsid w:val="73FD468E"/>
    <w:rsid w:val="741A064D"/>
    <w:rsid w:val="746351BC"/>
    <w:rsid w:val="74A01913"/>
    <w:rsid w:val="74C05603"/>
    <w:rsid w:val="74C671AB"/>
    <w:rsid w:val="74D177C5"/>
    <w:rsid w:val="75267B11"/>
    <w:rsid w:val="75C612EF"/>
    <w:rsid w:val="75C95200"/>
    <w:rsid w:val="75D06624"/>
    <w:rsid w:val="75D44B42"/>
    <w:rsid w:val="75E372FC"/>
    <w:rsid w:val="76051E1C"/>
    <w:rsid w:val="761D471F"/>
    <w:rsid w:val="767147EA"/>
    <w:rsid w:val="767474BA"/>
    <w:rsid w:val="76947891"/>
    <w:rsid w:val="76A213B0"/>
    <w:rsid w:val="76A944F7"/>
    <w:rsid w:val="76CD32F9"/>
    <w:rsid w:val="76E45D0D"/>
    <w:rsid w:val="76EC725A"/>
    <w:rsid w:val="76F33AA1"/>
    <w:rsid w:val="770976EA"/>
    <w:rsid w:val="77117B6E"/>
    <w:rsid w:val="77154FB4"/>
    <w:rsid w:val="771A2869"/>
    <w:rsid w:val="77C415FD"/>
    <w:rsid w:val="77D34AB4"/>
    <w:rsid w:val="77F11C19"/>
    <w:rsid w:val="78240738"/>
    <w:rsid w:val="78281497"/>
    <w:rsid w:val="783808F1"/>
    <w:rsid w:val="788F4000"/>
    <w:rsid w:val="789C2912"/>
    <w:rsid w:val="78C25F00"/>
    <w:rsid w:val="78FF3E4D"/>
    <w:rsid w:val="79153D17"/>
    <w:rsid w:val="791E294E"/>
    <w:rsid w:val="79376DF4"/>
    <w:rsid w:val="79646868"/>
    <w:rsid w:val="797846B3"/>
    <w:rsid w:val="79985233"/>
    <w:rsid w:val="79D50178"/>
    <w:rsid w:val="79D63B23"/>
    <w:rsid w:val="7A30389F"/>
    <w:rsid w:val="7A4C0D0F"/>
    <w:rsid w:val="7A700894"/>
    <w:rsid w:val="7A9120D5"/>
    <w:rsid w:val="7AA82B3B"/>
    <w:rsid w:val="7AB357C9"/>
    <w:rsid w:val="7B040148"/>
    <w:rsid w:val="7B0C4611"/>
    <w:rsid w:val="7B1F0ED1"/>
    <w:rsid w:val="7B292ECA"/>
    <w:rsid w:val="7B743285"/>
    <w:rsid w:val="7B942BFA"/>
    <w:rsid w:val="7B9460F1"/>
    <w:rsid w:val="7BAC17AC"/>
    <w:rsid w:val="7BB0279F"/>
    <w:rsid w:val="7BEB3C5A"/>
    <w:rsid w:val="7BF154C7"/>
    <w:rsid w:val="7C277B4D"/>
    <w:rsid w:val="7C9B7181"/>
    <w:rsid w:val="7CD40C09"/>
    <w:rsid w:val="7D9A5254"/>
    <w:rsid w:val="7E063F96"/>
    <w:rsid w:val="7E391D5A"/>
    <w:rsid w:val="7E3B533E"/>
    <w:rsid w:val="7E3D6CB9"/>
    <w:rsid w:val="7E3E6130"/>
    <w:rsid w:val="7E643FDC"/>
    <w:rsid w:val="7E6B1212"/>
    <w:rsid w:val="7EAD72E1"/>
    <w:rsid w:val="7EBD7488"/>
    <w:rsid w:val="7EE77FCB"/>
    <w:rsid w:val="7EF96296"/>
    <w:rsid w:val="7F1A47EA"/>
    <w:rsid w:val="7F250E39"/>
    <w:rsid w:val="7F2A6313"/>
    <w:rsid w:val="7F8E4F77"/>
    <w:rsid w:val="7F9520A7"/>
    <w:rsid w:val="7FA162FC"/>
    <w:rsid w:val="7FA31C4B"/>
    <w:rsid w:val="7FEA44B5"/>
    <w:rsid w:val="7FEC690D"/>
    <w:rsid w:val="7FEE49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link w:val="44"/>
    <w:qFormat/>
    <w:uiPriority w:val="0"/>
    <w:pPr>
      <w:keepNext/>
      <w:keepLines/>
      <w:spacing w:before="120" w:after="120" w:line="360" w:lineRule="auto"/>
      <w:jc w:val="center"/>
      <w:outlineLvl w:val="1"/>
    </w:pPr>
    <w:rPr>
      <w:rFonts w:ascii="Arial" w:hAnsi="Arial"/>
      <w:b/>
      <w:bCs/>
      <w:kern w:val="0"/>
      <w:sz w:val="32"/>
      <w:szCs w:val="32"/>
    </w:rPr>
  </w:style>
  <w:style w:type="paragraph" w:styleId="4">
    <w:name w:val="heading 3"/>
    <w:basedOn w:val="1"/>
    <w:next w:val="1"/>
    <w:link w:val="45"/>
    <w:qFormat/>
    <w:uiPriority w:val="0"/>
    <w:pPr>
      <w:keepNext/>
      <w:keepLines/>
      <w:spacing w:before="120" w:after="120" w:line="360" w:lineRule="auto"/>
      <w:ind w:firstLine="200" w:firstLineChars="200"/>
      <w:jc w:val="center"/>
      <w:outlineLvl w:val="2"/>
    </w:pPr>
    <w:rPr>
      <w:rFonts w:ascii="宋体"/>
      <w:b/>
      <w:bCs/>
      <w:kern w:val="0"/>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27">
    <w:name w:val="Default Paragraph Font"/>
    <w:qFormat/>
    <w:uiPriority w:val="1"/>
  </w:style>
  <w:style w:type="table" w:default="1" w:styleId="25">
    <w:name w:val="Normal Table"/>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style>
  <w:style w:type="paragraph" w:styleId="8">
    <w:name w:val="Document Map"/>
    <w:basedOn w:val="1"/>
    <w:link w:val="43"/>
    <w:qFormat/>
    <w:uiPriority w:val="0"/>
    <w:rPr>
      <w:rFonts w:ascii="宋体"/>
      <w:sz w:val="18"/>
      <w:szCs w:val="18"/>
    </w:rPr>
  </w:style>
  <w:style w:type="paragraph" w:styleId="9">
    <w:name w:val="annotation text"/>
    <w:basedOn w:val="1"/>
    <w:qFormat/>
    <w:uiPriority w:val="0"/>
    <w:pPr>
      <w:jc w:val="left"/>
    </w:pPr>
  </w:style>
  <w:style w:type="paragraph" w:styleId="10">
    <w:name w:val="Body Text 3"/>
    <w:basedOn w:val="1"/>
    <w:qFormat/>
    <w:uiPriority w:val="0"/>
    <w:pPr>
      <w:spacing w:line="480" w:lineRule="exact"/>
      <w:jc w:val="center"/>
    </w:pPr>
  </w:style>
  <w:style w:type="paragraph" w:styleId="11">
    <w:name w:val="Body Text"/>
    <w:basedOn w:val="1"/>
    <w:next w:val="1"/>
    <w:qFormat/>
    <w:uiPriority w:val="0"/>
    <w:pPr>
      <w:spacing w:after="120"/>
    </w:pPr>
    <w:rPr>
      <w:sz w:val="28"/>
      <w:szCs w:val="20"/>
    </w:rPr>
  </w:style>
  <w:style w:type="paragraph" w:styleId="12">
    <w:name w:val="Body Text Indent"/>
    <w:basedOn w:val="1"/>
    <w:next w:val="13"/>
    <w:qFormat/>
    <w:uiPriority w:val="0"/>
    <w:pPr>
      <w:spacing w:after="120"/>
      <w:ind w:left="420" w:leftChars="200"/>
    </w:pPr>
  </w:style>
  <w:style w:type="paragraph" w:styleId="13">
    <w:name w:val="Body Text First Indent 2"/>
    <w:basedOn w:val="12"/>
    <w:next w:val="14"/>
    <w:qFormat/>
    <w:uiPriority w:val="0"/>
    <w:pPr>
      <w:ind w:firstLine="420" w:firstLineChars="200"/>
    </w:pPr>
  </w:style>
  <w:style w:type="paragraph" w:customStyle="1" w:styleId="14">
    <w:name w:val="正文1"/>
    <w:basedOn w:val="15"/>
    <w:next w:val="1"/>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正文2"/>
    <w:autoRedefine/>
    <w:qFormat/>
    <w:uiPriority w:val="0"/>
    <w:pPr>
      <w:widowControl w:val="0"/>
      <w:jc w:val="both"/>
    </w:pPr>
    <w:rPr>
      <w:rFonts w:ascii="Calibri" w:hAnsi="Calibri" w:eastAsia="宋体" w:cs="Times New Roman"/>
      <w:kern w:val="2"/>
      <w:sz w:val="21"/>
      <w:szCs w:val="24"/>
      <w:lang w:val="en-US" w:eastAsia="zh-CN" w:bidi="ar-SA"/>
    </w:rPr>
  </w:style>
  <w:style w:type="paragraph" w:styleId="16">
    <w:name w:val="Plain Text"/>
    <w:basedOn w:val="1"/>
    <w:next w:val="1"/>
    <w:qFormat/>
    <w:uiPriority w:val="0"/>
    <w:rPr>
      <w:rFonts w:ascii="宋体" w:hAnsi="Courier New"/>
      <w:color w:val="000000"/>
      <w:szCs w:val="20"/>
    </w:rPr>
  </w:style>
  <w:style w:type="paragraph" w:styleId="17">
    <w:name w:val="footer"/>
    <w:basedOn w:val="1"/>
    <w:qFormat/>
    <w:uiPriority w:val="0"/>
    <w:pPr>
      <w:tabs>
        <w:tab w:val="center" w:pos="4153"/>
        <w:tab w:val="right" w:pos="8306"/>
      </w:tabs>
      <w:snapToGrid w:val="0"/>
      <w:jc w:val="left"/>
    </w:pPr>
    <w:rPr>
      <w:sz w:val="18"/>
    </w:rPr>
  </w:style>
  <w:style w:type="paragraph" w:styleId="18">
    <w:name w:val="envelope return"/>
    <w:basedOn w:val="1"/>
    <w:qFormat/>
    <w:uiPriority w:val="0"/>
    <w:pPr>
      <w:snapToGrid w:val="0"/>
    </w:pPr>
    <w:rPr>
      <w:rFonts w:ascii="Arial" w:hAnsi="Arial"/>
    </w:rPr>
  </w:style>
  <w:style w:type="paragraph" w:styleId="1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0">
    <w:name w:val="toc 1"/>
    <w:basedOn w:val="1"/>
    <w:next w:val="1"/>
    <w:qFormat/>
    <w:uiPriority w:val="0"/>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Title"/>
    <w:basedOn w:val="1"/>
    <w:next w:val="1"/>
    <w:qFormat/>
    <w:uiPriority w:val="0"/>
    <w:pPr>
      <w:spacing w:before="240" w:after="60"/>
      <w:jc w:val="center"/>
      <w:outlineLvl w:val="0"/>
    </w:pPr>
    <w:rPr>
      <w:rFonts w:ascii="Cambria" w:hAnsi="Cambria"/>
      <w:b/>
      <w:bCs/>
      <w:sz w:val="32"/>
      <w:szCs w:val="32"/>
    </w:rPr>
  </w:style>
  <w:style w:type="paragraph" w:styleId="24">
    <w:name w:val="Body Text First Indent"/>
    <w:basedOn w:val="11"/>
    <w:next w:val="1"/>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22"/>
    <w:rPr>
      <w:b/>
      <w:bCs/>
    </w:rPr>
  </w:style>
  <w:style w:type="character" w:styleId="29">
    <w:name w:val="FollowedHyperlink"/>
    <w:basedOn w:val="27"/>
    <w:qFormat/>
    <w:uiPriority w:val="0"/>
    <w:rPr>
      <w:color w:val="337AB7"/>
      <w:u w:val="single"/>
    </w:rPr>
  </w:style>
  <w:style w:type="character" w:styleId="30">
    <w:name w:val="Emphasis"/>
    <w:basedOn w:val="27"/>
    <w:qFormat/>
    <w:uiPriority w:val="0"/>
  </w:style>
  <w:style w:type="character" w:styleId="31">
    <w:name w:val="HTML Definition"/>
    <w:basedOn w:val="27"/>
    <w:qFormat/>
    <w:uiPriority w:val="0"/>
    <w:rPr>
      <w:i/>
      <w:iCs/>
    </w:rPr>
  </w:style>
  <w:style w:type="character" w:styleId="32">
    <w:name w:val="Hyperlink"/>
    <w:basedOn w:val="27"/>
    <w:qFormat/>
    <w:uiPriority w:val="0"/>
    <w:rPr>
      <w:color w:val="337AB7"/>
      <w:u w:val="single"/>
    </w:rPr>
  </w:style>
  <w:style w:type="character" w:styleId="33">
    <w:name w:val="HTML Code"/>
    <w:basedOn w:val="27"/>
    <w:qFormat/>
    <w:uiPriority w:val="0"/>
    <w:rPr>
      <w:rFonts w:hint="default" w:ascii="Consolas" w:hAnsi="Consolas" w:eastAsia="Consolas" w:cs="Consolas"/>
      <w:color w:val="C7254E"/>
      <w:sz w:val="21"/>
      <w:szCs w:val="21"/>
      <w:shd w:val="clear" w:color="auto" w:fill="F9F2F4"/>
    </w:rPr>
  </w:style>
  <w:style w:type="character" w:styleId="34">
    <w:name w:val="HTML Keyboard"/>
    <w:basedOn w:val="27"/>
    <w:qFormat/>
    <w:uiPriority w:val="0"/>
    <w:rPr>
      <w:rFonts w:ascii="Consolas" w:hAnsi="Consolas" w:eastAsia="Consolas" w:cs="Consolas"/>
      <w:color w:val="FFFFFF"/>
      <w:sz w:val="21"/>
      <w:szCs w:val="21"/>
      <w:shd w:val="clear" w:color="auto" w:fill="333333"/>
    </w:rPr>
  </w:style>
  <w:style w:type="character" w:styleId="35">
    <w:name w:val="HTML Sample"/>
    <w:basedOn w:val="27"/>
    <w:qFormat/>
    <w:uiPriority w:val="0"/>
    <w:rPr>
      <w:rFonts w:hint="default" w:ascii="Consolas" w:hAnsi="Consolas" w:eastAsia="Consolas" w:cs="Consolas"/>
      <w:sz w:val="21"/>
      <w:szCs w:val="21"/>
    </w:rPr>
  </w:style>
  <w:style w:type="paragraph" w:customStyle="1" w:styleId="36">
    <w:name w:val="一级条标题"/>
    <w:basedOn w:val="37"/>
    <w:next w:val="38"/>
    <w:qFormat/>
    <w:uiPriority w:val="99"/>
    <w:pPr>
      <w:spacing w:line="240" w:lineRule="auto"/>
      <w:ind w:left="420"/>
      <w:outlineLvl w:val="2"/>
    </w:pPr>
  </w:style>
  <w:style w:type="paragraph" w:customStyle="1" w:styleId="37">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8">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9">
    <w:name w:val="正文首行缩进 21"/>
    <w:basedOn w:val="40"/>
    <w:qFormat/>
    <w:uiPriority w:val="0"/>
    <w:pPr>
      <w:widowControl/>
      <w:overflowPunct w:val="0"/>
      <w:autoSpaceDE w:val="0"/>
      <w:autoSpaceDN w:val="0"/>
      <w:adjustRightInd w:val="0"/>
      <w:spacing w:line="360" w:lineRule="auto"/>
      <w:ind w:left="0" w:leftChars="0" w:firstLine="420" w:firstLineChars="200"/>
      <w:textAlignment w:val="baseline"/>
    </w:pPr>
    <w:rPr>
      <w:rFonts w:ascii="宋体" w:hAnsi="MS Sans Serif"/>
      <w:spacing w:val="12"/>
      <w:kern w:val="0"/>
      <w:sz w:val="24"/>
      <w:szCs w:val="20"/>
    </w:rPr>
  </w:style>
  <w:style w:type="paragraph" w:customStyle="1" w:styleId="40">
    <w:name w:val="正文文本缩进1"/>
    <w:basedOn w:val="1"/>
    <w:qFormat/>
    <w:uiPriority w:val="0"/>
    <w:pPr>
      <w:ind w:left="420" w:leftChars="200"/>
    </w:pPr>
  </w:style>
  <w:style w:type="paragraph" w:customStyle="1" w:styleId="4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42">
    <w:name w:val="Body Text Indent 21"/>
    <w:basedOn w:val="1"/>
    <w:qFormat/>
    <w:uiPriority w:val="0"/>
    <w:pPr>
      <w:spacing w:line="60" w:lineRule="auto"/>
      <w:ind w:firstLine="128" w:firstLineChars="128"/>
    </w:pPr>
    <w:rPr>
      <w:rFonts w:ascii="仿宋_GB2312" w:eastAsia="仿宋_GB2312"/>
      <w:kern w:val="0"/>
      <w:sz w:val="24"/>
    </w:rPr>
  </w:style>
  <w:style w:type="character" w:customStyle="1" w:styleId="43">
    <w:name w:val="文档结构图 Char"/>
    <w:basedOn w:val="27"/>
    <w:link w:val="8"/>
    <w:qFormat/>
    <w:uiPriority w:val="0"/>
    <w:rPr>
      <w:rFonts w:ascii="宋体" w:hAnsi="Calibri"/>
      <w:kern w:val="2"/>
      <w:sz w:val="18"/>
      <w:szCs w:val="18"/>
    </w:rPr>
  </w:style>
  <w:style w:type="character" w:customStyle="1" w:styleId="44">
    <w:name w:val="标题 2 Char"/>
    <w:link w:val="3"/>
    <w:qFormat/>
    <w:uiPriority w:val="0"/>
    <w:rPr>
      <w:rFonts w:ascii="Arial" w:hAnsi="Arial"/>
      <w:b/>
      <w:bCs/>
      <w:kern w:val="0"/>
      <w:sz w:val="32"/>
      <w:szCs w:val="32"/>
    </w:rPr>
  </w:style>
  <w:style w:type="character" w:customStyle="1" w:styleId="45">
    <w:name w:val="标题 3 Char"/>
    <w:link w:val="4"/>
    <w:qFormat/>
    <w:uiPriority w:val="0"/>
    <w:rPr>
      <w:rFonts w:ascii="宋体"/>
      <w:b/>
      <w:bCs/>
      <w:kern w:val="0"/>
      <w:sz w:val="32"/>
      <w:szCs w:val="32"/>
    </w:rPr>
  </w:style>
  <w:style w:type="paragraph" w:customStyle="1" w:styleId="46">
    <w:name w:val="3"/>
    <w:basedOn w:val="1"/>
    <w:next w:val="12"/>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customStyle="1" w:styleId="47">
    <w:name w:val="WPSOffice手动目录 1"/>
    <w:qFormat/>
    <w:uiPriority w:val="0"/>
    <w:rPr>
      <w:rFonts w:ascii="Times New Roman" w:hAnsi="Times New Roman" w:eastAsia="宋体" w:cs="Times New Roman"/>
      <w:lang w:val="en-US" w:eastAsia="zh-CN" w:bidi="ar-SA"/>
    </w:rPr>
  </w:style>
  <w:style w:type="paragraph" w:customStyle="1" w:styleId="48">
    <w:name w:val="样式1"/>
    <w:basedOn w:val="1"/>
    <w:qFormat/>
    <w:uiPriority w:val="0"/>
    <w:pPr>
      <w:numPr>
        <w:ilvl w:val="0"/>
        <w:numId w:val="1"/>
      </w:numPr>
      <w:adjustRightInd w:val="0"/>
      <w:textAlignment w:val="baseline"/>
    </w:pPr>
    <w:rPr>
      <w:rFonts w:ascii="宋体" w:hAnsi="宋体"/>
      <w:kern w:val="0"/>
      <w:szCs w:val="21"/>
    </w:rPr>
  </w:style>
  <w:style w:type="paragraph" w:customStyle="1" w:styleId="49">
    <w:name w:val="Normal_1"/>
    <w:qFormat/>
    <w:uiPriority w:val="0"/>
    <w:pPr>
      <w:widowControl w:val="0"/>
      <w:jc w:val="both"/>
    </w:pPr>
    <w:rPr>
      <w:rFonts w:ascii="Times New Roman" w:hAnsi="Times New Roman" w:eastAsia="宋体" w:cs="Times New Roman"/>
      <w:lang w:val="en-US" w:eastAsia="zh-CN" w:bidi="ar-SA"/>
    </w:rPr>
  </w:style>
  <w:style w:type="paragraph" w:customStyle="1" w:styleId="50">
    <w:name w:val="无间隔1"/>
    <w:qFormat/>
    <w:uiPriority w:val="0"/>
    <w:pPr>
      <w:adjustRightInd w:val="0"/>
      <w:snapToGrid w:val="0"/>
    </w:pPr>
    <w:rPr>
      <w:rFonts w:ascii="Tahoma" w:hAnsi="Tahoma" w:eastAsia="微软雅黑" w:cs="Times New Roman"/>
      <w:sz w:val="22"/>
      <w:szCs w:val="22"/>
      <w:lang w:val="en-US" w:eastAsia="zh-CN" w:bidi="ar-SA"/>
    </w:rPr>
  </w:style>
  <w:style w:type="paragraph" w:customStyle="1" w:styleId="51">
    <w:name w:val="附件样式"/>
    <w:basedOn w:val="1"/>
    <w:qFormat/>
    <w:uiPriority w:val="0"/>
    <w:rPr>
      <w:sz w:val="28"/>
    </w:rPr>
  </w:style>
  <w:style w:type="paragraph" w:customStyle="1" w:styleId="5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
    <w:name w:val="Heading 5"/>
    <w:basedOn w:val="1"/>
    <w:qFormat/>
    <w:uiPriority w:val="1"/>
    <w:pPr>
      <w:spacing w:before="26"/>
      <w:ind w:left="254"/>
      <w:jc w:val="left"/>
      <w:outlineLvl w:val="5"/>
    </w:pPr>
    <w:rPr>
      <w:rFonts w:ascii="宋体" w:hAnsi="宋体"/>
      <w:b/>
      <w:bCs/>
      <w:kern w:val="0"/>
      <w:sz w:val="24"/>
      <w:lang w:eastAsia="en-US"/>
    </w:rPr>
  </w:style>
  <w:style w:type="paragraph" w:styleId="54">
    <w:name w:val="List Paragraph"/>
    <w:basedOn w:val="1"/>
    <w:qFormat/>
    <w:uiPriority w:val="99"/>
    <w:pPr>
      <w:ind w:firstLine="420" w:firstLineChars="200"/>
    </w:pPr>
  </w:style>
  <w:style w:type="paragraph" w:customStyle="1" w:styleId="55">
    <w:name w:val="Normal_0"/>
    <w:basedOn w:val="14"/>
    <w:qFormat/>
    <w:uiPriority w:val="0"/>
    <w:pPr>
      <w:widowControl w:val="0"/>
      <w:jc w:val="both"/>
    </w:pPr>
    <w:rPr>
      <w:rFonts w:ascii="Calibri" w:hAnsi="Calibri" w:eastAsia="宋体" w:cs="Times New Roman"/>
      <w:kern w:val="2"/>
      <w:sz w:val="21"/>
      <w:szCs w:val="24"/>
      <w:lang w:val="en-US" w:eastAsia="zh-CN" w:bidi="ar-SA"/>
    </w:rPr>
  </w:style>
  <w:style w:type="paragraph" w:customStyle="1" w:styleId="56">
    <w:name w:val="Heading 3_0"/>
    <w:basedOn w:val="55"/>
    <w:next w:val="57"/>
    <w:qFormat/>
    <w:uiPriority w:val="0"/>
    <w:pPr>
      <w:keepNext/>
      <w:keepLines/>
      <w:widowControl/>
      <w:numPr>
        <w:ilvl w:val="2"/>
        <w:numId w:val="2"/>
      </w:numPr>
      <w:tabs>
        <w:tab w:val="clear" w:pos="720"/>
      </w:tabs>
      <w:spacing w:before="120" w:after="120" w:line="360" w:lineRule="auto"/>
      <w:jc w:val="center"/>
      <w:outlineLvl w:val="2"/>
    </w:pPr>
    <w:rPr>
      <w:b/>
      <w:sz w:val="32"/>
    </w:rPr>
  </w:style>
  <w:style w:type="paragraph" w:customStyle="1" w:styleId="57">
    <w:name w:val="Normal Indent_0"/>
    <w:basedOn w:val="55"/>
    <w:qFormat/>
    <w:uiPriority w:val="0"/>
    <w:pPr>
      <w:ind w:firstLine="420" w:firstLineChars="200"/>
    </w:pPr>
  </w:style>
  <w:style w:type="paragraph" w:customStyle="1" w:styleId="58">
    <w:name w:val="Heading 4_0"/>
    <w:basedOn w:val="55"/>
    <w:qFormat/>
    <w:uiPriority w:val="0"/>
    <w:pPr>
      <w:keepNext/>
      <w:keepLines/>
      <w:spacing w:before="280" w:after="290" w:line="376" w:lineRule="auto"/>
      <w:outlineLvl w:val="3"/>
    </w:pPr>
    <w:rPr>
      <w:rFonts w:ascii="Arial" w:hAnsi="Arial" w:eastAsia="黑体"/>
      <w:b/>
      <w:bCs/>
      <w:sz w:val="28"/>
      <w:szCs w:val="28"/>
    </w:rPr>
  </w:style>
  <w:style w:type="paragraph" w:customStyle="1" w:styleId="59">
    <w:name w:val="Normal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0">
    <w:name w:val="hour_am"/>
    <w:basedOn w:val="27"/>
    <w:qFormat/>
    <w:uiPriority w:val="0"/>
  </w:style>
  <w:style w:type="character" w:customStyle="1" w:styleId="61">
    <w:name w:val="old"/>
    <w:basedOn w:val="27"/>
    <w:qFormat/>
    <w:uiPriority w:val="0"/>
    <w:rPr>
      <w:color w:val="999999"/>
    </w:rPr>
  </w:style>
  <w:style w:type="character" w:customStyle="1" w:styleId="62">
    <w:name w:val="icon"/>
    <w:basedOn w:val="27"/>
    <w:qFormat/>
    <w:uiPriority w:val="0"/>
  </w:style>
  <w:style w:type="character" w:customStyle="1" w:styleId="63">
    <w:name w:val="hover1"/>
    <w:basedOn w:val="27"/>
    <w:qFormat/>
    <w:uiPriority w:val="0"/>
    <w:rPr>
      <w:shd w:val="clear" w:color="auto" w:fill="EEEEEE"/>
    </w:rPr>
  </w:style>
  <w:style w:type="character" w:customStyle="1" w:styleId="64">
    <w:name w:val="glyphicon6"/>
    <w:basedOn w:val="27"/>
    <w:qFormat/>
    <w:uiPriority w:val="0"/>
  </w:style>
  <w:style w:type="character" w:customStyle="1" w:styleId="65">
    <w:name w:val="hour_pm"/>
    <w:basedOn w:val="27"/>
    <w:qFormat/>
    <w:uiPriority w:val="0"/>
  </w:style>
  <w:style w:type="character" w:customStyle="1" w:styleId="66">
    <w:name w:val="indent"/>
    <w:basedOn w:val="27"/>
    <w:qFormat/>
    <w:uiPriority w:val="0"/>
  </w:style>
  <w:style w:type="character" w:customStyle="1" w:styleId="67">
    <w:name w:val="displayarti"/>
    <w:basedOn w:val="27"/>
    <w:qFormat/>
    <w:uiPriority w:val="0"/>
    <w:rPr>
      <w:color w:val="FFFFFF"/>
      <w:shd w:val="clear" w:color="auto" w:fill="A00000"/>
    </w:rPr>
  </w:style>
  <w:style w:type="paragraph" w:customStyle="1" w:styleId="68">
    <w:name w:val="_Style 55"/>
    <w:basedOn w:val="1"/>
    <w:next w:val="1"/>
    <w:qFormat/>
    <w:uiPriority w:val="0"/>
    <w:pPr>
      <w:pBdr>
        <w:bottom w:val="single" w:color="auto" w:sz="6" w:space="1"/>
      </w:pBdr>
      <w:jc w:val="center"/>
    </w:pPr>
    <w:rPr>
      <w:rFonts w:ascii="Arial" w:eastAsia="宋体"/>
      <w:vanish/>
      <w:sz w:val="16"/>
    </w:rPr>
  </w:style>
  <w:style w:type="paragraph" w:customStyle="1" w:styleId="69">
    <w:name w:val="_Style 56"/>
    <w:basedOn w:val="1"/>
    <w:next w:val="1"/>
    <w:qFormat/>
    <w:uiPriority w:val="0"/>
    <w:pPr>
      <w:pBdr>
        <w:top w:val="single" w:color="auto" w:sz="6" w:space="1"/>
      </w:pBdr>
      <w:jc w:val="center"/>
    </w:pPr>
    <w:rPr>
      <w:rFonts w:ascii="Arial" w:eastAsia="宋体"/>
      <w:vanish/>
      <w:sz w:val="16"/>
    </w:rPr>
  </w:style>
  <w:style w:type="character" w:customStyle="1" w:styleId="70">
    <w:name w:val="hover4"/>
    <w:basedOn w:val="27"/>
    <w:qFormat/>
    <w:uiPriority w:val="0"/>
    <w:rPr>
      <w:color w:val="999999"/>
    </w:rPr>
  </w:style>
  <w:style w:type="paragraph" w:customStyle="1" w:styleId="71">
    <w:name w:val="Table Paragraph"/>
    <w:basedOn w:val="1"/>
    <w:qFormat/>
    <w:uiPriority w:val="1"/>
    <w:rPr>
      <w:rFonts w:ascii="宋体" w:hAnsi="宋体" w:eastAsia="宋体" w:cs="宋体"/>
      <w:lang w:val="zh-CN" w:eastAsia="zh-CN" w:bidi="zh-CN"/>
    </w:rPr>
  </w:style>
  <w:style w:type="paragraph" w:customStyle="1" w:styleId="72">
    <w:name w:val="图表目录1"/>
    <w:basedOn w:val="73"/>
    <w:next w:val="1"/>
    <w:qFormat/>
    <w:uiPriority w:val="0"/>
    <w:pPr>
      <w:ind w:left="200" w:leftChars="200" w:hanging="200" w:hangingChars="200"/>
    </w:p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
    <w:qFormat/>
    <w:uiPriority w:val="0"/>
    <w:pPr>
      <w:widowControl w:val="0"/>
      <w:jc w:val="both"/>
    </w:pPr>
    <w:rPr>
      <w:rFonts w:ascii="Calibri" w:hAnsi="Calibri" w:eastAsia="宋体" w:cs="黑体"/>
      <w:kern w:val="2"/>
      <w:sz w:val="21"/>
      <w:szCs w:val="24"/>
      <w:lang w:val="en-US" w:eastAsia="zh-CN" w:bidi="ar-SA"/>
    </w:rPr>
  </w:style>
  <w:style w:type="paragraph" w:customStyle="1" w:styleId="74">
    <w:name w:val="_Style 7"/>
    <w:basedOn w:val="2"/>
    <w:next w:val="1"/>
    <w:qFormat/>
    <w:uiPriority w:val="0"/>
    <w:pPr>
      <w:outlineLvl w:val="9"/>
    </w:pPr>
  </w:style>
  <w:style w:type="paragraph" w:customStyle="1" w:styleId="75">
    <w:name w:val="Blockquote"/>
    <w:basedOn w:val="1"/>
    <w:qFormat/>
    <w:uiPriority w:val="0"/>
    <w:pPr>
      <w:autoSpaceDE w:val="0"/>
      <w:autoSpaceDN w:val="0"/>
      <w:adjustRightInd w:val="0"/>
      <w:spacing w:before="100" w:after="100"/>
      <w:ind w:left="360" w:right="360"/>
      <w:jc w:val="left"/>
    </w:pPr>
    <w:rPr>
      <w:kern w:val="0"/>
      <w:position w:val="-6"/>
      <w:sz w:val="24"/>
    </w:rPr>
  </w:style>
  <w:style w:type="paragraph" w:customStyle="1" w:styleId="76">
    <w:name w:val="_Style 33"/>
    <w:basedOn w:val="1"/>
    <w:next w:val="11"/>
    <w:qFormat/>
    <w:uiPriority w:val="0"/>
    <w:pPr>
      <w:adjustRightInd w:val="0"/>
      <w:spacing w:line="440" w:lineRule="exact"/>
    </w:pPr>
    <w:rPr>
      <w:rFonts w:ascii="宋体" w:hAnsi="宋体"/>
      <w:bCs/>
      <w:color w:val="000000"/>
      <w:sz w:val="24"/>
      <w:szCs w:val="20"/>
    </w:rPr>
  </w:style>
  <w:style w:type="paragraph" w:customStyle="1" w:styleId="77">
    <w:name w:val="批注文字1"/>
    <w:basedOn w:val="14"/>
    <w:autoRedefine/>
    <w:qFormat/>
    <w:uiPriority w:val="0"/>
    <w:pPr>
      <w:jc w:val="left"/>
    </w:pPr>
    <w:rPr>
      <w:kern w:val="0"/>
      <w:sz w:val="20"/>
    </w:rPr>
  </w:style>
  <w:style w:type="paragraph" w:customStyle="1" w:styleId="78">
    <w:name w:val="正文11"/>
    <w:basedOn w:val="14"/>
    <w:autoRedefine/>
    <w:qFormat/>
    <w:uiPriority w:val="0"/>
  </w:style>
  <w:style w:type="paragraph" w:customStyle="1" w:styleId="79">
    <w:name w:val="Body Text_0"/>
    <w:basedOn w:val="55"/>
    <w:autoRedefine/>
    <w:qFormat/>
    <w:uiPriority w:val="0"/>
    <w:pPr>
      <w:adjustRightInd w:val="0"/>
      <w:spacing w:after="60" w:line="360" w:lineRule="atLeast"/>
      <w:ind w:left="72" w:leftChars="30" w:right="30" w:rightChars="30"/>
      <w:jc w:val="center"/>
    </w:pPr>
  </w:style>
  <w:style w:type="paragraph" w:customStyle="1" w:styleId="80">
    <w:name w:val="框架内容"/>
    <w:basedOn w:val="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5.wmf"/><Relationship Id="rId26" Type="http://schemas.openxmlformats.org/officeDocument/2006/relationships/oleObject" Target="embeddings/oleObject5.bin"/><Relationship Id="rId25" Type="http://schemas.openxmlformats.org/officeDocument/2006/relationships/image" Target="media/image4.wmf"/><Relationship Id="rId24" Type="http://schemas.openxmlformats.org/officeDocument/2006/relationships/oleObject" Target="embeddings/oleObject4.bin"/><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166</Pages>
  <Words>99292</Words>
  <Characters>105496</Characters>
  <Paragraphs>3468</Paragraphs>
  <TotalTime>564</TotalTime>
  <ScaleCrop>false</ScaleCrop>
  <LinksUpToDate>false</LinksUpToDate>
  <CharactersWithSpaces>112564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2019-10-22T01:08:00Z</dcterms:created>
  <dc:creator>Administrator</dc:creator>
  <cp:lastModifiedBy>翱    翔（35106）</cp:lastModifiedBy>
  <cp:lastPrinted>2025-11-14T07:17:00Z</cp:lastPrinted>
  <dcterms:modified xsi:type="dcterms:W3CDTF">2026-05-07T04:09:13Z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D3F0CF4734884197808FB976A12966BC_13</vt:lpwstr>
  </property>
  <property fmtid="{D5CDD505-2E9C-101B-9397-08002B2CF9AE}" pid="4" name="KSOTemplateDocerSaveRecord">
    <vt:lpwstr>eyJoZGlkIjoiODgyNTlkYTJhMzU5YjdkZjcyMGYxN2M4MTUwYWFkM2EiLCJ1c2VySWQiOiIyMjk0ODU5NzQifQ==</vt:lpwstr>
  </property>
</Properties>
</file>