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4C7E7">
      <w:pPr>
        <w:kinsoku w:val="0"/>
        <w:overflowPunct w:val="0"/>
        <w:adjustRightInd w:val="0"/>
        <w:jc w:val="center"/>
        <w:rPr>
          <w:rFonts w:hint="eastAsia" w:ascii="宋体" w:hAnsi="宋体" w:eastAsia="宋体" w:cs="宋体"/>
          <w:b/>
          <w:spacing w:val="2"/>
          <w:sz w:val="44"/>
          <w:szCs w:val="44"/>
          <w:highlight w:val="none"/>
          <w:lang w:val="en-US" w:bidi="ar-SA"/>
          <w14:shadow w14:blurRad="50800" w14:dist="38100" w14:dir="2700000" w14:sx="100000" w14:sy="100000" w14:kx="0" w14:ky="0" w14:algn="tl">
            <w14:srgbClr w14:val="000000">
              <w14:alpha w14:val="60000"/>
            </w14:srgbClr>
          </w14:shadow>
        </w:rPr>
      </w:pPr>
    </w:p>
    <w:p w14:paraId="579072ED">
      <w:pPr>
        <w:kinsoku w:val="0"/>
        <w:overflowPunct w:val="0"/>
        <w:adjustRightInd w:val="0"/>
        <w:jc w:val="center"/>
        <w:rPr>
          <w:rFonts w:hint="eastAsia" w:ascii="宋体" w:hAnsi="宋体" w:eastAsia="宋体" w:cs="宋体"/>
          <w:b/>
          <w:spacing w:val="2"/>
          <w:sz w:val="44"/>
          <w:szCs w:val="44"/>
          <w:highlight w:val="none"/>
          <w:lang w:val="en-US" w:bidi="ar-SA"/>
          <w14:shadow w14:blurRad="50800" w14:dist="38100" w14:dir="2700000" w14:sx="100000" w14:sy="100000" w14:kx="0" w14:ky="0" w14:algn="tl">
            <w14:srgbClr w14:val="000000">
              <w14:alpha w14:val="60000"/>
            </w14:srgbClr>
          </w14:shadow>
        </w:rPr>
      </w:pPr>
      <w:r>
        <w:rPr>
          <w:rFonts w:hint="eastAsia" w:cs="宋体"/>
          <w:b/>
          <w:spacing w:val="2"/>
          <w:sz w:val="44"/>
          <w:szCs w:val="44"/>
          <w:highlight w:val="none"/>
          <w:lang w:val="en-US" w:eastAsia="zh-CN" w:bidi="ar-SA"/>
          <w14:shadow w14:blurRad="50800" w14:dist="38100" w14:dir="2700000" w14:sx="100000" w14:sy="100000" w14:kx="0" w14:ky="0" w14:algn="tl">
            <w14:srgbClr w14:val="000000">
              <w14:alpha w14:val="60000"/>
            </w14:srgbClr>
          </w14:shadow>
        </w:rPr>
        <w:t>叶城县洛克乡2026年交通基础设施提升改造以工代赈项目</w:t>
      </w:r>
    </w:p>
    <w:p w14:paraId="7287B432">
      <w:pPr>
        <w:kinsoku w:val="0"/>
        <w:overflowPunct w:val="0"/>
        <w:adjustRightInd w:val="0"/>
        <w:spacing w:before="6"/>
        <w:jc w:val="center"/>
        <w:rPr>
          <w:rFonts w:hint="eastAsia" w:ascii="宋体" w:hAnsi="宋体" w:eastAsia="宋体" w:cs="宋体"/>
          <w:b/>
          <w:sz w:val="94"/>
          <w:szCs w:val="24"/>
          <w:highlight w:val="none"/>
          <w:lang w:val="en-US" w:bidi="ar-SA"/>
        </w:rPr>
      </w:pPr>
    </w:p>
    <w:p w14:paraId="125919CF">
      <w:pPr>
        <w:kinsoku w:val="0"/>
        <w:overflowPunct w:val="0"/>
        <w:adjustRightInd w:val="0"/>
        <w:spacing w:before="6"/>
        <w:jc w:val="center"/>
        <w:rPr>
          <w:rFonts w:hint="eastAsia" w:ascii="宋体" w:hAnsi="宋体" w:eastAsia="宋体" w:cs="宋体"/>
          <w:b/>
          <w:sz w:val="94"/>
          <w:szCs w:val="24"/>
          <w:highlight w:val="none"/>
          <w:lang w:val="en-US" w:bidi="ar-SA"/>
        </w:rPr>
      </w:pPr>
      <w:r>
        <w:rPr>
          <w:rFonts w:hint="eastAsia" w:ascii="宋体" w:hAnsi="宋体" w:eastAsia="宋体" w:cs="宋体"/>
          <w:b/>
          <w:sz w:val="94"/>
          <w:szCs w:val="24"/>
          <w:highlight w:val="none"/>
          <w:lang w:val="en-US" w:bidi="ar-SA"/>
        </w:rPr>
        <w:t xml:space="preserve"> </w:t>
      </w:r>
    </w:p>
    <w:p w14:paraId="3A9A7533">
      <w:pPr>
        <w:kinsoku w:val="0"/>
        <w:overflowPunct w:val="0"/>
        <w:adjustRightInd w:val="0"/>
        <w:ind w:right="0" w:rightChars="0"/>
        <w:jc w:val="center"/>
        <w:rPr>
          <w:rFonts w:hint="eastAsia" w:ascii="宋体" w:hAnsi="宋体" w:eastAsia="宋体" w:cs="宋体"/>
          <w:sz w:val="40"/>
          <w:szCs w:val="16"/>
          <w:highlight w:val="none"/>
          <w:lang w:val="en-US" w:bidi="ar-SA"/>
        </w:rPr>
      </w:pPr>
      <w:r>
        <w:rPr>
          <w:rFonts w:hint="eastAsia" w:ascii="宋体" w:hAnsi="宋体" w:eastAsia="宋体" w:cs="宋体"/>
          <w:b/>
          <w:spacing w:val="2"/>
          <w:sz w:val="40"/>
          <w:szCs w:val="16"/>
          <w:highlight w:val="none"/>
          <w:lang w:val="en-US" w:bidi="ar-SA"/>
          <w14:shadow w14:blurRad="50800" w14:dist="38100" w14:dir="2700000" w14:sx="100000" w14:sy="100000" w14:kx="0" w14:ky="0" w14:algn="tl">
            <w14:srgbClr w14:val="000000">
              <w14:alpha w14:val="60000"/>
            </w14:srgbClr>
          </w14:shadow>
        </w:rPr>
        <w:t>竞争</w:t>
      </w:r>
      <w:r>
        <w:rPr>
          <w:rFonts w:hint="eastAsia" w:ascii="宋体" w:hAnsi="宋体" w:eastAsia="宋体" w:cs="宋体"/>
          <w:b/>
          <w:spacing w:val="4"/>
          <w:sz w:val="40"/>
          <w:szCs w:val="16"/>
          <w:highlight w:val="none"/>
          <w:lang w:val="en-US" w:bidi="ar-SA"/>
          <w14:shadow w14:blurRad="50800" w14:dist="38100" w14:dir="2700000" w14:sx="100000" w14:sy="100000" w14:kx="0" w14:ky="0" w14:algn="tl">
            <w14:srgbClr w14:val="000000">
              <w14:alpha w14:val="60000"/>
            </w14:srgbClr>
          </w14:shadow>
        </w:rPr>
        <w:t>性</w:t>
      </w:r>
      <w:r>
        <w:rPr>
          <w:rFonts w:hint="eastAsia" w:ascii="宋体" w:hAnsi="宋体" w:eastAsia="宋体" w:cs="宋体"/>
          <w:b/>
          <w:spacing w:val="2"/>
          <w:sz w:val="40"/>
          <w:szCs w:val="16"/>
          <w:highlight w:val="none"/>
          <w:lang w:val="en-US" w:bidi="ar-SA"/>
          <w14:shadow w14:blurRad="50800" w14:dist="38100" w14:dir="2700000" w14:sx="100000" w14:sy="100000" w14:kx="0" w14:ky="0" w14:algn="tl">
            <w14:srgbClr w14:val="000000">
              <w14:alpha w14:val="60000"/>
            </w14:srgbClr>
          </w14:shadow>
        </w:rPr>
        <w:t>磋商文</w:t>
      </w:r>
      <w:r>
        <w:rPr>
          <w:rFonts w:hint="eastAsia" w:ascii="宋体" w:hAnsi="宋体" w:eastAsia="宋体" w:cs="宋体"/>
          <w:b/>
          <w:sz w:val="40"/>
          <w:szCs w:val="16"/>
          <w:highlight w:val="none"/>
          <w:lang w:val="en-US" w:bidi="ar-SA"/>
          <w14:shadow w14:blurRad="50800" w14:dist="38100" w14:dir="2700000" w14:sx="100000" w14:sy="100000" w14:kx="0" w14:ky="0" w14:algn="tl">
            <w14:srgbClr w14:val="000000">
              <w14:alpha w14:val="60000"/>
            </w14:srgbClr>
          </w14:shadow>
        </w:rPr>
        <w:t>件</w:t>
      </w:r>
    </w:p>
    <w:p w14:paraId="1B0067B8">
      <w:pPr>
        <w:kinsoku w:val="0"/>
        <w:overflowPunct w:val="0"/>
        <w:adjustRightInd w:val="0"/>
        <w:rPr>
          <w:rFonts w:hint="eastAsia" w:ascii="宋体" w:hAnsi="宋体" w:eastAsia="宋体" w:cs="宋体"/>
          <w:b/>
          <w:sz w:val="30"/>
          <w:szCs w:val="24"/>
          <w:highlight w:val="none"/>
          <w:lang w:val="en-US" w:bidi="ar-SA"/>
        </w:rPr>
      </w:pPr>
    </w:p>
    <w:p w14:paraId="68A97F9D">
      <w:pPr>
        <w:spacing w:before="114" w:line="221" w:lineRule="auto"/>
        <w:jc w:val="center"/>
        <w:rPr>
          <w:rFonts w:hint="eastAsia" w:ascii="宋体" w:hAnsi="宋体" w:eastAsia="宋体" w:cs="宋体"/>
          <w:sz w:val="32"/>
          <w:szCs w:val="32"/>
          <w:highlight w:val="none"/>
          <w:lang w:val="en-US" w:eastAsia="zh-CN"/>
        </w:rPr>
      </w:pPr>
      <w:r>
        <w:rPr>
          <w:rFonts w:hint="eastAsia" w:ascii="宋体" w:hAnsi="宋体" w:eastAsia="宋体" w:cs="宋体"/>
          <w:b/>
          <w:bCs/>
          <w:spacing w:val="-13"/>
          <w:sz w:val="32"/>
          <w:szCs w:val="32"/>
          <w:highlight w:val="none"/>
        </w:rPr>
        <w:t>项目编号：</w:t>
      </w:r>
      <w:r>
        <w:rPr>
          <w:rFonts w:hint="eastAsia" w:cs="宋体"/>
          <w:b/>
          <w:bCs/>
          <w:spacing w:val="-13"/>
          <w:sz w:val="32"/>
          <w:szCs w:val="32"/>
          <w:highlight w:val="none"/>
          <w:lang w:eastAsia="zh-CN"/>
        </w:rPr>
        <w:t>HZY-202616-CS</w:t>
      </w:r>
    </w:p>
    <w:p w14:paraId="5C413541">
      <w:pPr>
        <w:kinsoku w:val="0"/>
        <w:overflowPunct w:val="0"/>
        <w:adjustRightInd w:val="0"/>
        <w:rPr>
          <w:rFonts w:hint="eastAsia" w:ascii="宋体" w:hAnsi="宋体" w:eastAsia="宋体" w:cs="宋体"/>
          <w:b/>
          <w:sz w:val="30"/>
          <w:szCs w:val="24"/>
          <w:highlight w:val="none"/>
          <w:lang w:val="en-US" w:bidi="ar-SA"/>
        </w:rPr>
      </w:pPr>
    </w:p>
    <w:p w14:paraId="211663E2">
      <w:pPr>
        <w:kinsoku w:val="0"/>
        <w:overflowPunct w:val="0"/>
        <w:adjustRightInd w:val="0"/>
        <w:spacing w:line="600" w:lineRule="exact"/>
        <w:ind w:firstLine="2281" w:firstLineChars="800"/>
        <w:rPr>
          <w:rFonts w:hint="eastAsia" w:ascii="宋体" w:hAnsi="宋体" w:eastAsia="宋体" w:cs="宋体"/>
          <w:b/>
          <w:spacing w:val="2"/>
          <w:sz w:val="28"/>
          <w:szCs w:val="24"/>
          <w:highlight w:val="none"/>
          <w:lang w:val="en-US" w:bidi="ar-SA"/>
          <w14:shadow w14:blurRad="50800" w14:dist="38100" w14:dir="2700000" w14:sx="100000" w14:sy="100000" w14:kx="0" w14:ky="0" w14:algn="tl">
            <w14:srgbClr w14:val="000000">
              <w14:alpha w14:val="60000"/>
            </w14:srgbClr>
          </w14:shadow>
        </w:rPr>
      </w:pPr>
    </w:p>
    <w:p w14:paraId="0467F286">
      <w:pPr>
        <w:kinsoku w:val="0"/>
        <w:overflowPunct w:val="0"/>
        <w:adjustRightInd w:val="0"/>
        <w:spacing w:line="600" w:lineRule="exact"/>
        <w:rPr>
          <w:rFonts w:hint="eastAsia" w:ascii="宋体" w:hAnsi="宋体" w:eastAsia="宋体" w:cs="宋体"/>
          <w:b/>
          <w:spacing w:val="2"/>
          <w:sz w:val="28"/>
          <w:szCs w:val="24"/>
          <w:highlight w:val="none"/>
          <w:lang w:val="en-US" w:bidi="ar-SA"/>
          <w14:shadow w14:blurRad="50800" w14:dist="38100" w14:dir="2700000" w14:sx="100000" w14:sy="100000" w14:kx="0" w14:ky="0" w14:algn="tl">
            <w14:srgbClr w14:val="000000">
              <w14:alpha w14:val="60000"/>
            </w14:srgbClr>
          </w14:shadow>
        </w:rPr>
      </w:pPr>
    </w:p>
    <w:p w14:paraId="61D9F600">
      <w:pPr>
        <w:kinsoku w:val="0"/>
        <w:overflowPunct w:val="0"/>
        <w:adjustRightInd w:val="0"/>
        <w:spacing w:line="600" w:lineRule="exact"/>
        <w:ind w:firstLine="1425" w:firstLineChars="500"/>
        <w:rPr>
          <w:rFonts w:hint="eastAsia" w:ascii="宋体" w:hAnsi="宋体" w:eastAsia="宋体" w:cs="宋体"/>
          <w:b/>
          <w:spacing w:val="2"/>
          <w:sz w:val="28"/>
          <w:szCs w:val="24"/>
          <w:highlight w:val="none"/>
          <w:lang w:val="en-US" w:bidi="ar-SA"/>
          <w14:shadow w14:blurRad="50800" w14:dist="38100" w14:dir="2700000" w14:sx="100000" w14:sy="100000" w14:kx="0" w14:ky="0" w14:algn="tl">
            <w14:srgbClr w14:val="000000">
              <w14:alpha w14:val="60000"/>
            </w14:srgbClr>
          </w14:shadow>
        </w:rPr>
      </w:pPr>
    </w:p>
    <w:p w14:paraId="5B66B8F7">
      <w:pPr>
        <w:spacing w:before="114" w:line="360" w:lineRule="auto"/>
        <w:ind w:firstLine="634" w:firstLineChars="200"/>
        <w:rPr>
          <w:rFonts w:hint="eastAsia" w:ascii="宋体" w:hAnsi="宋体" w:eastAsia="宋体" w:cs="宋体"/>
          <w:b/>
          <w:bCs/>
          <w:spacing w:val="18"/>
          <w:sz w:val="28"/>
          <w:szCs w:val="28"/>
          <w:highlight w:val="none"/>
          <w:lang w:val="en-US" w:eastAsia="zh-CN"/>
        </w:rPr>
      </w:pPr>
      <w:r>
        <w:rPr>
          <w:rFonts w:hint="eastAsia" w:ascii="宋体" w:hAnsi="宋体" w:eastAsia="宋体" w:cs="宋体"/>
          <w:b/>
          <w:bCs/>
          <w:spacing w:val="18"/>
          <w:sz w:val="28"/>
          <w:szCs w:val="28"/>
          <w:highlight w:val="none"/>
          <w:lang w:eastAsia="zh-CN"/>
        </w:rPr>
        <w:t>采购单位：</w:t>
      </w:r>
      <w:r>
        <w:rPr>
          <w:rFonts w:hint="eastAsia" w:cs="宋体"/>
          <w:b/>
          <w:bCs/>
          <w:spacing w:val="18"/>
          <w:sz w:val="28"/>
          <w:szCs w:val="28"/>
          <w:highlight w:val="none"/>
          <w:lang w:val="en-US" w:eastAsia="zh-CN"/>
        </w:rPr>
        <w:t>叶城县洛克乡人民政府</w:t>
      </w:r>
    </w:p>
    <w:p w14:paraId="56FCDF77">
      <w:pPr>
        <w:spacing w:before="114" w:line="360" w:lineRule="auto"/>
        <w:ind w:firstLine="634" w:firstLineChars="200"/>
        <w:rPr>
          <w:rFonts w:hint="eastAsia" w:ascii="宋体" w:hAnsi="宋体" w:eastAsia="宋体" w:cs="宋体"/>
          <w:b/>
          <w:bCs/>
          <w:spacing w:val="18"/>
          <w:sz w:val="28"/>
          <w:szCs w:val="28"/>
          <w:highlight w:val="none"/>
          <w:lang w:val="en-US" w:eastAsia="zh-CN"/>
        </w:rPr>
      </w:pPr>
      <w:r>
        <w:rPr>
          <w:rFonts w:hint="eastAsia" w:ascii="宋体" w:hAnsi="宋体" w:eastAsia="宋体" w:cs="宋体"/>
          <w:b/>
          <w:bCs/>
          <w:spacing w:val="18"/>
          <w:sz w:val="28"/>
          <w:szCs w:val="28"/>
          <w:highlight w:val="none"/>
        </w:rPr>
        <w:t>联系人：</w:t>
      </w:r>
      <w:r>
        <w:rPr>
          <w:rFonts w:hint="eastAsia" w:cs="宋体"/>
          <w:b/>
          <w:bCs/>
          <w:spacing w:val="18"/>
          <w:sz w:val="28"/>
          <w:szCs w:val="28"/>
          <w:highlight w:val="none"/>
          <w:lang w:val="en-US" w:eastAsia="zh-CN"/>
        </w:rPr>
        <w:t>宋浩</w:t>
      </w:r>
    </w:p>
    <w:p w14:paraId="3D8CC8FB">
      <w:pPr>
        <w:spacing w:before="114" w:line="360" w:lineRule="auto"/>
        <w:ind w:firstLine="634" w:firstLineChars="200"/>
        <w:rPr>
          <w:rFonts w:hint="eastAsia" w:ascii="宋体" w:hAnsi="宋体" w:eastAsia="宋体" w:cs="宋体"/>
          <w:b/>
          <w:bCs/>
          <w:spacing w:val="18"/>
          <w:sz w:val="28"/>
          <w:szCs w:val="28"/>
          <w:highlight w:val="none"/>
          <w:lang w:val="en-US" w:eastAsia="zh-CN"/>
        </w:rPr>
      </w:pPr>
      <w:r>
        <w:rPr>
          <w:rFonts w:hint="eastAsia" w:ascii="宋体" w:hAnsi="宋体" w:eastAsia="宋体" w:cs="宋体"/>
          <w:b/>
          <w:bCs/>
          <w:spacing w:val="18"/>
          <w:sz w:val="28"/>
          <w:szCs w:val="28"/>
          <w:highlight w:val="none"/>
        </w:rPr>
        <w:t>联系电话：</w:t>
      </w:r>
      <w:r>
        <w:rPr>
          <w:rFonts w:hint="eastAsia" w:cs="宋体"/>
          <w:b/>
          <w:bCs/>
          <w:spacing w:val="18"/>
          <w:sz w:val="28"/>
          <w:szCs w:val="28"/>
          <w:highlight w:val="none"/>
          <w:lang w:val="en-US" w:eastAsia="zh-CN"/>
        </w:rPr>
        <w:t>19915299655</w:t>
      </w:r>
      <w:r>
        <w:rPr>
          <w:rFonts w:hint="eastAsia" w:ascii="宋体" w:hAnsi="宋体" w:eastAsia="宋体" w:cs="宋体"/>
          <w:b/>
          <w:bCs/>
          <w:spacing w:val="18"/>
          <w:sz w:val="28"/>
          <w:szCs w:val="28"/>
          <w:highlight w:val="none"/>
          <w:lang w:val="en-US"/>
        </w:rPr>
        <w:t xml:space="preserve"> </w:t>
      </w:r>
    </w:p>
    <w:p w14:paraId="76511D83">
      <w:pPr>
        <w:pStyle w:val="23"/>
        <w:rPr>
          <w:rFonts w:hint="eastAsia" w:ascii="宋体" w:hAnsi="宋体" w:eastAsia="宋体" w:cs="宋体"/>
          <w:highlight w:val="none"/>
          <w:u w:val="single"/>
          <w:lang w:val="en-US" w:eastAsia="zh-CN"/>
        </w:rPr>
      </w:pPr>
      <w:r>
        <w:rPr>
          <w:rFonts w:hint="eastAsia" w:ascii="宋体" w:hAnsi="宋体" w:eastAsia="宋体" w:cs="宋体"/>
          <w:b/>
          <w:bCs/>
          <w:spacing w:val="-1"/>
          <w:sz w:val="28"/>
          <w:szCs w:val="28"/>
          <w:highlight w:val="none"/>
          <w:u w:val="single"/>
          <w:lang w:val="en-US" w:eastAsia="zh-CN"/>
        </w:rPr>
        <w:t xml:space="preserve">                                                                </w:t>
      </w:r>
    </w:p>
    <w:p w14:paraId="08A30A05">
      <w:pPr>
        <w:spacing w:before="114" w:line="360" w:lineRule="auto"/>
        <w:ind w:firstLine="634" w:firstLineChars="200"/>
        <w:rPr>
          <w:rFonts w:hint="eastAsia" w:ascii="宋体" w:hAnsi="宋体" w:eastAsia="宋体" w:cs="宋体"/>
          <w:b/>
          <w:bCs/>
          <w:spacing w:val="18"/>
          <w:sz w:val="28"/>
          <w:szCs w:val="28"/>
          <w:highlight w:val="none"/>
          <w:lang w:val="en-US" w:eastAsia="zh-CN"/>
        </w:rPr>
      </w:pPr>
      <w:r>
        <w:rPr>
          <w:rFonts w:hint="eastAsia" w:ascii="宋体" w:hAnsi="宋体" w:eastAsia="宋体" w:cs="宋体"/>
          <w:b/>
          <w:bCs/>
          <w:spacing w:val="18"/>
          <w:sz w:val="28"/>
          <w:szCs w:val="28"/>
          <w:highlight w:val="none"/>
          <w:lang w:val="en-US" w:eastAsia="zh-CN"/>
        </w:rPr>
        <w:t>代理公司：</w:t>
      </w:r>
      <w:r>
        <w:rPr>
          <w:rFonts w:hint="eastAsia" w:cs="宋体"/>
          <w:b/>
          <w:bCs/>
          <w:spacing w:val="18"/>
          <w:sz w:val="28"/>
          <w:szCs w:val="28"/>
          <w:highlight w:val="none"/>
          <w:lang w:val="en-US" w:eastAsia="zh-CN"/>
        </w:rPr>
        <w:t>新疆惠中源项目管理有限公司</w:t>
      </w:r>
    </w:p>
    <w:p w14:paraId="4E61DE0E">
      <w:pPr>
        <w:spacing w:before="114" w:line="360" w:lineRule="auto"/>
        <w:ind w:firstLine="634" w:firstLineChars="200"/>
        <w:rPr>
          <w:rFonts w:hint="eastAsia" w:ascii="宋体" w:hAnsi="宋体" w:eastAsia="宋体" w:cs="宋体"/>
          <w:b/>
          <w:bCs/>
          <w:spacing w:val="18"/>
          <w:sz w:val="28"/>
          <w:szCs w:val="28"/>
          <w:highlight w:val="none"/>
          <w:lang w:eastAsia="zh-CN"/>
        </w:rPr>
      </w:pPr>
      <w:r>
        <w:rPr>
          <w:rFonts w:hint="eastAsia" w:ascii="宋体" w:hAnsi="宋体" w:eastAsia="宋体" w:cs="宋体"/>
          <w:b/>
          <w:bCs/>
          <w:spacing w:val="18"/>
          <w:sz w:val="28"/>
          <w:szCs w:val="28"/>
          <w:highlight w:val="none"/>
          <w:lang w:eastAsia="zh-CN"/>
        </w:rPr>
        <w:t>联系人：</w:t>
      </w:r>
      <w:r>
        <w:rPr>
          <w:rFonts w:hint="eastAsia" w:cs="宋体"/>
          <w:b/>
          <w:bCs/>
          <w:spacing w:val="18"/>
          <w:sz w:val="28"/>
          <w:szCs w:val="28"/>
          <w:highlight w:val="none"/>
          <w:lang w:val="en-US" w:eastAsia="zh-CN"/>
        </w:rPr>
        <w:t>于大海</w:t>
      </w:r>
    </w:p>
    <w:p w14:paraId="4F9383F8">
      <w:pPr>
        <w:spacing w:before="114" w:line="360" w:lineRule="auto"/>
        <w:ind w:firstLine="634" w:firstLineChars="200"/>
        <w:rPr>
          <w:rFonts w:hint="eastAsia" w:ascii="宋体" w:hAnsi="宋体" w:eastAsia="宋体" w:cs="宋体"/>
          <w:b/>
          <w:bCs/>
          <w:spacing w:val="-1"/>
          <w:sz w:val="28"/>
          <w:szCs w:val="28"/>
          <w:highlight w:val="none"/>
        </w:rPr>
      </w:pPr>
      <w:r>
        <w:rPr>
          <w:rFonts w:hint="eastAsia" w:ascii="宋体" w:hAnsi="宋体" w:eastAsia="宋体" w:cs="宋体"/>
          <w:b/>
          <w:bCs/>
          <w:spacing w:val="18"/>
          <w:sz w:val="28"/>
          <w:szCs w:val="28"/>
          <w:highlight w:val="none"/>
          <w:lang w:eastAsia="zh-CN"/>
        </w:rPr>
        <w:t>联系电话</w:t>
      </w:r>
      <w:r>
        <w:rPr>
          <w:rFonts w:hint="eastAsia" w:ascii="宋体" w:hAnsi="宋体" w:eastAsia="宋体" w:cs="宋体"/>
          <w:b/>
          <w:bCs/>
          <w:spacing w:val="-1"/>
          <w:sz w:val="28"/>
          <w:szCs w:val="28"/>
          <w:highlight w:val="none"/>
        </w:rPr>
        <w:t>：</w:t>
      </w:r>
      <w:r>
        <w:rPr>
          <w:rFonts w:hint="eastAsia" w:cs="宋体"/>
          <w:b/>
          <w:bCs/>
          <w:spacing w:val="-1"/>
          <w:sz w:val="28"/>
          <w:szCs w:val="28"/>
          <w:highlight w:val="none"/>
          <w:lang w:val="en-US" w:eastAsia="zh-CN"/>
        </w:rPr>
        <w:t>18999110912</w:t>
      </w:r>
    </w:p>
    <w:p w14:paraId="746566FB">
      <w:pPr>
        <w:spacing w:line="480" w:lineRule="auto"/>
        <w:jc w:val="center"/>
        <w:rPr>
          <w:rFonts w:hint="eastAsia" w:ascii="宋体" w:hAnsi="宋体" w:eastAsia="宋体" w:cs="宋体"/>
          <w:b/>
          <w:sz w:val="28"/>
          <w:szCs w:val="28"/>
          <w:highlight w:val="none"/>
          <w:lang w:eastAsia="zh-CN"/>
        </w:rPr>
      </w:pPr>
      <w:r>
        <w:rPr>
          <w:rFonts w:hint="eastAsia" w:cs="宋体"/>
          <w:b/>
          <w:sz w:val="28"/>
          <w:szCs w:val="28"/>
          <w:highlight w:val="none"/>
          <w:lang w:eastAsia="zh-CN"/>
        </w:rPr>
        <w:t>二〇二六年五月</w:t>
      </w:r>
    </w:p>
    <w:p w14:paraId="3B2DBA7D">
      <w:pPr>
        <w:rPr>
          <w:rFonts w:hint="eastAsia" w:ascii="宋体" w:hAnsi="宋体" w:eastAsia="宋体" w:cs="宋体"/>
          <w:b/>
          <w:w w:val="95"/>
          <w:sz w:val="32"/>
          <w:szCs w:val="32"/>
          <w:highlight w:val="none"/>
          <w:lang w:val="en-US" w:bidi="ar-SA"/>
        </w:rPr>
      </w:pPr>
      <w:r>
        <w:rPr>
          <w:rFonts w:hint="eastAsia" w:ascii="宋体" w:hAnsi="宋体" w:eastAsia="宋体" w:cs="宋体"/>
          <w:b/>
          <w:w w:val="95"/>
          <w:sz w:val="32"/>
          <w:szCs w:val="32"/>
          <w:highlight w:val="none"/>
          <w:lang w:val="en-US" w:bidi="ar-SA"/>
        </w:rPr>
        <w:br w:type="page"/>
      </w:r>
    </w:p>
    <w:p w14:paraId="65C5F0CB">
      <w:pPr>
        <w:tabs>
          <w:tab w:val="left" w:pos="1684"/>
        </w:tabs>
        <w:kinsoku w:val="0"/>
        <w:overflowPunct w:val="0"/>
        <w:adjustRightInd w:val="0"/>
        <w:spacing w:line="580" w:lineRule="exact"/>
        <w:ind w:right="1"/>
        <w:jc w:val="center"/>
        <w:rPr>
          <w:rFonts w:hint="eastAsia" w:ascii="宋体" w:hAnsi="宋体" w:eastAsia="宋体" w:cs="宋体"/>
          <w:sz w:val="32"/>
          <w:szCs w:val="32"/>
          <w:highlight w:val="none"/>
          <w:lang w:val="en-US" w:bidi="ar-SA"/>
        </w:rPr>
      </w:pPr>
      <w:r>
        <w:rPr>
          <w:rFonts w:hint="eastAsia" w:ascii="宋体" w:hAnsi="宋体" w:eastAsia="宋体" w:cs="宋体"/>
          <w:b/>
          <w:w w:val="95"/>
          <w:sz w:val="32"/>
          <w:szCs w:val="32"/>
          <w:highlight w:val="none"/>
          <w:lang w:val="en-US" w:bidi="ar-SA"/>
        </w:rPr>
        <w:t xml:space="preserve">目  </w:t>
      </w:r>
      <w:r>
        <w:rPr>
          <w:rFonts w:hint="eastAsia" w:ascii="宋体" w:hAnsi="宋体" w:eastAsia="宋体" w:cs="宋体"/>
          <w:b/>
          <w:sz w:val="32"/>
          <w:szCs w:val="32"/>
          <w:highlight w:val="none"/>
          <w:lang w:val="en-US" w:bidi="ar-SA"/>
        </w:rPr>
        <w:t>录</w:t>
      </w:r>
    </w:p>
    <w:p w14:paraId="17B2BE3F">
      <w:pPr>
        <w:kinsoku w:val="0"/>
        <w:overflowPunct w:val="0"/>
        <w:adjustRightInd w:val="0"/>
        <w:rPr>
          <w:rFonts w:hint="eastAsia" w:ascii="宋体" w:hAnsi="宋体" w:eastAsia="宋体" w:cs="宋体"/>
          <w:b/>
          <w:sz w:val="20"/>
          <w:szCs w:val="24"/>
          <w:highlight w:val="none"/>
          <w:lang w:val="en-US" w:bidi="ar-SA"/>
        </w:rPr>
      </w:pPr>
    </w:p>
    <w:p w14:paraId="01DD77FF">
      <w:pPr>
        <w:kinsoku w:val="0"/>
        <w:overflowPunct w:val="0"/>
        <w:adjustRightInd w:val="0"/>
        <w:rPr>
          <w:rFonts w:hint="eastAsia" w:ascii="宋体" w:hAnsi="宋体" w:eastAsia="宋体" w:cs="宋体"/>
          <w:b/>
          <w:sz w:val="20"/>
          <w:szCs w:val="24"/>
          <w:highlight w:val="none"/>
          <w:lang w:val="en-US" w:bidi="ar-SA"/>
        </w:rPr>
      </w:pPr>
    </w:p>
    <w:p w14:paraId="0C4AD104">
      <w:pPr>
        <w:kinsoku w:val="0"/>
        <w:overflowPunct w:val="0"/>
        <w:adjustRightInd w:val="0"/>
        <w:rPr>
          <w:rFonts w:hint="eastAsia" w:ascii="宋体" w:hAnsi="宋体" w:eastAsia="宋体" w:cs="宋体"/>
          <w:b/>
          <w:sz w:val="20"/>
          <w:szCs w:val="24"/>
          <w:highlight w:val="none"/>
          <w:lang w:val="en-US" w:bidi="ar-SA"/>
        </w:rPr>
      </w:pPr>
    </w:p>
    <w:p w14:paraId="559AD8C1">
      <w:pPr>
        <w:kinsoku w:val="0"/>
        <w:overflowPunct w:val="0"/>
        <w:adjustRightInd w:val="0"/>
        <w:rPr>
          <w:rFonts w:hint="eastAsia" w:ascii="宋体" w:hAnsi="宋体" w:eastAsia="宋体" w:cs="宋体"/>
          <w:b/>
          <w:sz w:val="20"/>
          <w:szCs w:val="24"/>
          <w:highlight w:val="none"/>
          <w:lang w:val="en-US" w:bidi="ar-SA"/>
        </w:rPr>
      </w:pPr>
    </w:p>
    <w:p w14:paraId="04050FAB">
      <w:pPr>
        <w:kinsoku w:val="0"/>
        <w:overflowPunct w:val="0"/>
        <w:adjustRightInd w:val="0"/>
        <w:spacing w:before="160"/>
        <w:ind w:left="111"/>
        <w:rPr>
          <w:rFonts w:hint="eastAsia" w:ascii="宋体" w:hAnsi="宋体" w:eastAsia="宋体" w:cs="宋体"/>
          <w:sz w:val="28"/>
          <w:szCs w:val="28"/>
          <w:highlight w:val="none"/>
          <w:lang w:val="en-US" w:bidi="ar-SA"/>
        </w:rPr>
      </w:pPr>
      <w:r>
        <w:rPr>
          <w:rFonts w:hint="eastAsia" w:ascii="宋体" w:hAnsi="宋体" w:eastAsia="宋体" w:cs="宋体"/>
          <w:sz w:val="28"/>
          <w:szCs w:val="28"/>
          <w:highlight w:val="none"/>
          <w:lang w:val="en-US" w:bidi="ar-SA"/>
        </w:rPr>
        <w:t>竞争性磋商公告</w:t>
      </w:r>
    </w:p>
    <w:p w14:paraId="1915654C">
      <w:pPr>
        <w:kinsoku w:val="0"/>
        <w:overflowPunct w:val="0"/>
        <w:adjustRightInd w:val="0"/>
        <w:spacing w:before="3"/>
        <w:rPr>
          <w:rFonts w:hint="eastAsia" w:ascii="宋体" w:hAnsi="宋体" w:eastAsia="宋体" w:cs="宋体"/>
          <w:sz w:val="28"/>
          <w:szCs w:val="28"/>
          <w:highlight w:val="none"/>
          <w:lang w:val="en-US" w:bidi="ar-SA"/>
        </w:rPr>
      </w:pPr>
    </w:p>
    <w:p w14:paraId="10899CF3">
      <w:pPr>
        <w:tabs>
          <w:tab w:val="left" w:pos="1776"/>
        </w:tabs>
        <w:kinsoku w:val="0"/>
        <w:overflowPunct w:val="0"/>
        <w:adjustRightInd w:val="0"/>
        <w:spacing w:line="488" w:lineRule="auto"/>
        <w:ind w:left="111" w:right="3667"/>
        <w:rPr>
          <w:rFonts w:hint="eastAsia" w:ascii="宋体" w:hAnsi="宋体" w:eastAsia="宋体" w:cs="宋体"/>
          <w:sz w:val="28"/>
          <w:szCs w:val="28"/>
          <w:highlight w:val="none"/>
          <w:lang w:val="en-US" w:bidi="ar-SA"/>
        </w:rPr>
      </w:pPr>
      <w:r>
        <w:rPr>
          <w:rFonts w:hint="eastAsia" w:ascii="宋体" w:hAnsi="宋体" w:eastAsia="宋体" w:cs="宋体"/>
          <w:sz w:val="28"/>
          <w:szCs w:val="28"/>
          <w:highlight w:val="none"/>
          <w:lang w:val="en-US" w:bidi="ar-SA"/>
        </w:rPr>
        <w:t>第一章</w:t>
      </w:r>
      <w:r>
        <w:rPr>
          <w:rFonts w:hint="eastAsia" w:ascii="宋体" w:hAnsi="宋体" w:eastAsia="宋体" w:cs="宋体"/>
          <w:sz w:val="28"/>
          <w:szCs w:val="28"/>
          <w:highlight w:val="none"/>
          <w:lang w:val="en-US" w:bidi="ar-SA"/>
        </w:rPr>
        <w:tab/>
      </w:r>
      <w:r>
        <w:rPr>
          <w:rFonts w:hint="eastAsia" w:ascii="宋体" w:hAnsi="宋体" w:eastAsia="宋体" w:cs="宋体"/>
          <w:sz w:val="28"/>
          <w:szCs w:val="28"/>
          <w:highlight w:val="none"/>
          <w:lang w:val="en-US" w:bidi="ar-SA"/>
        </w:rPr>
        <w:t>磋商须知前附表及磋商须知第二章</w:t>
      </w:r>
      <w:r>
        <w:rPr>
          <w:rFonts w:hint="eastAsia" w:ascii="宋体" w:hAnsi="宋体" w:eastAsia="宋体" w:cs="宋体"/>
          <w:sz w:val="28"/>
          <w:szCs w:val="28"/>
          <w:highlight w:val="none"/>
          <w:lang w:val="en-US" w:bidi="ar-SA"/>
        </w:rPr>
        <w:tab/>
      </w:r>
      <w:r>
        <w:rPr>
          <w:rFonts w:hint="eastAsia" w:ascii="宋体" w:hAnsi="宋体" w:eastAsia="宋体" w:cs="宋体"/>
          <w:sz w:val="28"/>
          <w:szCs w:val="28"/>
          <w:highlight w:val="none"/>
          <w:lang w:val="en-US" w:bidi="ar-SA"/>
        </w:rPr>
        <w:t>合同条款及格式</w:t>
      </w:r>
    </w:p>
    <w:p w14:paraId="005363F1">
      <w:pPr>
        <w:tabs>
          <w:tab w:val="left" w:pos="1776"/>
        </w:tabs>
        <w:kinsoku w:val="0"/>
        <w:overflowPunct w:val="0"/>
        <w:adjustRightInd w:val="0"/>
        <w:spacing w:before="96" w:line="489" w:lineRule="auto"/>
        <w:ind w:left="111" w:right="4267"/>
        <w:rPr>
          <w:rFonts w:hint="eastAsia" w:ascii="宋体" w:hAnsi="宋体" w:eastAsia="宋体" w:cs="宋体"/>
          <w:sz w:val="28"/>
          <w:szCs w:val="28"/>
          <w:highlight w:val="none"/>
          <w:lang w:val="en-US" w:bidi="ar-SA"/>
        </w:rPr>
      </w:pPr>
      <w:r>
        <w:rPr>
          <w:rFonts w:hint="eastAsia" w:ascii="宋体" w:hAnsi="宋体" w:eastAsia="宋体" w:cs="宋体"/>
          <w:sz w:val="28"/>
          <w:szCs w:val="28"/>
          <w:highlight w:val="none"/>
          <w:lang w:val="en-US" w:bidi="ar-SA"/>
        </w:rPr>
        <w:t>第三章</w:t>
      </w:r>
      <w:r>
        <w:rPr>
          <w:rFonts w:hint="eastAsia" w:ascii="宋体" w:hAnsi="宋体" w:eastAsia="宋体" w:cs="宋体"/>
          <w:sz w:val="28"/>
          <w:szCs w:val="28"/>
          <w:highlight w:val="none"/>
          <w:lang w:val="en-US" w:bidi="ar-SA"/>
        </w:rPr>
        <w:tab/>
      </w:r>
      <w:r>
        <w:rPr>
          <w:rFonts w:hint="eastAsia" w:ascii="宋体" w:hAnsi="宋体" w:eastAsia="宋体" w:cs="宋体"/>
          <w:sz w:val="28"/>
          <w:szCs w:val="28"/>
          <w:highlight w:val="none"/>
          <w:lang w:val="en-US" w:bidi="ar-SA"/>
        </w:rPr>
        <w:t>工程量清单</w:t>
      </w:r>
    </w:p>
    <w:p w14:paraId="4C939E9D">
      <w:pPr>
        <w:tabs>
          <w:tab w:val="left" w:pos="1776"/>
        </w:tabs>
        <w:kinsoku w:val="0"/>
        <w:overflowPunct w:val="0"/>
        <w:adjustRightInd w:val="0"/>
        <w:spacing w:before="96" w:line="489" w:lineRule="auto"/>
        <w:ind w:left="111" w:right="4267"/>
        <w:rPr>
          <w:rFonts w:hint="eastAsia" w:ascii="宋体" w:hAnsi="宋体" w:eastAsia="宋体" w:cs="宋体"/>
          <w:sz w:val="28"/>
          <w:szCs w:val="28"/>
          <w:highlight w:val="none"/>
          <w:lang w:val="en-US" w:bidi="ar-SA"/>
        </w:rPr>
      </w:pPr>
      <w:r>
        <w:rPr>
          <w:rFonts w:hint="eastAsia" w:ascii="宋体" w:hAnsi="宋体" w:eastAsia="宋体" w:cs="宋体"/>
          <w:sz w:val="28"/>
          <w:szCs w:val="28"/>
          <w:highlight w:val="none"/>
          <w:lang w:val="en-US" w:bidi="ar-SA"/>
        </w:rPr>
        <w:t>第四章</w:t>
      </w:r>
      <w:r>
        <w:rPr>
          <w:rFonts w:hint="eastAsia" w:ascii="宋体" w:hAnsi="宋体" w:eastAsia="宋体" w:cs="宋体"/>
          <w:sz w:val="28"/>
          <w:szCs w:val="28"/>
          <w:highlight w:val="none"/>
          <w:lang w:val="en-US" w:bidi="ar-SA"/>
        </w:rPr>
        <w:tab/>
      </w:r>
      <w:r>
        <w:rPr>
          <w:rFonts w:hint="eastAsia" w:ascii="宋体" w:hAnsi="宋体" w:eastAsia="宋体" w:cs="宋体"/>
          <w:sz w:val="28"/>
          <w:szCs w:val="28"/>
          <w:highlight w:val="none"/>
          <w:lang w:val="en-US" w:bidi="ar-SA"/>
        </w:rPr>
        <w:t>图纸（另卷）</w:t>
      </w:r>
    </w:p>
    <w:p w14:paraId="11E1D3BF">
      <w:pPr>
        <w:tabs>
          <w:tab w:val="left" w:pos="1776"/>
        </w:tabs>
        <w:kinsoku w:val="0"/>
        <w:overflowPunct w:val="0"/>
        <w:adjustRightInd w:val="0"/>
        <w:spacing w:before="96" w:line="489" w:lineRule="auto"/>
        <w:ind w:left="111" w:right="4267"/>
        <w:rPr>
          <w:rFonts w:hint="eastAsia" w:ascii="宋体" w:hAnsi="宋体" w:eastAsia="宋体" w:cs="宋体"/>
          <w:sz w:val="28"/>
          <w:szCs w:val="28"/>
          <w:highlight w:val="none"/>
          <w:lang w:val="en-US" w:bidi="ar-SA"/>
        </w:rPr>
      </w:pPr>
      <w:r>
        <w:rPr>
          <w:rFonts w:hint="eastAsia" w:ascii="宋体" w:hAnsi="宋体" w:eastAsia="宋体" w:cs="宋体"/>
          <w:sz w:val="28"/>
          <w:szCs w:val="28"/>
          <w:highlight w:val="none"/>
          <w:lang w:val="en-US" w:bidi="ar-SA"/>
        </w:rPr>
        <w:t>第五章</w:t>
      </w:r>
      <w:r>
        <w:rPr>
          <w:rFonts w:hint="eastAsia" w:ascii="宋体" w:hAnsi="宋体" w:eastAsia="宋体" w:cs="宋体"/>
          <w:sz w:val="28"/>
          <w:szCs w:val="28"/>
          <w:highlight w:val="none"/>
          <w:lang w:val="en-US" w:bidi="ar-SA"/>
        </w:rPr>
        <w:tab/>
      </w:r>
      <w:r>
        <w:rPr>
          <w:rFonts w:hint="eastAsia" w:ascii="宋体" w:hAnsi="宋体" w:eastAsia="宋体" w:cs="宋体"/>
          <w:sz w:val="28"/>
          <w:szCs w:val="28"/>
          <w:highlight w:val="none"/>
          <w:lang w:val="en-US" w:bidi="ar-SA"/>
        </w:rPr>
        <w:t>技术规范</w:t>
      </w:r>
    </w:p>
    <w:p w14:paraId="283EFEC5">
      <w:pPr>
        <w:tabs>
          <w:tab w:val="left" w:pos="1776"/>
        </w:tabs>
        <w:kinsoku w:val="0"/>
        <w:overflowPunct w:val="0"/>
        <w:adjustRightInd w:val="0"/>
        <w:spacing w:before="96" w:line="489" w:lineRule="auto"/>
        <w:ind w:left="111" w:right="4267"/>
        <w:rPr>
          <w:rFonts w:hint="eastAsia" w:ascii="宋体" w:hAnsi="宋体" w:eastAsia="宋体" w:cs="宋体"/>
          <w:sz w:val="28"/>
          <w:szCs w:val="28"/>
          <w:highlight w:val="none"/>
          <w:lang w:val="en-US" w:bidi="ar-SA"/>
        </w:rPr>
      </w:pPr>
      <w:r>
        <w:rPr>
          <w:rFonts w:hint="eastAsia" w:ascii="宋体" w:hAnsi="宋体" w:eastAsia="宋体" w:cs="宋体"/>
          <w:sz w:val="28"/>
          <w:szCs w:val="28"/>
          <w:highlight w:val="none"/>
          <w:lang w:val="en-US" w:bidi="ar-SA"/>
        </w:rPr>
        <w:t>第六章</w:t>
      </w:r>
      <w:r>
        <w:rPr>
          <w:rFonts w:hint="eastAsia" w:ascii="宋体" w:hAnsi="宋体" w:eastAsia="宋体" w:cs="宋体"/>
          <w:sz w:val="28"/>
          <w:szCs w:val="28"/>
          <w:highlight w:val="none"/>
          <w:lang w:val="en-US" w:bidi="ar-SA"/>
        </w:rPr>
        <w:tab/>
      </w:r>
      <w:r>
        <w:rPr>
          <w:rFonts w:hint="eastAsia" w:ascii="宋体" w:hAnsi="宋体" w:eastAsia="宋体" w:cs="宋体"/>
          <w:sz w:val="28"/>
          <w:szCs w:val="28"/>
          <w:highlight w:val="none"/>
          <w:lang w:val="en-US" w:bidi="ar-SA"/>
        </w:rPr>
        <w:t>工程量清单计量规则</w:t>
      </w:r>
    </w:p>
    <w:p w14:paraId="5E4A8741">
      <w:pPr>
        <w:tabs>
          <w:tab w:val="left" w:pos="1776"/>
        </w:tabs>
        <w:kinsoku w:val="0"/>
        <w:overflowPunct w:val="0"/>
        <w:adjustRightInd w:val="0"/>
        <w:spacing w:before="96" w:line="489" w:lineRule="auto"/>
        <w:ind w:left="111" w:right="4267"/>
        <w:rPr>
          <w:rFonts w:hint="eastAsia" w:ascii="宋体" w:hAnsi="宋体" w:eastAsia="宋体" w:cs="宋体"/>
          <w:sz w:val="28"/>
          <w:szCs w:val="28"/>
          <w:highlight w:val="none"/>
          <w:lang w:val="en-US" w:bidi="ar-SA"/>
        </w:rPr>
      </w:pPr>
      <w:r>
        <w:rPr>
          <w:rFonts w:hint="eastAsia" w:ascii="宋体" w:hAnsi="宋体" w:eastAsia="宋体" w:cs="宋体"/>
          <w:sz w:val="28"/>
          <w:szCs w:val="28"/>
          <w:highlight w:val="none"/>
          <w:lang w:val="en-US" w:bidi="ar-SA"/>
        </w:rPr>
        <w:t>第七章</w:t>
      </w:r>
      <w:r>
        <w:rPr>
          <w:rFonts w:hint="eastAsia" w:ascii="宋体" w:hAnsi="宋体" w:eastAsia="宋体" w:cs="宋体"/>
          <w:sz w:val="28"/>
          <w:szCs w:val="28"/>
          <w:highlight w:val="none"/>
          <w:lang w:val="en-US" w:bidi="ar-SA"/>
        </w:rPr>
        <w:tab/>
      </w:r>
      <w:r>
        <w:rPr>
          <w:rFonts w:hint="eastAsia" w:ascii="宋体" w:hAnsi="宋体" w:eastAsia="宋体" w:cs="宋体"/>
          <w:sz w:val="28"/>
          <w:szCs w:val="28"/>
          <w:highlight w:val="none"/>
          <w:lang w:val="en-US" w:bidi="ar-SA"/>
        </w:rPr>
        <w:t>响应文件格式</w:t>
      </w:r>
    </w:p>
    <w:p w14:paraId="02BF93A7">
      <w:pPr>
        <w:tabs>
          <w:tab w:val="left" w:pos="1776"/>
        </w:tabs>
        <w:kinsoku w:val="0"/>
        <w:overflowPunct w:val="0"/>
        <w:spacing w:before="96" w:line="489" w:lineRule="auto"/>
        <w:ind w:left="111" w:right="4267"/>
        <w:rPr>
          <w:rFonts w:hint="eastAsia" w:ascii="宋体" w:hAnsi="宋体" w:eastAsia="宋体" w:cs="宋体"/>
          <w:sz w:val="28"/>
          <w:szCs w:val="28"/>
          <w:highlight w:val="none"/>
        </w:rPr>
        <w:sectPr>
          <w:headerReference r:id="rId3" w:type="default"/>
          <w:footerReference r:id="rId4" w:type="default"/>
          <w:pgSz w:w="11910" w:h="16840"/>
          <w:pgMar w:top="1134" w:right="1417" w:bottom="1134" w:left="1420" w:header="858" w:footer="997" w:gutter="0"/>
          <w:pgNumType w:start="1"/>
          <w:cols w:space="720" w:num="1"/>
        </w:sectPr>
      </w:pPr>
      <w:r>
        <w:rPr>
          <w:rFonts w:hint="eastAsia" w:ascii="宋体" w:hAnsi="宋体" w:eastAsia="宋体" w:cs="宋体"/>
          <w:sz w:val="28"/>
          <w:szCs w:val="28"/>
          <w:highlight w:val="none"/>
          <w:lang w:val="en-US" w:bidi="ar-SA"/>
        </w:rPr>
        <w:t>第八章      评审方法及标准</w:t>
      </w:r>
    </w:p>
    <w:p w14:paraId="10C33EC5">
      <w:pPr>
        <w:ind w:firstLine="480"/>
        <w:jc w:val="center"/>
        <w:rPr>
          <w:rFonts w:hint="eastAsia" w:ascii="宋体" w:hAnsi="宋体" w:eastAsia="宋体" w:cs="宋体"/>
          <w:b/>
          <w:bCs/>
          <w:sz w:val="32"/>
          <w:szCs w:val="32"/>
          <w:highlight w:val="none"/>
          <w:lang w:val="en-US"/>
        </w:rPr>
      </w:pPr>
      <w:r>
        <w:rPr>
          <w:rFonts w:hint="eastAsia" w:cs="宋体"/>
          <w:b/>
          <w:bCs/>
          <w:sz w:val="32"/>
          <w:szCs w:val="32"/>
          <w:highlight w:val="none"/>
          <w:lang w:eastAsia="zh-CN"/>
        </w:rPr>
        <w:t>叶城县洛克乡2026年交通基础设施提升改造以工代赈项目</w:t>
      </w:r>
      <w:r>
        <w:rPr>
          <w:rFonts w:hint="eastAsia" w:ascii="宋体" w:hAnsi="宋体" w:eastAsia="宋体" w:cs="宋体"/>
          <w:b/>
          <w:bCs/>
          <w:sz w:val="32"/>
          <w:szCs w:val="32"/>
          <w:highlight w:val="none"/>
          <w:lang w:val="en-US"/>
        </w:rPr>
        <w:t>磋商公告</w:t>
      </w:r>
    </w:p>
    <w:p w14:paraId="52E183B0">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3B00FB84">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firstLine="480" w:firstLineChars="200"/>
        <w:textAlignment w:val="auto"/>
        <w:rPr>
          <w:rFonts w:hint="eastAsia" w:ascii="宋体" w:hAnsi="宋体" w:eastAsia="宋体" w:cs="宋体"/>
          <w:sz w:val="28"/>
          <w:szCs w:val="28"/>
          <w:highlight w:val="none"/>
        </w:rPr>
      </w:pPr>
      <w:r>
        <w:rPr>
          <w:rFonts w:hint="eastAsia" w:cs="宋体"/>
          <w:sz w:val="24"/>
          <w:szCs w:val="24"/>
          <w:highlight w:val="none"/>
          <w:u w:val="single"/>
          <w:lang w:eastAsia="zh-CN"/>
        </w:rPr>
        <w:t>叶城县洛克乡2026年交通基础设施提升改造以工代赈项目</w:t>
      </w:r>
      <w:r>
        <w:rPr>
          <w:rFonts w:hint="eastAsia" w:ascii="宋体" w:hAnsi="宋体" w:eastAsia="宋体" w:cs="宋体"/>
          <w:sz w:val="24"/>
          <w:szCs w:val="24"/>
          <w:highlight w:val="none"/>
        </w:rPr>
        <w:t>招标项目的潜在投标人应在供应商登陆政采云平台（登录政府采购云平台→ 项目采购 → 获取磋商文件，通过后可下载磋商文件，如有操作性问题，可与政采云在线客服进行咨询，咨询电话：400-881-7190）在线获取磋商文件，并于</w:t>
      </w:r>
      <w:r>
        <w:rPr>
          <w:rFonts w:hint="eastAsia" w:cs="宋体"/>
          <w:bCs/>
          <w:sz w:val="24"/>
          <w:szCs w:val="24"/>
          <w:highlight w:val="none"/>
          <w:u w:val="single"/>
          <w:lang w:val="en-US" w:eastAsia="zh-CN"/>
        </w:rPr>
        <w:t>2026年06月04日11点00分</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北京时间）前递交投标文件</w:t>
      </w:r>
      <w:r>
        <w:rPr>
          <w:rFonts w:hint="eastAsia" w:ascii="宋体" w:hAnsi="宋体" w:eastAsia="宋体" w:cs="宋体"/>
          <w:sz w:val="28"/>
          <w:szCs w:val="28"/>
          <w:highlight w:val="none"/>
        </w:rPr>
        <w:t>。</w:t>
      </w:r>
    </w:p>
    <w:p w14:paraId="4C2B594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54AC2C9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项目编号：</w:t>
      </w:r>
      <w:r>
        <w:rPr>
          <w:rFonts w:hint="eastAsia" w:cs="宋体"/>
          <w:sz w:val="24"/>
          <w:szCs w:val="24"/>
          <w:highlight w:val="none"/>
          <w:lang w:eastAsia="zh-CN"/>
        </w:rPr>
        <w:t>HZY-202616-CS</w:t>
      </w:r>
    </w:p>
    <w:p w14:paraId="041A318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项目名称：</w:t>
      </w:r>
      <w:r>
        <w:rPr>
          <w:rFonts w:hint="eastAsia" w:cs="宋体"/>
          <w:sz w:val="24"/>
          <w:szCs w:val="24"/>
          <w:highlight w:val="none"/>
          <w:lang w:eastAsia="zh-CN"/>
        </w:rPr>
        <w:t>叶城县洛克乡2026年交通基础设施提升改造以工代赈项目</w:t>
      </w:r>
      <w:r>
        <w:rPr>
          <w:rFonts w:hint="eastAsia" w:ascii="宋体" w:hAnsi="宋体" w:eastAsia="宋体" w:cs="宋体"/>
          <w:sz w:val="24"/>
          <w:szCs w:val="24"/>
          <w:highlight w:val="none"/>
        </w:rPr>
        <w:t> </w:t>
      </w:r>
    </w:p>
    <w:p w14:paraId="6D8A882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   采购方式：</w:t>
      </w:r>
      <w:r>
        <w:rPr>
          <w:rFonts w:hint="eastAsia" w:ascii="宋体" w:hAnsi="宋体" w:eastAsia="宋体" w:cs="宋体"/>
          <w:sz w:val="24"/>
          <w:szCs w:val="24"/>
          <w:highlight w:val="none"/>
          <w:lang w:val="en-US"/>
        </w:rPr>
        <w:t>竞争性磋商</w:t>
      </w:r>
    </w:p>
    <w:p w14:paraId="45C2C449">
      <w:pPr>
        <w:keepNext w:val="0"/>
        <w:keepLines w:val="0"/>
        <w:pageBreakBefore w:val="0"/>
        <w:kinsoku/>
        <w:wordWrap/>
        <w:overflowPunct/>
        <w:topLinePunct w:val="0"/>
        <w:autoSpaceDE/>
        <w:autoSpaceDN/>
        <w:bidi w:val="0"/>
        <w:spacing w:line="360" w:lineRule="auto"/>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预算金额（元）：</w:t>
      </w:r>
      <w:r>
        <w:rPr>
          <w:rFonts w:hint="eastAsia" w:cs="宋体"/>
          <w:sz w:val="24"/>
          <w:szCs w:val="24"/>
          <w:highlight w:val="none"/>
          <w:lang w:val="en-US" w:eastAsia="zh-CN"/>
        </w:rPr>
        <w:t>7153579.15</w:t>
      </w:r>
    </w:p>
    <w:p w14:paraId="7545B19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最高限价（元）：</w:t>
      </w:r>
      <w:r>
        <w:rPr>
          <w:rFonts w:hint="eastAsia" w:cs="宋体"/>
          <w:sz w:val="24"/>
          <w:szCs w:val="24"/>
          <w:highlight w:val="none"/>
          <w:lang w:eastAsia="zh-CN"/>
        </w:rPr>
        <w:t>7153579.15</w:t>
      </w:r>
    </w:p>
    <w:p w14:paraId="42B0CA91">
      <w:pPr>
        <w:keepNext w:val="0"/>
        <w:keepLines w:val="0"/>
        <w:pageBreakBefore w:val="0"/>
        <w:kinsoku/>
        <w:wordWrap/>
        <w:overflowPunct/>
        <w:topLinePunct w:val="0"/>
        <w:autoSpaceDE/>
        <w:autoSpaceDN/>
        <w:bidi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p w14:paraId="6E51E21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简要规格描述：</w:t>
      </w:r>
      <w:r>
        <w:rPr>
          <w:rFonts w:hint="eastAsia" w:cs="宋体"/>
          <w:sz w:val="24"/>
          <w:szCs w:val="24"/>
          <w:highlight w:val="none"/>
          <w:lang w:eastAsia="zh-CN"/>
        </w:rPr>
        <w:t>道路拓宽硬化共计52000平方米(1.5米-2米宽)，并配套相关附属设施。工程的工程量清单及施工图纸范围内的全部工作内容。</w:t>
      </w:r>
    </w:p>
    <w:p w14:paraId="2CF84E70">
      <w:pPr>
        <w:keepNext w:val="0"/>
        <w:keepLines w:val="0"/>
        <w:pageBreakBefore w:val="0"/>
        <w:kinsoku/>
        <w:wordWrap/>
        <w:overflowPunct/>
        <w:topLinePunct w:val="0"/>
        <w:autoSpaceDE/>
        <w:autoSpaceDN/>
        <w:bidi w:val="0"/>
        <w:spacing w:line="360" w:lineRule="auto"/>
        <w:ind w:firstLine="240" w:firstLineChars="1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合同履行期限：</w:t>
      </w:r>
      <w:r>
        <w:rPr>
          <w:rFonts w:hint="eastAsia" w:cs="宋体"/>
          <w:color w:val="FF0000"/>
          <w:sz w:val="24"/>
          <w:szCs w:val="24"/>
          <w:highlight w:val="none"/>
          <w:lang w:val="en-US" w:eastAsia="zh-CN"/>
        </w:rPr>
        <w:t>2026年10月20日之前完工</w:t>
      </w:r>
    </w:p>
    <w:p w14:paraId="4A652C7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本项目</w:t>
      </w:r>
      <w:r>
        <w:rPr>
          <w:rFonts w:hint="eastAsia" w:ascii="宋体" w:hAnsi="宋体" w:eastAsia="宋体" w:cs="宋体"/>
          <w:sz w:val="24"/>
          <w:szCs w:val="24"/>
          <w:highlight w:val="none"/>
          <w:lang w:val="en-US"/>
        </w:rPr>
        <w:t>不</w:t>
      </w:r>
      <w:r>
        <w:rPr>
          <w:rFonts w:hint="eastAsia" w:ascii="宋体" w:hAnsi="宋体" w:eastAsia="宋体" w:cs="宋体"/>
          <w:sz w:val="24"/>
          <w:szCs w:val="24"/>
          <w:highlight w:val="none"/>
        </w:rPr>
        <w:t>接受联合体投标。</w:t>
      </w:r>
    </w:p>
    <w:p w14:paraId="547D5D2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二、申请人的资格要求：</w:t>
      </w:r>
    </w:p>
    <w:p w14:paraId="1C656F25">
      <w:pPr>
        <w:keepNext w:val="0"/>
        <w:keepLines w:val="0"/>
        <w:pageBreakBefore w:val="0"/>
        <w:kinsoku/>
        <w:wordWrap/>
        <w:overflowPunct/>
        <w:topLinePunct w:val="0"/>
        <w:autoSpaceDE/>
        <w:autoSpaceDN/>
        <w:bidi w:val="0"/>
        <w:spacing w:line="360" w:lineRule="auto"/>
        <w:ind w:firstLine="373"/>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327FF50D">
      <w:pPr>
        <w:keepNext w:val="0"/>
        <w:keepLines w:val="0"/>
        <w:pageBreakBefore w:val="0"/>
        <w:kinsoku/>
        <w:wordWrap/>
        <w:overflowPunct/>
        <w:topLinePunct w:val="0"/>
        <w:autoSpaceDE/>
        <w:autoSpaceDN/>
        <w:bidi w:val="0"/>
        <w:spacing w:line="360" w:lineRule="auto"/>
        <w:ind w:firstLine="373"/>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2.落实政府采购政策需满足的资格要求：</w:t>
      </w:r>
      <w:r>
        <w:rPr>
          <w:rFonts w:hint="eastAsia" w:cs="宋体"/>
          <w:b/>
          <w:bCs/>
          <w:sz w:val="24"/>
          <w:szCs w:val="24"/>
          <w:highlight w:val="none"/>
          <w:lang w:eastAsia="zh-CN"/>
        </w:rPr>
        <w:t>供应商所提供</w:t>
      </w:r>
      <w:r>
        <w:rPr>
          <w:rFonts w:hint="eastAsia" w:cs="宋体"/>
          <w:b/>
          <w:bCs/>
          <w:sz w:val="24"/>
          <w:szCs w:val="24"/>
          <w:highlight w:val="none"/>
          <w:lang w:val="en-US" w:eastAsia="zh-CN"/>
        </w:rPr>
        <w:t>工程</w:t>
      </w:r>
      <w:r>
        <w:rPr>
          <w:rFonts w:hint="eastAsia" w:cs="宋体"/>
          <w:b/>
          <w:bCs/>
          <w:sz w:val="24"/>
          <w:szCs w:val="24"/>
          <w:highlight w:val="none"/>
          <w:lang w:eastAsia="zh-CN"/>
        </w:rPr>
        <w:t>为大中型企业承接的，应预留至少40%的份额由中小企业提供，其中预留给小微企业的比例不低于60%。</w:t>
      </w:r>
    </w:p>
    <w:p w14:paraId="609CE0A3">
      <w:pPr>
        <w:keepNext w:val="0"/>
        <w:keepLines w:val="0"/>
        <w:pageBreakBefore w:val="0"/>
        <w:kinsoku/>
        <w:wordWrap/>
        <w:overflowPunct/>
        <w:topLinePunct w:val="0"/>
        <w:autoSpaceDE/>
        <w:autoSpaceDN/>
        <w:bidi w:val="0"/>
        <w:spacing w:line="360" w:lineRule="auto"/>
        <w:ind w:firstLine="373"/>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 </w:t>
      </w:r>
    </w:p>
    <w:p w14:paraId="74115CDE">
      <w:pPr>
        <w:pStyle w:val="19"/>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kern w:val="2"/>
          <w:highlight w:val="none"/>
          <w:lang w:val="en-US" w:bidi="ar-SA"/>
        </w:rPr>
      </w:pPr>
      <w:r>
        <w:rPr>
          <w:rFonts w:hint="eastAsia" w:ascii="宋体" w:hAnsi="宋体" w:eastAsia="宋体" w:cs="宋体"/>
          <w:kern w:val="2"/>
          <w:highlight w:val="none"/>
          <w:lang w:val="en-US" w:bidi="ar-SA"/>
        </w:rPr>
        <w:t>（1）符合《中华人民共和国政府采购法》第二十二条相关规定； </w:t>
      </w:r>
    </w:p>
    <w:p w14:paraId="0BDEAB91">
      <w:pPr>
        <w:pStyle w:val="19"/>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kern w:val="2"/>
          <w:highlight w:val="none"/>
          <w:lang w:val="en-US" w:bidi="ar-SA"/>
        </w:rPr>
      </w:pPr>
      <w:r>
        <w:rPr>
          <w:rFonts w:hint="eastAsia" w:ascii="宋体" w:hAnsi="宋体" w:eastAsia="宋体" w:cs="宋体"/>
          <w:kern w:val="2"/>
          <w:highlight w:val="none"/>
          <w:lang w:val="en-US" w:bidi="ar-SA"/>
        </w:rPr>
        <w:t>（2）合格有效的法人或非法人组织营业执照；</w:t>
      </w:r>
    </w:p>
    <w:p w14:paraId="2E412D6B">
      <w:pPr>
        <w:pStyle w:val="19"/>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kern w:val="2"/>
          <w:highlight w:val="none"/>
          <w:lang w:val="en-US" w:bidi="ar-SA"/>
        </w:rPr>
      </w:pPr>
      <w:r>
        <w:rPr>
          <w:rFonts w:hint="eastAsia" w:ascii="宋体" w:hAnsi="宋体" w:eastAsia="宋体" w:cs="宋体"/>
          <w:kern w:val="2"/>
          <w:highlight w:val="none"/>
          <w:lang w:val="en-US" w:bidi="ar-SA"/>
        </w:rPr>
        <w:t>（3）法定代表人资格证明或法定代表人授权委托书及身份证；</w:t>
      </w:r>
    </w:p>
    <w:p w14:paraId="475245F4">
      <w:pPr>
        <w:pStyle w:val="19"/>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kern w:val="2"/>
          <w:highlight w:val="none"/>
          <w:lang w:val="en-US" w:bidi="ar-SA"/>
        </w:rPr>
      </w:pPr>
      <w:r>
        <w:rPr>
          <w:rFonts w:hint="eastAsia" w:ascii="宋体" w:hAnsi="宋体" w:eastAsia="宋体" w:cs="宋体"/>
          <w:kern w:val="2"/>
          <w:highlight w:val="none"/>
          <w:lang w:val="en-US" w:bidi="ar-SA"/>
        </w:rPr>
        <w:t>（4）</w:t>
      </w:r>
      <w:r>
        <w:rPr>
          <w:rFonts w:hint="eastAsia" w:cs="宋体"/>
          <w:kern w:val="2"/>
          <w:highlight w:val="none"/>
          <w:lang w:val="en-US" w:eastAsia="zh-CN" w:bidi="ar-SA"/>
        </w:rPr>
        <w:t>近六个月内任意一个月完税证明及近六个月内任意一个月本单位社保缴纳证明</w:t>
      </w:r>
      <w:r>
        <w:rPr>
          <w:rFonts w:hint="eastAsia" w:ascii="宋体" w:hAnsi="宋体" w:eastAsia="宋体" w:cs="宋体"/>
          <w:kern w:val="2"/>
          <w:highlight w:val="none"/>
          <w:lang w:val="en-US" w:bidi="ar-SA"/>
        </w:rPr>
        <w:t>（及个人明细）、</w:t>
      </w:r>
      <w:r>
        <w:rPr>
          <w:rFonts w:hint="eastAsia" w:cs="宋体"/>
          <w:kern w:val="2"/>
          <w:highlight w:val="none"/>
          <w:lang w:val="en-US" w:eastAsia="zh-CN" w:bidi="ar-SA"/>
        </w:rPr>
        <w:t>近一年（指2024年度或2025年年度）财务审计报告</w:t>
      </w:r>
      <w:r>
        <w:rPr>
          <w:rFonts w:hint="eastAsia" w:ascii="宋体" w:hAnsi="宋体" w:eastAsia="宋体" w:cs="宋体"/>
          <w:kern w:val="2"/>
          <w:highlight w:val="none"/>
          <w:lang w:val="en-US" w:bidi="ar-SA"/>
        </w:rPr>
        <w:t>（成立不满一年的提供开标前一个月内有效银行资信证明）；</w:t>
      </w:r>
    </w:p>
    <w:p w14:paraId="40A89ECB">
      <w:pPr>
        <w:pStyle w:val="19"/>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kern w:val="2"/>
          <w:highlight w:val="none"/>
          <w:lang w:val="en-US" w:bidi="ar-SA"/>
        </w:rPr>
      </w:pPr>
      <w:r>
        <w:rPr>
          <w:rFonts w:hint="eastAsia" w:ascii="宋体" w:hAnsi="宋体" w:eastAsia="宋体" w:cs="宋体"/>
          <w:kern w:val="2"/>
          <w:highlight w:val="none"/>
          <w:lang w:val="en-US" w:bidi="ar-SA"/>
        </w:rPr>
        <w:t>（5）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拒绝其参加本次政府采购活动；</w:t>
      </w:r>
    </w:p>
    <w:p w14:paraId="70E9FBEB">
      <w:pPr>
        <w:pStyle w:val="19"/>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kern w:val="2"/>
          <w:highlight w:val="none"/>
          <w:lang w:val="en-US" w:bidi="ar-SA"/>
        </w:rPr>
      </w:pPr>
      <w:r>
        <w:rPr>
          <w:rFonts w:hint="eastAsia" w:ascii="宋体" w:hAnsi="宋体" w:eastAsia="宋体" w:cs="宋体"/>
          <w:kern w:val="2"/>
          <w:highlight w:val="none"/>
          <w:lang w:val="en-US" w:bidi="ar-SA"/>
        </w:rPr>
        <w:t>（6）供应商及其法人参加本次采购活动前三年内，在经营活动中没有重大违法记录的声明及</w:t>
      </w:r>
      <w:r>
        <w:rPr>
          <w:rFonts w:hint="eastAsia" w:cs="宋体"/>
          <w:kern w:val="2"/>
          <w:highlight w:val="none"/>
          <w:lang w:val="en-US" w:eastAsia="zh-CN" w:bidi="ar-SA"/>
        </w:rPr>
        <w:t>反商业贿赂承诺书</w:t>
      </w:r>
      <w:r>
        <w:rPr>
          <w:rFonts w:hint="eastAsia" w:ascii="宋体" w:hAnsi="宋体" w:eastAsia="宋体" w:cs="宋体"/>
          <w:kern w:val="2"/>
          <w:highlight w:val="none"/>
          <w:lang w:val="en-US" w:bidi="ar-SA"/>
        </w:rPr>
        <w:t>。</w:t>
      </w:r>
    </w:p>
    <w:p w14:paraId="5DC0A5C0">
      <w:pPr>
        <w:pStyle w:val="20"/>
        <w:ind w:left="0" w:leftChars="0" w:firstLine="0" w:firstLineChars="0"/>
        <w:rPr>
          <w:rFonts w:hint="eastAsia"/>
          <w:highlight w:val="none"/>
          <w:lang w:val="en-US"/>
        </w:rPr>
      </w:pPr>
      <w:r>
        <w:rPr>
          <w:rFonts w:hint="eastAsia" w:ascii="宋体" w:hAnsi="宋体" w:eastAsia="宋体" w:cs="宋体"/>
          <w:b w:val="0"/>
          <w:bCs/>
          <w:color w:val="auto"/>
          <w:sz w:val="24"/>
          <w:highlight w:val="none"/>
          <w:lang w:val="en-US" w:eastAsia="zh-CN"/>
        </w:rPr>
        <w:t>（7）1.投标人须具备公路工程施工总承包三级及以上资质，并在人员、设备、资金等方面具有相应的施工能力；</w:t>
      </w:r>
      <w:r>
        <w:rPr>
          <w:rFonts w:hint="eastAsia" w:ascii="宋体" w:hAnsi="宋体" w:cs="宋体"/>
          <w:b w:val="0"/>
          <w:bCs/>
          <w:color w:val="auto"/>
          <w:sz w:val="24"/>
          <w:highlight w:val="none"/>
          <w:lang w:val="en-US" w:eastAsia="zh-CN"/>
        </w:rPr>
        <w:t>2.</w:t>
      </w:r>
      <w:r>
        <w:rPr>
          <w:rFonts w:hint="eastAsia" w:ascii="宋体" w:hAnsi="宋体" w:eastAsia="宋体" w:cs="宋体"/>
          <w:b w:val="0"/>
          <w:bCs/>
          <w:color w:val="auto"/>
          <w:sz w:val="24"/>
          <w:highlight w:val="none"/>
          <w:lang w:val="en-US" w:eastAsia="zh-CN"/>
        </w:rPr>
        <w:t>具有效的安全生产许可证（</w:t>
      </w:r>
      <w:r>
        <w:rPr>
          <w:rFonts w:hint="eastAsia" w:ascii="宋体" w:hAnsi="宋体" w:eastAsia="宋体" w:cs="宋体"/>
          <w:b w:val="0"/>
          <w:bCs/>
          <w:color w:val="FF0000"/>
          <w:sz w:val="24"/>
          <w:highlight w:val="none"/>
          <w:lang w:val="en-US" w:eastAsia="zh-CN"/>
        </w:rPr>
        <w:t>有效的安全生产许可证查询网址：https://zlaq.mohurd.gov.cn/fwmh/bjxcjgl/fwmh/pages/default/index.html；</w:t>
      </w:r>
      <w:r>
        <w:rPr>
          <w:rFonts w:hint="eastAsia" w:ascii="宋体" w:hAnsi="宋体" w:eastAsia="宋体" w:cs="宋体"/>
          <w:b w:val="0"/>
          <w:bCs/>
          <w:color w:val="auto"/>
          <w:sz w:val="24"/>
          <w:highlight w:val="none"/>
          <w:lang w:val="en-US" w:eastAsia="zh-CN"/>
        </w:rPr>
        <w:t>）。3</w:t>
      </w:r>
      <w:r>
        <w:rPr>
          <w:rFonts w:hint="eastAsia" w:ascii="宋体" w:hAnsi="宋体" w:cs="宋体"/>
          <w:b w:val="0"/>
          <w:bCs/>
          <w:color w:val="auto"/>
          <w:sz w:val="24"/>
          <w:highlight w:val="none"/>
          <w:lang w:val="en-US" w:eastAsia="zh-CN"/>
        </w:rPr>
        <w:t>.施工投标人应进入交通运输部“全国公路建设市场监督管理系统”中的公路工程施工资质企业名录；对于仅具备公路工程施工总承包贰级及以下资质且尚未记录在“全国公路建设市场监督管理系统”的，投标人须被列入企业注册地省级交通运输主管部门公路建设市场信用信息管理系统（例如“信用交通·新疆”）。且投标人名称和资质与“全国公路建设市场监督管理系统”或省级交通运输主管部门公路建设市场信用信息管理系统（以下简称省级公路建设市场监管系统）中的相应企业名称和资质完全一致。</w:t>
      </w:r>
      <w:r>
        <w:rPr>
          <w:rFonts w:hint="eastAsia" w:ascii="宋体" w:hAnsi="宋体" w:eastAsia="宋体" w:cs="宋体"/>
          <w:b w:val="0"/>
          <w:bCs/>
          <w:color w:val="auto"/>
          <w:sz w:val="24"/>
          <w:highlight w:val="none"/>
          <w:lang w:val="en-US" w:eastAsia="zh-CN"/>
        </w:rPr>
        <w:t>;项目负责人应具备【公路工程二级】（含）以上注册建造师资格及持有有效的B类安全考核合格证，且未担任其他在施建设项目的项目负责人；</w:t>
      </w:r>
    </w:p>
    <w:p w14:paraId="5E93A594">
      <w:pPr>
        <w:keepNext w:val="0"/>
        <w:keepLines w:val="0"/>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三、获取磋商文件</w:t>
      </w:r>
    </w:p>
    <w:p w14:paraId="339A148C">
      <w:pPr>
        <w:pStyle w:val="43"/>
        <w:keepNext w:val="0"/>
        <w:keepLines w:val="0"/>
        <w:pageBreakBefore w:val="0"/>
        <w:kinsoku/>
        <w:wordWrap/>
        <w:overflowPunct/>
        <w:topLinePunct w:val="0"/>
        <w:bidi w:val="0"/>
        <w:spacing w:line="360" w:lineRule="auto"/>
        <w:ind w:left="480" w:leftChars="218"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日至202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日，每天00：00至23：59(北京时间)地点：</w:t>
      </w:r>
      <w:r>
        <w:rPr>
          <w:rFonts w:hint="eastAsia" w:ascii="宋体" w:hAnsi="宋体" w:eastAsia="宋体" w:cs="宋体"/>
          <w:color w:val="auto"/>
          <w:sz w:val="24"/>
          <w:szCs w:val="24"/>
          <w:highlight w:val="none"/>
        </w:rPr>
        <w:t>政采云平台线上获取（https://www.zcygov.cn/） </w:t>
      </w:r>
    </w:p>
    <w:p w14:paraId="142C2C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方式：</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登录政采云平台https://www.zcygov.cn/在线申请获取采购文件（进入“项目采购”应用，在获取采购文件菜单中选择项目，申请获取采购文件）</w:t>
      </w:r>
    </w:p>
    <w:p w14:paraId="7221AADE">
      <w:pPr>
        <w:keepNext w:val="0"/>
        <w:keepLines w:val="0"/>
        <w:pageBreakBefore w:val="0"/>
        <w:kinsoku/>
        <w:wordWrap/>
        <w:overflowPunct/>
        <w:topLinePunct w:val="0"/>
        <w:autoSpaceDE/>
        <w:autoSpaceDN/>
        <w:bidi w:val="0"/>
        <w:spacing w:line="360" w:lineRule="auto"/>
        <w:ind w:firstLine="547" w:firstLineChars="228"/>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售价：0.00元</w:t>
      </w:r>
    </w:p>
    <w:p w14:paraId="45F350E9">
      <w:pPr>
        <w:keepNext w:val="0"/>
        <w:keepLines w:val="0"/>
        <w:pageBreakBefore w:val="0"/>
        <w:numPr>
          <w:ilvl w:val="0"/>
          <w:numId w:val="1"/>
        </w:numPr>
        <w:kinsoku/>
        <w:wordWrap/>
        <w:overflowPunct/>
        <w:topLinePunct w:val="0"/>
        <w:autoSpaceDE/>
        <w:autoSpaceDN/>
        <w:bidi w:val="0"/>
        <w:spacing w:line="360" w:lineRule="auto"/>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提交投标文件截止时间、开标时间和地点</w:t>
      </w:r>
    </w:p>
    <w:p w14:paraId="4B5046B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lang w:val="en-US"/>
        </w:rPr>
        <w:t>时间：</w:t>
      </w:r>
      <w:r>
        <w:rPr>
          <w:rFonts w:hint="eastAsia" w:cs="宋体"/>
          <w:bCs/>
          <w:sz w:val="24"/>
          <w:szCs w:val="24"/>
          <w:highlight w:val="none"/>
          <w:u w:val="single"/>
          <w:lang w:val="en-US" w:eastAsia="zh-CN"/>
        </w:rPr>
        <w:t>2026年06月04日11点00分</w:t>
      </w:r>
      <w:r>
        <w:rPr>
          <w:rFonts w:hint="eastAsia" w:ascii="宋体" w:hAnsi="宋体" w:eastAsia="宋体" w:cs="宋体"/>
          <w:bCs/>
          <w:sz w:val="24"/>
          <w:szCs w:val="24"/>
          <w:highlight w:val="none"/>
        </w:rPr>
        <w:t>（北京时间）</w:t>
      </w:r>
    </w:p>
    <w:p w14:paraId="31383F8B">
      <w:pPr>
        <w:pStyle w:val="19"/>
        <w:keepNext w:val="0"/>
        <w:keepLines w:val="0"/>
        <w:pageBreakBefore w:val="0"/>
        <w:widowControl/>
        <w:kinsoku/>
        <w:wordWrap/>
        <w:overflowPunct/>
        <w:topLinePunct w:val="0"/>
        <w:bidi w:val="0"/>
        <w:adjustRightInd w:val="0"/>
        <w:snapToGrid w:val="0"/>
        <w:spacing w:beforeAutospacing="0" w:afterAutospacing="0" w:line="360" w:lineRule="auto"/>
        <w:ind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rPr>
        <w:t>地点：</w:t>
      </w:r>
      <w:r>
        <w:rPr>
          <w:rFonts w:hint="eastAsia" w:ascii="宋体" w:hAnsi="宋体" w:eastAsia="宋体" w:cs="宋体"/>
          <w:color w:val="auto"/>
          <w:sz w:val="24"/>
          <w:szCs w:val="24"/>
          <w:highlight w:val="none"/>
        </w:rPr>
        <w:t>政采云平台（https://www.zcygov.cn/）不见面开标</w:t>
      </w:r>
    </w:p>
    <w:p w14:paraId="5B2884F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五、公告期限</w:t>
      </w:r>
    </w:p>
    <w:p w14:paraId="69C7BD4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自本公告发布之日起5个工作日。</w:t>
      </w:r>
    </w:p>
    <w:p w14:paraId="00777B7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六、其他补充事宜</w:t>
      </w:r>
    </w:p>
    <w:p w14:paraId="511B7CB6">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right="0" w:rightChars="0" w:firstLine="240" w:firstLineChars="100"/>
        <w:jc w:val="both"/>
        <w:textAlignment w:val="auto"/>
        <w:rPr>
          <w:rFonts w:hint="eastAsia" w:ascii="宋体" w:hAnsi="宋体" w:eastAsia="宋体" w:cs="宋体"/>
          <w:i w:val="0"/>
          <w:caps w:val="0"/>
          <w:color w:val="000000"/>
          <w:spacing w:val="0"/>
          <w:sz w:val="24"/>
          <w:szCs w:val="24"/>
          <w:highlight w:val="none"/>
          <w:lang w:val="en-US" w:eastAsia="zh-CN"/>
        </w:rPr>
      </w:pPr>
      <w:bookmarkStart w:id="0" w:name="_Toc35393626"/>
      <w:bookmarkStart w:id="1" w:name="_Toc647"/>
      <w:bookmarkStart w:id="2" w:name="_Toc35393795"/>
      <w:bookmarkStart w:id="3" w:name="_Toc18258"/>
      <w:r>
        <w:rPr>
          <w:rFonts w:hint="eastAsia" w:ascii="宋体" w:hAnsi="宋体" w:eastAsia="宋体" w:cs="宋体"/>
          <w:i w:val="0"/>
          <w:caps w:val="0"/>
          <w:color w:val="000000"/>
          <w:spacing w:val="0"/>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39800154">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right="0" w:rightChars="0" w:firstLine="240" w:firstLineChars="100"/>
        <w:jc w:val="both"/>
        <w:textAlignment w:val="auto"/>
        <w:rPr>
          <w:rFonts w:hint="eastAsia"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14:paraId="58F12BA5">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right="0" w:rightChars="0" w:firstLine="240" w:firstLineChars="100"/>
        <w:jc w:val="both"/>
        <w:textAlignment w:val="auto"/>
        <w:rPr>
          <w:rFonts w:hint="eastAsia"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4B29854E">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right="0" w:rightChars="0" w:firstLine="240" w:firstLineChars="100"/>
        <w:jc w:val="both"/>
        <w:textAlignment w:val="auto"/>
        <w:rPr>
          <w:rFonts w:hint="eastAsia"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5EED1289">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right="0" w:rightChars="0" w:firstLine="240" w:firstLineChars="100"/>
        <w:jc w:val="both"/>
        <w:textAlignment w:val="auto"/>
        <w:rPr>
          <w:rFonts w:hint="eastAsia"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lang w:val="en-US" w:eastAsia="zh-CN"/>
        </w:rPr>
        <w:t>5.供应商在开标时须使用制作加密电子投标文件所使用的CA锁及电脑，电脑须提前配置好浏览器（建议使用谷歌浏览器），以便开标时解锁。</w:t>
      </w:r>
    </w:p>
    <w:p w14:paraId="50B6C6DB">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right="0" w:rightChars="0" w:firstLine="240" w:firstLineChars="100"/>
        <w:jc w:val="both"/>
        <w:textAlignment w:val="auto"/>
        <w:rPr>
          <w:rFonts w:hint="eastAsia"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10D6DB8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bookmarkEnd w:id="0"/>
      <w:bookmarkEnd w:id="1"/>
      <w:bookmarkEnd w:id="2"/>
      <w:bookmarkEnd w:id="3"/>
    </w:p>
    <w:p w14:paraId="37EF2828">
      <w:pPr>
        <w:keepNext w:val="0"/>
        <w:keepLines w:val="0"/>
        <w:pageBreakBefore w:val="0"/>
        <w:kinsoku/>
        <w:wordWrap/>
        <w:overflowPunct/>
        <w:topLinePunct w:val="0"/>
        <w:autoSpaceDE/>
        <w:autoSpaceDN/>
        <w:bidi w:val="0"/>
        <w:spacing w:line="360" w:lineRule="auto"/>
        <w:textAlignment w:val="auto"/>
        <w:rPr>
          <w:rFonts w:hint="default"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lang w:val="en-US" w:eastAsia="zh-CN"/>
        </w:rPr>
        <w:t>8.严格按照《国家以工代赈管理办法》《自治区以工代服管理实施细则》等相关规定，按照“能用人工尽量不使用机械，能用当地群众尽量不使用专业施工队伍”的要求，加强当地群众务工组织，及时足额发放劳务报酬。在项目招标文件和工程施工合同、监理合同中，要明确有关以工代贩劳务报酬章节条数，要求施工单位必须组织好项目所在地群众参与工程建设。本项目计划带动当地群众240人，开展技能培训240人，劳务报酬发放总额320万元以上，劳务报酬发放占比不低于中央资金的41.83%，并尽可能提高劳务报酬发放比例。劳务报酬通过“新薪通”平台统一发放，劳务报酬发放应当公开、足额、及时，严禁克扣、拖欠，劳务报酬发放档案信息要规范真实、有据可查，要长期保存劳务报酬发放档案。本项目采用“公益性基础设施建设+劳务报酬发放+就业技能培训+公益性岗位设置”模式实施，设置公益性岗位2个，持续3年，公益性岗位工资按每月1800月/人，年工资21600元/人。</w:t>
      </w:r>
    </w:p>
    <w:p w14:paraId="3E75D2C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七、对本次招标提出询问，请按以下方式联系。　　　　　　　　　　　　</w:t>
      </w:r>
    </w:p>
    <w:p w14:paraId="714542B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1.采购人信息</w:t>
      </w:r>
    </w:p>
    <w:p w14:paraId="50E9BFE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名 称：</w:t>
      </w:r>
      <w:r>
        <w:rPr>
          <w:rFonts w:hint="eastAsia" w:cs="宋体"/>
          <w:sz w:val="24"/>
          <w:szCs w:val="24"/>
          <w:highlight w:val="none"/>
          <w:lang w:val="en-US" w:eastAsia="zh-CN"/>
        </w:rPr>
        <w:t>叶城县洛克乡人民政府</w:t>
      </w:r>
    </w:p>
    <w:p w14:paraId="2979953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地 址：</w:t>
      </w:r>
      <w:r>
        <w:rPr>
          <w:rFonts w:hint="eastAsia" w:cs="宋体"/>
          <w:sz w:val="24"/>
          <w:szCs w:val="24"/>
          <w:highlight w:val="none"/>
          <w:lang w:val="en-US" w:eastAsia="zh-CN"/>
        </w:rPr>
        <w:t>叶城县洛克乡</w:t>
      </w:r>
    </w:p>
    <w:p w14:paraId="087D702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联系人：</w:t>
      </w:r>
      <w:r>
        <w:rPr>
          <w:rFonts w:hint="eastAsia" w:cs="宋体"/>
          <w:sz w:val="24"/>
          <w:szCs w:val="24"/>
          <w:highlight w:val="none"/>
          <w:lang w:val="en-US" w:eastAsia="zh-CN"/>
        </w:rPr>
        <w:t>宋浩</w:t>
      </w:r>
    </w:p>
    <w:p w14:paraId="15C57C2D">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2.采购代理机构信息</w:t>
      </w:r>
    </w:p>
    <w:p w14:paraId="57896158">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名 称：</w:t>
      </w:r>
      <w:r>
        <w:rPr>
          <w:rFonts w:hint="eastAsia" w:cs="宋体"/>
          <w:sz w:val="24"/>
          <w:szCs w:val="24"/>
          <w:highlight w:val="none"/>
          <w:lang w:val="en-US" w:eastAsia="zh-CN"/>
        </w:rPr>
        <w:t>新疆惠中源项目管理有限公司</w:t>
      </w:r>
    </w:p>
    <w:p w14:paraId="61C0A9B0">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bidi="ar"/>
        </w:rPr>
      </w:pPr>
      <w:r>
        <w:rPr>
          <w:rFonts w:hint="eastAsia" w:ascii="宋体" w:hAnsi="宋体" w:eastAsia="宋体" w:cs="宋体"/>
          <w:sz w:val="24"/>
          <w:szCs w:val="24"/>
          <w:highlight w:val="none"/>
          <w:lang w:val="en-US"/>
        </w:rPr>
        <w:t>地 址：</w:t>
      </w:r>
      <w:r>
        <w:rPr>
          <w:rFonts w:hint="eastAsia" w:cs="宋体"/>
          <w:i w:val="0"/>
          <w:caps w:val="0"/>
          <w:color w:val="000000"/>
          <w:spacing w:val="0"/>
          <w:sz w:val="24"/>
          <w:szCs w:val="24"/>
          <w:highlight w:val="none"/>
          <w:lang w:val="en-US" w:eastAsia="zh-CN"/>
        </w:rPr>
        <w:t>新疆喀什地区喀什经济开发区深喀大道陕西大厦1005室</w:t>
      </w:r>
    </w:p>
    <w:p w14:paraId="09D3389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highlight w:val="none"/>
          <w:lang w:val="en-US"/>
        </w:rPr>
      </w:pPr>
      <w:r>
        <w:rPr>
          <w:rFonts w:hint="eastAsia" w:ascii="宋体" w:hAnsi="宋体" w:eastAsia="宋体" w:cs="宋体"/>
          <w:sz w:val="24"/>
          <w:szCs w:val="24"/>
          <w:highlight w:val="none"/>
          <w:lang w:val="en-US"/>
        </w:rPr>
        <w:t>联系方式：</w:t>
      </w:r>
      <w:r>
        <w:rPr>
          <w:rFonts w:hint="eastAsia" w:cs="宋体"/>
          <w:sz w:val="24"/>
          <w:highlight w:val="none"/>
          <w:lang w:val="en-US" w:eastAsia="zh-CN"/>
        </w:rPr>
        <w:t>于大海</w:t>
      </w:r>
      <w:r>
        <w:rPr>
          <w:rFonts w:hint="eastAsia" w:ascii="宋体" w:hAnsi="宋体" w:eastAsia="宋体" w:cs="宋体"/>
          <w:sz w:val="24"/>
          <w:highlight w:val="none"/>
          <w:lang w:val="en-US"/>
        </w:rPr>
        <w:t xml:space="preserve">   </w:t>
      </w:r>
    </w:p>
    <w:p w14:paraId="42F73712">
      <w:pPr>
        <w:keepNext w:val="0"/>
        <w:keepLines w:val="0"/>
        <w:pageBreakBefore w:val="0"/>
        <w:kinsoku/>
        <w:wordWrap/>
        <w:overflowPunct/>
        <w:topLinePunct w:val="0"/>
        <w:autoSpaceDE/>
        <w:autoSpaceDN/>
        <w:bidi w:val="0"/>
        <w:spacing w:line="240" w:lineRule="auto"/>
        <w:textAlignment w:val="auto"/>
        <w:rPr>
          <w:rFonts w:hint="default" w:ascii="宋体" w:hAnsi="宋体" w:eastAsia="宋体" w:cs="宋体"/>
          <w:sz w:val="24"/>
          <w:highlight w:val="none"/>
          <w:lang w:val="en-US" w:eastAsia="zh-CN"/>
        </w:rPr>
      </w:pPr>
      <w:r>
        <w:rPr>
          <w:rFonts w:hint="eastAsia" w:cs="宋体"/>
          <w:sz w:val="24"/>
          <w:highlight w:val="none"/>
          <w:lang w:val="en-US" w:eastAsia="zh-CN"/>
        </w:rPr>
        <w:t>电话：18999110912</w:t>
      </w:r>
    </w:p>
    <w:p w14:paraId="66975C41">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3.项目联系方式</w:t>
      </w:r>
    </w:p>
    <w:p w14:paraId="78B723BC">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项目联系人：</w:t>
      </w:r>
      <w:r>
        <w:rPr>
          <w:rFonts w:hint="eastAsia" w:cs="宋体"/>
          <w:sz w:val="24"/>
          <w:highlight w:val="none"/>
          <w:lang w:val="en-US" w:eastAsia="zh-CN"/>
        </w:rPr>
        <w:t>于大海</w:t>
      </w:r>
      <w:r>
        <w:rPr>
          <w:rFonts w:hint="eastAsia" w:ascii="宋体" w:hAnsi="宋体" w:eastAsia="宋体" w:cs="宋体"/>
          <w:sz w:val="24"/>
          <w:highlight w:val="none"/>
          <w:lang w:val="en-US"/>
        </w:rPr>
        <w:t xml:space="preserve">   </w:t>
      </w:r>
    </w:p>
    <w:p w14:paraId="53AC0B07">
      <w:pPr>
        <w:keepNext w:val="0"/>
        <w:keepLines w:val="0"/>
        <w:pageBreakBefore w:val="0"/>
        <w:kinsoku/>
        <w:wordWrap/>
        <w:overflowPunct/>
        <w:topLinePunct w:val="0"/>
        <w:autoSpaceDE/>
        <w:autoSpaceDN/>
        <w:bidi w:val="0"/>
        <w:spacing w:line="240" w:lineRule="auto"/>
        <w:textAlignment w:val="auto"/>
        <w:rPr>
          <w:rFonts w:hint="eastAsia" w:cs="宋体"/>
          <w:sz w:val="24"/>
          <w:szCs w:val="24"/>
          <w:highlight w:val="none"/>
          <w:lang w:val="en-US" w:eastAsia="zh-CN" w:bidi="ar"/>
        </w:rPr>
      </w:pPr>
      <w:r>
        <w:rPr>
          <w:rFonts w:hint="eastAsia" w:ascii="宋体" w:hAnsi="宋体" w:eastAsia="宋体" w:cs="宋体"/>
          <w:sz w:val="24"/>
          <w:szCs w:val="24"/>
          <w:highlight w:val="none"/>
          <w:lang w:val="en-US"/>
        </w:rPr>
        <w:t>电话：</w:t>
      </w:r>
      <w:r>
        <w:rPr>
          <w:rFonts w:hint="eastAsia" w:cs="宋体"/>
          <w:sz w:val="24"/>
          <w:szCs w:val="24"/>
          <w:highlight w:val="none"/>
          <w:lang w:val="en-US" w:eastAsia="zh-CN" w:bidi="ar"/>
        </w:rPr>
        <w:t>18999110912</w:t>
      </w:r>
    </w:p>
    <w:p w14:paraId="759FD842">
      <w:pPr>
        <w:pStyle w:val="23"/>
        <w:rPr>
          <w:rFonts w:hint="eastAsia" w:cs="宋体"/>
          <w:sz w:val="24"/>
          <w:szCs w:val="24"/>
          <w:highlight w:val="none"/>
          <w:lang w:val="en-US" w:eastAsia="zh-CN" w:bidi="ar"/>
        </w:rPr>
      </w:pPr>
    </w:p>
    <w:p w14:paraId="2127DFBA">
      <w:pPr>
        <w:pStyle w:val="22"/>
        <w:rPr>
          <w:rFonts w:hint="eastAsia" w:cs="宋体"/>
          <w:sz w:val="24"/>
          <w:szCs w:val="24"/>
          <w:highlight w:val="none"/>
          <w:lang w:val="en-US" w:eastAsia="zh-CN" w:bidi="ar"/>
        </w:rPr>
      </w:pPr>
    </w:p>
    <w:p w14:paraId="5BFC4D42">
      <w:pPr>
        <w:pStyle w:val="22"/>
        <w:rPr>
          <w:rFonts w:hint="eastAsia" w:cs="宋体"/>
          <w:sz w:val="24"/>
          <w:szCs w:val="24"/>
          <w:highlight w:val="none"/>
          <w:lang w:val="en-US" w:eastAsia="zh-CN" w:bidi="ar"/>
        </w:rPr>
      </w:pPr>
    </w:p>
    <w:p w14:paraId="307D652F">
      <w:pPr>
        <w:pStyle w:val="22"/>
        <w:rPr>
          <w:rFonts w:hint="default" w:cs="宋体"/>
          <w:sz w:val="24"/>
          <w:szCs w:val="24"/>
          <w:highlight w:val="none"/>
          <w:lang w:val="en-US" w:eastAsia="zh-CN" w:bidi="ar"/>
        </w:rPr>
      </w:pPr>
    </w:p>
    <w:p w14:paraId="2BA8F61E">
      <w:pPr>
        <w:rPr>
          <w:rFonts w:hint="eastAsia" w:ascii="宋体" w:hAnsi="宋体" w:eastAsia="宋体" w:cs="宋体"/>
          <w:highlight w:val="none"/>
        </w:rPr>
      </w:pPr>
    </w:p>
    <w:p w14:paraId="2ADD8E2C">
      <w:pPr>
        <w:rPr>
          <w:rFonts w:hint="eastAsia" w:ascii="宋体" w:hAnsi="宋体" w:eastAsia="宋体" w:cs="宋体"/>
          <w:b/>
          <w:spacing w:val="1"/>
          <w:sz w:val="30"/>
          <w:szCs w:val="30"/>
          <w:highlight w:val="none"/>
          <w:lang w:val="en-US" w:bidi="ar-SA"/>
        </w:rPr>
      </w:pPr>
      <w:r>
        <w:rPr>
          <w:rFonts w:hint="eastAsia" w:ascii="宋体" w:hAnsi="宋体" w:eastAsia="宋体" w:cs="宋体"/>
          <w:b/>
          <w:spacing w:val="1"/>
          <w:sz w:val="30"/>
          <w:szCs w:val="30"/>
          <w:highlight w:val="none"/>
          <w:lang w:val="en-US" w:bidi="ar-SA"/>
        </w:rPr>
        <w:br w:type="page"/>
      </w:r>
    </w:p>
    <w:p w14:paraId="741836AD">
      <w:pPr>
        <w:kinsoku w:val="0"/>
        <w:overflowPunct w:val="0"/>
        <w:adjustRightInd w:val="0"/>
        <w:spacing w:line="500" w:lineRule="exact"/>
        <w:jc w:val="center"/>
        <w:rPr>
          <w:rFonts w:hint="eastAsia" w:ascii="宋体" w:hAnsi="宋体" w:eastAsia="宋体" w:cs="宋体"/>
          <w:b/>
          <w:spacing w:val="1"/>
          <w:sz w:val="30"/>
          <w:szCs w:val="30"/>
          <w:highlight w:val="none"/>
          <w:lang w:val="en-US" w:bidi="ar-SA"/>
        </w:rPr>
      </w:pPr>
      <w:r>
        <w:rPr>
          <w:rFonts w:hint="eastAsia" w:ascii="宋体" w:hAnsi="宋体" w:eastAsia="宋体" w:cs="宋体"/>
          <w:b/>
          <w:spacing w:val="1"/>
          <w:sz w:val="30"/>
          <w:szCs w:val="30"/>
          <w:highlight w:val="none"/>
          <w:lang w:val="en-US" w:bidi="ar-SA"/>
        </w:rPr>
        <w:t>第一章</w:t>
      </w:r>
      <w:r>
        <w:rPr>
          <w:rFonts w:hint="eastAsia" w:ascii="宋体" w:hAnsi="宋体" w:eastAsia="宋体" w:cs="宋体"/>
          <w:b/>
          <w:spacing w:val="1"/>
          <w:sz w:val="30"/>
          <w:szCs w:val="30"/>
          <w:highlight w:val="none"/>
          <w:lang w:val="en-US" w:bidi="ar-SA"/>
        </w:rPr>
        <w:tab/>
      </w:r>
      <w:r>
        <w:rPr>
          <w:rFonts w:hint="eastAsia" w:ascii="宋体" w:hAnsi="宋体" w:eastAsia="宋体" w:cs="宋体"/>
          <w:b/>
          <w:spacing w:val="1"/>
          <w:sz w:val="30"/>
          <w:szCs w:val="30"/>
          <w:highlight w:val="none"/>
          <w:lang w:val="en-US" w:bidi="ar-SA"/>
        </w:rPr>
        <w:t>磋商须知前附表及磋商须知</w:t>
      </w:r>
    </w:p>
    <w:p w14:paraId="3E0AF518">
      <w:pPr>
        <w:kinsoku w:val="0"/>
        <w:overflowPunct w:val="0"/>
        <w:adjustRightInd w:val="0"/>
        <w:rPr>
          <w:rFonts w:hint="eastAsia" w:ascii="宋体" w:hAnsi="宋体" w:eastAsia="宋体" w:cs="宋体"/>
          <w:sz w:val="20"/>
          <w:szCs w:val="24"/>
          <w:highlight w:val="none"/>
          <w:lang w:val="en-US" w:bidi="ar-SA"/>
        </w:rPr>
      </w:pPr>
    </w:p>
    <w:p w14:paraId="5214B41D">
      <w:pPr>
        <w:kinsoku w:val="0"/>
        <w:overflowPunct w:val="0"/>
        <w:adjustRightInd w:val="0"/>
        <w:spacing w:before="13"/>
        <w:rPr>
          <w:rFonts w:hint="eastAsia" w:ascii="宋体" w:hAnsi="宋体" w:eastAsia="宋体" w:cs="宋体"/>
          <w:sz w:val="13"/>
          <w:szCs w:val="24"/>
          <w:highlight w:val="none"/>
          <w:lang w:val="en-US" w:bidi="ar-SA"/>
        </w:rPr>
      </w:pPr>
    </w:p>
    <w:p w14:paraId="1C29DC10">
      <w:pPr>
        <w:numPr>
          <w:ilvl w:val="0"/>
          <w:numId w:val="2"/>
        </w:numPr>
        <w:kinsoku w:val="0"/>
        <w:overflowPunct w:val="0"/>
        <w:adjustRightInd w:val="0"/>
        <w:spacing w:before="7"/>
        <w:ind w:left="398"/>
        <w:jc w:val="center"/>
        <w:outlineLvl w:val="1"/>
        <w:rPr>
          <w:rFonts w:hint="eastAsia" w:ascii="宋体" w:hAnsi="宋体" w:eastAsia="宋体" w:cs="宋体"/>
          <w:b/>
          <w:sz w:val="30"/>
          <w:szCs w:val="24"/>
          <w:highlight w:val="none"/>
          <w:lang w:val="en-US" w:bidi="ar-SA"/>
        </w:rPr>
      </w:pPr>
      <w:r>
        <w:rPr>
          <w:rFonts w:hint="eastAsia" w:ascii="宋体" w:hAnsi="宋体" w:eastAsia="宋体" w:cs="宋体"/>
          <w:b/>
          <w:sz w:val="30"/>
          <w:szCs w:val="24"/>
          <w:highlight w:val="none"/>
          <w:lang w:val="en-US" w:bidi="ar-SA"/>
        </w:rPr>
        <w:t>磋商须知前附表</w:t>
      </w:r>
    </w:p>
    <w:tbl>
      <w:tblPr>
        <w:tblStyle w:val="24"/>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2142"/>
        <w:gridCol w:w="6357"/>
      </w:tblGrid>
      <w:tr w14:paraId="090F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14:paraId="18432855">
            <w:pPr>
              <w:adjustRightInd w:val="0"/>
              <w:spacing w:line="400" w:lineRule="exact"/>
              <w:jc w:val="center"/>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条款号</w:t>
            </w:r>
          </w:p>
        </w:tc>
        <w:tc>
          <w:tcPr>
            <w:tcW w:w="2142" w:type="dxa"/>
            <w:vAlign w:val="center"/>
          </w:tcPr>
          <w:p w14:paraId="00D5CD50">
            <w:pPr>
              <w:adjustRightInd w:val="0"/>
              <w:spacing w:line="400" w:lineRule="exact"/>
              <w:jc w:val="center"/>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条款名称</w:t>
            </w:r>
          </w:p>
        </w:tc>
        <w:tc>
          <w:tcPr>
            <w:tcW w:w="6357" w:type="dxa"/>
            <w:vAlign w:val="center"/>
          </w:tcPr>
          <w:p w14:paraId="755D30E6">
            <w:pPr>
              <w:adjustRightInd w:val="0"/>
              <w:spacing w:line="400" w:lineRule="exact"/>
              <w:jc w:val="center"/>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编列内容</w:t>
            </w:r>
          </w:p>
        </w:tc>
      </w:tr>
      <w:tr w14:paraId="2B36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1137" w:type="dxa"/>
            <w:vAlign w:val="center"/>
          </w:tcPr>
          <w:p w14:paraId="7E08BBF8">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w:t>
            </w:r>
          </w:p>
        </w:tc>
        <w:tc>
          <w:tcPr>
            <w:tcW w:w="2142" w:type="dxa"/>
            <w:vAlign w:val="center"/>
          </w:tcPr>
          <w:p w14:paraId="13CF3466">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采购人</w:t>
            </w:r>
          </w:p>
        </w:tc>
        <w:tc>
          <w:tcPr>
            <w:tcW w:w="6357" w:type="dxa"/>
            <w:vAlign w:val="center"/>
          </w:tcPr>
          <w:p w14:paraId="66113C84">
            <w:pPr>
              <w:spacing w:line="400" w:lineRule="exact"/>
              <w:rPr>
                <w:rFonts w:hint="eastAsia" w:ascii="宋体" w:hAnsi="宋体" w:eastAsia="宋体" w:cs="宋体"/>
                <w:color w:val="000000"/>
                <w:sz w:val="24"/>
                <w:szCs w:val="21"/>
                <w:highlight w:val="none"/>
                <w:lang w:val="en-US" w:eastAsia="zh-CN" w:bidi="ar-SA"/>
              </w:rPr>
            </w:pPr>
            <w:r>
              <w:rPr>
                <w:rFonts w:hint="eastAsia" w:ascii="宋体" w:hAnsi="宋体" w:eastAsia="宋体" w:cs="宋体"/>
                <w:color w:val="000000"/>
                <w:sz w:val="24"/>
                <w:szCs w:val="24"/>
                <w:highlight w:val="none"/>
                <w:lang w:val="en-US" w:bidi="ar-SA"/>
              </w:rPr>
              <w:t>名称：</w:t>
            </w:r>
            <w:r>
              <w:rPr>
                <w:rFonts w:hint="eastAsia" w:cs="宋体"/>
                <w:color w:val="000000"/>
                <w:sz w:val="24"/>
                <w:szCs w:val="21"/>
                <w:highlight w:val="none"/>
                <w:lang w:val="en-US" w:eastAsia="zh-CN" w:bidi="ar-SA"/>
              </w:rPr>
              <w:t>叶城县洛克乡人民政府</w:t>
            </w:r>
          </w:p>
          <w:p w14:paraId="77C3E31A">
            <w:pPr>
              <w:adjustRightInd w:val="0"/>
              <w:spacing w:line="400" w:lineRule="exac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bidi="ar-SA"/>
              </w:rPr>
              <w:t>地址：</w:t>
            </w:r>
            <w:r>
              <w:rPr>
                <w:rFonts w:hint="eastAsia" w:cs="宋体"/>
                <w:color w:val="000000"/>
                <w:sz w:val="24"/>
                <w:szCs w:val="24"/>
                <w:highlight w:val="none"/>
                <w:lang w:val="en-US" w:eastAsia="zh-CN" w:bidi="ar-SA"/>
              </w:rPr>
              <w:t>叶城县洛克乡</w:t>
            </w:r>
          </w:p>
          <w:p w14:paraId="428CC184">
            <w:pPr>
              <w:adjustRightInd w:val="0"/>
              <w:spacing w:line="400" w:lineRule="exac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bidi="ar-SA"/>
              </w:rPr>
              <w:t>联系人：</w:t>
            </w:r>
            <w:r>
              <w:rPr>
                <w:rFonts w:hint="eastAsia" w:cs="宋体"/>
                <w:color w:val="000000"/>
                <w:sz w:val="24"/>
                <w:szCs w:val="21"/>
                <w:highlight w:val="none"/>
                <w:lang w:val="en-US" w:eastAsia="zh-CN" w:bidi="ar-SA"/>
              </w:rPr>
              <w:t>宋浩</w:t>
            </w:r>
          </w:p>
          <w:p w14:paraId="6BDA9305">
            <w:pPr>
              <w:spacing w:line="400" w:lineRule="exact"/>
              <w:rPr>
                <w:rFonts w:hint="eastAsia" w:ascii="宋体" w:hAnsi="宋体" w:eastAsia="宋体" w:cs="宋体"/>
                <w:sz w:val="24"/>
                <w:szCs w:val="24"/>
                <w:highlight w:val="none"/>
                <w:lang w:val="en-US" w:eastAsia="zh-CN" w:bidi="ar-SA"/>
              </w:rPr>
            </w:pPr>
            <w:r>
              <w:rPr>
                <w:rFonts w:hint="eastAsia" w:ascii="宋体" w:hAnsi="宋体" w:eastAsia="宋体" w:cs="宋体"/>
                <w:color w:val="000000"/>
                <w:sz w:val="24"/>
                <w:szCs w:val="24"/>
                <w:highlight w:val="none"/>
                <w:lang w:val="en-US" w:bidi="ar-SA"/>
              </w:rPr>
              <w:t>电话：</w:t>
            </w:r>
            <w:r>
              <w:rPr>
                <w:rFonts w:hint="eastAsia" w:cs="宋体"/>
                <w:color w:val="000000"/>
                <w:sz w:val="24"/>
                <w:szCs w:val="24"/>
                <w:highlight w:val="none"/>
                <w:lang w:val="en-US" w:eastAsia="zh-CN" w:bidi="ar-SA"/>
              </w:rPr>
              <w:t>19915299655</w:t>
            </w:r>
          </w:p>
        </w:tc>
      </w:tr>
      <w:tr w14:paraId="2BD7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1137" w:type="dxa"/>
            <w:vAlign w:val="center"/>
          </w:tcPr>
          <w:p w14:paraId="532A3E05">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w:t>
            </w:r>
          </w:p>
        </w:tc>
        <w:tc>
          <w:tcPr>
            <w:tcW w:w="2142" w:type="dxa"/>
            <w:vAlign w:val="center"/>
          </w:tcPr>
          <w:p w14:paraId="6102BEAB">
            <w:pPr>
              <w:adjustRightInd w:val="0"/>
              <w:spacing w:line="400" w:lineRule="exact"/>
              <w:jc w:val="center"/>
              <w:rPr>
                <w:rFonts w:hint="eastAsia" w:ascii="宋体" w:hAnsi="宋体" w:eastAsia="宋体" w:cs="宋体"/>
                <w:sz w:val="24"/>
                <w:szCs w:val="24"/>
                <w:highlight w:val="none"/>
                <w:lang w:val="en-US" w:eastAsia="zh-CN" w:bidi="ar-SA"/>
              </w:rPr>
            </w:pPr>
            <w:r>
              <w:rPr>
                <w:rFonts w:hint="eastAsia" w:cs="宋体"/>
                <w:sz w:val="24"/>
                <w:szCs w:val="24"/>
                <w:highlight w:val="none"/>
                <w:lang w:val="en-US" w:eastAsia="zh-CN" w:bidi="ar-SA"/>
              </w:rPr>
              <w:t>采购代理机构</w:t>
            </w:r>
          </w:p>
        </w:tc>
        <w:tc>
          <w:tcPr>
            <w:tcW w:w="6357" w:type="dxa"/>
            <w:vAlign w:val="center"/>
          </w:tcPr>
          <w:p w14:paraId="14361951">
            <w:pPr>
              <w:adjustRightInd w:val="0"/>
              <w:spacing w:line="400" w:lineRule="exac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bidi="ar-SA"/>
              </w:rPr>
              <w:t>名称：</w:t>
            </w:r>
            <w:r>
              <w:rPr>
                <w:rFonts w:hint="eastAsia" w:cs="宋体"/>
                <w:color w:val="000000"/>
                <w:sz w:val="24"/>
                <w:szCs w:val="24"/>
                <w:highlight w:val="none"/>
                <w:lang w:val="en-US" w:eastAsia="zh-CN" w:bidi="ar-SA"/>
              </w:rPr>
              <w:t>新疆惠中源项目管理有限公司</w:t>
            </w:r>
          </w:p>
          <w:p w14:paraId="15803F31">
            <w:pPr>
              <w:adjustRightInd w:val="0"/>
              <w:spacing w:line="400" w:lineRule="exact"/>
              <w:rPr>
                <w:rFonts w:hint="eastAsia" w:ascii="宋体" w:hAnsi="宋体" w:eastAsia="宋体" w:cs="宋体"/>
                <w:color w:val="000000"/>
                <w:sz w:val="24"/>
                <w:szCs w:val="24"/>
                <w:highlight w:val="none"/>
                <w:lang w:val="en-US" w:bidi="ar-SA"/>
              </w:rPr>
            </w:pPr>
            <w:r>
              <w:rPr>
                <w:rFonts w:hint="eastAsia" w:ascii="宋体" w:hAnsi="宋体" w:eastAsia="宋体" w:cs="宋体"/>
                <w:color w:val="000000"/>
                <w:sz w:val="24"/>
                <w:szCs w:val="24"/>
                <w:highlight w:val="none"/>
                <w:lang w:val="en-US" w:bidi="ar-SA"/>
              </w:rPr>
              <w:t>地址：</w:t>
            </w:r>
            <w:r>
              <w:rPr>
                <w:rFonts w:hint="eastAsia" w:cs="宋体"/>
                <w:i w:val="0"/>
                <w:caps w:val="0"/>
                <w:color w:val="000000"/>
                <w:spacing w:val="0"/>
                <w:sz w:val="24"/>
                <w:szCs w:val="24"/>
                <w:highlight w:val="none"/>
                <w:lang w:val="en-US" w:eastAsia="zh-CN"/>
              </w:rPr>
              <w:t>新疆喀什地区喀什经济开发区深喀大道陕西大厦1005室</w:t>
            </w:r>
          </w:p>
          <w:p w14:paraId="65B1DA2B">
            <w:pPr>
              <w:adjustRightInd w:val="0"/>
              <w:spacing w:line="400" w:lineRule="exac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bidi="ar-SA"/>
              </w:rPr>
              <w:t>联系人：</w:t>
            </w:r>
            <w:r>
              <w:rPr>
                <w:rFonts w:hint="eastAsia" w:cs="宋体"/>
                <w:color w:val="000000"/>
                <w:sz w:val="24"/>
                <w:szCs w:val="24"/>
                <w:highlight w:val="none"/>
                <w:lang w:val="en-US" w:eastAsia="zh-CN" w:bidi="ar-SA"/>
              </w:rPr>
              <w:t>于大海</w:t>
            </w:r>
          </w:p>
          <w:p w14:paraId="2EA567DD">
            <w:pPr>
              <w:adjustRightInd w:val="0"/>
              <w:spacing w:line="400" w:lineRule="exact"/>
              <w:rPr>
                <w:rFonts w:hint="eastAsia" w:ascii="宋体" w:hAnsi="宋体" w:eastAsia="宋体" w:cs="宋体"/>
                <w:sz w:val="24"/>
                <w:szCs w:val="24"/>
                <w:highlight w:val="none"/>
                <w:lang w:val="en-US" w:eastAsia="zh-CN" w:bidi="ar-SA"/>
              </w:rPr>
            </w:pPr>
            <w:r>
              <w:rPr>
                <w:rFonts w:hint="eastAsia" w:ascii="宋体" w:hAnsi="宋体" w:eastAsia="宋体" w:cs="宋体"/>
                <w:color w:val="000000"/>
                <w:sz w:val="24"/>
                <w:szCs w:val="24"/>
                <w:highlight w:val="none"/>
                <w:lang w:val="en-US" w:bidi="ar-SA"/>
              </w:rPr>
              <w:t>电话：</w:t>
            </w:r>
            <w:r>
              <w:rPr>
                <w:rFonts w:hint="eastAsia" w:cs="宋体"/>
                <w:color w:val="000000"/>
                <w:sz w:val="24"/>
                <w:szCs w:val="24"/>
                <w:highlight w:val="none"/>
                <w:lang w:val="en-US" w:eastAsia="zh-CN" w:bidi="ar-SA"/>
              </w:rPr>
              <w:t>18999110912</w:t>
            </w:r>
          </w:p>
        </w:tc>
      </w:tr>
      <w:tr w14:paraId="2CA7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7" w:type="dxa"/>
            <w:vAlign w:val="center"/>
          </w:tcPr>
          <w:p w14:paraId="03E5FFBC">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w:t>
            </w:r>
          </w:p>
        </w:tc>
        <w:tc>
          <w:tcPr>
            <w:tcW w:w="2142" w:type="dxa"/>
            <w:vAlign w:val="center"/>
          </w:tcPr>
          <w:p w14:paraId="2B5EE110">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项目名称</w:t>
            </w:r>
          </w:p>
        </w:tc>
        <w:tc>
          <w:tcPr>
            <w:tcW w:w="6357" w:type="dxa"/>
            <w:vAlign w:val="center"/>
          </w:tcPr>
          <w:p w14:paraId="7208759A">
            <w:pPr>
              <w:adjustRightInd w:val="0"/>
              <w:spacing w:line="400" w:lineRule="exact"/>
              <w:rPr>
                <w:rFonts w:hint="eastAsia" w:ascii="宋体" w:hAnsi="宋体" w:eastAsia="宋体" w:cs="宋体"/>
                <w:sz w:val="24"/>
                <w:szCs w:val="24"/>
                <w:highlight w:val="none"/>
                <w:lang w:val="en-US" w:bidi="ar-SA"/>
              </w:rPr>
            </w:pPr>
            <w:r>
              <w:rPr>
                <w:rFonts w:hint="eastAsia" w:cs="宋体"/>
                <w:sz w:val="24"/>
                <w:szCs w:val="24"/>
                <w:highlight w:val="none"/>
                <w:lang w:val="en-US" w:eastAsia="zh-CN" w:bidi="ar-SA"/>
              </w:rPr>
              <w:t>叶城县洛克乡2026年交通基础设施提升改造以工代赈项目</w:t>
            </w:r>
            <w:r>
              <w:rPr>
                <w:rFonts w:hint="eastAsia" w:ascii="宋体" w:hAnsi="宋体" w:eastAsia="宋体" w:cs="宋体"/>
                <w:sz w:val="24"/>
                <w:szCs w:val="24"/>
                <w:highlight w:val="none"/>
                <w:lang w:val="en-US" w:bidi="ar-SA"/>
              </w:rPr>
              <w:t xml:space="preserve"> </w:t>
            </w:r>
          </w:p>
        </w:tc>
      </w:tr>
      <w:tr w14:paraId="2CC9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37" w:type="dxa"/>
            <w:vAlign w:val="center"/>
          </w:tcPr>
          <w:p w14:paraId="650F0687">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4</w:t>
            </w:r>
          </w:p>
        </w:tc>
        <w:tc>
          <w:tcPr>
            <w:tcW w:w="2142" w:type="dxa"/>
            <w:vAlign w:val="center"/>
          </w:tcPr>
          <w:p w14:paraId="6FF3C086">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建设地点</w:t>
            </w:r>
          </w:p>
        </w:tc>
        <w:tc>
          <w:tcPr>
            <w:tcW w:w="6357" w:type="dxa"/>
            <w:vAlign w:val="center"/>
          </w:tcPr>
          <w:p w14:paraId="0CA1C0A6">
            <w:pPr>
              <w:adjustRightInd w:val="0"/>
              <w:spacing w:line="400" w:lineRule="exact"/>
              <w:rPr>
                <w:rFonts w:hint="eastAsia" w:ascii="宋体" w:hAnsi="宋体" w:eastAsia="宋体" w:cs="宋体"/>
                <w:sz w:val="24"/>
                <w:szCs w:val="24"/>
                <w:highlight w:val="none"/>
                <w:lang w:val="en-US" w:eastAsia="zh-CN" w:bidi="ar-SA"/>
              </w:rPr>
            </w:pPr>
            <w:r>
              <w:rPr>
                <w:rFonts w:hint="eastAsia" w:cs="宋体"/>
                <w:sz w:val="24"/>
                <w:szCs w:val="24"/>
                <w:highlight w:val="none"/>
                <w:lang w:val="en-US" w:eastAsia="zh-CN" w:bidi="ar-SA"/>
              </w:rPr>
              <w:t>叶城县洛克乡</w:t>
            </w:r>
          </w:p>
        </w:tc>
      </w:tr>
      <w:tr w14:paraId="5344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14:paraId="7BD90004">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5</w:t>
            </w:r>
          </w:p>
        </w:tc>
        <w:tc>
          <w:tcPr>
            <w:tcW w:w="2142" w:type="dxa"/>
            <w:vAlign w:val="center"/>
          </w:tcPr>
          <w:p w14:paraId="73D404B1">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资金来源</w:t>
            </w:r>
          </w:p>
        </w:tc>
        <w:tc>
          <w:tcPr>
            <w:tcW w:w="6357" w:type="dxa"/>
            <w:vAlign w:val="center"/>
          </w:tcPr>
          <w:p w14:paraId="450E111B">
            <w:pPr>
              <w:adjustRightInd w:val="0"/>
              <w:spacing w:line="400" w:lineRule="exact"/>
              <w:rPr>
                <w:rFonts w:hint="default" w:ascii="宋体" w:hAnsi="宋体" w:eastAsia="宋体" w:cs="宋体"/>
                <w:color w:val="0000FF"/>
                <w:sz w:val="24"/>
                <w:szCs w:val="24"/>
                <w:highlight w:val="none"/>
                <w:lang w:val="en-US" w:eastAsia="zh-CN" w:bidi="ar-SA"/>
              </w:rPr>
            </w:pPr>
            <w:r>
              <w:rPr>
                <w:rStyle w:val="33"/>
                <w:rFonts w:hint="eastAsia" w:cs="宋体"/>
                <w:sz w:val="24"/>
                <w:szCs w:val="24"/>
                <w:highlight w:val="none"/>
                <w:lang w:val="en-US" w:eastAsia="zh-CN"/>
              </w:rPr>
              <w:t>中央预算内以工代赈资金、县财政自筹资金</w:t>
            </w:r>
          </w:p>
        </w:tc>
      </w:tr>
      <w:tr w14:paraId="562F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14:paraId="2E065EBB">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6</w:t>
            </w:r>
          </w:p>
        </w:tc>
        <w:tc>
          <w:tcPr>
            <w:tcW w:w="2142" w:type="dxa"/>
            <w:vAlign w:val="center"/>
          </w:tcPr>
          <w:p w14:paraId="7275C4C9">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出资比例</w:t>
            </w:r>
          </w:p>
        </w:tc>
        <w:tc>
          <w:tcPr>
            <w:tcW w:w="6357" w:type="dxa"/>
            <w:vAlign w:val="center"/>
          </w:tcPr>
          <w:p w14:paraId="24C6CED7">
            <w:pPr>
              <w:adjustRightInd w:val="0"/>
              <w:spacing w:line="400" w:lineRule="exact"/>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100%</w:t>
            </w:r>
          </w:p>
        </w:tc>
      </w:tr>
      <w:tr w14:paraId="2E93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14:paraId="02F792E6">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7</w:t>
            </w:r>
          </w:p>
        </w:tc>
        <w:tc>
          <w:tcPr>
            <w:tcW w:w="2142" w:type="dxa"/>
            <w:vAlign w:val="center"/>
          </w:tcPr>
          <w:p w14:paraId="3CE905F8">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资金落实情况</w:t>
            </w:r>
          </w:p>
        </w:tc>
        <w:tc>
          <w:tcPr>
            <w:tcW w:w="6357" w:type="dxa"/>
            <w:vAlign w:val="center"/>
          </w:tcPr>
          <w:p w14:paraId="4AD8D6ED">
            <w:pPr>
              <w:adjustRightInd w:val="0"/>
              <w:spacing w:line="400" w:lineRule="exact"/>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已落实</w:t>
            </w:r>
          </w:p>
        </w:tc>
      </w:tr>
      <w:tr w14:paraId="08E1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14:paraId="24818396">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8</w:t>
            </w:r>
          </w:p>
        </w:tc>
        <w:tc>
          <w:tcPr>
            <w:tcW w:w="2142" w:type="dxa"/>
            <w:vAlign w:val="center"/>
          </w:tcPr>
          <w:p w14:paraId="376FD31A">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采购预算、内容</w:t>
            </w:r>
          </w:p>
          <w:p w14:paraId="41533B24">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及范围</w:t>
            </w:r>
          </w:p>
        </w:tc>
        <w:tc>
          <w:tcPr>
            <w:tcW w:w="6357" w:type="dxa"/>
            <w:vAlign w:val="center"/>
          </w:tcPr>
          <w:p w14:paraId="7533932E">
            <w:pPr>
              <w:adjustRightInd w:val="0"/>
              <w:spacing w:line="400" w:lineRule="exact"/>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采购预算：</w:t>
            </w:r>
            <w:r>
              <w:rPr>
                <w:rFonts w:hint="eastAsia" w:cs="宋体"/>
                <w:sz w:val="24"/>
                <w:szCs w:val="24"/>
                <w:highlight w:val="none"/>
                <w:lang w:val="en-US" w:eastAsia="zh-CN"/>
              </w:rPr>
              <w:t>7153579.15</w:t>
            </w:r>
            <w:r>
              <w:rPr>
                <w:rFonts w:hint="eastAsia" w:ascii="宋体" w:hAnsi="宋体" w:eastAsia="宋体" w:cs="宋体"/>
                <w:sz w:val="24"/>
                <w:szCs w:val="24"/>
                <w:highlight w:val="none"/>
                <w:lang w:val="en-US" w:bidi="ar-SA"/>
              </w:rPr>
              <w:t>元。</w:t>
            </w:r>
          </w:p>
          <w:p w14:paraId="7B948AA2">
            <w:pPr>
              <w:autoSpaceDE/>
              <w:autoSpaceDN/>
              <w:spacing w:line="380" w:lineRule="exact"/>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最高投标限价：</w:t>
            </w:r>
            <w:r>
              <w:rPr>
                <w:rFonts w:hint="eastAsia" w:cs="宋体"/>
                <w:sz w:val="24"/>
                <w:szCs w:val="24"/>
                <w:highlight w:val="none"/>
                <w:lang w:val="en-US" w:eastAsia="zh-CN"/>
              </w:rPr>
              <w:t>7153579.15</w:t>
            </w:r>
            <w:r>
              <w:rPr>
                <w:rFonts w:hint="eastAsia" w:ascii="宋体" w:hAnsi="宋体" w:eastAsia="宋体" w:cs="宋体"/>
                <w:sz w:val="24"/>
                <w:szCs w:val="24"/>
                <w:highlight w:val="none"/>
                <w:lang w:val="en-US" w:bidi="ar-SA"/>
              </w:rPr>
              <w:t>元，投标报价不得高于最高投标限价，否则响应文件将被拒绝。</w:t>
            </w:r>
          </w:p>
          <w:p w14:paraId="43E2C5AE">
            <w:pPr>
              <w:adjustRightInd w:val="0"/>
              <w:spacing w:line="400" w:lineRule="exact"/>
              <w:rPr>
                <w:rFonts w:hint="eastAsia" w:ascii="宋体" w:hAnsi="宋体" w:eastAsia="宋体" w:cs="宋体"/>
                <w:sz w:val="24"/>
                <w:szCs w:val="24"/>
                <w:highlight w:val="none"/>
                <w:lang w:val="en-US" w:bidi="ar-SA"/>
              </w:rPr>
            </w:pPr>
            <w:r>
              <w:rPr>
                <w:rFonts w:hint="eastAsia" w:ascii="宋体" w:hAnsi="宋体" w:eastAsia="宋体" w:cs="宋体"/>
                <w:sz w:val="24"/>
                <w:szCs w:val="21"/>
                <w:highlight w:val="none"/>
                <w:lang w:val="en-US" w:bidi="ar-SA"/>
              </w:rPr>
              <w:t>建设规模：</w:t>
            </w:r>
            <w:r>
              <w:rPr>
                <w:rFonts w:hint="eastAsia" w:cs="宋体"/>
                <w:sz w:val="24"/>
                <w:szCs w:val="24"/>
                <w:highlight w:val="none"/>
                <w:lang w:eastAsia="zh-CN"/>
              </w:rPr>
              <w:t>道路拓宽硬化共计52000平方米(1.5米-2米宽)，并配套相关附属设施。</w:t>
            </w:r>
          </w:p>
          <w:p w14:paraId="5D828658">
            <w:pPr>
              <w:adjustRightInd w:val="0"/>
              <w:spacing w:line="400" w:lineRule="exact"/>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采购范围：本工程工程量清单及施工图图纸内全部工作内容。</w:t>
            </w:r>
          </w:p>
        </w:tc>
      </w:tr>
      <w:tr w14:paraId="66F7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vAlign w:val="center"/>
          </w:tcPr>
          <w:p w14:paraId="42E99267">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9</w:t>
            </w:r>
          </w:p>
        </w:tc>
        <w:tc>
          <w:tcPr>
            <w:tcW w:w="2142" w:type="dxa"/>
            <w:vAlign w:val="center"/>
          </w:tcPr>
          <w:p w14:paraId="6825575A">
            <w:pPr>
              <w:adjustRightInd w:val="0"/>
              <w:spacing w:line="400" w:lineRule="exact"/>
              <w:ind w:firstLine="720" w:firstLineChars="30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工期</w:t>
            </w:r>
          </w:p>
        </w:tc>
        <w:tc>
          <w:tcPr>
            <w:tcW w:w="6357" w:type="dxa"/>
            <w:vAlign w:val="bottom"/>
          </w:tcPr>
          <w:p w14:paraId="37AF6E7B">
            <w:pPr>
              <w:adjustRightInd w:val="0"/>
              <w:spacing w:before="109" w:line="400" w:lineRule="exact"/>
              <w:rPr>
                <w:rFonts w:hint="eastAsia" w:ascii="宋体" w:hAnsi="宋体" w:eastAsia="宋体" w:cs="宋体"/>
                <w:sz w:val="24"/>
                <w:szCs w:val="24"/>
                <w:highlight w:val="none"/>
                <w:lang w:val="en-US" w:bidi="ar-SA"/>
              </w:rPr>
            </w:pPr>
            <w:r>
              <w:rPr>
                <w:rFonts w:hint="eastAsia" w:cs="宋体"/>
                <w:b w:val="0"/>
                <w:bCs w:val="0"/>
                <w:color w:val="FF0000"/>
                <w:sz w:val="24"/>
                <w:szCs w:val="24"/>
                <w:highlight w:val="none"/>
                <w:lang w:val="en-US" w:eastAsia="zh-CN" w:bidi="ar-SA"/>
              </w:rPr>
              <w:t>工期：2026年10月20日之前完工</w:t>
            </w:r>
            <w:r>
              <w:rPr>
                <w:rFonts w:hint="eastAsia" w:ascii="宋体" w:hAnsi="宋体" w:eastAsia="宋体" w:cs="宋体"/>
                <w:b w:val="0"/>
                <w:bCs w:val="0"/>
                <w:color w:val="FF0000"/>
                <w:sz w:val="24"/>
                <w:szCs w:val="24"/>
                <w:highlight w:val="none"/>
                <w:lang w:val="en-US" w:bidi="ar-SA"/>
              </w:rPr>
              <w:t>。</w:t>
            </w:r>
          </w:p>
        </w:tc>
      </w:tr>
      <w:tr w14:paraId="66AE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vAlign w:val="center"/>
          </w:tcPr>
          <w:p w14:paraId="7B41C8F3">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10</w:t>
            </w:r>
          </w:p>
        </w:tc>
        <w:tc>
          <w:tcPr>
            <w:tcW w:w="2142" w:type="dxa"/>
            <w:vAlign w:val="center"/>
          </w:tcPr>
          <w:p w14:paraId="009B601C">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质量要求</w:t>
            </w:r>
          </w:p>
        </w:tc>
        <w:tc>
          <w:tcPr>
            <w:tcW w:w="6357" w:type="dxa"/>
            <w:vAlign w:val="bottom"/>
          </w:tcPr>
          <w:p w14:paraId="521D85F4">
            <w:pPr>
              <w:tabs>
                <w:tab w:val="left" w:pos="4112"/>
              </w:tabs>
              <w:adjustRightInd w:val="0"/>
              <w:spacing w:before="110" w:line="400" w:lineRule="exact"/>
              <w:rPr>
                <w:rFonts w:hint="eastAsia" w:ascii="宋体" w:hAnsi="宋体" w:eastAsia="宋体" w:cs="宋体"/>
                <w:sz w:val="24"/>
                <w:szCs w:val="24"/>
                <w:highlight w:val="none"/>
                <w:u w:val="single"/>
                <w:lang w:val="en-US" w:bidi="ar-SA"/>
              </w:rPr>
            </w:pPr>
            <w:r>
              <w:rPr>
                <w:rFonts w:hint="eastAsia" w:ascii="宋体" w:hAnsi="宋体" w:eastAsia="宋体" w:cs="宋体"/>
                <w:sz w:val="24"/>
                <w:szCs w:val="24"/>
                <w:highlight w:val="none"/>
                <w:lang w:val="en-US" w:bidi="ar-SA"/>
              </w:rPr>
              <w:t>标段工程交工验收的质量评定：</w:t>
            </w:r>
            <w:r>
              <w:rPr>
                <w:rFonts w:hint="eastAsia" w:ascii="宋体" w:hAnsi="宋体" w:eastAsia="宋体" w:cs="宋体"/>
                <w:sz w:val="24"/>
                <w:szCs w:val="24"/>
                <w:highlight w:val="none"/>
                <w:u w:val="single"/>
                <w:lang w:val="en-US" w:bidi="ar-SA"/>
              </w:rPr>
              <w:t xml:space="preserve"> 合格。</w:t>
            </w:r>
          </w:p>
          <w:p w14:paraId="4BF4AEDF">
            <w:pPr>
              <w:adjustRightInd w:val="0"/>
              <w:spacing w:line="400" w:lineRule="exact"/>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竣工验收的质量评定：</w:t>
            </w:r>
            <w:r>
              <w:rPr>
                <w:rFonts w:hint="eastAsia" w:ascii="宋体" w:hAnsi="宋体" w:eastAsia="宋体" w:cs="宋体"/>
                <w:sz w:val="24"/>
                <w:szCs w:val="24"/>
                <w:highlight w:val="none"/>
                <w:u w:val="single"/>
                <w:lang w:val="en-US" w:bidi="ar-SA"/>
              </w:rPr>
              <w:t>合格</w:t>
            </w:r>
            <w:r>
              <w:rPr>
                <w:rFonts w:hint="eastAsia" w:ascii="宋体" w:hAnsi="宋体" w:eastAsia="宋体" w:cs="宋体"/>
                <w:sz w:val="24"/>
                <w:szCs w:val="24"/>
                <w:highlight w:val="none"/>
                <w:lang w:val="en-US" w:bidi="ar-SA"/>
              </w:rPr>
              <w:t>。</w:t>
            </w:r>
          </w:p>
        </w:tc>
      </w:tr>
      <w:tr w14:paraId="67B8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vAlign w:val="center"/>
          </w:tcPr>
          <w:p w14:paraId="73C62ECD">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11</w:t>
            </w:r>
          </w:p>
        </w:tc>
        <w:tc>
          <w:tcPr>
            <w:tcW w:w="2142" w:type="dxa"/>
            <w:vAlign w:val="center"/>
          </w:tcPr>
          <w:p w14:paraId="0AD6A3D1">
            <w:pPr>
              <w:pStyle w:val="30"/>
              <w:spacing w:before="1"/>
              <w:ind w:firstLine="480" w:firstLineChars="20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rPr>
              <w:t>安全目标</w:t>
            </w:r>
          </w:p>
        </w:tc>
        <w:tc>
          <w:tcPr>
            <w:tcW w:w="6357" w:type="dxa"/>
            <w:vAlign w:val="center"/>
          </w:tcPr>
          <w:p w14:paraId="3D968791">
            <w:pPr>
              <w:pStyle w:val="30"/>
              <w:spacing w:before="3" w:line="398" w:lineRule="exact"/>
              <w:ind w:right="97"/>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rPr>
              <w:t>各类生产安全责任事故死亡人数为零，不发生一般火灾事故。</w:t>
            </w:r>
          </w:p>
        </w:tc>
      </w:tr>
      <w:tr w14:paraId="62CB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vAlign w:val="center"/>
          </w:tcPr>
          <w:p w14:paraId="5391855C">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12</w:t>
            </w:r>
          </w:p>
        </w:tc>
        <w:tc>
          <w:tcPr>
            <w:tcW w:w="2142" w:type="dxa"/>
            <w:vAlign w:val="center"/>
          </w:tcPr>
          <w:p w14:paraId="781BD259">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付款方式</w:t>
            </w:r>
          </w:p>
        </w:tc>
        <w:tc>
          <w:tcPr>
            <w:tcW w:w="6357" w:type="dxa"/>
            <w:vAlign w:val="bottom"/>
          </w:tcPr>
          <w:p w14:paraId="42827FD4">
            <w:pPr>
              <w:adjustRightInd w:val="0"/>
              <w:spacing w:line="400" w:lineRule="exact"/>
              <w:rPr>
                <w:rFonts w:hint="eastAsia" w:ascii="宋体" w:hAnsi="宋体" w:eastAsia="宋体" w:cs="宋体"/>
                <w:color w:val="FF0000"/>
                <w:sz w:val="24"/>
                <w:szCs w:val="24"/>
                <w:highlight w:val="none"/>
                <w:lang w:val="en-US" w:bidi="ar-SA"/>
              </w:rPr>
            </w:pPr>
            <w:r>
              <w:rPr>
                <w:rFonts w:hint="eastAsia" w:ascii="宋体" w:hAnsi="宋体" w:eastAsia="宋体" w:cs="宋体"/>
                <w:color w:val="FF0000"/>
                <w:sz w:val="24"/>
                <w:szCs w:val="24"/>
                <w:highlight w:val="none"/>
                <w:lang w:val="en-US" w:bidi="ar-SA"/>
              </w:rPr>
              <w:t>开工预付款金额：</w:t>
            </w:r>
            <w:r>
              <w:rPr>
                <w:rFonts w:hint="eastAsia" w:ascii="宋体" w:hAnsi="宋体" w:eastAsia="宋体" w:cs="宋体"/>
                <w:color w:val="FF0000"/>
                <w:sz w:val="24"/>
                <w:szCs w:val="24"/>
                <w:highlight w:val="none"/>
                <w:u w:val="single"/>
                <w:lang w:val="en-US" w:bidi="ar-SA"/>
              </w:rPr>
              <w:t>30%</w:t>
            </w:r>
            <w:r>
              <w:rPr>
                <w:rFonts w:hint="eastAsia" w:ascii="宋体" w:hAnsi="宋体" w:eastAsia="宋体" w:cs="宋体"/>
                <w:color w:val="FF0000"/>
                <w:sz w:val="24"/>
                <w:szCs w:val="24"/>
                <w:highlight w:val="none"/>
                <w:lang w:val="en-US" w:bidi="ar-SA"/>
              </w:rPr>
              <w:t>签约合同价；</w:t>
            </w:r>
          </w:p>
          <w:p w14:paraId="3FA14F5F">
            <w:pPr>
              <w:adjustRightInd w:val="0"/>
              <w:spacing w:line="400" w:lineRule="exact"/>
              <w:rPr>
                <w:rFonts w:hint="default" w:ascii="宋体" w:hAnsi="宋体" w:eastAsia="宋体" w:cs="宋体"/>
                <w:color w:val="FF0000"/>
                <w:sz w:val="24"/>
                <w:szCs w:val="24"/>
                <w:highlight w:val="none"/>
                <w:lang w:val="en-US" w:eastAsia="zh-CN" w:bidi="ar-SA"/>
              </w:rPr>
            </w:pPr>
            <w:r>
              <w:rPr>
                <w:rFonts w:hint="eastAsia" w:cs="宋体"/>
                <w:color w:val="FF0000"/>
                <w:sz w:val="24"/>
                <w:szCs w:val="24"/>
                <w:highlight w:val="none"/>
                <w:lang w:val="en-US" w:eastAsia="zh-CN" w:bidi="ar-SA"/>
              </w:rPr>
              <w:t>合同签订预付30%，工程款按照工程进度支付，最多支付至97％后，待项目验收审计完成支付剩余尾款。</w:t>
            </w:r>
          </w:p>
          <w:p w14:paraId="224FBCE1">
            <w:pPr>
              <w:adjustRightInd w:val="0"/>
              <w:spacing w:line="400" w:lineRule="exact"/>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最终付款方式按中标后合同约定。</w:t>
            </w:r>
          </w:p>
        </w:tc>
      </w:tr>
      <w:tr w14:paraId="653D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7" w:type="dxa"/>
            <w:vAlign w:val="center"/>
          </w:tcPr>
          <w:p w14:paraId="6B7915A0">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13</w:t>
            </w:r>
          </w:p>
        </w:tc>
        <w:tc>
          <w:tcPr>
            <w:tcW w:w="2142" w:type="dxa"/>
            <w:vAlign w:val="center"/>
          </w:tcPr>
          <w:p w14:paraId="2A32E68E">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供应商资质条件、能力</w:t>
            </w:r>
          </w:p>
        </w:tc>
        <w:tc>
          <w:tcPr>
            <w:tcW w:w="6357" w:type="dxa"/>
            <w:vAlign w:val="center"/>
          </w:tcPr>
          <w:p w14:paraId="2EC5D946">
            <w:pPr>
              <w:pStyle w:val="19"/>
              <w:autoSpaceDE/>
              <w:autoSpaceDN/>
              <w:spacing w:before="50" w:after="50" w:line="380" w:lineRule="exact"/>
              <w:rPr>
                <w:rFonts w:hint="eastAsia" w:ascii="宋体" w:hAnsi="宋体" w:eastAsia="宋体" w:cs="宋体"/>
                <w:kern w:val="2"/>
                <w:highlight w:val="none"/>
                <w:lang w:val="en-US" w:bidi="ar-SA"/>
              </w:rPr>
            </w:pPr>
            <w:r>
              <w:rPr>
                <w:rFonts w:hint="eastAsia" w:ascii="宋体" w:hAnsi="宋体" w:eastAsia="宋体" w:cs="宋体"/>
                <w:kern w:val="2"/>
                <w:highlight w:val="none"/>
                <w:lang w:val="en-US" w:bidi="ar-SA"/>
              </w:rPr>
              <w:t>（1）符合《中华人民共和国政府采购法》第二十二条相关规定； </w:t>
            </w:r>
          </w:p>
          <w:p w14:paraId="21FF421F">
            <w:pPr>
              <w:pStyle w:val="19"/>
              <w:autoSpaceDE/>
              <w:autoSpaceDN/>
              <w:spacing w:before="40" w:after="40" w:line="380" w:lineRule="exact"/>
              <w:rPr>
                <w:rFonts w:hint="eastAsia" w:ascii="宋体" w:hAnsi="宋体" w:eastAsia="宋体" w:cs="宋体"/>
                <w:kern w:val="2"/>
                <w:highlight w:val="none"/>
                <w:lang w:val="en-US" w:bidi="ar-SA"/>
              </w:rPr>
            </w:pPr>
            <w:r>
              <w:rPr>
                <w:rFonts w:hint="eastAsia" w:ascii="宋体" w:hAnsi="宋体" w:eastAsia="宋体" w:cs="宋体"/>
                <w:kern w:val="2"/>
                <w:highlight w:val="none"/>
                <w:lang w:val="en-US" w:bidi="ar-SA"/>
              </w:rPr>
              <w:t>（2）合格有效的法人或非法人组织营业执照；</w:t>
            </w:r>
          </w:p>
          <w:p w14:paraId="4A168CE3">
            <w:pPr>
              <w:pStyle w:val="19"/>
              <w:autoSpaceDE/>
              <w:autoSpaceDN/>
              <w:spacing w:before="40" w:after="40" w:line="380" w:lineRule="exact"/>
              <w:rPr>
                <w:rFonts w:hint="eastAsia" w:ascii="宋体" w:hAnsi="宋体" w:eastAsia="宋体" w:cs="宋体"/>
                <w:kern w:val="2"/>
                <w:highlight w:val="none"/>
                <w:lang w:val="en-US" w:bidi="ar-SA"/>
              </w:rPr>
            </w:pPr>
            <w:r>
              <w:rPr>
                <w:rFonts w:hint="eastAsia" w:ascii="宋体" w:hAnsi="宋体" w:eastAsia="宋体" w:cs="宋体"/>
                <w:kern w:val="2"/>
                <w:highlight w:val="none"/>
                <w:lang w:val="en-US" w:bidi="ar-SA"/>
              </w:rPr>
              <w:t>（3）法定代表人资格证明或法定代表人授权委托书及身份证；</w:t>
            </w:r>
          </w:p>
          <w:p w14:paraId="21A2AB5B">
            <w:pPr>
              <w:pStyle w:val="19"/>
              <w:autoSpaceDE/>
              <w:autoSpaceDN/>
              <w:spacing w:before="40" w:after="40" w:line="380" w:lineRule="exact"/>
              <w:rPr>
                <w:rFonts w:hint="eastAsia" w:ascii="宋体" w:hAnsi="宋体" w:eastAsia="宋体" w:cs="宋体"/>
                <w:kern w:val="2"/>
                <w:highlight w:val="none"/>
                <w:lang w:val="en-US" w:bidi="ar-SA"/>
              </w:rPr>
            </w:pPr>
            <w:r>
              <w:rPr>
                <w:rFonts w:hint="eastAsia" w:ascii="宋体" w:hAnsi="宋体" w:eastAsia="宋体" w:cs="宋体"/>
                <w:kern w:val="2"/>
                <w:highlight w:val="none"/>
                <w:lang w:val="en-US" w:bidi="ar-SA"/>
              </w:rPr>
              <w:t>（4）</w:t>
            </w:r>
            <w:r>
              <w:rPr>
                <w:rFonts w:hint="eastAsia" w:cs="宋体"/>
                <w:kern w:val="2"/>
                <w:highlight w:val="none"/>
                <w:lang w:val="en-US" w:eastAsia="zh-CN" w:bidi="ar-SA"/>
              </w:rPr>
              <w:t>近六个月内任意一个月完税证明及近六个月内任意一个月本单位社保缴纳证明</w:t>
            </w:r>
            <w:r>
              <w:rPr>
                <w:rFonts w:hint="eastAsia" w:ascii="宋体" w:hAnsi="宋体" w:eastAsia="宋体" w:cs="宋体"/>
                <w:kern w:val="2"/>
                <w:highlight w:val="none"/>
                <w:lang w:val="en-US" w:bidi="ar-SA"/>
              </w:rPr>
              <w:t>（及个人明细）、</w:t>
            </w:r>
            <w:r>
              <w:rPr>
                <w:rFonts w:hint="eastAsia" w:cs="宋体"/>
                <w:kern w:val="2"/>
                <w:highlight w:val="none"/>
                <w:lang w:val="en-US" w:eastAsia="zh-CN" w:bidi="ar-SA"/>
              </w:rPr>
              <w:t>近一年（指2024年度或2025年年度）财务审计报告</w:t>
            </w:r>
            <w:r>
              <w:rPr>
                <w:rFonts w:hint="eastAsia" w:ascii="宋体" w:hAnsi="宋体" w:eastAsia="宋体" w:cs="宋体"/>
                <w:kern w:val="2"/>
                <w:highlight w:val="none"/>
                <w:lang w:val="en-US" w:bidi="ar-SA"/>
              </w:rPr>
              <w:t>（成立不满一年的提供开标前一个月内有效银行资信证明）；</w:t>
            </w:r>
          </w:p>
          <w:p w14:paraId="634F10A8">
            <w:pPr>
              <w:pStyle w:val="19"/>
              <w:autoSpaceDE/>
              <w:autoSpaceDN/>
              <w:spacing w:before="40" w:after="40" w:line="380" w:lineRule="exact"/>
              <w:rPr>
                <w:rFonts w:hint="eastAsia" w:ascii="宋体" w:hAnsi="宋体" w:eastAsia="宋体" w:cs="宋体"/>
                <w:kern w:val="2"/>
                <w:highlight w:val="none"/>
                <w:lang w:val="en-US" w:bidi="ar-SA"/>
              </w:rPr>
            </w:pPr>
            <w:r>
              <w:rPr>
                <w:rFonts w:hint="eastAsia" w:ascii="宋体" w:hAnsi="宋体" w:eastAsia="宋体" w:cs="宋体"/>
                <w:kern w:val="2"/>
                <w:highlight w:val="none"/>
                <w:lang w:val="en-US" w:bidi="ar-SA"/>
              </w:rPr>
              <w:t>（5）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拒绝其参加本次政府采购活动；</w:t>
            </w:r>
          </w:p>
          <w:p w14:paraId="446B3C91">
            <w:pPr>
              <w:pStyle w:val="19"/>
              <w:autoSpaceDE/>
              <w:autoSpaceDN/>
              <w:spacing w:before="40" w:after="40" w:line="380" w:lineRule="exact"/>
              <w:rPr>
                <w:rFonts w:hint="eastAsia" w:ascii="宋体" w:hAnsi="宋体" w:eastAsia="宋体" w:cs="宋体"/>
                <w:kern w:val="2"/>
                <w:highlight w:val="none"/>
                <w:lang w:val="en-US" w:bidi="ar-SA"/>
              </w:rPr>
            </w:pPr>
            <w:r>
              <w:rPr>
                <w:rFonts w:hint="eastAsia" w:ascii="宋体" w:hAnsi="宋体" w:eastAsia="宋体" w:cs="宋体"/>
                <w:kern w:val="2"/>
                <w:highlight w:val="none"/>
                <w:lang w:val="en-US" w:bidi="ar-SA"/>
              </w:rPr>
              <w:t>（6）供应商及其法人参加本次采购活动前三年内，在经营活动中没有重大违法记录的声明及</w:t>
            </w:r>
            <w:r>
              <w:rPr>
                <w:rFonts w:hint="eastAsia" w:cs="宋体"/>
                <w:kern w:val="2"/>
                <w:highlight w:val="none"/>
                <w:lang w:val="en-US" w:eastAsia="zh-CN" w:bidi="ar-SA"/>
              </w:rPr>
              <w:t>反商业贿赂承诺书</w:t>
            </w:r>
            <w:r>
              <w:rPr>
                <w:rFonts w:hint="eastAsia" w:ascii="宋体" w:hAnsi="宋体" w:eastAsia="宋体" w:cs="宋体"/>
                <w:kern w:val="2"/>
                <w:highlight w:val="none"/>
                <w:lang w:val="en-US" w:bidi="ar-SA"/>
              </w:rPr>
              <w:t>。</w:t>
            </w:r>
          </w:p>
          <w:p w14:paraId="08F51D15">
            <w:pPr>
              <w:pStyle w:val="20"/>
              <w:ind w:left="0" w:leftChars="0" w:firstLine="0" w:firstLineChars="0"/>
              <w:rPr>
                <w:rFonts w:hint="eastAsia"/>
                <w:highlight w:val="none"/>
                <w:lang w:val="en-US"/>
              </w:rPr>
            </w:pPr>
            <w:r>
              <w:rPr>
                <w:rFonts w:hint="eastAsia" w:ascii="宋体" w:hAnsi="宋体" w:eastAsia="宋体" w:cs="宋体"/>
                <w:b w:val="0"/>
                <w:bCs/>
                <w:color w:val="auto"/>
                <w:sz w:val="24"/>
                <w:highlight w:val="none"/>
                <w:lang w:val="en-US" w:eastAsia="zh-CN"/>
              </w:rPr>
              <w:t>（7）1.投标人须具备公路工程施工总承包三级及以上资质，并在人员、设备、资金等方面具有相应的施工能力；2、具有效的安全生产许可证（</w:t>
            </w:r>
            <w:r>
              <w:rPr>
                <w:rFonts w:hint="eastAsia" w:ascii="宋体" w:hAnsi="宋体" w:eastAsia="宋体" w:cs="宋体"/>
                <w:b w:val="0"/>
                <w:bCs/>
                <w:color w:val="FF0000"/>
                <w:sz w:val="24"/>
                <w:highlight w:val="none"/>
                <w:lang w:val="en-US" w:eastAsia="zh-CN"/>
              </w:rPr>
              <w:t>有效的安全生产许可证查询网址：https://zlaq.mohurd.gov.cn/fwmh/bjxcjgl/fwmh/pages/default/index.html；</w:t>
            </w:r>
            <w:r>
              <w:rPr>
                <w:rFonts w:hint="eastAsia" w:ascii="宋体" w:hAnsi="宋体" w:eastAsia="宋体" w:cs="宋体"/>
                <w:b w:val="0"/>
                <w:bCs/>
                <w:color w:val="auto"/>
                <w:sz w:val="24"/>
                <w:highlight w:val="none"/>
                <w:lang w:val="en-US" w:eastAsia="zh-CN"/>
              </w:rPr>
              <w:t>）。3、</w:t>
            </w:r>
            <w:r>
              <w:rPr>
                <w:rFonts w:hint="eastAsia" w:ascii="宋体" w:hAnsi="宋体" w:cs="宋体"/>
                <w:b w:val="0"/>
                <w:bCs/>
                <w:color w:val="auto"/>
                <w:sz w:val="24"/>
                <w:highlight w:val="none"/>
                <w:lang w:val="en-US" w:eastAsia="zh-CN"/>
              </w:rPr>
              <w:t>施工投标人应进入交通运输部“全国公路建设市场监督管理系统”中的公路工程施工资质企业名录；对于仅具备公路工程施工总承包贰级及以下资质且尚未记录在“全国公路建设市场监督管理系统”的，投标人须被列入企业注册地省级交通运输主管部门公路建设市场信用信息管理系统（例如“信用交通·新疆”）。且投标人名称和资质与“全国公路建设市场监督管理系统”或省级交通运输主管部门公路建设市场信用信息管理系统（以下简称省级公路建设市场监管系统）中的相应企业名称和资质完全一致。</w:t>
            </w:r>
            <w:r>
              <w:rPr>
                <w:rFonts w:hint="eastAsia" w:ascii="宋体" w:hAnsi="宋体" w:eastAsia="宋体" w:cs="宋体"/>
                <w:b w:val="0"/>
                <w:bCs/>
                <w:color w:val="auto"/>
                <w:sz w:val="24"/>
                <w:highlight w:val="none"/>
                <w:lang w:val="en-US" w:eastAsia="zh-CN"/>
              </w:rPr>
              <w:t>;项目负责人应具备【公路工程二级】（含）以上注册建造师资格及持有有效的B类安全考核合格证，且未担任其他在施建设项目的项目负责人；</w:t>
            </w:r>
          </w:p>
          <w:p w14:paraId="0D1F7857">
            <w:pPr>
              <w:pStyle w:val="19"/>
              <w:numPr>
                <w:ilvl w:val="0"/>
                <w:numId w:val="3"/>
              </w:numPr>
              <w:autoSpaceDE/>
              <w:autoSpaceDN/>
              <w:spacing w:before="40" w:after="40" w:line="380" w:lineRule="exact"/>
              <w:rPr>
                <w:rFonts w:hint="eastAsia" w:ascii="宋体" w:hAnsi="宋体" w:eastAsia="宋体" w:cs="宋体"/>
                <w:kern w:val="2"/>
                <w:highlight w:val="none"/>
                <w:lang w:val="en-US" w:bidi="ar-SA"/>
              </w:rPr>
            </w:pPr>
            <w:r>
              <w:rPr>
                <w:rFonts w:hint="eastAsia" w:ascii="宋体" w:hAnsi="宋体" w:eastAsia="宋体" w:cs="宋体"/>
                <w:kern w:val="2"/>
                <w:highlight w:val="none"/>
                <w:lang w:val="en-US" w:bidi="ar-SA"/>
              </w:rPr>
              <w:t>投标保证金缴纳凭证。</w:t>
            </w:r>
          </w:p>
          <w:p w14:paraId="4BE2A4AE">
            <w:pPr>
              <w:pStyle w:val="20"/>
              <w:ind w:left="0" w:leftChars="0" w:firstLine="0" w:firstLineChars="0"/>
              <w:rPr>
                <w:rFonts w:hint="eastAsia"/>
                <w:lang w:val="en-US"/>
              </w:rPr>
            </w:pPr>
            <w:r>
              <w:rPr>
                <w:rFonts w:hint="eastAsia" w:ascii="宋体" w:hAnsi="宋体" w:cs="宋体"/>
                <w:kern w:val="2"/>
                <w:highlight w:val="none"/>
                <w:lang w:val="en-US" w:eastAsia="zh-CN" w:bidi="ar-SA"/>
              </w:rPr>
              <w:t>（9）</w:t>
            </w:r>
            <w:r>
              <w:rPr>
                <w:rFonts w:hint="eastAsia" w:ascii="宋体" w:hAnsi="宋体" w:eastAsia="宋体" w:cs="宋体"/>
                <w:b w:val="0"/>
                <w:bCs/>
                <w:color w:val="auto"/>
                <w:sz w:val="24"/>
                <w:highlight w:val="none"/>
                <w:lang w:val="en-US" w:eastAsia="zh-CN"/>
              </w:rPr>
              <w:t>1、供应商所提供工程全部由小微企业承接的，请根据要求提供《中小企业声明函》。2、供应商所提供工程为大中型企业承接的，应预留至少40%的份额由中小企业提供，其中预留给小微企业的比例不低于60%。，请根据要求提供《分包意向协议》，并在分包意向协议中进行相关比例说明。应预留至少40%的份额由中小企业提供，其中预留给小微企业的比例不低于60%，并提供《中小企业声明函》。如果不按照要求提供预留份额将视为没有实质性响应招标文件，将做无效投标处理。）</w:t>
            </w:r>
          </w:p>
        </w:tc>
      </w:tr>
      <w:tr w14:paraId="32F0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14:paraId="3F5374AA">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14</w:t>
            </w:r>
          </w:p>
        </w:tc>
        <w:tc>
          <w:tcPr>
            <w:tcW w:w="2142" w:type="dxa"/>
            <w:vAlign w:val="center"/>
          </w:tcPr>
          <w:p w14:paraId="1A2BEFC7">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现场踏勘</w:t>
            </w:r>
          </w:p>
        </w:tc>
        <w:tc>
          <w:tcPr>
            <w:tcW w:w="6357" w:type="dxa"/>
            <w:vAlign w:val="center"/>
          </w:tcPr>
          <w:p w14:paraId="401FBC50">
            <w:pPr>
              <w:adjustRightInd w:val="0"/>
              <w:spacing w:line="400" w:lineRule="exact"/>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不统一组织踏勘，各投标供应商应认真踏勘施工现场，了解工程建设地点位置，材料运输储存条件，掌握有关可能影响投标报价的因素和情况，投标人一旦中标后不得以不完全了解现场情况为借口而增加造价和延长工期。</w:t>
            </w:r>
          </w:p>
        </w:tc>
      </w:tr>
      <w:tr w14:paraId="31DE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14:paraId="13D7A53D">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15</w:t>
            </w:r>
          </w:p>
        </w:tc>
        <w:tc>
          <w:tcPr>
            <w:tcW w:w="2142" w:type="dxa"/>
            <w:vAlign w:val="center"/>
          </w:tcPr>
          <w:p w14:paraId="4BC0596D">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投标预备会</w:t>
            </w:r>
          </w:p>
        </w:tc>
        <w:tc>
          <w:tcPr>
            <w:tcW w:w="6357" w:type="dxa"/>
            <w:vAlign w:val="center"/>
          </w:tcPr>
          <w:p w14:paraId="536C5D25">
            <w:pPr>
              <w:adjustRightInd w:val="0"/>
              <w:spacing w:line="400" w:lineRule="exact"/>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不召开，</w:t>
            </w:r>
            <w:r>
              <w:rPr>
                <w:rFonts w:hint="eastAsia" w:cs="宋体"/>
                <w:sz w:val="24"/>
                <w:szCs w:val="24"/>
                <w:highlight w:val="none"/>
                <w:lang w:val="en-US" w:eastAsia="zh-CN" w:bidi="ar-SA"/>
              </w:rPr>
              <w:t>采购代理机构</w:t>
            </w:r>
            <w:r>
              <w:rPr>
                <w:rFonts w:hint="eastAsia" w:ascii="宋体" w:hAnsi="宋体" w:eastAsia="宋体" w:cs="宋体"/>
                <w:sz w:val="24"/>
                <w:szCs w:val="24"/>
                <w:highlight w:val="none"/>
                <w:lang w:val="en-US" w:bidi="ar-SA"/>
              </w:rPr>
              <w:t>将对供应商所提出的问题予以解答，并出具书面答疑纪要。答疑纪要为磋商文件的组成部分，与磋商文件具有同等法律效力。</w:t>
            </w:r>
          </w:p>
        </w:tc>
      </w:tr>
      <w:tr w14:paraId="4EB4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14:paraId="3C29D387">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16</w:t>
            </w:r>
          </w:p>
        </w:tc>
        <w:tc>
          <w:tcPr>
            <w:tcW w:w="2142" w:type="dxa"/>
            <w:vAlign w:val="center"/>
          </w:tcPr>
          <w:p w14:paraId="60F4B974">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构成磋商文件的其他材料</w:t>
            </w:r>
          </w:p>
        </w:tc>
        <w:tc>
          <w:tcPr>
            <w:tcW w:w="6357" w:type="dxa"/>
            <w:vAlign w:val="center"/>
          </w:tcPr>
          <w:p w14:paraId="3E6A69F8">
            <w:pPr>
              <w:adjustRightInd w:val="0"/>
              <w:spacing w:line="400" w:lineRule="exact"/>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根据磋商文件相应条款对磋商文件所作的答疑、修改，构成磋商文件的组成部分。</w:t>
            </w:r>
          </w:p>
        </w:tc>
      </w:tr>
      <w:tr w14:paraId="4A02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14:paraId="3A3A6383">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17</w:t>
            </w:r>
          </w:p>
        </w:tc>
        <w:tc>
          <w:tcPr>
            <w:tcW w:w="2142" w:type="dxa"/>
            <w:vAlign w:val="center"/>
          </w:tcPr>
          <w:p w14:paraId="64255656">
            <w:pPr>
              <w:adjustRightInd w:val="0"/>
              <w:spacing w:line="400" w:lineRule="exact"/>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澄清或者修改时间</w:t>
            </w:r>
          </w:p>
        </w:tc>
        <w:tc>
          <w:tcPr>
            <w:tcW w:w="6357" w:type="dxa"/>
            <w:vAlign w:val="center"/>
          </w:tcPr>
          <w:p w14:paraId="1FE6E733">
            <w:pPr>
              <w:adjustRightInd w:val="0"/>
              <w:spacing w:line="400" w:lineRule="exact"/>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磋商截止时间5日前</w:t>
            </w:r>
          </w:p>
        </w:tc>
      </w:tr>
      <w:tr w14:paraId="593F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137" w:type="dxa"/>
            <w:vAlign w:val="center"/>
          </w:tcPr>
          <w:p w14:paraId="6101B7FF">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18</w:t>
            </w:r>
          </w:p>
        </w:tc>
        <w:tc>
          <w:tcPr>
            <w:tcW w:w="2142" w:type="dxa"/>
            <w:vAlign w:val="center"/>
          </w:tcPr>
          <w:p w14:paraId="684A16BD">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构成响应文件的其他材料</w:t>
            </w:r>
          </w:p>
        </w:tc>
        <w:tc>
          <w:tcPr>
            <w:tcW w:w="6357" w:type="dxa"/>
            <w:vAlign w:val="center"/>
          </w:tcPr>
          <w:p w14:paraId="553EDB75">
            <w:pPr>
              <w:adjustRightInd w:val="0"/>
              <w:spacing w:line="400" w:lineRule="exact"/>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供应商认为应增加的资料或说明</w:t>
            </w:r>
          </w:p>
        </w:tc>
      </w:tr>
      <w:tr w14:paraId="0CF1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37" w:type="dxa"/>
            <w:vAlign w:val="center"/>
          </w:tcPr>
          <w:p w14:paraId="6D0813F6">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19</w:t>
            </w:r>
          </w:p>
        </w:tc>
        <w:tc>
          <w:tcPr>
            <w:tcW w:w="2142" w:type="dxa"/>
            <w:vAlign w:val="center"/>
          </w:tcPr>
          <w:p w14:paraId="283100F9">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投标有效期</w:t>
            </w:r>
          </w:p>
        </w:tc>
        <w:tc>
          <w:tcPr>
            <w:tcW w:w="6357" w:type="dxa"/>
            <w:vAlign w:val="center"/>
          </w:tcPr>
          <w:p w14:paraId="0A402BA8">
            <w:pPr>
              <w:adjustRightInd w:val="0"/>
              <w:spacing w:line="400" w:lineRule="exact"/>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u w:val="single"/>
                <w:lang w:val="en-US" w:bidi="ar-SA"/>
              </w:rPr>
              <w:t>90</w:t>
            </w:r>
            <w:r>
              <w:rPr>
                <w:rFonts w:hint="eastAsia" w:ascii="宋体" w:hAnsi="宋体" w:eastAsia="宋体" w:cs="宋体"/>
                <w:sz w:val="24"/>
                <w:szCs w:val="24"/>
                <w:highlight w:val="none"/>
                <w:lang w:val="en-US" w:bidi="ar-SA"/>
              </w:rPr>
              <w:t>日历天</w:t>
            </w:r>
          </w:p>
        </w:tc>
      </w:tr>
      <w:tr w14:paraId="295D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37" w:type="dxa"/>
            <w:vAlign w:val="center"/>
          </w:tcPr>
          <w:p w14:paraId="22F2CEFA">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20</w:t>
            </w:r>
          </w:p>
        </w:tc>
        <w:tc>
          <w:tcPr>
            <w:tcW w:w="2142" w:type="dxa"/>
            <w:vAlign w:val="center"/>
          </w:tcPr>
          <w:p w14:paraId="3333E467">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磋商保证金</w:t>
            </w:r>
          </w:p>
        </w:tc>
        <w:tc>
          <w:tcPr>
            <w:tcW w:w="6357" w:type="dxa"/>
            <w:vAlign w:val="center"/>
          </w:tcPr>
          <w:p w14:paraId="4422424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保证金形式：</w:t>
            </w:r>
            <w:r>
              <w:rPr>
                <w:rFonts w:hint="eastAsia" w:ascii="宋体" w:hAnsi="宋体" w:eastAsia="宋体" w:cs="宋体"/>
                <w:b w:val="0"/>
                <w:bCs w:val="0"/>
                <w:color w:val="000000"/>
                <w:sz w:val="24"/>
                <w:szCs w:val="24"/>
                <w:highlight w:val="none"/>
              </w:rPr>
              <w:t>☑电汇 ☑转账</w:t>
            </w:r>
            <w:r>
              <w:rPr>
                <w:rFonts w:hint="eastAsia" w:ascii="宋体" w:hAnsi="宋体" w:eastAsia="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rPr>
              <w:t>☑银行保函</w:t>
            </w:r>
            <w:r>
              <w:rPr>
                <w:rFonts w:hint="eastAsia" w:ascii="宋体" w:hAnsi="宋体" w:eastAsia="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lang w:eastAsia="zh-CN"/>
              </w:rPr>
              <w:t>电子</w:t>
            </w:r>
            <w:r>
              <w:rPr>
                <w:rFonts w:hint="eastAsia" w:ascii="宋体" w:hAnsi="宋体" w:eastAsia="宋体" w:cs="宋体"/>
                <w:b w:val="0"/>
                <w:bCs w:val="0"/>
                <w:color w:val="000000"/>
                <w:sz w:val="24"/>
                <w:szCs w:val="24"/>
                <w:highlight w:val="none"/>
              </w:rPr>
              <w:t>保函（本项目允许的其他形式）</w:t>
            </w:r>
          </w:p>
          <w:p w14:paraId="786BAD8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保证金数额：</w:t>
            </w:r>
            <w:r>
              <w:rPr>
                <w:rFonts w:hint="eastAsia" w:cs="宋体"/>
                <w:b w:val="0"/>
                <w:bCs w:val="0"/>
                <w:sz w:val="24"/>
                <w:szCs w:val="24"/>
                <w:highlight w:val="none"/>
                <w:lang w:val="en-US" w:eastAsia="zh-CN"/>
              </w:rPr>
              <w:t>140000</w:t>
            </w:r>
            <w:r>
              <w:rPr>
                <w:rFonts w:hint="eastAsia" w:ascii="宋体" w:hAnsi="宋体" w:eastAsia="宋体" w:cs="宋体"/>
                <w:b w:val="0"/>
                <w:bCs w:val="0"/>
                <w:sz w:val="24"/>
                <w:szCs w:val="24"/>
                <w:highlight w:val="none"/>
                <w:lang w:val="en-US" w:eastAsia="zh-CN"/>
              </w:rPr>
              <w:t>.00（</w:t>
            </w:r>
            <w:r>
              <w:rPr>
                <w:rFonts w:hint="eastAsia" w:cs="宋体"/>
                <w:b w:val="0"/>
                <w:bCs w:val="0"/>
                <w:sz w:val="24"/>
                <w:szCs w:val="24"/>
                <w:highlight w:val="none"/>
                <w:lang w:val="en-US" w:eastAsia="zh-CN"/>
              </w:rPr>
              <w:t>壹拾肆万元整</w:t>
            </w:r>
            <w:r>
              <w:rPr>
                <w:rFonts w:hint="eastAsia" w:ascii="宋体" w:hAnsi="宋体" w:eastAsia="宋体" w:cs="宋体"/>
                <w:b w:val="0"/>
                <w:bCs w:val="0"/>
                <w:sz w:val="24"/>
                <w:szCs w:val="24"/>
                <w:highlight w:val="none"/>
                <w:lang w:val="en-US" w:eastAsia="zh-CN"/>
              </w:rPr>
              <w:t>）</w:t>
            </w:r>
          </w:p>
          <w:p w14:paraId="44F7DCF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开 户 名：新疆惠中源项目管理有限公司</w:t>
            </w:r>
          </w:p>
          <w:p w14:paraId="61E68EB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账号：860010012010115598702</w:t>
            </w:r>
          </w:p>
          <w:p w14:paraId="46CA757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开户银行：</w:t>
            </w:r>
            <w:r>
              <w:rPr>
                <w:rFonts w:hint="eastAsia" w:ascii="宋体" w:hAnsi="宋体" w:eastAsia="宋体" w:cs="宋体"/>
                <w:color w:val="auto"/>
                <w:sz w:val="24"/>
                <w:szCs w:val="24"/>
              </w:rPr>
              <w:t>新疆农村商业银行股份有限公司喀什经开区支行</w:t>
            </w:r>
            <w:r>
              <w:rPr>
                <w:rFonts w:hint="eastAsia" w:ascii="宋体" w:hAnsi="宋体" w:eastAsia="宋体" w:cs="宋体"/>
                <w:spacing w:val="-5"/>
                <w:sz w:val="24"/>
                <w:szCs w:val="24"/>
                <w:highlight w:val="none"/>
              </w:rPr>
              <w:t>行号：402894000010</w:t>
            </w:r>
          </w:p>
          <w:p w14:paraId="30E0A50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1、</w:t>
            </w:r>
            <w:r>
              <w:rPr>
                <w:rFonts w:hint="eastAsia" w:ascii="宋体" w:hAnsi="宋体" w:eastAsia="宋体" w:cs="宋体"/>
                <w:color w:val="auto"/>
                <w:spacing w:val="-5"/>
                <w:sz w:val="24"/>
                <w:szCs w:val="24"/>
                <w:highlight w:val="none"/>
              </w:rPr>
              <w:t>电汇或转账</w:t>
            </w:r>
            <w:r>
              <w:rPr>
                <w:rFonts w:hint="eastAsia" w:ascii="宋体" w:hAnsi="宋体" w:eastAsia="宋体" w:cs="宋体"/>
                <w:spacing w:val="-5"/>
                <w:sz w:val="24"/>
                <w:szCs w:val="24"/>
                <w:highlight w:val="none"/>
              </w:rPr>
              <w:t>时请在汇款备注栏</w:t>
            </w: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rPr>
              <w:t>项目名称</w:t>
            </w:r>
            <w:r>
              <w:rPr>
                <w:rFonts w:hint="eastAsia" w:ascii="宋体" w:hAnsi="宋体" w:eastAsia="宋体" w:cs="宋体"/>
                <w:spacing w:val="-5"/>
                <w:sz w:val="24"/>
                <w:szCs w:val="24"/>
                <w:highlight w:val="none"/>
                <w:lang w:eastAsia="zh-CN"/>
              </w:rPr>
              <w:t>或</w:t>
            </w:r>
            <w:r>
              <w:rPr>
                <w:rFonts w:hint="eastAsia" w:ascii="宋体" w:hAnsi="宋体" w:eastAsia="宋体" w:cs="宋体"/>
                <w:spacing w:val="-5"/>
                <w:sz w:val="24"/>
                <w:szCs w:val="24"/>
                <w:highlight w:val="none"/>
              </w:rPr>
              <w:t>编号、包号 (如有) ，并注明是</w:t>
            </w:r>
            <w:r>
              <w:rPr>
                <w:rFonts w:hint="eastAsia" w:ascii="宋体" w:hAnsi="宋体" w:eastAsia="宋体" w:cs="宋体"/>
                <w:spacing w:val="-5"/>
                <w:sz w:val="24"/>
                <w:szCs w:val="24"/>
                <w:highlight w:val="none"/>
                <w:lang w:eastAsia="zh-CN"/>
              </w:rPr>
              <w:t>投标</w:t>
            </w:r>
            <w:r>
              <w:rPr>
                <w:rFonts w:hint="eastAsia" w:ascii="宋体" w:hAnsi="宋体" w:eastAsia="宋体" w:cs="宋体"/>
                <w:spacing w:val="-5"/>
                <w:sz w:val="24"/>
                <w:szCs w:val="24"/>
                <w:highlight w:val="none"/>
              </w:rPr>
              <w:t>保证金。</w:t>
            </w:r>
          </w:p>
          <w:p w14:paraId="23AD5C3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2、若采用电汇或转账形式</w:t>
            </w:r>
            <w:r>
              <w:rPr>
                <w:rFonts w:hint="eastAsia" w:ascii="宋体" w:hAnsi="宋体" w:eastAsia="宋体" w:cs="宋体"/>
                <w:color w:val="auto"/>
                <w:spacing w:val="-5"/>
                <w:sz w:val="24"/>
                <w:szCs w:val="24"/>
                <w:highlight w:val="none"/>
                <w:lang w:eastAsia="zh-CN"/>
              </w:rPr>
              <w:t>，投标</w:t>
            </w:r>
            <w:r>
              <w:rPr>
                <w:rFonts w:hint="eastAsia" w:ascii="宋体" w:hAnsi="宋体" w:eastAsia="宋体" w:cs="宋体"/>
                <w:color w:val="auto"/>
                <w:spacing w:val="-5"/>
                <w:sz w:val="24"/>
                <w:szCs w:val="24"/>
                <w:highlight w:val="none"/>
              </w:rPr>
              <w:t>保证金须于</w:t>
            </w:r>
            <w:r>
              <w:rPr>
                <w:rFonts w:hint="eastAsia" w:ascii="宋体" w:hAnsi="宋体" w:eastAsia="宋体" w:cs="宋体"/>
                <w:color w:val="auto"/>
                <w:spacing w:val="-5"/>
                <w:sz w:val="24"/>
                <w:szCs w:val="24"/>
                <w:highlight w:val="none"/>
                <w:lang w:eastAsia="zh-CN"/>
              </w:rPr>
              <w:t>投标</w:t>
            </w:r>
            <w:r>
              <w:rPr>
                <w:rFonts w:hint="eastAsia" w:ascii="宋体" w:hAnsi="宋体" w:eastAsia="宋体" w:cs="宋体"/>
                <w:color w:val="auto"/>
                <w:spacing w:val="-5"/>
                <w:sz w:val="24"/>
                <w:szCs w:val="24"/>
                <w:highlight w:val="none"/>
              </w:rPr>
              <w:t>截止前转入以上指定账户</w:t>
            </w:r>
            <w:r>
              <w:rPr>
                <w:rFonts w:hint="eastAsia" w:ascii="宋体" w:hAnsi="宋体" w:eastAsia="宋体" w:cs="宋体"/>
                <w:color w:val="auto"/>
                <w:spacing w:val="-5"/>
                <w:sz w:val="24"/>
                <w:szCs w:val="24"/>
                <w:highlight w:val="none"/>
                <w:lang w:eastAsia="zh-CN"/>
              </w:rPr>
              <w:t>（资格审查以代理机构实际收到为准），不接受现金、支票及任何个人、分公司汇款，投标保证金付款</w:t>
            </w:r>
            <w:r>
              <w:rPr>
                <w:rFonts w:hint="eastAsia" w:ascii="宋体" w:hAnsi="宋体" w:eastAsia="宋体" w:cs="宋体"/>
                <w:color w:val="auto"/>
                <w:spacing w:val="-5"/>
                <w:sz w:val="24"/>
                <w:szCs w:val="24"/>
                <w:highlight w:val="none"/>
              </w:rPr>
              <w:t>凭证</w:t>
            </w:r>
            <w:r>
              <w:rPr>
                <w:rFonts w:hint="eastAsia" w:ascii="宋体" w:hAnsi="宋体" w:eastAsia="宋体" w:cs="宋体"/>
                <w:color w:val="auto"/>
                <w:spacing w:val="-5"/>
                <w:sz w:val="24"/>
                <w:szCs w:val="24"/>
                <w:highlight w:val="none"/>
                <w:lang w:eastAsia="zh-CN"/>
              </w:rPr>
              <w:t>（或收据）扫描件</w:t>
            </w:r>
            <w:r>
              <w:rPr>
                <w:rFonts w:hint="eastAsia" w:ascii="宋体" w:hAnsi="宋体" w:eastAsia="宋体" w:cs="宋体"/>
                <w:color w:val="auto"/>
                <w:spacing w:val="-5"/>
                <w:sz w:val="24"/>
                <w:szCs w:val="24"/>
                <w:highlight w:val="none"/>
              </w:rPr>
              <w:t>制作在</w:t>
            </w:r>
            <w:r>
              <w:rPr>
                <w:rFonts w:hint="eastAsia" w:ascii="宋体" w:hAnsi="宋体" w:eastAsia="宋体" w:cs="宋体"/>
                <w:color w:val="auto"/>
                <w:spacing w:val="-5"/>
                <w:sz w:val="24"/>
                <w:szCs w:val="24"/>
                <w:highlight w:val="none"/>
                <w:lang w:eastAsia="zh-CN"/>
              </w:rPr>
              <w:t>投标</w:t>
            </w:r>
            <w:r>
              <w:rPr>
                <w:rFonts w:hint="eastAsia" w:ascii="宋体" w:hAnsi="宋体" w:eastAsia="宋体" w:cs="宋体"/>
                <w:color w:val="auto"/>
                <w:spacing w:val="-5"/>
                <w:sz w:val="24"/>
                <w:szCs w:val="24"/>
                <w:highlight w:val="none"/>
              </w:rPr>
              <w:t>文件中；若采用电子保函形式：按照政采云电子投标流程制作并上传电子保函</w:t>
            </w:r>
            <w:r>
              <w:rPr>
                <w:rFonts w:hint="eastAsia" w:ascii="宋体" w:hAnsi="宋体" w:eastAsia="宋体" w:cs="宋体"/>
                <w:spacing w:val="-5"/>
                <w:sz w:val="24"/>
                <w:szCs w:val="24"/>
                <w:highlight w:val="none"/>
                <w:lang w:eastAsia="zh-CN"/>
              </w:rPr>
              <w:t>；采用银行保函时，出具保函的银行级别：应为国有商业银行或股份制银行的支行及其以上的银行</w:t>
            </w:r>
            <w:r>
              <w:rPr>
                <w:rFonts w:hint="eastAsia" w:ascii="宋体" w:hAnsi="宋体" w:eastAsia="宋体" w:cs="宋体"/>
                <w:sz w:val="24"/>
                <w:szCs w:val="24"/>
                <w:highlight w:val="none"/>
                <w:lang w:val="en-US" w:eastAsia="zh-CN"/>
              </w:rPr>
              <w:t>，应将银行保函正本扫描件</w:t>
            </w:r>
            <w:r>
              <w:rPr>
                <w:rFonts w:hint="eastAsia" w:ascii="宋体" w:hAnsi="宋体" w:eastAsia="宋体" w:cs="宋体"/>
                <w:spacing w:val="-5"/>
                <w:sz w:val="24"/>
                <w:szCs w:val="24"/>
                <w:highlight w:val="none"/>
              </w:rPr>
              <w:t>制作在</w:t>
            </w:r>
            <w:r>
              <w:rPr>
                <w:rFonts w:hint="eastAsia" w:ascii="宋体" w:hAnsi="宋体" w:eastAsia="宋体" w:cs="宋体"/>
                <w:spacing w:val="-5"/>
                <w:sz w:val="24"/>
                <w:szCs w:val="24"/>
                <w:highlight w:val="none"/>
                <w:lang w:eastAsia="zh-CN"/>
              </w:rPr>
              <w:t>投标</w:t>
            </w:r>
            <w:r>
              <w:rPr>
                <w:rFonts w:hint="eastAsia" w:ascii="宋体" w:hAnsi="宋体" w:eastAsia="宋体" w:cs="宋体"/>
                <w:spacing w:val="-5"/>
                <w:sz w:val="24"/>
                <w:szCs w:val="24"/>
                <w:highlight w:val="none"/>
              </w:rPr>
              <w:t>文件中</w:t>
            </w:r>
            <w:r>
              <w:rPr>
                <w:rFonts w:hint="eastAsia" w:ascii="宋体" w:hAnsi="宋体" w:eastAsia="宋体" w:cs="宋体"/>
                <w:spacing w:val="-5"/>
                <w:sz w:val="24"/>
                <w:szCs w:val="24"/>
                <w:highlight w:val="none"/>
                <w:lang w:eastAsia="zh-CN"/>
              </w:rPr>
              <w:t>（采购人如需核实投标人须无条件提供银行保函正本原件）</w:t>
            </w:r>
            <w:r>
              <w:rPr>
                <w:rFonts w:hint="eastAsia" w:ascii="宋体" w:hAnsi="宋体" w:eastAsia="宋体" w:cs="宋体"/>
                <w:color w:val="auto"/>
                <w:spacing w:val="-5"/>
                <w:sz w:val="24"/>
                <w:szCs w:val="24"/>
                <w:highlight w:val="none"/>
              </w:rPr>
              <w:t>。</w:t>
            </w:r>
          </w:p>
          <w:p w14:paraId="24E64706">
            <w:pPr>
              <w:widowControl/>
              <w:tabs>
                <w:tab w:val="left" w:pos="0"/>
              </w:tabs>
              <w:adjustRightInd w:val="0"/>
              <w:spacing w:line="400" w:lineRule="exact"/>
              <w:rPr>
                <w:rFonts w:hint="eastAsia"/>
                <w:lang w:val="en-US"/>
              </w:rPr>
            </w:pPr>
            <w:r>
              <w:rPr>
                <w:rFonts w:hint="eastAsia" w:ascii="宋体" w:hAnsi="宋体" w:eastAsia="宋体" w:cs="宋体"/>
                <w:spacing w:val="-2"/>
                <w:sz w:val="24"/>
                <w:szCs w:val="24"/>
                <w:highlight w:val="none"/>
                <w:lang w:val="en-US" w:eastAsia="zh-CN"/>
              </w:rPr>
              <w:t>3</w:t>
            </w:r>
            <w:r>
              <w:rPr>
                <w:rFonts w:hint="eastAsia" w:ascii="宋体" w:hAnsi="宋体" w:eastAsia="宋体" w:cs="宋体"/>
                <w:spacing w:val="-2"/>
                <w:sz w:val="24"/>
                <w:szCs w:val="24"/>
                <w:highlight w:val="none"/>
              </w:rPr>
              <w:t>、退</w:t>
            </w:r>
            <w:r>
              <w:rPr>
                <w:rFonts w:hint="eastAsia" w:ascii="宋体" w:hAnsi="宋体" w:eastAsia="宋体" w:cs="宋体"/>
                <w:spacing w:val="-2"/>
                <w:sz w:val="24"/>
                <w:szCs w:val="24"/>
                <w:highlight w:val="none"/>
                <w:lang w:eastAsia="zh-CN"/>
              </w:rPr>
              <w:t>投标保证金</w:t>
            </w:r>
            <w:r>
              <w:rPr>
                <w:rFonts w:hint="eastAsia" w:ascii="宋体" w:hAnsi="宋体" w:eastAsia="宋体" w:cs="宋体"/>
                <w:spacing w:val="-2"/>
                <w:sz w:val="24"/>
                <w:szCs w:val="24"/>
                <w:highlight w:val="none"/>
              </w:rPr>
              <w:t>时，请各供应商提供银行开户许可证</w:t>
            </w:r>
            <w:r>
              <w:rPr>
                <w:rFonts w:hint="eastAsia" w:ascii="宋体" w:hAnsi="宋体" w:eastAsia="宋体" w:cs="宋体"/>
                <w:spacing w:val="-2"/>
                <w:sz w:val="24"/>
                <w:szCs w:val="24"/>
                <w:highlight w:val="none"/>
                <w:lang w:eastAsia="zh-CN"/>
              </w:rPr>
              <w:t>扫描件</w:t>
            </w:r>
            <w:r>
              <w:rPr>
                <w:rFonts w:hint="eastAsia" w:ascii="宋体" w:hAnsi="宋体" w:eastAsia="宋体" w:cs="宋体"/>
                <w:spacing w:val="-2"/>
                <w:sz w:val="24"/>
                <w:szCs w:val="24"/>
                <w:highlight w:val="none"/>
              </w:rPr>
              <w:t>、</w:t>
            </w:r>
            <w:r>
              <w:rPr>
                <w:rFonts w:hint="eastAsia" w:ascii="宋体" w:hAnsi="宋体" w:eastAsia="宋体" w:cs="宋体"/>
                <w:spacing w:val="-2"/>
                <w:sz w:val="24"/>
                <w:szCs w:val="24"/>
                <w:highlight w:val="none"/>
                <w:lang w:eastAsia="zh-CN"/>
              </w:rPr>
              <w:t>投标保证金</w:t>
            </w:r>
            <w:r>
              <w:rPr>
                <w:rFonts w:hint="eastAsia" w:ascii="宋体" w:hAnsi="宋体" w:eastAsia="宋体" w:cs="宋体"/>
                <w:spacing w:val="-5"/>
                <w:sz w:val="24"/>
                <w:szCs w:val="24"/>
                <w:highlight w:val="none"/>
              </w:rPr>
              <w:t>收据原件、供应商出具的收到我公司（</w:t>
            </w:r>
            <w:r>
              <w:rPr>
                <w:rFonts w:hint="eastAsia" w:cs="宋体"/>
                <w:spacing w:val="-5"/>
                <w:sz w:val="24"/>
                <w:szCs w:val="24"/>
                <w:highlight w:val="none"/>
                <w:lang w:eastAsia="zh-CN"/>
              </w:rPr>
              <w:t>新疆惠中源项目管理有限公司</w:t>
            </w:r>
            <w:r>
              <w:rPr>
                <w:rFonts w:hint="eastAsia" w:ascii="宋体" w:hAnsi="宋体" w:eastAsia="宋体" w:cs="宋体"/>
                <w:spacing w:val="-5"/>
                <w:sz w:val="24"/>
                <w:szCs w:val="24"/>
                <w:highlight w:val="none"/>
              </w:rPr>
              <w:t>） 退还该项目名称</w:t>
            </w:r>
            <w:r>
              <w:rPr>
                <w:rFonts w:hint="eastAsia" w:ascii="宋体" w:hAnsi="宋体" w:eastAsia="宋体" w:cs="宋体"/>
                <w:spacing w:val="-5"/>
                <w:sz w:val="24"/>
                <w:szCs w:val="24"/>
                <w:highlight w:val="none"/>
                <w:lang w:eastAsia="zh-CN"/>
              </w:rPr>
              <w:t>投标保证金</w:t>
            </w:r>
            <w:r>
              <w:rPr>
                <w:rFonts w:hint="eastAsia" w:ascii="宋体" w:hAnsi="宋体" w:eastAsia="宋体" w:cs="宋体"/>
                <w:spacing w:val="-5"/>
                <w:sz w:val="24"/>
                <w:szCs w:val="24"/>
                <w:highlight w:val="none"/>
              </w:rPr>
              <w:t>的收据原件（盖公章或财务章） 。（根据中华人民共和国财政部令第87号《政府采购货物和服务招标投标管理办法》第38条：投标保证金应当自中标通知书发出之日起5个工作日内退还未中标人的投标保证金，采购人自采购合同签订之日起5个工作日内退还中标人的投标保证金。）</w:t>
            </w:r>
          </w:p>
        </w:tc>
      </w:tr>
      <w:tr w14:paraId="51D4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14:paraId="23417F6C">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21</w:t>
            </w:r>
          </w:p>
        </w:tc>
        <w:tc>
          <w:tcPr>
            <w:tcW w:w="2142" w:type="dxa"/>
            <w:vAlign w:val="center"/>
          </w:tcPr>
          <w:p w14:paraId="1861220D">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color w:val="000000"/>
                <w:sz w:val="24"/>
                <w:szCs w:val="21"/>
                <w:highlight w:val="none"/>
                <w:lang w:val="en-US" w:bidi="ar-SA"/>
              </w:rPr>
              <w:t>投标前准备</w:t>
            </w:r>
          </w:p>
        </w:tc>
        <w:tc>
          <w:tcPr>
            <w:tcW w:w="6357" w:type="dxa"/>
            <w:vAlign w:val="center"/>
          </w:tcPr>
          <w:p w14:paraId="40FE8626">
            <w:pPr>
              <w:adjustRightInd w:val="0"/>
              <w:spacing w:line="312" w:lineRule="auto"/>
              <w:rPr>
                <w:rFonts w:hint="eastAsia" w:ascii="宋体" w:hAnsi="宋体" w:eastAsia="宋体" w:cs="宋体"/>
                <w:color w:val="000000"/>
                <w:sz w:val="24"/>
                <w:szCs w:val="21"/>
                <w:highlight w:val="none"/>
                <w:lang w:val="en-US" w:bidi="ar-SA"/>
              </w:rPr>
            </w:pPr>
            <w:r>
              <w:rPr>
                <w:rFonts w:hint="eastAsia" w:ascii="宋体" w:hAnsi="宋体" w:eastAsia="宋体" w:cs="宋体"/>
                <w:color w:val="000000"/>
                <w:sz w:val="24"/>
                <w:szCs w:val="21"/>
                <w:highlight w:val="none"/>
                <w:lang w:val="en-US" w:bidi="ar-SA"/>
              </w:rPr>
              <w:t>1、本项目实行网上投标，采用加密电子投标响应文件。若供应商参与投标，自行承担投标一切费用。</w:t>
            </w:r>
          </w:p>
          <w:p w14:paraId="6CB2A0AA">
            <w:pPr>
              <w:adjustRightInd w:val="0"/>
              <w:spacing w:line="312" w:lineRule="auto"/>
              <w:rPr>
                <w:rFonts w:hint="eastAsia" w:ascii="宋体" w:hAnsi="宋体" w:eastAsia="宋体" w:cs="宋体"/>
                <w:color w:val="000000"/>
                <w:sz w:val="24"/>
                <w:szCs w:val="21"/>
                <w:highlight w:val="none"/>
                <w:lang w:val="en-US" w:bidi="ar-SA"/>
              </w:rPr>
            </w:pPr>
            <w:r>
              <w:rPr>
                <w:rFonts w:hint="eastAsia" w:ascii="宋体" w:hAnsi="宋体" w:eastAsia="宋体" w:cs="宋体"/>
                <w:color w:val="000000"/>
                <w:sz w:val="24"/>
                <w:szCs w:val="21"/>
                <w:highlight w:val="none"/>
                <w:lang w:val="en-US" w:bidi="ar-SA"/>
              </w:rPr>
              <w:t>2、各供应商在开标前应确保成为新疆维吾尔自治区政府采购网正式注册入库供应商，并完成CA数字证书申领。因未注册入库、未办理CA数字证书等原因造成无法投标或投标失败等后果由供应商自行承担。</w:t>
            </w:r>
          </w:p>
          <w:p w14:paraId="36E4ECC1">
            <w:pPr>
              <w:adjustRightInd w:val="0"/>
              <w:spacing w:line="312" w:lineRule="auto"/>
              <w:rPr>
                <w:rFonts w:hint="eastAsia" w:ascii="宋体" w:hAnsi="宋体" w:eastAsia="宋体" w:cs="宋体"/>
                <w:sz w:val="24"/>
                <w:szCs w:val="24"/>
                <w:highlight w:val="none"/>
                <w:lang w:val="en-US" w:bidi="ar-SA"/>
              </w:rPr>
            </w:pPr>
            <w:r>
              <w:rPr>
                <w:rFonts w:hint="eastAsia" w:ascii="宋体" w:hAnsi="宋体" w:eastAsia="宋体" w:cs="宋体"/>
                <w:color w:val="000000"/>
                <w:sz w:val="24"/>
                <w:szCs w:val="21"/>
                <w:highlight w:val="none"/>
                <w:lang w:val="en-US" w:bidi="ar-SA"/>
              </w:rPr>
              <w:t>3、供应商将政采云电子交易客户端下载、安装完成后，可通过账号密码或CA登录客户端进行响应文件制作。在使用政采云投标客户端时，建议使用WIN7及以上操作系统。客户端请至新疆政府采购网（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"http://www.ccgp-xinjiang.gov.cn/" </w:instrText>
            </w:r>
            <w:r>
              <w:rPr>
                <w:rFonts w:hint="eastAsia" w:ascii="宋体" w:hAnsi="宋体" w:eastAsia="宋体" w:cs="宋体"/>
                <w:highlight w:val="none"/>
              </w:rPr>
              <w:fldChar w:fldCharType="separate"/>
            </w:r>
            <w:r>
              <w:rPr>
                <w:rFonts w:hint="eastAsia" w:ascii="宋体" w:hAnsi="宋体" w:eastAsia="宋体" w:cs="宋体"/>
                <w:color w:val="000000"/>
                <w:sz w:val="24"/>
                <w:szCs w:val="21"/>
                <w:highlight w:val="none"/>
                <w:lang w:val="en-US" w:bidi="ar-SA"/>
              </w:rPr>
              <w:t>http://www.ccgp-xinjiang.gov.cn/</w:t>
            </w:r>
            <w:r>
              <w:rPr>
                <w:rFonts w:hint="eastAsia" w:ascii="宋体" w:hAnsi="宋体" w:eastAsia="宋体" w:cs="宋体"/>
                <w:color w:val="000000"/>
                <w:sz w:val="24"/>
                <w:szCs w:val="21"/>
                <w:highlight w:val="none"/>
                <w:lang w:val="en-US" w:bidi="ar-SA"/>
              </w:rPr>
              <w:fldChar w:fldCharType="end"/>
            </w:r>
            <w:r>
              <w:rPr>
                <w:rFonts w:hint="eastAsia" w:ascii="宋体" w:hAnsi="宋体" w:eastAsia="宋体" w:cs="宋体"/>
                <w:color w:val="000000"/>
                <w:sz w:val="24"/>
                <w:szCs w:val="21"/>
                <w:highlight w:val="none"/>
                <w:lang w:val="en-US" w:bidi="ar-SA"/>
              </w:rPr>
              <w:t>）下载专区查看，如有问题可拨打政采云客户服务热线400-881-7190进行咨询。</w:t>
            </w:r>
          </w:p>
        </w:tc>
      </w:tr>
      <w:tr w14:paraId="48A6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137" w:type="dxa"/>
            <w:vAlign w:val="center"/>
          </w:tcPr>
          <w:p w14:paraId="0FF95290">
            <w:pPr>
              <w:adjustRightInd w:val="0"/>
              <w:spacing w:line="400" w:lineRule="exact"/>
              <w:jc w:val="center"/>
              <w:rPr>
                <w:rFonts w:hint="eastAsia" w:ascii="宋体" w:hAnsi="宋体" w:eastAsia="宋体" w:cs="宋体"/>
                <w:color w:val="000000"/>
                <w:sz w:val="24"/>
                <w:szCs w:val="24"/>
                <w:highlight w:val="none"/>
                <w:lang w:val="en-US" w:bidi="ar-SA"/>
              </w:rPr>
            </w:pPr>
            <w:r>
              <w:rPr>
                <w:rFonts w:hint="eastAsia" w:ascii="宋体" w:hAnsi="宋体" w:eastAsia="宋体" w:cs="宋体"/>
                <w:color w:val="000000"/>
                <w:sz w:val="24"/>
                <w:szCs w:val="24"/>
                <w:highlight w:val="none"/>
                <w:lang w:val="en-US" w:bidi="ar-SA"/>
              </w:rPr>
              <w:t>22</w:t>
            </w:r>
          </w:p>
        </w:tc>
        <w:tc>
          <w:tcPr>
            <w:tcW w:w="2142" w:type="dxa"/>
            <w:vAlign w:val="center"/>
          </w:tcPr>
          <w:p w14:paraId="6BF88206">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磋商响应文件签字、盖章要求</w:t>
            </w:r>
          </w:p>
        </w:tc>
        <w:tc>
          <w:tcPr>
            <w:tcW w:w="6357" w:type="dxa"/>
            <w:vAlign w:val="center"/>
          </w:tcPr>
          <w:p w14:paraId="42F00BC4">
            <w:pPr>
              <w:adjustRightInd w:val="0"/>
              <w:spacing w:line="400" w:lineRule="exact"/>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上传的电子磋商响应文件的盖章可采用CA锁电子签章进行，如办理了法人电子锁，法人签字也可以进行电子签章。</w:t>
            </w:r>
          </w:p>
        </w:tc>
      </w:tr>
      <w:tr w14:paraId="2A41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37" w:type="dxa"/>
            <w:vAlign w:val="center"/>
          </w:tcPr>
          <w:p w14:paraId="72E4BB8E">
            <w:pPr>
              <w:adjustRightInd w:val="0"/>
              <w:spacing w:line="400" w:lineRule="exact"/>
              <w:jc w:val="center"/>
              <w:rPr>
                <w:rFonts w:hint="eastAsia" w:ascii="宋体" w:hAnsi="宋体" w:eastAsia="宋体" w:cs="宋体"/>
                <w:color w:val="000000"/>
                <w:sz w:val="24"/>
                <w:szCs w:val="24"/>
                <w:highlight w:val="none"/>
                <w:lang w:val="en-US" w:bidi="ar-SA"/>
              </w:rPr>
            </w:pPr>
            <w:r>
              <w:rPr>
                <w:rFonts w:hint="eastAsia" w:ascii="宋体" w:hAnsi="宋体" w:eastAsia="宋体" w:cs="宋体"/>
                <w:color w:val="000000"/>
                <w:sz w:val="24"/>
                <w:szCs w:val="24"/>
                <w:highlight w:val="none"/>
                <w:lang w:val="en-US" w:bidi="ar-SA"/>
              </w:rPr>
              <w:t>23</w:t>
            </w:r>
          </w:p>
        </w:tc>
        <w:tc>
          <w:tcPr>
            <w:tcW w:w="2142" w:type="dxa"/>
            <w:vAlign w:val="center"/>
          </w:tcPr>
          <w:p w14:paraId="2C6D5C1C">
            <w:pPr>
              <w:adjustRightInd w:val="0"/>
              <w:spacing w:line="400" w:lineRule="exact"/>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磋商响应文件数量及制作</w:t>
            </w:r>
          </w:p>
        </w:tc>
        <w:tc>
          <w:tcPr>
            <w:tcW w:w="6357" w:type="dxa"/>
            <w:vAlign w:val="center"/>
          </w:tcPr>
          <w:p w14:paraId="648A7955">
            <w:pPr>
              <w:adjustRightInd w:val="0"/>
              <w:spacing w:line="400" w:lineRule="exact"/>
              <w:rPr>
                <w:rFonts w:hint="eastAsia" w:ascii="宋体" w:hAnsi="宋体" w:eastAsia="宋体" w:cs="宋体"/>
                <w:color w:val="000000"/>
                <w:sz w:val="24"/>
                <w:szCs w:val="24"/>
                <w:highlight w:val="none"/>
                <w:lang w:val="en-US" w:bidi="ar-SA"/>
              </w:rPr>
            </w:pPr>
            <w:r>
              <w:rPr>
                <w:rFonts w:hint="eastAsia" w:ascii="宋体" w:hAnsi="宋体" w:eastAsia="宋体" w:cs="宋体"/>
                <w:color w:val="000000"/>
                <w:sz w:val="24"/>
                <w:szCs w:val="24"/>
                <w:highlight w:val="none"/>
                <w:lang w:val="en-US" w:bidi="ar-SA"/>
              </w:rPr>
              <w:t>1、供应商投标时须提供：加密的电子响应文件壹份；备份文件壹份，按政采云平台供应商项目采购-电子招投标操作指南(www.zcygov.cn)及本磋商文件要求编制、提交。</w:t>
            </w:r>
          </w:p>
          <w:p w14:paraId="09E91E52">
            <w:pPr>
              <w:adjustRightInd w:val="0"/>
              <w:spacing w:line="400" w:lineRule="exact"/>
              <w:jc w:val="both"/>
              <w:rPr>
                <w:rFonts w:hint="eastAsia" w:ascii="宋体" w:hAnsi="宋体" w:eastAsia="宋体" w:cs="宋体"/>
                <w:color w:val="000000"/>
                <w:sz w:val="24"/>
                <w:szCs w:val="24"/>
                <w:highlight w:val="none"/>
                <w:lang w:val="en-US" w:bidi="ar-SA"/>
              </w:rPr>
            </w:pPr>
            <w:r>
              <w:rPr>
                <w:rFonts w:hint="eastAsia" w:ascii="宋体" w:hAnsi="宋体" w:eastAsia="宋体" w:cs="宋体"/>
                <w:color w:val="000000"/>
                <w:sz w:val="24"/>
                <w:szCs w:val="24"/>
                <w:highlight w:val="none"/>
                <w:lang w:val="en-US" w:bidi="ar-SA"/>
              </w:rPr>
              <w:t>2、开标后</w:t>
            </w:r>
            <w:r>
              <w:rPr>
                <w:rFonts w:hint="eastAsia" w:cs="宋体"/>
                <w:color w:val="000000"/>
                <w:sz w:val="24"/>
                <w:szCs w:val="24"/>
                <w:highlight w:val="none"/>
                <w:lang w:val="en-US" w:eastAsia="zh-CN" w:bidi="ar-SA"/>
              </w:rPr>
              <w:t>成交</w:t>
            </w:r>
            <w:r>
              <w:rPr>
                <w:rFonts w:hint="eastAsia" w:ascii="宋体" w:hAnsi="宋体" w:eastAsia="宋体" w:cs="宋体"/>
                <w:color w:val="000000"/>
                <w:sz w:val="24"/>
                <w:szCs w:val="24"/>
                <w:highlight w:val="none"/>
                <w:lang w:val="en-US" w:bidi="ar-SA"/>
              </w:rPr>
              <w:t>供应商需在公示期满后，另行提交纸质版响应文件</w:t>
            </w:r>
            <w:r>
              <w:rPr>
                <w:rFonts w:hint="eastAsia" w:cs="宋体"/>
                <w:color w:val="000000"/>
                <w:sz w:val="24"/>
                <w:szCs w:val="24"/>
                <w:highlight w:val="none"/>
                <w:lang w:val="en-US" w:eastAsia="zh-CN" w:bidi="ar-SA"/>
              </w:rPr>
              <w:t>及最终版工程量清单</w:t>
            </w:r>
            <w:r>
              <w:rPr>
                <w:rFonts w:hint="eastAsia" w:ascii="宋体" w:hAnsi="宋体" w:eastAsia="宋体" w:cs="宋体"/>
                <w:color w:val="000000"/>
                <w:sz w:val="24"/>
                <w:szCs w:val="24"/>
                <w:highlight w:val="none"/>
                <w:lang w:val="en-US" w:bidi="ar-SA"/>
              </w:rPr>
              <w:t>（正本一份、副本二份）。须与电子版响应文件内容一致，纸质响应文件需留存备案将一律不予退还。</w:t>
            </w:r>
          </w:p>
          <w:p w14:paraId="1F2CF53E">
            <w:pPr>
              <w:autoSpaceDE/>
              <w:autoSpaceDN/>
              <w:spacing w:line="380" w:lineRule="exact"/>
              <w:rPr>
                <w:rFonts w:hint="eastAsia" w:ascii="宋体" w:hAnsi="宋体" w:eastAsia="宋体" w:cs="宋体"/>
                <w:color w:val="000000"/>
                <w:sz w:val="24"/>
                <w:szCs w:val="24"/>
                <w:highlight w:val="none"/>
                <w:lang w:val="en-US" w:bidi="ar-SA"/>
              </w:rPr>
            </w:pPr>
            <w:r>
              <w:rPr>
                <w:rFonts w:hint="eastAsia" w:ascii="宋体" w:hAnsi="宋体" w:eastAsia="宋体" w:cs="宋体"/>
                <w:color w:val="000000"/>
                <w:sz w:val="24"/>
                <w:szCs w:val="24"/>
                <w:highlight w:val="none"/>
                <w:lang w:val="en-US" w:bidi="ar-SA"/>
              </w:rPr>
              <w:t>3、纸质版标书邮寄地址及收件人：</w:t>
            </w:r>
            <w:r>
              <w:rPr>
                <w:rFonts w:hint="eastAsia" w:cs="宋体"/>
                <w:i w:val="0"/>
                <w:caps w:val="0"/>
                <w:color w:val="000000"/>
                <w:spacing w:val="0"/>
                <w:sz w:val="24"/>
                <w:szCs w:val="24"/>
                <w:highlight w:val="none"/>
                <w:lang w:val="en-US" w:eastAsia="zh-CN"/>
              </w:rPr>
              <w:t>新疆喀什地区喀什经济开发区深喀大道陕西大厦1005室</w:t>
            </w:r>
            <w:r>
              <w:rPr>
                <w:rFonts w:hint="eastAsia" w:ascii="宋体" w:hAnsi="宋体" w:eastAsia="宋体" w:cs="宋体"/>
                <w:color w:val="000000"/>
                <w:sz w:val="24"/>
                <w:szCs w:val="24"/>
                <w:highlight w:val="none"/>
                <w:lang w:val="en-US" w:bidi="ar-SA"/>
              </w:rPr>
              <w:t>（</w:t>
            </w:r>
            <w:r>
              <w:rPr>
                <w:rFonts w:hint="eastAsia" w:cs="宋体"/>
                <w:color w:val="000000"/>
                <w:sz w:val="24"/>
                <w:szCs w:val="24"/>
                <w:highlight w:val="none"/>
                <w:lang w:val="en-US" w:eastAsia="zh-CN" w:bidi="ar-SA"/>
              </w:rPr>
              <w:t>新疆惠中源项目管理有限公司</w:t>
            </w:r>
            <w:r>
              <w:rPr>
                <w:rFonts w:hint="eastAsia" w:ascii="宋体" w:hAnsi="宋体" w:eastAsia="宋体" w:cs="宋体"/>
                <w:color w:val="000000"/>
                <w:sz w:val="24"/>
                <w:szCs w:val="24"/>
                <w:highlight w:val="none"/>
                <w:lang w:val="en-US" w:bidi="ar-SA"/>
              </w:rPr>
              <w:t>）</w:t>
            </w:r>
          </w:p>
          <w:p w14:paraId="4022A4BA">
            <w:pPr>
              <w:adjustRightInd w:val="0"/>
              <w:spacing w:line="400" w:lineRule="exac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bidi="ar-SA"/>
              </w:rPr>
              <w:t>收件人：</w:t>
            </w:r>
            <w:r>
              <w:rPr>
                <w:rFonts w:hint="eastAsia" w:cs="宋体"/>
                <w:sz w:val="24"/>
                <w:szCs w:val="21"/>
                <w:highlight w:val="none"/>
                <w:lang w:val="en-US" w:eastAsia="zh-CN" w:bidi="ar-SA"/>
              </w:rPr>
              <w:t>于大海</w:t>
            </w:r>
            <w:r>
              <w:rPr>
                <w:rFonts w:hint="eastAsia" w:ascii="宋体" w:hAnsi="宋体" w:eastAsia="宋体" w:cs="宋体"/>
                <w:sz w:val="24"/>
                <w:szCs w:val="21"/>
                <w:highlight w:val="none"/>
                <w:lang w:val="en-US" w:bidi="ar-SA"/>
              </w:rPr>
              <w:t xml:space="preserve">    </w:t>
            </w:r>
            <w:r>
              <w:rPr>
                <w:rFonts w:hint="eastAsia" w:ascii="宋体" w:hAnsi="宋体" w:eastAsia="宋体" w:cs="宋体"/>
                <w:sz w:val="24"/>
                <w:szCs w:val="24"/>
                <w:highlight w:val="none"/>
                <w:lang w:val="en-US" w:bidi="ar-SA"/>
              </w:rPr>
              <w:t>联系电话：</w:t>
            </w:r>
            <w:r>
              <w:rPr>
                <w:rFonts w:hint="eastAsia" w:cs="宋体"/>
                <w:sz w:val="24"/>
                <w:szCs w:val="24"/>
                <w:highlight w:val="none"/>
                <w:lang w:val="en-US" w:eastAsia="zh-CN" w:bidi="ar-SA"/>
              </w:rPr>
              <w:t>18999110912</w:t>
            </w:r>
          </w:p>
        </w:tc>
      </w:tr>
      <w:tr w14:paraId="530E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vAlign w:val="center"/>
          </w:tcPr>
          <w:p w14:paraId="6F6D1929">
            <w:pPr>
              <w:adjustRightInd w:val="0"/>
              <w:spacing w:line="400" w:lineRule="exact"/>
              <w:jc w:val="center"/>
              <w:rPr>
                <w:rFonts w:hint="eastAsia" w:ascii="宋体" w:hAnsi="宋体" w:eastAsia="宋体" w:cs="宋体"/>
                <w:color w:val="000000"/>
                <w:sz w:val="24"/>
                <w:szCs w:val="24"/>
                <w:highlight w:val="none"/>
                <w:lang w:val="en-US" w:bidi="ar-SA"/>
              </w:rPr>
            </w:pPr>
            <w:r>
              <w:rPr>
                <w:rFonts w:hint="eastAsia" w:ascii="宋体" w:hAnsi="宋体" w:eastAsia="宋体" w:cs="宋体"/>
                <w:color w:val="000000"/>
                <w:sz w:val="24"/>
                <w:szCs w:val="24"/>
                <w:highlight w:val="none"/>
                <w:lang w:val="en-US" w:bidi="ar-SA"/>
              </w:rPr>
              <w:t>24</w:t>
            </w:r>
          </w:p>
        </w:tc>
        <w:tc>
          <w:tcPr>
            <w:tcW w:w="2142" w:type="dxa"/>
            <w:vAlign w:val="center"/>
          </w:tcPr>
          <w:p w14:paraId="3CC37A40">
            <w:pPr>
              <w:adjustRightInd w:val="0"/>
              <w:spacing w:line="400" w:lineRule="exact"/>
              <w:jc w:val="center"/>
              <w:rPr>
                <w:rFonts w:hint="eastAsia" w:ascii="宋体" w:hAnsi="宋体" w:eastAsia="宋体" w:cs="宋体"/>
                <w:color w:val="FF0000"/>
                <w:sz w:val="24"/>
                <w:szCs w:val="24"/>
                <w:highlight w:val="none"/>
                <w:lang w:val="en-US" w:bidi="ar-SA"/>
              </w:rPr>
            </w:pPr>
            <w:r>
              <w:rPr>
                <w:rFonts w:hint="eastAsia" w:ascii="宋体" w:hAnsi="宋体" w:eastAsia="宋体" w:cs="宋体"/>
                <w:spacing w:val="-1"/>
                <w:sz w:val="24"/>
                <w:szCs w:val="24"/>
                <w:highlight w:val="none"/>
                <w:lang w:val="en-US" w:bidi="ar-SA"/>
              </w:rPr>
              <w:t>响应文件的解密</w:t>
            </w:r>
          </w:p>
        </w:tc>
        <w:tc>
          <w:tcPr>
            <w:tcW w:w="6357" w:type="dxa"/>
            <w:vAlign w:val="center"/>
          </w:tcPr>
          <w:p w14:paraId="1100B626">
            <w:pPr>
              <w:adjustRightInd w:val="0"/>
              <w:spacing w:line="400" w:lineRule="exact"/>
              <w:rPr>
                <w:rFonts w:hint="eastAsia" w:ascii="宋体" w:hAnsi="宋体" w:eastAsia="宋体" w:cs="宋体"/>
                <w:color w:val="FF0000"/>
                <w:sz w:val="24"/>
                <w:szCs w:val="24"/>
                <w:highlight w:val="none"/>
                <w:lang w:val="en-US" w:bidi="ar-SA"/>
              </w:rPr>
            </w:pPr>
            <w:r>
              <w:rPr>
                <w:rFonts w:hint="eastAsia" w:ascii="宋体" w:hAnsi="宋体" w:eastAsia="宋体" w:cs="宋体"/>
                <w:color w:val="000000"/>
                <w:sz w:val="24"/>
                <w:szCs w:val="21"/>
                <w:highlight w:val="none"/>
                <w:lang w:val="en-US" w:bidi="ar-SA"/>
              </w:rPr>
              <w:t>本项目采用全流程不见面电子开评标，供应商无需到开标现场解密，通过政采云平台在线响应，并保持电话畅通。开标时发出解密指令后30分钟内，供应商可以登录“政采云”平台，用“项目采购-开标评标”功能进行解密响应文件。若供应商在规定时间内未按时解密的，或解密失败又未提交备份文件的，视为响应文件撤回。</w:t>
            </w:r>
          </w:p>
        </w:tc>
      </w:tr>
      <w:tr w14:paraId="67F9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vAlign w:val="center"/>
          </w:tcPr>
          <w:p w14:paraId="5456F287">
            <w:pPr>
              <w:adjustRightInd w:val="0"/>
              <w:spacing w:line="400" w:lineRule="exact"/>
              <w:jc w:val="center"/>
              <w:rPr>
                <w:rFonts w:hint="eastAsia" w:ascii="宋体" w:hAnsi="宋体" w:eastAsia="宋体" w:cs="宋体"/>
                <w:color w:val="000000"/>
                <w:sz w:val="24"/>
                <w:szCs w:val="24"/>
                <w:highlight w:val="none"/>
                <w:lang w:val="en-US" w:bidi="ar-SA"/>
              </w:rPr>
            </w:pPr>
            <w:r>
              <w:rPr>
                <w:rFonts w:hint="eastAsia" w:ascii="宋体" w:hAnsi="宋体" w:eastAsia="宋体" w:cs="宋体"/>
                <w:color w:val="000000"/>
                <w:sz w:val="24"/>
                <w:szCs w:val="24"/>
                <w:highlight w:val="none"/>
                <w:lang w:val="en-US" w:bidi="ar-SA"/>
              </w:rPr>
              <w:t>25</w:t>
            </w:r>
          </w:p>
        </w:tc>
        <w:tc>
          <w:tcPr>
            <w:tcW w:w="2142" w:type="dxa"/>
            <w:vAlign w:val="center"/>
          </w:tcPr>
          <w:p w14:paraId="59D65938">
            <w:pPr>
              <w:adjustRightInd w:val="0"/>
              <w:spacing w:line="400" w:lineRule="exact"/>
              <w:jc w:val="center"/>
              <w:rPr>
                <w:rFonts w:hint="eastAsia" w:ascii="宋体" w:hAnsi="宋体" w:eastAsia="宋体" w:cs="宋体"/>
                <w:spacing w:val="-1"/>
                <w:sz w:val="24"/>
                <w:szCs w:val="24"/>
                <w:highlight w:val="none"/>
                <w:lang w:val="en-US" w:bidi="ar-SA"/>
              </w:rPr>
            </w:pPr>
            <w:r>
              <w:rPr>
                <w:rFonts w:hint="eastAsia" w:ascii="宋体" w:hAnsi="宋体" w:eastAsia="宋体" w:cs="宋体"/>
                <w:spacing w:val="-1"/>
                <w:sz w:val="24"/>
                <w:szCs w:val="24"/>
                <w:highlight w:val="none"/>
                <w:lang w:val="en-US" w:bidi="ar-SA"/>
              </w:rPr>
              <w:t>投标报价确认时间要求</w:t>
            </w:r>
          </w:p>
        </w:tc>
        <w:tc>
          <w:tcPr>
            <w:tcW w:w="6357" w:type="dxa"/>
            <w:vAlign w:val="center"/>
          </w:tcPr>
          <w:p w14:paraId="7C23257E">
            <w:pPr>
              <w:adjustRightInd w:val="0"/>
              <w:spacing w:line="400" w:lineRule="exact"/>
              <w:rPr>
                <w:rFonts w:hint="eastAsia" w:ascii="宋体" w:hAnsi="宋体" w:eastAsia="宋体" w:cs="宋体"/>
                <w:color w:val="000000"/>
                <w:sz w:val="24"/>
                <w:szCs w:val="21"/>
                <w:highlight w:val="none"/>
                <w:lang w:val="en-US" w:bidi="ar-SA"/>
              </w:rPr>
            </w:pPr>
            <w:r>
              <w:rPr>
                <w:rFonts w:hint="eastAsia" w:ascii="宋体" w:hAnsi="宋体" w:eastAsia="宋体" w:cs="宋体"/>
                <w:sz w:val="24"/>
                <w:szCs w:val="24"/>
                <w:highlight w:val="none"/>
                <w:lang w:val="en-US" w:bidi="ar-SA"/>
              </w:rPr>
              <w:t>本项目采用全流程不见面电子开评标，投标报价确认时间为15分钟，投标人须在发出报价确认的指令15分钟内在政采云平台在线确认报价。若逾期未在线确认报价，系统将会进行下一步操作，则视同确认报价。</w:t>
            </w:r>
          </w:p>
        </w:tc>
      </w:tr>
      <w:tr w14:paraId="4A61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vAlign w:val="center"/>
          </w:tcPr>
          <w:p w14:paraId="22AA0D6A">
            <w:pPr>
              <w:adjustRightInd w:val="0"/>
              <w:spacing w:line="400" w:lineRule="exact"/>
              <w:jc w:val="center"/>
              <w:rPr>
                <w:rFonts w:hint="eastAsia" w:ascii="宋体" w:hAnsi="宋体" w:eastAsia="宋体" w:cs="宋体"/>
                <w:color w:val="000000"/>
                <w:sz w:val="24"/>
                <w:szCs w:val="24"/>
                <w:highlight w:val="none"/>
                <w:lang w:val="en-US" w:bidi="ar-SA"/>
              </w:rPr>
            </w:pPr>
            <w:r>
              <w:rPr>
                <w:rFonts w:hint="eastAsia" w:ascii="宋体" w:hAnsi="宋体" w:eastAsia="宋体" w:cs="宋体"/>
                <w:color w:val="000000"/>
                <w:sz w:val="24"/>
                <w:szCs w:val="24"/>
                <w:highlight w:val="none"/>
                <w:lang w:val="en-US" w:bidi="ar-SA"/>
              </w:rPr>
              <w:t>26</w:t>
            </w:r>
          </w:p>
        </w:tc>
        <w:tc>
          <w:tcPr>
            <w:tcW w:w="2142" w:type="dxa"/>
            <w:vAlign w:val="center"/>
          </w:tcPr>
          <w:p w14:paraId="205610A3">
            <w:pPr>
              <w:pStyle w:val="12"/>
              <w:adjustRightInd w:val="0"/>
              <w:spacing w:line="440" w:lineRule="exact"/>
              <w:jc w:val="center"/>
              <w:rPr>
                <w:rFonts w:hint="eastAsia" w:ascii="宋体" w:hAnsi="宋体" w:eastAsia="宋体" w:cs="宋体"/>
                <w:spacing w:val="-1"/>
                <w:sz w:val="24"/>
                <w:szCs w:val="24"/>
                <w:highlight w:val="none"/>
                <w:lang w:val="en-US" w:bidi="ar-SA"/>
              </w:rPr>
            </w:pPr>
            <w:r>
              <w:rPr>
                <w:rFonts w:hint="eastAsia" w:ascii="宋体" w:hAnsi="宋体" w:eastAsia="宋体" w:cs="宋体"/>
                <w:spacing w:val="-1"/>
                <w:sz w:val="24"/>
                <w:szCs w:val="24"/>
                <w:highlight w:val="none"/>
              </w:rPr>
              <w:t>政采云在线最终报价要求</w:t>
            </w:r>
          </w:p>
        </w:tc>
        <w:tc>
          <w:tcPr>
            <w:tcW w:w="6357" w:type="dxa"/>
            <w:vAlign w:val="center"/>
          </w:tcPr>
          <w:p w14:paraId="03199968">
            <w:pPr>
              <w:pStyle w:val="12"/>
              <w:adjustRightInd w:val="0"/>
              <w:spacing w:line="44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rPr>
              <w:t>本项目磋商报价为二轮报价，</w:t>
            </w:r>
            <w:r>
              <w:rPr>
                <w:rFonts w:hint="eastAsia" w:ascii="宋体" w:hAnsi="宋体" w:eastAsia="宋体" w:cs="宋体"/>
                <w:sz w:val="24"/>
                <w:szCs w:val="24"/>
                <w:highlight w:val="none"/>
              </w:rPr>
              <w:t>首次报价在响应文件中体现；二次报价即最终报价由各磋商供应商在开启最终报价指令发出后</w:t>
            </w: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rPr>
              <w:t>0</w:t>
            </w:r>
            <w:r>
              <w:rPr>
                <w:rFonts w:hint="eastAsia" w:ascii="宋体" w:hAnsi="宋体" w:eastAsia="宋体" w:cs="宋体"/>
                <w:sz w:val="24"/>
                <w:szCs w:val="24"/>
                <w:highlight w:val="none"/>
              </w:rPr>
              <w:t>分钟内在政采云平台在线完成报价，最终报价不得高于首次报价。若逾期未按磋商文件的要求在线提交最终报价，则视同退出磋商。</w:t>
            </w:r>
          </w:p>
          <w:p w14:paraId="5CE9C0C0">
            <w:pPr>
              <w:pStyle w:val="12"/>
              <w:adjustRightInd w:val="0"/>
              <w:spacing w:line="44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★投标供应商在线上传最终报价时，须同时上传附件最终报价单（按本磋商文件提供的格式）原件的扫描件。</w:t>
            </w:r>
          </w:p>
          <w:p w14:paraId="60D5C9AB">
            <w:pPr>
              <w:tabs>
                <w:tab w:val="left" w:pos="1409"/>
              </w:tabs>
              <w:autoSpaceDE/>
              <w:autoSpaceDN/>
              <w:spacing w:before="74" w:line="440" w:lineRule="exact"/>
              <w:ind w:right="409"/>
              <w:jc w:val="both"/>
              <w:rPr>
                <w:rFonts w:hint="eastAsia" w:ascii="宋体" w:hAnsi="宋体" w:eastAsia="宋体" w:cs="宋体"/>
                <w:b/>
                <w:bCs/>
                <w:sz w:val="24"/>
                <w:szCs w:val="24"/>
                <w:highlight w:val="none"/>
                <w:lang w:val="en-US" w:eastAsia="zh-CN"/>
              </w:rPr>
            </w:pPr>
            <w:r>
              <w:rPr>
                <w:rFonts w:hint="eastAsia" w:cs="宋体"/>
                <w:b/>
                <w:bCs/>
                <w:sz w:val="24"/>
                <w:szCs w:val="24"/>
                <w:highlight w:val="none"/>
                <w:lang w:val="en-US" w:eastAsia="zh-CN"/>
              </w:rPr>
              <w:t>二次报价时需供应商提前准备好二轮已标价的工程量清单，供应商在线上传最终报价时，须同时上传已标价的工程量清单，经法定代表人或授权委托人签署并加盖供应商公章的PDF扫描件。作为报价评审依据，成为其响应文件的组成部分。</w:t>
            </w:r>
          </w:p>
        </w:tc>
      </w:tr>
      <w:tr w14:paraId="30E8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14:paraId="1BA5B995">
            <w:pPr>
              <w:adjustRightInd w:val="0"/>
              <w:spacing w:line="400" w:lineRule="exact"/>
              <w:jc w:val="center"/>
              <w:rPr>
                <w:rFonts w:hint="eastAsia" w:ascii="宋体" w:hAnsi="宋体" w:eastAsia="宋体" w:cs="宋体"/>
                <w:color w:val="000000"/>
                <w:sz w:val="24"/>
                <w:szCs w:val="24"/>
                <w:highlight w:val="none"/>
                <w:lang w:val="en-US" w:bidi="ar-SA"/>
              </w:rPr>
            </w:pPr>
            <w:r>
              <w:rPr>
                <w:rFonts w:hint="eastAsia" w:ascii="宋体" w:hAnsi="宋体" w:eastAsia="宋体" w:cs="宋体"/>
                <w:color w:val="000000"/>
                <w:sz w:val="24"/>
                <w:szCs w:val="24"/>
                <w:highlight w:val="none"/>
                <w:lang w:val="en-US" w:bidi="ar-SA"/>
              </w:rPr>
              <w:t>27</w:t>
            </w:r>
          </w:p>
        </w:tc>
        <w:tc>
          <w:tcPr>
            <w:tcW w:w="2142" w:type="dxa"/>
            <w:vAlign w:val="center"/>
          </w:tcPr>
          <w:p w14:paraId="2DB4D599">
            <w:pPr>
              <w:adjustRightInd w:val="0"/>
              <w:spacing w:line="440" w:lineRule="exact"/>
              <w:jc w:val="center"/>
              <w:rPr>
                <w:rFonts w:hint="eastAsia" w:ascii="宋体" w:hAnsi="宋体" w:eastAsia="宋体" w:cs="宋体"/>
                <w:spacing w:val="-1"/>
                <w:sz w:val="24"/>
                <w:szCs w:val="24"/>
                <w:highlight w:val="none"/>
                <w:lang w:val="en-US" w:bidi="ar-SA"/>
              </w:rPr>
            </w:pPr>
            <w:r>
              <w:rPr>
                <w:rFonts w:hint="eastAsia" w:ascii="宋体" w:hAnsi="宋体" w:eastAsia="宋体" w:cs="宋体"/>
                <w:spacing w:val="-1"/>
                <w:sz w:val="24"/>
                <w:szCs w:val="24"/>
                <w:highlight w:val="none"/>
                <w:lang w:val="en-US" w:bidi="ar-SA"/>
              </w:rPr>
              <w:t>评标办法</w:t>
            </w:r>
          </w:p>
        </w:tc>
        <w:tc>
          <w:tcPr>
            <w:tcW w:w="6357" w:type="dxa"/>
            <w:vAlign w:val="center"/>
          </w:tcPr>
          <w:p w14:paraId="258771AE">
            <w:pPr>
              <w:adjustRightInd w:val="0"/>
              <w:spacing w:line="440" w:lineRule="exact"/>
              <w:rPr>
                <w:rFonts w:hint="eastAsia" w:ascii="宋体" w:hAnsi="宋体" w:eastAsia="宋体" w:cs="宋体"/>
                <w:sz w:val="24"/>
                <w:szCs w:val="24"/>
                <w:highlight w:val="none"/>
                <w:lang w:val="en-US" w:bidi="ar-SA"/>
              </w:rPr>
            </w:pPr>
            <w:r>
              <w:rPr>
                <w:rFonts w:hint="eastAsia" w:ascii="宋体" w:hAnsi="宋体" w:eastAsia="宋体" w:cs="宋体"/>
                <w:color w:val="000000"/>
                <w:sz w:val="24"/>
                <w:szCs w:val="24"/>
                <w:highlight w:val="none"/>
                <w:lang w:val="en-US" w:bidi="ar-SA"/>
              </w:rPr>
              <w:t>本次竞争性磋商采用综合评分法，综合得分最高的确定成交供应商。</w:t>
            </w:r>
          </w:p>
        </w:tc>
      </w:tr>
      <w:tr w14:paraId="6016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137" w:type="dxa"/>
            <w:vAlign w:val="center"/>
          </w:tcPr>
          <w:p w14:paraId="453184D3">
            <w:pPr>
              <w:adjustRightInd w:val="0"/>
              <w:spacing w:line="400" w:lineRule="exact"/>
              <w:jc w:val="center"/>
              <w:rPr>
                <w:rFonts w:hint="eastAsia" w:ascii="宋体" w:hAnsi="宋体" w:eastAsia="宋体" w:cs="宋体"/>
                <w:color w:val="000000"/>
                <w:sz w:val="24"/>
                <w:szCs w:val="24"/>
                <w:highlight w:val="none"/>
                <w:lang w:val="en-US" w:bidi="ar-SA"/>
              </w:rPr>
            </w:pPr>
            <w:r>
              <w:rPr>
                <w:rFonts w:hint="eastAsia" w:ascii="宋体" w:hAnsi="宋体" w:eastAsia="宋体" w:cs="宋体"/>
                <w:color w:val="000000"/>
                <w:sz w:val="24"/>
                <w:szCs w:val="24"/>
                <w:highlight w:val="none"/>
                <w:lang w:val="en-US" w:bidi="ar-SA"/>
              </w:rPr>
              <w:t>28</w:t>
            </w:r>
          </w:p>
        </w:tc>
        <w:tc>
          <w:tcPr>
            <w:tcW w:w="2142" w:type="dxa"/>
            <w:vAlign w:val="center"/>
          </w:tcPr>
          <w:p w14:paraId="5643DAB2">
            <w:pPr>
              <w:adjustRightInd w:val="0"/>
              <w:spacing w:line="400" w:lineRule="exact"/>
              <w:rPr>
                <w:rFonts w:hint="eastAsia" w:ascii="宋体" w:hAnsi="宋体" w:eastAsia="宋体" w:cs="宋体"/>
                <w:color w:val="FF0000"/>
                <w:sz w:val="24"/>
                <w:szCs w:val="24"/>
                <w:highlight w:val="none"/>
                <w:lang w:val="en-US" w:bidi="ar-SA"/>
              </w:rPr>
            </w:pPr>
            <w:r>
              <w:rPr>
                <w:rFonts w:hint="eastAsia" w:ascii="宋体" w:hAnsi="宋体" w:eastAsia="宋体" w:cs="宋体"/>
                <w:spacing w:val="-1"/>
                <w:sz w:val="24"/>
                <w:szCs w:val="24"/>
                <w:highlight w:val="none"/>
                <w:lang w:val="en-US" w:bidi="ar-SA"/>
              </w:rPr>
              <w:t>首次递交竞争性磋商响应文件截止时间及磋商时间</w:t>
            </w:r>
          </w:p>
        </w:tc>
        <w:tc>
          <w:tcPr>
            <w:tcW w:w="6357" w:type="dxa"/>
            <w:vAlign w:val="center"/>
          </w:tcPr>
          <w:p w14:paraId="090C7EE1">
            <w:pPr>
              <w:adjustRightInd w:val="0"/>
              <w:spacing w:line="400" w:lineRule="exact"/>
              <w:rPr>
                <w:rFonts w:hint="eastAsia" w:ascii="宋体" w:hAnsi="宋体" w:eastAsia="宋体" w:cs="宋体"/>
                <w:color w:val="FF0000"/>
                <w:sz w:val="24"/>
                <w:szCs w:val="24"/>
                <w:highlight w:val="none"/>
                <w:lang w:val="en-US" w:bidi="ar-SA"/>
              </w:rPr>
            </w:pPr>
            <w:r>
              <w:rPr>
                <w:rFonts w:hint="eastAsia" w:cs="宋体"/>
                <w:b/>
                <w:bCs/>
                <w:color w:val="auto"/>
                <w:sz w:val="24"/>
                <w:szCs w:val="21"/>
                <w:highlight w:val="none"/>
                <w:lang w:val="en-US" w:eastAsia="zh-CN" w:bidi="ar-SA"/>
              </w:rPr>
              <w:t>2026年06月04日上午11:00</w:t>
            </w:r>
            <w:r>
              <w:rPr>
                <w:rFonts w:hint="eastAsia" w:ascii="宋体" w:hAnsi="宋体" w:eastAsia="宋体" w:cs="宋体"/>
                <w:b/>
                <w:bCs/>
                <w:color w:val="auto"/>
                <w:sz w:val="24"/>
                <w:szCs w:val="21"/>
                <w:highlight w:val="none"/>
                <w:lang w:val="en-US" w:bidi="ar-SA"/>
              </w:rPr>
              <w:t>（北京时间)，逾期不接受。</w:t>
            </w:r>
          </w:p>
        </w:tc>
      </w:tr>
      <w:tr w14:paraId="5AF0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37" w:type="dxa"/>
            <w:vAlign w:val="center"/>
          </w:tcPr>
          <w:p w14:paraId="21A623A6">
            <w:pPr>
              <w:adjustRightInd w:val="0"/>
              <w:spacing w:line="400" w:lineRule="exact"/>
              <w:jc w:val="center"/>
              <w:rPr>
                <w:rFonts w:hint="eastAsia" w:ascii="宋体" w:hAnsi="宋体" w:eastAsia="宋体" w:cs="宋体"/>
                <w:color w:val="000000"/>
                <w:sz w:val="24"/>
                <w:szCs w:val="24"/>
                <w:highlight w:val="none"/>
                <w:lang w:val="en-US" w:bidi="ar-SA"/>
              </w:rPr>
            </w:pPr>
            <w:r>
              <w:rPr>
                <w:rFonts w:hint="eastAsia" w:ascii="宋体" w:hAnsi="宋体" w:eastAsia="宋体" w:cs="宋体"/>
                <w:color w:val="000000"/>
                <w:sz w:val="24"/>
                <w:szCs w:val="24"/>
                <w:highlight w:val="none"/>
                <w:lang w:val="en-US" w:bidi="ar-SA"/>
              </w:rPr>
              <w:t>29</w:t>
            </w:r>
          </w:p>
        </w:tc>
        <w:tc>
          <w:tcPr>
            <w:tcW w:w="2142" w:type="dxa"/>
            <w:vAlign w:val="center"/>
          </w:tcPr>
          <w:p w14:paraId="2C15239E">
            <w:pPr>
              <w:adjustRightInd w:val="0"/>
              <w:spacing w:line="400" w:lineRule="exact"/>
              <w:rPr>
                <w:rFonts w:hint="eastAsia" w:ascii="宋体" w:hAnsi="宋体" w:eastAsia="宋体" w:cs="宋体"/>
                <w:color w:val="FF0000"/>
                <w:sz w:val="24"/>
                <w:szCs w:val="24"/>
                <w:highlight w:val="none"/>
                <w:lang w:val="en-US" w:bidi="ar-SA"/>
              </w:rPr>
            </w:pPr>
            <w:r>
              <w:rPr>
                <w:rFonts w:hint="eastAsia" w:ascii="宋体" w:hAnsi="宋体" w:eastAsia="宋体" w:cs="宋体"/>
                <w:spacing w:val="-1"/>
                <w:sz w:val="24"/>
                <w:szCs w:val="24"/>
                <w:highlight w:val="none"/>
                <w:lang w:val="en-US" w:bidi="ar-SA"/>
              </w:rPr>
              <w:t>首次递交竞争性磋商响应文件地点及磋商地点</w:t>
            </w:r>
          </w:p>
        </w:tc>
        <w:tc>
          <w:tcPr>
            <w:tcW w:w="6357" w:type="dxa"/>
            <w:vAlign w:val="center"/>
          </w:tcPr>
          <w:p w14:paraId="6FECA986">
            <w:pPr>
              <w:adjustRightInd w:val="0"/>
              <w:spacing w:line="440" w:lineRule="exact"/>
              <w:rPr>
                <w:rFonts w:hint="eastAsia" w:ascii="宋体" w:hAnsi="宋体" w:eastAsia="宋体" w:cs="宋体"/>
                <w:color w:val="000000"/>
                <w:sz w:val="24"/>
                <w:szCs w:val="21"/>
                <w:highlight w:val="none"/>
                <w:lang w:val="en-US" w:bidi="ar-SA"/>
              </w:rPr>
            </w:pPr>
            <w:r>
              <w:rPr>
                <w:rFonts w:hint="eastAsia" w:ascii="宋体" w:hAnsi="宋体" w:eastAsia="宋体" w:cs="宋体"/>
                <w:color w:val="000000"/>
                <w:sz w:val="24"/>
                <w:szCs w:val="21"/>
                <w:highlight w:val="none"/>
                <w:lang w:val="en-US" w:bidi="ar-SA"/>
              </w:rPr>
              <w:t>地点：各供应商应在响应文件提交截止时间前，通过“政采云”平台（https://www.zcygov.cn）上传加密的电子响应文件。</w:t>
            </w:r>
          </w:p>
          <w:p w14:paraId="5B60F3B8">
            <w:pPr>
              <w:adjustRightInd w:val="0"/>
              <w:spacing w:line="440" w:lineRule="exact"/>
              <w:ind w:firstLine="360" w:firstLineChars="150"/>
              <w:rPr>
                <w:rFonts w:hint="eastAsia" w:ascii="宋体" w:hAnsi="宋体" w:eastAsia="宋体" w:cs="宋体"/>
                <w:color w:val="FF0000"/>
                <w:sz w:val="24"/>
                <w:szCs w:val="24"/>
                <w:highlight w:val="none"/>
                <w:lang w:val="en-US" w:bidi="ar-SA"/>
              </w:rPr>
            </w:pPr>
            <w:r>
              <w:rPr>
                <w:rFonts w:hint="eastAsia" w:ascii="宋体" w:hAnsi="宋体" w:eastAsia="宋体" w:cs="宋体"/>
                <w:color w:val="000000"/>
                <w:sz w:val="24"/>
                <w:szCs w:val="21"/>
                <w:highlight w:val="none"/>
                <w:lang w:val="en-US" w:bidi="ar-SA"/>
              </w:rPr>
              <w:t>请各供应商按照本项目磋商文件和政采云平台的要求编制、加密传输响应文件，上传前务必认真检查上传电子响应文件是否完整、正确。供应商在使用系统进行投标的过程中遇到涉及平台使用的任何问题，可致电政采云平台技术支持热线咨询，联系方式：400-881-7190。</w:t>
            </w:r>
          </w:p>
        </w:tc>
      </w:tr>
      <w:tr w14:paraId="2F66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137" w:type="dxa"/>
            <w:vAlign w:val="center"/>
          </w:tcPr>
          <w:p w14:paraId="32D4F85B">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30</w:t>
            </w:r>
          </w:p>
        </w:tc>
        <w:tc>
          <w:tcPr>
            <w:tcW w:w="2142" w:type="dxa"/>
            <w:vAlign w:val="center"/>
          </w:tcPr>
          <w:p w14:paraId="2965C6CF">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磋商小组的组建</w:t>
            </w:r>
          </w:p>
        </w:tc>
        <w:tc>
          <w:tcPr>
            <w:tcW w:w="6357" w:type="dxa"/>
            <w:vAlign w:val="center"/>
          </w:tcPr>
          <w:p w14:paraId="45A5DE84">
            <w:pPr>
              <w:adjustRightInd w:val="0"/>
              <w:spacing w:line="400" w:lineRule="exact"/>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磋商小组的构成：采购人代表</w:t>
            </w:r>
            <w:r>
              <w:rPr>
                <w:rFonts w:hint="eastAsia" w:cs="宋体"/>
                <w:sz w:val="24"/>
                <w:szCs w:val="24"/>
                <w:highlight w:val="none"/>
                <w:lang w:val="en-US" w:eastAsia="zh-CN" w:bidi="ar-SA"/>
              </w:rPr>
              <w:t>0</w:t>
            </w:r>
            <w:r>
              <w:rPr>
                <w:rFonts w:hint="eastAsia" w:ascii="宋体" w:hAnsi="宋体" w:eastAsia="宋体" w:cs="宋体"/>
                <w:sz w:val="24"/>
                <w:szCs w:val="24"/>
                <w:highlight w:val="none"/>
                <w:lang w:val="en-US" w:bidi="ar-SA"/>
              </w:rPr>
              <w:t>人，专家库中随机抽取</w:t>
            </w:r>
            <w:r>
              <w:rPr>
                <w:rFonts w:hint="eastAsia" w:cs="宋体"/>
                <w:sz w:val="24"/>
                <w:szCs w:val="24"/>
                <w:highlight w:val="none"/>
                <w:lang w:val="en-US" w:eastAsia="zh-CN" w:bidi="ar-SA"/>
              </w:rPr>
              <w:t>5</w:t>
            </w:r>
            <w:r>
              <w:rPr>
                <w:rFonts w:hint="eastAsia" w:ascii="宋体" w:hAnsi="宋体" w:eastAsia="宋体" w:cs="宋体"/>
                <w:sz w:val="24"/>
                <w:szCs w:val="24"/>
                <w:highlight w:val="none"/>
                <w:lang w:val="en-US" w:bidi="ar-SA"/>
              </w:rPr>
              <w:t>人，共</w:t>
            </w:r>
            <w:r>
              <w:rPr>
                <w:rFonts w:hint="eastAsia" w:cs="宋体"/>
                <w:sz w:val="24"/>
                <w:szCs w:val="24"/>
                <w:highlight w:val="none"/>
                <w:lang w:val="en-US" w:eastAsia="zh-CN" w:bidi="ar-SA"/>
              </w:rPr>
              <w:t>5</w:t>
            </w:r>
            <w:r>
              <w:rPr>
                <w:rFonts w:hint="eastAsia" w:ascii="宋体" w:hAnsi="宋体" w:eastAsia="宋体" w:cs="宋体"/>
                <w:sz w:val="24"/>
                <w:szCs w:val="24"/>
                <w:highlight w:val="none"/>
                <w:lang w:val="en-US" w:bidi="ar-SA"/>
              </w:rPr>
              <w:t>人组成。</w:t>
            </w:r>
          </w:p>
        </w:tc>
      </w:tr>
      <w:tr w14:paraId="1556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37" w:type="dxa"/>
            <w:vAlign w:val="center"/>
          </w:tcPr>
          <w:p w14:paraId="62D037D5">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31</w:t>
            </w:r>
          </w:p>
        </w:tc>
        <w:tc>
          <w:tcPr>
            <w:tcW w:w="2142" w:type="dxa"/>
            <w:vAlign w:val="center"/>
          </w:tcPr>
          <w:p w14:paraId="42133D06">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是否授权磋商小组确定中标人</w:t>
            </w:r>
          </w:p>
        </w:tc>
        <w:tc>
          <w:tcPr>
            <w:tcW w:w="6357" w:type="dxa"/>
            <w:vAlign w:val="center"/>
          </w:tcPr>
          <w:p w14:paraId="2F0F83C2">
            <w:pPr>
              <w:adjustRightInd w:val="0"/>
              <w:spacing w:line="400" w:lineRule="exact"/>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否，推荐的中标候选人数</w:t>
            </w:r>
            <w:r>
              <w:rPr>
                <w:rFonts w:hint="eastAsia" w:ascii="宋体" w:hAnsi="宋体" w:eastAsia="宋体" w:cs="宋体"/>
                <w:sz w:val="24"/>
                <w:szCs w:val="24"/>
                <w:highlight w:val="none"/>
                <w:u w:val="single"/>
                <w:lang w:val="en-US" w:bidi="ar-SA"/>
              </w:rPr>
              <w:t>3</w:t>
            </w:r>
            <w:r>
              <w:rPr>
                <w:rFonts w:hint="eastAsia" w:ascii="宋体" w:hAnsi="宋体" w:eastAsia="宋体" w:cs="宋体"/>
                <w:sz w:val="24"/>
                <w:szCs w:val="24"/>
                <w:highlight w:val="none"/>
                <w:lang w:val="en-US" w:bidi="ar-SA"/>
              </w:rPr>
              <w:t>人：</w:t>
            </w:r>
          </w:p>
        </w:tc>
      </w:tr>
      <w:tr w14:paraId="79B3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37" w:type="dxa"/>
            <w:vAlign w:val="center"/>
          </w:tcPr>
          <w:p w14:paraId="36EDF094">
            <w:pPr>
              <w:adjustRightInd w:val="0"/>
              <w:spacing w:line="400" w:lineRule="exact"/>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32</w:t>
            </w:r>
          </w:p>
        </w:tc>
        <w:tc>
          <w:tcPr>
            <w:tcW w:w="2142" w:type="dxa"/>
            <w:vAlign w:val="center"/>
          </w:tcPr>
          <w:p w14:paraId="23742891">
            <w:pPr>
              <w:pStyle w:val="30"/>
              <w:tabs>
                <w:tab w:val="left" w:pos="470"/>
              </w:tabs>
              <w:adjustRightInd w:val="0"/>
              <w:spacing w:line="360" w:lineRule="auto"/>
              <w:ind w:firstLine="240" w:firstLineChars="100"/>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w:t>
            </w:r>
          </w:p>
        </w:tc>
        <w:tc>
          <w:tcPr>
            <w:tcW w:w="6357" w:type="dxa"/>
            <w:vAlign w:val="center"/>
          </w:tcPr>
          <w:p w14:paraId="4249D1F2">
            <w:pPr>
              <w:pStyle w:val="30"/>
              <w:tabs>
                <w:tab w:val="left" w:pos="470"/>
              </w:tabs>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 xml:space="preserve">是否要求中标人提交履约保证金： </w:t>
            </w:r>
          </w:p>
          <w:p w14:paraId="3A77ABA6">
            <w:pPr>
              <w:pStyle w:val="30"/>
              <w:tabs>
                <w:tab w:val="left" w:pos="470"/>
              </w:tabs>
              <w:spacing w:line="44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14:textFill>
                  <w14:solidFill>
                    <w14:schemeClr w14:val="tx1"/>
                  </w14:solidFill>
                </w14:textFill>
              </w:rPr>
              <w:t>要求，履约保证金的形式：转账、电汇、保函</w:t>
            </w:r>
          </w:p>
          <w:p w14:paraId="298FAED1">
            <w:pPr>
              <w:pStyle w:val="30"/>
              <w:tabs>
                <w:tab w:val="left" w:pos="470"/>
              </w:tabs>
              <w:spacing w:line="440" w:lineRule="exact"/>
              <w:ind w:firstLine="240" w:firstLineChars="100"/>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lang w:val="en-US"/>
              </w:rPr>
              <w:t>履约保证金的金额：</w:t>
            </w:r>
            <w:r>
              <w:rPr>
                <w:rFonts w:hint="eastAsia" w:cs="宋体"/>
                <w:color w:val="FF0000"/>
                <w:sz w:val="24"/>
                <w:szCs w:val="24"/>
                <w:highlight w:val="none"/>
                <w:u w:val="single"/>
                <w:lang w:val="en-US" w:eastAsia="zh-CN"/>
              </w:rPr>
              <w:t>5</w:t>
            </w:r>
            <w:r>
              <w:rPr>
                <w:rFonts w:hint="eastAsia" w:ascii="宋体" w:hAnsi="宋体" w:eastAsia="宋体" w:cs="宋体"/>
                <w:color w:val="FF0000"/>
                <w:sz w:val="24"/>
                <w:szCs w:val="24"/>
                <w:highlight w:val="none"/>
                <w:u w:val="single"/>
                <w:lang w:val="en-US"/>
              </w:rPr>
              <w:t>%</w:t>
            </w:r>
            <w:r>
              <w:rPr>
                <w:rFonts w:hint="eastAsia" w:ascii="宋体" w:hAnsi="宋体" w:eastAsia="宋体" w:cs="宋体"/>
                <w:color w:val="FF0000"/>
                <w:sz w:val="24"/>
                <w:szCs w:val="24"/>
                <w:highlight w:val="none"/>
                <w:lang w:val="en-US"/>
              </w:rPr>
              <w:t>签约合同价</w:t>
            </w:r>
            <w:r>
              <w:rPr>
                <w:rFonts w:hint="eastAsia" w:cs="宋体"/>
                <w:color w:val="FF0000"/>
                <w:sz w:val="24"/>
                <w:szCs w:val="24"/>
                <w:highlight w:val="none"/>
                <w:lang w:val="en-US" w:eastAsia="zh-CN"/>
              </w:rPr>
              <w:t>。</w:t>
            </w:r>
          </w:p>
          <w:p w14:paraId="1DFB02DE">
            <w:pPr>
              <w:pStyle w:val="30"/>
              <w:tabs>
                <w:tab w:val="left" w:pos="470"/>
              </w:tabs>
              <w:adjustRightInd w:val="0"/>
              <w:spacing w:line="440" w:lineRule="exact"/>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14:textFill>
                  <w14:solidFill>
                    <w14:schemeClr w14:val="tx1"/>
                  </w14:solidFill>
                </w14:textFill>
              </w:rPr>
              <w:t>不要求</w:t>
            </w:r>
          </w:p>
        </w:tc>
      </w:tr>
      <w:tr w14:paraId="01B7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37" w:type="dxa"/>
            <w:vAlign w:val="center"/>
          </w:tcPr>
          <w:p w14:paraId="1C34BE01">
            <w:pPr>
              <w:adjustRightInd w:val="0"/>
              <w:spacing w:line="400" w:lineRule="exact"/>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lang w:val="en-US" w:bidi="ar-SA"/>
                <w14:textFill>
                  <w14:solidFill>
                    <w14:schemeClr w14:val="tx1"/>
                  </w14:solidFill>
                </w14:textFill>
              </w:rPr>
              <w:t>33</w:t>
            </w:r>
          </w:p>
        </w:tc>
        <w:tc>
          <w:tcPr>
            <w:tcW w:w="2142" w:type="dxa"/>
            <w:vAlign w:val="center"/>
          </w:tcPr>
          <w:p w14:paraId="256E0371">
            <w:pPr>
              <w:adjustRightInd w:val="0"/>
              <w:spacing w:line="400" w:lineRule="exact"/>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农民工工资保证金</w:t>
            </w:r>
          </w:p>
        </w:tc>
        <w:tc>
          <w:tcPr>
            <w:tcW w:w="6357" w:type="dxa"/>
            <w:vAlign w:val="center"/>
          </w:tcPr>
          <w:p w14:paraId="09CB8475">
            <w:pPr>
              <w:pStyle w:val="30"/>
              <w:tabs>
                <w:tab w:val="left" w:pos="470"/>
              </w:tabs>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 xml:space="preserve">是否要求中标人提交农民工工资保证金： </w:t>
            </w:r>
          </w:p>
          <w:p w14:paraId="313AACD4">
            <w:pPr>
              <w:pStyle w:val="30"/>
              <w:tabs>
                <w:tab w:val="left" w:pos="470"/>
              </w:tabs>
              <w:spacing w:line="440" w:lineRule="exact"/>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14:textFill>
                  <w14:solidFill>
                    <w14:schemeClr w14:val="tx1"/>
                  </w14:solidFill>
                </w14:textFill>
              </w:rPr>
              <w:t>要求</w:t>
            </w:r>
          </w:p>
          <w:p w14:paraId="5BA6DDC8">
            <w:pPr>
              <w:pStyle w:val="30"/>
              <w:tabs>
                <w:tab w:val="left" w:pos="470"/>
              </w:tabs>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农民工工资保证金的金额及缴纳形式：</w:t>
            </w:r>
            <w:r>
              <w:rPr>
                <w:rFonts w:hint="eastAsia" w:ascii="宋体" w:hAnsi="宋体" w:eastAsia="宋体" w:cs="宋体"/>
                <w:sz w:val="24"/>
                <w:szCs w:val="24"/>
                <w:highlight w:val="none"/>
                <w:u w:val="single"/>
                <w:lang w:val="en-US"/>
              </w:rPr>
              <w:t>根据当地人社局劳动监察部门的相关规定缴纳，并须按采购人要求提供相关凭证</w:t>
            </w:r>
            <w:r>
              <w:rPr>
                <w:rFonts w:hint="eastAsia" w:ascii="宋体" w:hAnsi="宋体" w:eastAsia="宋体" w:cs="宋体"/>
                <w:sz w:val="24"/>
                <w:szCs w:val="24"/>
                <w:highlight w:val="none"/>
                <w:lang w:val="en-US"/>
              </w:rPr>
              <w:t>。</w:t>
            </w:r>
          </w:p>
          <w:p w14:paraId="7E461CEA">
            <w:pPr>
              <w:pStyle w:val="30"/>
              <w:tabs>
                <w:tab w:val="left" w:pos="470"/>
              </w:tabs>
              <w:spacing w:line="440" w:lineRule="exact"/>
              <w:rPr>
                <w:rFonts w:hint="eastAsia" w:ascii="宋体" w:hAnsi="宋体" w:eastAsia="宋体" w:cs="宋体"/>
                <w:color w:val="000000" w:themeColor="text1"/>
                <w:sz w:val="24"/>
                <w:szCs w:val="24"/>
                <w:highlight w:val="none"/>
                <w:lang w:val="en-US"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14:textFill>
                  <w14:solidFill>
                    <w14:schemeClr w14:val="tx1"/>
                  </w14:solidFill>
                </w14:textFill>
              </w:rPr>
              <w:t>不要求</w:t>
            </w:r>
          </w:p>
        </w:tc>
      </w:tr>
      <w:tr w14:paraId="1590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37" w:type="dxa"/>
            <w:vAlign w:val="center"/>
          </w:tcPr>
          <w:p w14:paraId="0C978F77">
            <w:pPr>
              <w:adjustRightInd w:val="0"/>
              <w:spacing w:line="400" w:lineRule="exact"/>
              <w:jc w:val="center"/>
              <w:textAlignment w:val="baseline"/>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34</w:t>
            </w:r>
          </w:p>
        </w:tc>
        <w:tc>
          <w:tcPr>
            <w:tcW w:w="2142" w:type="dxa"/>
            <w:vAlign w:val="center"/>
          </w:tcPr>
          <w:p w14:paraId="3148B552">
            <w:pPr>
              <w:adjustRightInd w:val="0"/>
              <w:spacing w:line="400" w:lineRule="exact"/>
              <w:jc w:val="center"/>
              <w:textAlignment w:val="baseline"/>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知识产权</w:t>
            </w:r>
          </w:p>
        </w:tc>
        <w:tc>
          <w:tcPr>
            <w:tcW w:w="6357" w:type="dxa"/>
            <w:vAlign w:val="center"/>
          </w:tcPr>
          <w:p w14:paraId="10BADEE7">
            <w:pPr>
              <w:adjustRightInd w:val="0"/>
              <w:spacing w:line="400" w:lineRule="exact"/>
              <w:textAlignment w:val="baseline"/>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构成本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14:paraId="4FE0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8" w:hRule="atLeast"/>
        </w:trPr>
        <w:tc>
          <w:tcPr>
            <w:tcW w:w="1137" w:type="dxa"/>
            <w:vAlign w:val="center"/>
          </w:tcPr>
          <w:p w14:paraId="2BEC5708">
            <w:pPr>
              <w:adjustRightInd w:val="0"/>
              <w:spacing w:line="400" w:lineRule="exact"/>
              <w:jc w:val="center"/>
              <w:textAlignment w:val="baseline"/>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35</w:t>
            </w:r>
          </w:p>
        </w:tc>
        <w:tc>
          <w:tcPr>
            <w:tcW w:w="2142" w:type="dxa"/>
            <w:vAlign w:val="center"/>
          </w:tcPr>
          <w:p w14:paraId="42321CA6">
            <w:pPr>
              <w:adjustRightInd w:val="0"/>
              <w:spacing w:line="400" w:lineRule="exact"/>
              <w:ind w:firstLine="240" w:firstLineChars="100"/>
              <w:textAlignment w:val="baseline"/>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招标代理服务费</w:t>
            </w:r>
          </w:p>
        </w:tc>
        <w:tc>
          <w:tcPr>
            <w:tcW w:w="6357" w:type="dxa"/>
            <w:vAlign w:val="center"/>
          </w:tcPr>
          <w:p w14:paraId="381F764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中标服务费：招标代理服务费按照发改价格〔2015〕299号通知要求，参照国家计委计价格〔2002〕1980号文及发改价格〔2011〕534号文的差额定率累进法计算，由中标供应商支付。</w:t>
            </w:r>
          </w:p>
          <w:p w14:paraId="05A5E8C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收费标准：按照本项目成交价的</w:t>
            </w:r>
            <w:r>
              <w:rPr>
                <w:rFonts w:hint="eastAsia" w:cs="宋体"/>
                <w:sz w:val="24"/>
                <w:szCs w:val="24"/>
                <w:highlight w:val="none"/>
                <w:lang w:val="en-US" w:eastAsia="zh-CN" w:bidi="ar-SA"/>
              </w:rPr>
              <w:t>差额累计</w:t>
            </w:r>
            <w:r>
              <w:rPr>
                <w:rFonts w:hint="eastAsia" w:ascii="宋体" w:hAnsi="宋体" w:eastAsia="宋体" w:cs="宋体"/>
                <w:sz w:val="24"/>
                <w:szCs w:val="24"/>
                <w:highlight w:val="none"/>
                <w:lang w:val="en-US" w:eastAsia="zh-CN" w:bidi="ar-SA"/>
              </w:rPr>
              <w:t xml:space="preserve">计取；成交单位在领取成交通知书前向代理机构一次性支付该费用。 </w:t>
            </w:r>
          </w:p>
          <w:p w14:paraId="116475B3">
            <w:pPr>
              <w:adjustRightInd w:val="0"/>
              <w:spacing w:line="400" w:lineRule="exact"/>
              <w:textAlignment w:val="baseline"/>
              <w:rPr>
                <w:rFonts w:hint="eastAsia" w:ascii="宋体" w:hAnsi="宋体" w:eastAsia="宋体" w:cs="宋体"/>
                <w:highlight w:val="none"/>
                <w:lang w:val="en-US"/>
              </w:rPr>
            </w:pPr>
            <w:r>
              <w:rPr>
                <w:rFonts w:hint="eastAsia" w:ascii="宋体" w:hAnsi="宋体" w:eastAsia="宋体" w:cs="宋体"/>
                <w:sz w:val="24"/>
                <w:szCs w:val="24"/>
                <w:highlight w:val="none"/>
                <w:lang w:val="en-US" w:eastAsia="zh-CN" w:bidi="ar-SA"/>
              </w:rPr>
              <w:t>支付时间：领取中标通知书时</w:t>
            </w:r>
          </w:p>
        </w:tc>
      </w:tr>
      <w:tr w14:paraId="18D4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37" w:type="dxa"/>
            <w:vAlign w:val="center"/>
          </w:tcPr>
          <w:p w14:paraId="6E0C46B2">
            <w:pPr>
              <w:adjustRightInd w:val="0"/>
              <w:spacing w:line="400" w:lineRule="exact"/>
              <w:jc w:val="center"/>
              <w:textAlignment w:val="baseline"/>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36</w:t>
            </w:r>
          </w:p>
        </w:tc>
        <w:tc>
          <w:tcPr>
            <w:tcW w:w="2142" w:type="dxa"/>
            <w:vAlign w:val="center"/>
          </w:tcPr>
          <w:p w14:paraId="2DD78507">
            <w:pPr>
              <w:adjustRightInd w:val="0"/>
              <w:spacing w:line="400" w:lineRule="exact"/>
              <w:jc w:val="center"/>
              <w:textAlignment w:val="baseline"/>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解释权</w:t>
            </w:r>
          </w:p>
        </w:tc>
        <w:tc>
          <w:tcPr>
            <w:tcW w:w="6357" w:type="dxa"/>
            <w:vAlign w:val="center"/>
          </w:tcPr>
          <w:p w14:paraId="2E58E190">
            <w:pPr>
              <w:adjustRightInd w:val="0"/>
              <w:spacing w:line="400" w:lineRule="exact"/>
              <w:textAlignment w:val="baseline"/>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由采购人和</w:t>
            </w:r>
            <w:r>
              <w:rPr>
                <w:rFonts w:hint="eastAsia" w:cs="宋体"/>
                <w:sz w:val="24"/>
                <w:szCs w:val="24"/>
                <w:highlight w:val="none"/>
                <w:lang w:val="en-US" w:eastAsia="zh-CN" w:bidi="ar-SA"/>
              </w:rPr>
              <w:t>采购代理机构</w:t>
            </w:r>
            <w:r>
              <w:rPr>
                <w:rFonts w:hint="eastAsia" w:ascii="宋体" w:hAnsi="宋体" w:eastAsia="宋体" w:cs="宋体"/>
                <w:sz w:val="24"/>
                <w:szCs w:val="24"/>
                <w:highlight w:val="none"/>
                <w:lang w:val="en-US" w:bidi="ar-SA"/>
              </w:rPr>
              <w:t>负责解释。</w:t>
            </w:r>
          </w:p>
        </w:tc>
      </w:tr>
      <w:tr w14:paraId="2804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37" w:type="dxa"/>
            <w:vAlign w:val="center"/>
          </w:tcPr>
          <w:p w14:paraId="15107D0B">
            <w:pPr>
              <w:adjustRightInd w:val="0"/>
              <w:spacing w:line="400" w:lineRule="exact"/>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37</w:t>
            </w:r>
          </w:p>
        </w:tc>
        <w:tc>
          <w:tcPr>
            <w:tcW w:w="2142" w:type="dxa"/>
            <w:vAlign w:val="center"/>
          </w:tcPr>
          <w:p w14:paraId="0D4B8DD5">
            <w:pPr>
              <w:adjustRightInd w:val="0"/>
              <w:spacing w:line="312" w:lineRule="auto"/>
              <w:rPr>
                <w:rFonts w:hint="eastAsia" w:ascii="宋体" w:hAnsi="宋体" w:eastAsia="宋体" w:cs="宋体"/>
                <w:color w:val="000000"/>
                <w:sz w:val="24"/>
                <w:szCs w:val="21"/>
                <w:highlight w:val="none"/>
                <w:lang w:val="en-US" w:bidi="ar-SA"/>
              </w:rPr>
            </w:pPr>
            <w:r>
              <w:rPr>
                <w:rFonts w:hint="eastAsia" w:ascii="宋体" w:hAnsi="宋体" w:eastAsia="宋体" w:cs="宋体"/>
                <w:color w:val="000000"/>
                <w:sz w:val="24"/>
                <w:szCs w:val="21"/>
                <w:highlight w:val="none"/>
                <w:lang w:val="en-US" w:bidi="ar-SA"/>
              </w:rPr>
              <w:t>政府采购政策支持</w:t>
            </w:r>
          </w:p>
        </w:tc>
        <w:tc>
          <w:tcPr>
            <w:tcW w:w="6357" w:type="dxa"/>
          </w:tcPr>
          <w:p w14:paraId="7C3833D6">
            <w:pPr>
              <w:spacing w:line="240" w:lineRule="auto"/>
              <w:rPr>
                <w:rFonts w:hint="eastAsia" w:ascii="宋体" w:hAnsi="宋体" w:eastAsia="宋体" w:cs="宋体"/>
                <w:i/>
                <w:color w:val="000000"/>
                <w:sz w:val="24"/>
                <w:szCs w:val="24"/>
                <w:highlight w:val="none"/>
              </w:rPr>
            </w:pPr>
            <w:r>
              <w:rPr>
                <w:rFonts w:hint="eastAsia" w:ascii="宋体" w:hAnsi="宋体" w:eastAsia="宋体" w:cs="宋体"/>
                <w:color w:val="000000"/>
                <w:sz w:val="24"/>
                <w:szCs w:val="24"/>
                <w:highlight w:val="none"/>
              </w:rPr>
              <w:t>是否为专门面向中小企业采购：</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否</w:t>
            </w:r>
            <w:r>
              <w:rPr>
                <w:rFonts w:hint="eastAsia" w:ascii="宋体" w:hAnsi="宋体" w:eastAsia="宋体" w:cs="宋体"/>
                <w:color w:val="000000"/>
                <w:sz w:val="24"/>
                <w:szCs w:val="24"/>
                <w:highlight w:val="none"/>
                <w:u w:val="single"/>
              </w:rPr>
              <w:t xml:space="preserve">   </w:t>
            </w:r>
            <w:r>
              <w:rPr>
                <w:rFonts w:hint="eastAsia" w:ascii="宋体" w:hAnsi="宋体" w:eastAsia="宋体" w:cs="宋体"/>
                <w:i/>
                <w:color w:val="000000"/>
                <w:sz w:val="24"/>
                <w:szCs w:val="24"/>
                <w:highlight w:val="none"/>
              </w:rPr>
              <w:t>（是、否）</w:t>
            </w:r>
          </w:p>
          <w:p w14:paraId="7A10DB70">
            <w:pPr>
              <w:spacing w:line="240" w:lineRule="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注：</w:t>
            </w:r>
            <w:r>
              <w:rPr>
                <w:rFonts w:hint="eastAsia" w:ascii="宋体" w:hAnsi="宋体" w:eastAsia="宋体" w:cs="宋体"/>
                <w:color w:val="000000"/>
                <w:sz w:val="24"/>
                <w:szCs w:val="24"/>
                <w:highlight w:val="none"/>
                <w:lang w:val="en-US" w:eastAsia="zh-CN"/>
              </w:rPr>
              <w:t>（</w:t>
            </w:r>
            <w:r>
              <w:rPr>
                <w:rFonts w:hint="default"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w:t>
            </w:r>
            <w:r>
              <w:rPr>
                <w:rFonts w:hint="default" w:ascii="宋体" w:hAnsi="宋体" w:eastAsia="宋体" w:cs="宋体"/>
                <w:color w:val="000000"/>
                <w:sz w:val="24"/>
                <w:szCs w:val="24"/>
                <w:highlight w:val="none"/>
                <w:lang w:val="en-US" w:eastAsia="zh-CN"/>
              </w:rPr>
              <w:t>根据《政府采购促进中小企业发展管理办法》（财库[2020]46号）、财政部 财库〔2022〕19号：关于进一步加大政府采购支持中小企业力度的通知、财政部关于印发《政府采购需求管理办法》的通知（财库〔2021〕22号）、《财政部 司法部关于政府采购支持监狱企业发展有关问题的通知》（财库〔2014〕68号）和《三部门联合发布关于促进残疾人就业政府采购政策的通知》（财库〔2017〕141号）的规定，省级以上监狱管理局、戒毒管理局（含新疆生产建设兵团）出具的属于监狱企业的证明文件的供应商，</w:t>
            </w:r>
            <w:r>
              <w:rPr>
                <w:rFonts w:hint="eastAsia" w:ascii="宋体" w:hAnsi="宋体" w:eastAsia="宋体" w:cs="宋体"/>
                <w:color w:val="000000"/>
                <w:sz w:val="24"/>
                <w:szCs w:val="24"/>
                <w:highlight w:val="none"/>
                <w:lang w:val="en-US" w:eastAsia="zh-CN"/>
              </w:rPr>
              <w:t>视为中小企业。</w:t>
            </w:r>
          </w:p>
          <w:p w14:paraId="5B5E41A8">
            <w:pPr>
              <w:numPr>
                <w:ilvl w:val="0"/>
                <w:numId w:val="4"/>
              </w:numPr>
              <w:spacing w:line="240" w:lineRule="auto"/>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供应商所</w:t>
            </w:r>
            <w:r>
              <w:rPr>
                <w:rFonts w:hint="eastAsia" w:ascii="仿宋" w:hAnsi="仿宋" w:eastAsia="仿宋" w:cs="仿宋"/>
                <w:b/>
                <w:bCs/>
                <w:color w:val="000000"/>
                <w:sz w:val="24"/>
                <w:highlight w:val="none"/>
                <w:lang w:eastAsia="zh-CN"/>
              </w:rPr>
              <w:t>提供工程</w:t>
            </w:r>
            <w:r>
              <w:rPr>
                <w:rFonts w:hint="eastAsia" w:ascii="仿宋" w:hAnsi="仿宋" w:eastAsia="仿宋" w:cs="仿宋"/>
                <w:b/>
                <w:bCs/>
                <w:color w:val="000000"/>
                <w:sz w:val="24"/>
                <w:highlight w:val="none"/>
              </w:rPr>
              <w:t>全部由小微企业</w:t>
            </w:r>
            <w:r>
              <w:rPr>
                <w:rFonts w:hint="eastAsia" w:ascii="仿宋" w:hAnsi="仿宋" w:eastAsia="仿宋" w:cs="仿宋"/>
                <w:b/>
                <w:bCs/>
                <w:color w:val="000000"/>
                <w:sz w:val="24"/>
                <w:highlight w:val="none"/>
                <w:lang w:val="en-US" w:eastAsia="zh-CN"/>
              </w:rPr>
              <w:t>承接</w:t>
            </w:r>
            <w:r>
              <w:rPr>
                <w:rFonts w:hint="eastAsia" w:ascii="仿宋" w:hAnsi="仿宋" w:eastAsia="仿宋" w:cs="仿宋"/>
                <w:b/>
                <w:bCs/>
                <w:color w:val="000000"/>
                <w:sz w:val="24"/>
                <w:highlight w:val="none"/>
              </w:rPr>
              <w:t>的，请根据要求提供《中小企业声明函》。2、</w:t>
            </w:r>
            <w:r>
              <w:rPr>
                <w:rFonts w:hint="eastAsia" w:ascii="仿宋" w:hAnsi="仿宋" w:eastAsia="仿宋" w:cs="仿宋"/>
                <w:b/>
                <w:bCs/>
                <w:color w:val="000000"/>
                <w:sz w:val="24"/>
                <w:highlight w:val="none"/>
                <w:lang w:eastAsia="zh-CN"/>
              </w:rPr>
              <w:t>供应商所提供工程为大中型企业承接的，应预留至少40%的份额由中小企业提供，其中预留给小微企业的比例不低于60%。</w:t>
            </w:r>
            <w:r>
              <w:rPr>
                <w:rFonts w:hint="eastAsia" w:ascii="仿宋" w:hAnsi="仿宋" w:eastAsia="仿宋" w:cs="仿宋"/>
                <w:b/>
                <w:bCs/>
                <w:color w:val="000000"/>
                <w:sz w:val="24"/>
                <w:highlight w:val="none"/>
              </w:rPr>
              <w:t>请根据要求提供《分包意向协议》，并在分包意向协议中进行相关比例说明。</w:t>
            </w:r>
          </w:p>
          <w:p w14:paraId="6EAA9144">
            <w:pPr>
              <w:numPr>
                <w:numId w:val="0"/>
              </w:numPr>
              <w:spacing w:line="240" w:lineRule="auto"/>
              <w:rPr>
                <w:rFonts w:hint="eastAsia" w:ascii="宋体" w:hAnsi="宋体" w:eastAsia="宋体" w:cs="宋体"/>
                <w:b w:val="0"/>
                <w:bCs w:val="0"/>
                <w:color w:val="auto"/>
                <w:sz w:val="24"/>
                <w:szCs w:val="24"/>
                <w:highlight w:val="none"/>
                <w:lang w:val="en-US" w:eastAsia="zh-CN"/>
              </w:rPr>
            </w:pPr>
            <w:r>
              <w:rPr>
                <w:rFonts w:hint="eastAsia" w:ascii="仿宋" w:hAnsi="仿宋" w:eastAsia="仿宋" w:cs="仿宋"/>
                <w:b/>
                <w:bCs/>
                <w:color w:val="000000"/>
                <w:sz w:val="24"/>
                <w:highlight w:val="none"/>
              </w:rPr>
              <w:t>应预留至少</w:t>
            </w:r>
            <w:r>
              <w:rPr>
                <w:rFonts w:hint="eastAsia" w:ascii="仿宋" w:hAnsi="仿宋" w:eastAsia="仿宋" w:cs="仿宋"/>
                <w:b/>
                <w:bCs/>
                <w:color w:val="000000"/>
                <w:sz w:val="24"/>
                <w:highlight w:val="none"/>
                <w:lang w:val="en-US" w:eastAsia="zh-CN"/>
              </w:rPr>
              <w:t>4</w:t>
            </w:r>
            <w:r>
              <w:rPr>
                <w:rFonts w:hint="eastAsia" w:ascii="仿宋" w:hAnsi="仿宋" w:eastAsia="仿宋" w:cs="仿宋"/>
                <w:b/>
                <w:bCs/>
                <w:color w:val="000000"/>
                <w:sz w:val="24"/>
                <w:highlight w:val="none"/>
              </w:rPr>
              <w:t>0%的份额由中小企业提供，其中预留给小微企业的比例不低于60%</w:t>
            </w:r>
            <w:r>
              <w:rPr>
                <w:rFonts w:hint="eastAsia" w:ascii="仿宋" w:hAnsi="仿宋" w:eastAsia="仿宋" w:cs="仿宋"/>
                <w:b/>
                <w:bCs/>
                <w:color w:val="000000"/>
                <w:sz w:val="24"/>
                <w:highlight w:val="none"/>
                <w:lang w:eastAsia="zh-CN"/>
              </w:rPr>
              <w:t>（</w:t>
            </w:r>
            <w:r>
              <w:rPr>
                <w:rFonts w:hint="eastAsia" w:ascii="仿宋" w:hAnsi="仿宋" w:eastAsia="仿宋" w:cs="仿宋"/>
                <w:b/>
                <w:bCs/>
                <w:color w:val="000000"/>
                <w:sz w:val="24"/>
                <w:highlight w:val="none"/>
                <w:lang w:val="en-US" w:eastAsia="zh-CN"/>
              </w:rPr>
              <w:t>即预留投标报价的40%以上为中小企业提供，并至少预留中小企业份额（投标报价40%）中的60%为小微企业提供</w:t>
            </w:r>
            <w:r>
              <w:rPr>
                <w:rFonts w:hint="eastAsia" w:ascii="仿宋" w:hAnsi="仿宋" w:eastAsia="仿宋" w:cs="仿宋"/>
                <w:b/>
                <w:bCs/>
                <w:color w:val="000000"/>
                <w:sz w:val="24"/>
                <w:highlight w:val="none"/>
                <w:lang w:eastAsia="zh-CN"/>
              </w:rPr>
              <w:t>）</w:t>
            </w:r>
            <w:r>
              <w:rPr>
                <w:rFonts w:hint="eastAsia" w:ascii="仿宋" w:hAnsi="仿宋" w:eastAsia="仿宋" w:cs="仿宋"/>
                <w:b/>
                <w:bCs/>
                <w:color w:val="000000"/>
                <w:sz w:val="24"/>
                <w:highlight w:val="none"/>
              </w:rPr>
              <w:t>，并提供《中小企业声明函》。如果不按照要求提供预留份额将视为没有实质性响应招标文件，将做无效投标处理。）</w:t>
            </w:r>
          </w:p>
        </w:tc>
      </w:tr>
      <w:tr w14:paraId="5CF1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37" w:type="dxa"/>
            <w:vAlign w:val="center"/>
          </w:tcPr>
          <w:p w14:paraId="44EFC4E2">
            <w:pPr>
              <w:adjustRightInd w:val="0"/>
              <w:spacing w:line="400" w:lineRule="exact"/>
              <w:jc w:val="center"/>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bidi="ar-SA"/>
              </w:rPr>
              <w:t>38</w:t>
            </w:r>
          </w:p>
        </w:tc>
        <w:tc>
          <w:tcPr>
            <w:tcW w:w="2142" w:type="dxa"/>
            <w:vAlign w:val="center"/>
          </w:tcPr>
          <w:p w14:paraId="60084F00">
            <w:pPr>
              <w:adjustRightInd w:val="0"/>
              <w:spacing w:line="312" w:lineRule="auto"/>
              <w:rPr>
                <w:rFonts w:hint="eastAsia" w:ascii="宋体" w:hAnsi="宋体" w:eastAsia="宋体" w:cs="宋体"/>
                <w:color w:val="000000"/>
                <w:sz w:val="24"/>
                <w:szCs w:val="21"/>
                <w:highlight w:val="none"/>
                <w:lang w:val="en-US" w:bidi="ar-SA"/>
              </w:rPr>
            </w:pPr>
            <w:r>
              <w:rPr>
                <w:rFonts w:hint="eastAsia" w:ascii="宋体" w:hAnsi="宋体" w:eastAsia="宋体" w:cs="宋体"/>
                <w:color w:val="auto"/>
                <w:sz w:val="24"/>
                <w:szCs w:val="24"/>
                <w:highlight w:val="none"/>
              </w:rPr>
              <w:t>低于成本价不正当竞争预防措施</w:t>
            </w:r>
          </w:p>
        </w:tc>
        <w:tc>
          <w:tcPr>
            <w:tcW w:w="6357" w:type="dxa"/>
          </w:tcPr>
          <w:p w14:paraId="11695AF0">
            <w:pPr>
              <w:spacing w:line="240" w:lineRule="auto"/>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2CDBDAB">
            <w:pPr>
              <w:spacing w:line="240" w:lineRule="auto"/>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2.政府采购异常低价审查：根据《关于推动解决政府采购异常低价问题的通知》（ 财库〔2026〕2号）的规定：</w:t>
            </w:r>
          </w:p>
          <w:p w14:paraId="0725EF95">
            <w:pPr>
              <w:spacing w:line="240" w:lineRule="auto"/>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（一）政府采购评审中出现下列情形之一的，评审委员会应当启动异常低价投标（响应）审查程序：</w:t>
            </w:r>
          </w:p>
          <w:p w14:paraId="6EEFF771">
            <w:pPr>
              <w:spacing w:line="240" w:lineRule="auto"/>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585D239">
            <w:pPr>
              <w:spacing w:line="240" w:lineRule="auto"/>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45359472">
            <w:pPr>
              <w:spacing w:line="240" w:lineRule="auto"/>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3.投标（响应）报价低于采购项目最高限价45%的，即投标（响应）报价&lt;采购项目最高限价×45%；</w:t>
            </w:r>
          </w:p>
          <w:p w14:paraId="46116111">
            <w:pPr>
              <w:spacing w:line="240" w:lineRule="auto"/>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4.评审委员会基于专业判断，认为供应商报价过低，有可能影响产品质量或者不能诚信履约的其他情形。</w:t>
            </w:r>
          </w:p>
          <w:p w14:paraId="15937A3B">
            <w:pPr>
              <w:spacing w:line="240" w:lineRule="auto"/>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采购人可以结合具体项目实际情况，提高上述第1项至第3项中启动异常低价投标（响应）审查的数值标准，但是最高不得超过65%。（本项目不提高）</w:t>
            </w:r>
          </w:p>
          <w:p w14:paraId="2DF11576">
            <w:pPr>
              <w:spacing w:line="240" w:lineRule="auto"/>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相关法律法规对供应商报价有规定的，从其规定。</w:t>
            </w:r>
          </w:p>
          <w:p w14:paraId="5594DA35">
            <w:pPr>
              <w:spacing w:line="240" w:lineRule="auto"/>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6D4A0AB">
            <w:pPr>
              <w:adjustRightInd w:val="0"/>
              <w:snapToGrid w:val="0"/>
              <w:spacing w:line="440" w:lineRule="exact"/>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00000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453A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37" w:type="dxa"/>
            <w:vAlign w:val="center"/>
          </w:tcPr>
          <w:p w14:paraId="18346EB1">
            <w:pPr>
              <w:adjustRightInd w:val="0"/>
              <w:spacing w:line="400" w:lineRule="exact"/>
              <w:jc w:val="center"/>
              <w:rPr>
                <w:rFonts w:hint="default" w:cs="宋体"/>
                <w:sz w:val="24"/>
                <w:szCs w:val="24"/>
                <w:highlight w:val="none"/>
                <w:lang w:val="en-US" w:eastAsia="zh-CN" w:bidi="ar-SA"/>
              </w:rPr>
            </w:pPr>
            <w:r>
              <w:rPr>
                <w:rFonts w:hint="eastAsia" w:cs="宋体"/>
                <w:sz w:val="24"/>
                <w:szCs w:val="24"/>
                <w:highlight w:val="none"/>
                <w:lang w:val="en-US" w:eastAsia="zh-CN" w:bidi="ar-SA"/>
              </w:rPr>
              <w:t>39</w:t>
            </w:r>
          </w:p>
        </w:tc>
        <w:tc>
          <w:tcPr>
            <w:tcW w:w="2142" w:type="dxa"/>
            <w:vAlign w:val="center"/>
          </w:tcPr>
          <w:p w14:paraId="3B5A8BE1">
            <w:pPr>
              <w:adjustRightInd w:val="0"/>
              <w:spacing w:line="312" w:lineRule="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以工代赈相关规定</w:t>
            </w:r>
          </w:p>
        </w:tc>
        <w:tc>
          <w:tcPr>
            <w:tcW w:w="6357" w:type="dxa"/>
          </w:tcPr>
          <w:p w14:paraId="37373FA3">
            <w:pPr>
              <w:adjustRightInd w:val="0"/>
              <w:snapToGrid w:val="0"/>
              <w:spacing w:line="44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i w:val="0"/>
                <w:caps w:val="0"/>
                <w:color w:val="000000"/>
                <w:spacing w:val="0"/>
                <w:sz w:val="24"/>
                <w:szCs w:val="24"/>
                <w:highlight w:val="none"/>
                <w:lang w:val="en-US" w:eastAsia="zh-CN"/>
              </w:rPr>
              <w:t>严格按照《国家以工代赈管理办法》《自治区以工代服管理实施细则》等相关规定，按照“能用人工尽量不使用机械，能用当地群众尽量不使用专业施工队伍”的要求，加强当地群众务工组织，及时足额发放劳务报酬。在项目招标文件和工程施工合同、监理合同中，要明确有关以工代贩劳务报酬章节条数，要求施工单位必须组织好项目所在地群众参与工程建设。本项目计划带动当地群众240人，开展技能培训240人，劳务报酬发放总额320万元以上，劳务报酬发放占比不低于中央资金的41.83%，并尽可能提高劳务报酬发放比例。劳务报酬通过“新薪通”平台统一发放，劳务报酬发放应当公开、足额、及时，严禁克扣、拖欠，劳务报酬发放档案信息要规范真实、有据可查，要长期保存劳务报酬发放档案。本项目采用“公益性基础设施建设+劳务报酬发放+就业技能培训+公益性岗位设置”模式实施，设置公益性岗位2个，持续3年，公益性岗位工资按每月1800月/人，年工资21600元/人。</w:t>
            </w:r>
          </w:p>
        </w:tc>
      </w:tr>
    </w:tbl>
    <w:p w14:paraId="129EDC84">
      <w:pPr>
        <w:rPr>
          <w:rFonts w:hint="eastAsia" w:ascii="宋体" w:hAnsi="宋体" w:eastAsia="宋体" w:cs="宋体"/>
          <w:b/>
          <w:sz w:val="30"/>
          <w:szCs w:val="24"/>
          <w:highlight w:val="none"/>
          <w:lang w:val="en-US" w:bidi="ar-SA"/>
        </w:rPr>
      </w:pPr>
      <w:r>
        <w:rPr>
          <w:rFonts w:hint="eastAsia" w:ascii="宋体" w:hAnsi="宋体" w:eastAsia="宋体" w:cs="宋体"/>
          <w:b/>
          <w:sz w:val="30"/>
          <w:szCs w:val="24"/>
          <w:highlight w:val="none"/>
          <w:lang w:val="en-US" w:bidi="ar-SA"/>
        </w:rPr>
        <w:br w:type="page"/>
      </w:r>
    </w:p>
    <w:p w14:paraId="6D56D549">
      <w:pPr>
        <w:kinsoku w:val="0"/>
        <w:overflowPunct w:val="0"/>
        <w:adjustRightInd w:val="0"/>
        <w:spacing w:before="7"/>
        <w:ind w:left="3596" w:right="3620"/>
        <w:jc w:val="center"/>
        <w:outlineLvl w:val="1"/>
        <w:rPr>
          <w:rFonts w:hint="eastAsia" w:ascii="宋体" w:hAnsi="宋体" w:eastAsia="宋体" w:cs="宋体"/>
          <w:sz w:val="30"/>
          <w:szCs w:val="24"/>
          <w:highlight w:val="none"/>
          <w:lang w:val="en-US" w:bidi="ar-SA"/>
        </w:rPr>
      </w:pPr>
      <w:r>
        <w:rPr>
          <w:rFonts w:hint="eastAsia" w:ascii="宋体" w:hAnsi="宋体" w:eastAsia="宋体" w:cs="宋体"/>
          <w:b/>
          <w:sz w:val="30"/>
          <w:szCs w:val="24"/>
          <w:highlight w:val="none"/>
          <w:lang w:val="en-US" w:bidi="ar-SA"/>
        </w:rPr>
        <w:t>二、磋商须知</w:t>
      </w:r>
    </w:p>
    <w:p w14:paraId="15F743F8">
      <w:pPr>
        <w:kinsoku w:val="0"/>
        <w:overflowPunct w:val="0"/>
        <w:adjustRightInd w:val="0"/>
        <w:spacing w:before="236"/>
        <w:ind w:left="3596" w:right="3615"/>
        <w:jc w:val="center"/>
        <w:outlineLvl w:val="4"/>
        <w:rPr>
          <w:rFonts w:hint="eastAsia" w:ascii="宋体" w:hAnsi="宋体" w:eastAsia="宋体" w:cs="宋体"/>
          <w:sz w:val="24"/>
          <w:szCs w:val="24"/>
          <w:highlight w:val="none"/>
          <w:lang w:val="en-US" w:bidi="ar-SA"/>
        </w:rPr>
      </w:pPr>
      <w:r>
        <w:rPr>
          <w:rFonts w:hint="eastAsia" w:ascii="宋体" w:hAnsi="宋体" w:eastAsia="宋体" w:cs="宋体"/>
          <w:b/>
          <w:sz w:val="24"/>
          <w:szCs w:val="24"/>
          <w:highlight w:val="none"/>
          <w:lang w:val="en-US" w:bidi="ar-SA"/>
        </w:rPr>
        <w:t>（一）总则</w:t>
      </w:r>
    </w:p>
    <w:p w14:paraId="3E9E89FE">
      <w:pPr>
        <w:kinsoku w:val="0"/>
        <w:overflowPunct w:val="0"/>
        <w:adjustRightInd w:val="0"/>
        <w:spacing w:before="10"/>
        <w:rPr>
          <w:rFonts w:hint="eastAsia" w:ascii="宋体" w:hAnsi="宋体" w:eastAsia="宋体" w:cs="宋体"/>
          <w:b/>
          <w:sz w:val="16"/>
          <w:szCs w:val="24"/>
          <w:highlight w:val="none"/>
          <w:lang w:val="en-US" w:bidi="ar-SA"/>
        </w:rPr>
      </w:pPr>
    </w:p>
    <w:p w14:paraId="59C820B0">
      <w:pPr>
        <w:adjustRightInd w:val="0"/>
        <w:spacing w:line="440" w:lineRule="exact"/>
        <w:ind w:firstLine="482" w:firstLineChars="200"/>
        <w:jc w:val="both"/>
        <w:outlineLvl w:val="2"/>
        <w:rPr>
          <w:rFonts w:hint="eastAsia" w:ascii="宋体" w:hAnsi="宋体" w:eastAsia="宋体" w:cs="宋体"/>
          <w:b/>
          <w:kern w:val="2"/>
          <w:sz w:val="24"/>
          <w:szCs w:val="24"/>
          <w:highlight w:val="none"/>
          <w:lang w:val="en-US" w:bidi="ar-SA"/>
        </w:rPr>
      </w:pPr>
      <w:bookmarkStart w:id="4" w:name="_Toc144974498"/>
      <w:bookmarkStart w:id="5" w:name="_Toc152045530"/>
      <w:bookmarkStart w:id="6" w:name="_Toc324362191"/>
      <w:bookmarkStart w:id="7" w:name="_Toc152042306"/>
      <w:bookmarkStart w:id="8" w:name="_Toc325103231"/>
      <w:bookmarkStart w:id="9" w:name="_Toc324362060"/>
      <w:bookmarkStart w:id="10" w:name="_Toc179632547"/>
      <w:r>
        <w:rPr>
          <w:rFonts w:hint="eastAsia" w:ascii="宋体" w:hAnsi="宋体" w:eastAsia="宋体" w:cs="宋体"/>
          <w:b/>
          <w:kern w:val="2"/>
          <w:sz w:val="24"/>
          <w:szCs w:val="24"/>
          <w:highlight w:val="none"/>
          <w:lang w:val="en-US" w:bidi="ar-SA"/>
        </w:rPr>
        <w:t>1.项目概况</w:t>
      </w:r>
      <w:bookmarkEnd w:id="4"/>
      <w:bookmarkEnd w:id="5"/>
      <w:bookmarkEnd w:id="6"/>
      <w:bookmarkEnd w:id="7"/>
      <w:bookmarkEnd w:id="8"/>
      <w:bookmarkEnd w:id="9"/>
      <w:bookmarkEnd w:id="10"/>
    </w:p>
    <w:p w14:paraId="488C5E42">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1.1 本项目按照有关法律、法规和规章，通过竞争性磋商方式，择优选定施工企业。</w:t>
      </w:r>
    </w:p>
    <w:p w14:paraId="01C1B1C1">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1.2 本项目采购人：见磋商须知前附表。</w:t>
      </w:r>
    </w:p>
    <w:p w14:paraId="295A1BCF">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1.3 本项目</w:t>
      </w:r>
      <w:r>
        <w:rPr>
          <w:rFonts w:hint="eastAsia" w:cs="宋体"/>
          <w:sz w:val="24"/>
          <w:szCs w:val="24"/>
          <w:highlight w:val="none"/>
          <w:lang w:val="en-US" w:eastAsia="zh-CN" w:bidi="ar-SA"/>
        </w:rPr>
        <w:t>采购代理机构</w:t>
      </w:r>
      <w:r>
        <w:rPr>
          <w:rFonts w:hint="eastAsia" w:ascii="宋体" w:hAnsi="宋体" w:eastAsia="宋体" w:cs="宋体"/>
          <w:sz w:val="24"/>
          <w:szCs w:val="24"/>
          <w:highlight w:val="none"/>
          <w:lang w:val="en-US" w:bidi="ar-SA"/>
        </w:rPr>
        <w:t>：见磋商须知前附表。</w:t>
      </w:r>
    </w:p>
    <w:p w14:paraId="7A109F49">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1.4 本项目名称：见磋商须知前附表。</w:t>
      </w:r>
    </w:p>
    <w:p w14:paraId="67B817AF">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1.5 本项目建设地点：见磋商须知前附表。</w:t>
      </w:r>
    </w:p>
    <w:p w14:paraId="79F43C70">
      <w:pPr>
        <w:adjustRightInd w:val="0"/>
        <w:spacing w:line="440" w:lineRule="exact"/>
        <w:ind w:firstLine="482" w:firstLineChars="200"/>
        <w:jc w:val="both"/>
        <w:outlineLvl w:val="2"/>
        <w:rPr>
          <w:rFonts w:hint="eastAsia" w:ascii="宋体" w:hAnsi="宋体" w:eastAsia="宋体" w:cs="宋体"/>
          <w:b/>
          <w:kern w:val="2"/>
          <w:sz w:val="24"/>
          <w:szCs w:val="24"/>
          <w:highlight w:val="none"/>
          <w:lang w:val="en-US" w:bidi="ar-SA"/>
        </w:rPr>
      </w:pPr>
      <w:bookmarkStart w:id="11" w:name="_Toc324362061"/>
      <w:bookmarkStart w:id="12" w:name="_Toc144974499"/>
      <w:bookmarkStart w:id="13" w:name="_Toc325103232"/>
      <w:bookmarkStart w:id="14" w:name="_Toc324362192"/>
      <w:bookmarkStart w:id="15" w:name="_Toc179632548"/>
      <w:bookmarkStart w:id="16" w:name="_Toc152042307"/>
      <w:bookmarkStart w:id="17" w:name="_Toc152045531"/>
      <w:r>
        <w:rPr>
          <w:rFonts w:hint="eastAsia" w:ascii="宋体" w:hAnsi="宋体" w:eastAsia="宋体" w:cs="宋体"/>
          <w:b/>
          <w:kern w:val="2"/>
          <w:sz w:val="24"/>
          <w:szCs w:val="24"/>
          <w:highlight w:val="none"/>
          <w:lang w:val="en-US" w:bidi="ar-SA"/>
        </w:rPr>
        <w:t>2. 资金来源和落实情况</w:t>
      </w:r>
      <w:bookmarkEnd w:id="11"/>
      <w:bookmarkEnd w:id="12"/>
      <w:bookmarkEnd w:id="13"/>
      <w:bookmarkEnd w:id="14"/>
      <w:bookmarkEnd w:id="15"/>
      <w:bookmarkEnd w:id="16"/>
      <w:bookmarkEnd w:id="17"/>
    </w:p>
    <w:p w14:paraId="5668CCFC">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2.1 本项目的资金来源：见磋商须知前附表。</w:t>
      </w:r>
    </w:p>
    <w:p w14:paraId="51D0DEBC">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2.2 本项目的出资比例：见磋商须知前附表。</w:t>
      </w:r>
    </w:p>
    <w:p w14:paraId="7D8F02BC">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2.3 本项目的资金落实情况：见磋商须知前附表。</w:t>
      </w:r>
    </w:p>
    <w:p w14:paraId="1126AD4B">
      <w:pPr>
        <w:adjustRightInd w:val="0"/>
        <w:spacing w:line="440" w:lineRule="exact"/>
        <w:ind w:firstLine="482" w:firstLineChars="200"/>
        <w:jc w:val="both"/>
        <w:outlineLvl w:val="2"/>
        <w:rPr>
          <w:rFonts w:hint="eastAsia" w:ascii="宋体" w:hAnsi="宋体" w:eastAsia="宋体" w:cs="宋体"/>
          <w:b/>
          <w:kern w:val="2"/>
          <w:sz w:val="24"/>
          <w:szCs w:val="24"/>
          <w:highlight w:val="none"/>
          <w:lang w:val="en-US" w:bidi="ar-SA"/>
        </w:rPr>
      </w:pPr>
      <w:bookmarkStart w:id="18" w:name="_Toc152045532"/>
      <w:bookmarkStart w:id="19" w:name="_Toc324362193"/>
      <w:bookmarkStart w:id="20" w:name="_Toc144974500"/>
      <w:bookmarkStart w:id="21" w:name="_Toc325103233"/>
      <w:bookmarkStart w:id="22" w:name="_Toc324362062"/>
      <w:bookmarkStart w:id="23" w:name="_Toc179632549"/>
      <w:bookmarkStart w:id="24" w:name="_Toc152042308"/>
      <w:r>
        <w:rPr>
          <w:rFonts w:hint="eastAsia" w:ascii="宋体" w:hAnsi="宋体" w:eastAsia="宋体" w:cs="宋体"/>
          <w:b/>
          <w:kern w:val="2"/>
          <w:sz w:val="24"/>
          <w:szCs w:val="24"/>
          <w:highlight w:val="none"/>
          <w:lang w:val="en-US" w:bidi="ar-SA"/>
        </w:rPr>
        <w:t>3. 招标范围</w:t>
      </w:r>
      <w:bookmarkEnd w:id="18"/>
      <w:bookmarkEnd w:id="19"/>
      <w:bookmarkEnd w:id="20"/>
      <w:bookmarkEnd w:id="21"/>
      <w:bookmarkEnd w:id="22"/>
      <w:bookmarkEnd w:id="23"/>
      <w:bookmarkEnd w:id="24"/>
    </w:p>
    <w:p w14:paraId="3F9DB015">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3.1 本次招标范围：见磋商须知前附表。</w:t>
      </w:r>
    </w:p>
    <w:p w14:paraId="5BC8B4F0">
      <w:pPr>
        <w:adjustRightInd w:val="0"/>
        <w:spacing w:line="440" w:lineRule="exact"/>
        <w:ind w:firstLine="482" w:firstLineChars="200"/>
        <w:jc w:val="both"/>
        <w:outlineLvl w:val="2"/>
        <w:rPr>
          <w:rFonts w:hint="eastAsia" w:ascii="宋体" w:hAnsi="宋体" w:eastAsia="宋体" w:cs="宋体"/>
          <w:b/>
          <w:kern w:val="2"/>
          <w:sz w:val="24"/>
          <w:szCs w:val="24"/>
          <w:highlight w:val="none"/>
          <w:lang w:val="en-US" w:bidi="ar-SA"/>
        </w:rPr>
      </w:pPr>
      <w:bookmarkStart w:id="25" w:name="_Toc144974502"/>
      <w:bookmarkStart w:id="26" w:name="_Toc324362063"/>
      <w:bookmarkStart w:id="27" w:name="_Toc325103234"/>
      <w:bookmarkStart w:id="28" w:name="_Toc324362194"/>
      <w:bookmarkStart w:id="29" w:name="_Toc152042310"/>
      <w:bookmarkStart w:id="30" w:name="_Toc179632551"/>
      <w:bookmarkStart w:id="31" w:name="_Toc152045534"/>
      <w:r>
        <w:rPr>
          <w:rFonts w:hint="eastAsia" w:ascii="宋体" w:hAnsi="宋体" w:eastAsia="宋体" w:cs="宋体"/>
          <w:b/>
          <w:kern w:val="2"/>
          <w:sz w:val="24"/>
          <w:szCs w:val="24"/>
          <w:highlight w:val="none"/>
          <w:lang w:val="en-US" w:bidi="ar-SA"/>
        </w:rPr>
        <w:t>4. 供应商资格要求</w:t>
      </w:r>
      <w:bookmarkEnd w:id="25"/>
      <w:bookmarkEnd w:id="26"/>
      <w:bookmarkEnd w:id="27"/>
      <w:bookmarkEnd w:id="28"/>
      <w:bookmarkEnd w:id="29"/>
      <w:bookmarkEnd w:id="30"/>
      <w:bookmarkEnd w:id="31"/>
    </w:p>
    <w:p w14:paraId="77226384">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4.1 供应商应具备的资质条件、能力和信誉：见磋商须知前附表。</w:t>
      </w:r>
    </w:p>
    <w:p w14:paraId="5442D546">
      <w:pPr>
        <w:adjustRightInd w:val="0"/>
        <w:spacing w:line="440" w:lineRule="exact"/>
        <w:ind w:firstLine="482" w:firstLineChars="200"/>
        <w:jc w:val="both"/>
        <w:outlineLvl w:val="2"/>
        <w:rPr>
          <w:rFonts w:hint="eastAsia" w:ascii="宋体" w:hAnsi="宋体" w:eastAsia="宋体" w:cs="宋体"/>
          <w:b/>
          <w:kern w:val="2"/>
          <w:sz w:val="24"/>
          <w:szCs w:val="24"/>
          <w:highlight w:val="none"/>
          <w:lang w:val="en-US" w:bidi="ar-SA"/>
        </w:rPr>
      </w:pPr>
      <w:bookmarkStart w:id="32" w:name="_Toc325103235"/>
      <w:bookmarkStart w:id="33" w:name="_Toc324362195"/>
      <w:bookmarkStart w:id="34" w:name="_Toc324362064"/>
      <w:bookmarkStart w:id="35" w:name="_Toc179632552"/>
      <w:bookmarkStart w:id="36" w:name="_Toc152042311"/>
      <w:bookmarkStart w:id="37" w:name="_Toc152045535"/>
      <w:bookmarkStart w:id="38" w:name="_Toc144974503"/>
      <w:r>
        <w:rPr>
          <w:rFonts w:hint="eastAsia" w:ascii="宋体" w:hAnsi="宋体" w:eastAsia="宋体" w:cs="宋体"/>
          <w:b/>
          <w:kern w:val="2"/>
          <w:sz w:val="24"/>
          <w:szCs w:val="24"/>
          <w:highlight w:val="none"/>
          <w:lang w:val="en-US" w:bidi="ar-SA"/>
        </w:rPr>
        <w:t>5. 费用承担</w:t>
      </w:r>
      <w:bookmarkEnd w:id="32"/>
      <w:bookmarkEnd w:id="33"/>
      <w:bookmarkEnd w:id="34"/>
      <w:bookmarkEnd w:id="35"/>
      <w:bookmarkEnd w:id="36"/>
      <w:bookmarkEnd w:id="37"/>
      <w:bookmarkEnd w:id="38"/>
    </w:p>
    <w:p w14:paraId="361DD8D4">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供应商准备和参加投标活动发生的费用自理。</w:t>
      </w:r>
    </w:p>
    <w:p w14:paraId="5ECDE10E">
      <w:pPr>
        <w:adjustRightInd w:val="0"/>
        <w:spacing w:line="440" w:lineRule="exact"/>
        <w:ind w:firstLine="482" w:firstLineChars="200"/>
        <w:jc w:val="both"/>
        <w:outlineLvl w:val="2"/>
        <w:rPr>
          <w:rFonts w:hint="eastAsia" w:ascii="宋体" w:hAnsi="宋体" w:eastAsia="宋体" w:cs="宋体"/>
          <w:b/>
          <w:kern w:val="2"/>
          <w:sz w:val="24"/>
          <w:szCs w:val="24"/>
          <w:highlight w:val="none"/>
          <w:lang w:val="en-US" w:bidi="ar-SA"/>
        </w:rPr>
      </w:pPr>
      <w:bookmarkStart w:id="39" w:name="_Toc324362196"/>
      <w:bookmarkStart w:id="40" w:name="_Toc144974504"/>
      <w:bookmarkStart w:id="41" w:name="_Toc325103236"/>
      <w:bookmarkStart w:id="42" w:name="_Toc152045536"/>
      <w:bookmarkStart w:id="43" w:name="_Toc324362065"/>
      <w:bookmarkStart w:id="44" w:name="_Toc152042312"/>
      <w:bookmarkStart w:id="45" w:name="_Toc179632553"/>
      <w:r>
        <w:rPr>
          <w:rFonts w:hint="eastAsia" w:ascii="宋体" w:hAnsi="宋体" w:eastAsia="宋体" w:cs="宋体"/>
          <w:b/>
          <w:kern w:val="2"/>
          <w:sz w:val="24"/>
          <w:szCs w:val="24"/>
          <w:highlight w:val="none"/>
          <w:lang w:val="en-US" w:bidi="ar-SA"/>
        </w:rPr>
        <w:t>6. 保密</w:t>
      </w:r>
      <w:bookmarkEnd w:id="39"/>
      <w:bookmarkEnd w:id="40"/>
      <w:bookmarkEnd w:id="41"/>
      <w:bookmarkEnd w:id="42"/>
      <w:bookmarkEnd w:id="43"/>
      <w:bookmarkEnd w:id="44"/>
      <w:bookmarkEnd w:id="45"/>
    </w:p>
    <w:p w14:paraId="154370A7">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参与招标投标活动的各方应对磋商文件和响应文件中的商业和技术等秘密保密，违者应对由此造成的后果承担法律责任。</w:t>
      </w:r>
    </w:p>
    <w:p w14:paraId="2A7FDE72">
      <w:pPr>
        <w:adjustRightInd w:val="0"/>
        <w:spacing w:line="440" w:lineRule="exact"/>
        <w:ind w:firstLine="482" w:firstLineChars="200"/>
        <w:jc w:val="both"/>
        <w:outlineLvl w:val="2"/>
        <w:rPr>
          <w:rFonts w:hint="eastAsia" w:ascii="宋体" w:hAnsi="宋体" w:eastAsia="宋体" w:cs="宋体"/>
          <w:b/>
          <w:kern w:val="2"/>
          <w:sz w:val="24"/>
          <w:szCs w:val="24"/>
          <w:highlight w:val="none"/>
          <w:lang w:val="en-US" w:bidi="ar-SA"/>
        </w:rPr>
      </w:pPr>
      <w:bookmarkStart w:id="46" w:name="_Toc144974505"/>
      <w:bookmarkStart w:id="47" w:name="_Toc152045537"/>
      <w:bookmarkStart w:id="48" w:name="_Toc179632554"/>
      <w:bookmarkStart w:id="49" w:name="_Toc325103237"/>
      <w:bookmarkStart w:id="50" w:name="_Toc324362197"/>
      <w:bookmarkStart w:id="51" w:name="_Toc324362066"/>
      <w:bookmarkStart w:id="52" w:name="_Toc152042313"/>
      <w:r>
        <w:rPr>
          <w:rFonts w:hint="eastAsia" w:ascii="宋体" w:hAnsi="宋体" w:eastAsia="宋体" w:cs="宋体"/>
          <w:b/>
          <w:kern w:val="2"/>
          <w:sz w:val="24"/>
          <w:szCs w:val="24"/>
          <w:highlight w:val="none"/>
          <w:lang w:val="en-US" w:bidi="ar-SA"/>
        </w:rPr>
        <w:t>7. 语言</w:t>
      </w:r>
      <w:bookmarkEnd w:id="46"/>
      <w:r>
        <w:rPr>
          <w:rFonts w:hint="eastAsia" w:ascii="宋体" w:hAnsi="宋体" w:eastAsia="宋体" w:cs="宋体"/>
          <w:b/>
          <w:kern w:val="2"/>
          <w:sz w:val="24"/>
          <w:szCs w:val="24"/>
          <w:highlight w:val="none"/>
          <w:lang w:val="en-US" w:bidi="ar-SA"/>
        </w:rPr>
        <w:t>文字</w:t>
      </w:r>
      <w:bookmarkEnd w:id="47"/>
      <w:bookmarkEnd w:id="48"/>
      <w:bookmarkEnd w:id="49"/>
      <w:bookmarkEnd w:id="50"/>
      <w:bookmarkEnd w:id="51"/>
      <w:bookmarkEnd w:id="52"/>
    </w:p>
    <w:p w14:paraId="3C16234D">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除专用术语外，与招标投标有关的语言均使用中文。必要时专用术语应附有中文注释。</w:t>
      </w:r>
    </w:p>
    <w:p w14:paraId="38874787">
      <w:pPr>
        <w:adjustRightInd w:val="0"/>
        <w:spacing w:line="440" w:lineRule="exact"/>
        <w:ind w:firstLine="482" w:firstLineChars="200"/>
        <w:jc w:val="both"/>
        <w:outlineLvl w:val="2"/>
        <w:rPr>
          <w:rFonts w:hint="eastAsia" w:ascii="宋体" w:hAnsi="宋体" w:eastAsia="宋体" w:cs="宋体"/>
          <w:b/>
          <w:kern w:val="2"/>
          <w:sz w:val="24"/>
          <w:szCs w:val="24"/>
          <w:highlight w:val="none"/>
          <w:lang w:val="en-US" w:bidi="ar-SA"/>
        </w:rPr>
      </w:pPr>
      <w:bookmarkStart w:id="53" w:name="_Toc144974506"/>
      <w:bookmarkStart w:id="54" w:name="_Toc324362198"/>
      <w:bookmarkStart w:id="55" w:name="_Toc324362067"/>
      <w:bookmarkStart w:id="56" w:name="_Toc152042314"/>
      <w:bookmarkStart w:id="57" w:name="_Toc179632555"/>
      <w:bookmarkStart w:id="58" w:name="_Toc325103238"/>
      <w:bookmarkStart w:id="59" w:name="_Toc152045538"/>
      <w:r>
        <w:rPr>
          <w:rFonts w:hint="eastAsia" w:ascii="宋体" w:hAnsi="宋体" w:eastAsia="宋体" w:cs="宋体"/>
          <w:b/>
          <w:kern w:val="2"/>
          <w:sz w:val="24"/>
          <w:szCs w:val="24"/>
          <w:highlight w:val="none"/>
          <w:lang w:val="en-US" w:bidi="ar-SA"/>
        </w:rPr>
        <w:t>8.计量单位</w:t>
      </w:r>
      <w:bookmarkEnd w:id="53"/>
      <w:bookmarkEnd w:id="54"/>
      <w:bookmarkEnd w:id="55"/>
      <w:bookmarkEnd w:id="56"/>
      <w:bookmarkEnd w:id="57"/>
      <w:bookmarkEnd w:id="58"/>
      <w:bookmarkEnd w:id="59"/>
    </w:p>
    <w:p w14:paraId="11BB2E61">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所有计量均采用中华人民共和国法定计量单位。</w:t>
      </w:r>
    </w:p>
    <w:p w14:paraId="5A84B413">
      <w:pPr>
        <w:adjustRightInd w:val="0"/>
        <w:spacing w:line="440" w:lineRule="exact"/>
        <w:ind w:firstLine="482" w:firstLineChars="200"/>
        <w:jc w:val="both"/>
        <w:outlineLvl w:val="2"/>
        <w:rPr>
          <w:rFonts w:hint="eastAsia" w:ascii="宋体" w:hAnsi="宋体" w:eastAsia="宋体" w:cs="宋体"/>
          <w:b/>
          <w:kern w:val="2"/>
          <w:sz w:val="24"/>
          <w:szCs w:val="24"/>
          <w:highlight w:val="none"/>
          <w:lang w:val="en-US" w:bidi="ar-SA"/>
        </w:rPr>
      </w:pPr>
      <w:bookmarkStart w:id="60" w:name="_Toc179632557"/>
      <w:bookmarkStart w:id="61" w:name="_Toc325103240"/>
      <w:bookmarkStart w:id="62" w:name="_Toc324362069"/>
      <w:bookmarkStart w:id="63" w:name="_Toc144974508"/>
      <w:bookmarkStart w:id="64" w:name="_Toc152045540"/>
      <w:bookmarkStart w:id="65" w:name="_Toc324362200"/>
      <w:bookmarkStart w:id="66" w:name="_Toc152042316"/>
      <w:r>
        <w:rPr>
          <w:rFonts w:hint="eastAsia" w:ascii="宋体" w:hAnsi="宋体" w:eastAsia="宋体" w:cs="宋体"/>
          <w:b/>
          <w:kern w:val="2"/>
          <w:sz w:val="24"/>
          <w:szCs w:val="24"/>
          <w:highlight w:val="none"/>
          <w:lang w:val="en-US" w:bidi="ar-SA"/>
        </w:rPr>
        <w:t xml:space="preserve">9. </w:t>
      </w:r>
      <w:bookmarkEnd w:id="60"/>
      <w:bookmarkEnd w:id="61"/>
      <w:bookmarkEnd w:id="62"/>
      <w:bookmarkEnd w:id="63"/>
      <w:bookmarkEnd w:id="64"/>
      <w:bookmarkEnd w:id="65"/>
      <w:bookmarkEnd w:id="66"/>
      <w:r>
        <w:rPr>
          <w:rFonts w:hint="eastAsia" w:ascii="宋体" w:hAnsi="宋体" w:eastAsia="宋体" w:cs="宋体"/>
          <w:b/>
          <w:kern w:val="2"/>
          <w:sz w:val="24"/>
          <w:szCs w:val="24"/>
          <w:highlight w:val="none"/>
          <w:lang w:val="en-US" w:bidi="ar-SA"/>
        </w:rPr>
        <w:t>投标答疑</w:t>
      </w:r>
    </w:p>
    <w:p w14:paraId="6F40A76C">
      <w:pPr>
        <w:adjustRightInd w:val="0"/>
        <w:spacing w:line="440" w:lineRule="exact"/>
        <w:ind w:firstLine="480" w:firstLineChars="200"/>
        <w:rPr>
          <w:rFonts w:hint="eastAsia" w:ascii="宋体" w:hAnsi="宋体" w:eastAsia="宋体" w:cs="宋体"/>
          <w:sz w:val="24"/>
          <w:szCs w:val="24"/>
          <w:highlight w:val="none"/>
          <w:lang w:val="en-US" w:bidi="ar-SA"/>
        </w:rPr>
      </w:pPr>
      <w:bookmarkStart w:id="67" w:name="_Toc152045541"/>
      <w:bookmarkStart w:id="68" w:name="_Toc325103241"/>
      <w:bookmarkStart w:id="69" w:name="_Toc144974509"/>
      <w:bookmarkStart w:id="70" w:name="_Toc324362201"/>
      <w:bookmarkStart w:id="71" w:name="_Toc179632558"/>
      <w:bookmarkStart w:id="72" w:name="_Toc152042317"/>
      <w:bookmarkStart w:id="73" w:name="_Toc324362070"/>
      <w:r>
        <w:rPr>
          <w:rFonts w:hint="eastAsia" w:ascii="宋体" w:hAnsi="宋体" w:eastAsia="宋体" w:cs="宋体"/>
          <w:sz w:val="24"/>
          <w:szCs w:val="24"/>
          <w:highlight w:val="none"/>
          <w:lang w:val="en-US" w:bidi="ar-SA"/>
        </w:rPr>
        <w:t>供应商应在磋商须知前附表规定的时间前，以书面形式将提出的问题送达采购人，采购人在磋商须知前附表规定的时间内，将对供应商所提问题的澄清，以书面方式通知所有购买磋商文件的供应商。</w:t>
      </w:r>
    </w:p>
    <w:bookmarkEnd w:id="67"/>
    <w:bookmarkEnd w:id="68"/>
    <w:bookmarkEnd w:id="69"/>
    <w:bookmarkEnd w:id="70"/>
    <w:bookmarkEnd w:id="71"/>
    <w:bookmarkEnd w:id="72"/>
    <w:bookmarkEnd w:id="73"/>
    <w:p w14:paraId="1EF8160E">
      <w:pPr>
        <w:kinsoku w:val="0"/>
        <w:overflowPunct w:val="0"/>
        <w:adjustRightInd w:val="0"/>
        <w:spacing w:before="57" w:line="440" w:lineRule="exact"/>
        <w:ind w:left="591"/>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10、踏勘现场</w:t>
      </w:r>
    </w:p>
    <w:p w14:paraId="0F6A5C73">
      <w:pPr>
        <w:pStyle w:val="10"/>
        <w:kinsoku w:val="0"/>
        <w:overflowPunct w:val="0"/>
        <w:spacing w:line="440" w:lineRule="exact"/>
        <w:ind w:left="111" w:right="110" w:firstLine="480"/>
        <w:rPr>
          <w:rFonts w:hint="eastAsia" w:ascii="宋体" w:hAnsi="宋体" w:eastAsia="宋体" w:cs="宋体"/>
          <w:spacing w:val="-4"/>
          <w:highlight w:val="none"/>
          <w:lang w:val="en-US" w:bidi="ar-SA"/>
        </w:rPr>
      </w:pPr>
      <w:r>
        <w:rPr>
          <w:rFonts w:hint="eastAsia" w:ascii="宋体" w:hAnsi="宋体" w:eastAsia="宋体" w:cs="宋体"/>
          <w:highlight w:val="none"/>
          <w:lang w:val="en-US" w:bidi="ar-SA"/>
        </w:rPr>
        <w:t xml:space="preserve">10.1 </w:t>
      </w:r>
      <w:r>
        <w:rPr>
          <w:rFonts w:hint="eastAsia" w:ascii="宋体" w:hAnsi="宋体" w:eastAsia="宋体" w:cs="宋体"/>
          <w:highlight w:val="none"/>
        </w:rPr>
        <w:t>各投标供应商应认真踏勘施工现场，了解工程建设地点的地形位置，材料运输储存条件，掌握有关可能影响投标报价的因素和情况，投标人一旦中标后不得以不完全了解现场情况为借口而增加造价和延长工期。</w:t>
      </w:r>
    </w:p>
    <w:p w14:paraId="61C72B2E">
      <w:pPr>
        <w:kinsoku w:val="0"/>
        <w:overflowPunct w:val="0"/>
        <w:adjustRightInd w:val="0"/>
        <w:spacing w:before="60"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10.2 采购人向供应商提供的有关现场的数据和资料，是采购人现有的能被供应商利用的资料，采购人对供应商做出的任何推论、理解和结论均不负责任。</w:t>
      </w:r>
    </w:p>
    <w:p w14:paraId="0EE61022">
      <w:pPr>
        <w:kinsoku w:val="0"/>
        <w:overflowPunct w:val="0"/>
        <w:adjustRightInd w:val="0"/>
        <w:spacing w:before="57" w:line="440" w:lineRule="exact"/>
        <w:ind w:left="111" w:right="110" w:firstLine="480"/>
        <w:rPr>
          <w:rFonts w:hint="eastAsia" w:ascii="宋体" w:hAnsi="宋体" w:eastAsia="宋体" w:cs="宋体"/>
          <w:b/>
          <w:sz w:val="24"/>
          <w:szCs w:val="24"/>
          <w:highlight w:val="none"/>
          <w:lang w:val="en-US" w:bidi="ar-SA"/>
        </w:rPr>
      </w:pPr>
      <w:r>
        <w:rPr>
          <w:rFonts w:hint="eastAsia" w:ascii="宋体" w:hAnsi="宋体" w:eastAsia="宋体" w:cs="宋体"/>
          <w:sz w:val="24"/>
          <w:szCs w:val="24"/>
          <w:highlight w:val="none"/>
          <w:lang w:val="en-US" w:bidi="ar-SA"/>
        </w:rPr>
        <w:t>10.3 经采购人允许，供应商可为踏勘目的进入采购人的项目现场，但供应商不得因此使采购人承担有关的责任和蒙受损失。供应商应承担踏勘现场的责任和风险。</w:t>
      </w:r>
    </w:p>
    <w:p w14:paraId="041992EB">
      <w:pPr>
        <w:kinsoku w:val="0"/>
        <w:overflowPunct w:val="0"/>
        <w:adjustRightInd w:val="0"/>
        <w:spacing w:before="178"/>
        <w:ind w:right="59"/>
        <w:jc w:val="center"/>
        <w:rPr>
          <w:rFonts w:hint="eastAsia" w:ascii="宋体" w:hAnsi="宋体" w:eastAsia="宋体" w:cs="宋体"/>
          <w:b/>
          <w:sz w:val="24"/>
          <w:szCs w:val="24"/>
          <w:highlight w:val="none"/>
          <w:lang w:val="en-US" w:bidi="ar-SA"/>
        </w:rPr>
      </w:pPr>
    </w:p>
    <w:p w14:paraId="2CE0961C">
      <w:pPr>
        <w:kinsoku w:val="0"/>
        <w:overflowPunct w:val="0"/>
        <w:adjustRightInd w:val="0"/>
        <w:spacing w:before="178"/>
        <w:ind w:right="59"/>
        <w:jc w:val="center"/>
        <w:rPr>
          <w:rFonts w:hint="eastAsia" w:ascii="宋体" w:hAnsi="宋体" w:eastAsia="宋体" w:cs="宋体"/>
          <w:sz w:val="24"/>
          <w:szCs w:val="24"/>
          <w:highlight w:val="none"/>
          <w:lang w:val="en-US" w:bidi="ar-SA"/>
        </w:rPr>
      </w:pPr>
      <w:r>
        <w:rPr>
          <w:rFonts w:hint="eastAsia" w:ascii="宋体" w:hAnsi="宋体" w:eastAsia="宋体" w:cs="宋体"/>
          <w:b/>
          <w:sz w:val="24"/>
          <w:szCs w:val="24"/>
          <w:highlight w:val="none"/>
          <w:lang w:val="en-US" w:bidi="ar-SA"/>
        </w:rPr>
        <w:t>（二）磋商文件</w:t>
      </w:r>
    </w:p>
    <w:p w14:paraId="25DF2520">
      <w:pPr>
        <w:kinsoku w:val="0"/>
        <w:overflowPunct w:val="0"/>
        <w:adjustRightInd w:val="0"/>
        <w:spacing w:before="10"/>
        <w:rPr>
          <w:rFonts w:hint="eastAsia" w:ascii="宋体" w:hAnsi="宋体" w:eastAsia="宋体" w:cs="宋体"/>
          <w:b/>
          <w:sz w:val="18"/>
          <w:szCs w:val="24"/>
          <w:highlight w:val="none"/>
          <w:lang w:val="en-US" w:bidi="ar-SA"/>
        </w:rPr>
      </w:pPr>
    </w:p>
    <w:p w14:paraId="4D516BAD">
      <w:pPr>
        <w:kinsoku w:val="0"/>
        <w:overflowPunct w:val="0"/>
        <w:adjustRightInd w:val="0"/>
        <w:spacing w:line="440" w:lineRule="exact"/>
        <w:ind w:left="591"/>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11、磋商文件的组成</w:t>
      </w:r>
    </w:p>
    <w:p w14:paraId="3EFC88A6">
      <w:pPr>
        <w:kinsoku w:val="0"/>
        <w:overflowPunct w:val="0"/>
        <w:adjustRightInd w:val="0"/>
        <w:spacing w:line="440" w:lineRule="exact"/>
        <w:ind w:left="591" w:right="4672"/>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11.1磋商文件包括下列内容：</w:t>
      </w:r>
    </w:p>
    <w:p w14:paraId="6B9349E3">
      <w:pPr>
        <w:kinsoku w:val="0"/>
        <w:overflowPunct w:val="0"/>
        <w:adjustRightInd w:val="0"/>
        <w:spacing w:before="60"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竞争性磋商公告</w:t>
      </w:r>
    </w:p>
    <w:p w14:paraId="35C88734">
      <w:pPr>
        <w:numPr>
          <w:ilvl w:val="0"/>
          <w:numId w:val="5"/>
        </w:numPr>
        <w:kinsoku w:val="0"/>
        <w:overflowPunct w:val="0"/>
        <w:adjustRightInd w:val="0"/>
        <w:spacing w:before="60"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磋商须知前附表及磋商须知</w:t>
      </w:r>
    </w:p>
    <w:p w14:paraId="010442C3">
      <w:pPr>
        <w:numPr>
          <w:ilvl w:val="0"/>
          <w:numId w:val="5"/>
        </w:numPr>
        <w:kinsoku w:val="0"/>
        <w:overflowPunct w:val="0"/>
        <w:adjustRightInd w:val="0"/>
        <w:spacing w:before="60"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合同条款及格式</w:t>
      </w:r>
    </w:p>
    <w:p w14:paraId="4DE8C0F0">
      <w:pPr>
        <w:kinsoku w:val="0"/>
        <w:overflowPunct w:val="0"/>
        <w:adjustRightInd w:val="0"/>
        <w:spacing w:before="60"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第三章</w:t>
      </w:r>
      <w:r>
        <w:rPr>
          <w:rFonts w:hint="eastAsia" w:ascii="宋体" w:hAnsi="宋体" w:eastAsia="宋体" w:cs="宋体"/>
          <w:sz w:val="24"/>
          <w:szCs w:val="24"/>
          <w:highlight w:val="none"/>
          <w:lang w:val="en-US" w:bidi="ar-SA"/>
        </w:rPr>
        <w:tab/>
      </w:r>
      <w:r>
        <w:rPr>
          <w:rFonts w:hint="eastAsia" w:ascii="宋体" w:hAnsi="宋体" w:eastAsia="宋体" w:cs="宋体"/>
          <w:sz w:val="24"/>
          <w:szCs w:val="24"/>
          <w:highlight w:val="none"/>
          <w:lang w:val="en-US" w:bidi="ar-SA"/>
        </w:rPr>
        <w:t>工程量清单</w:t>
      </w:r>
    </w:p>
    <w:p w14:paraId="12454927">
      <w:pPr>
        <w:kinsoku w:val="0"/>
        <w:overflowPunct w:val="0"/>
        <w:adjustRightInd w:val="0"/>
        <w:spacing w:before="60"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第四章</w:t>
      </w:r>
      <w:r>
        <w:rPr>
          <w:rFonts w:hint="eastAsia" w:ascii="宋体" w:hAnsi="宋体" w:eastAsia="宋体" w:cs="宋体"/>
          <w:sz w:val="24"/>
          <w:szCs w:val="24"/>
          <w:highlight w:val="none"/>
          <w:lang w:val="en-US" w:bidi="ar-SA"/>
        </w:rPr>
        <w:tab/>
      </w:r>
      <w:r>
        <w:rPr>
          <w:rFonts w:hint="eastAsia" w:ascii="宋体" w:hAnsi="宋体" w:eastAsia="宋体" w:cs="宋体"/>
          <w:sz w:val="24"/>
          <w:szCs w:val="24"/>
          <w:highlight w:val="none"/>
          <w:lang w:val="en-US" w:bidi="ar-SA"/>
        </w:rPr>
        <w:t>图纸（另卷）</w:t>
      </w:r>
    </w:p>
    <w:p w14:paraId="70E7A30D">
      <w:pPr>
        <w:kinsoku w:val="0"/>
        <w:overflowPunct w:val="0"/>
        <w:adjustRightInd w:val="0"/>
        <w:spacing w:before="60"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第五章</w:t>
      </w:r>
      <w:r>
        <w:rPr>
          <w:rFonts w:hint="eastAsia" w:ascii="宋体" w:hAnsi="宋体" w:eastAsia="宋体" w:cs="宋体"/>
          <w:sz w:val="24"/>
          <w:szCs w:val="24"/>
          <w:highlight w:val="none"/>
          <w:lang w:val="en-US" w:bidi="ar-SA"/>
        </w:rPr>
        <w:tab/>
      </w:r>
      <w:r>
        <w:rPr>
          <w:rFonts w:hint="eastAsia" w:ascii="宋体" w:hAnsi="宋体" w:eastAsia="宋体" w:cs="宋体"/>
          <w:sz w:val="24"/>
          <w:szCs w:val="24"/>
          <w:highlight w:val="none"/>
          <w:lang w:val="en-US" w:bidi="ar-SA"/>
        </w:rPr>
        <w:t>技术规范</w:t>
      </w:r>
    </w:p>
    <w:p w14:paraId="73322F7E">
      <w:pPr>
        <w:kinsoku w:val="0"/>
        <w:overflowPunct w:val="0"/>
        <w:adjustRightInd w:val="0"/>
        <w:spacing w:before="60"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第六章   工程量清单计量规则</w:t>
      </w:r>
    </w:p>
    <w:p w14:paraId="4C0511A1">
      <w:pPr>
        <w:kinsoku w:val="0"/>
        <w:overflowPunct w:val="0"/>
        <w:adjustRightInd w:val="0"/>
        <w:spacing w:before="60"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第七章   响应文件格式</w:t>
      </w:r>
    </w:p>
    <w:p w14:paraId="08FDBB8F">
      <w:pPr>
        <w:kinsoku w:val="0"/>
        <w:overflowPunct w:val="0"/>
        <w:adjustRightInd w:val="0"/>
        <w:spacing w:before="60"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第八章   评审方法及标准</w:t>
      </w:r>
    </w:p>
    <w:p w14:paraId="25D2C4FF">
      <w:pPr>
        <w:kinsoku w:val="0"/>
        <w:overflowPunct w:val="0"/>
        <w:adjustRightInd w:val="0"/>
        <w:spacing w:before="57" w:line="440" w:lineRule="exact"/>
        <w:ind w:firstLine="600" w:firstLineChars="25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供应商应详细阅读采购文件中的所有条款内容、格式、表格和所涉及的相关规范。如果供应商不按磋商文件的要求提交响应性文件和资料的，或者响应性文件没有对磋商文件提出的实质性要求和条件作出响应，将导致响应性文件不被接受，其后果由供应商自己负责。</w:t>
      </w:r>
    </w:p>
    <w:p w14:paraId="2461AFF5">
      <w:pPr>
        <w:kinsoku w:val="0"/>
        <w:overflowPunct w:val="0"/>
        <w:adjustRightInd w:val="0"/>
        <w:spacing w:line="440" w:lineRule="exact"/>
        <w:ind w:left="591" w:right="112"/>
        <w:jc w:val="both"/>
        <w:rPr>
          <w:rFonts w:hint="eastAsia" w:ascii="宋体" w:hAnsi="宋体" w:eastAsia="宋体" w:cs="宋体"/>
          <w:sz w:val="24"/>
          <w:szCs w:val="24"/>
          <w:highlight w:val="none"/>
          <w:lang w:val="en-US" w:bidi="ar-SA"/>
        </w:rPr>
      </w:pPr>
      <w:r>
        <w:rPr>
          <w:rFonts w:hint="eastAsia" w:ascii="宋体" w:hAnsi="宋体" w:eastAsia="宋体" w:cs="宋体"/>
          <w:b/>
          <w:sz w:val="24"/>
          <w:szCs w:val="24"/>
          <w:highlight w:val="none"/>
          <w:lang w:val="en-US" w:bidi="ar-SA"/>
        </w:rPr>
        <w:t>12、磋商文件的澄清</w:t>
      </w:r>
    </w:p>
    <w:p w14:paraId="1619D8CE">
      <w:pPr>
        <w:kinsoku w:val="0"/>
        <w:overflowPunct w:val="0"/>
        <w:adjustRightInd w:val="0"/>
        <w:spacing w:before="57" w:line="440" w:lineRule="exact"/>
        <w:ind w:firstLine="600" w:firstLineChars="25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12.1 若磋商供应商对采购文件有疑点或异议，可在知道或应知其权益受到损害之日起 7 个工作日内，将质疑书原件送达采购人或采购代理机构，采购人将视情况确定采用适当方式予以澄清或以书面形式予以答复。</w:t>
      </w:r>
    </w:p>
    <w:p w14:paraId="38751DAE">
      <w:pPr>
        <w:kinsoku w:val="0"/>
        <w:overflowPunct w:val="0"/>
        <w:adjustRightInd w:val="0"/>
        <w:spacing w:before="57" w:line="440" w:lineRule="exact"/>
        <w:ind w:firstLine="600" w:firstLineChars="25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12.2 在首次提交响应文件截止时间前，采购代理机构可以对采购文件进行澄清或者修改，澄清或者修改的内容作为采购文件的组成部分。澄清或者修改的内容可能影响响应文件编制的，将按国家法律规定顺延提交首次响应文件截止时间。</w:t>
      </w:r>
    </w:p>
    <w:p w14:paraId="4113175F">
      <w:pPr>
        <w:kinsoku w:val="0"/>
        <w:overflowPunct w:val="0"/>
        <w:adjustRightInd w:val="0"/>
        <w:spacing w:before="57" w:line="440" w:lineRule="exact"/>
        <w:ind w:firstLine="600" w:firstLineChars="25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12.3 更正或补充文件将作为采购文件的组成部分，对所有磋商供应商有约束力。当采购文件与更正或补充文件相矛盾时，以采购人最后发出的更正或补充文件为准。</w:t>
      </w:r>
    </w:p>
    <w:p w14:paraId="53BC5631">
      <w:pPr>
        <w:kinsoku w:val="0"/>
        <w:overflowPunct w:val="0"/>
        <w:adjustRightInd w:val="0"/>
        <w:spacing w:before="57" w:line="440" w:lineRule="exact"/>
        <w:ind w:firstLine="600" w:firstLineChars="25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12.4 供应商在规定的时间内未对采购文件澄清或提出疑问的，采购代理机构将视其为同意。</w:t>
      </w:r>
    </w:p>
    <w:p w14:paraId="2B43C65E">
      <w:pPr>
        <w:kinsoku w:val="0"/>
        <w:overflowPunct w:val="0"/>
        <w:adjustRightInd w:val="0"/>
        <w:spacing w:before="57" w:line="440" w:lineRule="exact"/>
        <w:ind w:left="591"/>
        <w:outlineLvl w:val="4"/>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13、磋商文件的修改</w:t>
      </w:r>
    </w:p>
    <w:p w14:paraId="4912448D">
      <w:pPr>
        <w:kinsoku w:val="0"/>
        <w:overflowPunct w:val="0"/>
        <w:adjustRightInd w:val="0"/>
        <w:spacing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13.1磋商文件发出后</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在提交响应文件截止时间5日前</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采购人可对磋商文件进行必要的澄清或修改。</w:t>
      </w:r>
    </w:p>
    <w:p w14:paraId="5F240C06">
      <w:pPr>
        <w:kinsoku w:val="0"/>
        <w:overflowPunct w:val="0"/>
        <w:adjustRightInd w:val="0"/>
        <w:spacing w:before="56" w:line="440" w:lineRule="exact"/>
        <w:ind w:left="591"/>
        <w:rPr>
          <w:rFonts w:hint="eastAsia" w:ascii="宋体" w:hAnsi="宋体" w:eastAsia="宋体" w:cs="宋体"/>
          <w:sz w:val="24"/>
          <w:szCs w:val="24"/>
          <w:highlight w:val="none"/>
          <w:u w:val="single"/>
          <w:lang w:val="en-US" w:bidi="ar-SA"/>
        </w:rPr>
      </w:pPr>
      <w:r>
        <w:rPr>
          <w:rFonts w:hint="eastAsia" w:ascii="宋体" w:hAnsi="宋体" w:eastAsia="宋体" w:cs="宋体"/>
          <w:sz w:val="24"/>
          <w:szCs w:val="24"/>
          <w:highlight w:val="none"/>
          <w:lang w:val="en-US" w:bidi="ar-SA"/>
        </w:rPr>
        <w:t>13.2磋商文件的修改将以书面形式发送给所有供应商</w:t>
      </w:r>
      <w:r>
        <w:rPr>
          <w:rFonts w:hint="eastAsia" w:ascii="宋体" w:hAnsi="宋体" w:eastAsia="宋体" w:cs="宋体"/>
          <w:spacing w:val="-120"/>
          <w:sz w:val="24"/>
          <w:szCs w:val="24"/>
          <w:highlight w:val="none"/>
          <w:lang w:val="en-US" w:bidi="ar-SA"/>
        </w:rPr>
        <w:t>，</w:t>
      </w:r>
      <w:r>
        <w:rPr>
          <w:rFonts w:hint="eastAsia" w:ascii="宋体" w:hAnsi="宋体" w:eastAsia="宋体" w:cs="宋体"/>
          <w:sz w:val="24"/>
          <w:szCs w:val="24"/>
          <w:highlight w:val="none"/>
          <w:lang w:val="en-US" w:bidi="ar-SA"/>
        </w:rPr>
        <w:t>供应商应于收到该修改文件后</w:t>
      </w:r>
      <w:r>
        <w:rPr>
          <w:rFonts w:hint="eastAsia" w:ascii="宋体" w:hAnsi="宋体" w:eastAsia="宋体" w:cs="宋体"/>
          <w:sz w:val="24"/>
          <w:szCs w:val="24"/>
          <w:highlight w:val="none"/>
          <w:u w:val="single"/>
          <w:lang w:val="en-US" w:bidi="ar-SA"/>
        </w:rPr>
        <w:t>1</w:t>
      </w:r>
    </w:p>
    <w:p w14:paraId="7605C3EC">
      <w:pPr>
        <w:kinsoku w:val="0"/>
        <w:overflowPunct w:val="0"/>
        <w:adjustRightInd w:val="0"/>
        <w:spacing w:before="56" w:line="440" w:lineRule="exact"/>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日内以书面形式给予确认</w:t>
      </w:r>
      <w:r>
        <w:rPr>
          <w:rFonts w:hint="eastAsia" w:ascii="宋体" w:hAnsi="宋体" w:eastAsia="宋体" w:cs="宋体"/>
          <w:spacing w:val="-32"/>
          <w:sz w:val="24"/>
          <w:szCs w:val="24"/>
          <w:highlight w:val="none"/>
          <w:lang w:val="en-US" w:bidi="ar-SA"/>
        </w:rPr>
        <w:t>。</w:t>
      </w:r>
      <w:r>
        <w:rPr>
          <w:rFonts w:hint="eastAsia" w:ascii="宋体" w:hAnsi="宋体" w:eastAsia="宋体" w:cs="宋体"/>
          <w:sz w:val="24"/>
          <w:szCs w:val="24"/>
          <w:highlight w:val="none"/>
          <w:lang w:val="en-US" w:bidi="ar-SA"/>
        </w:rPr>
        <w:t>磋商文件的修改内容作为磋商文件的组成部</w:t>
      </w:r>
      <w:r>
        <w:rPr>
          <w:rFonts w:hint="eastAsia" w:ascii="宋体" w:hAnsi="宋体" w:eastAsia="宋体" w:cs="宋体"/>
          <w:spacing w:val="2"/>
          <w:sz w:val="24"/>
          <w:szCs w:val="24"/>
          <w:highlight w:val="none"/>
          <w:lang w:val="en-US" w:bidi="ar-SA"/>
        </w:rPr>
        <w:t>分</w:t>
      </w:r>
      <w:r>
        <w:rPr>
          <w:rFonts w:hint="eastAsia" w:ascii="宋体" w:hAnsi="宋体" w:eastAsia="宋体" w:cs="宋体"/>
          <w:spacing w:val="-32"/>
          <w:sz w:val="24"/>
          <w:szCs w:val="24"/>
          <w:highlight w:val="none"/>
          <w:lang w:val="en-US" w:bidi="ar-SA"/>
        </w:rPr>
        <w:t>，</w:t>
      </w:r>
      <w:r>
        <w:rPr>
          <w:rFonts w:hint="eastAsia" w:ascii="宋体" w:hAnsi="宋体" w:eastAsia="宋体" w:cs="宋体"/>
          <w:sz w:val="24"/>
          <w:szCs w:val="24"/>
          <w:highlight w:val="none"/>
          <w:lang w:val="en-US" w:bidi="ar-SA"/>
        </w:rPr>
        <w:t>具有约束作用。</w:t>
      </w:r>
    </w:p>
    <w:p w14:paraId="1B68C986">
      <w:pPr>
        <w:kinsoku w:val="0"/>
        <w:overflowPunct w:val="0"/>
        <w:adjustRightInd w:val="0"/>
        <w:spacing w:before="56"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13.3磋商文件的澄清</w:t>
      </w:r>
      <w:r>
        <w:rPr>
          <w:rFonts w:hint="eastAsia" w:ascii="宋体" w:hAnsi="宋体" w:eastAsia="宋体" w:cs="宋体"/>
          <w:spacing w:val="-41"/>
          <w:sz w:val="24"/>
          <w:szCs w:val="24"/>
          <w:highlight w:val="none"/>
          <w:lang w:val="en-US" w:bidi="ar-SA"/>
        </w:rPr>
        <w:t>、</w:t>
      </w:r>
      <w:r>
        <w:rPr>
          <w:rFonts w:hint="eastAsia" w:ascii="宋体" w:hAnsi="宋体" w:eastAsia="宋体" w:cs="宋体"/>
          <w:sz w:val="24"/>
          <w:szCs w:val="24"/>
          <w:highlight w:val="none"/>
          <w:lang w:val="en-US" w:bidi="ar-SA"/>
        </w:rPr>
        <w:t>修改</w:t>
      </w:r>
      <w:r>
        <w:rPr>
          <w:rFonts w:hint="eastAsia" w:ascii="宋体" w:hAnsi="宋体" w:eastAsia="宋体" w:cs="宋体"/>
          <w:spacing w:val="-39"/>
          <w:sz w:val="24"/>
          <w:szCs w:val="24"/>
          <w:highlight w:val="none"/>
          <w:lang w:val="en-US" w:bidi="ar-SA"/>
        </w:rPr>
        <w:t>、</w:t>
      </w:r>
      <w:r>
        <w:rPr>
          <w:rFonts w:hint="eastAsia" w:ascii="宋体" w:hAnsi="宋体" w:eastAsia="宋体" w:cs="宋体"/>
          <w:sz w:val="24"/>
          <w:szCs w:val="24"/>
          <w:highlight w:val="none"/>
          <w:lang w:val="en-US" w:bidi="ar-SA"/>
        </w:rPr>
        <w:t>补充等内容均以书面形式明确的内容为准</w:t>
      </w:r>
      <w:r>
        <w:rPr>
          <w:rFonts w:hint="eastAsia" w:ascii="宋体" w:hAnsi="宋体" w:eastAsia="宋体" w:cs="宋体"/>
          <w:spacing w:val="-41"/>
          <w:sz w:val="24"/>
          <w:szCs w:val="24"/>
          <w:highlight w:val="none"/>
          <w:lang w:val="en-US" w:bidi="ar-SA"/>
        </w:rPr>
        <w:t>。</w:t>
      </w:r>
      <w:r>
        <w:rPr>
          <w:rFonts w:hint="eastAsia" w:ascii="宋体" w:hAnsi="宋体" w:eastAsia="宋体" w:cs="宋体"/>
          <w:sz w:val="24"/>
          <w:szCs w:val="24"/>
          <w:highlight w:val="none"/>
          <w:lang w:val="en-US" w:bidi="ar-SA"/>
        </w:rPr>
        <w:t>当磋商</w:t>
      </w:r>
      <w:r>
        <w:rPr>
          <w:rFonts w:hint="eastAsia" w:ascii="宋体" w:hAnsi="宋体" w:eastAsia="宋体" w:cs="宋体"/>
          <w:spacing w:val="-2"/>
          <w:sz w:val="24"/>
          <w:szCs w:val="24"/>
          <w:highlight w:val="none"/>
          <w:lang w:val="en-US" w:bidi="ar-SA"/>
        </w:rPr>
        <w:t>文件、磋商文件的澄清、修改、补充等在同一内容的表述上不一致时，以最后发出的</w:t>
      </w:r>
      <w:r>
        <w:rPr>
          <w:rFonts w:hint="eastAsia" w:ascii="宋体" w:hAnsi="宋体" w:eastAsia="宋体" w:cs="宋体"/>
          <w:sz w:val="24"/>
          <w:szCs w:val="24"/>
          <w:highlight w:val="none"/>
          <w:lang w:val="en-US" w:bidi="ar-SA"/>
        </w:rPr>
        <w:t>书面文件为准。</w:t>
      </w:r>
    </w:p>
    <w:p w14:paraId="572C9932">
      <w:pPr>
        <w:kinsoku w:val="0"/>
        <w:overflowPunct w:val="0"/>
        <w:adjustRightInd w:val="0"/>
        <w:spacing w:before="57"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13.4为使供应商在编制响应文件时有充分时间对磋商文件的澄清</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修改</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补充等内容进行研究</w:t>
      </w:r>
      <w:r>
        <w:rPr>
          <w:rFonts w:hint="eastAsia" w:ascii="宋体" w:hAnsi="宋体" w:eastAsia="宋体" w:cs="宋体"/>
          <w:spacing w:val="-32"/>
          <w:sz w:val="24"/>
          <w:szCs w:val="24"/>
          <w:highlight w:val="none"/>
          <w:lang w:val="en-US" w:bidi="ar-SA"/>
        </w:rPr>
        <w:t>，</w:t>
      </w:r>
      <w:r>
        <w:rPr>
          <w:rFonts w:hint="eastAsia" w:ascii="宋体" w:hAnsi="宋体" w:eastAsia="宋体" w:cs="宋体"/>
          <w:sz w:val="24"/>
          <w:szCs w:val="24"/>
          <w:highlight w:val="none"/>
          <w:lang w:val="en-US" w:bidi="ar-SA"/>
        </w:rPr>
        <w:t>采购人将酌情延长提交响应文件的截止时</w:t>
      </w:r>
      <w:r>
        <w:rPr>
          <w:rFonts w:hint="eastAsia" w:ascii="宋体" w:hAnsi="宋体" w:eastAsia="宋体" w:cs="宋体"/>
          <w:spacing w:val="2"/>
          <w:sz w:val="24"/>
          <w:szCs w:val="24"/>
          <w:highlight w:val="none"/>
          <w:lang w:val="en-US" w:bidi="ar-SA"/>
        </w:rPr>
        <w:t>间</w:t>
      </w:r>
      <w:r>
        <w:rPr>
          <w:rFonts w:hint="eastAsia" w:ascii="宋体" w:hAnsi="宋体" w:eastAsia="宋体" w:cs="宋体"/>
          <w:spacing w:val="-32"/>
          <w:sz w:val="24"/>
          <w:szCs w:val="24"/>
          <w:highlight w:val="none"/>
          <w:lang w:val="en-US" w:bidi="ar-SA"/>
        </w:rPr>
        <w:t>，</w:t>
      </w:r>
      <w:r>
        <w:rPr>
          <w:rFonts w:hint="eastAsia" w:ascii="宋体" w:hAnsi="宋体" w:eastAsia="宋体" w:cs="宋体"/>
          <w:sz w:val="24"/>
          <w:szCs w:val="24"/>
          <w:highlight w:val="none"/>
          <w:lang w:val="en-US" w:bidi="ar-SA"/>
        </w:rPr>
        <w:t>具体时间将在磋商文件的修改、补充通知中予以明确。</w:t>
      </w:r>
    </w:p>
    <w:p w14:paraId="420DF1E2">
      <w:pPr>
        <w:kinsoku w:val="0"/>
        <w:overflowPunct w:val="0"/>
        <w:adjustRightInd w:val="0"/>
        <w:spacing w:before="57" w:line="440" w:lineRule="exact"/>
        <w:ind w:left="111" w:right="232" w:firstLine="480"/>
        <w:jc w:val="both"/>
        <w:rPr>
          <w:rFonts w:hint="eastAsia" w:ascii="宋体" w:hAnsi="宋体" w:eastAsia="宋体" w:cs="宋体"/>
          <w:sz w:val="24"/>
          <w:szCs w:val="24"/>
          <w:highlight w:val="none"/>
          <w:lang w:val="en-US" w:bidi="ar-SA"/>
        </w:rPr>
      </w:pPr>
    </w:p>
    <w:p w14:paraId="63314B41">
      <w:pPr>
        <w:kinsoku w:val="0"/>
        <w:overflowPunct w:val="0"/>
        <w:adjustRightInd w:val="0"/>
        <w:rPr>
          <w:rFonts w:hint="eastAsia" w:ascii="宋体" w:hAnsi="宋体" w:eastAsia="宋体" w:cs="宋体"/>
          <w:sz w:val="24"/>
          <w:szCs w:val="24"/>
          <w:highlight w:val="none"/>
          <w:lang w:val="en-US" w:bidi="ar-SA"/>
        </w:rPr>
      </w:pPr>
    </w:p>
    <w:p w14:paraId="16064CDF">
      <w:pPr>
        <w:numPr>
          <w:ilvl w:val="0"/>
          <w:numId w:val="6"/>
        </w:numPr>
        <w:kinsoku w:val="0"/>
        <w:overflowPunct w:val="0"/>
        <w:adjustRightInd w:val="0"/>
        <w:spacing w:line="429" w:lineRule="auto"/>
        <w:ind w:left="591" w:right="110"/>
        <w:jc w:val="center"/>
        <w:outlineLvl w:val="4"/>
        <w:rPr>
          <w:rFonts w:hint="eastAsia" w:ascii="宋体" w:hAnsi="宋体" w:eastAsia="宋体" w:cs="宋体"/>
          <w:b/>
          <w:spacing w:val="28"/>
          <w:w w:val="99"/>
          <w:sz w:val="24"/>
          <w:szCs w:val="24"/>
          <w:highlight w:val="none"/>
          <w:lang w:val="en-US" w:bidi="ar-SA"/>
        </w:rPr>
      </w:pPr>
      <w:r>
        <w:rPr>
          <w:rFonts w:hint="eastAsia" w:ascii="宋体" w:hAnsi="宋体" w:eastAsia="宋体" w:cs="宋体"/>
          <w:b/>
          <w:w w:val="95"/>
          <w:sz w:val="24"/>
          <w:szCs w:val="24"/>
          <w:highlight w:val="none"/>
          <w:lang w:val="en-US" w:bidi="ar-SA"/>
        </w:rPr>
        <w:t>响应文件的编制</w:t>
      </w:r>
    </w:p>
    <w:p w14:paraId="49B6B532">
      <w:pPr>
        <w:kinsoku w:val="0"/>
        <w:overflowPunct w:val="0"/>
        <w:adjustRightInd w:val="0"/>
        <w:spacing w:line="440" w:lineRule="exact"/>
        <w:ind w:right="110" w:firstLine="482" w:firstLineChars="200"/>
        <w:outlineLvl w:val="4"/>
        <w:rPr>
          <w:rFonts w:hint="eastAsia" w:ascii="宋体" w:hAnsi="宋体" w:eastAsia="宋体" w:cs="宋体"/>
          <w:sz w:val="24"/>
          <w:szCs w:val="24"/>
          <w:highlight w:val="none"/>
          <w:lang w:val="en-US" w:bidi="ar-SA"/>
        </w:rPr>
      </w:pPr>
      <w:r>
        <w:rPr>
          <w:rFonts w:hint="eastAsia" w:ascii="宋体" w:hAnsi="宋体" w:eastAsia="宋体" w:cs="宋体"/>
          <w:b/>
          <w:sz w:val="24"/>
          <w:szCs w:val="24"/>
          <w:highlight w:val="none"/>
          <w:lang w:val="en-US" w:bidi="ar-SA"/>
        </w:rPr>
        <w:t>14、响应文件的语言及度量衡单位</w:t>
      </w:r>
    </w:p>
    <w:p w14:paraId="054B2BD1">
      <w:pPr>
        <w:kinsoku w:val="0"/>
        <w:overflowPunct w:val="0"/>
        <w:adjustRightInd w:val="0"/>
        <w:spacing w:before="56" w:line="440" w:lineRule="exact"/>
        <w:ind w:left="591"/>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14.1</w:t>
      </w:r>
      <w:r>
        <w:rPr>
          <w:rFonts w:hint="eastAsia" w:ascii="宋体" w:hAnsi="宋体" w:eastAsia="宋体" w:cs="宋体"/>
          <w:spacing w:val="-1"/>
          <w:sz w:val="24"/>
          <w:szCs w:val="24"/>
          <w:highlight w:val="none"/>
          <w:lang w:val="en-US" w:bidi="ar-SA"/>
        </w:rPr>
        <w:t>响应文件和与磋商有关的所有文件均应使用</w:t>
      </w:r>
      <w:r>
        <w:rPr>
          <w:rFonts w:hint="eastAsia" w:ascii="宋体" w:hAnsi="宋体" w:eastAsia="宋体" w:cs="宋体"/>
          <w:sz w:val="24"/>
          <w:szCs w:val="24"/>
          <w:highlight w:val="none"/>
          <w:u w:val="single"/>
          <w:lang w:val="en-US" w:bidi="ar-SA"/>
        </w:rPr>
        <w:t>中文</w:t>
      </w:r>
      <w:r>
        <w:rPr>
          <w:rFonts w:hint="eastAsia" w:ascii="宋体" w:hAnsi="宋体" w:eastAsia="宋体" w:cs="宋体"/>
          <w:sz w:val="24"/>
          <w:szCs w:val="24"/>
          <w:highlight w:val="none"/>
          <w:lang w:val="en-US" w:bidi="ar-SA"/>
        </w:rPr>
        <w:t>。</w:t>
      </w:r>
    </w:p>
    <w:p w14:paraId="6977DE30">
      <w:pPr>
        <w:kinsoku w:val="0"/>
        <w:overflowPunct w:val="0"/>
        <w:adjustRightInd w:val="0"/>
        <w:spacing w:line="440" w:lineRule="exact"/>
        <w:ind w:left="591"/>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14.2除工程规范另有规定外</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响应文件使用的度量衡单位</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均采用中华人民共和</w:t>
      </w:r>
    </w:p>
    <w:p w14:paraId="53971784">
      <w:pPr>
        <w:kinsoku w:val="0"/>
        <w:overflowPunct w:val="0"/>
        <w:adjustRightInd w:val="0"/>
        <w:spacing w:before="26" w:line="440" w:lineRule="exact"/>
        <w:ind w:left="591" w:right="5091" w:hanging="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国法定计量单位。</w:t>
      </w:r>
    </w:p>
    <w:p w14:paraId="007E206B">
      <w:pPr>
        <w:kinsoku w:val="0"/>
        <w:overflowPunct w:val="0"/>
        <w:adjustRightInd w:val="0"/>
        <w:spacing w:before="26" w:line="440" w:lineRule="exact"/>
        <w:ind w:left="541" w:leftChars="246" w:right="5091"/>
        <w:rPr>
          <w:rFonts w:hint="eastAsia" w:ascii="宋体" w:hAnsi="宋体" w:eastAsia="宋体" w:cs="宋体"/>
          <w:b/>
          <w:w w:val="95"/>
          <w:sz w:val="24"/>
          <w:szCs w:val="24"/>
          <w:highlight w:val="none"/>
          <w:lang w:val="en-US" w:bidi="ar-SA"/>
        </w:rPr>
      </w:pPr>
      <w:r>
        <w:rPr>
          <w:rFonts w:hint="eastAsia" w:ascii="宋体" w:hAnsi="宋体" w:eastAsia="宋体" w:cs="宋体"/>
          <w:b/>
          <w:w w:val="95"/>
          <w:sz w:val="24"/>
          <w:szCs w:val="24"/>
          <w:highlight w:val="none"/>
          <w:lang w:val="en-US" w:bidi="ar-SA"/>
        </w:rPr>
        <w:t>15、响应文件的组成</w:t>
      </w:r>
    </w:p>
    <w:p w14:paraId="2D740669">
      <w:pPr>
        <w:kinsoku w:val="0"/>
        <w:overflowPunct w:val="0"/>
        <w:adjustRightInd w:val="0"/>
        <w:spacing w:line="440" w:lineRule="exact"/>
        <w:ind w:left="591"/>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供应商投标时须提供加密的电子响应文件，按政采云平台供应商项目采购-电子招</w:t>
      </w:r>
    </w:p>
    <w:p w14:paraId="7048E6D0">
      <w:pPr>
        <w:kinsoku w:val="0"/>
        <w:overflowPunct w:val="0"/>
        <w:adjustRightInd w:val="0"/>
        <w:spacing w:line="440" w:lineRule="exact"/>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投标操作指南(www.zcygov.cn)及本磋商文件要求编制、提交。</w:t>
      </w:r>
    </w:p>
    <w:p w14:paraId="048B59E0">
      <w:pPr>
        <w:kinsoku w:val="0"/>
        <w:overflowPunct w:val="0"/>
        <w:adjustRightInd w:val="0"/>
        <w:spacing w:before="57" w:line="440" w:lineRule="exact"/>
        <w:ind w:left="591"/>
        <w:outlineLvl w:val="4"/>
        <w:rPr>
          <w:rFonts w:hint="eastAsia" w:ascii="宋体" w:hAnsi="宋体" w:eastAsia="宋体" w:cs="宋体"/>
          <w:b/>
          <w:spacing w:val="2"/>
          <w:w w:val="95"/>
          <w:sz w:val="24"/>
          <w:szCs w:val="24"/>
          <w:highlight w:val="none"/>
          <w:lang w:val="en-US" w:bidi="ar-SA"/>
        </w:rPr>
      </w:pPr>
      <w:r>
        <w:rPr>
          <w:rFonts w:hint="eastAsia" w:ascii="宋体" w:hAnsi="宋体" w:eastAsia="宋体" w:cs="宋体"/>
          <w:b/>
          <w:w w:val="95"/>
          <w:sz w:val="24"/>
          <w:szCs w:val="24"/>
          <w:highlight w:val="none"/>
          <w:lang w:val="en-US" w:bidi="ar-SA"/>
        </w:rPr>
        <w:t xml:space="preserve">15.1 </w:t>
      </w:r>
      <w:r>
        <w:rPr>
          <w:rFonts w:hint="eastAsia" w:ascii="宋体" w:hAnsi="宋体" w:eastAsia="宋体" w:cs="宋体"/>
          <w:b/>
          <w:spacing w:val="2"/>
          <w:w w:val="95"/>
          <w:sz w:val="24"/>
          <w:szCs w:val="24"/>
          <w:highlight w:val="none"/>
          <w:lang w:val="en-US" w:bidi="ar-SA"/>
        </w:rPr>
        <w:t>响应文件由商务及技术文件、报价文件构成。</w:t>
      </w:r>
    </w:p>
    <w:p w14:paraId="7963DE5D">
      <w:pPr>
        <w:kinsoku w:val="0"/>
        <w:overflowPunct w:val="0"/>
        <w:adjustRightInd w:val="0"/>
        <w:spacing w:before="57" w:line="440" w:lineRule="exact"/>
        <w:ind w:left="591"/>
        <w:outlineLvl w:val="4"/>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15.2 商务及技术文件</w:t>
      </w:r>
      <w:r>
        <w:rPr>
          <w:rFonts w:hint="eastAsia" w:ascii="宋体" w:hAnsi="宋体" w:eastAsia="宋体" w:cs="宋体"/>
          <w:b/>
          <w:spacing w:val="-9"/>
          <w:sz w:val="24"/>
          <w:szCs w:val="24"/>
          <w:highlight w:val="none"/>
          <w:lang w:val="en-US" w:bidi="ar-SA"/>
        </w:rPr>
        <w:t>：</w:t>
      </w:r>
    </w:p>
    <w:p w14:paraId="51F96967">
      <w:pPr>
        <w:tabs>
          <w:tab w:val="left" w:pos="1410"/>
        </w:tabs>
        <w:autoSpaceDE/>
        <w:autoSpaceDN/>
        <w:spacing w:line="440" w:lineRule="exact"/>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（1）投标函及投标函附录；</w:t>
      </w:r>
    </w:p>
    <w:p w14:paraId="7EB2AAFA">
      <w:pPr>
        <w:tabs>
          <w:tab w:val="left" w:pos="1410"/>
        </w:tabs>
        <w:autoSpaceDE/>
        <w:autoSpaceDN/>
        <w:spacing w:before="93" w:line="440" w:lineRule="exact"/>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（2）授权委托书或法定代表人身份证明；</w:t>
      </w:r>
    </w:p>
    <w:p w14:paraId="7CA4D857">
      <w:pPr>
        <w:spacing w:line="440" w:lineRule="exact"/>
        <w:rPr>
          <w:rFonts w:hint="eastAsia" w:ascii="宋体" w:hAnsi="宋体" w:eastAsia="宋体" w:cs="宋体"/>
          <w:sz w:val="24"/>
          <w:highlight w:val="none"/>
        </w:rPr>
        <w:sectPr>
          <w:footerReference r:id="rId5" w:type="default"/>
          <w:pgSz w:w="11910" w:h="16840"/>
          <w:pgMar w:top="1134" w:right="1417" w:bottom="1134" w:left="1417" w:header="882" w:footer="847" w:gutter="0"/>
          <w:cols w:space="720" w:num="1"/>
        </w:sectPr>
      </w:pPr>
    </w:p>
    <w:p w14:paraId="0A27C18F">
      <w:pPr>
        <w:tabs>
          <w:tab w:val="left" w:pos="1410"/>
        </w:tabs>
        <w:autoSpaceDE/>
        <w:autoSpaceDN/>
        <w:spacing w:before="74" w:line="440" w:lineRule="exact"/>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（3）投标保证金；</w:t>
      </w:r>
    </w:p>
    <w:p w14:paraId="56709D17">
      <w:pPr>
        <w:tabs>
          <w:tab w:val="left" w:pos="1410"/>
        </w:tabs>
        <w:autoSpaceDE/>
        <w:autoSpaceDN/>
        <w:spacing w:before="93" w:line="440" w:lineRule="exact"/>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（4）施工组织设计；</w:t>
      </w:r>
    </w:p>
    <w:p w14:paraId="757682ED">
      <w:pPr>
        <w:tabs>
          <w:tab w:val="left" w:pos="1410"/>
        </w:tabs>
        <w:autoSpaceDE/>
        <w:autoSpaceDN/>
        <w:spacing w:before="91" w:line="440" w:lineRule="exact"/>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（5）项目管理机构；</w:t>
      </w:r>
    </w:p>
    <w:p w14:paraId="1E641CB6">
      <w:pPr>
        <w:tabs>
          <w:tab w:val="left" w:pos="1410"/>
        </w:tabs>
        <w:autoSpaceDE/>
        <w:autoSpaceDN/>
        <w:spacing w:before="94" w:line="440" w:lineRule="exact"/>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（6）拟分包项目情况表；</w:t>
      </w:r>
    </w:p>
    <w:p w14:paraId="502FFD86">
      <w:pPr>
        <w:tabs>
          <w:tab w:val="left" w:pos="1410"/>
        </w:tabs>
        <w:autoSpaceDE/>
        <w:autoSpaceDN/>
        <w:spacing w:before="93" w:line="440" w:lineRule="exact"/>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（7）资格审查资料；</w:t>
      </w:r>
    </w:p>
    <w:p w14:paraId="0175081C">
      <w:pPr>
        <w:tabs>
          <w:tab w:val="left" w:pos="1410"/>
        </w:tabs>
        <w:autoSpaceDE/>
        <w:autoSpaceDN/>
        <w:spacing w:before="91" w:line="440" w:lineRule="exact"/>
        <w:ind w:right="4276" w:firstLine="472" w:firstLineChars="200"/>
        <w:jc w:val="both"/>
        <w:rPr>
          <w:rFonts w:hint="eastAsia" w:ascii="宋体" w:hAnsi="宋体" w:eastAsia="宋体" w:cs="宋体"/>
          <w:spacing w:val="-2"/>
          <w:kern w:val="2"/>
          <w:sz w:val="24"/>
          <w:szCs w:val="24"/>
          <w:highlight w:val="none"/>
          <w:lang w:val="en-US" w:bidi="ar-SA"/>
        </w:rPr>
      </w:pPr>
      <w:r>
        <w:rPr>
          <w:rFonts w:hint="eastAsia" w:ascii="宋体" w:hAnsi="宋体" w:eastAsia="宋体" w:cs="宋体"/>
          <w:spacing w:val="-2"/>
          <w:kern w:val="2"/>
          <w:sz w:val="24"/>
          <w:szCs w:val="24"/>
          <w:highlight w:val="none"/>
          <w:lang w:val="en-US" w:bidi="ar-SA"/>
        </w:rPr>
        <w:t>（8）投标人须知前附表规定的其他资料。</w:t>
      </w:r>
    </w:p>
    <w:p w14:paraId="611CA7C4">
      <w:pPr>
        <w:tabs>
          <w:tab w:val="left" w:pos="1410"/>
        </w:tabs>
        <w:autoSpaceDE/>
        <w:autoSpaceDN/>
        <w:spacing w:before="91" w:line="440" w:lineRule="exact"/>
        <w:ind w:right="4276" w:firstLine="474" w:firstLineChars="200"/>
        <w:jc w:val="both"/>
        <w:rPr>
          <w:rFonts w:hint="eastAsia" w:ascii="宋体" w:hAnsi="宋体" w:eastAsia="宋体" w:cs="宋体"/>
          <w:b/>
          <w:bCs/>
          <w:spacing w:val="-2"/>
          <w:kern w:val="2"/>
          <w:sz w:val="24"/>
          <w:szCs w:val="24"/>
          <w:highlight w:val="none"/>
          <w:lang w:val="en-US" w:bidi="ar-SA"/>
        </w:rPr>
      </w:pPr>
      <w:r>
        <w:rPr>
          <w:rFonts w:hint="eastAsia" w:ascii="宋体" w:hAnsi="宋体" w:eastAsia="宋体" w:cs="宋体"/>
          <w:b/>
          <w:bCs/>
          <w:spacing w:val="-2"/>
          <w:kern w:val="2"/>
          <w:sz w:val="24"/>
          <w:szCs w:val="24"/>
          <w:highlight w:val="none"/>
          <w:lang w:val="en-US" w:bidi="ar-SA"/>
        </w:rPr>
        <w:t>15.3 报价文件：</w:t>
      </w:r>
    </w:p>
    <w:p w14:paraId="27F87EE0">
      <w:pPr>
        <w:tabs>
          <w:tab w:val="left" w:pos="1410"/>
        </w:tabs>
        <w:autoSpaceDE/>
        <w:autoSpaceDN/>
        <w:spacing w:before="2" w:line="440" w:lineRule="exact"/>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（1）投标函；</w:t>
      </w:r>
    </w:p>
    <w:p w14:paraId="46B3F7AF">
      <w:pPr>
        <w:tabs>
          <w:tab w:val="left" w:pos="1410"/>
        </w:tabs>
        <w:autoSpaceDE/>
        <w:autoSpaceDN/>
        <w:spacing w:before="91" w:line="440" w:lineRule="exact"/>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（2）已标价工程量清单（含工程量固化清单电子文件）；</w:t>
      </w:r>
    </w:p>
    <w:p w14:paraId="33244C4E">
      <w:pPr>
        <w:tabs>
          <w:tab w:val="left" w:pos="1410"/>
        </w:tabs>
        <w:autoSpaceDE/>
        <w:autoSpaceDN/>
        <w:spacing w:before="93" w:line="440" w:lineRule="exact"/>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（3）合同用款估算表；</w:t>
      </w:r>
    </w:p>
    <w:p w14:paraId="78D497F8">
      <w:pPr>
        <w:tabs>
          <w:tab w:val="left" w:pos="1410"/>
        </w:tabs>
        <w:autoSpaceDE/>
        <w:autoSpaceDN/>
        <w:spacing w:before="93" w:line="440" w:lineRule="exact"/>
        <w:ind w:firstLine="480" w:firstLineChars="200"/>
        <w:jc w:val="both"/>
        <w:rPr>
          <w:rFonts w:hint="eastAsia" w:ascii="宋体" w:hAnsi="宋体" w:eastAsia="宋体" w:cs="宋体"/>
          <w:highlight w:val="none"/>
          <w:lang w:val="en-US"/>
        </w:rPr>
      </w:pPr>
      <w:r>
        <w:rPr>
          <w:rFonts w:hint="eastAsia" w:ascii="宋体" w:hAnsi="宋体" w:eastAsia="宋体" w:cs="宋体"/>
          <w:kern w:val="2"/>
          <w:sz w:val="24"/>
          <w:szCs w:val="24"/>
          <w:highlight w:val="none"/>
          <w:lang w:val="en-US" w:bidi="ar-SA"/>
        </w:rPr>
        <w:t>（4）最终报价单。</w:t>
      </w:r>
    </w:p>
    <w:p w14:paraId="1EE42234">
      <w:pPr>
        <w:kinsoku w:val="0"/>
        <w:overflowPunct w:val="0"/>
        <w:adjustRightInd w:val="0"/>
        <w:spacing w:before="57" w:line="440" w:lineRule="exact"/>
        <w:ind w:right="232" w:firstLine="480" w:firstLineChars="20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15.4 开标后</w:t>
      </w:r>
      <w:r>
        <w:rPr>
          <w:rFonts w:hint="eastAsia" w:cs="宋体"/>
          <w:sz w:val="24"/>
          <w:szCs w:val="24"/>
          <w:highlight w:val="none"/>
          <w:lang w:val="en-US" w:eastAsia="zh-CN" w:bidi="ar-SA"/>
        </w:rPr>
        <w:t>成交</w:t>
      </w:r>
      <w:r>
        <w:rPr>
          <w:rFonts w:hint="eastAsia" w:ascii="宋体" w:hAnsi="宋体" w:eastAsia="宋体" w:cs="宋体"/>
          <w:sz w:val="24"/>
          <w:szCs w:val="24"/>
          <w:highlight w:val="none"/>
          <w:lang w:val="en-US" w:bidi="ar-SA"/>
        </w:rPr>
        <w:t>供应商需在公示期满后，另行提</w:t>
      </w:r>
      <w:r>
        <w:rPr>
          <w:rFonts w:hint="eastAsia" w:cs="宋体"/>
          <w:sz w:val="24"/>
          <w:szCs w:val="24"/>
          <w:highlight w:val="none"/>
          <w:lang w:val="en-US" w:eastAsia="zh-CN" w:bidi="ar-SA"/>
        </w:rPr>
        <w:t>供</w:t>
      </w:r>
      <w:r>
        <w:rPr>
          <w:rFonts w:hint="eastAsia" w:ascii="宋体" w:hAnsi="宋体" w:eastAsia="宋体" w:cs="宋体"/>
          <w:sz w:val="24"/>
          <w:szCs w:val="24"/>
          <w:highlight w:val="none"/>
          <w:lang w:val="en-US" w:bidi="ar-SA"/>
        </w:rPr>
        <w:t>纸质版响应文件（正本一份、副本二份）。须与电子版响应文件内容一致，纸质响应文件需留存备案将一律不予退还。</w:t>
      </w:r>
    </w:p>
    <w:p w14:paraId="0BDEE107">
      <w:pPr>
        <w:kinsoku w:val="0"/>
        <w:overflowPunct w:val="0"/>
        <w:adjustRightInd w:val="0"/>
        <w:spacing w:before="57"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纸质版标书邮寄地址：</w:t>
      </w:r>
      <w:r>
        <w:rPr>
          <w:rFonts w:hint="eastAsia" w:cs="宋体"/>
          <w:sz w:val="24"/>
          <w:szCs w:val="24"/>
          <w:highlight w:val="none"/>
          <w:lang w:val="en-US" w:eastAsia="zh-CN" w:bidi="ar-SA"/>
        </w:rPr>
        <w:t>新疆喀什地区喀什经济开发区深喀大道陕西大厦1005室</w:t>
      </w:r>
      <w:r>
        <w:rPr>
          <w:rFonts w:hint="eastAsia" w:ascii="宋体" w:hAnsi="宋体" w:eastAsia="宋体" w:cs="宋体"/>
          <w:sz w:val="24"/>
          <w:szCs w:val="24"/>
          <w:highlight w:val="none"/>
          <w:lang w:val="en-US" w:bidi="ar-SA"/>
        </w:rPr>
        <w:t>（</w:t>
      </w:r>
      <w:r>
        <w:rPr>
          <w:rFonts w:hint="eastAsia" w:cs="宋体"/>
          <w:sz w:val="24"/>
          <w:szCs w:val="24"/>
          <w:highlight w:val="none"/>
          <w:lang w:val="en-US" w:eastAsia="zh-CN" w:bidi="ar-SA"/>
        </w:rPr>
        <w:t>新疆惠中源项目管理有限公司</w:t>
      </w:r>
      <w:r>
        <w:rPr>
          <w:rFonts w:hint="eastAsia" w:ascii="宋体" w:hAnsi="宋体" w:eastAsia="宋体" w:cs="宋体"/>
          <w:sz w:val="24"/>
          <w:szCs w:val="24"/>
          <w:highlight w:val="none"/>
          <w:lang w:val="en-US" w:bidi="ar-SA"/>
        </w:rPr>
        <w:t>）</w:t>
      </w:r>
    </w:p>
    <w:p w14:paraId="1AD15AEA">
      <w:pPr>
        <w:kinsoku w:val="0"/>
        <w:overflowPunct w:val="0"/>
        <w:adjustRightInd w:val="0"/>
        <w:spacing w:before="57" w:line="440" w:lineRule="exact"/>
        <w:ind w:left="111" w:right="232" w:firstLine="48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收件人：</w:t>
      </w:r>
      <w:r>
        <w:rPr>
          <w:rFonts w:hint="eastAsia" w:cs="宋体"/>
          <w:sz w:val="24"/>
          <w:szCs w:val="24"/>
          <w:highlight w:val="none"/>
          <w:lang w:val="en-US" w:eastAsia="zh-CN" w:bidi="ar-SA"/>
        </w:rPr>
        <w:t>于大海</w:t>
      </w:r>
      <w:r>
        <w:rPr>
          <w:rFonts w:hint="eastAsia" w:ascii="宋体" w:hAnsi="宋体" w:eastAsia="宋体" w:cs="宋体"/>
          <w:sz w:val="24"/>
          <w:szCs w:val="24"/>
          <w:highlight w:val="none"/>
          <w:lang w:val="en-US" w:bidi="ar-SA"/>
        </w:rPr>
        <w:t xml:space="preserve">     联系电话：</w:t>
      </w:r>
      <w:r>
        <w:rPr>
          <w:rFonts w:hint="eastAsia" w:cs="宋体"/>
          <w:sz w:val="24"/>
          <w:szCs w:val="24"/>
          <w:highlight w:val="none"/>
          <w:lang w:val="en-US" w:eastAsia="zh-CN" w:bidi="ar-SA"/>
        </w:rPr>
        <w:t>18999110912</w:t>
      </w:r>
    </w:p>
    <w:p w14:paraId="2C2621A2">
      <w:pPr>
        <w:kinsoku w:val="0"/>
        <w:overflowPunct w:val="0"/>
        <w:adjustRightInd w:val="0"/>
        <w:spacing w:before="57" w:line="440" w:lineRule="exact"/>
        <w:ind w:left="101" w:leftChars="46" w:right="232" w:firstLine="240" w:firstLineChars="10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15.5 若磋商供应商未按采购文件的要求提供资料，或未对采购文件做出实质性响应，将作为无效响应文件。</w:t>
      </w:r>
    </w:p>
    <w:p w14:paraId="3C97E016">
      <w:pPr>
        <w:kinsoku w:val="0"/>
        <w:overflowPunct w:val="0"/>
        <w:adjustRightInd w:val="0"/>
        <w:spacing w:before="57" w:line="440" w:lineRule="exact"/>
        <w:ind w:right="232" w:firstLine="360" w:firstLineChars="15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15.6 磋商响应文件出现下列情形之一的，采购人不予受理或被政采云平台拒收：</w:t>
      </w:r>
    </w:p>
    <w:p w14:paraId="6D4501A7">
      <w:pPr>
        <w:kinsoku w:val="0"/>
        <w:overflowPunct w:val="0"/>
        <w:adjustRightInd w:val="0"/>
        <w:spacing w:before="57"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（1）电子磋商响应文件未按磋商文件要求上传的；</w:t>
      </w:r>
    </w:p>
    <w:p w14:paraId="6A406C72">
      <w:pPr>
        <w:kinsoku w:val="0"/>
        <w:overflowPunct w:val="0"/>
        <w:adjustRightInd w:val="0"/>
        <w:spacing w:before="57"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（2）供应商未按照须知前附表规定的时间解密电子磋商响应文件，或解密失败又未提交备份响应文件的。</w:t>
      </w:r>
    </w:p>
    <w:p w14:paraId="20619F2D">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15.7 响应文件封面要求</w:t>
      </w:r>
    </w:p>
    <w:p w14:paraId="295903AC">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15.7.1 响应文件封面应按磋商文件规定格式编制。</w:t>
      </w:r>
    </w:p>
    <w:p w14:paraId="1C6D6DE3">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15.8 响应文件目录要求</w:t>
      </w:r>
    </w:p>
    <w:p w14:paraId="51DFDC19">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15.8.1 为便于评审，响应文件目录宜按本磋商文件相关内容先后顺序编排。</w:t>
      </w:r>
    </w:p>
    <w:p w14:paraId="44952DB1">
      <w:pPr>
        <w:kinsoku w:val="0"/>
        <w:overflowPunct w:val="0"/>
        <w:adjustRightInd w:val="0"/>
        <w:spacing w:line="440" w:lineRule="exact"/>
        <w:ind w:left="591" w:right="5091"/>
        <w:rPr>
          <w:rFonts w:hint="eastAsia" w:ascii="宋体" w:hAnsi="宋体" w:eastAsia="宋体" w:cs="宋体"/>
          <w:sz w:val="24"/>
          <w:szCs w:val="24"/>
          <w:highlight w:val="none"/>
          <w:lang w:val="en-US" w:bidi="ar-SA"/>
        </w:rPr>
      </w:pPr>
      <w:r>
        <w:rPr>
          <w:rFonts w:hint="eastAsia" w:ascii="宋体" w:hAnsi="宋体" w:eastAsia="宋体" w:cs="宋体"/>
          <w:b/>
          <w:sz w:val="24"/>
          <w:szCs w:val="24"/>
          <w:highlight w:val="none"/>
          <w:lang w:val="en-US" w:bidi="ar-SA"/>
        </w:rPr>
        <w:t>16、响应文件格式</w:t>
      </w:r>
    </w:p>
    <w:p w14:paraId="2204A567">
      <w:pPr>
        <w:kinsoku w:val="0"/>
        <w:overflowPunct w:val="0"/>
        <w:adjustRightInd w:val="0"/>
        <w:spacing w:before="57"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16.1响应文件包括本须知第15条中规定的内容，供应商提交的响应文件应当使用磋商文件所提供的响应文件全部格式（表格可以按同样格式扩展）。</w:t>
      </w:r>
    </w:p>
    <w:p w14:paraId="355A3500">
      <w:pPr>
        <w:kinsoku w:val="0"/>
        <w:overflowPunct w:val="0"/>
        <w:adjustRightInd w:val="0"/>
        <w:spacing w:before="56" w:line="440" w:lineRule="exact"/>
        <w:ind w:left="591"/>
        <w:outlineLvl w:val="4"/>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17、投标报价</w:t>
      </w:r>
    </w:p>
    <w:p w14:paraId="79E86F15">
      <w:pPr>
        <w:tabs>
          <w:tab w:val="left" w:pos="1409"/>
        </w:tabs>
        <w:autoSpaceDE/>
        <w:autoSpaceDN/>
        <w:spacing w:before="1" w:line="440" w:lineRule="exact"/>
        <w:ind w:right="289" w:firstLine="678" w:firstLineChars="300"/>
        <w:jc w:val="both"/>
        <w:rPr>
          <w:rFonts w:hint="eastAsia" w:ascii="宋体" w:hAnsi="宋体" w:eastAsia="宋体" w:cs="宋体"/>
          <w:kern w:val="2"/>
          <w:sz w:val="24"/>
          <w:szCs w:val="24"/>
          <w:highlight w:val="none"/>
          <w:lang w:val="en-US" w:bidi="ar-SA"/>
        </w:rPr>
      </w:pPr>
      <w:r>
        <w:rPr>
          <w:rFonts w:hint="eastAsia" w:ascii="宋体" w:hAnsi="宋体" w:eastAsia="宋体" w:cs="宋体"/>
          <w:spacing w:val="-7"/>
          <w:kern w:val="2"/>
          <w:sz w:val="24"/>
          <w:szCs w:val="24"/>
          <w:highlight w:val="none"/>
          <w:lang w:val="en-US" w:bidi="ar-SA"/>
        </w:rPr>
        <w:t>17.1投标报价应包括国家规定的增值税税金，除磋商须知前附表另有规定外，</w:t>
      </w:r>
      <w:r>
        <w:rPr>
          <w:rFonts w:hint="eastAsia" w:ascii="宋体" w:hAnsi="宋体" w:eastAsia="宋体" w:cs="宋体"/>
          <w:spacing w:val="-5"/>
          <w:kern w:val="2"/>
          <w:sz w:val="24"/>
          <w:szCs w:val="24"/>
          <w:highlight w:val="none"/>
          <w:lang w:val="en-US" w:bidi="ar-SA"/>
        </w:rPr>
        <w:t>发票类型要求为增值税专用发票。投标供应商应按第七章</w:t>
      </w:r>
      <w:r>
        <w:rPr>
          <w:rFonts w:hint="eastAsia" w:ascii="宋体" w:hAnsi="宋体" w:eastAsia="宋体" w:cs="宋体"/>
          <w:kern w:val="2"/>
          <w:sz w:val="24"/>
          <w:szCs w:val="24"/>
          <w:highlight w:val="none"/>
          <w:lang w:val="en-US" w:bidi="ar-SA"/>
        </w:rPr>
        <w:t>“响应文件格式”的要求在投标函中进行报价并填写工程量清单相应表格。</w:t>
      </w:r>
    </w:p>
    <w:p w14:paraId="37B789A0">
      <w:pPr>
        <w:tabs>
          <w:tab w:val="left" w:pos="1409"/>
        </w:tabs>
        <w:autoSpaceDE/>
        <w:autoSpaceDN/>
        <w:spacing w:before="1" w:line="440" w:lineRule="exact"/>
        <w:ind w:right="289" w:firstLine="678" w:firstLineChars="300"/>
        <w:jc w:val="both"/>
        <w:rPr>
          <w:rFonts w:hint="eastAsia" w:ascii="宋体" w:hAnsi="宋体" w:eastAsia="宋体" w:cs="宋体"/>
          <w:spacing w:val="-7"/>
          <w:kern w:val="2"/>
          <w:sz w:val="24"/>
          <w:szCs w:val="24"/>
          <w:highlight w:val="none"/>
          <w:lang w:val="en-US" w:bidi="ar-SA"/>
        </w:rPr>
      </w:pPr>
      <w:r>
        <w:rPr>
          <w:rFonts w:hint="eastAsia" w:ascii="宋体" w:hAnsi="宋体" w:eastAsia="宋体" w:cs="宋体"/>
          <w:spacing w:val="-7"/>
          <w:kern w:val="2"/>
          <w:sz w:val="24"/>
          <w:szCs w:val="24"/>
          <w:highlight w:val="none"/>
          <w:lang w:val="en-US" w:bidi="ar-SA"/>
        </w:rPr>
        <w:t>本项目招标采用工程量固化清单，采购人向投标供应商提供工程量固化清单电子文件。投标供应商填写工程量清单中各子目的单价及总额价，即可完成投标工程量清单的编制，确定投标报价，并打印出投标工程量清单，编入响应文件。投标供应商未在工程量清单中填入单价或总额价的工程子目，将被认为其已包含在工程量清单其他子目的单价和总额价中，采购人将不予支付。</w:t>
      </w:r>
    </w:p>
    <w:p w14:paraId="273A357B">
      <w:pPr>
        <w:tabs>
          <w:tab w:val="left" w:pos="1409"/>
        </w:tabs>
        <w:autoSpaceDE/>
        <w:autoSpaceDN/>
        <w:spacing w:before="1" w:line="440" w:lineRule="exact"/>
        <w:ind w:right="289" w:firstLine="678" w:firstLineChars="300"/>
        <w:jc w:val="both"/>
        <w:rPr>
          <w:rFonts w:hint="eastAsia" w:ascii="宋体" w:hAnsi="宋体" w:eastAsia="宋体" w:cs="宋体"/>
          <w:spacing w:val="-7"/>
          <w:kern w:val="2"/>
          <w:sz w:val="24"/>
          <w:szCs w:val="24"/>
          <w:highlight w:val="none"/>
          <w:lang w:val="en-US" w:bidi="ar-SA"/>
        </w:rPr>
      </w:pPr>
      <w:r>
        <w:rPr>
          <w:rFonts w:hint="eastAsia" w:ascii="宋体" w:hAnsi="宋体" w:eastAsia="宋体" w:cs="宋体"/>
          <w:spacing w:val="-7"/>
          <w:kern w:val="2"/>
          <w:sz w:val="24"/>
          <w:szCs w:val="24"/>
          <w:highlight w:val="none"/>
          <w:lang w:val="en-US" w:bidi="ar-SA"/>
        </w:rPr>
        <w:t>投标供应商必须严格遵循工程量固化清单电子文件中的数据、格式及运算定义。</w:t>
      </w:r>
    </w:p>
    <w:p w14:paraId="0B8D312F">
      <w:pPr>
        <w:tabs>
          <w:tab w:val="left" w:pos="1409"/>
        </w:tabs>
        <w:autoSpaceDE/>
        <w:autoSpaceDN/>
        <w:spacing w:before="1" w:line="440" w:lineRule="exact"/>
        <w:ind w:right="289" w:firstLine="678" w:firstLineChars="300"/>
        <w:jc w:val="both"/>
        <w:rPr>
          <w:rFonts w:hint="eastAsia" w:ascii="宋体" w:hAnsi="宋体" w:eastAsia="宋体" w:cs="宋体"/>
          <w:spacing w:val="-7"/>
          <w:kern w:val="2"/>
          <w:sz w:val="24"/>
          <w:szCs w:val="24"/>
          <w:highlight w:val="none"/>
          <w:lang w:val="en-US" w:bidi="ar-SA"/>
        </w:rPr>
      </w:pPr>
      <w:r>
        <w:rPr>
          <w:rFonts w:hint="eastAsia" w:ascii="宋体" w:hAnsi="宋体" w:eastAsia="宋体" w:cs="宋体"/>
          <w:spacing w:val="-7"/>
          <w:kern w:val="2"/>
          <w:sz w:val="24"/>
          <w:szCs w:val="24"/>
          <w:highlight w:val="none"/>
          <w:lang w:val="en-US" w:bidi="ar-SA"/>
        </w:rPr>
        <w:t>严禁投标供应商修改工程量固化清单电子文件中的数据、格式及运算定义。</w:t>
      </w:r>
    </w:p>
    <w:p w14:paraId="275197C7">
      <w:pPr>
        <w:tabs>
          <w:tab w:val="left" w:pos="1409"/>
        </w:tabs>
        <w:autoSpaceDE/>
        <w:autoSpaceDN/>
        <w:spacing w:before="1" w:line="440" w:lineRule="exact"/>
        <w:ind w:right="289" w:firstLine="678" w:firstLineChars="300"/>
        <w:jc w:val="both"/>
        <w:rPr>
          <w:rFonts w:hint="eastAsia" w:ascii="宋体" w:hAnsi="宋体" w:eastAsia="宋体" w:cs="宋体"/>
          <w:spacing w:val="-7"/>
          <w:kern w:val="2"/>
          <w:sz w:val="24"/>
          <w:szCs w:val="24"/>
          <w:highlight w:val="none"/>
          <w:lang w:val="en-US" w:bidi="ar-SA"/>
        </w:rPr>
      </w:pPr>
      <w:r>
        <w:rPr>
          <w:rFonts w:hint="eastAsia" w:ascii="宋体" w:hAnsi="宋体" w:eastAsia="宋体" w:cs="宋体"/>
          <w:spacing w:val="-7"/>
          <w:kern w:val="2"/>
          <w:sz w:val="24"/>
          <w:szCs w:val="24"/>
          <w:highlight w:val="none"/>
          <w:lang w:val="en-US" w:bidi="ar-SA"/>
        </w:rPr>
        <w:t>投标供应商根据采购人提供的工程量固化清单电子文件填报完成并打印的投标工程量清单中的投标报价和投标函大写金额报价应一致，如果报价金额出现差异，其</w:t>
      </w:r>
      <w:r>
        <w:rPr>
          <w:rFonts w:hint="eastAsia" w:ascii="宋体" w:hAnsi="宋体" w:eastAsia="宋体" w:cs="宋体"/>
          <w:b/>
          <w:bCs/>
          <w:spacing w:val="-7"/>
          <w:kern w:val="2"/>
          <w:sz w:val="24"/>
          <w:szCs w:val="24"/>
          <w:highlight w:val="none"/>
          <w:lang w:val="en-US" w:bidi="ar-SA"/>
        </w:rPr>
        <w:t>投标将被否决。</w:t>
      </w:r>
    </w:p>
    <w:p w14:paraId="6B3B1E40">
      <w:pPr>
        <w:tabs>
          <w:tab w:val="left" w:pos="1409"/>
        </w:tabs>
        <w:autoSpaceDE/>
        <w:autoSpaceDN/>
        <w:spacing w:line="440" w:lineRule="exact"/>
        <w:ind w:left="440" w:leftChars="200" w:right="676" w:firstLine="238" w:firstLineChars="100"/>
        <w:jc w:val="both"/>
        <w:rPr>
          <w:rFonts w:hint="eastAsia" w:ascii="宋体" w:hAnsi="宋体" w:eastAsia="宋体" w:cs="宋体"/>
          <w:spacing w:val="-1"/>
          <w:kern w:val="2"/>
          <w:sz w:val="24"/>
          <w:szCs w:val="24"/>
          <w:highlight w:val="none"/>
          <w:lang w:val="en-US" w:bidi="ar-SA"/>
        </w:rPr>
      </w:pPr>
      <w:r>
        <w:rPr>
          <w:rFonts w:hint="eastAsia" w:ascii="宋体" w:hAnsi="宋体" w:eastAsia="宋体" w:cs="宋体"/>
          <w:spacing w:val="-1"/>
          <w:kern w:val="2"/>
          <w:sz w:val="24"/>
          <w:szCs w:val="24"/>
          <w:highlight w:val="none"/>
          <w:lang w:val="en-US" w:bidi="ar-SA"/>
        </w:rPr>
        <w:t>17.2工程中涉及的工程一切险和第三方责任险等保险由投标供应商中标后自行</w:t>
      </w:r>
    </w:p>
    <w:p w14:paraId="5E725E9D">
      <w:pPr>
        <w:tabs>
          <w:tab w:val="left" w:pos="1409"/>
        </w:tabs>
        <w:autoSpaceDE/>
        <w:autoSpaceDN/>
        <w:spacing w:line="440" w:lineRule="exact"/>
        <w:ind w:right="676"/>
        <w:jc w:val="both"/>
        <w:rPr>
          <w:rFonts w:hint="eastAsia" w:ascii="宋体" w:hAnsi="宋体" w:eastAsia="宋体" w:cs="宋体"/>
          <w:kern w:val="2"/>
          <w:sz w:val="24"/>
          <w:szCs w:val="24"/>
          <w:highlight w:val="none"/>
          <w:lang w:val="en-US" w:bidi="ar-SA"/>
        </w:rPr>
      </w:pPr>
      <w:r>
        <w:rPr>
          <w:rFonts w:hint="eastAsia" w:ascii="宋体" w:hAnsi="宋体" w:eastAsia="宋体" w:cs="宋体"/>
          <w:spacing w:val="-1"/>
          <w:kern w:val="2"/>
          <w:sz w:val="24"/>
          <w:szCs w:val="24"/>
          <w:highlight w:val="none"/>
          <w:lang w:val="en-US" w:bidi="ar-SA"/>
        </w:rPr>
        <w:t>投</w:t>
      </w:r>
      <w:r>
        <w:rPr>
          <w:rFonts w:hint="eastAsia" w:ascii="宋体" w:hAnsi="宋体" w:eastAsia="宋体" w:cs="宋体"/>
          <w:kern w:val="2"/>
          <w:sz w:val="24"/>
          <w:szCs w:val="24"/>
          <w:highlight w:val="none"/>
          <w:lang w:val="en-US" w:bidi="ar-SA"/>
        </w:rPr>
        <w:t>保，保险费包含在所报的单价或总额价中。</w:t>
      </w:r>
    </w:p>
    <w:p w14:paraId="73EC27DD">
      <w:pPr>
        <w:tabs>
          <w:tab w:val="left" w:pos="1409"/>
        </w:tabs>
        <w:autoSpaceDE/>
        <w:autoSpaceDN/>
        <w:spacing w:before="74" w:line="440" w:lineRule="exact"/>
        <w:ind w:left="660" w:leftChars="300" w:right="409"/>
        <w:jc w:val="both"/>
        <w:rPr>
          <w:rFonts w:hint="eastAsia" w:ascii="宋体" w:hAnsi="宋体" w:eastAsia="宋体" w:cs="宋体"/>
          <w:spacing w:val="-4"/>
          <w:kern w:val="2"/>
          <w:sz w:val="24"/>
          <w:szCs w:val="24"/>
          <w:highlight w:val="none"/>
          <w:lang w:val="en-US" w:bidi="ar-SA"/>
        </w:rPr>
      </w:pPr>
      <w:r>
        <w:rPr>
          <w:rFonts w:hint="eastAsia" w:ascii="宋体" w:hAnsi="宋体" w:eastAsia="宋体" w:cs="宋体"/>
          <w:kern w:val="2"/>
          <w:sz w:val="24"/>
          <w:szCs w:val="24"/>
          <w:highlight w:val="none"/>
          <w:lang w:val="en-US" w:bidi="ar-SA"/>
        </w:rPr>
        <w:t>17.3投标供应商应充分了解本项目的总体情况以及影响投标报价的其他要素。17.4投标供应商在磋商时间截止前修改投</w:t>
      </w:r>
      <w:r>
        <w:rPr>
          <w:rFonts w:hint="eastAsia" w:ascii="宋体" w:hAnsi="宋体" w:eastAsia="宋体" w:cs="宋体"/>
          <w:spacing w:val="-4"/>
          <w:kern w:val="2"/>
          <w:sz w:val="24"/>
          <w:szCs w:val="24"/>
          <w:highlight w:val="none"/>
          <w:lang w:val="en-US" w:bidi="ar-SA"/>
        </w:rPr>
        <w:t>标函中的投标总报价，应同时修改响应文</w:t>
      </w:r>
    </w:p>
    <w:p w14:paraId="4737C043">
      <w:pPr>
        <w:tabs>
          <w:tab w:val="left" w:pos="1409"/>
        </w:tabs>
        <w:autoSpaceDE/>
        <w:autoSpaceDN/>
        <w:spacing w:before="74" w:line="440" w:lineRule="exact"/>
        <w:ind w:right="409"/>
        <w:jc w:val="both"/>
        <w:rPr>
          <w:rFonts w:hint="eastAsia" w:ascii="宋体" w:hAnsi="宋体" w:eastAsia="宋体" w:cs="宋体"/>
          <w:kern w:val="2"/>
          <w:sz w:val="24"/>
          <w:szCs w:val="24"/>
          <w:highlight w:val="none"/>
          <w:lang w:val="en-US" w:bidi="ar-SA"/>
        </w:rPr>
      </w:pPr>
      <w:r>
        <w:rPr>
          <w:rFonts w:hint="eastAsia" w:ascii="宋体" w:hAnsi="宋体" w:eastAsia="宋体" w:cs="宋体"/>
          <w:spacing w:val="-4"/>
          <w:kern w:val="2"/>
          <w:sz w:val="24"/>
          <w:szCs w:val="24"/>
          <w:highlight w:val="none"/>
          <w:lang w:val="en-US" w:bidi="ar-SA"/>
        </w:rPr>
        <w:t>件</w:t>
      </w:r>
      <w:r>
        <w:rPr>
          <w:rFonts w:hint="eastAsia" w:ascii="宋体" w:hAnsi="宋体" w:eastAsia="宋体" w:cs="宋体"/>
          <w:kern w:val="2"/>
          <w:sz w:val="24"/>
          <w:szCs w:val="24"/>
          <w:highlight w:val="none"/>
          <w:lang w:val="en-US" w:bidi="ar-SA"/>
        </w:rPr>
        <w:t>“已标价工程量清单”</w:t>
      </w:r>
      <w:r>
        <w:rPr>
          <w:rFonts w:hint="eastAsia" w:ascii="宋体" w:hAnsi="宋体" w:eastAsia="宋体" w:cs="宋体"/>
          <w:spacing w:val="-7"/>
          <w:kern w:val="2"/>
          <w:sz w:val="24"/>
          <w:szCs w:val="24"/>
          <w:highlight w:val="none"/>
          <w:lang w:val="en-US" w:bidi="ar-SA"/>
        </w:rPr>
        <w:t>中的相应报价。</w:t>
      </w:r>
    </w:p>
    <w:p w14:paraId="083D8AE3">
      <w:pPr>
        <w:tabs>
          <w:tab w:val="left" w:pos="1409"/>
        </w:tabs>
        <w:autoSpaceDE/>
        <w:autoSpaceDN/>
        <w:spacing w:before="1" w:line="440" w:lineRule="exact"/>
        <w:ind w:left="440" w:leftChars="200" w:right="409" w:firstLine="240" w:firstLineChars="1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17.5投标供应商如果发现工程量清单中的数量与图纸中数量不一致时，应立即通</w:t>
      </w:r>
    </w:p>
    <w:p w14:paraId="6894B684">
      <w:pPr>
        <w:tabs>
          <w:tab w:val="left" w:pos="1409"/>
        </w:tabs>
        <w:autoSpaceDE/>
        <w:autoSpaceDN/>
        <w:spacing w:before="1" w:line="440" w:lineRule="exact"/>
        <w:ind w:right="409"/>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知</w:t>
      </w:r>
      <w:r>
        <w:rPr>
          <w:rFonts w:hint="eastAsia" w:ascii="宋体" w:hAnsi="宋体" w:eastAsia="宋体" w:cs="宋体"/>
          <w:spacing w:val="-10"/>
          <w:kern w:val="2"/>
          <w:sz w:val="24"/>
          <w:szCs w:val="24"/>
          <w:highlight w:val="none"/>
          <w:lang w:val="en-US" w:bidi="ar-SA"/>
        </w:rPr>
        <w:t>采购人核查，除非采购人以书面方式予以更正，否则，应以工程量清单中列出的数量</w:t>
      </w:r>
      <w:r>
        <w:rPr>
          <w:rFonts w:hint="eastAsia" w:ascii="宋体" w:hAnsi="宋体" w:eastAsia="宋体" w:cs="宋体"/>
          <w:kern w:val="2"/>
          <w:sz w:val="24"/>
          <w:szCs w:val="24"/>
          <w:highlight w:val="none"/>
          <w:lang w:val="en-US" w:bidi="ar-SA"/>
        </w:rPr>
        <w:t>为准。</w:t>
      </w:r>
    </w:p>
    <w:p w14:paraId="703D19FD">
      <w:pPr>
        <w:tabs>
          <w:tab w:val="left" w:pos="1409"/>
        </w:tabs>
        <w:autoSpaceDE/>
        <w:autoSpaceDN/>
        <w:spacing w:before="1" w:line="440" w:lineRule="exact"/>
        <w:ind w:right="376" w:firstLine="720" w:firstLineChars="3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17.6投标供应商应根据《公路水运工程安全生产监督管理办法》，在投标总价中计</w:t>
      </w:r>
      <w:r>
        <w:rPr>
          <w:rFonts w:hint="eastAsia" w:ascii="宋体" w:hAnsi="宋体" w:eastAsia="宋体" w:cs="宋体"/>
          <w:spacing w:val="-3"/>
          <w:kern w:val="2"/>
          <w:sz w:val="24"/>
          <w:szCs w:val="24"/>
          <w:highlight w:val="none"/>
          <w:lang w:val="en-US" w:bidi="ar-SA"/>
        </w:rPr>
        <w:t xml:space="preserve">入安全生产费用，安全生产费用应符合合同条款第 </w:t>
      </w:r>
      <w:r>
        <w:rPr>
          <w:rFonts w:hint="eastAsia" w:ascii="宋体" w:hAnsi="宋体" w:eastAsia="宋体" w:cs="宋体"/>
          <w:kern w:val="2"/>
          <w:sz w:val="24"/>
          <w:szCs w:val="24"/>
          <w:highlight w:val="none"/>
          <w:lang w:val="en-US" w:bidi="ar-SA"/>
        </w:rPr>
        <w:t>13.2(6)项的规定。工程量清单100</w:t>
      </w:r>
      <w:r>
        <w:rPr>
          <w:rFonts w:hint="eastAsia" w:ascii="宋体" w:hAnsi="宋体" w:eastAsia="宋体" w:cs="宋体"/>
          <w:spacing w:val="-1"/>
          <w:kern w:val="2"/>
          <w:sz w:val="24"/>
          <w:szCs w:val="24"/>
          <w:highlight w:val="none"/>
          <w:lang w:val="en-US" w:bidi="ar-SA"/>
        </w:rPr>
        <w:t>章内列有上述安全生产费的支付子目，由投标供应商按磋商文件的规定填写总额价。</w:t>
      </w:r>
    </w:p>
    <w:p w14:paraId="5F43CA25">
      <w:pPr>
        <w:tabs>
          <w:tab w:val="left" w:pos="1409"/>
        </w:tabs>
        <w:autoSpaceDE/>
        <w:autoSpaceDN/>
        <w:spacing w:line="440" w:lineRule="exact"/>
        <w:ind w:left="440" w:leftChars="200" w:firstLine="240" w:firstLineChars="1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17.7采购人不接受调价函。</w:t>
      </w:r>
    </w:p>
    <w:p w14:paraId="5F6F5C77">
      <w:pPr>
        <w:tabs>
          <w:tab w:val="left" w:pos="1409"/>
        </w:tabs>
        <w:autoSpaceDE/>
        <w:autoSpaceDN/>
        <w:spacing w:before="1" w:line="440" w:lineRule="exact"/>
        <w:ind w:right="376" w:firstLine="720" w:firstLineChars="3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17.8在合同实施期间，投标供应商填写的单价、合价和总额价不会由于物价波动进行价格调整，法律变化引起的价格调整除外。</w:t>
      </w:r>
    </w:p>
    <w:p w14:paraId="409C0CEE">
      <w:pPr>
        <w:tabs>
          <w:tab w:val="left" w:pos="1409"/>
        </w:tabs>
        <w:autoSpaceDE/>
        <w:autoSpaceDN/>
        <w:spacing w:line="440" w:lineRule="exact"/>
        <w:ind w:left="440" w:leftChars="200" w:right="436" w:firstLine="238" w:firstLineChars="100"/>
        <w:jc w:val="both"/>
        <w:rPr>
          <w:rFonts w:hint="eastAsia" w:ascii="宋体" w:hAnsi="宋体" w:eastAsia="宋体" w:cs="宋体"/>
          <w:b w:val="0"/>
          <w:color w:val="000000" w:themeColor="text1"/>
          <w:spacing w:val="-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spacing w:val="-1"/>
          <w:kern w:val="2"/>
          <w:sz w:val="24"/>
          <w:szCs w:val="24"/>
          <w:highlight w:val="none"/>
          <w:lang w:val="en-US" w:eastAsia="zh-CN" w:bidi="ar-SA"/>
          <w14:textFill>
            <w14:solidFill>
              <w14:schemeClr w14:val="tx1"/>
            </w14:solidFill>
          </w14:textFill>
        </w:rPr>
        <w:t>17.9</w:t>
      </w:r>
      <w:r>
        <w:rPr>
          <w:rFonts w:hint="eastAsia" w:ascii="宋体" w:hAnsi="宋体" w:eastAsia="宋体" w:cs="宋体"/>
          <w:b/>
          <w:sz w:val="24"/>
          <w:szCs w:val="24"/>
          <w:highlight w:val="none"/>
          <w:lang w:val="en-US" w:eastAsia="zh-CN" w:bidi="ar-SA"/>
        </w:rPr>
        <w:t>投标供应商的投标报价不得超过最高限价金额，最高限价在磋商须知前附表中载明。</w:t>
      </w:r>
    </w:p>
    <w:p w14:paraId="74FB53E1">
      <w:pPr>
        <w:pStyle w:val="7"/>
        <w:kinsoku w:val="0"/>
        <w:overflowPunct w:val="0"/>
        <w:spacing w:before="60" w:line="440" w:lineRule="exact"/>
        <w:ind w:left="111" w:right="199" w:firstLine="480"/>
        <w:jc w:val="both"/>
        <w:rPr>
          <w:rFonts w:hint="eastAsia" w:ascii="宋体" w:hAnsi="宋体" w:eastAsia="宋体" w:cs="宋体"/>
          <w:b w:val="0"/>
          <w:color w:val="000000" w:themeColor="text1"/>
          <w:spacing w:val="-1"/>
          <w:kern w:val="2"/>
          <w:sz w:val="24"/>
          <w:szCs w:val="24"/>
          <w:highlight w:val="none"/>
          <w:lang w:val="en-US" w:bidi="ar-SA"/>
          <w14:textFill>
            <w14:solidFill>
              <w14:schemeClr w14:val="tx1"/>
            </w14:solidFill>
          </w14:textFill>
        </w:rPr>
      </w:pPr>
      <w:r>
        <w:rPr>
          <w:rFonts w:hint="eastAsia" w:ascii="宋体" w:hAnsi="宋体" w:eastAsia="宋体" w:cs="宋体"/>
          <w:b w:val="0"/>
          <w:color w:val="000000" w:themeColor="text1"/>
          <w:spacing w:val="-1"/>
          <w:kern w:val="2"/>
          <w:sz w:val="24"/>
          <w:szCs w:val="24"/>
          <w:highlight w:val="none"/>
          <w:lang w:val="en-US" w:bidi="ar-SA"/>
          <w14:textFill>
            <w14:solidFill>
              <w14:schemeClr w14:val="tx1"/>
            </w14:solidFill>
          </w14:textFill>
        </w:rPr>
        <w:t>17.10 本项目投标报价为二轮报价，首次报价在响应文件中体现；最终报价由各磋商供应商在规定的时间内（发出最终报价指令后的</w:t>
      </w:r>
      <w:r>
        <w:rPr>
          <w:rFonts w:hint="eastAsia" w:cs="宋体"/>
          <w:b w:val="0"/>
          <w:color w:val="000000" w:themeColor="text1"/>
          <w:spacing w:val="-1"/>
          <w:kern w:val="2"/>
          <w:sz w:val="24"/>
          <w:szCs w:val="24"/>
          <w:highlight w:val="none"/>
          <w:lang w:val="en-US" w:eastAsia="zh-CN" w:bidi="ar-SA"/>
          <w14:textFill>
            <w14:solidFill>
              <w14:schemeClr w14:val="tx1"/>
            </w14:solidFill>
          </w14:textFill>
        </w:rPr>
        <w:t>30</w:t>
      </w:r>
      <w:r>
        <w:rPr>
          <w:rFonts w:hint="eastAsia" w:ascii="宋体" w:hAnsi="宋体" w:eastAsia="宋体" w:cs="宋体"/>
          <w:b w:val="0"/>
          <w:color w:val="000000" w:themeColor="text1"/>
          <w:spacing w:val="-1"/>
          <w:kern w:val="2"/>
          <w:sz w:val="24"/>
          <w:szCs w:val="24"/>
          <w:highlight w:val="none"/>
          <w:lang w:val="en-US" w:bidi="ar-SA"/>
          <w14:textFill>
            <w14:solidFill>
              <w14:schemeClr w14:val="tx1"/>
            </w14:solidFill>
          </w14:textFill>
        </w:rPr>
        <w:t>分钟内）在政采云平台在线完成；政采云平台在线报价操作失败的，供应商应及时联系采购代理机构（应在政采云平台最终轮报价倒计价结束前，联系电话</w:t>
      </w:r>
      <w:r>
        <w:rPr>
          <w:rFonts w:hint="eastAsia" w:cs="宋体"/>
          <w:b w:val="0"/>
          <w:color w:val="000000" w:themeColor="text1"/>
          <w:spacing w:val="-1"/>
          <w:kern w:val="2"/>
          <w:sz w:val="24"/>
          <w:szCs w:val="24"/>
          <w:highlight w:val="none"/>
          <w:lang w:val="en-US" w:eastAsia="zh-CN" w:bidi="ar-SA"/>
          <w14:textFill>
            <w14:solidFill>
              <w14:schemeClr w14:val="tx1"/>
            </w14:solidFill>
          </w14:textFill>
        </w:rPr>
        <w:t>18999110912</w:t>
      </w:r>
      <w:r>
        <w:rPr>
          <w:rFonts w:hint="eastAsia" w:ascii="宋体" w:hAnsi="宋体" w:eastAsia="宋体" w:cs="宋体"/>
          <w:b w:val="0"/>
          <w:color w:val="000000" w:themeColor="text1"/>
          <w:spacing w:val="-1"/>
          <w:kern w:val="2"/>
          <w:sz w:val="24"/>
          <w:szCs w:val="24"/>
          <w:highlight w:val="none"/>
          <w:lang w:val="en-US" w:bidi="ar-SA"/>
          <w14:textFill>
            <w14:solidFill>
              <w14:schemeClr w14:val="tx1"/>
            </w14:solidFill>
          </w14:textFill>
        </w:rPr>
        <w:t>）。因本项目采用竞争性磋商方式，成交价以最终报价为准。</w:t>
      </w:r>
    </w:p>
    <w:p w14:paraId="45C52AB5">
      <w:pPr>
        <w:kinsoku w:val="0"/>
        <w:overflowPunct w:val="0"/>
        <w:adjustRightInd w:val="0"/>
        <w:spacing w:before="57" w:line="440" w:lineRule="exact"/>
        <w:ind w:left="591"/>
        <w:outlineLvl w:val="4"/>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18、磋商货币</w:t>
      </w:r>
    </w:p>
    <w:p w14:paraId="682ABEB1">
      <w:pPr>
        <w:kinsoku w:val="0"/>
        <w:overflowPunct w:val="0"/>
        <w:adjustRightInd w:val="0"/>
        <w:spacing w:line="440" w:lineRule="exact"/>
        <w:ind w:left="591"/>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18.1本工程磋商报价采用的币种为</w:t>
      </w:r>
      <w:r>
        <w:rPr>
          <w:rFonts w:hint="eastAsia" w:ascii="宋体" w:hAnsi="宋体" w:eastAsia="宋体" w:cs="宋体"/>
          <w:sz w:val="24"/>
          <w:szCs w:val="24"/>
          <w:highlight w:val="none"/>
          <w:u w:val="single"/>
          <w:lang w:val="en-US" w:bidi="ar-SA"/>
        </w:rPr>
        <w:t>人民币</w:t>
      </w:r>
      <w:r>
        <w:rPr>
          <w:rFonts w:hint="eastAsia" w:ascii="宋体" w:hAnsi="宋体" w:eastAsia="宋体" w:cs="宋体"/>
          <w:sz w:val="24"/>
          <w:szCs w:val="24"/>
          <w:highlight w:val="none"/>
          <w:lang w:val="en-US" w:bidi="ar-SA"/>
        </w:rPr>
        <w:t>。</w:t>
      </w:r>
    </w:p>
    <w:p w14:paraId="760E25B3">
      <w:pPr>
        <w:kinsoku w:val="0"/>
        <w:overflowPunct w:val="0"/>
        <w:adjustRightInd w:val="0"/>
        <w:spacing w:line="440" w:lineRule="exact"/>
        <w:ind w:left="591"/>
        <w:outlineLvl w:val="4"/>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19、磋商有效期</w:t>
      </w:r>
    </w:p>
    <w:p w14:paraId="523911B7">
      <w:pPr>
        <w:kinsoku w:val="0"/>
        <w:overflowPunct w:val="0"/>
        <w:adjustRightInd w:val="0"/>
        <w:spacing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19.1磋商有效期见本须知前附表第19项所规定的期限，在此期限内，凡符合磋商文件要求的响应文件均保持有效。</w:t>
      </w:r>
    </w:p>
    <w:p w14:paraId="41168C5C">
      <w:pPr>
        <w:kinsoku w:val="0"/>
        <w:overflowPunct w:val="0"/>
        <w:adjustRightInd w:val="0"/>
        <w:spacing w:before="26" w:line="440" w:lineRule="exact"/>
        <w:ind w:left="111" w:right="15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19.2在特殊情况下</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采购人在原定磋商有效期内</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可以根据需要以书面形式向供应商提出延长磋商有效期的要求</w:t>
      </w:r>
      <w:r>
        <w:rPr>
          <w:rFonts w:hint="eastAsia" w:ascii="宋体" w:hAnsi="宋体" w:eastAsia="宋体" w:cs="宋体"/>
          <w:spacing w:val="-32"/>
          <w:sz w:val="24"/>
          <w:szCs w:val="24"/>
          <w:highlight w:val="none"/>
          <w:lang w:val="en-US" w:bidi="ar-SA"/>
        </w:rPr>
        <w:t>，</w:t>
      </w:r>
      <w:r>
        <w:rPr>
          <w:rFonts w:hint="eastAsia" w:ascii="宋体" w:hAnsi="宋体" w:eastAsia="宋体" w:cs="宋体"/>
          <w:sz w:val="24"/>
          <w:szCs w:val="24"/>
          <w:highlight w:val="none"/>
          <w:lang w:val="en-US" w:bidi="ar-SA"/>
        </w:rPr>
        <w:t>对此要求供应商须以书面形式予以答</w:t>
      </w:r>
      <w:r>
        <w:rPr>
          <w:rFonts w:hint="eastAsia" w:ascii="宋体" w:hAnsi="宋体" w:eastAsia="宋体" w:cs="宋体"/>
          <w:spacing w:val="2"/>
          <w:sz w:val="24"/>
          <w:szCs w:val="24"/>
          <w:highlight w:val="none"/>
          <w:lang w:val="en-US" w:bidi="ar-SA"/>
        </w:rPr>
        <w:t>复</w:t>
      </w:r>
      <w:r>
        <w:rPr>
          <w:rFonts w:hint="eastAsia" w:ascii="宋体" w:hAnsi="宋体" w:eastAsia="宋体" w:cs="宋体"/>
          <w:spacing w:val="-32"/>
          <w:sz w:val="24"/>
          <w:szCs w:val="24"/>
          <w:highlight w:val="none"/>
          <w:lang w:val="en-US" w:bidi="ar-SA"/>
        </w:rPr>
        <w:t>。</w:t>
      </w:r>
      <w:r>
        <w:rPr>
          <w:rFonts w:hint="eastAsia" w:ascii="宋体" w:hAnsi="宋体" w:eastAsia="宋体" w:cs="宋体"/>
          <w:sz w:val="24"/>
          <w:szCs w:val="24"/>
          <w:highlight w:val="none"/>
          <w:lang w:val="en-US" w:bidi="ar-SA"/>
        </w:rPr>
        <w:t>供应商可以拒绝采购人这种要求</w:t>
      </w:r>
      <w:r>
        <w:rPr>
          <w:rFonts w:hint="eastAsia" w:ascii="宋体" w:hAnsi="宋体" w:eastAsia="宋体" w:cs="宋体"/>
          <w:spacing w:val="-32"/>
          <w:sz w:val="24"/>
          <w:szCs w:val="24"/>
          <w:highlight w:val="none"/>
          <w:lang w:val="en-US" w:bidi="ar-SA"/>
        </w:rPr>
        <w:t>，</w:t>
      </w:r>
      <w:r>
        <w:rPr>
          <w:rFonts w:hint="eastAsia" w:ascii="宋体" w:hAnsi="宋体" w:eastAsia="宋体" w:cs="宋体"/>
          <w:sz w:val="24"/>
          <w:szCs w:val="24"/>
          <w:highlight w:val="none"/>
          <w:lang w:val="en-US" w:bidi="ar-SA"/>
        </w:rPr>
        <w:t>而不被没收保证</w:t>
      </w:r>
      <w:r>
        <w:rPr>
          <w:rFonts w:hint="eastAsia" w:ascii="宋体" w:hAnsi="宋体" w:eastAsia="宋体" w:cs="宋体"/>
          <w:spacing w:val="2"/>
          <w:sz w:val="24"/>
          <w:szCs w:val="24"/>
          <w:highlight w:val="none"/>
          <w:lang w:val="en-US" w:bidi="ar-SA"/>
        </w:rPr>
        <w:t>金</w:t>
      </w:r>
      <w:r>
        <w:rPr>
          <w:rFonts w:hint="eastAsia" w:ascii="宋体" w:hAnsi="宋体" w:eastAsia="宋体" w:cs="宋体"/>
          <w:spacing w:val="-32"/>
          <w:sz w:val="24"/>
          <w:szCs w:val="24"/>
          <w:highlight w:val="none"/>
          <w:lang w:val="en-US" w:bidi="ar-SA"/>
        </w:rPr>
        <w:t>。</w:t>
      </w:r>
      <w:r>
        <w:rPr>
          <w:rFonts w:hint="eastAsia" w:ascii="宋体" w:hAnsi="宋体" w:eastAsia="宋体" w:cs="宋体"/>
          <w:sz w:val="24"/>
          <w:szCs w:val="24"/>
          <w:highlight w:val="none"/>
          <w:lang w:val="en-US" w:bidi="ar-SA"/>
        </w:rPr>
        <w:t>同意延长磋商有效期的供应商既不能要求也不允许修改其响应文件</w:t>
      </w:r>
      <w:r>
        <w:rPr>
          <w:rFonts w:hint="eastAsia" w:ascii="宋体" w:hAnsi="宋体" w:eastAsia="宋体" w:cs="宋体"/>
          <w:spacing w:val="-32"/>
          <w:sz w:val="24"/>
          <w:szCs w:val="24"/>
          <w:highlight w:val="none"/>
          <w:lang w:val="en-US" w:bidi="ar-SA"/>
        </w:rPr>
        <w:t>，</w:t>
      </w:r>
      <w:r>
        <w:rPr>
          <w:rFonts w:hint="eastAsia" w:ascii="宋体" w:hAnsi="宋体" w:eastAsia="宋体" w:cs="宋体"/>
          <w:sz w:val="24"/>
          <w:szCs w:val="24"/>
          <w:highlight w:val="none"/>
          <w:lang w:val="en-US" w:bidi="ar-SA"/>
        </w:rPr>
        <w:t>但需要相应地延长磋商保证金的有效</w:t>
      </w:r>
      <w:r>
        <w:rPr>
          <w:rFonts w:hint="eastAsia" w:ascii="宋体" w:hAnsi="宋体" w:eastAsia="宋体" w:cs="宋体"/>
          <w:spacing w:val="2"/>
          <w:sz w:val="24"/>
          <w:szCs w:val="24"/>
          <w:highlight w:val="none"/>
          <w:lang w:val="en-US" w:bidi="ar-SA"/>
        </w:rPr>
        <w:t>期</w:t>
      </w:r>
      <w:r>
        <w:rPr>
          <w:rFonts w:hint="eastAsia" w:ascii="宋体" w:hAnsi="宋体" w:eastAsia="宋体" w:cs="宋体"/>
          <w:spacing w:val="-32"/>
          <w:sz w:val="24"/>
          <w:szCs w:val="24"/>
          <w:highlight w:val="none"/>
          <w:lang w:val="en-US" w:bidi="ar-SA"/>
        </w:rPr>
        <w:t>，</w:t>
      </w:r>
      <w:r>
        <w:rPr>
          <w:rFonts w:hint="eastAsia" w:ascii="宋体" w:hAnsi="宋体" w:eastAsia="宋体" w:cs="宋体"/>
          <w:sz w:val="24"/>
          <w:szCs w:val="24"/>
          <w:highlight w:val="none"/>
          <w:lang w:val="en-US" w:bidi="ar-SA"/>
        </w:rPr>
        <w:t>在延长的磋商有效期内本须知第20条关于磋商保证金的退还与没收的规定仍然适用。</w:t>
      </w:r>
    </w:p>
    <w:p w14:paraId="3CC3AEC4">
      <w:pPr>
        <w:kinsoku w:val="0"/>
        <w:overflowPunct w:val="0"/>
        <w:adjustRightInd w:val="0"/>
        <w:spacing w:before="57" w:line="440" w:lineRule="exact"/>
        <w:ind w:left="591"/>
        <w:outlineLvl w:val="4"/>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20、磋商保证金</w:t>
      </w:r>
    </w:p>
    <w:p w14:paraId="01AA9CBA">
      <w:pPr>
        <w:keepNext w:val="0"/>
        <w:keepLines w:val="0"/>
        <w:pageBreakBefore w:val="0"/>
        <w:widowControl w:val="0"/>
        <w:tabs>
          <w:tab w:val="left" w:pos="3963"/>
        </w:tabs>
        <w:kinsoku w:val="0"/>
        <w:wordWrap/>
        <w:overflowPunct w:val="0"/>
        <w:topLinePunct w:val="0"/>
        <w:autoSpaceDE w:val="0"/>
        <w:autoSpaceDN w:val="0"/>
        <w:bidi w:val="0"/>
        <w:adjustRightInd w:val="0"/>
        <w:snapToGrid/>
        <w:spacing w:line="360" w:lineRule="auto"/>
        <w:ind w:firstLine="729" w:firstLineChars="300"/>
        <w:textAlignment w:val="auto"/>
        <w:rPr>
          <w:rFonts w:hint="eastAsia" w:ascii="宋体" w:hAnsi="宋体" w:eastAsia="宋体" w:cs="宋体"/>
          <w:b/>
          <w:spacing w:val="1"/>
          <w:sz w:val="24"/>
          <w:szCs w:val="24"/>
          <w:highlight w:val="none"/>
          <w:lang w:val="en-US" w:bidi="ar-SA"/>
        </w:rPr>
      </w:pPr>
      <w:r>
        <w:rPr>
          <w:rFonts w:hint="eastAsia" w:ascii="宋体" w:hAnsi="宋体" w:eastAsia="宋体" w:cs="宋体"/>
          <w:b/>
          <w:spacing w:val="1"/>
          <w:sz w:val="24"/>
          <w:szCs w:val="24"/>
          <w:highlight w:val="none"/>
          <w:lang w:val="en-US" w:bidi="ar-SA"/>
        </w:rPr>
        <w:t>20.1供应商应同时提供前附表第20</w:t>
      </w:r>
      <w:r>
        <w:rPr>
          <w:rFonts w:hint="eastAsia" w:ascii="宋体" w:hAnsi="宋体" w:eastAsia="宋体" w:cs="宋体"/>
          <w:b/>
          <w:spacing w:val="2"/>
          <w:sz w:val="24"/>
          <w:szCs w:val="24"/>
          <w:highlight w:val="none"/>
          <w:lang w:val="en-US" w:bidi="ar-SA"/>
        </w:rPr>
        <w:t>项规</w:t>
      </w:r>
      <w:r>
        <w:rPr>
          <w:rFonts w:hint="eastAsia" w:ascii="宋体" w:hAnsi="宋体" w:eastAsia="宋体" w:cs="宋体"/>
          <w:b/>
          <w:sz w:val="24"/>
          <w:szCs w:val="24"/>
          <w:highlight w:val="none"/>
          <w:lang w:val="en-US" w:bidi="ar-SA"/>
        </w:rPr>
        <w:t>定</w:t>
      </w:r>
      <w:r>
        <w:rPr>
          <w:rFonts w:hint="eastAsia" w:ascii="宋体" w:hAnsi="宋体" w:eastAsia="宋体" w:cs="宋体"/>
          <w:b/>
          <w:spacing w:val="2"/>
          <w:sz w:val="24"/>
          <w:szCs w:val="24"/>
          <w:highlight w:val="none"/>
          <w:lang w:val="en-US" w:bidi="ar-SA"/>
        </w:rPr>
        <w:t>数额的磋商</w:t>
      </w:r>
      <w:r>
        <w:rPr>
          <w:rFonts w:hint="eastAsia" w:ascii="宋体" w:hAnsi="宋体" w:eastAsia="宋体" w:cs="宋体"/>
          <w:b/>
          <w:sz w:val="24"/>
          <w:szCs w:val="24"/>
          <w:highlight w:val="none"/>
          <w:lang w:val="en-US" w:bidi="ar-SA"/>
        </w:rPr>
        <w:t>保</w:t>
      </w:r>
      <w:r>
        <w:rPr>
          <w:rFonts w:hint="eastAsia" w:ascii="宋体" w:hAnsi="宋体" w:eastAsia="宋体" w:cs="宋体"/>
          <w:b/>
          <w:spacing w:val="2"/>
          <w:sz w:val="24"/>
          <w:szCs w:val="24"/>
          <w:highlight w:val="none"/>
          <w:lang w:val="en-US" w:bidi="ar-SA"/>
        </w:rPr>
        <w:t>证金</w:t>
      </w:r>
      <w:r>
        <w:rPr>
          <w:rFonts w:hint="eastAsia" w:ascii="宋体" w:hAnsi="宋体" w:eastAsia="宋体" w:cs="宋体"/>
          <w:b/>
          <w:spacing w:val="-33"/>
          <w:sz w:val="24"/>
          <w:szCs w:val="24"/>
          <w:highlight w:val="none"/>
          <w:lang w:val="en-US" w:bidi="ar-SA"/>
        </w:rPr>
        <w:t>，</w:t>
      </w:r>
      <w:r>
        <w:rPr>
          <w:rFonts w:hint="eastAsia" w:ascii="宋体" w:hAnsi="宋体" w:eastAsia="宋体" w:cs="宋体"/>
          <w:b/>
          <w:spacing w:val="1"/>
          <w:sz w:val="24"/>
          <w:szCs w:val="24"/>
          <w:highlight w:val="none"/>
          <w:lang w:val="en-US" w:bidi="ar-SA"/>
        </w:rPr>
        <w:t>并作为其响应文件的一部分。磋商保证金提交方式为从供应商基本账户以电汇、网银等非现金形式在提交首次响应文件截止时间前交纳。汇款需注明采购项目名称或编号。</w:t>
      </w:r>
    </w:p>
    <w:p w14:paraId="77CFB273">
      <w:pPr>
        <w:kinsoku w:val="0"/>
        <w:overflowPunct w:val="0"/>
        <w:adjustRightInd w:val="0"/>
        <w:spacing w:line="440" w:lineRule="exact"/>
        <w:ind w:left="111" w:firstLine="480"/>
        <w:rPr>
          <w:rFonts w:hint="eastAsia" w:ascii="宋体" w:hAnsi="宋体" w:eastAsia="宋体" w:cs="宋体"/>
          <w:bCs/>
          <w:color w:val="000000"/>
          <w:sz w:val="24"/>
          <w:highlight w:val="none"/>
          <w:lang w:val="en-US" w:bidi="ar-SA"/>
        </w:rPr>
      </w:pPr>
      <w:r>
        <w:rPr>
          <w:rFonts w:hint="eastAsia" w:ascii="宋体" w:hAnsi="宋体" w:eastAsia="宋体" w:cs="宋体"/>
          <w:bCs/>
          <w:color w:val="000000"/>
          <w:sz w:val="24"/>
          <w:szCs w:val="24"/>
          <w:highlight w:val="none"/>
          <w:lang w:val="en-US" w:bidi="ar-SA"/>
        </w:rPr>
        <w:t>磋商保证金以到账信息为准，供应商应充分考虑在途时间，投标供应商未按照磋商文件要求提交磋商保证金的，磋商无效。</w:t>
      </w:r>
      <w:r>
        <w:rPr>
          <w:rFonts w:hint="eastAsia" w:ascii="宋体" w:hAnsi="宋体" w:eastAsia="宋体" w:cs="宋体"/>
          <w:bCs/>
          <w:color w:val="000000"/>
          <w:sz w:val="24"/>
          <w:highlight w:val="none"/>
          <w:lang w:val="en-US" w:bidi="ar-SA"/>
        </w:rPr>
        <w:t>磋商保证金以到账信息为准，供应商应充分考虑在途时间，投标供应商未按照磋商文件要求提交磋商保证金的，磋商无效。</w:t>
      </w:r>
    </w:p>
    <w:p w14:paraId="33848FB1">
      <w:pPr>
        <w:kinsoku w:val="0"/>
        <w:overflowPunct w:val="0"/>
        <w:adjustRightInd w:val="0"/>
        <w:spacing w:line="440" w:lineRule="exact"/>
        <w:ind w:left="111"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 xml:space="preserve">20.2 </w:t>
      </w:r>
      <w:r>
        <w:rPr>
          <w:rFonts w:hint="eastAsia" w:ascii="宋体" w:hAnsi="宋体" w:eastAsia="宋体" w:cs="宋体"/>
          <w:spacing w:val="1"/>
          <w:sz w:val="24"/>
          <w:szCs w:val="24"/>
          <w:highlight w:val="none"/>
          <w:lang w:val="en-US" w:bidi="ar-SA"/>
        </w:rPr>
        <w:t>对于未能按要求提交磋商保证金的报价，采购人将视为不响应磋商文件而</w:t>
      </w:r>
      <w:r>
        <w:rPr>
          <w:rFonts w:hint="eastAsia" w:ascii="宋体" w:hAnsi="宋体" w:eastAsia="宋体" w:cs="宋体"/>
          <w:sz w:val="24"/>
          <w:szCs w:val="24"/>
          <w:highlight w:val="none"/>
          <w:lang w:val="en-US" w:bidi="ar-SA"/>
        </w:rPr>
        <w:t>予以拒绝。</w:t>
      </w:r>
    </w:p>
    <w:p w14:paraId="7EBF20FB">
      <w:pPr>
        <w:kinsoku w:val="0"/>
        <w:overflowPunct w:val="0"/>
        <w:adjustRightInd w:val="0"/>
        <w:spacing w:before="56" w:line="440" w:lineRule="exact"/>
        <w:ind w:left="111"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 xml:space="preserve">20.3 </w:t>
      </w:r>
      <w:r>
        <w:rPr>
          <w:rFonts w:hint="eastAsia" w:ascii="宋体" w:hAnsi="宋体" w:eastAsia="宋体" w:cs="宋体"/>
          <w:spacing w:val="1"/>
          <w:sz w:val="24"/>
          <w:szCs w:val="24"/>
          <w:highlight w:val="none"/>
          <w:lang w:val="en-US" w:bidi="ar-SA"/>
        </w:rPr>
        <w:t>未中标的供应商的磋商保证金将在成交通知书发出之日起</w:t>
      </w:r>
      <w:r>
        <w:rPr>
          <w:rFonts w:hint="eastAsia" w:ascii="宋体" w:hAnsi="宋体" w:eastAsia="宋体" w:cs="宋体"/>
          <w:sz w:val="24"/>
          <w:szCs w:val="24"/>
          <w:highlight w:val="none"/>
          <w:lang w:val="en-US" w:bidi="ar-SA"/>
        </w:rPr>
        <w:t>5</w:t>
      </w:r>
      <w:r>
        <w:rPr>
          <w:rFonts w:hint="eastAsia" w:ascii="宋体" w:hAnsi="宋体" w:eastAsia="宋体" w:cs="宋体"/>
          <w:spacing w:val="1"/>
          <w:sz w:val="24"/>
          <w:szCs w:val="24"/>
          <w:highlight w:val="none"/>
          <w:lang w:val="en-US" w:bidi="ar-SA"/>
        </w:rPr>
        <w:t>个工作日内退</w:t>
      </w:r>
      <w:r>
        <w:rPr>
          <w:rFonts w:hint="eastAsia" w:ascii="宋体" w:hAnsi="宋体" w:eastAsia="宋体" w:cs="宋体"/>
          <w:sz w:val="24"/>
          <w:szCs w:val="24"/>
          <w:highlight w:val="none"/>
          <w:lang w:val="en-US" w:bidi="ar-SA"/>
        </w:rPr>
        <w:t>还（无息）。</w:t>
      </w:r>
    </w:p>
    <w:p w14:paraId="792DECE8">
      <w:pPr>
        <w:kinsoku w:val="0"/>
        <w:overflowPunct w:val="0"/>
        <w:adjustRightInd w:val="0"/>
        <w:spacing w:before="60" w:line="440" w:lineRule="exact"/>
        <w:ind w:left="111"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20.4 中标人的磋商保证金</w:t>
      </w:r>
      <w:r>
        <w:rPr>
          <w:rFonts w:hint="eastAsia" w:ascii="宋体" w:hAnsi="宋体" w:eastAsia="宋体" w:cs="宋体"/>
          <w:spacing w:val="-120"/>
          <w:sz w:val="24"/>
          <w:szCs w:val="24"/>
          <w:highlight w:val="none"/>
          <w:lang w:val="en-US" w:bidi="ar-SA"/>
        </w:rPr>
        <w:t>，</w:t>
      </w:r>
      <w:r>
        <w:rPr>
          <w:rFonts w:hint="eastAsia" w:ascii="宋体" w:hAnsi="宋体" w:eastAsia="宋体" w:cs="宋体"/>
          <w:sz w:val="24"/>
          <w:szCs w:val="24"/>
          <w:highlight w:val="none"/>
          <w:lang w:bidi="ar-SA"/>
        </w:rPr>
        <w:t>在采购合同签定后5个工作日内退还，但因供应商自身原因导致无法及时退还的除外。</w:t>
      </w:r>
    </w:p>
    <w:p w14:paraId="072AB2E6">
      <w:pPr>
        <w:kinsoku w:val="0"/>
        <w:overflowPunct w:val="0"/>
        <w:adjustRightInd w:val="0"/>
        <w:spacing w:before="57" w:line="440" w:lineRule="exact"/>
        <w:ind w:left="591"/>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20.5如供应商有下列情况，将被没收磋商保证金：</w:t>
      </w:r>
    </w:p>
    <w:p w14:paraId="2B4DEE81">
      <w:pPr>
        <w:kinsoku w:val="0"/>
        <w:overflowPunct w:val="0"/>
        <w:adjustRightInd w:val="0"/>
        <w:spacing w:line="440" w:lineRule="exact"/>
        <w:ind w:left="591"/>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20.5.1供应商在磋商有效期内撤销或修改其响应文件；</w:t>
      </w:r>
    </w:p>
    <w:p w14:paraId="270B0574">
      <w:pPr>
        <w:kinsoku w:val="0"/>
        <w:overflowPunct w:val="0"/>
        <w:adjustRightInd w:val="0"/>
        <w:spacing w:line="440" w:lineRule="exact"/>
        <w:ind w:left="591"/>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20.5.2中标人未能在规定期限内签署合同协议；</w:t>
      </w:r>
    </w:p>
    <w:p w14:paraId="503226E9">
      <w:pPr>
        <w:kinsoku w:val="0"/>
        <w:overflowPunct w:val="0"/>
        <w:adjustRightInd w:val="0"/>
        <w:spacing w:line="420" w:lineRule="exact"/>
        <w:ind w:left="591"/>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20.5.3法律法规规定的其他情形。</w:t>
      </w:r>
    </w:p>
    <w:p w14:paraId="108A0A6C">
      <w:pPr>
        <w:kinsoku w:val="0"/>
        <w:overflowPunct w:val="0"/>
        <w:adjustRightInd w:val="0"/>
        <w:spacing w:before="26" w:line="420" w:lineRule="exact"/>
        <w:ind w:left="590"/>
        <w:rPr>
          <w:rFonts w:hint="eastAsia" w:ascii="宋体" w:hAnsi="宋体" w:eastAsia="宋体" w:cs="宋体"/>
          <w:sz w:val="24"/>
          <w:szCs w:val="24"/>
          <w:highlight w:val="none"/>
          <w:lang w:val="en-US" w:bidi="ar-SA"/>
        </w:rPr>
      </w:pPr>
      <w:r>
        <w:rPr>
          <w:rFonts w:hint="eastAsia" w:ascii="宋体" w:hAnsi="宋体" w:eastAsia="宋体" w:cs="宋体"/>
          <w:b/>
          <w:sz w:val="24"/>
          <w:szCs w:val="24"/>
          <w:highlight w:val="none"/>
          <w:lang w:val="en-US" w:bidi="ar-SA"/>
        </w:rPr>
        <w:t>21、供应商的替代方案：</w:t>
      </w:r>
      <w:r>
        <w:rPr>
          <w:rFonts w:hint="eastAsia" w:ascii="宋体" w:hAnsi="宋体" w:eastAsia="宋体" w:cs="宋体"/>
          <w:sz w:val="24"/>
          <w:szCs w:val="24"/>
          <w:highlight w:val="none"/>
          <w:lang w:val="en-US" w:bidi="ar-SA"/>
        </w:rPr>
        <w:t>无。</w:t>
      </w:r>
    </w:p>
    <w:p w14:paraId="027C31E5">
      <w:pPr>
        <w:kinsoku w:val="0"/>
        <w:overflowPunct w:val="0"/>
        <w:adjustRightInd w:val="0"/>
        <w:spacing w:before="57" w:line="420" w:lineRule="exact"/>
        <w:ind w:left="591"/>
        <w:outlineLvl w:val="4"/>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22、响应文件的份数和签署</w:t>
      </w:r>
    </w:p>
    <w:p w14:paraId="4695976D">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22.1  响应文件应按本采购文件第七章有关要求编制，上传的电子磋商响应文件的签署可采用CA锁电子签章进行，如办理了法人电子锁，法人签字也可以进行电子签章。</w:t>
      </w:r>
    </w:p>
    <w:p w14:paraId="097351AE">
      <w:pPr>
        <w:adjustRightInd w:val="0"/>
        <w:spacing w:line="440" w:lineRule="exact"/>
        <w:ind w:firstLine="42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22.2 纸质版响应文件均须在封面上清楚标明“正本”或“副本”字样。“正本”和“副本”之间如有差异，以正本为准。纸质版响应文件正本中，文字材料需打印或用不褪色墨水书写。纸质版响应文件的正本须经法人代表或授权委托人签署和加盖磋商供应商公章，副本可以是正本的复印件。纸质版响应文件如有错误必须修改时，修改处须由法人代表或其授权委托人签字或加盖公章。</w:t>
      </w:r>
    </w:p>
    <w:p w14:paraId="17DD2C17">
      <w:pPr>
        <w:kinsoku w:val="0"/>
        <w:overflowPunct w:val="0"/>
        <w:adjustRightInd w:val="0"/>
        <w:spacing w:before="57" w:line="420" w:lineRule="exact"/>
        <w:ind w:right="110"/>
        <w:outlineLvl w:val="9"/>
        <w:rPr>
          <w:rFonts w:hint="eastAsia" w:ascii="宋体" w:hAnsi="宋体" w:eastAsia="宋体" w:cs="宋体"/>
          <w:b/>
          <w:sz w:val="24"/>
          <w:szCs w:val="24"/>
          <w:highlight w:val="none"/>
          <w:lang w:val="en-US" w:bidi="ar-SA"/>
        </w:rPr>
      </w:pPr>
    </w:p>
    <w:p w14:paraId="719D911E">
      <w:pPr>
        <w:numPr>
          <w:ilvl w:val="0"/>
          <w:numId w:val="6"/>
        </w:numPr>
        <w:kinsoku w:val="0"/>
        <w:overflowPunct w:val="0"/>
        <w:adjustRightInd w:val="0"/>
        <w:spacing w:before="57" w:line="440" w:lineRule="exact"/>
        <w:ind w:left="591" w:right="110"/>
        <w:jc w:val="center"/>
        <w:outlineLvl w:val="4"/>
        <w:rPr>
          <w:rFonts w:hint="eastAsia" w:ascii="宋体" w:hAnsi="宋体" w:eastAsia="宋体" w:cs="宋体"/>
          <w:b/>
          <w:spacing w:val="26"/>
          <w:w w:val="99"/>
          <w:sz w:val="24"/>
          <w:szCs w:val="24"/>
          <w:highlight w:val="none"/>
          <w:lang w:val="en-US" w:bidi="ar-SA"/>
        </w:rPr>
      </w:pPr>
      <w:r>
        <w:rPr>
          <w:rFonts w:hint="eastAsia" w:ascii="宋体" w:hAnsi="宋体" w:eastAsia="宋体" w:cs="宋体"/>
          <w:b/>
          <w:sz w:val="24"/>
          <w:szCs w:val="24"/>
          <w:highlight w:val="none"/>
          <w:lang w:val="en-US" w:bidi="ar-SA"/>
        </w:rPr>
        <w:t>响应文件的提交</w:t>
      </w:r>
    </w:p>
    <w:p w14:paraId="6303C54E">
      <w:pPr>
        <w:adjustRightInd w:val="0"/>
        <w:spacing w:line="440" w:lineRule="exact"/>
        <w:ind w:firstLine="482" w:firstLineChars="200"/>
        <w:rPr>
          <w:rFonts w:hint="eastAsia" w:ascii="宋体" w:hAnsi="宋体" w:eastAsia="宋体" w:cs="宋体"/>
          <w:b/>
          <w:color w:val="000000"/>
          <w:sz w:val="24"/>
          <w:szCs w:val="24"/>
          <w:highlight w:val="none"/>
          <w:lang w:val="en-US" w:bidi="ar-SA"/>
        </w:rPr>
      </w:pPr>
      <w:r>
        <w:rPr>
          <w:rFonts w:hint="eastAsia" w:ascii="宋体" w:hAnsi="宋体" w:eastAsia="宋体" w:cs="宋体"/>
          <w:b/>
          <w:color w:val="000000"/>
          <w:sz w:val="24"/>
          <w:szCs w:val="24"/>
          <w:highlight w:val="none"/>
          <w:lang w:val="en-US" w:bidi="ar-SA"/>
        </w:rPr>
        <w:t>23、响应文件的密封与标志</w:t>
      </w:r>
    </w:p>
    <w:p w14:paraId="7F887009">
      <w:pPr>
        <w:adjustRightInd w:val="0"/>
        <w:spacing w:line="440" w:lineRule="exact"/>
        <w:ind w:firstLine="480" w:firstLineChars="200"/>
        <w:rPr>
          <w:rFonts w:hint="eastAsia" w:ascii="宋体" w:hAnsi="宋体" w:eastAsia="宋体" w:cs="宋体"/>
          <w:color w:val="000000"/>
          <w:sz w:val="24"/>
          <w:szCs w:val="24"/>
          <w:highlight w:val="none"/>
          <w:lang w:val="en-US" w:bidi="ar-SA"/>
        </w:rPr>
      </w:pPr>
      <w:r>
        <w:rPr>
          <w:rFonts w:hint="eastAsia" w:ascii="宋体" w:hAnsi="宋体" w:eastAsia="宋体" w:cs="宋体"/>
          <w:color w:val="000000"/>
          <w:sz w:val="24"/>
          <w:szCs w:val="24"/>
          <w:highlight w:val="none"/>
          <w:lang w:val="en-US" w:bidi="ar-SA"/>
        </w:rPr>
        <w:t>23.1 电子投标响应文件按照本项目磋商文件和政采云平台的要求编制、加密传输。</w:t>
      </w:r>
    </w:p>
    <w:p w14:paraId="7ABA2AC9">
      <w:pPr>
        <w:adjustRightInd w:val="0"/>
        <w:spacing w:line="440" w:lineRule="exact"/>
        <w:ind w:firstLine="480" w:firstLineChars="200"/>
        <w:rPr>
          <w:rFonts w:hint="eastAsia" w:ascii="宋体" w:hAnsi="宋体" w:eastAsia="宋体" w:cs="宋体"/>
          <w:color w:val="000000"/>
          <w:sz w:val="24"/>
          <w:szCs w:val="24"/>
          <w:highlight w:val="none"/>
          <w:lang w:val="en-US" w:bidi="ar-SA"/>
        </w:rPr>
      </w:pPr>
      <w:r>
        <w:rPr>
          <w:rFonts w:hint="eastAsia" w:ascii="宋体" w:hAnsi="宋体" w:eastAsia="宋体" w:cs="宋体"/>
          <w:color w:val="000000"/>
          <w:sz w:val="24"/>
          <w:szCs w:val="24"/>
          <w:highlight w:val="none"/>
          <w:lang w:val="en-US" w:bidi="ar-SA"/>
        </w:rPr>
        <w:t>23.2 纸质版响应文件密封不做要求，文件封面须标记清楚：采购编号及项目名称、供应商的名称、地址、联系人、电话和传真等内容。</w:t>
      </w:r>
    </w:p>
    <w:p w14:paraId="745A679E">
      <w:pPr>
        <w:adjustRightInd w:val="0"/>
        <w:spacing w:line="440" w:lineRule="exact"/>
        <w:ind w:firstLine="442" w:firstLineChars="200"/>
        <w:rPr>
          <w:rFonts w:hint="eastAsia" w:ascii="宋体" w:hAnsi="宋体" w:eastAsia="宋体" w:cs="宋体"/>
          <w:b/>
          <w:color w:val="000000"/>
          <w:sz w:val="24"/>
          <w:szCs w:val="24"/>
          <w:highlight w:val="none"/>
          <w:lang w:val="en-US" w:bidi="ar-SA"/>
        </w:rPr>
      </w:pPr>
      <w:r>
        <w:rPr>
          <w:rFonts w:hint="eastAsia" w:ascii="宋体" w:hAnsi="宋体" w:eastAsia="宋体" w:cs="宋体"/>
          <w:b/>
          <w:color w:val="000000"/>
          <w:highlight w:val="none"/>
          <w:lang w:val="ru-RU" w:bidi="ar-SA"/>
        </w:rPr>
        <w:t>24、</w:t>
      </w:r>
      <w:r>
        <w:rPr>
          <w:rFonts w:hint="eastAsia" w:ascii="宋体" w:hAnsi="宋体" w:eastAsia="宋体" w:cs="宋体"/>
          <w:b/>
          <w:color w:val="000000"/>
          <w:sz w:val="24"/>
          <w:szCs w:val="24"/>
          <w:highlight w:val="none"/>
          <w:lang w:val="en-US" w:bidi="ar-SA"/>
        </w:rPr>
        <w:t>提交响应文件截止时间</w:t>
      </w:r>
    </w:p>
    <w:p w14:paraId="695B525D">
      <w:pPr>
        <w:kinsoku w:val="0"/>
        <w:overflowPunct w:val="0"/>
        <w:adjustRightInd w:val="0"/>
        <w:spacing w:before="57" w:line="440" w:lineRule="exact"/>
        <w:ind w:left="111" w:right="232" w:firstLine="480"/>
        <w:jc w:val="both"/>
        <w:rPr>
          <w:rFonts w:hint="eastAsia" w:ascii="宋体" w:hAnsi="宋体" w:eastAsia="宋体" w:cs="宋体"/>
          <w:color w:val="000000"/>
          <w:sz w:val="24"/>
          <w:szCs w:val="21"/>
          <w:highlight w:val="none"/>
          <w:lang w:val="en-US" w:bidi="ar-SA"/>
        </w:rPr>
      </w:pPr>
      <w:r>
        <w:rPr>
          <w:rFonts w:hint="eastAsia" w:ascii="宋体" w:hAnsi="宋体" w:eastAsia="宋体" w:cs="宋体"/>
          <w:color w:val="000000"/>
          <w:sz w:val="24"/>
          <w:szCs w:val="24"/>
          <w:highlight w:val="none"/>
          <w:lang w:val="en-US" w:bidi="ar-SA"/>
        </w:rPr>
        <w:t>24.1供应商应在采购文件第一章“竞争性磋商须知前附表”规定的提交响应文件截止时间前，</w:t>
      </w:r>
      <w:r>
        <w:rPr>
          <w:rFonts w:hint="eastAsia" w:ascii="宋体" w:hAnsi="宋体" w:eastAsia="宋体" w:cs="宋体"/>
          <w:color w:val="000000"/>
          <w:sz w:val="24"/>
          <w:szCs w:val="21"/>
          <w:highlight w:val="none"/>
          <w:lang w:val="en-US" w:bidi="ar-SA"/>
        </w:rPr>
        <w:t>通过“政采云”平台（https://www.zcygov.cn）上传加密的电子响应文件。</w:t>
      </w:r>
    </w:p>
    <w:p w14:paraId="33617DB7">
      <w:pPr>
        <w:kinsoku w:val="0"/>
        <w:overflowPunct w:val="0"/>
        <w:adjustRightInd w:val="0"/>
        <w:spacing w:before="57" w:line="440" w:lineRule="exact"/>
        <w:ind w:left="111" w:right="232" w:firstLine="480"/>
        <w:jc w:val="both"/>
        <w:rPr>
          <w:rFonts w:hint="eastAsia" w:ascii="宋体" w:hAnsi="宋体" w:eastAsia="宋体" w:cs="宋体"/>
          <w:color w:val="000000"/>
          <w:sz w:val="24"/>
          <w:szCs w:val="24"/>
          <w:highlight w:val="none"/>
          <w:lang w:val="en-US" w:bidi="ar-SA"/>
        </w:rPr>
      </w:pPr>
      <w:r>
        <w:rPr>
          <w:rFonts w:hint="eastAsia" w:ascii="宋体" w:hAnsi="宋体" w:eastAsia="宋体" w:cs="宋体"/>
          <w:color w:val="000000"/>
          <w:sz w:val="24"/>
          <w:szCs w:val="24"/>
          <w:highlight w:val="none"/>
          <w:lang w:val="en-US" w:bidi="ar-SA"/>
        </w:rPr>
        <w:t>24.2 采购人可按本须知第 13 条规定以修改补充通知的方式，酌情延长提交响应文件的截止时间。在此情况下，供应商的所有权利和义务以及供应商受制约的截止时间，均以延长后新的磋商截止时间为准。</w:t>
      </w:r>
    </w:p>
    <w:p w14:paraId="29308217">
      <w:pPr>
        <w:kinsoku w:val="0"/>
        <w:overflowPunct w:val="0"/>
        <w:adjustRightInd w:val="0"/>
        <w:spacing w:before="60" w:line="440" w:lineRule="exact"/>
        <w:ind w:left="591"/>
        <w:outlineLvl w:val="4"/>
        <w:rPr>
          <w:rFonts w:hint="eastAsia" w:ascii="宋体" w:hAnsi="宋体" w:eastAsia="宋体" w:cs="宋体"/>
          <w:b/>
          <w:color w:val="000000"/>
          <w:sz w:val="24"/>
          <w:szCs w:val="24"/>
          <w:highlight w:val="none"/>
          <w:lang w:val="en-US" w:bidi="ar-SA"/>
        </w:rPr>
      </w:pPr>
      <w:r>
        <w:rPr>
          <w:rFonts w:hint="eastAsia" w:ascii="宋体" w:hAnsi="宋体" w:eastAsia="宋体" w:cs="宋体"/>
          <w:b/>
          <w:color w:val="000000"/>
          <w:sz w:val="24"/>
          <w:szCs w:val="24"/>
          <w:highlight w:val="none"/>
          <w:lang w:val="en-US" w:bidi="ar-SA"/>
        </w:rPr>
        <w:t>26、迟交的响应文件</w:t>
      </w:r>
    </w:p>
    <w:p w14:paraId="1B726671">
      <w:pPr>
        <w:kinsoku w:val="0"/>
        <w:overflowPunct w:val="0"/>
        <w:adjustRightInd w:val="0"/>
        <w:spacing w:before="57" w:line="440" w:lineRule="exact"/>
        <w:ind w:left="111" w:right="232" w:firstLine="480"/>
        <w:jc w:val="both"/>
        <w:rPr>
          <w:rFonts w:hint="eastAsia" w:ascii="宋体" w:hAnsi="宋体" w:eastAsia="宋体" w:cs="宋体"/>
          <w:color w:val="000000"/>
          <w:sz w:val="24"/>
          <w:szCs w:val="24"/>
          <w:highlight w:val="none"/>
          <w:lang w:val="en-US" w:bidi="ar-SA"/>
        </w:rPr>
      </w:pPr>
      <w:r>
        <w:rPr>
          <w:rFonts w:hint="eastAsia" w:ascii="宋体" w:hAnsi="宋体" w:eastAsia="宋体" w:cs="宋体"/>
          <w:color w:val="000000"/>
          <w:sz w:val="24"/>
          <w:szCs w:val="24"/>
          <w:highlight w:val="none"/>
          <w:lang w:val="en-US" w:bidi="ar-SA"/>
        </w:rPr>
        <w:t>26.1 在提交首次响应文件截止时间后递交的响应文件，采购人将拒绝接受。</w:t>
      </w:r>
      <w:bookmarkStart w:id="74" w:name="_Toc301187687"/>
    </w:p>
    <w:p w14:paraId="300CF0DE">
      <w:pPr>
        <w:kinsoku w:val="0"/>
        <w:overflowPunct w:val="0"/>
        <w:adjustRightInd w:val="0"/>
        <w:spacing w:before="57" w:line="440" w:lineRule="exact"/>
        <w:ind w:left="111" w:right="232" w:firstLine="480"/>
        <w:jc w:val="both"/>
        <w:rPr>
          <w:rFonts w:hint="eastAsia" w:ascii="宋体" w:hAnsi="宋体" w:eastAsia="宋体" w:cs="宋体"/>
          <w:b/>
          <w:bCs/>
          <w:color w:val="000000"/>
          <w:sz w:val="24"/>
          <w:szCs w:val="24"/>
          <w:highlight w:val="none"/>
          <w:lang w:val="en-US" w:bidi="ar-SA"/>
        </w:rPr>
      </w:pPr>
      <w:r>
        <w:rPr>
          <w:rFonts w:hint="eastAsia" w:ascii="宋体" w:hAnsi="宋体" w:eastAsia="宋体" w:cs="宋体"/>
          <w:b/>
          <w:bCs/>
          <w:color w:val="000000"/>
          <w:sz w:val="24"/>
          <w:szCs w:val="24"/>
          <w:highlight w:val="none"/>
          <w:lang w:val="en-US" w:bidi="ar-SA"/>
        </w:rPr>
        <w:t>26.2 不予接收的磋商响应文件情形：</w:t>
      </w:r>
    </w:p>
    <w:p w14:paraId="18B89C1C">
      <w:pPr>
        <w:kinsoku w:val="0"/>
        <w:overflowPunct w:val="0"/>
        <w:adjustRightInd w:val="0"/>
        <w:spacing w:before="57" w:line="440" w:lineRule="exact"/>
        <w:ind w:left="111" w:right="232" w:firstLine="480"/>
        <w:jc w:val="both"/>
        <w:rPr>
          <w:rFonts w:hint="eastAsia" w:ascii="宋体" w:hAnsi="宋体" w:eastAsia="宋体" w:cs="宋体"/>
          <w:b/>
          <w:bCs/>
          <w:color w:val="000000"/>
          <w:sz w:val="24"/>
          <w:szCs w:val="24"/>
          <w:highlight w:val="none"/>
          <w:lang w:val="en-US" w:bidi="ar-SA"/>
        </w:rPr>
      </w:pPr>
      <w:r>
        <w:rPr>
          <w:rFonts w:hint="eastAsia" w:ascii="宋体" w:hAnsi="宋体" w:eastAsia="宋体" w:cs="宋体"/>
          <w:b/>
          <w:bCs/>
          <w:color w:val="000000"/>
          <w:sz w:val="24"/>
          <w:szCs w:val="24"/>
          <w:highlight w:val="none"/>
          <w:lang w:val="en-US" w:bidi="ar-SA"/>
        </w:rPr>
        <w:fldChar w:fldCharType="begin"/>
      </w:r>
      <w:r>
        <w:rPr>
          <w:rFonts w:hint="eastAsia" w:ascii="宋体" w:hAnsi="宋体" w:eastAsia="宋体" w:cs="宋体"/>
          <w:b/>
          <w:bCs/>
          <w:color w:val="000000"/>
          <w:sz w:val="24"/>
          <w:szCs w:val="24"/>
          <w:highlight w:val="none"/>
          <w:lang w:val="en-US" w:bidi="ar-SA"/>
        </w:rPr>
        <w:instrText xml:space="preserve"> = 1 \* GB2 </w:instrText>
      </w:r>
      <w:r>
        <w:rPr>
          <w:rFonts w:hint="eastAsia" w:ascii="宋体" w:hAnsi="宋体" w:eastAsia="宋体" w:cs="宋体"/>
          <w:b/>
          <w:bCs/>
          <w:color w:val="000000"/>
          <w:sz w:val="24"/>
          <w:szCs w:val="24"/>
          <w:highlight w:val="none"/>
          <w:lang w:val="en-US" w:bidi="ar-SA"/>
        </w:rPr>
        <w:fldChar w:fldCharType="separate"/>
      </w:r>
      <w:r>
        <w:rPr>
          <w:rFonts w:hint="eastAsia" w:ascii="宋体" w:hAnsi="宋体" w:eastAsia="宋体" w:cs="宋体"/>
          <w:b/>
          <w:bCs/>
          <w:color w:val="000000"/>
          <w:sz w:val="24"/>
          <w:szCs w:val="24"/>
          <w:highlight w:val="none"/>
          <w:lang w:val="en-US" w:bidi="ar-SA"/>
        </w:rPr>
        <w:t>⑴</w:t>
      </w:r>
      <w:r>
        <w:rPr>
          <w:rFonts w:hint="eastAsia" w:ascii="宋体" w:hAnsi="宋体" w:eastAsia="宋体" w:cs="宋体"/>
          <w:b/>
          <w:bCs/>
          <w:color w:val="000000"/>
          <w:sz w:val="24"/>
          <w:szCs w:val="24"/>
          <w:highlight w:val="none"/>
          <w:lang w:val="en-US" w:bidi="ar-SA"/>
        </w:rPr>
        <w:fldChar w:fldCharType="end"/>
      </w:r>
      <w:bookmarkEnd w:id="74"/>
      <w:r>
        <w:rPr>
          <w:rFonts w:hint="eastAsia" w:ascii="宋体" w:hAnsi="宋体" w:eastAsia="宋体" w:cs="宋体"/>
          <w:b/>
          <w:bCs/>
          <w:color w:val="000000"/>
          <w:sz w:val="24"/>
          <w:szCs w:val="24"/>
          <w:highlight w:val="none"/>
          <w:lang w:val="en-US" w:bidi="ar-SA"/>
        </w:rPr>
        <w:t>投标截止时间前未完成传输的电子磋商响应文件；</w:t>
      </w:r>
    </w:p>
    <w:p w14:paraId="6E6AFB12">
      <w:pPr>
        <w:kinsoku w:val="0"/>
        <w:overflowPunct w:val="0"/>
        <w:adjustRightInd w:val="0"/>
        <w:spacing w:before="57" w:line="440" w:lineRule="exact"/>
        <w:ind w:left="111" w:right="232" w:firstLine="480"/>
        <w:jc w:val="both"/>
        <w:rPr>
          <w:rFonts w:hint="eastAsia" w:ascii="宋体" w:hAnsi="宋体" w:eastAsia="宋体" w:cs="宋体"/>
          <w:b/>
          <w:bCs/>
          <w:color w:val="000000"/>
          <w:sz w:val="24"/>
          <w:szCs w:val="24"/>
          <w:highlight w:val="none"/>
          <w:lang w:val="en-US" w:bidi="ar-SA"/>
        </w:rPr>
      </w:pPr>
      <w:r>
        <w:rPr>
          <w:rFonts w:hint="eastAsia" w:ascii="宋体" w:hAnsi="宋体" w:eastAsia="宋体" w:cs="宋体"/>
          <w:b/>
          <w:bCs/>
          <w:color w:val="000000"/>
          <w:sz w:val="24"/>
          <w:szCs w:val="24"/>
          <w:highlight w:val="none"/>
          <w:lang w:val="en-US" w:bidi="ar-SA"/>
        </w:rPr>
        <w:fldChar w:fldCharType="begin"/>
      </w:r>
      <w:r>
        <w:rPr>
          <w:rFonts w:hint="eastAsia" w:ascii="宋体" w:hAnsi="宋体" w:eastAsia="宋体" w:cs="宋体"/>
          <w:b/>
          <w:bCs/>
          <w:color w:val="000000"/>
          <w:sz w:val="24"/>
          <w:szCs w:val="24"/>
          <w:highlight w:val="none"/>
          <w:lang w:val="en-US" w:bidi="ar-SA"/>
        </w:rPr>
        <w:instrText xml:space="preserve"> = 2 \* GB2 </w:instrText>
      </w:r>
      <w:r>
        <w:rPr>
          <w:rFonts w:hint="eastAsia" w:ascii="宋体" w:hAnsi="宋体" w:eastAsia="宋体" w:cs="宋体"/>
          <w:b/>
          <w:bCs/>
          <w:color w:val="000000"/>
          <w:sz w:val="24"/>
          <w:szCs w:val="24"/>
          <w:highlight w:val="none"/>
          <w:lang w:val="en-US" w:bidi="ar-SA"/>
        </w:rPr>
        <w:fldChar w:fldCharType="separate"/>
      </w:r>
      <w:r>
        <w:rPr>
          <w:rFonts w:hint="eastAsia" w:ascii="宋体" w:hAnsi="宋体" w:eastAsia="宋体" w:cs="宋体"/>
          <w:b/>
          <w:bCs/>
          <w:color w:val="000000"/>
          <w:sz w:val="24"/>
          <w:szCs w:val="24"/>
          <w:highlight w:val="none"/>
          <w:lang w:val="en-US" w:bidi="ar-SA"/>
        </w:rPr>
        <w:t>⑵</w:t>
      </w:r>
      <w:r>
        <w:rPr>
          <w:rFonts w:hint="eastAsia" w:ascii="宋体" w:hAnsi="宋体" w:eastAsia="宋体" w:cs="宋体"/>
          <w:b/>
          <w:bCs/>
          <w:color w:val="000000"/>
          <w:sz w:val="24"/>
          <w:szCs w:val="24"/>
          <w:highlight w:val="none"/>
          <w:lang w:val="en-US" w:bidi="ar-SA"/>
        </w:rPr>
        <w:fldChar w:fldCharType="end"/>
      </w:r>
      <w:r>
        <w:rPr>
          <w:rFonts w:hint="eastAsia" w:ascii="宋体" w:hAnsi="宋体" w:eastAsia="宋体" w:cs="宋体"/>
          <w:b/>
          <w:bCs/>
          <w:color w:val="000000"/>
          <w:sz w:val="24"/>
          <w:szCs w:val="24"/>
          <w:highlight w:val="none"/>
          <w:lang w:val="en-US" w:bidi="ar-SA"/>
        </w:rPr>
        <w:t>未生成加密的电子磋商响应文件；</w:t>
      </w:r>
    </w:p>
    <w:p w14:paraId="6E0BBF92">
      <w:pPr>
        <w:kinsoku w:val="0"/>
        <w:overflowPunct w:val="0"/>
        <w:adjustRightInd w:val="0"/>
        <w:spacing w:before="57" w:line="440" w:lineRule="exact"/>
        <w:ind w:left="111" w:right="232" w:firstLine="480"/>
        <w:jc w:val="both"/>
        <w:rPr>
          <w:rFonts w:hint="eastAsia" w:ascii="宋体" w:hAnsi="宋体" w:eastAsia="宋体" w:cs="宋体"/>
          <w:b/>
          <w:bCs/>
          <w:color w:val="000000"/>
          <w:sz w:val="24"/>
          <w:szCs w:val="24"/>
          <w:highlight w:val="none"/>
          <w:lang w:val="en-US" w:bidi="ar-SA"/>
        </w:rPr>
      </w:pPr>
      <w:r>
        <w:rPr>
          <w:rFonts w:hint="eastAsia" w:ascii="宋体" w:hAnsi="宋体" w:eastAsia="宋体" w:cs="宋体"/>
          <w:b/>
          <w:bCs/>
          <w:color w:val="000000"/>
          <w:sz w:val="24"/>
          <w:szCs w:val="24"/>
          <w:highlight w:val="none"/>
          <w:lang w:val="en-US" w:bidi="ar-SA"/>
        </w:rPr>
        <w:t>⑶在规定时间内未解密的电子磋商响应文件，或者解密不成功又未提供备份磋商响应文件的。</w:t>
      </w:r>
    </w:p>
    <w:p w14:paraId="643D0769">
      <w:pPr>
        <w:kinsoku w:val="0"/>
        <w:overflowPunct w:val="0"/>
        <w:adjustRightInd w:val="0"/>
        <w:spacing w:before="60" w:line="440" w:lineRule="exact"/>
        <w:ind w:left="591"/>
        <w:outlineLvl w:val="4"/>
        <w:rPr>
          <w:rFonts w:hint="eastAsia" w:ascii="宋体" w:hAnsi="宋体" w:eastAsia="宋体" w:cs="宋体"/>
          <w:b/>
          <w:color w:val="000000"/>
          <w:sz w:val="24"/>
          <w:szCs w:val="24"/>
          <w:highlight w:val="none"/>
          <w:lang w:val="en-US" w:bidi="ar-SA"/>
        </w:rPr>
      </w:pPr>
      <w:r>
        <w:rPr>
          <w:rFonts w:hint="eastAsia" w:ascii="宋体" w:hAnsi="宋体" w:eastAsia="宋体" w:cs="宋体"/>
          <w:b/>
          <w:color w:val="000000"/>
          <w:sz w:val="24"/>
          <w:szCs w:val="24"/>
          <w:highlight w:val="none"/>
          <w:lang w:val="en-US" w:bidi="ar-SA"/>
        </w:rPr>
        <w:t>27、响应文件的补充、修改和撤回</w:t>
      </w:r>
    </w:p>
    <w:p w14:paraId="6829E12D">
      <w:pPr>
        <w:kinsoku w:val="0"/>
        <w:overflowPunct w:val="0"/>
        <w:adjustRightInd w:val="0"/>
        <w:spacing w:line="440" w:lineRule="exact"/>
        <w:ind w:left="111" w:right="232" w:firstLine="480"/>
        <w:jc w:val="both"/>
        <w:rPr>
          <w:rFonts w:hint="eastAsia" w:ascii="宋体" w:hAnsi="宋体" w:eastAsia="宋体" w:cs="宋体"/>
          <w:color w:val="000000"/>
          <w:sz w:val="24"/>
          <w:szCs w:val="24"/>
          <w:highlight w:val="none"/>
          <w:lang w:val="en-US" w:bidi="ar-SA"/>
        </w:rPr>
      </w:pPr>
      <w:r>
        <w:rPr>
          <w:rFonts w:hint="eastAsia" w:ascii="宋体" w:hAnsi="宋体" w:eastAsia="宋体" w:cs="宋体"/>
          <w:color w:val="000000"/>
          <w:sz w:val="24"/>
          <w:szCs w:val="24"/>
          <w:highlight w:val="none"/>
          <w:lang w:val="en-US" w:bidi="ar-SA"/>
        </w:rPr>
        <w:t>27.1 在投标截止时间前，磋商供应商可对已提交的电子磋商响应文件进行补充、修改或撤回。补充、修改电子磋商响应文件的，应当先行撤回原文件，补充、修改后重新生成加密的电子磋商响应文件并重新传输递交；</w:t>
      </w:r>
    </w:p>
    <w:p w14:paraId="7E014F11">
      <w:pPr>
        <w:kinsoku w:val="0"/>
        <w:overflowPunct w:val="0"/>
        <w:adjustRightInd w:val="0"/>
        <w:spacing w:line="440" w:lineRule="exact"/>
        <w:ind w:left="111" w:right="232" w:firstLine="480"/>
        <w:jc w:val="both"/>
        <w:rPr>
          <w:rFonts w:hint="eastAsia" w:ascii="宋体" w:hAnsi="宋体" w:eastAsia="宋体" w:cs="宋体"/>
          <w:color w:val="000000"/>
          <w:sz w:val="24"/>
          <w:szCs w:val="24"/>
          <w:highlight w:val="none"/>
          <w:lang w:val="en-US" w:bidi="ar-SA"/>
        </w:rPr>
      </w:pPr>
      <w:r>
        <w:rPr>
          <w:rFonts w:hint="eastAsia" w:ascii="宋体" w:hAnsi="宋体" w:eastAsia="宋体" w:cs="宋体"/>
          <w:color w:val="000000"/>
          <w:sz w:val="24"/>
          <w:szCs w:val="24"/>
          <w:highlight w:val="none"/>
          <w:lang w:val="en-US" w:bidi="ar-SA"/>
        </w:rPr>
        <w:t>27.2 补充、修改后重新提交的电子磋商响应文件应按磋商文件的规定编制、导入、加密和提交；</w:t>
      </w:r>
    </w:p>
    <w:p w14:paraId="4843A16F">
      <w:pPr>
        <w:kinsoku w:val="0"/>
        <w:overflowPunct w:val="0"/>
        <w:adjustRightInd w:val="0"/>
        <w:spacing w:line="440" w:lineRule="exact"/>
        <w:ind w:left="111" w:right="232" w:firstLine="480"/>
        <w:jc w:val="both"/>
        <w:rPr>
          <w:rFonts w:hint="eastAsia" w:ascii="宋体" w:hAnsi="宋体" w:eastAsia="宋体" w:cs="宋体"/>
          <w:color w:val="000000"/>
          <w:sz w:val="20"/>
          <w:szCs w:val="24"/>
          <w:highlight w:val="none"/>
          <w:lang w:val="en-US" w:bidi="ar-SA"/>
        </w:rPr>
      </w:pPr>
      <w:r>
        <w:rPr>
          <w:rFonts w:hint="eastAsia" w:ascii="宋体" w:hAnsi="宋体" w:eastAsia="宋体" w:cs="宋体"/>
          <w:color w:val="000000"/>
          <w:sz w:val="24"/>
          <w:szCs w:val="24"/>
          <w:highlight w:val="none"/>
          <w:lang w:val="en-US" w:bidi="ar-SA"/>
        </w:rPr>
        <w:t>27.3 在投标截止时间后，磋商供应商不得修改、撤回已提交的电子磋商响应文件。</w:t>
      </w:r>
    </w:p>
    <w:p w14:paraId="036839C4">
      <w:pPr>
        <w:kinsoku w:val="0"/>
        <w:overflowPunct w:val="0"/>
        <w:adjustRightInd w:val="0"/>
        <w:ind w:left="458" w:right="577"/>
        <w:jc w:val="center"/>
        <w:rPr>
          <w:rFonts w:hint="eastAsia" w:ascii="宋体" w:hAnsi="宋体" w:eastAsia="宋体" w:cs="宋体"/>
          <w:b/>
          <w:color w:val="000000"/>
          <w:sz w:val="24"/>
          <w:szCs w:val="24"/>
          <w:highlight w:val="none"/>
          <w:lang w:val="en-US" w:bidi="ar-SA"/>
        </w:rPr>
      </w:pPr>
    </w:p>
    <w:p w14:paraId="5042FC57">
      <w:pPr>
        <w:kinsoku w:val="0"/>
        <w:overflowPunct w:val="0"/>
        <w:adjustRightInd w:val="0"/>
        <w:ind w:left="458" w:right="577"/>
        <w:jc w:val="center"/>
        <w:rPr>
          <w:rFonts w:hint="eastAsia" w:ascii="宋体" w:hAnsi="宋体" w:eastAsia="宋体" w:cs="宋体"/>
          <w:b/>
          <w:color w:val="000000"/>
          <w:sz w:val="18"/>
          <w:szCs w:val="24"/>
          <w:highlight w:val="none"/>
          <w:lang w:val="en-US" w:bidi="ar-SA"/>
        </w:rPr>
      </w:pPr>
      <w:r>
        <w:rPr>
          <w:rFonts w:hint="eastAsia" w:ascii="宋体" w:hAnsi="宋体" w:eastAsia="宋体" w:cs="宋体"/>
          <w:b/>
          <w:color w:val="000000"/>
          <w:sz w:val="24"/>
          <w:szCs w:val="24"/>
          <w:highlight w:val="none"/>
          <w:lang w:val="en-US" w:bidi="ar-SA"/>
        </w:rPr>
        <w:t>（五）磋商</w:t>
      </w:r>
    </w:p>
    <w:p w14:paraId="5FEBDE78">
      <w:pPr>
        <w:kinsoku w:val="0"/>
        <w:overflowPunct w:val="0"/>
        <w:adjustRightInd w:val="0"/>
        <w:spacing w:line="440" w:lineRule="exact"/>
        <w:ind w:firstLine="482" w:firstLineChars="200"/>
        <w:rPr>
          <w:rFonts w:hint="eastAsia" w:ascii="宋体" w:hAnsi="宋体" w:eastAsia="宋体" w:cs="宋体"/>
          <w:sz w:val="24"/>
          <w:szCs w:val="24"/>
          <w:highlight w:val="none"/>
          <w:lang w:val="en-US" w:bidi="ar-SA"/>
        </w:rPr>
      </w:pPr>
      <w:r>
        <w:rPr>
          <w:rFonts w:hint="eastAsia" w:ascii="宋体" w:hAnsi="宋体" w:eastAsia="宋体" w:cs="宋体"/>
          <w:b/>
          <w:sz w:val="24"/>
          <w:szCs w:val="24"/>
          <w:highlight w:val="none"/>
          <w:lang w:val="en-US" w:bidi="ar-SA"/>
        </w:rPr>
        <w:t>28、磋商</w:t>
      </w:r>
    </w:p>
    <w:p w14:paraId="653D50A8">
      <w:pPr>
        <w:adjustRightInd w:val="0"/>
        <w:spacing w:line="440" w:lineRule="exact"/>
        <w:ind w:firstLine="480" w:firstLineChars="200"/>
        <w:rPr>
          <w:rFonts w:hint="eastAsia" w:ascii="宋体" w:hAnsi="宋体" w:eastAsia="宋体" w:cs="宋体"/>
          <w:sz w:val="24"/>
          <w:szCs w:val="24"/>
          <w:highlight w:val="none"/>
          <w:lang w:val="en-US" w:bidi="ar-SA"/>
        </w:rPr>
      </w:pPr>
      <w:bookmarkStart w:id="75" w:name="_Toc520356165"/>
      <w:r>
        <w:rPr>
          <w:rFonts w:hint="eastAsia" w:ascii="宋体" w:hAnsi="宋体" w:eastAsia="宋体" w:cs="宋体"/>
          <w:sz w:val="24"/>
          <w:szCs w:val="24"/>
          <w:highlight w:val="none"/>
          <w:lang w:val="en-US" w:bidi="ar-SA"/>
        </w:rPr>
        <w:t>28.1 开标</w:t>
      </w:r>
    </w:p>
    <w:p w14:paraId="6983E1AB">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28.1.1 本项目采用全流程不见面电子开评标，采购人和采购代理机构将按规定的磋商时间和地点组织开评标，监督部门将视情况派代表到现场进行监督。投标供应商不足3家的，不得开标。</w:t>
      </w:r>
    </w:p>
    <w:p w14:paraId="282F045A">
      <w:pPr>
        <w:adjustRightInd w:val="0"/>
        <w:snapToGri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28.1.2 供应商无需到开标现场参加开标会议。供应商在开标前自备可联网电脑及CA锁，电脑须提前配置好浏览器（建议使用360浏览器或谷歌浏览器），以便开标时解锁，提前登录政采云平台做好准备，并保证设备正常，在线准时参加开标活动并进行文件解密、磋商谈判、答疑澄清。</w:t>
      </w:r>
    </w:p>
    <w:p w14:paraId="5633449F">
      <w:pPr>
        <w:adjustRightInd w:val="0"/>
        <w:snapToGri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28.1.3 开标时，采购代理机构主持介绍项目基本情况并宣布有关纪律和磋商程序，并检查所有电子响应文件的加密上传情况，在确认无误后，供应商使用CA锁各自登录政采云平台，用“项目采购-开标评标”功能对电子磋商响应文件进行在线解密。在线解密电子磋商响应文件时间为发出解密指令后30分钟内。若供应商在规定时间内未按时解密的，或解密失败又未提供备份响应文件的视为响应文件撤回。</w:t>
      </w:r>
    </w:p>
    <w:p w14:paraId="27EE40E1">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28.1.4 为了体现供应商的合法权益，和确保评标工作的公平、公正，投标供应商如果认为参加评标的磋商小组成员及其他与会人员与其他投标供应商有利害关系的，有权在开标现场向采购人申请其回避。如现场不提请采购人申请其回避的，则视同无利害关系。</w:t>
      </w:r>
    </w:p>
    <w:p w14:paraId="595F4E8A">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28.2 投标供应商资格资质审查</w:t>
      </w:r>
    </w:p>
    <w:p w14:paraId="3B1295A1">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28.2.1 投标供应商必须提交能够证明其具有履行本招标项目合同能力的资质证明文件，作为响应文件的一部分。</w:t>
      </w:r>
    </w:p>
    <w:p w14:paraId="6DAFB3BC">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28.2.2 采购人代表及采购代理机构依据法律法规和磋商文件中规定的内容，对投标供应商的资格进行审查。未通过资格审查的投标供应商不进入磋商；进入磋商的投标供应商不足3家的，不得磋商。资格审查如下：</w:t>
      </w:r>
    </w:p>
    <w:p w14:paraId="3EE543E2">
      <w:pPr>
        <w:adjustRightInd w:val="0"/>
        <w:spacing w:line="440" w:lineRule="exact"/>
        <w:ind w:firstLine="723" w:firstLineChars="300"/>
        <w:rPr>
          <w:rFonts w:hint="eastAsia" w:ascii="宋体" w:hAnsi="宋体" w:eastAsia="宋体" w:cs="宋体"/>
          <w:b/>
          <w:color w:val="000000" w:themeColor="text1"/>
          <w:sz w:val="24"/>
          <w:szCs w:val="24"/>
          <w:highlight w:val="none"/>
          <w:lang w:val="en-US" w:bidi="ar-SA"/>
          <w14:textFill>
            <w14:solidFill>
              <w14:schemeClr w14:val="tx1"/>
            </w14:solidFill>
          </w14:textFill>
        </w:rPr>
      </w:pPr>
      <w:r>
        <w:rPr>
          <w:rFonts w:hint="eastAsia" w:ascii="宋体" w:hAnsi="宋体" w:eastAsia="宋体" w:cs="宋体"/>
          <w:b/>
          <w:color w:val="000000" w:themeColor="text1"/>
          <w:sz w:val="24"/>
          <w:szCs w:val="24"/>
          <w:highlight w:val="none"/>
          <w:lang w:val="en-US" w:bidi="ar-SA"/>
          <w14:textFill>
            <w14:solidFill>
              <w14:schemeClr w14:val="tx1"/>
            </w14:solidFill>
          </w14:textFill>
        </w:rPr>
        <w:t>a、合格有效的法人或非法人组织营业执照；</w:t>
      </w:r>
    </w:p>
    <w:p w14:paraId="0121E8B4">
      <w:pPr>
        <w:adjustRightInd w:val="0"/>
        <w:spacing w:line="400" w:lineRule="exact"/>
        <w:ind w:firstLine="723" w:firstLineChars="300"/>
        <w:rPr>
          <w:rFonts w:hint="eastAsia" w:ascii="宋体" w:hAnsi="宋体" w:eastAsia="宋体" w:cs="宋体"/>
          <w:b/>
          <w:color w:val="000000" w:themeColor="text1"/>
          <w:sz w:val="24"/>
          <w:szCs w:val="24"/>
          <w:highlight w:val="none"/>
          <w:lang w:val="en-US" w:bidi="ar-SA"/>
          <w14:textFill>
            <w14:solidFill>
              <w14:schemeClr w14:val="tx1"/>
            </w14:solidFill>
          </w14:textFill>
        </w:rPr>
      </w:pPr>
      <w:r>
        <w:rPr>
          <w:rFonts w:hint="eastAsia" w:ascii="宋体" w:hAnsi="宋体" w:eastAsia="宋体" w:cs="宋体"/>
          <w:b/>
          <w:color w:val="000000" w:themeColor="text1"/>
          <w:sz w:val="24"/>
          <w:szCs w:val="24"/>
          <w:highlight w:val="none"/>
          <w:lang w:val="en-US" w:bidi="ar-SA"/>
          <w14:textFill>
            <w14:solidFill>
              <w14:schemeClr w14:val="tx1"/>
            </w14:solidFill>
          </w14:textFill>
        </w:rPr>
        <w:t>b、法定代表人资格证明或法定代表人授权委托书及身份证；</w:t>
      </w:r>
    </w:p>
    <w:p w14:paraId="09EDC19F">
      <w:pPr>
        <w:adjustRightInd w:val="0"/>
        <w:spacing w:line="400" w:lineRule="exact"/>
        <w:ind w:firstLine="723" w:firstLineChars="300"/>
        <w:rPr>
          <w:rFonts w:hint="eastAsia" w:ascii="宋体" w:hAnsi="宋体" w:eastAsia="宋体" w:cs="宋体"/>
          <w:b/>
          <w:color w:val="000000" w:themeColor="text1"/>
          <w:sz w:val="24"/>
          <w:szCs w:val="24"/>
          <w:highlight w:val="none"/>
          <w:lang w:val="en-US" w:bidi="ar-SA"/>
          <w14:textFill>
            <w14:solidFill>
              <w14:schemeClr w14:val="tx1"/>
            </w14:solidFill>
          </w14:textFill>
        </w:rPr>
      </w:pPr>
      <w:r>
        <w:rPr>
          <w:rFonts w:hint="eastAsia" w:ascii="宋体" w:hAnsi="宋体" w:eastAsia="宋体" w:cs="宋体"/>
          <w:b/>
          <w:color w:val="000000" w:themeColor="text1"/>
          <w:sz w:val="24"/>
          <w:szCs w:val="24"/>
          <w:highlight w:val="none"/>
          <w:lang w:val="en-US" w:bidi="ar-SA"/>
          <w14:textFill>
            <w14:solidFill>
              <w14:schemeClr w14:val="tx1"/>
            </w14:solidFill>
          </w14:textFill>
        </w:rPr>
        <w:t>c、</w:t>
      </w:r>
      <w:r>
        <w:rPr>
          <w:rFonts w:hint="eastAsia" w:cs="宋体"/>
          <w:b/>
          <w:color w:val="000000" w:themeColor="text1"/>
          <w:sz w:val="24"/>
          <w:szCs w:val="24"/>
          <w:highlight w:val="none"/>
          <w:lang w:val="en-US" w:eastAsia="zh-CN" w:bidi="ar-SA"/>
          <w14:textFill>
            <w14:solidFill>
              <w14:schemeClr w14:val="tx1"/>
            </w14:solidFill>
          </w14:textFill>
        </w:rPr>
        <w:t>近六个月内任意一个月完税证明及近六个月内任意一个月本单位社保缴纳证明</w:t>
      </w:r>
      <w:r>
        <w:rPr>
          <w:rFonts w:hint="eastAsia" w:ascii="宋体" w:hAnsi="宋体" w:eastAsia="宋体" w:cs="宋体"/>
          <w:b/>
          <w:color w:val="000000" w:themeColor="text1"/>
          <w:sz w:val="24"/>
          <w:szCs w:val="24"/>
          <w:highlight w:val="none"/>
          <w:lang w:val="en-US" w:bidi="ar-SA"/>
          <w14:textFill>
            <w14:solidFill>
              <w14:schemeClr w14:val="tx1"/>
            </w14:solidFill>
          </w14:textFill>
        </w:rPr>
        <w:t>（及授权委托人个人明细）、</w:t>
      </w:r>
      <w:r>
        <w:rPr>
          <w:rFonts w:hint="eastAsia" w:cs="宋体"/>
          <w:b/>
          <w:color w:val="000000" w:themeColor="text1"/>
          <w:sz w:val="24"/>
          <w:szCs w:val="24"/>
          <w:highlight w:val="none"/>
          <w:lang w:val="en-US" w:eastAsia="zh-CN" w:bidi="ar-SA"/>
          <w14:textFill>
            <w14:solidFill>
              <w14:schemeClr w14:val="tx1"/>
            </w14:solidFill>
          </w14:textFill>
        </w:rPr>
        <w:t>近一年（指2024年度或2025年年度）财务审计报告</w:t>
      </w:r>
      <w:r>
        <w:rPr>
          <w:rFonts w:hint="eastAsia" w:ascii="宋体" w:hAnsi="宋体" w:eastAsia="宋体" w:cs="宋体"/>
          <w:b/>
          <w:color w:val="000000" w:themeColor="text1"/>
          <w:sz w:val="24"/>
          <w:szCs w:val="24"/>
          <w:highlight w:val="none"/>
          <w:lang w:val="en-US" w:bidi="ar-SA"/>
          <w14:textFill>
            <w14:solidFill>
              <w14:schemeClr w14:val="tx1"/>
            </w14:solidFill>
          </w14:textFill>
        </w:rPr>
        <w:t>（成立不满一年的提供开标前一个月内有效银行资信证明）；；</w:t>
      </w:r>
    </w:p>
    <w:p w14:paraId="5E151BD8">
      <w:pPr>
        <w:adjustRightInd w:val="0"/>
        <w:spacing w:line="440" w:lineRule="exact"/>
        <w:ind w:firstLine="723" w:firstLineChars="300"/>
        <w:rPr>
          <w:rFonts w:hint="eastAsia" w:ascii="宋体" w:hAnsi="宋体" w:eastAsia="宋体" w:cs="宋体"/>
          <w:highlight w:val="none"/>
          <w:lang w:val="en-US"/>
        </w:rPr>
      </w:pPr>
      <w:r>
        <w:rPr>
          <w:rFonts w:hint="eastAsia" w:ascii="宋体" w:hAnsi="宋体" w:eastAsia="宋体" w:cs="宋体"/>
          <w:b/>
          <w:color w:val="000000" w:themeColor="text1"/>
          <w:sz w:val="24"/>
          <w:szCs w:val="24"/>
          <w:highlight w:val="none"/>
          <w:lang w:val="en-US" w:bidi="ar-SA"/>
          <w14:textFill>
            <w14:solidFill>
              <w14:schemeClr w14:val="tx1"/>
            </w14:solidFill>
          </w14:textFill>
        </w:rPr>
        <w:t>d、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拒绝其参加本次政府采购活动；</w:t>
      </w:r>
    </w:p>
    <w:p w14:paraId="367AB471">
      <w:pPr>
        <w:adjustRightInd w:val="0"/>
        <w:spacing w:line="440" w:lineRule="exact"/>
        <w:ind w:firstLine="723" w:firstLineChars="300"/>
        <w:rPr>
          <w:rFonts w:hint="eastAsia" w:ascii="宋体" w:hAnsi="宋体" w:eastAsia="宋体" w:cs="宋体"/>
          <w:b/>
          <w:color w:val="000000" w:themeColor="text1"/>
          <w:sz w:val="24"/>
          <w:szCs w:val="24"/>
          <w:highlight w:val="none"/>
          <w:lang w:val="en-US" w:bidi="ar-SA"/>
          <w14:textFill>
            <w14:solidFill>
              <w14:schemeClr w14:val="tx1"/>
            </w14:solidFill>
          </w14:textFill>
        </w:rPr>
      </w:pPr>
      <w:r>
        <w:rPr>
          <w:rFonts w:hint="eastAsia" w:ascii="宋体" w:hAnsi="宋体" w:eastAsia="宋体" w:cs="宋体"/>
          <w:b/>
          <w:color w:val="000000" w:themeColor="text1"/>
          <w:sz w:val="24"/>
          <w:szCs w:val="24"/>
          <w:highlight w:val="none"/>
          <w:lang w:val="en-US" w:bidi="ar-SA"/>
          <w14:textFill>
            <w14:solidFill>
              <w14:schemeClr w14:val="tx1"/>
            </w14:solidFill>
          </w14:textFill>
        </w:rPr>
        <w:t>e、供应商及其法人参加本次采购活动前三年内，在经营活动中没有重大违法记录的声明及</w:t>
      </w:r>
      <w:r>
        <w:rPr>
          <w:rFonts w:hint="eastAsia" w:cs="宋体"/>
          <w:b/>
          <w:color w:val="000000" w:themeColor="text1"/>
          <w:sz w:val="24"/>
          <w:szCs w:val="24"/>
          <w:highlight w:val="none"/>
          <w:lang w:val="en-US" w:eastAsia="zh-CN" w:bidi="ar-SA"/>
          <w14:textFill>
            <w14:solidFill>
              <w14:schemeClr w14:val="tx1"/>
            </w14:solidFill>
          </w14:textFill>
        </w:rPr>
        <w:t>反商业贿赂承诺书</w:t>
      </w:r>
      <w:r>
        <w:rPr>
          <w:rFonts w:hint="eastAsia" w:ascii="宋体" w:hAnsi="宋体" w:eastAsia="宋体" w:cs="宋体"/>
          <w:b/>
          <w:color w:val="000000" w:themeColor="text1"/>
          <w:sz w:val="24"/>
          <w:szCs w:val="24"/>
          <w:highlight w:val="none"/>
          <w:lang w:val="en-US" w:bidi="ar-SA"/>
          <w14:textFill>
            <w14:solidFill>
              <w14:schemeClr w14:val="tx1"/>
            </w14:solidFill>
          </w14:textFill>
        </w:rPr>
        <w:t>；</w:t>
      </w:r>
    </w:p>
    <w:p w14:paraId="06615AA9">
      <w:pPr>
        <w:adjustRightInd w:val="0"/>
        <w:spacing w:line="440" w:lineRule="exact"/>
        <w:ind w:firstLine="723" w:firstLineChars="300"/>
        <w:rPr>
          <w:rFonts w:hint="eastAsia" w:ascii="宋体" w:hAnsi="宋体" w:eastAsia="宋体" w:cs="宋体"/>
          <w:b/>
          <w:color w:val="000000" w:themeColor="text1"/>
          <w:sz w:val="24"/>
          <w:szCs w:val="24"/>
          <w:highlight w:val="none"/>
          <w:lang w:val="en-US" w:bidi="ar-SA"/>
          <w14:textFill>
            <w14:solidFill>
              <w14:schemeClr w14:val="tx1"/>
            </w14:solidFill>
          </w14:textFill>
        </w:rPr>
      </w:pPr>
      <w:r>
        <w:rPr>
          <w:rFonts w:hint="eastAsia" w:ascii="宋体" w:hAnsi="宋体" w:eastAsia="宋体" w:cs="宋体"/>
          <w:b/>
          <w:color w:val="000000" w:themeColor="text1"/>
          <w:sz w:val="24"/>
          <w:szCs w:val="24"/>
          <w:highlight w:val="none"/>
          <w:lang w:val="en-US" w:bidi="ar-SA"/>
          <w14:textFill>
            <w14:solidFill>
              <w14:schemeClr w14:val="tx1"/>
            </w14:solidFill>
          </w14:textFill>
        </w:rPr>
        <w:t>f、投标人须具备：</w:t>
      </w:r>
      <w:r>
        <w:rPr>
          <w:rFonts w:hint="eastAsia" w:ascii="宋体" w:hAnsi="宋体" w:eastAsia="宋体" w:cs="宋体"/>
          <w:b/>
          <w:color w:val="000000" w:themeColor="text1"/>
          <w:sz w:val="24"/>
          <w:szCs w:val="24"/>
          <w:highlight w:val="none"/>
          <w:lang w:val="en-US" w:eastAsia="zh-CN" w:bidi="ar-SA"/>
          <w14:textFill>
            <w14:solidFill>
              <w14:schemeClr w14:val="tx1"/>
            </w14:solidFill>
          </w14:textFill>
        </w:rPr>
        <w:t>1.投标人须具备公路工程施工总承包三级及以上资质，并在人员、设备、资金等方面具有相应的施工能力；2、具有效的安全生产许可证（有效的安全生产许可证查询网址：https://zlaq.mohurd.gov.cn/fwmh/bjxcjgl/fwmh/pages/default/index.html；）。3、施工投标人应进入交通运输部“全国公路建设市场监督管理系统”中的公路工程施工资质企业名录；对于仅具备公路工程施工总承包贰级及以下资质且尚未记录在“全国公路建设市场监督管理系统”的，投标人须被列入企业注册地省级交通运输主管部门公路建设市场信用信息管理系统（例如“信用交通·新疆”）。且投标人名称和资质与“全国公路建设市场监督管理系统”或省级交通运输主管部门公路建设市场信用信息管理系统（以下简称省级公路建设市场监管系统）中的相应企业名称和资质完全一致。;项目负责人应具备【公路工程二级】（含）以上注册建造师资格及持有有效的B类安全考核合格证，且未担任其他在施建设项目的项目负责人；</w:t>
      </w:r>
    </w:p>
    <w:p w14:paraId="3C29DD88">
      <w:pPr>
        <w:adjustRightInd w:val="0"/>
        <w:spacing w:line="440" w:lineRule="exact"/>
        <w:ind w:firstLine="723" w:firstLineChars="300"/>
        <w:rPr>
          <w:rFonts w:hint="eastAsia" w:ascii="宋体" w:hAnsi="宋体" w:eastAsia="宋体" w:cs="宋体"/>
          <w:b/>
          <w:color w:val="000000" w:themeColor="text1"/>
          <w:sz w:val="24"/>
          <w:szCs w:val="24"/>
          <w:highlight w:val="none"/>
          <w:lang w:val="en-US" w:bidi="ar-SA"/>
          <w14:textFill>
            <w14:solidFill>
              <w14:schemeClr w14:val="tx1"/>
            </w14:solidFill>
          </w14:textFill>
        </w:rPr>
      </w:pPr>
      <w:r>
        <w:rPr>
          <w:rFonts w:hint="eastAsia" w:ascii="宋体" w:hAnsi="宋体" w:eastAsia="宋体" w:cs="宋体"/>
          <w:b/>
          <w:color w:val="000000" w:themeColor="text1"/>
          <w:sz w:val="24"/>
          <w:szCs w:val="24"/>
          <w:highlight w:val="none"/>
          <w:lang w:val="en-US" w:bidi="ar-SA"/>
          <w14:textFill>
            <w14:solidFill>
              <w14:schemeClr w14:val="tx1"/>
            </w14:solidFill>
          </w14:textFill>
        </w:rPr>
        <w:t>g、投标保证金缴纳凭证；</w:t>
      </w:r>
    </w:p>
    <w:bookmarkEnd w:id="75"/>
    <w:p w14:paraId="45DE6522">
      <w:pPr>
        <w:kinsoku w:val="0"/>
        <w:overflowPunct w:val="0"/>
        <w:adjustRightInd w:val="0"/>
        <w:spacing w:line="440" w:lineRule="exact"/>
        <w:ind w:firstLine="482" w:firstLineChars="200"/>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29、竞争性磋商程序</w:t>
      </w:r>
    </w:p>
    <w:p w14:paraId="753172D3">
      <w:pPr>
        <w:adjustRightInd w:val="0"/>
        <w:spacing w:line="440" w:lineRule="exact"/>
        <w:ind w:left="42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29.1 根据公开、公平、公正、诚信科学的原则，组织招标采购。</w:t>
      </w:r>
    </w:p>
    <w:p w14:paraId="3DA59731">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29.2 具体工作流程：</w:t>
      </w:r>
    </w:p>
    <w:p w14:paraId="14C793BD">
      <w:pPr>
        <w:adjustRightInd w:val="0"/>
        <w:spacing w:line="440" w:lineRule="exact"/>
        <w:ind w:firstLine="600" w:firstLineChars="25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（1）磋商小组审阅竞争性磋商文件和响应文件；</w:t>
      </w:r>
    </w:p>
    <w:p w14:paraId="7F4674E7">
      <w:pPr>
        <w:widowControl/>
        <w:adjustRightInd w:val="0"/>
        <w:spacing w:line="440" w:lineRule="exact"/>
        <w:ind w:firstLine="600" w:firstLineChars="25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本项目采用全流程不见面电子开评标，响应文件解密、磋商谈判、答疑澄清等，通过系统在线方式完成。投标供应商在项目开、评标期间应保持在线状态，授权委托人应保持电话畅通，随时通过“政采云”平台接受磋商小组发出的询标等信息，并在规定时间内答复。</w:t>
      </w:r>
    </w:p>
    <w:p w14:paraId="72091088">
      <w:pPr>
        <w:widowControl/>
        <w:adjustRightInd w:val="0"/>
        <w:spacing w:line="440" w:lineRule="exact"/>
        <w:ind w:firstLine="600" w:firstLineChars="25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（3）磋商小组全体成员集中与单一供应商就采购需求、质量和服务等分别进行磋商。逐家磋商一次为一个轮次，磋商轮次由磋商小组视情况决定。</w:t>
      </w:r>
    </w:p>
    <w:p w14:paraId="74A2EB73">
      <w:pPr>
        <w:pStyle w:val="37"/>
        <w:widowControl w:val="0"/>
        <w:autoSpaceDE w:val="0"/>
        <w:autoSpaceDN w:val="0"/>
        <w:spacing w:before="0" w:after="0"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（4）磋商结束后，磋商小组将要求实质性响应磋商文件的供应商在规定时间内在线提交最后报价，磋商小组将现场公开唱价。</w:t>
      </w:r>
    </w:p>
    <w:p w14:paraId="613A6C99">
      <w:pPr>
        <w:adjustRightInd w:val="0"/>
        <w:spacing w:line="440" w:lineRule="exact"/>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（5）采购人或采购代理机构将对磋商过程进行记录，由监督部门人员、采购方代表全程监督。</w:t>
      </w:r>
    </w:p>
    <w:p w14:paraId="5398C6D3">
      <w:pPr>
        <w:adjustRightInd w:val="0"/>
        <w:spacing w:line="440" w:lineRule="exact"/>
        <w:ind w:firstLine="550" w:firstLineChars="250"/>
        <w:rPr>
          <w:rFonts w:hint="eastAsia" w:ascii="宋体" w:hAnsi="宋体" w:eastAsia="宋体" w:cs="宋体"/>
          <w:color w:val="000000"/>
          <w:highlight w:val="none"/>
          <w:lang w:val="en-US" w:bidi="ar-SA"/>
        </w:rPr>
      </w:pPr>
    </w:p>
    <w:p w14:paraId="7C2109DF">
      <w:pPr>
        <w:kinsoku w:val="0"/>
        <w:overflowPunct w:val="0"/>
        <w:adjustRightInd w:val="0"/>
        <w:spacing w:before="176"/>
        <w:ind w:left="458" w:right="577"/>
        <w:jc w:val="center"/>
        <w:rPr>
          <w:rFonts w:hint="eastAsia" w:ascii="宋体" w:hAnsi="宋体" w:eastAsia="宋体" w:cs="宋体"/>
          <w:sz w:val="24"/>
          <w:szCs w:val="24"/>
          <w:highlight w:val="none"/>
          <w:lang w:val="en-US" w:bidi="ar-SA"/>
        </w:rPr>
      </w:pPr>
      <w:r>
        <w:rPr>
          <w:rFonts w:hint="eastAsia" w:ascii="宋体" w:hAnsi="宋体" w:eastAsia="宋体" w:cs="宋体"/>
          <w:b/>
          <w:sz w:val="24"/>
          <w:szCs w:val="24"/>
          <w:highlight w:val="none"/>
          <w:lang w:val="en-US" w:bidi="ar-SA"/>
        </w:rPr>
        <w:t>（六）评审</w:t>
      </w:r>
    </w:p>
    <w:p w14:paraId="78EE9E41">
      <w:pPr>
        <w:kinsoku w:val="0"/>
        <w:overflowPunct w:val="0"/>
        <w:adjustRightInd w:val="0"/>
        <w:spacing w:before="12"/>
        <w:rPr>
          <w:rFonts w:hint="eastAsia" w:ascii="宋体" w:hAnsi="宋体" w:eastAsia="宋体" w:cs="宋体"/>
          <w:b/>
          <w:sz w:val="18"/>
          <w:szCs w:val="24"/>
          <w:highlight w:val="none"/>
          <w:lang w:val="en-US" w:bidi="ar-SA"/>
        </w:rPr>
      </w:pPr>
    </w:p>
    <w:p w14:paraId="34C24BD2">
      <w:pPr>
        <w:kinsoku w:val="0"/>
        <w:overflowPunct w:val="0"/>
        <w:adjustRightInd w:val="0"/>
        <w:spacing w:line="440" w:lineRule="exact"/>
        <w:ind w:left="591"/>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30、磋商小组与评审</w:t>
      </w:r>
    </w:p>
    <w:p w14:paraId="0EC0F46D">
      <w:pPr>
        <w:kinsoku w:val="0"/>
        <w:overflowPunct w:val="0"/>
        <w:adjustRightInd w:val="0"/>
        <w:spacing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30.1 采购人按照有关规定程序负责组织成立评标委员会，组成竞争性磋商小组, 磋商小组由采购人代表</w:t>
      </w:r>
      <w:r>
        <w:rPr>
          <w:rFonts w:hint="eastAsia" w:cs="宋体"/>
          <w:sz w:val="24"/>
          <w:szCs w:val="24"/>
          <w:highlight w:val="none"/>
          <w:lang w:val="en-US" w:eastAsia="zh-CN" w:bidi="ar-SA"/>
        </w:rPr>
        <w:t>0</w:t>
      </w:r>
      <w:r>
        <w:rPr>
          <w:rFonts w:hint="eastAsia" w:ascii="宋体" w:hAnsi="宋体" w:eastAsia="宋体" w:cs="宋体"/>
          <w:sz w:val="24"/>
          <w:szCs w:val="24"/>
          <w:highlight w:val="none"/>
          <w:lang w:val="en-US" w:bidi="ar-SA"/>
        </w:rPr>
        <w:t>人，专家库中随机抽取</w:t>
      </w:r>
      <w:r>
        <w:rPr>
          <w:rFonts w:hint="eastAsia" w:cs="宋体"/>
          <w:sz w:val="24"/>
          <w:szCs w:val="24"/>
          <w:highlight w:val="none"/>
          <w:lang w:val="en-US" w:eastAsia="zh-CN" w:bidi="ar-SA"/>
        </w:rPr>
        <w:t>5</w:t>
      </w:r>
      <w:r>
        <w:rPr>
          <w:rFonts w:hint="eastAsia" w:ascii="宋体" w:hAnsi="宋体" w:eastAsia="宋体" w:cs="宋体"/>
          <w:sz w:val="24"/>
          <w:szCs w:val="24"/>
          <w:highlight w:val="none"/>
          <w:lang w:val="en-US" w:bidi="ar-SA"/>
        </w:rPr>
        <w:t>人</w:t>
      </w:r>
      <w:r>
        <w:rPr>
          <w:rFonts w:hint="eastAsia" w:cs="宋体"/>
          <w:sz w:val="24"/>
          <w:szCs w:val="24"/>
          <w:highlight w:val="none"/>
          <w:lang w:val="en-US" w:eastAsia="zh-CN" w:bidi="ar-SA"/>
        </w:rPr>
        <w:t>，共5</w:t>
      </w:r>
      <w:r>
        <w:rPr>
          <w:rFonts w:hint="eastAsia" w:ascii="宋体" w:hAnsi="宋体" w:eastAsia="宋体" w:cs="宋体"/>
          <w:sz w:val="24"/>
          <w:szCs w:val="24"/>
          <w:highlight w:val="none"/>
          <w:lang w:val="en-US" w:bidi="ar-SA"/>
        </w:rPr>
        <w:t>人组成。该磋商小组独立工作，负责评审所有响应文件并确定成交候选供应商。</w:t>
      </w:r>
    </w:p>
    <w:p w14:paraId="6A0BF31C">
      <w:pPr>
        <w:kinsoku w:val="0"/>
        <w:overflowPunct w:val="0"/>
        <w:adjustRightInd w:val="0"/>
        <w:spacing w:line="440" w:lineRule="exact"/>
        <w:ind w:left="591"/>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30.2磋商结束后，开始评审，评审采用保密方式进行。</w:t>
      </w:r>
    </w:p>
    <w:p w14:paraId="678E5452">
      <w:pPr>
        <w:kinsoku w:val="0"/>
        <w:overflowPunct w:val="0"/>
        <w:adjustRightInd w:val="0"/>
        <w:spacing w:line="440" w:lineRule="exact"/>
        <w:ind w:left="591"/>
        <w:outlineLvl w:val="4"/>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31、评审过程的保密</w:t>
      </w:r>
    </w:p>
    <w:p w14:paraId="1850A7CB">
      <w:pPr>
        <w:kinsoku w:val="0"/>
        <w:overflowPunct w:val="0"/>
        <w:adjustRightInd w:val="0"/>
        <w:spacing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31.1磋商后，直至授予中标人合同为止，凡属于对响应文件的审查、澄清、评价和比较的有关资料以及成交候选人的推荐情况</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与评审有关的其他任何情况均严格保密。</w:t>
      </w:r>
    </w:p>
    <w:p w14:paraId="442F2C49">
      <w:pPr>
        <w:kinsoku w:val="0"/>
        <w:overflowPunct w:val="0"/>
        <w:adjustRightInd w:val="0"/>
        <w:spacing w:line="440" w:lineRule="exact"/>
        <w:ind w:left="111" w:right="11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31.2在响应文件的评审和比较</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成交候选人推荐以及授予合同的过程中</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供应商向采购人和磋商小组施加影响的任何行为，都将会导致其磋商被拒绝。</w:t>
      </w:r>
    </w:p>
    <w:p w14:paraId="1EFBADEB">
      <w:pPr>
        <w:kinsoku w:val="0"/>
        <w:overflowPunct w:val="0"/>
        <w:adjustRightInd w:val="0"/>
        <w:spacing w:before="60" w:line="440" w:lineRule="exact"/>
        <w:ind w:left="111" w:right="112" w:firstLine="48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31.3中标人确定后</w:t>
      </w:r>
      <w:r>
        <w:rPr>
          <w:rFonts w:hint="eastAsia" w:ascii="宋体" w:hAnsi="宋体" w:eastAsia="宋体" w:cs="宋体"/>
          <w:spacing w:val="-120"/>
          <w:sz w:val="24"/>
          <w:szCs w:val="24"/>
          <w:highlight w:val="none"/>
          <w:lang w:val="en-US" w:bidi="ar-SA"/>
        </w:rPr>
        <w:t>，</w:t>
      </w:r>
      <w:r>
        <w:rPr>
          <w:rFonts w:hint="eastAsia" w:ascii="宋体" w:hAnsi="宋体" w:eastAsia="宋体" w:cs="宋体"/>
          <w:sz w:val="24"/>
          <w:szCs w:val="24"/>
          <w:highlight w:val="none"/>
          <w:lang w:val="en-US" w:bidi="ar-SA"/>
        </w:rPr>
        <w:t>采购人不对未中标人就评审过程以及未能成交原因作出任何解释</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未中标人不得向磋商小组组成人员或其他有关人员索问评审过程的情况和材料</w:t>
      </w:r>
      <w:r>
        <w:rPr>
          <w:rFonts w:hint="eastAsia" w:cs="宋体"/>
          <w:sz w:val="24"/>
          <w:szCs w:val="24"/>
          <w:highlight w:val="none"/>
          <w:lang w:val="en-US" w:eastAsia="zh-CN" w:bidi="ar-SA"/>
        </w:rPr>
        <w:t>。</w:t>
      </w:r>
    </w:p>
    <w:p w14:paraId="19B8ECF0">
      <w:pPr>
        <w:kinsoku w:val="0"/>
        <w:overflowPunct w:val="0"/>
        <w:adjustRightInd w:val="0"/>
        <w:spacing w:before="60" w:line="440" w:lineRule="exact"/>
        <w:ind w:left="591" w:right="110"/>
        <w:rPr>
          <w:rFonts w:hint="eastAsia" w:ascii="宋体" w:hAnsi="宋体" w:eastAsia="宋体" w:cs="宋体"/>
          <w:b/>
          <w:spacing w:val="25"/>
          <w:w w:val="99"/>
          <w:sz w:val="24"/>
          <w:szCs w:val="24"/>
          <w:highlight w:val="none"/>
          <w:lang w:val="en-US" w:bidi="ar-SA"/>
        </w:rPr>
      </w:pPr>
      <w:r>
        <w:rPr>
          <w:rFonts w:hint="eastAsia" w:ascii="宋体" w:hAnsi="宋体" w:eastAsia="宋体" w:cs="宋体"/>
          <w:b/>
          <w:sz w:val="24"/>
          <w:szCs w:val="24"/>
          <w:highlight w:val="none"/>
          <w:lang w:val="en-US" w:bidi="ar-SA"/>
        </w:rPr>
        <w:t>32、响应文件的澄清</w:t>
      </w:r>
    </w:p>
    <w:p w14:paraId="6732D2D2">
      <w:pPr>
        <w:kinsoku w:val="0"/>
        <w:overflowPunct w:val="0"/>
        <w:adjustRightInd w:val="0"/>
        <w:spacing w:before="60" w:line="440" w:lineRule="exact"/>
        <w:ind w:left="111" w:right="11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为有助于响应文件的审查、评价和比较，磋商小组可以书面形式要求供应商对响应文件含义不明确的内容作必要的澄清或说明，供应商应采用书面形式进行澄清或补正，但不得超出响应文件的范围或改变响应文件的实质性内容。根据本须知第34条规定，供应商的澄清或补正内容将作为响应文件的组成部分，供应商拒不按照要求对响应文件进行澄清或补正的，采购人将否决其报价，采购人不接受供应商主动提出的澄清。凡属于磋商小组在评审中发现的计算错误进行核实的修改不在此列。</w:t>
      </w:r>
    </w:p>
    <w:p w14:paraId="6C7A3F28">
      <w:pPr>
        <w:kinsoku w:val="0"/>
        <w:overflowPunct w:val="0"/>
        <w:adjustRightInd w:val="0"/>
        <w:spacing w:before="57" w:line="440" w:lineRule="exact"/>
        <w:ind w:left="591"/>
        <w:outlineLvl w:val="4"/>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33、响应文件的符合性审查</w:t>
      </w:r>
    </w:p>
    <w:p w14:paraId="72339D9C">
      <w:pPr>
        <w:kinsoku w:val="0"/>
        <w:overflowPunct w:val="0"/>
        <w:adjustRightInd w:val="0"/>
        <w:spacing w:line="440" w:lineRule="exact"/>
        <w:ind w:left="111" w:right="11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33.1经采购人审查，通过资格审查的有效响应文件才能提交磋商小组进行评审。</w:t>
      </w:r>
    </w:p>
    <w:p w14:paraId="66AAFA43">
      <w:pPr>
        <w:kinsoku w:val="0"/>
        <w:overflowPunct w:val="0"/>
        <w:adjustRightInd w:val="0"/>
        <w:spacing w:before="56" w:line="440" w:lineRule="exact"/>
        <w:ind w:left="111" w:right="11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33.2评审时</w:t>
      </w:r>
      <w:r>
        <w:rPr>
          <w:rFonts w:hint="eastAsia" w:ascii="宋体" w:hAnsi="宋体" w:eastAsia="宋体" w:cs="宋体"/>
          <w:spacing w:val="-120"/>
          <w:sz w:val="24"/>
          <w:szCs w:val="24"/>
          <w:highlight w:val="none"/>
          <w:lang w:val="en-US" w:bidi="ar-SA"/>
        </w:rPr>
        <w:t>，</w:t>
      </w:r>
      <w:r>
        <w:rPr>
          <w:rFonts w:hint="eastAsia" w:ascii="宋体" w:hAnsi="宋体" w:eastAsia="宋体" w:cs="宋体"/>
          <w:sz w:val="24"/>
          <w:szCs w:val="24"/>
          <w:highlight w:val="none"/>
          <w:lang w:val="en-US" w:bidi="ar-SA"/>
        </w:rPr>
        <w:t>磋商小组将首先评定每份响应文件是否在实质上响应了磋商文件的</w:t>
      </w:r>
      <w:r>
        <w:rPr>
          <w:rFonts w:hint="eastAsia" w:ascii="宋体" w:hAnsi="宋体" w:eastAsia="宋体" w:cs="宋体"/>
          <w:spacing w:val="-2"/>
          <w:sz w:val="24"/>
          <w:szCs w:val="24"/>
          <w:highlight w:val="none"/>
          <w:lang w:val="en-US" w:bidi="ar-SA"/>
        </w:rPr>
        <w:t>要求。所谓实质上响应，是指响应文件应与磋商文件的所有实质性条款、条件和要求相符，无显著差异或保留。所谓显著差异或保留是指对工程的发包范围、质量标准及</w:t>
      </w:r>
      <w:r>
        <w:rPr>
          <w:rFonts w:hint="eastAsia" w:ascii="宋体" w:hAnsi="宋体" w:eastAsia="宋体" w:cs="宋体"/>
          <w:spacing w:val="4"/>
          <w:sz w:val="24"/>
          <w:szCs w:val="24"/>
          <w:highlight w:val="none"/>
          <w:lang w:val="en-US" w:bidi="ar-SA"/>
        </w:rPr>
        <w:t>使用产生实质性影响或者对合同中规定的采购人的权力及供应商的义务造成实质性</w:t>
      </w:r>
      <w:r>
        <w:rPr>
          <w:rFonts w:hint="eastAsia" w:ascii="宋体" w:hAnsi="宋体" w:eastAsia="宋体" w:cs="宋体"/>
          <w:sz w:val="24"/>
          <w:szCs w:val="24"/>
          <w:highlight w:val="none"/>
          <w:lang w:val="en-US" w:bidi="ar-SA"/>
        </w:rPr>
        <w:t>限制</w:t>
      </w:r>
      <w:r>
        <w:rPr>
          <w:rFonts w:hint="eastAsia" w:ascii="宋体" w:hAnsi="宋体" w:eastAsia="宋体" w:cs="宋体"/>
          <w:spacing w:val="-32"/>
          <w:sz w:val="24"/>
          <w:szCs w:val="24"/>
          <w:highlight w:val="none"/>
          <w:lang w:val="en-US" w:bidi="ar-SA"/>
        </w:rPr>
        <w:t>，</w:t>
      </w:r>
      <w:r>
        <w:rPr>
          <w:rFonts w:hint="eastAsia" w:ascii="宋体" w:hAnsi="宋体" w:eastAsia="宋体" w:cs="宋体"/>
          <w:sz w:val="24"/>
          <w:szCs w:val="24"/>
          <w:highlight w:val="none"/>
          <w:lang w:val="en-US" w:bidi="ar-SA"/>
        </w:rPr>
        <w:t>而且纠正这种差异或保留</w:t>
      </w:r>
      <w:r>
        <w:rPr>
          <w:rFonts w:hint="eastAsia" w:ascii="宋体" w:hAnsi="宋体" w:eastAsia="宋体" w:cs="宋体"/>
          <w:spacing w:val="-29"/>
          <w:sz w:val="24"/>
          <w:szCs w:val="24"/>
          <w:highlight w:val="none"/>
          <w:lang w:val="en-US" w:bidi="ar-SA"/>
        </w:rPr>
        <w:t>，</w:t>
      </w:r>
      <w:r>
        <w:rPr>
          <w:rFonts w:hint="eastAsia" w:ascii="宋体" w:hAnsi="宋体" w:eastAsia="宋体" w:cs="宋体"/>
          <w:sz w:val="24"/>
          <w:szCs w:val="24"/>
          <w:highlight w:val="none"/>
          <w:lang w:val="en-US" w:bidi="ar-SA"/>
        </w:rPr>
        <w:t>将会对其他实质上响应要求的供应商的竞争地位产生不公正的影响。</w:t>
      </w:r>
    </w:p>
    <w:p w14:paraId="5E477E18">
      <w:pPr>
        <w:kinsoku w:val="0"/>
        <w:overflowPunct w:val="0"/>
        <w:adjustRightInd w:val="0"/>
        <w:spacing w:before="57" w:line="440" w:lineRule="exact"/>
        <w:ind w:left="111" w:right="11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33.3如果响应文件实质上不响应磋商文件的各项要求</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磋商小组将予以拒绝</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并且不允许供应商通过修改或撤销其不符合要求的差异或保留</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使之成为具有响应性的报价。</w:t>
      </w:r>
    </w:p>
    <w:p w14:paraId="6FF4F522">
      <w:pPr>
        <w:kinsoku w:val="0"/>
        <w:overflowPunct w:val="0"/>
        <w:adjustRightInd w:val="0"/>
        <w:spacing w:line="440" w:lineRule="exact"/>
        <w:ind w:left="111" w:right="232" w:firstLine="480"/>
        <w:jc w:val="both"/>
        <w:rPr>
          <w:rFonts w:hint="eastAsia" w:ascii="宋体" w:hAnsi="宋体" w:eastAsia="宋体" w:cs="宋体"/>
          <w:b/>
          <w:sz w:val="24"/>
          <w:szCs w:val="24"/>
          <w:highlight w:val="none"/>
          <w:lang w:val="en-US" w:bidi="ar-SA"/>
        </w:rPr>
      </w:pPr>
      <w:r>
        <w:rPr>
          <w:rFonts w:hint="eastAsia" w:ascii="宋体" w:hAnsi="宋体" w:eastAsia="宋体" w:cs="宋体"/>
          <w:sz w:val="24"/>
          <w:szCs w:val="24"/>
          <w:highlight w:val="none"/>
          <w:lang w:val="en-US" w:bidi="ar-SA"/>
        </w:rPr>
        <w:t>33.4响应文件有下列情形之一的</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视为未能对磋商文件作出实质性响应</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由磋商小组初审后按无效标处理：</w:t>
      </w:r>
    </w:p>
    <w:p w14:paraId="5B1F7D7C">
      <w:pPr>
        <w:kinsoku w:val="0"/>
        <w:overflowPunct w:val="0"/>
        <w:adjustRightInd w:val="0"/>
        <w:spacing w:before="57" w:line="440" w:lineRule="exact"/>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（1）未按照磋商文件规定要求签署、盖章的；</w:t>
      </w:r>
    </w:p>
    <w:p w14:paraId="143E71F7">
      <w:pPr>
        <w:kinsoku w:val="0"/>
        <w:overflowPunct w:val="0"/>
        <w:adjustRightInd w:val="0"/>
        <w:spacing w:before="57" w:line="440" w:lineRule="exact"/>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（2）响应文件明显不符合磋商文件规定的技术以及商务条款实质性要求的；</w:t>
      </w:r>
    </w:p>
    <w:p w14:paraId="73C25AA6">
      <w:pPr>
        <w:kinsoku w:val="0"/>
        <w:overflowPunct w:val="0"/>
        <w:adjustRightInd w:val="0"/>
        <w:spacing w:before="57" w:line="440" w:lineRule="exact"/>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（3）响应文件载明的工期、质量标准、安全目标等明显不符合磋商文件要求的；</w:t>
      </w:r>
    </w:p>
    <w:p w14:paraId="72BEE733">
      <w:pPr>
        <w:kinsoku w:val="0"/>
        <w:overflowPunct w:val="0"/>
        <w:adjustRightInd w:val="0"/>
        <w:spacing w:before="57" w:line="440" w:lineRule="exact"/>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（4）供应商对同一招标项目作出两个以上报价未明确效力的；</w:t>
      </w:r>
    </w:p>
    <w:p w14:paraId="24223567">
      <w:pPr>
        <w:kinsoku w:val="0"/>
        <w:overflowPunct w:val="0"/>
        <w:adjustRightInd w:val="0"/>
        <w:spacing w:before="57" w:line="440" w:lineRule="exact"/>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5）在评标过程中，发现供应商的最终报价明显低于其他投标报价，使得其报价可能低于其个别成本的，应当要求该供应商做出书面说明并提供相关证明材料。供应商不能合理说明或者不能提供相关证明材料的，磋商小组可以认定该供应商以低于成本报价竞标的；</w:t>
      </w:r>
    </w:p>
    <w:p w14:paraId="0D0CD8C2">
      <w:pPr>
        <w:kinsoku w:val="0"/>
        <w:overflowPunct w:val="0"/>
        <w:adjustRightInd w:val="0"/>
        <w:spacing w:before="57" w:line="440" w:lineRule="exact"/>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（6）供应商的投标报价超过最高限价，且采购人不能支付的；</w:t>
      </w:r>
    </w:p>
    <w:p w14:paraId="2873400D">
      <w:pPr>
        <w:kinsoku w:val="0"/>
        <w:overflowPunct w:val="0"/>
        <w:adjustRightInd w:val="0"/>
        <w:spacing w:before="57" w:line="440" w:lineRule="exact"/>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（7）供应商填写完毕的工程量固化清单对工程量固化清单电子文件中的数据、格式和运算定义进行修改；工程量固化清单中的投标报价和投标函大写金额报价不一致的；</w:t>
      </w:r>
    </w:p>
    <w:p w14:paraId="5DC8FFDD">
      <w:pPr>
        <w:kinsoku w:val="0"/>
        <w:overflowPunct w:val="0"/>
        <w:adjustRightInd w:val="0"/>
        <w:spacing w:before="57" w:line="440" w:lineRule="exact"/>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（8）响应文件未按磋商文件规定的格式填写，内容不全或关键字迹模糊、无法辨认的；</w:t>
      </w:r>
    </w:p>
    <w:p w14:paraId="32281383">
      <w:pPr>
        <w:kinsoku w:val="0"/>
        <w:overflowPunct w:val="0"/>
        <w:adjustRightInd w:val="0"/>
        <w:spacing w:before="57" w:line="440" w:lineRule="exact"/>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（9）在评标过程中，发现供应商以他人名义投标、串通投标、以行贿手段谋取成交或者以其他弄虚作假方式投标的；</w:t>
      </w:r>
    </w:p>
    <w:p w14:paraId="74C14E58">
      <w:pPr>
        <w:kinsoku w:val="0"/>
        <w:overflowPunct w:val="0"/>
        <w:adjustRightInd w:val="0"/>
        <w:spacing w:before="57" w:line="440" w:lineRule="exact"/>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（10）响应文件附有采购人不能接受的条件的；</w:t>
      </w:r>
    </w:p>
    <w:p w14:paraId="2A8C04CE">
      <w:pPr>
        <w:kinsoku w:val="0"/>
        <w:overflowPunct w:val="0"/>
        <w:adjustRightInd w:val="0"/>
        <w:spacing w:before="57" w:line="440" w:lineRule="exact"/>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（11）响应文件不符合磋商文件规定的其他实质性要求的。</w:t>
      </w:r>
    </w:p>
    <w:p w14:paraId="26071ADB">
      <w:pPr>
        <w:kinsoku w:val="0"/>
        <w:overflowPunct w:val="0"/>
        <w:adjustRightInd w:val="0"/>
        <w:spacing w:line="440" w:lineRule="exact"/>
        <w:ind w:left="591"/>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33.5 所有供应商报价均超出采购预算价的，本项目废标。</w:t>
      </w:r>
    </w:p>
    <w:p w14:paraId="2A9B3AF5">
      <w:pPr>
        <w:kinsoku w:val="0"/>
        <w:overflowPunct w:val="0"/>
        <w:adjustRightInd w:val="0"/>
        <w:spacing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33.6 响应文件在实质上响应磋商文件要求</w:t>
      </w:r>
      <w:r>
        <w:rPr>
          <w:rFonts w:hint="eastAsia" w:ascii="宋体" w:hAnsi="宋体" w:eastAsia="宋体" w:cs="宋体"/>
          <w:spacing w:val="-120"/>
          <w:sz w:val="24"/>
          <w:szCs w:val="24"/>
          <w:highlight w:val="none"/>
          <w:lang w:val="en-US" w:bidi="ar-SA"/>
        </w:rPr>
        <w:t>，</w:t>
      </w:r>
      <w:r>
        <w:rPr>
          <w:rFonts w:hint="eastAsia" w:ascii="宋体" w:hAnsi="宋体" w:eastAsia="宋体" w:cs="宋体"/>
          <w:sz w:val="24"/>
          <w:szCs w:val="24"/>
          <w:highlight w:val="none"/>
          <w:lang w:val="en-US" w:bidi="ar-SA"/>
        </w:rPr>
        <w:t>但在个别地方存在遗漏或者提供了不完整的技术信息和数据的情况</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并且补正这些遗漏或不完整不会对其他供应商造成不公平的结果，这种情况不影响响应文件的有效性。</w:t>
      </w:r>
    </w:p>
    <w:p w14:paraId="70EBE4F0">
      <w:pPr>
        <w:kinsoku w:val="0"/>
        <w:overflowPunct w:val="0"/>
        <w:adjustRightInd w:val="0"/>
        <w:spacing w:before="26"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33.7 磋商小组对响应文件的判定</w:t>
      </w:r>
      <w:r>
        <w:rPr>
          <w:rFonts w:hint="eastAsia" w:ascii="宋体" w:hAnsi="宋体" w:eastAsia="宋体" w:cs="宋体"/>
          <w:spacing w:val="-120"/>
          <w:sz w:val="24"/>
          <w:szCs w:val="24"/>
          <w:highlight w:val="none"/>
          <w:lang w:val="en-US" w:bidi="ar-SA"/>
        </w:rPr>
        <w:t>，</w:t>
      </w:r>
      <w:r>
        <w:rPr>
          <w:rFonts w:hint="eastAsia" w:ascii="宋体" w:hAnsi="宋体" w:eastAsia="宋体" w:cs="宋体"/>
          <w:sz w:val="24"/>
          <w:szCs w:val="24"/>
          <w:highlight w:val="none"/>
          <w:lang w:val="en-US" w:bidi="ar-SA"/>
        </w:rPr>
        <w:t>只依据响应文件本身及按磋商文件规定提供的有关原件为准，不依靠其他任何外来证明。</w:t>
      </w:r>
    </w:p>
    <w:p w14:paraId="2B8B50A7">
      <w:pPr>
        <w:kinsoku w:val="0"/>
        <w:overflowPunct w:val="0"/>
        <w:adjustRightInd w:val="0"/>
        <w:spacing w:before="57" w:line="440" w:lineRule="exact"/>
        <w:ind w:left="591"/>
        <w:outlineLvl w:val="4"/>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34、响应文件计算错误的修正</w:t>
      </w:r>
    </w:p>
    <w:p w14:paraId="68A56349">
      <w:pPr>
        <w:kinsoku w:val="0"/>
        <w:overflowPunct w:val="0"/>
        <w:adjustRightInd w:val="0"/>
        <w:spacing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34.1 磋商小组将对确定为实质上响应磋商文件要求的响应文件进行校核</w:t>
      </w:r>
      <w:r>
        <w:rPr>
          <w:rFonts w:hint="eastAsia" w:ascii="宋体" w:hAnsi="宋体" w:eastAsia="宋体" w:cs="宋体"/>
          <w:spacing w:val="-120"/>
          <w:sz w:val="24"/>
          <w:szCs w:val="24"/>
          <w:highlight w:val="none"/>
          <w:lang w:val="en-US" w:bidi="ar-SA"/>
        </w:rPr>
        <w:t>，</w:t>
      </w:r>
      <w:r>
        <w:rPr>
          <w:rFonts w:hint="eastAsia" w:ascii="宋体" w:hAnsi="宋体" w:eastAsia="宋体" w:cs="宋体"/>
          <w:sz w:val="24"/>
          <w:szCs w:val="24"/>
          <w:highlight w:val="none"/>
          <w:lang w:val="en-US" w:bidi="ar-SA"/>
        </w:rPr>
        <w:t>看其是否有计算或表达上的错误，修正错误的原则如下：</w:t>
      </w:r>
    </w:p>
    <w:p w14:paraId="4AA02B21">
      <w:pPr>
        <w:kinsoku w:val="0"/>
        <w:overflowPunct w:val="0"/>
        <w:adjustRightInd w:val="0"/>
        <w:spacing w:before="57"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34.1.1如果数字表示的金额和用文字表示的金额不一致时</w:t>
      </w:r>
      <w:r>
        <w:rPr>
          <w:rFonts w:hint="eastAsia" w:ascii="宋体" w:hAnsi="宋体" w:eastAsia="宋体" w:cs="宋体"/>
          <w:spacing w:val="-120"/>
          <w:sz w:val="24"/>
          <w:szCs w:val="24"/>
          <w:highlight w:val="none"/>
          <w:lang w:val="en-US" w:bidi="ar-SA"/>
        </w:rPr>
        <w:t>，</w:t>
      </w:r>
      <w:r>
        <w:rPr>
          <w:rFonts w:hint="eastAsia" w:ascii="宋体" w:hAnsi="宋体" w:eastAsia="宋体" w:cs="宋体"/>
          <w:sz w:val="24"/>
          <w:szCs w:val="24"/>
          <w:highlight w:val="none"/>
          <w:lang w:val="en-US" w:bidi="ar-SA"/>
        </w:rPr>
        <w:t>应以文字表示的金额为准；</w:t>
      </w:r>
    </w:p>
    <w:p w14:paraId="287899C9">
      <w:pPr>
        <w:kinsoku w:val="0"/>
        <w:overflowPunct w:val="0"/>
        <w:adjustRightInd w:val="0"/>
        <w:spacing w:before="56" w:line="440" w:lineRule="exact"/>
        <w:ind w:left="591"/>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34.1.2大写金额和小写金额不一致的，应以大写金额为准；</w:t>
      </w:r>
    </w:p>
    <w:p w14:paraId="077C91AB">
      <w:pPr>
        <w:kinsoku w:val="0"/>
        <w:overflowPunct w:val="0"/>
        <w:adjustRightInd w:val="0"/>
        <w:spacing w:line="440" w:lineRule="exact"/>
        <w:ind w:left="111" w:right="11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34.2 按上述修正错误的原则及方法调整或修正响应文件的磋商报价</w:t>
      </w:r>
      <w:r>
        <w:rPr>
          <w:rFonts w:hint="eastAsia" w:ascii="宋体" w:hAnsi="宋体" w:eastAsia="宋体" w:cs="宋体"/>
          <w:spacing w:val="-120"/>
          <w:sz w:val="24"/>
          <w:szCs w:val="24"/>
          <w:highlight w:val="none"/>
          <w:lang w:val="en-US" w:bidi="ar-SA"/>
        </w:rPr>
        <w:t>，</w:t>
      </w:r>
      <w:r>
        <w:rPr>
          <w:rFonts w:hint="eastAsia" w:ascii="宋体" w:hAnsi="宋体" w:eastAsia="宋体" w:cs="宋体"/>
          <w:sz w:val="24"/>
          <w:szCs w:val="24"/>
          <w:highlight w:val="none"/>
          <w:lang w:val="en-US" w:bidi="ar-SA"/>
        </w:rPr>
        <w:t>供应商同意</w:t>
      </w:r>
      <w:r>
        <w:rPr>
          <w:rFonts w:hint="eastAsia" w:ascii="宋体" w:hAnsi="宋体" w:eastAsia="宋体" w:cs="宋体"/>
          <w:spacing w:val="-2"/>
          <w:sz w:val="24"/>
          <w:szCs w:val="24"/>
          <w:highlight w:val="none"/>
          <w:lang w:val="en-US" w:bidi="ar-SA"/>
        </w:rPr>
        <w:t>后，调整后的磋商报价对供应商起约束作用。如果供应商不接受修正后的报价，则其</w:t>
      </w:r>
      <w:r>
        <w:rPr>
          <w:rFonts w:hint="eastAsia" w:ascii="宋体" w:hAnsi="宋体" w:eastAsia="宋体" w:cs="宋体"/>
          <w:sz w:val="24"/>
          <w:szCs w:val="24"/>
          <w:highlight w:val="none"/>
          <w:lang w:val="en-US" w:bidi="ar-SA"/>
        </w:rPr>
        <w:t>磋商将被拒绝，并不影响评审工作。</w:t>
      </w:r>
    </w:p>
    <w:p w14:paraId="7BB2F86F">
      <w:pPr>
        <w:kinsoku w:val="0"/>
        <w:overflowPunct w:val="0"/>
        <w:adjustRightInd w:val="0"/>
        <w:spacing w:before="57" w:line="440" w:lineRule="exact"/>
        <w:ind w:left="591"/>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34.3 对多报的清单子项或报价视为不实质响应磋商文件，按无效标处理。</w:t>
      </w:r>
    </w:p>
    <w:p w14:paraId="2123D144">
      <w:pPr>
        <w:kinsoku w:val="0"/>
        <w:overflowPunct w:val="0"/>
        <w:adjustRightInd w:val="0"/>
        <w:spacing w:line="440" w:lineRule="exact"/>
        <w:ind w:left="591"/>
        <w:rPr>
          <w:rFonts w:hint="eastAsia" w:ascii="宋体" w:hAnsi="宋体" w:eastAsia="宋体" w:cs="宋体"/>
          <w:sz w:val="24"/>
          <w:szCs w:val="24"/>
          <w:highlight w:val="none"/>
          <w:lang w:val="en-US" w:bidi="ar-SA"/>
        </w:rPr>
      </w:pPr>
      <w:r>
        <w:rPr>
          <w:rFonts w:hint="eastAsia" w:ascii="宋体" w:hAnsi="宋体" w:eastAsia="宋体" w:cs="宋体"/>
          <w:b/>
          <w:sz w:val="24"/>
          <w:szCs w:val="24"/>
          <w:highlight w:val="none"/>
          <w:lang w:val="en-US" w:bidi="ar-SA"/>
        </w:rPr>
        <w:t>35、响应文件的评审、比较和否决</w:t>
      </w:r>
    </w:p>
    <w:p w14:paraId="26B07823">
      <w:pPr>
        <w:kinsoku w:val="0"/>
        <w:overflowPunct w:val="0"/>
        <w:adjustRightInd w:val="0"/>
        <w:spacing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35.1磋商小组将按照本须知第33条规定，仅对在实质上响应磋商文件要求的响应文件进行评估和比较。</w:t>
      </w:r>
    </w:p>
    <w:p w14:paraId="6F61B3A8">
      <w:pPr>
        <w:kinsoku w:val="0"/>
        <w:overflowPunct w:val="0"/>
        <w:adjustRightInd w:val="0"/>
        <w:spacing w:before="60"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35.2在评审过程中</w:t>
      </w:r>
      <w:r>
        <w:rPr>
          <w:rFonts w:hint="eastAsia" w:ascii="宋体" w:hAnsi="宋体" w:eastAsia="宋体" w:cs="宋体"/>
          <w:spacing w:val="-120"/>
          <w:sz w:val="24"/>
          <w:szCs w:val="24"/>
          <w:highlight w:val="none"/>
          <w:lang w:val="en-US" w:bidi="ar-SA"/>
        </w:rPr>
        <w:t>，</w:t>
      </w:r>
      <w:r>
        <w:rPr>
          <w:rFonts w:hint="eastAsia" w:ascii="宋体" w:hAnsi="宋体" w:eastAsia="宋体" w:cs="宋体"/>
          <w:sz w:val="24"/>
          <w:szCs w:val="24"/>
          <w:highlight w:val="none"/>
          <w:lang w:val="en-US" w:bidi="ar-SA"/>
        </w:rPr>
        <w:t>磋商小组可以书面形式要求供应商就响应文件中含义不明确的内容进行书面说明并提供相关材料。</w:t>
      </w:r>
    </w:p>
    <w:p w14:paraId="49AB8A24">
      <w:pPr>
        <w:kinsoku w:val="0"/>
        <w:overflowPunct w:val="0"/>
        <w:adjustRightInd w:val="0"/>
        <w:spacing w:before="60"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35.3磋商开始，磋商小组成员与供应商磋商各项内容：</w:t>
      </w:r>
      <w:r>
        <w:rPr>
          <w:rFonts w:hint="eastAsia" w:ascii="宋体" w:hAnsi="宋体" w:eastAsia="宋体" w:cs="宋体"/>
          <w:spacing w:val="4"/>
          <w:sz w:val="24"/>
          <w:szCs w:val="24"/>
          <w:highlight w:val="none"/>
          <w:lang w:val="en-US" w:bidi="ar-SA"/>
        </w:rPr>
        <w:t>磋商小组所有成员集中与</w:t>
      </w:r>
      <w:r>
        <w:rPr>
          <w:rFonts w:hint="eastAsia" w:ascii="宋体" w:hAnsi="宋体" w:eastAsia="宋体" w:cs="宋体"/>
          <w:sz w:val="24"/>
          <w:szCs w:val="24"/>
          <w:highlight w:val="none"/>
          <w:lang w:val="en-US" w:bidi="ar-SA"/>
        </w:rPr>
        <w:t>单一供应商分别进行磋商。磋商小组根据供应商的报价、响应内容及磋商的情况，给予每个正在参加磋商的供应商相同的机会。</w:t>
      </w:r>
    </w:p>
    <w:p w14:paraId="7F22DB6E">
      <w:pPr>
        <w:kinsoku w:val="0"/>
        <w:overflowPunct w:val="0"/>
        <w:adjustRightInd w:val="0"/>
        <w:spacing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 xml:space="preserve">35.3.1 </w:t>
      </w:r>
      <w:r>
        <w:rPr>
          <w:rFonts w:hint="eastAsia" w:ascii="宋体" w:hAnsi="宋体" w:eastAsia="宋体" w:cs="宋体"/>
          <w:spacing w:val="1"/>
          <w:sz w:val="24"/>
          <w:szCs w:val="24"/>
          <w:highlight w:val="none"/>
          <w:lang w:val="en-US" w:bidi="ar-SA"/>
        </w:rPr>
        <w:t>在磋商过程中，磋商小组可以根据磋商文件和磋商情况变动采购需求中</w:t>
      </w:r>
      <w:r>
        <w:rPr>
          <w:rFonts w:hint="eastAsia" w:ascii="宋体" w:hAnsi="宋体" w:eastAsia="宋体" w:cs="宋体"/>
          <w:sz w:val="24"/>
          <w:szCs w:val="24"/>
          <w:highlight w:val="none"/>
          <w:lang w:val="en-US" w:bidi="ar-SA"/>
        </w:rPr>
        <w:t>的技术、商务要求以及合同草案条款，实质性变动的内容，须经采购人代表确认。</w:t>
      </w:r>
    </w:p>
    <w:p w14:paraId="08661AA6">
      <w:pPr>
        <w:kinsoku w:val="0"/>
        <w:overflowPunct w:val="0"/>
        <w:adjustRightInd w:val="0"/>
        <w:spacing w:before="56"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 xml:space="preserve">35.3.2 </w:t>
      </w:r>
      <w:r>
        <w:rPr>
          <w:rFonts w:hint="eastAsia" w:ascii="宋体" w:hAnsi="宋体" w:eastAsia="宋体" w:cs="宋体"/>
          <w:spacing w:val="1"/>
          <w:sz w:val="24"/>
          <w:szCs w:val="24"/>
          <w:highlight w:val="none"/>
          <w:lang w:val="en-US" w:bidi="ar-SA"/>
        </w:rPr>
        <w:t>对磋商文件作出的实质性变动是磋商文件的有效组成部分，磋商小组应</w:t>
      </w:r>
      <w:r>
        <w:rPr>
          <w:rFonts w:hint="eastAsia" w:ascii="宋体" w:hAnsi="宋体" w:eastAsia="宋体" w:cs="宋体"/>
          <w:sz w:val="24"/>
          <w:szCs w:val="24"/>
          <w:highlight w:val="none"/>
          <w:lang w:val="en-US" w:bidi="ar-SA"/>
        </w:rPr>
        <w:t>当及时以书面形式同时通知所有参加磋商的供应商。</w:t>
      </w:r>
    </w:p>
    <w:p w14:paraId="3E66462B">
      <w:pPr>
        <w:pStyle w:val="10"/>
        <w:kinsoku w:val="0"/>
        <w:overflowPunct w:val="0"/>
        <w:spacing w:line="440" w:lineRule="exact"/>
        <w:ind w:left="111" w:right="110" w:firstLine="480"/>
        <w:rPr>
          <w:rFonts w:hint="eastAsia" w:ascii="宋体" w:hAnsi="宋体" w:eastAsia="宋体" w:cs="宋体"/>
          <w:color w:val="FF0000"/>
          <w:highlight w:val="none"/>
          <w:lang w:val="en-US" w:bidi="ar-SA"/>
        </w:rPr>
      </w:pPr>
      <w:r>
        <w:rPr>
          <w:rFonts w:hint="eastAsia" w:ascii="宋体" w:hAnsi="宋体" w:eastAsia="宋体" w:cs="宋体"/>
          <w:highlight w:val="none"/>
          <w:lang w:val="en-US" w:bidi="ar-SA"/>
        </w:rPr>
        <w:t>35.3.3</w:t>
      </w:r>
      <w:r>
        <w:rPr>
          <w:rFonts w:hint="eastAsia" w:ascii="宋体" w:hAnsi="宋体" w:eastAsia="宋体" w:cs="宋体"/>
          <w:color w:val="FF0000"/>
          <w:highlight w:val="none"/>
          <w:lang w:val="en-US" w:bidi="ar-SA"/>
        </w:rPr>
        <w:t xml:space="preserve"> </w:t>
      </w:r>
      <w:r>
        <w:rPr>
          <w:rFonts w:hint="eastAsia" w:ascii="宋体" w:hAnsi="宋体" w:eastAsia="宋体" w:cs="宋体"/>
          <w:highlight w:val="none"/>
        </w:rPr>
        <w:t>供应商按照磋商文件实质性变动情况和磋商小组的要求重新提交响应文件，并由其全权代表签章。</w:t>
      </w:r>
    </w:p>
    <w:p w14:paraId="20A79A17">
      <w:pPr>
        <w:kinsoku w:val="0"/>
        <w:overflowPunct w:val="0"/>
        <w:adjustRightInd w:val="0"/>
        <w:spacing w:before="56"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35.3.4 磋商结束后，参加磋商的供应商应当对磋商达成的意向，以书面形式由全权代表签字确认后提交。</w:t>
      </w:r>
    </w:p>
    <w:p w14:paraId="5E3D1116">
      <w:pPr>
        <w:kinsoku w:val="0"/>
        <w:overflowPunct w:val="0"/>
        <w:adjustRightInd w:val="0"/>
        <w:spacing w:before="56" w:line="440" w:lineRule="exact"/>
        <w:ind w:left="111" w:right="110" w:firstLine="48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35.4 磋商小组依据本须知35.5条规定的评审标准和方法，对实质性响应采购文件的供应商进行评审和比较，向采购人提出书面的评审报告，并推荐合格的成交候选人。采购人根据磋商小组提出的书面评审报告和推荐的成交候选人确定中标人，也可以授权磋商小组直接确定中标人。</w:t>
      </w:r>
    </w:p>
    <w:p w14:paraId="5C176F40">
      <w:pPr>
        <w:kinsoku w:val="0"/>
        <w:overflowPunct w:val="0"/>
        <w:adjustRightInd w:val="0"/>
        <w:spacing w:before="57" w:line="440" w:lineRule="exact"/>
        <w:ind w:left="591"/>
        <w:rPr>
          <w:rFonts w:hint="eastAsia" w:ascii="宋体" w:hAnsi="宋体" w:eastAsia="宋体" w:cs="宋体"/>
          <w:b/>
          <w:sz w:val="24"/>
          <w:szCs w:val="24"/>
          <w:highlight w:val="none"/>
          <w:lang w:val="en-US" w:bidi="ar-SA"/>
        </w:rPr>
      </w:pPr>
      <w:r>
        <w:rPr>
          <w:rFonts w:hint="eastAsia" w:ascii="宋体" w:hAnsi="宋体" w:eastAsia="宋体" w:cs="宋体"/>
          <w:sz w:val="24"/>
          <w:szCs w:val="24"/>
          <w:highlight w:val="none"/>
          <w:lang w:val="en-US" w:bidi="ar-SA"/>
        </w:rPr>
        <w:t>35.5 评审方法及标准</w:t>
      </w:r>
    </w:p>
    <w:p w14:paraId="56D8233D">
      <w:pPr>
        <w:kinsoku w:val="0"/>
        <w:overflowPunct w:val="0"/>
        <w:adjustRightInd w:val="0"/>
        <w:spacing w:line="440" w:lineRule="exact"/>
        <w:ind w:left="111" w:right="17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35.5.1本次评审采用综合评估法：具体详见“第八章评标方法及标准”。</w:t>
      </w:r>
    </w:p>
    <w:p w14:paraId="13E07C88">
      <w:pPr>
        <w:kinsoku w:val="0"/>
        <w:overflowPunct w:val="0"/>
        <w:adjustRightInd w:val="0"/>
        <w:spacing w:line="440" w:lineRule="exact"/>
        <w:ind w:left="111" w:right="17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35.6 磋商小组经评审</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认为所有磋商都不符合磋商文件要求的</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可以否决所有报价。所有报价被否决后，采购人应当依法重新磋商。</w:t>
      </w:r>
    </w:p>
    <w:p w14:paraId="4FF9D9D4">
      <w:pPr>
        <w:kinsoku w:val="0"/>
        <w:overflowPunct w:val="0"/>
        <w:adjustRightInd w:val="0"/>
        <w:ind w:right="56"/>
        <w:jc w:val="center"/>
        <w:outlineLvl w:val="9"/>
        <w:rPr>
          <w:rFonts w:hint="eastAsia" w:ascii="宋体" w:hAnsi="宋体" w:eastAsia="宋体" w:cs="宋体"/>
          <w:b/>
          <w:sz w:val="24"/>
          <w:szCs w:val="24"/>
          <w:highlight w:val="none"/>
          <w:lang w:val="en-US" w:bidi="ar-SA"/>
        </w:rPr>
      </w:pPr>
    </w:p>
    <w:p w14:paraId="30644BB8">
      <w:pPr>
        <w:kinsoku w:val="0"/>
        <w:overflowPunct w:val="0"/>
        <w:adjustRightInd w:val="0"/>
        <w:ind w:right="56"/>
        <w:outlineLvl w:val="9"/>
        <w:rPr>
          <w:rFonts w:hint="eastAsia" w:ascii="宋体" w:hAnsi="宋体" w:eastAsia="宋体" w:cs="宋体"/>
          <w:b/>
          <w:sz w:val="24"/>
          <w:szCs w:val="24"/>
          <w:highlight w:val="none"/>
          <w:lang w:val="en-US" w:bidi="ar-SA"/>
        </w:rPr>
      </w:pPr>
    </w:p>
    <w:p w14:paraId="35DB5176">
      <w:pPr>
        <w:kinsoku w:val="0"/>
        <w:overflowPunct w:val="0"/>
        <w:adjustRightInd w:val="0"/>
        <w:ind w:right="56"/>
        <w:jc w:val="center"/>
        <w:outlineLvl w:val="9"/>
        <w:rPr>
          <w:rFonts w:hint="eastAsia" w:ascii="宋体" w:hAnsi="宋体" w:eastAsia="宋体" w:cs="宋体"/>
          <w:sz w:val="24"/>
          <w:szCs w:val="24"/>
          <w:highlight w:val="none"/>
          <w:lang w:val="en-US" w:bidi="ar-SA"/>
        </w:rPr>
      </w:pPr>
      <w:r>
        <w:rPr>
          <w:rFonts w:hint="eastAsia" w:ascii="宋体" w:hAnsi="宋体" w:eastAsia="宋体" w:cs="宋体"/>
          <w:b/>
          <w:sz w:val="24"/>
          <w:szCs w:val="24"/>
          <w:highlight w:val="none"/>
          <w:lang w:val="en-US" w:bidi="ar-SA"/>
        </w:rPr>
        <w:t>（七）合同的授予</w:t>
      </w:r>
    </w:p>
    <w:p w14:paraId="1BA20A4A">
      <w:pPr>
        <w:kinsoku w:val="0"/>
        <w:overflowPunct w:val="0"/>
        <w:adjustRightInd w:val="0"/>
        <w:spacing w:before="10"/>
        <w:rPr>
          <w:rFonts w:hint="eastAsia" w:ascii="宋体" w:hAnsi="宋体" w:eastAsia="宋体" w:cs="宋体"/>
          <w:b/>
          <w:sz w:val="18"/>
          <w:szCs w:val="24"/>
          <w:highlight w:val="none"/>
          <w:lang w:val="en-US" w:bidi="ar-SA"/>
        </w:rPr>
      </w:pPr>
    </w:p>
    <w:p w14:paraId="4159CCA8">
      <w:pPr>
        <w:kinsoku w:val="0"/>
        <w:overflowPunct w:val="0"/>
        <w:adjustRightInd w:val="0"/>
        <w:spacing w:line="440" w:lineRule="exact"/>
        <w:ind w:left="591"/>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36、合同授予标准</w:t>
      </w:r>
    </w:p>
    <w:p w14:paraId="64732AE6">
      <w:pPr>
        <w:kinsoku w:val="0"/>
        <w:overflowPunct w:val="0"/>
        <w:adjustRightInd w:val="0"/>
        <w:spacing w:line="440" w:lineRule="exact"/>
        <w:ind w:left="591"/>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36.1本磋商工程的施工合同将授予按本须知第35.5.1款所确定的中标人。</w:t>
      </w:r>
    </w:p>
    <w:p w14:paraId="7382893C">
      <w:pPr>
        <w:kinsoku w:val="0"/>
        <w:overflowPunct w:val="0"/>
        <w:adjustRightInd w:val="0"/>
        <w:spacing w:line="440" w:lineRule="exact"/>
        <w:ind w:left="591"/>
        <w:outlineLvl w:val="4"/>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37、采购人拒绝磋商的权力</w:t>
      </w:r>
    </w:p>
    <w:p w14:paraId="3F775421">
      <w:pPr>
        <w:kinsoku w:val="0"/>
        <w:overflowPunct w:val="0"/>
        <w:adjustRightInd w:val="0"/>
        <w:spacing w:line="440" w:lineRule="exact"/>
        <w:ind w:left="111" w:right="17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37.1采购人在发出成交通知书前</w:t>
      </w:r>
      <w:r>
        <w:rPr>
          <w:rFonts w:hint="eastAsia" w:ascii="宋体" w:hAnsi="宋体" w:eastAsia="宋体" w:cs="宋体"/>
          <w:spacing w:val="-120"/>
          <w:sz w:val="24"/>
          <w:szCs w:val="24"/>
          <w:highlight w:val="none"/>
          <w:lang w:val="en-US" w:bidi="ar-SA"/>
        </w:rPr>
        <w:t>，</w:t>
      </w:r>
      <w:r>
        <w:rPr>
          <w:rFonts w:hint="eastAsia" w:ascii="宋体" w:hAnsi="宋体" w:eastAsia="宋体" w:cs="宋体"/>
          <w:sz w:val="24"/>
          <w:szCs w:val="24"/>
          <w:highlight w:val="none"/>
          <w:lang w:val="en-US" w:bidi="ar-SA"/>
        </w:rPr>
        <w:t>有权依据磋商小组的评审报告拒绝不合格的报价。</w:t>
      </w:r>
    </w:p>
    <w:p w14:paraId="2D98D247">
      <w:pPr>
        <w:kinsoku w:val="0"/>
        <w:overflowPunct w:val="0"/>
        <w:adjustRightInd w:val="0"/>
        <w:spacing w:before="56" w:line="440" w:lineRule="exact"/>
        <w:ind w:left="591"/>
        <w:outlineLvl w:val="4"/>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38、成交信息的公布</w:t>
      </w:r>
    </w:p>
    <w:p w14:paraId="2DAEC22E">
      <w:pPr>
        <w:adjustRightInd w:val="0"/>
        <w:spacing w:line="440" w:lineRule="exact"/>
        <w:ind w:firstLine="480" w:firstLineChars="200"/>
        <w:outlineLvl w:val="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38.1 确定成交供应商后，由采购代理机构将中标结果在省级以上财政部门指定的信息发布媒体上公告1个工作日，在公告中标结果的同时，采购代理机构向中标供应商发出《成交通知书》。成交通知书对采购人和成交供应商具有同等法律效力。</w:t>
      </w:r>
    </w:p>
    <w:p w14:paraId="13493EAA">
      <w:pPr>
        <w:adjustRightInd w:val="0"/>
        <w:spacing w:line="440" w:lineRule="exact"/>
        <w:ind w:firstLine="480" w:firstLineChars="200"/>
        <w:outlineLvl w:val="0"/>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val="en-US" w:bidi="ar-SA"/>
        </w:rPr>
        <w:t>38.2 供应商对中标公告有异议的，应当在中标公告发布之日起7个工作日内，以书面形式向采购人和采购代理机构提出质疑。质疑供应商对答复不满意或者采购人未在规定时间内答复的，可以在答复期满后十五个工作日内向同级政府采购监督管理部门投诉。</w:t>
      </w:r>
    </w:p>
    <w:p w14:paraId="0B1C2D44">
      <w:pPr>
        <w:adjustRightInd w:val="0"/>
        <w:spacing w:line="440" w:lineRule="exact"/>
        <w:ind w:firstLine="480" w:firstLineChars="200"/>
        <w:outlineLvl w:val="0"/>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val="en-US" w:bidi="ar-SA"/>
        </w:rPr>
        <w:t>38</w:t>
      </w:r>
      <w:r>
        <w:rPr>
          <w:rFonts w:hint="eastAsia" w:ascii="宋体" w:hAnsi="宋体" w:eastAsia="宋体" w:cs="宋体"/>
          <w:sz w:val="24"/>
          <w:szCs w:val="24"/>
          <w:highlight w:val="none"/>
          <w:lang w:bidi="ar-SA"/>
        </w:rPr>
        <w:t>.</w:t>
      </w:r>
      <w:r>
        <w:rPr>
          <w:rFonts w:hint="eastAsia" w:ascii="宋体" w:hAnsi="宋体" w:eastAsia="宋体" w:cs="宋体"/>
          <w:sz w:val="24"/>
          <w:szCs w:val="24"/>
          <w:highlight w:val="none"/>
          <w:lang w:val="en-US" w:bidi="ar-SA"/>
        </w:rPr>
        <w:t>3</w:t>
      </w:r>
      <w:r>
        <w:rPr>
          <w:rFonts w:hint="eastAsia" w:ascii="宋体" w:hAnsi="宋体" w:eastAsia="宋体" w:cs="宋体"/>
          <w:sz w:val="24"/>
          <w:szCs w:val="24"/>
          <w:highlight w:val="none"/>
          <w:lang w:bidi="ar-SA"/>
        </w:rPr>
        <w:t>《中标通知书》要作为</w:t>
      </w:r>
      <w:r>
        <w:rPr>
          <w:rFonts w:hint="eastAsia" w:ascii="宋体" w:hAnsi="宋体" w:eastAsia="宋体" w:cs="宋体"/>
          <w:sz w:val="24"/>
          <w:szCs w:val="24"/>
          <w:highlight w:val="none"/>
          <w:lang w:val="en-US" w:bidi="ar-SA"/>
        </w:rPr>
        <w:t>采购人、中标人</w:t>
      </w:r>
      <w:r>
        <w:rPr>
          <w:rFonts w:hint="eastAsia" w:ascii="宋体" w:hAnsi="宋体" w:eastAsia="宋体" w:cs="宋体"/>
          <w:sz w:val="24"/>
          <w:szCs w:val="24"/>
          <w:highlight w:val="none"/>
          <w:lang w:bidi="ar-SA"/>
        </w:rPr>
        <w:t>签订政府采购合同的依据。</w:t>
      </w:r>
    </w:p>
    <w:p w14:paraId="26AE692F">
      <w:pPr>
        <w:kinsoku w:val="0"/>
        <w:overflowPunct w:val="0"/>
        <w:adjustRightInd w:val="0"/>
        <w:spacing w:line="440" w:lineRule="exact"/>
        <w:ind w:left="591"/>
        <w:outlineLvl w:val="4"/>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39、合同协议书的签订</w:t>
      </w:r>
    </w:p>
    <w:p w14:paraId="7192A595">
      <w:pPr>
        <w:kinsoku w:val="0"/>
        <w:overflowPunct w:val="0"/>
        <w:adjustRightInd w:val="0"/>
        <w:spacing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39.1 采购人与中标人将于成交通知书发出之日起30日内，按照磋商文件和中标人的响应文件订立书面工程施工合同</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采购人和中标人不得再行订立背离合同实质性内容的其他协议。</w:t>
      </w:r>
    </w:p>
    <w:p w14:paraId="446E067B">
      <w:pPr>
        <w:kinsoku w:val="0"/>
        <w:overflowPunct w:val="0"/>
        <w:adjustRightInd w:val="0"/>
        <w:spacing w:before="60" w:line="440" w:lineRule="exact"/>
        <w:ind w:left="111" w:right="17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39.2 中标人如不按本磋商须知第39.1款的规定与采购人订立合同，则采购人将废除授标，磋商保证金不予退还，给采购人造成的损失超过磋商保证金数额的，还应当对超过部分予以赔偿，同时依法承担相应法律责任。</w:t>
      </w:r>
    </w:p>
    <w:p w14:paraId="7F50AF7B">
      <w:pPr>
        <w:kinsoku w:val="0"/>
        <w:overflowPunct w:val="0"/>
        <w:adjustRightInd w:val="0"/>
        <w:spacing w:before="60"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39.3 中标人应当按照合同约定履行义务</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完成成交项目施工</w:t>
      </w:r>
      <w:r>
        <w:rPr>
          <w:rFonts w:hint="eastAsia" w:ascii="宋体" w:hAnsi="宋体" w:eastAsia="宋体" w:cs="宋体"/>
          <w:spacing w:val="-60"/>
          <w:sz w:val="24"/>
          <w:szCs w:val="24"/>
          <w:highlight w:val="none"/>
          <w:lang w:val="en-US" w:bidi="ar-SA"/>
        </w:rPr>
        <w:t>，</w:t>
      </w:r>
      <w:r>
        <w:rPr>
          <w:rFonts w:hint="eastAsia" w:ascii="宋体" w:hAnsi="宋体" w:eastAsia="宋体" w:cs="宋体"/>
          <w:sz w:val="24"/>
          <w:szCs w:val="24"/>
          <w:highlight w:val="none"/>
          <w:lang w:val="en-US" w:bidi="ar-SA"/>
        </w:rPr>
        <w:t>不得将成交项目转让（转包）给他人。</w:t>
      </w:r>
    </w:p>
    <w:p w14:paraId="585EABF7">
      <w:pPr>
        <w:kinsoku w:val="0"/>
        <w:overflowPunct w:val="0"/>
        <w:adjustRightInd w:val="0"/>
        <w:spacing w:line="440" w:lineRule="exact"/>
        <w:ind w:left="591" w:right="5091"/>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40、质疑与投诉</w:t>
      </w:r>
    </w:p>
    <w:p w14:paraId="7B870493">
      <w:pPr>
        <w:kinsoku w:val="0"/>
        <w:overflowPunct w:val="0"/>
        <w:adjustRightInd w:val="0"/>
        <w:spacing w:before="60"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40.1 质疑供应商是指直接参加本项目采购活动的供应商，未参加政府采购活动的供应商或在采购活动中自身权益未受到损害的供应商所提出的质疑不予受理。</w:t>
      </w:r>
    </w:p>
    <w:p w14:paraId="2F5CB889">
      <w:pPr>
        <w:kinsoku w:val="0"/>
        <w:overflowPunct w:val="0"/>
        <w:adjustRightInd w:val="0"/>
        <w:spacing w:before="60"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40.2 投标供应商认为磋商文件、采购过程、中标和成交结果使自己的合法权益受到损害的，可以在知道或应知道其权益受到损害之日起七个工作日内以书面形式向招采购人或采购代理机构提出质疑。</w:t>
      </w:r>
    </w:p>
    <w:p w14:paraId="408DA95A">
      <w:pPr>
        <w:kinsoku w:val="0"/>
        <w:overflowPunct w:val="0"/>
        <w:adjustRightInd w:val="0"/>
        <w:spacing w:before="60"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40.3 采购人或采购代理机构在收到投标供应商的书面质疑后七个工作日内作出答复，但答复的内容不得涉及商业秘密。质疑投标供应商对采购人或采购代理机构的答复不满意，可以在答复期满后十五个工作日内向采购监督管理部门投诉。</w:t>
      </w:r>
    </w:p>
    <w:p w14:paraId="77E2CDF1">
      <w:pPr>
        <w:kinsoku w:val="0"/>
        <w:overflowPunct w:val="0"/>
        <w:adjustRightInd w:val="0"/>
        <w:spacing w:before="60"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 xml:space="preserve">40.4 投诉人投诉时，应提交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14:paraId="1D947C47">
      <w:pPr>
        <w:kinsoku w:val="0"/>
        <w:overflowPunct w:val="0"/>
        <w:adjustRightInd w:val="0"/>
        <w:spacing w:before="60"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 xml:space="preserve">（1）供应商的姓名或者名称、地址、邮编、联系人及联系电话（包括座机、手机、传真号码等）； </w:t>
      </w:r>
    </w:p>
    <w:p w14:paraId="5A6CA280">
      <w:pPr>
        <w:kinsoku w:val="0"/>
        <w:overflowPunct w:val="0"/>
        <w:adjustRightInd w:val="0"/>
        <w:spacing w:before="60"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 xml:space="preserve">（2）质疑项目的名称、项目编号、包号、采购公告发布时间、递交投标文件或响应文件截止时间； </w:t>
      </w:r>
    </w:p>
    <w:p w14:paraId="7BE4F3B7">
      <w:pPr>
        <w:kinsoku w:val="0"/>
        <w:overflowPunct w:val="0"/>
        <w:adjustRightInd w:val="0"/>
        <w:spacing w:before="60"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 xml:space="preserve">（3）具体、明确的质疑事项和与质疑事项相关的请求； </w:t>
      </w:r>
    </w:p>
    <w:p w14:paraId="1727CA17">
      <w:pPr>
        <w:kinsoku w:val="0"/>
        <w:overflowPunct w:val="0"/>
        <w:adjustRightInd w:val="0"/>
        <w:spacing w:before="60"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 xml:space="preserve">（4）事实依据（具体条款，认为自己合法权益受到损害或可能受到损害的相关证据材料。如涉及到产品功能或技术指标的，应出具相关制造商的证明文件）； </w:t>
      </w:r>
    </w:p>
    <w:p w14:paraId="56739807">
      <w:pPr>
        <w:kinsoku w:val="0"/>
        <w:overflowPunct w:val="0"/>
        <w:adjustRightInd w:val="0"/>
        <w:spacing w:before="60"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 xml:space="preserve">（5）必要的法律依据； </w:t>
      </w:r>
    </w:p>
    <w:p w14:paraId="4F175126">
      <w:pPr>
        <w:kinsoku w:val="0"/>
        <w:overflowPunct w:val="0"/>
        <w:adjustRightInd w:val="0"/>
        <w:spacing w:before="60"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（6）提起质疑的日期；</w:t>
      </w:r>
    </w:p>
    <w:p w14:paraId="38C4931D">
      <w:pPr>
        <w:kinsoku w:val="0"/>
        <w:overflowPunct w:val="0"/>
        <w:adjustRightInd w:val="0"/>
        <w:spacing w:before="60"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（7）质疑文件应当署名，质疑人为自然人的，应当由本人签字并附有效身份证明；质疑人为法人或其他组织的，应当由法定代表人签字并加盖单位公章；</w:t>
      </w:r>
    </w:p>
    <w:p w14:paraId="4598A83E">
      <w:pPr>
        <w:kinsoku w:val="0"/>
        <w:overflowPunct w:val="0"/>
        <w:adjustRightInd w:val="0"/>
        <w:spacing w:before="60"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（8）供应商委托代理质疑的，应当提交授权委托书，并载明代理人的姓名或者名称、代理事项、 具体权限、期限和相关事项。</w:t>
      </w:r>
    </w:p>
    <w:p w14:paraId="39181047">
      <w:pPr>
        <w:kinsoku w:val="0"/>
        <w:overflowPunct w:val="0"/>
        <w:adjustRightInd w:val="0"/>
        <w:spacing w:before="60" w:line="440" w:lineRule="exact"/>
        <w:ind w:left="111" w:right="232" w:firstLine="480"/>
        <w:jc w:val="both"/>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40.5投诉人对质疑/投诉书的真实性负责，恶意投诉将承当相应的法律和民事责任。</w:t>
      </w:r>
    </w:p>
    <w:p w14:paraId="69E24864">
      <w:pPr>
        <w:pStyle w:val="23"/>
        <w:rPr>
          <w:rFonts w:hint="eastAsia"/>
        </w:rPr>
      </w:pPr>
    </w:p>
    <w:p w14:paraId="5A25B800">
      <w:pPr>
        <w:pStyle w:val="3"/>
        <w:tabs>
          <w:tab w:val="left" w:pos="2047"/>
        </w:tabs>
        <w:ind w:left="0" w:leftChars="0" w:firstLine="0" w:firstLineChars="0"/>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第二章</w:t>
      </w:r>
      <w:r>
        <w:rPr>
          <w:rFonts w:hint="eastAsia" w:ascii="宋体" w:hAnsi="宋体" w:eastAsia="宋体" w:cs="宋体"/>
          <w:sz w:val="30"/>
          <w:szCs w:val="30"/>
          <w:highlight w:val="none"/>
          <w:lang w:val="en-US"/>
        </w:rPr>
        <w:t xml:space="preserve">  </w:t>
      </w:r>
      <w:r>
        <w:rPr>
          <w:rFonts w:hint="eastAsia" w:ascii="宋体" w:hAnsi="宋体" w:eastAsia="宋体" w:cs="宋体"/>
          <w:sz w:val="30"/>
          <w:szCs w:val="30"/>
          <w:highlight w:val="none"/>
        </w:rPr>
        <w:t>合同条款及格式</w:t>
      </w:r>
    </w:p>
    <w:p w14:paraId="32614334">
      <w:pPr>
        <w:pStyle w:val="6"/>
        <w:tabs>
          <w:tab w:val="left" w:pos="1952"/>
        </w:tabs>
        <w:ind w:left="0" w:leftChars="0" w:firstLine="0" w:firstLineChars="0"/>
        <w:jc w:val="both"/>
        <w:rPr>
          <w:rFonts w:hint="eastAsia" w:ascii="宋体" w:hAnsi="宋体" w:eastAsia="宋体" w:cs="宋体"/>
          <w:sz w:val="28"/>
          <w:szCs w:val="28"/>
          <w:highlight w:val="none"/>
        </w:rPr>
      </w:pPr>
      <w:bookmarkStart w:id="76" w:name="_TOC_250027"/>
      <w:bookmarkEnd w:id="76"/>
      <w:r>
        <w:rPr>
          <w:rFonts w:hint="eastAsia" w:ascii="宋体" w:hAnsi="宋体" w:eastAsia="宋体" w:cs="宋体"/>
          <w:sz w:val="28"/>
          <w:szCs w:val="28"/>
          <w:highlight w:val="none"/>
        </w:rPr>
        <w:t>第一节</w:t>
      </w:r>
      <w:r>
        <w:rPr>
          <w:rFonts w:hint="eastAsia" w:ascii="宋体" w:hAnsi="宋体" w:eastAsia="宋体" w:cs="宋体"/>
          <w:sz w:val="28"/>
          <w:szCs w:val="28"/>
          <w:highlight w:val="none"/>
          <w:lang w:val="en-US"/>
        </w:rPr>
        <w:t xml:space="preserve">  </w:t>
      </w:r>
      <w:r>
        <w:rPr>
          <w:rFonts w:hint="eastAsia" w:ascii="宋体" w:hAnsi="宋体" w:eastAsia="宋体" w:cs="宋体"/>
          <w:sz w:val="28"/>
          <w:szCs w:val="28"/>
          <w:highlight w:val="none"/>
        </w:rPr>
        <w:t>通用合同条款</w:t>
      </w:r>
    </w:p>
    <w:p w14:paraId="5B1F0F0D">
      <w:pPr>
        <w:pStyle w:val="6"/>
        <w:tabs>
          <w:tab w:val="left" w:pos="1952"/>
        </w:tabs>
        <w:ind w:left="0" w:leftChars="0" w:firstLine="0" w:firstLineChars="0"/>
        <w:jc w:val="both"/>
        <w:rPr>
          <w:rFonts w:hint="eastAsia" w:ascii="宋体" w:hAnsi="宋体" w:eastAsia="宋体" w:cs="宋体"/>
          <w:sz w:val="19"/>
          <w:highlight w:val="none"/>
        </w:rPr>
      </w:pPr>
      <w:r>
        <w:rPr>
          <w:rFonts w:hint="eastAsia" w:ascii="宋体" w:hAnsi="宋体" w:eastAsia="宋体" w:cs="宋体"/>
          <w:b w:val="0"/>
          <w:bCs w:val="0"/>
          <w:sz w:val="24"/>
          <w:szCs w:val="24"/>
          <w:highlight w:val="none"/>
          <w:lang w:val="en-US" w:eastAsia="zh-CN" w:bidi="ar-SA"/>
        </w:rPr>
        <w:t>一、适用条件</w:t>
      </w:r>
    </w:p>
    <w:p w14:paraId="4E31B40C">
      <w:pPr>
        <w:pStyle w:val="29"/>
        <w:numPr>
          <w:ilvl w:val="3"/>
          <w:numId w:val="7"/>
        </w:numPr>
        <w:tabs>
          <w:tab w:val="left" w:pos="1005"/>
        </w:tabs>
        <w:ind w:hanging="182"/>
        <w:jc w:val="left"/>
        <w:rPr>
          <w:rFonts w:hint="eastAsia" w:ascii="宋体" w:hAnsi="宋体" w:eastAsia="宋体" w:cs="宋体"/>
          <w:sz w:val="20"/>
          <w:highlight w:val="none"/>
        </w:rPr>
      </w:pPr>
      <w:r>
        <w:rPr>
          <w:rFonts w:hint="eastAsia" w:ascii="宋体" w:hAnsi="宋体" w:eastAsia="宋体" w:cs="宋体"/>
          <w:sz w:val="24"/>
          <w:highlight w:val="none"/>
        </w:rPr>
        <w:t>合同适用条件</w:t>
      </w:r>
    </w:p>
    <w:p w14:paraId="53C4EA69">
      <w:pPr>
        <w:pStyle w:val="29"/>
        <w:numPr>
          <w:ilvl w:val="4"/>
          <w:numId w:val="7"/>
        </w:numPr>
        <w:tabs>
          <w:tab w:val="left" w:pos="1403"/>
          <w:tab w:val="left" w:pos="1404"/>
        </w:tabs>
        <w:spacing w:before="1"/>
        <w:rPr>
          <w:rFonts w:hint="eastAsia" w:ascii="宋体" w:hAnsi="宋体" w:eastAsia="宋体" w:cs="宋体"/>
          <w:sz w:val="24"/>
          <w:highlight w:val="none"/>
        </w:rPr>
      </w:pPr>
      <w:r>
        <w:rPr>
          <w:rFonts w:hint="eastAsia" w:ascii="宋体" w:hAnsi="宋体" w:eastAsia="宋体" w:cs="宋体"/>
          <w:sz w:val="24"/>
          <w:highlight w:val="none"/>
        </w:rPr>
        <w:t>本合同适用于</w:t>
      </w:r>
      <w:r>
        <w:rPr>
          <w:rFonts w:hint="eastAsia" w:cs="宋体"/>
          <w:sz w:val="24"/>
          <w:szCs w:val="24"/>
          <w:highlight w:val="none"/>
          <w:lang w:val="en-US" w:eastAsia="zh-CN" w:bidi="ar-SA"/>
        </w:rPr>
        <w:t>叶城县洛克乡2026年交通基础设施提升改造以工代赈项目</w:t>
      </w:r>
      <w:r>
        <w:rPr>
          <w:rFonts w:hint="eastAsia" w:ascii="宋体" w:hAnsi="宋体" w:eastAsia="宋体" w:cs="宋体"/>
          <w:sz w:val="24"/>
          <w:szCs w:val="24"/>
          <w:highlight w:val="none"/>
          <w:lang w:val="en-US" w:bidi="ar-SA"/>
        </w:rPr>
        <w:t xml:space="preserve"> </w:t>
      </w:r>
      <w:r>
        <w:rPr>
          <w:rFonts w:hint="eastAsia" w:ascii="宋体" w:hAnsi="宋体" w:eastAsia="宋体" w:cs="宋体"/>
          <w:sz w:val="24"/>
          <w:highlight w:val="none"/>
        </w:rPr>
        <w:t>。</w:t>
      </w:r>
    </w:p>
    <w:p w14:paraId="19A029E6">
      <w:pPr>
        <w:pStyle w:val="29"/>
        <w:numPr>
          <w:ilvl w:val="4"/>
          <w:numId w:val="7"/>
        </w:numPr>
        <w:tabs>
          <w:tab w:val="left" w:pos="1403"/>
          <w:tab w:val="left" w:pos="1404"/>
        </w:tabs>
        <w:spacing w:before="83" w:line="304" w:lineRule="auto"/>
        <w:ind w:left="384" w:right="466" w:firstLine="480"/>
        <w:rPr>
          <w:rFonts w:hint="eastAsia" w:ascii="宋体" w:hAnsi="宋体" w:eastAsia="宋体" w:cs="宋体"/>
          <w:sz w:val="24"/>
          <w:highlight w:val="none"/>
        </w:rPr>
      </w:pPr>
      <w:r>
        <w:rPr>
          <w:rFonts w:hint="eastAsia" w:ascii="宋体" w:hAnsi="宋体" w:eastAsia="宋体" w:cs="宋体"/>
          <w:spacing w:val="-4"/>
          <w:sz w:val="24"/>
          <w:highlight w:val="none"/>
        </w:rPr>
        <w:t>施工图设计文件经过审查批准，列入建设计划，资金落实到位，征地拆迁</w:t>
      </w:r>
      <w:r>
        <w:rPr>
          <w:rFonts w:hint="eastAsia" w:ascii="宋体" w:hAnsi="宋体" w:eastAsia="宋体" w:cs="宋体"/>
          <w:sz w:val="24"/>
          <w:highlight w:val="none"/>
        </w:rPr>
        <w:t>工作已经完成。</w:t>
      </w:r>
    </w:p>
    <w:p w14:paraId="2C3E824A">
      <w:pPr>
        <w:pStyle w:val="29"/>
        <w:numPr>
          <w:ilvl w:val="3"/>
          <w:numId w:val="7"/>
        </w:numPr>
        <w:tabs>
          <w:tab w:val="left" w:pos="1005"/>
        </w:tabs>
        <w:spacing w:before="174"/>
        <w:ind w:hanging="182"/>
        <w:jc w:val="left"/>
        <w:rPr>
          <w:rFonts w:hint="eastAsia" w:ascii="宋体" w:hAnsi="宋体" w:eastAsia="宋体" w:cs="宋体"/>
          <w:sz w:val="21"/>
          <w:highlight w:val="none"/>
        </w:rPr>
      </w:pPr>
      <w:r>
        <w:rPr>
          <w:rFonts w:hint="eastAsia" w:ascii="宋体" w:hAnsi="宋体" w:eastAsia="宋体" w:cs="宋体"/>
          <w:sz w:val="24"/>
          <w:highlight w:val="none"/>
        </w:rPr>
        <w:t>合同文件及优先顺序</w:t>
      </w:r>
    </w:p>
    <w:p w14:paraId="6F685ED7">
      <w:pPr>
        <w:pStyle w:val="10"/>
        <w:spacing w:line="312" w:lineRule="auto"/>
        <w:ind w:left="384" w:right="266" w:firstLine="480"/>
        <w:rPr>
          <w:rFonts w:hint="eastAsia" w:ascii="宋体" w:hAnsi="宋体" w:eastAsia="宋体" w:cs="宋体"/>
          <w:highlight w:val="none"/>
        </w:rPr>
      </w:pPr>
      <w:r>
        <w:rPr>
          <w:rFonts w:hint="eastAsia" w:ascii="宋体" w:hAnsi="宋体" w:eastAsia="宋体" w:cs="宋体"/>
          <w:highlight w:val="none"/>
        </w:rPr>
        <w:t>组成合同的各项文件应互相解释，互为说明。除项目专用合同条款另有约定外， 解释合同文件的优先顺序如下：</w:t>
      </w:r>
    </w:p>
    <w:p w14:paraId="74DE27FF">
      <w:pPr>
        <w:pStyle w:val="29"/>
        <w:numPr>
          <w:ilvl w:val="0"/>
          <w:numId w:val="0"/>
        </w:numPr>
        <w:tabs>
          <w:tab w:val="left" w:pos="1465"/>
        </w:tabs>
        <w:spacing w:line="312" w:lineRule="auto"/>
        <w:ind w:left="864" w:leftChars="0" w:right="466" w:rightChars="0"/>
        <w:rPr>
          <w:rFonts w:hint="eastAsia" w:ascii="宋体" w:hAnsi="宋体" w:eastAsia="宋体" w:cs="宋体"/>
          <w:sz w:val="24"/>
          <w:highlight w:val="none"/>
        </w:rPr>
      </w:pPr>
      <w:r>
        <w:rPr>
          <w:rFonts w:hint="eastAsia" w:cs="宋体"/>
          <w:spacing w:val="-4"/>
          <w:sz w:val="24"/>
          <w:highlight w:val="none"/>
          <w:lang w:eastAsia="zh-CN"/>
        </w:rPr>
        <w:t>（</w:t>
      </w:r>
      <w:r>
        <w:rPr>
          <w:rFonts w:hint="eastAsia" w:cs="宋体"/>
          <w:spacing w:val="-4"/>
          <w:sz w:val="24"/>
          <w:highlight w:val="none"/>
          <w:lang w:val="en-US" w:eastAsia="zh-CN"/>
        </w:rPr>
        <w:t>1</w:t>
      </w:r>
      <w:r>
        <w:rPr>
          <w:rFonts w:hint="eastAsia" w:cs="宋体"/>
          <w:spacing w:val="-4"/>
          <w:sz w:val="24"/>
          <w:highlight w:val="none"/>
          <w:lang w:eastAsia="zh-CN"/>
        </w:rPr>
        <w:t>）</w:t>
      </w:r>
      <w:r>
        <w:rPr>
          <w:rFonts w:hint="eastAsia" w:ascii="宋体" w:hAnsi="宋体" w:eastAsia="宋体" w:cs="宋体"/>
          <w:spacing w:val="-4"/>
          <w:sz w:val="24"/>
          <w:highlight w:val="none"/>
        </w:rPr>
        <w:t>合同协议书及各种合同附件</w:t>
      </w:r>
      <w:r>
        <w:rPr>
          <w:rFonts w:hint="eastAsia" w:ascii="宋体" w:hAnsi="宋体" w:eastAsia="宋体" w:cs="宋体"/>
          <w:sz w:val="24"/>
          <w:highlight w:val="none"/>
        </w:rPr>
        <w:t>（含评标期间和合同谈判过程中的澄清文件</w:t>
      </w:r>
      <w:r>
        <w:rPr>
          <w:rFonts w:hint="eastAsia" w:ascii="宋体" w:hAnsi="宋体" w:eastAsia="宋体" w:cs="宋体"/>
          <w:spacing w:val="-5"/>
          <w:sz w:val="24"/>
          <w:highlight w:val="none"/>
        </w:rPr>
        <w:t>和补充资料</w:t>
      </w:r>
      <w:r>
        <w:rPr>
          <w:rFonts w:hint="eastAsia" w:ascii="宋体" w:hAnsi="宋体" w:eastAsia="宋体" w:cs="宋体"/>
          <w:sz w:val="24"/>
          <w:highlight w:val="none"/>
        </w:rPr>
        <w:t>）；</w:t>
      </w:r>
    </w:p>
    <w:p w14:paraId="70D4ACD4">
      <w:pPr>
        <w:pStyle w:val="29"/>
        <w:numPr>
          <w:ilvl w:val="0"/>
          <w:numId w:val="0"/>
        </w:numPr>
        <w:tabs>
          <w:tab w:val="left" w:pos="1465"/>
        </w:tabs>
        <w:spacing w:before="2"/>
        <w:ind w:left="864" w:leftChars="0"/>
        <w:rPr>
          <w:rFonts w:hint="eastAsia" w:ascii="宋体" w:hAnsi="宋体" w:eastAsia="宋体" w:cs="宋体"/>
          <w:sz w:val="24"/>
          <w:highlight w:val="none"/>
        </w:rPr>
      </w:pPr>
      <w:r>
        <w:rPr>
          <w:rFonts w:hint="eastAsia" w:cs="宋体"/>
          <w:spacing w:val="-4"/>
          <w:sz w:val="24"/>
          <w:highlight w:val="none"/>
          <w:lang w:eastAsia="zh-CN"/>
        </w:rPr>
        <w:t>（</w:t>
      </w:r>
      <w:r>
        <w:rPr>
          <w:rFonts w:hint="eastAsia" w:cs="宋体"/>
          <w:spacing w:val="-4"/>
          <w:sz w:val="24"/>
          <w:highlight w:val="none"/>
          <w:lang w:val="en-US" w:eastAsia="zh-CN"/>
        </w:rPr>
        <w:t>2</w:t>
      </w:r>
      <w:r>
        <w:rPr>
          <w:rFonts w:hint="eastAsia" w:cs="宋体"/>
          <w:spacing w:val="-4"/>
          <w:sz w:val="24"/>
          <w:highlight w:val="none"/>
          <w:lang w:eastAsia="zh-CN"/>
        </w:rPr>
        <w:t>）</w:t>
      </w:r>
      <w:r>
        <w:rPr>
          <w:rFonts w:hint="eastAsia" w:ascii="宋体" w:hAnsi="宋体" w:eastAsia="宋体" w:cs="宋体"/>
          <w:sz w:val="24"/>
          <w:highlight w:val="none"/>
        </w:rPr>
        <w:t>中标通知书；</w:t>
      </w:r>
    </w:p>
    <w:p w14:paraId="7F475DE3">
      <w:pPr>
        <w:pStyle w:val="29"/>
        <w:numPr>
          <w:ilvl w:val="0"/>
          <w:numId w:val="0"/>
        </w:numPr>
        <w:tabs>
          <w:tab w:val="left" w:pos="1465"/>
        </w:tabs>
        <w:spacing w:before="90"/>
        <w:ind w:left="864" w:leftChars="0"/>
        <w:rPr>
          <w:rFonts w:hint="eastAsia" w:ascii="宋体" w:hAnsi="宋体" w:eastAsia="宋体" w:cs="宋体"/>
          <w:sz w:val="24"/>
          <w:highlight w:val="none"/>
        </w:rPr>
      </w:pPr>
      <w:r>
        <w:rPr>
          <w:rFonts w:hint="eastAsia" w:cs="宋体"/>
          <w:spacing w:val="-4"/>
          <w:sz w:val="24"/>
          <w:highlight w:val="none"/>
          <w:lang w:eastAsia="zh-CN"/>
        </w:rPr>
        <w:t>（</w:t>
      </w:r>
      <w:r>
        <w:rPr>
          <w:rFonts w:hint="eastAsia" w:cs="宋体"/>
          <w:spacing w:val="-4"/>
          <w:sz w:val="24"/>
          <w:highlight w:val="none"/>
          <w:lang w:val="en-US" w:eastAsia="zh-CN"/>
        </w:rPr>
        <w:t>3</w:t>
      </w:r>
      <w:r>
        <w:rPr>
          <w:rFonts w:hint="eastAsia" w:cs="宋体"/>
          <w:spacing w:val="-4"/>
          <w:sz w:val="24"/>
          <w:highlight w:val="none"/>
          <w:lang w:eastAsia="zh-CN"/>
        </w:rPr>
        <w:t>）</w:t>
      </w:r>
      <w:r>
        <w:rPr>
          <w:rFonts w:hint="eastAsia" w:ascii="宋体" w:hAnsi="宋体" w:eastAsia="宋体" w:cs="宋体"/>
          <w:sz w:val="24"/>
          <w:highlight w:val="none"/>
        </w:rPr>
        <w:t>投标函及投标函附录；</w:t>
      </w:r>
    </w:p>
    <w:p w14:paraId="2274FFEB">
      <w:pPr>
        <w:pStyle w:val="29"/>
        <w:numPr>
          <w:ilvl w:val="0"/>
          <w:numId w:val="0"/>
        </w:numPr>
        <w:tabs>
          <w:tab w:val="left" w:pos="1465"/>
        </w:tabs>
        <w:spacing w:before="94"/>
        <w:ind w:left="864" w:leftChars="0"/>
        <w:rPr>
          <w:rFonts w:hint="eastAsia" w:ascii="宋体" w:hAnsi="宋体" w:eastAsia="宋体" w:cs="宋体"/>
          <w:sz w:val="24"/>
          <w:highlight w:val="none"/>
        </w:rPr>
      </w:pPr>
      <w:r>
        <w:rPr>
          <w:rFonts w:hint="eastAsia" w:cs="宋体"/>
          <w:spacing w:val="-4"/>
          <w:sz w:val="24"/>
          <w:highlight w:val="none"/>
          <w:lang w:eastAsia="zh-CN"/>
        </w:rPr>
        <w:t>（</w:t>
      </w:r>
      <w:r>
        <w:rPr>
          <w:rFonts w:hint="eastAsia" w:cs="宋体"/>
          <w:spacing w:val="-4"/>
          <w:sz w:val="24"/>
          <w:highlight w:val="none"/>
          <w:lang w:val="en-US" w:eastAsia="zh-CN"/>
        </w:rPr>
        <w:t>4</w:t>
      </w:r>
      <w:r>
        <w:rPr>
          <w:rFonts w:hint="eastAsia" w:cs="宋体"/>
          <w:spacing w:val="-4"/>
          <w:sz w:val="24"/>
          <w:highlight w:val="none"/>
          <w:lang w:eastAsia="zh-CN"/>
        </w:rPr>
        <w:t>）</w:t>
      </w:r>
      <w:r>
        <w:rPr>
          <w:rFonts w:hint="eastAsia" w:ascii="宋体" w:hAnsi="宋体" w:eastAsia="宋体" w:cs="宋体"/>
          <w:sz w:val="24"/>
          <w:highlight w:val="none"/>
        </w:rPr>
        <w:t>专用合同条款；</w:t>
      </w:r>
    </w:p>
    <w:p w14:paraId="5282515D">
      <w:pPr>
        <w:pStyle w:val="29"/>
        <w:numPr>
          <w:ilvl w:val="0"/>
          <w:numId w:val="0"/>
        </w:numPr>
        <w:tabs>
          <w:tab w:val="left" w:pos="1465"/>
        </w:tabs>
        <w:spacing w:before="93"/>
        <w:ind w:left="864" w:leftChars="0"/>
        <w:rPr>
          <w:rFonts w:hint="eastAsia" w:ascii="宋体" w:hAnsi="宋体" w:eastAsia="宋体" w:cs="宋体"/>
          <w:sz w:val="24"/>
          <w:highlight w:val="none"/>
        </w:rPr>
      </w:pPr>
      <w:r>
        <w:rPr>
          <w:rFonts w:hint="eastAsia" w:cs="宋体"/>
          <w:spacing w:val="-4"/>
          <w:sz w:val="24"/>
          <w:highlight w:val="none"/>
          <w:lang w:eastAsia="zh-CN"/>
        </w:rPr>
        <w:t>（</w:t>
      </w:r>
      <w:r>
        <w:rPr>
          <w:rFonts w:hint="eastAsia" w:cs="宋体"/>
          <w:spacing w:val="-4"/>
          <w:sz w:val="24"/>
          <w:highlight w:val="none"/>
          <w:lang w:val="en-US" w:eastAsia="zh-CN"/>
        </w:rPr>
        <w:t>5</w:t>
      </w:r>
      <w:r>
        <w:rPr>
          <w:rFonts w:hint="eastAsia" w:cs="宋体"/>
          <w:spacing w:val="-4"/>
          <w:sz w:val="24"/>
          <w:highlight w:val="none"/>
          <w:lang w:eastAsia="zh-CN"/>
        </w:rPr>
        <w:t>）</w:t>
      </w:r>
      <w:r>
        <w:rPr>
          <w:rFonts w:hint="eastAsia" w:ascii="宋体" w:hAnsi="宋体" w:eastAsia="宋体" w:cs="宋体"/>
          <w:sz w:val="24"/>
          <w:highlight w:val="none"/>
        </w:rPr>
        <w:t>通用合同条款；</w:t>
      </w:r>
    </w:p>
    <w:p w14:paraId="328E6CE3">
      <w:pPr>
        <w:pStyle w:val="29"/>
        <w:numPr>
          <w:ilvl w:val="0"/>
          <w:numId w:val="0"/>
        </w:numPr>
        <w:tabs>
          <w:tab w:val="left" w:pos="1465"/>
        </w:tabs>
        <w:spacing w:before="91"/>
        <w:ind w:left="864" w:leftChars="0"/>
        <w:rPr>
          <w:rFonts w:hint="eastAsia" w:ascii="宋体" w:hAnsi="宋体" w:eastAsia="宋体" w:cs="宋体"/>
          <w:sz w:val="24"/>
          <w:highlight w:val="none"/>
        </w:rPr>
      </w:pPr>
      <w:r>
        <w:rPr>
          <w:rFonts w:hint="eastAsia" w:cs="宋体"/>
          <w:spacing w:val="-4"/>
          <w:sz w:val="24"/>
          <w:highlight w:val="none"/>
          <w:lang w:eastAsia="zh-CN"/>
        </w:rPr>
        <w:t>（</w:t>
      </w:r>
      <w:r>
        <w:rPr>
          <w:rFonts w:hint="eastAsia" w:cs="宋体"/>
          <w:spacing w:val="-4"/>
          <w:sz w:val="24"/>
          <w:highlight w:val="none"/>
          <w:lang w:val="en-US" w:eastAsia="zh-CN"/>
        </w:rPr>
        <w:t>6</w:t>
      </w:r>
      <w:r>
        <w:rPr>
          <w:rFonts w:hint="eastAsia" w:cs="宋体"/>
          <w:spacing w:val="-4"/>
          <w:sz w:val="24"/>
          <w:highlight w:val="none"/>
          <w:lang w:eastAsia="zh-CN"/>
        </w:rPr>
        <w:t>）</w:t>
      </w:r>
      <w:r>
        <w:rPr>
          <w:rFonts w:hint="eastAsia" w:ascii="宋体" w:hAnsi="宋体" w:eastAsia="宋体" w:cs="宋体"/>
          <w:sz w:val="24"/>
          <w:highlight w:val="none"/>
        </w:rPr>
        <w:t>工程量清单计量规则；</w:t>
      </w:r>
    </w:p>
    <w:p w14:paraId="7EA92285">
      <w:pPr>
        <w:pStyle w:val="29"/>
        <w:numPr>
          <w:ilvl w:val="0"/>
          <w:numId w:val="0"/>
        </w:numPr>
        <w:tabs>
          <w:tab w:val="left" w:pos="1465"/>
        </w:tabs>
        <w:spacing w:before="93"/>
        <w:ind w:left="864" w:leftChars="0"/>
        <w:rPr>
          <w:rFonts w:hint="eastAsia" w:ascii="宋体" w:hAnsi="宋体" w:eastAsia="宋体" w:cs="宋体"/>
          <w:sz w:val="24"/>
          <w:highlight w:val="none"/>
        </w:rPr>
      </w:pPr>
      <w:r>
        <w:rPr>
          <w:rFonts w:hint="eastAsia" w:cs="宋体"/>
          <w:spacing w:val="-4"/>
          <w:sz w:val="24"/>
          <w:highlight w:val="none"/>
          <w:lang w:eastAsia="zh-CN"/>
        </w:rPr>
        <w:t>（</w:t>
      </w:r>
      <w:r>
        <w:rPr>
          <w:rFonts w:hint="eastAsia" w:cs="宋体"/>
          <w:spacing w:val="-4"/>
          <w:sz w:val="24"/>
          <w:highlight w:val="none"/>
          <w:lang w:val="en-US" w:eastAsia="zh-CN"/>
        </w:rPr>
        <w:t>7</w:t>
      </w:r>
      <w:r>
        <w:rPr>
          <w:rFonts w:hint="eastAsia" w:cs="宋体"/>
          <w:spacing w:val="-4"/>
          <w:sz w:val="24"/>
          <w:highlight w:val="none"/>
          <w:lang w:eastAsia="zh-CN"/>
        </w:rPr>
        <w:t>）</w:t>
      </w:r>
      <w:r>
        <w:rPr>
          <w:rFonts w:hint="eastAsia" w:ascii="宋体" w:hAnsi="宋体" w:eastAsia="宋体" w:cs="宋体"/>
          <w:sz w:val="24"/>
          <w:highlight w:val="none"/>
        </w:rPr>
        <w:t>技术规范；</w:t>
      </w:r>
    </w:p>
    <w:p w14:paraId="19D52380">
      <w:pPr>
        <w:pStyle w:val="29"/>
        <w:numPr>
          <w:ilvl w:val="0"/>
          <w:numId w:val="0"/>
        </w:numPr>
        <w:tabs>
          <w:tab w:val="left" w:pos="1465"/>
        </w:tabs>
        <w:spacing w:before="94"/>
        <w:ind w:left="864" w:leftChars="0"/>
        <w:rPr>
          <w:rFonts w:hint="eastAsia" w:ascii="宋体" w:hAnsi="宋体" w:eastAsia="宋体" w:cs="宋体"/>
          <w:sz w:val="24"/>
          <w:highlight w:val="none"/>
        </w:rPr>
      </w:pPr>
      <w:r>
        <w:rPr>
          <w:rFonts w:hint="eastAsia" w:cs="宋体"/>
          <w:spacing w:val="-4"/>
          <w:sz w:val="24"/>
          <w:highlight w:val="none"/>
          <w:lang w:eastAsia="zh-CN"/>
        </w:rPr>
        <w:t>（</w:t>
      </w:r>
      <w:r>
        <w:rPr>
          <w:rFonts w:hint="eastAsia" w:cs="宋体"/>
          <w:spacing w:val="-4"/>
          <w:sz w:val="24"/>
          <w:highlight w:val="none"/>
          <w:lang w:val="en-US" w:eastAsia="zh-CN"/>
        </w:rPr>
        <w:t>8</w:t>
      </w:r>
      <w:r>
        <w:rPr>
          <w:rFonts w:hint="eastAsia" w:cs="宋体"/>
          <w:spacing w:val="-4"/>
          <w:sz w:val="24"/>
          <w:highlight w:val="none"/>
          <w:lang w:eastAsia="zh-CN"/>
        </w:rPr>
        <w:t>）</w:t>
      </w:r>
      <w:r>
        <w:rPr>
          <w:rFonts w:hint="eastAsia" w:ascii="宋体" w:hAnsi="宋体" w:eastAsia="宋体" w:cs="宋体"/>
          <w:sz w:val="24"/>
          <w:highlight w:val="none"/>
        </w:rPr>
        <w:t>图纸；</w:t>
      </w:r>
    </w:p>
    <w:p w14:paraId="554DCC5D">
      <w:pPr>
        <w:pStyle w:val="29"/>
        <w:numPr>
          <w:ilvl w:val="0"/>
          <w:numId w:val="0"/>
        </w:numPr>
        <w:tabs>
          <w:tab w:val="left" w:pos="1465"/>
        </w:tabs>
        <w:spacing w:before="90"/>
        <w:ind w:left="864" w:leftChars="0"/>
        <w:rPr>
          <w:rFonts w:hint="eastAsia" w:ascii="宋体" w:hAnsi="宋体" w:eastAsia="宋体" w:cs="宋体"/>
          <w:sz w:val="24"/>
          <w:highlight w:val="none"/>
        </w:rPr>
      </w:pPr>
      <w:r>
        <w:rPr>
          <w:rFonts w:hint="eastAsia" w:cs="宋体"/>
          <w:spacing w:val="-4"/>
          <w:sz w:val="24"/>
          <w:highlight w:val="none"/>
          <w:lang w:eastAsia="zh-CN"/>
        </w:rPr>
        <w:t>（</w:t>
      </w:r>
      <w:r>
        <w:rPr>
          <w:rFonts w:hint="eastAsia" w:cs="宋体"/>
          <w:spacing w:val="-4"/>
          <w:sz w:val="24"/>
          <w:highlight w:val="none"/>
          <w:lang w:val="en-US" w:eastAsia="zh-CN"/>
        </w:rPr>
        <w:t>9</w:t>
      </w:r>
      <w:r>
        <w:rPr>
          <w:rFonts w:hint="eastAsia" w:cs="宋体"/>
          <w:spacing w:val="-4"/>
          <w:sz w:val="24"/>
          <w:highlight w:val="none"/>
          <w:lang w:eastAsia="zh-CN"/>
        </w:rPr>
        <w:t>）</w:t>
      </w:r>
      <w:r>
        <w:rPr>
          <w:rFonts w:hint="eastAsia" w:ascii="宋体" w:hAnsi="宋体" w:eastAsia="宋体" w:cs="宋体"/>
          <w:sz w:val="24"/>
          <w:highlight w:val="none"/>
        </w:rPr>
        <w:t>已标价工程量清单；</w:t>
      </w:r>
    </w:p>
    <w:p w14:paraId="3AB8F44C">
      <w:pPr>
        <w:pStyle w:val="29"/>
        <w:numPr>
          <w:ilvl w:val="0"/>
          <w:numId w:val="0"/>
        </w:numPr>
        <w:tabs>
          <w:tab w:val="left" w:pos="1585"/>
        </w:tabs>
        <w:spacing w:before="94"/>
        <w:ind w:left="864" w:leftChars="0"/>
        <w:rPr>
          <w:rFonts w:hint="eastAsia" w:ascii="宋体" w:hAnsi="宋体" w:eastAsia="宋体" w:cs="宋体"/>
          <w:sz w:val="24"/>
          <w:highlight w:val="none"/>
        </w:rPr>
      </w:pPr>
      <w:r>
        <w:rPr>
          <w:rFonts w:hint="eastAsia" w:cs="宋体"/>
          <w:spacing w:val="-4"/>
          <w:sz w:val="24"/>
          <w:highlight w:val="none"/>
          <w:lang w:eastAsia="zh-CN"/>
        </w:rPr>
        <w:t>（</w:t>
      </w:r>
      <w:r>
        <w:rPr>
          <w:rFonts w:hint="eastAsia" w:cs="宋体"/>
          <w:spacing w:val="-4"/>
          <w:sz w:val="24"/>
          <w:highlight w:val="none"/>
          <w:lang w:val="en-US" w:eastAsia="zh-CN"/>
        </w:rPr>
        <w:t>10</w:t>
      </w:r>
      <w:r>
        <w:rPr>
          <w:rFonts w:hint="eastAsia" w:cs="宋体"/>
          <w:spacing w:val="-4"/>
          <w:sz w:val="24"/>
          <w:highlight w:val="none"/>
          <w:lang w:eastAsia="zh-CN"/>
        </w:rPr>
        <w:t>）</w:t>
      </w:r>
      <w:r>
        <w:rPr>
          <w:rFonts w:hint="eastAsia" w:ascii="宋体" w:hAnsi="宋体" w:eastAsia="宋体" w:cs="宋体"/>
          <w:sz w:val="24"/>
          <w:highlight w:val="none"/>
        </w:rPr>
        <w:t>承包人有关人员、设备投入的承诺及投标文件中的施工组织设计；</w:t>
      </w:r>
    </w:p>
    <w:p w14:paraId="41982025">
      <w:pPr>
        <w:pStyle w:val="29"/>
        <w:numPr>
          <w:ilvl w:val="0"/>
          <w:numId w:val="0"/>
        </w:numPr>
        <w:tabs>
          <w:tab w:val="left" w:pos="1585"/>
        </w:tabs>
        <w:spacing w:before="93"/>
        <w:ind w:left="864" w:leftChars="0"/>
        <w:rPr>
          <w:rFonts w:hint="eastAsia" w:ascii="宋体" w:hAnsi="宋体" w:eastAsia="宋体" w:cs="宋体"/>
          <w:sz w:val="19"/>
          <w:highlight w:val="none"/>
        </w:rPr>
      </w:pPr>
      <w:r>
        <w:rPr>
          <w:rFonts w:hint="eastAsia" w:cs="宋体"/>
          <w:spacing w:val="-4"/>
          <w:sz w:val="24"/>
          <w:highlight w:val="none"/>
          <w:lang w:eastAsia="zh-CN"/>
        </w:rPr>
        <w:t>（</w:t>
      </w:r>
      <w:r>
        <w:rPr>
          <w:rFonts w:hint="eastAsia" w:cs="宋体"/>
          <w:spacing w:val="-4"/>
          <w:sz w:val="24"/>
          <w:highlight w:val="none"/>
          <w:lang w:val="en-US" w:eastAsia="zh-CN"/>
        </w:rPr>
        <w:t>11</w:t>
      </w:r>
      <w:r>
        <w:rPr>
          <w:rFonts w:hint="eastAsia" w:cs="宋体"/>
          <w:spacing w:val="-4"/>
          <w:sz w:val="24"/>
          <w:highlight w:val="none"/>
          <w:lang w:eastAsia="zh-CN"/>
        </w:rPr>
        <w:t>）</w:t>
      </w:r>
      <w:r>
        <w:rPr>
          <w:rFonts w:hint="eastAsia" w:ascii="宋体" w:hAnsi="宋体" w:eastAsia="宋体" w:cs="宋体"/>
          <w:sz w:val="24"/>
          <w:highlight w:val="none"/>
        </w:rPr>
        <w:t>其他合同文件。</w:t>
      </w:r>
    </w:p>
    <w:p w14:paraId="0FC467E6">
      <w:pPr>
        <w:pStyle w:val="29"/>
        <w:numPr>
          <w:ilvl w:val="3"/>
          <w:numId w:val="7"/>
        </w:numPr>
        <w:tabs>
          <w:tab w:val="left" w:pos="1005"/>
        </w:tabs>
        <w:spacing w:before="1"/>
        <w:ind w:hanging="182"/>
        <w:jc w:val="left"/>
        <w:rPr>
          <w:rFonts w:hint="eastAsia" w:ascii="宋体" w:hAnsi="宋体" w:eastAsia="宋体" w:cs="宋体"/>
          <w:sz w:val="20"/>
          <w:highlight w:val="none"/>
        </w:rPr>
      </w:pPr>
      <w:r>
        <w:rPr>
          <w:rFonts w:hint="eastAsia" w:ascii="宋体" w:hAnsi="宋体" w:eastAsia="宋体" w:cs="宋体"/>
          <w:sz w:val="24"/>
          <w:highlight w:val="none"/>
        </w:rPr>
        <w:t>适用法律及规范</w:t>
      </w:r>
    </w:p>
    <w:p w14:paraId="05AE8387">
      <w:pPr>
        <w:pStyle w:val="29"/>
        <w:numPr>
          <w:ilvl w:val="4"/>
          <w:numId w:val="7"/>
        </w:numPr>
        <w:tabs>
          <w:tab w:val="left" w:pos="1403"/>
          <w:tab w:val="left" w:pos="1404"/>
        </w:tabs>
        <w:spacing w:before="1"/>
        <w:rPr>
          <w:rFonts w:hint="eastAsia" w:ascii="宋体" w:hAnsi="宋体" w:eastAsia="宋体" w:cs="宋体"/>
          <w:sz w:val="24"/>
          <w:highlight w:val="none"/>
        </w:rPr>
      </w:pPr>
      <w:r>
        <w:rPr>
          <w:rFonts w:hint="eastAsia" w:ascii="宋体" w:hAnsi="宋体" w:eastAsia="宋体" w:cs="宋体"/>
          <w:sz w:val="24"/>
          <w:highlight w:val="none"/>
        </w:rPr>
        <w:t>适用法律和法规</w:t>
      </w:r>
    </w:p>
    <w:p w14:paraId="0B8205A2">
      <w:pPr>
        <w:pStyle w:val="10"/>
        <w:spacing w:before="86" w:line="304" w:lineRule="auto"/>
        <w:ind w:left="384" w:right="467" w:firstLine="480"/>
        <w:rPr>
          <w:rFonts w:hint="eastAsia" w:ascii="宋体" w:hAnsi="宋体" w:eastAsia="宋体" w:cs="宋体"/>
          <w:highlight w:val="none"/>
        </w:rPr>
      </w:pPr>
      <w:r>
        <w:rPr>
          <w:rFonts w:hint="eastAsia" w:ascii="宋体" w:hAnsi="宋体" w:eastAsia="宋体" w:cs="宋体"/>
          <w:spacing w:val="-1"/>
          <w:highlight w:val="none"/>
        </w:rPr>
        <w:t>本合同服从国家法律和行政法规、部门规章以及新疆维吾尔自治区地方法规、</w:t>
      </w:r>
      <w:r>
        <w:rPr>
          <w:rFonts w:hint="eastAsia" w:ascii="宋体" w:hAnsi="宋体" w:eastAsia="宋体" w:cs="宋体"/>
          <w:highlight w:val="none"/>
        </w:rPr>
        <w:t>自治条例、单行条例和地方政府规章。</w:t>
      </w:r>
    </w:p>
    <w:p w14:paraId="2537A167">
      <w:pPr>
        <w:pStyle w:val="29"/>
        <w:numPr>
          <w:ilvl w:val="4"/>
          <w:numId w:val="7"/>
        </w:numPr>
        <w:tabs>
          <w:tab w:val="left" w:pos="1403"/>
          <w:tab w:val="left" w:pos="1404"/>
        </w:tabs>
        <w:spacing w:before="1"/>
        <w:rPr>
          <w:rFonts w:hint="eastAsia" w:ascii="宋体" w:hAnsi="宋体" w:eastAsia="宋体" w:cs="宋体"/>
          <w:sz w:val="24"/>
          <w:highlight w:val="none"/>
        </w:rPr>
      </w:pPr>
      <w:r>
        <w:rPr>
          <w:rFonts w:hint="eastAsia" w:ascii="宋体" w:hAnsi="宋体" w:eastAsia="宋体" w:cs="宋体"/>
          <w:sz w:val="24"/>
          <w:highlight w:val="none"/>
        </w:rPr>
        <w:t>适用标准、规范</w:t>
      </w:r>
    </w:p>
    <w:p w14:paraId="3244AD1C">
      <w:pPr>
        <w:pStyle w:val="10"/>
        <w:spacing w:before="86" w:line="304" w:lineRule="auto"/>
        <w:ind w:left="384" w:right="465" w:firstLine="480"/>
        <w:jc w:val="both"/>
        <w:rPr>
          <w:rFonts w:hint="eastAsia" w:ascii="宋体" w:hAnsi="宋体" w:eastAsia="宋体" w:cs="宋体"/>
          <w:highlight w:val="none"/>
        </w:rPr>
      </w:pPr>
      <w:r>
        <w:rPr>
          <w:rFonts w:hint="eastAsia" w:ascii="宋体" w:hAnsi="宋体" w:eastAsia="宋体" w:cs="宋体"/>
          <w:highlight w:val="none"/>
        </w:rPr>
        <w:t>现行国家标准、规范；交通运输部行业标准、规范；地方标准、规范适用本合同。发包人及承包人应注意标准、规范及规程的变更，在招投标及项目实施期内出现应采用有效版本的标准、规范及规程，不发生由此引起的费用变更。</w:t>
      </w:r>
    </w:p>
    <w:p w14:paraId="1C7FEC88">
      <w:pPr>
        <w:pStyle w:val="29"/>
        <w:numPr>
          <w:ilvl w:val="3"/>
          <w:numId w:val="7"/>
        </w:numPr>
        <w:tabs>
          <w:tab w:val="left" w:pos="1005"/>
        </w:tabs>
        <w:spacing w:before="194"/>
        <w:ind w:hanging="182"/>
        <w:jc w:val="left"/>
        <w:rPr>
          <w:rFonts w:hint="eastAsia" w:ascii="宋体" w:hAnsi="宋体" w:eastAsia="宋体" w:cs="宋体"/>
          <w:sz w:val="18"/>
          <w:highlight w:val="none"/>
        </w:rPr>
      </w:pPr>
      <w:r>
        <w:rPr>
          <w:rFonts w:hint="eastAsia" w:ascii="宋体" w:hAnsi="宋体" w:eastAsia="宋体" w:cs="宋体"/>
          <w:sz w:val="24"/>
          <w:highlight w:val="none"/>
        </w:rPr>
        <w:t>图纸和技术资料</w:t>
      </w:r>
      <w:r>
        <w:rPr>
          <w:rFonts w:hint="eastAsia" w:cs="宋体"/>
          <w:sz w:val="24"/>
          <w:highlight w:val="none"/>
          <w:lang w:eastAsia="zh-CN"/>
        </w:rPr>
        <w:t>。</w:t>
      </w:r>
    </w:p>
    <w:p w14:paraId="4443D936">
      <w:pPr>
        <w:pStyle w:val="29"/>
        <w:numPr>
          <w:ilvl w:val="4"/>
          <w:numId w:val="7"/>
        </w:numPr>
        <w:tabs>
          <w:tab w:val="left" w:pos="1403"/>
          <w:tab w:val="left" w:pos="1404"/>
        </w:tabs>
        <w:spacing w:before="76" w:line="316" w:lineRule="auto"/>
        <w:ind w:left="384" w:right="346" w:firstLine="480"/>
        <w:rPr>
          <w:rFonts w:hint="eastAsia" w:ascii="宋体" w:hAnsi="宋体" w:eastAsia="宋体" w:cs="宋体"/>
          <w:sz w:val="24"/>
          <w:highlight w:val="none"/>
        </w:rPr>
      </w:pPr>
      <w:r>
        <w:rPr>
          <w:rFonts w:hint="eastAsia" w:ascii="宋体" w:hAnsi="宋体" w:eastAsia="宋体" w:cs="宋体"/>
          <w:spacing w:val="-11"/>
          <w:sz w:val="24"/>
          <w:highlight w:val="none"/>
        </w:rPr>
        <w:t>合同协议书签定之后，发包人免费向承包人提供施工图纸</w:t>
      </w:r>
      <w:r>
        <w:rPr>
          <w:rFonts w:hint="eastAsia" w:ascii="宋体" w:hAnsi="宋体" w:eastAsia="宋体" w:cs="宋体"/>
          <w:sz w:val="24"/>
          <w:highlight w:val="none"/>
        </w:rPr>
        <w:t>（相关技术资料</w:t>
      </w:r>
      <w:r>
        <w:rPr>
          <w:rFonts w:hint="eastAsia" w:ascii="宋体" w:hAnsi="宋体" w:eastAsia="宋体" w:cs="宋体"/>
          <w:spacing w:val="-18"/>
          <w:sz w:val="24"/>
          <w:highlight w:val="none"/>
        </w:rPr>
        <w:t xml:space="preserve">） </w:t>
      </w:r>
      <w:r>
        <w:rPr>
          <w:rFonts w:hint="eastAsia" w:ascii="宋体" w:hAnsi="宋体" w:eastAsia="宋体" w:cs="宋体"/>
          <w:sz w:val="24"/>
          <w:highlight w:val="none"/>
        </w:rPr>
        <w:t>两份，向承包人进行技术交底。</w:t>
      </w:r>
    </w:p>
    <w:p w14:paraId="66EC8251">
      <w:pPr>
        <w:pStyle w:val="29"/>
        <w:numPr>
          <w:ilvl w:val="4"/>
          <w:numId w:val="7"/>
        </w:numPr>
        <w:tabs>
          <w:tab w:val="left" w:pos="1415"/>
          <w:tab w:val="left" w:pos="1416"/>
        </w:tabs>
        <w:spacing w:line="316" w:lineRule="auto"/>
        <w:ind w:left="384" w:right="467" w:firstLine="480"/>
        <w:rPr>
          <w:rFonts w:hint="eastAsia" w:ascii="宋体" w:hAnsi="宋体" w:eastAsia="宋体" w:cs="宋体"/>
          <w:sz w:val="24"/>
          <w:highlight w:val="none"/>
        </w:rPr>
      </w:pPr>
      <w:r>
        <w:rPr>
          <w:rFonts w:hint="eastAsia" w:ascii="宋体" w:hAnsi="宋体" w:eastAsia="宋体" w:cs="宋体"/>
          <w:spacing w:val="3"/>
          <w:sz w:val="24"/>
          <w:highlight w:val="none"/>
        </w:rPr>
        <w:t>发包人有权通过监理人向承包人发出为满足本合同工程的正确实施和完成及其缺陷修复所需的补充图纸和有关指示，承包人应予执行。</w:t>
      </w:r>
    </w:p>
    <w:p w14:paraId="6DACAD80">
      <w:pPr>
        <w:pStyle w:val="10"/>
        <w:numPr>
          <w:ilvl w:val="0"/>
          <w:numId w:val="2"/>
        </w:numPr>
        <w:spacing w:before="179"/>
        <w:ind w:left="398" w:leftChars="0" w:firstLine="0" w:firstLineChars="0"/>
        <w:rPr>
          <w:rFonts w:hint="eastAsia" w:ascii="宋体" w:hAnsi="宋体" w:eastAsia="宋体" w:cs="宋体"/>
          <w:highlight w:val="none"/>
        </w:rPr>
      </w:pPr>
      <w:r>
        <w:rPr>
          <w:rFonts w:hint="eastAsia" w:ascii="宋体" w:hAnsi="宋体" w:eastAsia="宋体" w:cs="宋体"/>
          <w:highlight w:val="none"/>
        </w:rPr>
        <w:t>双方一般义务和责任</w:t>
      </w:r>
    </w:p>
    <w:p w14:paraId="0FCB4EC9">
      <w:pPr>
        <w:pStyle w:val="10"/>
        <w:numPr>
          <w:ilvl w:val="0"/>
          <w:numId w:val="0"/>
        </w:numPr>
        <w:spacing w:before="179"/>
        <w:ind w:left="398" w:leftChars="0"/>
        <w:rPr>
          <w:rFonts w:hint="eastAsia" w:ascii="宋体" w:hAnsi="宋体" w:eastAsia="宋体" w:cs="宋体"/>
          <w:sz w:val="24"/>
          <w:highlight w:val="none"/>
        </w:rPr>
      </w:pPr>
      <w:r>
        <w:rPr>
          <w:rFonts w:hint="eastAsia" w:ascii="宋体" w:hAnsi="宋体" w:eastAsia="宋体" w:cs="宋体"/>
          <w:sz w:val="24"/>
          <w:highlight w:val="none"/>
        </w:rPr>
        <w:t>发包人一般义务和责任</w:t>
      </w:r>
    </w:p>
    <w:p w14:paraId="498371F4">
      <w:pPr>
        <w:pStyle w:val="10"/>
        <w:spacing w:before="11"/>
        <w:rPr>
          <w:rFonts w:hint="eastAsia" w:ascii="宋体" w:hAnsi="宋体" w:eastAsia="宋体" w:cs="宋体"/>
          <w:sz w:val="21"/>
          <w:highlight w:val="none"/>
        </w:rPr>
      </w:pPr>
    </w:p>
    <w:p w14:paraId="43B614ED">
      <w:pPr>
        <w:pStyle w:val="29"/>
        <w:numPr>
          <w:ilvl w:val="4"/>
          <w:numId w:val="7"/>
        </w:numPr>
        <w:tabs>
          <w:tab w:val="left" w:pos="1404"/>
        </w:tabs>
        <w:spacing w:line="316" w:lineRule="auto"/>
        <w:ind w:left="384" w:right="466" w:firstLine="480"/>
        <w:jc w:val="both"/>
        <w:rPr>
          <w:rFonts w:hint="eastAsia" w:ascii="宋体" w:hAnsi="宋体" w:eastAsia="宋体" w:cs="宋体"/>
          <w:sz w:val="24"/>
          <w:highlight w:val="none"/>
        </w:rPr>
      </w:pPr>
      <w:r>
        <w:rPr>
          <w:rFonts w:hint="eastAsia" w:ascii="宋体" w:hAnsi="宋体" w:eastAsia="宋体" w:cs="宋体"/>
          <w:spacing w:val="-2"/>
          <w:sz w:val="24"/>
          <w:highlight w:val="none"/>
        </w:rPr>
        <w:t>发包人应在其组织实施本合同的全部工作中遵守与本合同有关的法律、法</w:t>
      </w:r>
      <w:r>
        <w:rPr>
          <w:rFonts w:hint="eastAsia" w:ascii="宋体" w:hAnsi="宋体" w:eastAsia="宋体" w:cs="宋体"/>
          <w:spacing w:val="-1"/>
          <w:sz w:val="24"/>
          <w:highlight w:val="none"/>
        </w:rPr>
        <w:t>规和规章，同时应承担合同条款中规定的一般义务和责任，并应承担由于自身违反</w:t>
      </w:r>
      <w:r>
        <w:rPr>
          <w:rFonts w:hint="eastAsia" w:ascii="宋体" w:hAnsi="宋体" w:eastAsia="宋体" w:cs="宋体"/>
          <w:sz w:val="24"/>
          <w:highlight w:val="none"/>
        </w:rPr>
        <w:t>上述法律、法规和规章的责任。</w:t>
      </w:r>
    </w:p>
    <w:p w14:paraId="035CBFD7">
      <w:pPr>
        <w:pStyle w:val="29"/>
        <w:numPr>
          <w:ilvl w:val="4"/>
          <w:numId w:val="7"/>
        </w:numPr>
        <w:tabs>
          <w:tab w:val="left" w:pos="1404"/>
        </w:tabs>
        <w:spacing w:line="316" w:lineRule="auto"/>
        <w:ind w:left="384" w:right="466" w:firstLine="480"/>
        <w:jc w:val="both"/>
        <w:rPr>
          <w:rFonts w:hint="eastAsia" w:ascii="宋体" w:hAnsi="宋体" w:eastAsia="宋体" w:cs="宋体"/>
          <w:sz w:val="24"/>
          <w:highlight w:val="none"/>
        </w:rPr>
      </w:pPr>
      <w:r>
        <w:rPr>
          <w:rFonts w:hint="eastAsia" w:ascii="宋体" w:hAnsi="宋体" w:eastAsia="宋体" w:cs="宋体"/>
          <w:spacing w:val="-3"/>
          <w:sz w:val="24"/>
          <w:highlight w:val="none"/>
        </w:rPr>
        <w:t>发包人应负责工程用地范围内的征地拆迁工作，并承担相关费用。发包人</w:t>
      </w:r>
      <w:r>
        <w:rPr>
          <w:rFonts w:hint="eastAsia" w:ascii="宋体" w:hAnsi="宋体" w:eastAsia="宋体" w:cs="宋体"/>
          <w:sz w:val="24"/>
          <w:highlight w:val="none"/>
        </w:rPr>
        <w:t>应协助承包人办理法律规定的有关本项目的施工手续。</w:t>
      </w:r>
    </w:p>
    <w:p w14:paraId="44E3E748">
      <w:pPr>
        <w:pStyle w:val="10"/>
        <w:spacing w:line="316" w:lineRule="auto"/>
        <w:ind w:left="384" w:right="465" w:firstLine="480"/>
        <w:jc w:val="both"/>
        <w:rPr>
          <w:rFonts w:hint="eastAsia" w:ascii="宋体" w:hAnsi="宋体" w:eastAsia="宋体" w:cs="宋体"/>
          <w:highlight w:val="none"/>
        </w:rPr>
      </w:pPr>
      <w:r>
        <w:rPr>
          <w:rFonts w:hint="eastAsia" w:ascii="宋体" w:hAnsi="宋体" w:eastAsia="宋体" w:cs="宋体"/>
          <w:highlight w:val="none"/>
        </w:rPr>
        <w:t>按时向承包人提供施工用地，保证按时开工。由于发包人未能按照本项规定办妥永久占地征用手续及施工用地，影响承包人及时使用永久占地及施工用地造成的费用增加和(或)工期延误应由发包人承担。</w:t>
      </w:r>
    </w:p>
    <w:p w14:paraId="129076AA">
      <w:pPr>
        <w:pStyle w:val="29"/>
        <w:numPr>
          <w:ilvl w:val="4"/>
          <w:numId w:val="7"/>
        </w:numPr>
        <w:tabs>
          <w:tab w:val="left" w:pos="1404"/>
        </w:tabs>
        <w:spacing w:line="316" w:lineRule="auto"/>
        <w:ind w:left="384" w:right="466" w:firstLine="480"/>
        <w:jc w:val="both"/>
        <w:rPr>
          <w:rFonts w:hint="eastAsia" w:ascii="宋体" w:hAnsi="宋体" w:eastAsia="宋体" w:cs="宋体"/>
          <w:sz w:val="24"/>
          <w:highlight w:val="none"/>
        </w:rPr>
      </w:pPr>
      <w:r>
        <w:rPr>
          <w:rFonts w:hint="eastAsia" w:ascii="宋体" w:hAnsi="宋体" w:eastAsia="宋体" w:cs="宋体"/>
          <w:spacing w:val="-4"/>
          <w:sz w:val="24"/>
          <w:highlight w:val="none"/>
        </w:rPr>
        <w:t>工程实行社会监理的，发包人将委托的监理人、监理内容及监理权限以书</w:t>
      </w:r>
      <w:r>
        <w:rPr>
          <w:rFonts w:hint="eastAsia" w:ascii="宋体" w:hAnsi="宋体" w:eastAsia="宋体" w:cs="宋体"/>
          <w:sz w:val="24"/>
          <w:highlight w:val="none"/>
        </w:rPr>
        <w:t>面形式通知承包人。</w:t>
      </w:r>
    </w:p>
    <w:p w14:paraId="4A121D48">
      <w:pPr>
        <w:pStyle w:val="29"/>
        <w:numPr>
          <w:ilvl w:val="4"/>
          <w:numId w:val="7"/>
        </w:numPr>
        <w:tabs>
          <w:tab w:val="left" w:pos="1404"/>
        </w:tabs>
        <w:spacing w:line="307" w:lineRule="exact"/>
        <w:jc w:val="both"/>
        <w:rPr>
          <w:rFonts w:hint="eastAsia" w:ascii="宋体" w:hAnsi="宋体" w:eastAsia="宋体" w:cs="宋体"/>
          <w:sz w:val="24"/>
          <w:highlight w:val="none"/>
        </w:rPr>
      </w:pPr>
      <w:r>
        <w:rPr>
          <w:rFonts w:hint="eastAsia" w:ascii="宋体" w:hAnsi="宋体" w:eastAsia="宋体" w:cs="宋体"/>
          <w:sz w:val="24"/>
          <w:highlight w:val="none"/>
        </w:rPr>
        <w:t>监理人按合同规定向承包人发出开工通知（应征得发包人同意）。</w:t>
      </w:r>
    </w:p>
    <w:p w14:paraId="60DC0A0C">
      <w:pPr>
        <w:pStyle w:val="29"/>
        <w:numPr>
          <w:ilvl w:val="4"/>
          <w:numId w:val="7"/>
        </w:numPr>
        <w:tabs>
          <w:tab w:val="left" w:pos="1404"/>
        </w:tabs>
        <w:spacing w:before="99" w:line="316" w:lineRule="auto"/>
        <w:ind w:left="384" w:right="466" w:firstLine="480"/>
        <w:jc w:val="both"/>
        <w:rPr>
          <w:rFonts w:hint="eastAsia" w:ascii="宋体" w:hAnsi="宋体" w:eastAsia="宋体" w:cs="宋体"/>
          <w:sz w:val="24"/>
          <w:highlight w:val="none"/>
        </w:rPr>
      </w:pPr>
      <w:r>
        <w:rPr>
          <w:rFonts w:hint="eastAsia" w:ascii="宋体" w:hAnsi="宋体" w:eastAsia="宋体" w:cs="宋体"/>
          <w:spacing w:val="-1"/>
          <w:sz w:val="24"/>
          <w:highlight w:val="none"/>
        </w:rPr>
        <w:t>发包人应及时提供设计图纸及资料</w:t>
      </w:r>
      <w:r>
        <w:rPr>
          <w:rFonts w:hint="eastAsia" w:ascii="宋体" w:hAnsi="宋体" w:eastAsia="宋体" w:cs="宋体"/>
          <w:sz w:val="24"/>
          <w:highlight w:val="none"/>
        </w:rPr>
        <w:t>（包括变更设计</w:t>
      </w:r>
      <w:r>
        <w:rPr>
          <w:rFonts w:hint="eastAsia" w:ascii="宋体" w:hAnsi="宋体" w:eastAsia="宋体" w:cs="宋体"/>
          <w:spacing w:val="-9"/>
          <w:sz w:val="24"/>
          <w:highlight w:val="none"/>
        </w:rPr>
        <w:t>）</w:t>
      </w:r>
      <w:r>
        <w:rPr>
          <w:rFonts w:hint="eastAsia" w:ascii="宋体" w:hAnsi="宋体" w:eastAsia="宋体" w:cs="宋体"/>
          <w:spacing w:val="-5"/>
          <w:sz w:val="24"/>
          <w:highlight w:val="none"/>
        </w:rPr>
        <w:t>，因发包人的原因造</w:t>
      </w:r>
      <w:r>
        <w:rPr>
          <w:rFonts w:hint="eastAsia" w:ascii="宋体" w:hAnsi="宋体" w:eastAsia="宋体" w:cs="宋体"/>
          <w:spacing w:val="-1"/>
          <w:sz w:val="24"/>
          <w:highlight w:val="none"/>
        </w:rPr>
        <w:t>成的停工、窝工，除应允许承包人延长相应工期外，还应补偿由此对承包人造成的</w:t>
      </w:r>
      <w:r>
        <w:rPr>
          <w:rFonts w:hint="eastAsia" w:ascii="宋体" w:hAnsi="宋体" w:eastAsia="宋体" w:cs="宋体"/>
          <w:sz w:val="24"/>
          <w:highlight w:val="none"/>
        </w:rPr>
        <w:t>损失。补偿额由监理人在现场核查后计算其数额，报发包人批准后支付。</w:t>
      </w:r>
    </w:p>
    <w:p w14:paraId="104ACE17">
      <w:pPr>
        <w:pStyle w:val="29"/>
        <w:numPr>
          <w:ilvl w:val="4"/>
          <w:numId w:val="7"/>
        </w:numPr>
        <w:tabs>
          <w:tab w:val="left" w:pos="1404"/>
        </w:tabs>
        <w:spacing w:before="1" w:line="316" w:lineRule="auto"/>
        <w:ind w:left="384" w:right="346" w:firstLine="480"/>
        <w:jc w:val="both"/>
        <w:rPr>
          <w:rFonts w:hint="eastAsia" w:ascii="宋体" w:hAnsi="宋体" w:eastAsia="宋体" w:cs="宋体"/>
          <w:sz w:val="24"/>
          <w:highlight w:val="none"/>
        </w:rPr>
      </w:pPr>
      <w:r>
        <w:rPr>
          <w:rFonts w:hint="eastAsia" w:ascii="宋体" w:hAnsi="宋体" w:eastAsia="宋体" w:cs="宋体"/>
          <w:spacing w:val="-1"/>
          <w:sz w:val="24"/>
          <w:highlight w:val="none"/>
        </w:rPr>
        <w:t>发包人向承包人支付的预付款金额见合同条款数据表。承包人提交的履约</w:t>
      </w:r>
      <w:r>
        <w:rPr>
          <w:rFonts w:hint="eastAsia" w:ascii="宋体" w:hAnsi="宋体" w:eastAsia="宋体" w:cs="宋体"/>
          <w:spacing w:val="-7"/>
          <w:sz w:val="24"/>
          <w:highlight w:val="none"/>
        </w:rPr>
        <w:t>保证金对预付款的正常使用承担保证责任，承包人无再须向发包人提交预付款保函。</w:t>
      </w:r>
    </w:p>
    <w:p w14:paraId="774694A2">
      <w:pPr>
        <w:pStyle w:val="29"/>
        <w:numPr>
          <w:ilvl w:val="4"/>
          <w:numId w:val="7"/>
        </w:numPr>
        <w:tabs>
          <w:tab w:val="left" w:pos="1409"/>
        </w:tabs>
        <w:spacing w:line="316" w:lineRule="auto"/>
        <w:ind w:left="384" w:right="466" w:firstLine="480"/>
        <w:jc w:val="both"/>
        <w:rPr>
          <w:rFonts w:hint="eastAsia" w:ascii="宋体" w:hAnsi="宋体" w:eastAsia="宋体" w:cs="宋体"/>
          <w:sz w:val="24"/>
          <w:highlight w:val="none"/>
        </w:rPr>
      </w:pPr>
      <w:r>
        <w:rPr>
          <w:rFonts w:hint="eastAsia" w:ascii="宋体" w:hAnsi="宋体" w:eastAsia="宋体" w:cs="宋体"/>
          <w:spacing w:val="-2"/>
          <w:sz w:val="24"/>
          <w:highlight w:val="none"/>
        </w:rPr>
        <w:t xml:space="preserve">发包人在接到监理人审定的中期支付报告后 </w:t>
      </w:r>
      <w:r>
        <w:rPr>
          <w:rFonts w:hint="eastAsia" w:ascii="宋体" w:hAnsi="宋体" w:eastAsia="宋体" w:cs="宋体"/>
          <w:sz w:val="24"/>
          <w:highlight w:val="none"/>
        </w:rPr>
        <w:t>14</w:t>
      </w:r>
      <w:r>
        <w:rPr>
          <w:rFonts w:hint="eastAsia" w:ascii="宋体" w:hAnsi="宋体" w:eastAsia="宋体" w:cs="宋体"/>
          <w:spacing w:val="20"/>
          <w:sz w:val="24"/>
          <w:highlight w:val="none"/>
        </w:rPr>
        <w:t xml:space="preserve"> </w:t>
      </w:r>
      <w:r>
        <w:rPr>
          <w:rFonts w:hint="eastAsia" w:ascii="宋体" w:hAnsi="宋体" w:eastAsia="宋体" w:cs="宋体"/>
          <w:sz w:val="24"/>
          <w:highlight w:val="none"/>
        </w:rPr>
        <w:t>天内拨付工程进度款。在</w:t>
      </w:r>
      <w:r>
        <w:rPr>
          <w:rFonts w:hint="eastAsia" w:ascii="宋体" w:hAnsi="宋体" w:eastAsia="宋体" w:cs="宋体"/>
          <w:spacing w:val="-4"/>
          <w:sz w:val="24"/>
          <w:highlight w:val="none"/>
        </w:rPr>
        <w:t xml:space="preserve">中期支付中应扣除预付款，预付款的扣回按合同条款 </w:t>
      </w:r>
      <w:r>
        <w:rPr>
          <w:rFonts w:hint="eastAsia" w:ascii="宋体" w:hAnsi="宋体" w:eastAsia="宋体" w:cs="宋体"/>
          <w:sz w:val="24"/>
          <w:highlight w:val="none"/>
        </w:rPr>
        <w:t xml:space="preserve">17.3 </w:t>
      </w:r>
      <w:r>
        <w:rPr>
          <w:rFonts w:hint="eastAsia" w:ascii="宋体" w:hAnsi="宋体" w:eastAsia="宋体" w:cs="宋体"/>
          <w:spacing w:val="-5"/>
          <w:sz w:val="24"/>
          <w:highlight w:val="none"/>
        </w:rPr>
        <w:t>款执行。监理人签发中期</w:t>
      </w:r>
      <w:r>
        <w:rPr>
          <w:rFonts w:hint="eastAsia" w:ascii="宋体" w:hAnsi="宋体" w:eastAsia="宋体" w:cs="宋体"/>
          <w:spacing w:val="-7"/>
          <w:sz w:val="24"/>
          <w:highlight w:val="none"/>
        </w:rPr>
        <w:t xml:space="preserve">支付证书的时限为 </w:t>
      </w:r>
      <w:r>
        <w:rPr>
          <w:rFonts w:hint="eastAsia" w:ascii="宋体" w:hAnsi="宋体" w:eastAsia="宋体" w:cs="宋体"/>
          <w:sz w:val="24"/>
          <w:highlight w:val="none"/>
        </w:rPr>
        <w:t>14 天。</w:t>
      </w:r>
    </w:p>
    <w:p w14:paraId="49639910">
      <w:pPr>
        <w:pStyle w:val="29"/>
        <w:numPr>
          <w:ilvl w:val="4"/>
          <w:numId w:val="7"/>
        </w:numPr>
        <w:tabs>
          <w:tab w:val="left" w:pos="1409"/>
        </w:tabs>
        <w:spacing w:before="1" w:line="316" w:lineRule="auto"/>
        <w:ind w:left="384" w:right="466" w:firstLine="480"/>
        <w:jc w:val="both"/>
        <w:rPr>
          <w:rFonts w:hint="eastAsia" w:ascii="宋体" w:hAnsi="宋体" w:eastAsia="宋体" w:cs="宋体"/>
          <w:sz w:val="24"/>
          <w:highlight w:val="none"/>
        </w:rPr>
      </w:pPr>
      <w:r>
        <w:rPr>
          <w:rFonts w:hint="eastAsia" w:ascii="宋体" w:hAnsi="宋体" w:eastAsia="宋体" w:cs="宋体"/>
          <w:spacing w:val="-2"/>
          <w:sz w:val="24"/>
          <w:highlight w:val="none"/>
        </w:rPr>
        <w:t xml:space="preserve">发包人在接到监理人交工验收报告后在符合交工验收条件的情况下 </w:t>
      </w:r>
      <w:r>
        <w:rPr>
          <w:rFonts w:hint="eastAsia" w:ascii="宋体" w:hAnsi="宋体" w:eastAsia="宋体" w:cs="宋体"/>
          <w:sz w:val="24"/>
          <w:highlight w:val="none"/>
        </w:rPr>
        <w:t>14</w:t>
      </w:r>
      <w:r>
        <w:rPr>
          <w:rFonts w:hint="eastAsia" w:ascii="宋体" w:hAnsi="宋体" w:eastAsia="宋体" w:cs="宋体"/>
          <w:spacing w:val="23"/>
          <w:sz w:val="24"/>
          <w:highlight w:val="none"/>
        </w:rPr>
        <w:t xml:space="preserve"> </w:t>
      </w:r>
      <w:r>
        <w:rPr>
          <w:rFonts w:hint="eastAsia" w:ascii="宋体" w:hAnsi="宋体" w:eastAsia="宋体" w:cs="宋体"/>
          <w:sz w:val="24"/>
          <w:highlight w:val="none"/>
        </w:rPr>
        <w:t>天</w:t>
      </w:r>
      <w:r>
        <w:rPr>
          <w:rFonts w:hint="eastAsia" w:ascii="宋体" w:hAnsi="宋体" w:eastAsia="宋体" w:cs="宋体"/>
          <w:spacing w:val="-11"/>
          <w:sz w:val="24"/>
          <w:highlight w:val="none"/>
        </w:rPr>
        <w:t>内组织交工验收</w:t>
      </w:r>
      <w:r>
        <w:rPr>
          <w:rFonts w:hint="eastAsia" w:ascii="宋体" w:hAnsi="宋体" w:eastAsia="宋体" w:cs="宋体"/>
          <w:sz w:val="24"/>
          <w:highlight w:val="none"/>
        </w:rPr>
        <w:t>。</w:t>
      </w:r>
    </w:p>
    <w:p w14:paraId="18D51551">
      <w:pPr>
        <w:pStyle w:val="10"/>
        <w:spacing w:line="316" w:lineRule="auto"/>
        <w:ind w:left="384" w:right="465" w:firstLine="480"/>
        <w:rPr>
          <w:rFonts w:hint="eastAsia" w:ascii="宋体" w:hAnsi="宋体" w:eastAsia="宋体" w:cs="宋体"/>
          <w:highlight w:val="none"/>
        </w:rPr>
      </w:pPr>
      <w:r>
        <w:rPr>
          <w:rFonts w:hint="eastAsia" w:ascii="宋体" w:hAnsi="宋体" w:eastAsia="宋体" w:cs="宋体"/>
          <w:highlight w:val="none"/>
        </w:rPr>
        <w:t>交工后进入缺陷责任期，缺陷责任期见合同条款数据表。发包人应按合同约定及时组织竣工验收，签发缺陷责任终止证书。</w:t>
      </w:r>
    </w:p>
    <w:p w14:paraId="6E070CEE">
      <w:pPr>
        <w:pStyle w:val="10"/>
        <w:spacing w:before="8"/>
        <w:ind w:firstLine="480" w:firstLineChars="200"/>
        <w:rPr>
          <w:rFonts w:hint="eastAsia" w:ascii="宋体" w:hAnsi="宋体" w:eastAsia="宋体" w:cs="宋体"/>
          <w:sz w:val="16"/>
          <w:highlight w:val="none"/>
        </w:rPr>
      </w:pPr>
      <w:r>
        <w:rPr>
          <w:rFonts w:hint="eastAsia" w:ascii="宋体" w:hAnsi="宋体" w:eastAsia="宋体" w:cs="宋体"/>
          <w:sz w:val="24"/>
          <w:highlight w:val="none"/>
        </w:rPr>
        <w:t>承包人一般义务和责任</w:t>
      </w:r>
    </w:p>
    <w:p w14:paraId="1DAD7FE4">
      <w:pPr>
        <w:pStyle w:val="29"/>
        <w:numPr>
          <w:ilvl w:val="4"/>
          <w:numId w:val="7"/>
        </w:numPr>
        <w:tabs>
          <w:tab w:val="left" w:pos="1404"/>
        </w:tabs>
        <w:spacing w:before="77" w:line="297" w:lineRule="auto"/>
        <w:ind w:left="384" w:right="346" w:firstLine="480"/>
        <w:jc w:val="both"/>
        <w:rPr>
          <w:rFonts w:hint="eastAsia" w:ascii="宋体" w:hAnsi="宋体" w:eastAsia="宋体" w:cs="宋体"/>
          <w:sz w:val="24"/>
          <w:highlight w:val="none"/>
        </w:rPr>
      </w:pPr>
      <w:r>
        <w:rPr>
          <w:rFonts w:hint="eastAsia" w:ascii="宋体" w:hAnsi="宋体" w:eastAsia="宋体" w:cs="宋体"/>
          <w:spacing w:val="-1"/>
          <w:sz w:val="24"/>
          <w:highlight w:val="none"/>
        </w:rPr>
        <w:t>承包人在执行本工程合同全过程中应遵守与本合同有关的法律、法规和规章，并保证发包人免于承担因承包人违反法律而引起的任何责任。同时应承担合同</w:t>
      </w:r>
      <w:r>
        <w:rPr>
          <w:rFonts w:hint="eastAsia" w:ascii="宋体" w:hAnsi="宋体" w:eastAsia="宋体" w:cs="宋体"/>
          <w:spacing w:val="-8"/>
          <w:sz w:val="24"/>
          <w:highlight w:val="none"/>
        </w:rPr>
        <w:t>条款中规定的义务和责任，并承担由于自身违反上述法律、法规和规章的任何责任。</w:t>
      </w:r>
    </w:p>
    <w:p w14:paraId="4A96EC26">
      <w:pPr>
        <w:pStyle w:val="29"/>
        <w:numPr>
          <w:ilvl w:val="4"/>
          <w:numId w:val="7"/>
        </w:numPr>
        <w:tabs>
          <w:tab w:val="left" w:pos="1404"/>
        </w:tabs>
        <w:spacing w:line="297" w:lineRule="auto"/>
        <w:ind w:left="384" w:right="466" w:firstLine="480"/>
        <w:jc w:val="both"/>
        <w:rPr>
          <w:rFonts w:hint="eastAsia" w:ascii="宋体" w:hAnsi="宋体" w:eastAsia="宋体" w:cs="宋体"/>
          <w:sz w:val="24"/>
          <w:highlight w:val="none"/>
        </w:rPr>
      </w:pPr>
      <w:r>
        <w:rPr>
          <w:rFonts w:hint="eastAsia" w:ascii="宋体" w:hAnsi="宋体" w:eastAsia="宋体" w:cs="宋体"/>
          <w:spacing w:val="-3"/>
          <w:sz w:val="24"/>
          <w:highlight w:val="none"/>
        </w:rPr>
        <w:t>承包人应按合同约定以及监理人根据合同文件作出的指示，实施、完成全</w:t>
      </w:r>
      <w:r>
        <w:rPr>
          <w:rFonts w:hint="eastAsia" w:ascii="宋体" w:hAnsi="宋体" w:eastAsia="宋体" w:cs="宋体"/>
          <w:spacing w:val="-1"/>
          <w:sz w:val="24"/>
          <w:highlight w:val="none"/>
        </w:rPr>
        <w:t>部工程，并修补工程中的任何缺陷。除专用合同条款另有约定外，承包人应提供为完成合同工作所需的劳务、材料、施工设备、工程设备和其他物品，并按合同约定</w:t>
      </w:r>
      <w:r>
        <w:rPr>
          <w:rFonts w:hint="eastAsia" w:ascii="宋体" w:hAnsi="宋体" w:eastAsia="宋体" w:cs="宋体"/>
          <w:sz w:val="24"/>
          <w:highlight w:val="none"/>
        </w:rPr>
        <w:t>负责临时设施的设计、建造、运行、维护、管理和拆除。</w:t>
      </w:r>
    </w:p>
    <w:p w14:paraId="32EF6A08">
      <w:pPr>
        <w:pStyle w:val="29"/>
        <w:numPr>
          <w:ilvl w:val="4"/>
          <w:numId w:val="7"/>
        </w:numPr>
        <w:tabs>
          <w:tab w:val="left" w:pos="1404"/>
        </w:tabs>
        <w:spacing w:before="4" w:line="297" w:lineRule="auto"/>
        <w:ind w:left="384" w:right="466" w:firstLine="480"/>
        <w:jc w:val="both"/>
        <w:rPr>
          <w:rFonts w:hint="eastAsia" w:ascii="宋体" w:hAnsi="宋体" w:eastAsia="宋体" w:cs="宋体"/>
          <w:sz w:val="24"/>
          <w:highlight w:val="none"/>
        </w:rPr>
      </w:pPr>
      <w:r>
        <w:rPr>
          <w:rFonts w:hint="eastAsia" w:ascii="宋体" w:hAnsi="宋体" w:eastAsia="宋体" w:cs="宋体"/>
          <w:spacing w:val="-3"/>
          <w:sz w:val="24"/>
          <w:highlight w:val="none"/>
        </w:rPr>
        <w:t>承包人应仔细核查发包人提供的设计文件，对于存在的错误或疏忽，应及</w:t>
      </w:r>
      <w:r>
        <w:rPr>
          <w:rFonts w:hint="eastAsia" w:ascii="宋体" w:hAnsi="宋体" w:eastAsia="宋体" w:cs="宋体"/>
          <w:sz w:val="24"/>
          <w:highlight w:val="none"/>
        </w:rPr>
        <w:t>时通知监理人。</w:t>
      </w:r>
    </w:p>
    <w:p w14:paraId="0F45377E">
      <w:pPr>
        <w:pStyle w:val="29"/>
        <w:numPr>
          <w:ilvl w:val="4"/>
          <w:numId w:val="7"/>
        </w:numPr>
        <w:tabs>
          <w:tab w:val="left" w:pos="1416"/>
        </w:tabs>
        <w:spacing w:before="27" w:line="312" w:lineRule="auto"/>
        <w:ind w:left="384" w:right="467" w:firstLine="480"/>
        <w:jc w:val="both"/>
        <w:rPr>
          <w:rFonts w:hint="eastAsia" w:ascii="宋体" w:hAnsi="宋体" w:eastAsia="宋体" w:cs="宋体"/>
          <w:sz w:val="24"/>
          <w:highlight w:val="none"/>
        </w:rPr>
      </w:pPr>
      <w:r>
        <w:rPr>
          <w:rFonts w:hint="eastAsia" w:ascii="宋体" w:hAnsi="宋体" w:eastAsia="宋体" w:cs="宋体"/>
          <w:spacing w:val="3"/>
          <w:sz w:val="24"/>
          <w:highlight w:val="none"/>
        </w:rPr>
        <w:t>承包人应保证其履约保证金在发包人签发交工验收证书。</w:t>
      </w:r>
    </w:p>
    <w:p w14:paraId="2196892C">
      <w:pPr>
        <w:pStyle w:val="29"/>
        <w:numPr>
          <w:ilvl w:val="4"/>
          <w:numId w:val="7"/>
        </w:numPr>
        <w:tabs>
          <w:tab w:val="left" w:pos="1404"/>
        </w:tabs>
        <w:spacing w:line="283" w:lineRule="exact"/>
        <w:jc w:val="both"/>
        <w:rPr>
          <w:rFonts w:hint="eastAsia" w:ascii="宋体" w:hAnsi="宋体" w:eastAsia="宋体" w:cs="宋体"/>
          <w:sz w:val="24"/>
          <w:highlight w:val="none"/>
        </w:rPr>
      </w:pPr>
      <w:r>
        <w:rPr>
          <w:rFonts w:hint="eastAsia" w:ascii="宋体" w:hAnsi="宋体" w:eastAsia="宋体" w:cs="宋体"/>
          <w:spacing w:val="-2"/>
          <w:sz w:val="24"/>
          <w:highlight w:val="none"/>
        </w:rPr>
        <w:t>承包人应设立针对该项目的独立银行账户，所有要求用于该项目的资金不</w:t>
      </w:r>
    </w:p>
    <w:p w14:paraId="2956F82F">
      <w:pPr>
        <w:pStyle w:val="10"/>
        <w:spacing w:before="74"/>
        <w:ind w:left="384"/>
        <w:rPr>
          <w:rFonts w:hint="eastAsia" w:ascii="宋体" w:hAnsi="宋体" w:eastAsia="宋体" w:cs="宋体"/>
          <w:highlight w:val="none"/>
        </w:rPr>
      </w:pPr>
      <w:r>
        <w:rPr>
          <w:rFonts w:hint="eastAsia" w:ascii="宋体" w:hAnsi="宋体" w:eastAsia="宋体" w:cs="宋体"/>
          <w:highlight w:val="none"/>
        </w:rPr>
        <w:t>得挪作他用，否则发包人有权终止合同，没收履约保证金。</w:t>
      </w:r>
    </w:p>
    <w:p w14:paraId="2FDAFF7B">
      <w:pPr>
        <w:pStyle w:val="29"/>
        <w:numPr>
          <w:ilvl w:val="4"/>
          <w:numId w:val="7"/>
        </w:numPr>
        <w:tabs>
          <w:tab w:val="left" w:pos="1403"/>
          <w:tab w:val="left" w:pos="1404"/>
        </w:tabs>
        <w:spacing w:before="74"/>
        <w:rPr>
          <w:rFonts w:hint="eastAsia" w:ascii="宋体" w:hAnsi="宋体" w:eastAsia="宋体" w:cs="宋体"/>
          <w:sz w:val="24"/>
          <w:highlight w:val="none"/>
        </w:rPr>
      </w:pPr>
      <w:r>
        <w:rPr>
          <w:rFonts w:hint="eastAsia" w:ascii="宋体" w:hAnsi="宋体" w:eastAsia="宋体" w:cs="宋体"/>
          <w:sz w:val="24"/>
          <w:highlight w:val="none"/>
        </w:rPr>
        <w:t>承包人应按有关法律规定纳税，其费用包括在合同价格内。</w:t>
      </w:r>
    </w:p>
    <w:p w14:paraId="3E800685">
      <w:pPr>
        <w:pStyle w:val="29"/>
        <w:numPr>
          <w:ilvl w:val="4"/>
          <w:numId w:val="7"/>
        </w:numPr>
        <w:tabs>
          <w:tab w:val="left" w:pos="1403"/>
          <w:tab w:val="left" w:pos="1404"/>
        </w:tabs>
        <w:spacing w:before="74" w:line="297" w:lineRule="auto"/>
        <w:ind w:left="384" w:right="442" w:firstLine="480"/>
        <w:rPr>
          <w:rFonts w:hint="eastAsia" w:ascii="宋体" w:hAnsi="宋体" w:eastAsia="宋体" w:cs="宋体"/>
          <w:sz w:val="24"/>
          <w:highlight w:val="none"/>
        </w:rPr>
      </w:pPr>
      <w:r>
        <w:rPr>
          <w:rFonts w:hint="eastAsia" w:ascii="宋体" w:hAnsi="宋体" w:eastAsia="宋体" w:cs="宋体"/>
          <w:spacing w:val="-1"/>
          <w:sz w:val="24"/>
          <w:highlight w:val="none"/>
        </w:rPr>
        <w:t xml:space="preserve">承包人应认真执行监理人发出的与合同有关的任何指令，及时进场施工， </w:t>
      </w:r>
      <w:r>
        <w:rPr>
          <w:rFonts w:hint="eastAsia" w:ascii="宋体" w:hAnsi="宋体" w:eastAsia="宋体" w:cs="宋体"/>
          <w:sz w:val="24"/>
          <w:highlight w:val="none"/>
        </w:rPr>
        <w:t>按时完成合同规定的全部承包内容。</w:t>
      </w:r>
    </w:p>
    <w:p w14:paraId="511A00AD">
      <w:pPr>
        <w:pStyle w:val="29"/>
        <w:numPr>
          <w:ilvl w:val="4"/>
          <w:numId w:val="7"/>
        </w:numPr>
        <w:tabs>
          <w:tab w:val="left" w:pos="1403"/>
          <w:tab w:val="left" w:pos="1404"/>
        </w:tabs>
        <w:spacing w:before="1" w:line="297" w:lineRule="auto"/>
        <w:ind w:left="384" w:right="346" w:firstLine="480"/>
        <w:rPr>
          <w:rFonts w:hint="eastAsia" w:ascii="宋体" w:hAnsi="宋体" w:eastAsia="宋体" w:cs="宋体"/>
          <w:sz w:val="24"/>
          <w:highlight w:val="none"/>
        </w:rPr>
      </w:pPr>
      <w:r>
        <w:rPr>
          <w:rFonts w:hint="eastAsia" w:ascii="宋体" w:hAnsi="宋体" w:eastAsia="宋体" w:cs="宋体"/>
          <w:sz w:val="24"/>
          <w:highlight w:val="none"/>
        </w:rPr>
        <w:t>承包人应按合同约定指派项目经理、项目总工，并在约定的期限内到职。承包人更换项目经理、项目总工应事先征得发包人同意。进入现场的职工，应能胜任其本职工作。发包人和承包人在合同谈判阶段确定的其他管理和技术人员必须及时进场。承包人应按发包人和承包人在合同谈判阶段确定的主要机械设备和试验检</w:t>
      </w:r>
      <w:r>
        <w:rPr>
          <w:rFonts w:hint="eastAsia" w:ascii="宋体" w:hAnsi="宋体" w:eastAsia="宋体" w:cs="宋体"/>
          <w:spacing w:val="-7"/>
          <w:sz w:val="24"/>
          <w:highlight w:val="none"/>
        </w:rPr>
        <w:t>测设备按时到达施工现场。人员、机械、试验仪器设备不得拖延、短缺或任意更换。</w:t>
      </w:r>
      <w:r>
        <w:rPr>
          <w:rFonts w:hint="eastAsia" w:ascii="宋体" w:hAnsi="宋体" w:eastAsia="宋体" w:cs="宋体"/>
          <w:sz w:val="24"/>
          <w:highlight w:val="none"/>
        </w:rPr>
        <w:t>否则将视为承包人违约。承包人应按有关规定，确保工程及其人员、材料、设备和设施的安全，防止因工程施工造成的人员伤害和财产损失。</w:t>
      </w:r>
    </w:p>
    <w:p w14:paraId="6B21AD7D">
      <w:pPr>
        <w:pStyle w:val="29"/>
        <w:numPr>
          <w:ilvl w:val="4"/>
          <w:numId w:val="7"/>
        </w:numPr>
        <w:tabs>
          <w:tab w:val="left" w:pos="1404"/>
        </w:tabs>
        <w:spacing w:before="7" w:line="297" w:lineRule="auto"/>
        <w:ind w:left="384" w:right="466" w:firstLine="480"/>
        <w:jc w:val="both"/>
        <w:rPr>
          <w:rFonts w:hint="eastAsia" w:ascii="宋体" w:hAnsi="宋体" w:eastAsia="宋体" w:cs="宋体"/>
          <w:sz w:val="24"/>
          <w:highlight w:val="none"/>
        </w:rPr>
      </w:pPr>
      <w:r>
        <w:rPr>
          <w:rFonts w:hint="eastAsia" w:ascii="宋体" w:hAnsi="宋体" w:eastAsia="宋体" w:cs="宋体"/>
          <w:spacing w:val="-3"/>
          <w:sz w:val="24"/>
          <w:highlight w:val="none"/>
        </w:rPr>
        <w:t>承包人应按设计图纸及相关资料和规范要求，精心组织施工，并对现场文</w:t>
      </w:r>
      <w:r>
        <w:rPr>
          <w:rFonts w:hint="eastAsia" w:ascii="宋体" w:hAnsi="宋体" w:eastAsia="宋体" w:cs="宋体"/>
          <w:spacing w:val="-1"/>
          <w:sz w:val="24"/>
          <w:highlight w:val="none"/>
        </w:rPr>
        <w:t>明施工、环境保护及作业和施工方法的完备性和可靠性负全部责任。不合格的材料</w:t>
      </w:r>
      <w:r>
        <w:rPr>
          <w:rFonts w:hint="eastAsia" w:ascii="宋体" w:hAnsi="宋体" w:eastAsia="宋体" w:cs="宋体"/>
          <w:sz w:val="24"/>
          <w:highlight w:val="none"/>
        </w:rPr>
        <w:t>及机械设备不得运入现场。</w:t>
      </w:r>
    </w:p>
    <w:p w14:paraId="673F7361">
      <w:pPr>
        <w:pStyle w:val="29"/>
        <w:numPr>
          <w:ilvl w:val="4"/>
          <w:numId w:val="7"/>
        </w:numPr>
        <w:tabs>
          <w:tab w:val="left" w:pos="1529"/>
        </w:tabs>
        <w:spacing w:before="1" w:line="297"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承包人不得从为发包人、监理人服务的人员中招聘雇员或工人。雇用员</w:t>
      </w:r>
      <w:r>
        <w:rPr>
          <w:rFonts w:hint="eastAsia" w:ascii="宋体" w:hAnsi="宋体" w:eastAsia="宋体" w:cs="宋体"/>
          <w:spacing w:val="-1"/>
          <w:sz w:val="24"/>
          <w:highlight w:val="none"/>
        </w:rPr>
        <w:t>工应订立劳务合同，执行国家有关劳动保障规定，不得无故克扣或拖欠劳务人员的</w:t>
      </w:r>
      <w:r>
        <w:rPr>
          <w:rFonts w:hint="eastAsia" w:ascii="宋体" w:hAnsi="宋体" w:eastAsia="宋体" w:cs="宋体"/>
          <w:sz w:val="24"/>
          <w:highlight w:val="none"/>
        </w:rPr>
        <w:t>工资。</w:t>
      </w:r>
    </w:p>
    <w:p w14:paraId="7BB9CEBA">
      <w:pPr>
        <w:pStyle w:val="29"/>
        <w:numPr>
          <w:ilvl w:val="4"/>
          <w:numId w:val="7"/>
        </w:numPr>
        <w:tabs>
          <w:tab w:val="left" w:pos="1524"/>
        </w:tabs>
        <w:spacing w:before="3" w:line="297" w:lineRule="auto"/>
        <w:ind w:left="384" w:right="455" w:firstLine="480"/>
        <w:jc w:val="both"/>
        <w:rPr>
          <w:rFonts w:hint="eastAsia" w:ascii="宋体" w:hAnsi="宋体" w:eastAsia="宋体" w:cs="宋体"/>
          <w:sz w:val="24"/>
          <w:highlight w:val="none"/>
        </w:rPr>
      </w:pPr>
      <w:r>
        <w:rPr>
          <w:rFonts w:hint="eastAsia" w:ascii="宋体" w:hAnsi="宋体" w:eastAsia="宋体" w:cs="宋体"/>
          <w:spacing w:val="-13"/>
          <w:sz w:val="24"/>
          <w:highlight w:val="none"/>
        </w:rPr>
        <w:t>承包人应为本合同的施工建立强有力的质量保证体系和质检体系，建立质量</w:t>
      </w:r>
      <w:r>
        <w:rPr>
          <w:rFonts w:hint="eastAsia" w:ascii="宋体" w:hAnsi="宋体" w:eastAsia="宋体" w:cs="宋体"/>
          <w:spacing w:val="-12"/>
          <w:sz w:val="24"/>
          <w:highlight w:val="none"/>
        </w:rPr>
        <w:t>责任制、加强质量监控，完备检验手段，对现场施工的可靠性、安全性承担全部责任。</w:t>
      </w:r>
    </w:p>
    <w:p w14:paraId="560A5927">
      <w:pPr>
        <w:pStyle w:val="29"/>
        <w:numPr>
          <w:ilvl w:val="4"/>
          <w:numId w:val="7"/>
        </w:numPr>
        <w:tabs>
          <w:tab w:val="left" w:pos="1524"/>
        </w:tabs>
        <w:spacing w:before="1" w:line="297" w:lineRule="auto"/>
        <w:ind w:left="384" w:right="346" w:firstLine="480"/>
        <w:jc w:val="both"/>
        <w:rPr>
          <w:rFonts w:hint="eastAsia" w:ascii="宋体" w:hAnsi="宋体" w:eastAsia="宋体" w:cs="宋体"/>
          <w:sz w:val="24"/>
          <w:highlight w:val="none"/>
        </w:rPr>
      </w:pPr>
      <w:r>
        <w:rPr>
          <w:rFonts w:hint="eastAsia" w:ascii="宋体" w:hAnsi="宋体" w:eastAsia="宋体" w:cs="宋体"/>
          <w:spacing w:val="-2"/>
          <w:sz w:val="24"/>
          <w:highlight w:val="none"/>
        </w:rPr>
        <w:t xml:space="preserve">批准的设计文件中要求的所有事项应视为合同条款所要求的，若有争议， </w:t>
      </w:r>
      <w:r>
        <w:rPr>
          <w:rFonts w:hint="eastAsia" w:ascii="宋体" w:hAnsi="宋体" w:eastAsia="宋体" w:cs="宋体"/>
          <w:sz w:val="24"/>
          <w:highlight w:val="none"/>
        </w:rPr>
        <w:t>以监理人发出的指令为准。</w:t>
      </w:r>
    </w:p>
    <w:p w14:paraId="6C217D4C">
      <w:pPr>
        <w:pStyle w:val="10"/>
        <w:spacing w:before="8"/>
        <w:rPr>
          <w:rFonts w:hint="eastAsia" w:ascii="宋体" w:hAnsi="宋体" w:eastAsia="宋体" w:cs="宋体"/>
          <w:sz w:val="16"/>
          <w:highlight w:val="none"/>
        </w:rPr>
      </w:pPr>
      <w:r>
        <w:rPr>
          <w:rFonts w:hint="eastAsia" w:ascii="宋体" w:hAnsi="宋体" w:eastAsia="宋体" w:cs="宋体"/>
          <w:sz w:val="24"/>
          <w:highlight w:val="none"/>
        </w:rPr>
        <w:t>承包人应负责工程移交前的照管和维护工作，确保工程正式移交时不受到损坏。</w:t>
      </w:r>
    </w:p>
    <w:p w14:paraId="36ED7C56">
      <w:pPr>
        <w:pStyle w:val="29"/>
        <w:numPr>
          <w:ilvl w:val="4"/>
          <w:numId w:val="7"/>
        </w:numPr>
        <w:tabs>
          <w:tab w:val="left" w:pos="1524"/>
        </w:tabs>
        <w:spacing w:before="77" w:line="297" w:lineRule="auto"/>
        <w:ind w:left="384" w:right="466" w:firstLine="480"/>
        <w:jc w:val="both"/>
        <w:rPr>
          <w:rFonts w:hint="eastAsia" w:ascii="宋体" w:hAnsi="宋体" w:eastAsia="宋体" w:cs="宋体"/>
          <w:sz w:val="24"/>
          <w:highlight w:val="none"/>
        </w:rPr>
      </w:pPr>
      <w:r>
        <w:rPr>
          <w:rFonts w:hint="eastAsia" w:ascii="宋体" w:hAnsi="宋体" w:eastAsia="宋体" w:cs="宋体"/>
          <w:spacing w:val="-4"/>
          <w:sz w:val="24"/>
          <w:highlight w:val="none"/>
        </w:rPr>
        <w:t xml:space="preserve">承包人应在工程交工验收合格证书签发后 </w:t>
      </w:r>
      <w:r>
        <w:rPr>
          <w:rFonts w:hint="eastAsia" w:ascii="宋体" w:hAnsi="宋体" w:eastAsia="宋体" w:cs="宋体"/>
          <w:sz w:val="24"/>
          <w:highlight w:val="none"/>
        </w:rPr>
        <w:t>14</w:t>
      </w:r>
      <w:r>
        <w:rPr>
          <w:rFonts w:hint="eastAsia" w:ascii="宋体" w:hAnsi="宋体" w:eastAsia="宋体" w:cs="宋体"/>
          <w:spacing w:val="-12"/>
          <w:sz w:val="24"/>
          <w:highlight w:val="none"/>
        </w:rPr>
        <w:t xml:space="preserve"> </w:t>
      </w:r>
      <w:r>
        <w:rPr>
          <w:rFonts w:hint="eastAsia" w:ascii="宋体" w:hAnsi="宋体" w:eastAsia="宋体" w:cs="宋体"/>
          <w:spacing w:val="-2"/>
          <w:sz w:val="24"/>
          <w:highlight w:val="none"/>
        </w:rPr>
        <w:t>天内完成工地清理并撤离人</w:t>
      </w:r>
      <w:r>
        <w:rPr>
          <w:rFonts w:hint="eastAsia" w:ascii="宋体" w:hAnsi="宋体" w:eastAsia="宋体" w:cs="宋体"/>
          <w:sz w:val="24"/>
          <w:highlight w:val="none"/>
        </w:rPr>
        <w:t>员、设备和剩余材料。未完成缺陷责任而留置的人员、设备、材料除外。</w:t>
      </w:r>
    </w:p>
    <w:p w14:paraId="46602675">
      <w:pPr>
        <w:pStyle w:val="29"/>
        <w:numPr>
          <w:ilvl w:val="4"/>
          <w:numId w:val="7"/>
        </w:numPr>
        <w:tabs>
          <w:tab w:val="left" w:pos="1524"/>
        </w:tabs>
        <w:ind w:left="1524" w:hanging="660"/>
        <w:jc w:val="both"/>
        <w:rPr>
          <w:rFonts w:hint="eastAsia" w:ascii="宋体" w:hAnsi="宋体" w:eastAsia="宋体" w:cs="宋体"/>
          <w:sz w:val="24"/>
          <w:highlight w:val="none"/>
        </w:rPr>
      </w:pPr>
      <w:r>
        <w:rPr>
          <w:rFonts w:hint="eastAsia" w:ascii="宋体" w:hAnsi="宋体" w:eastAsia="宋体" w:cs="宋体"/>
          <w:sz w:val="24"/>
          <w:highlight w:val="none"/>
        </w:rPr>
        <w:t>承包人应按国家有关劳动保护的规定，保障其雇佣人员的合法权益。</w:t>
      </w:r>
    </w:p>
    <w:p w14:paraId="44A26D53">
      <w:pPr>
        <w:pStyle w:val="29"/>
        <w:numPr>
          <w:ilvl w:val="0"/>
          <w:numId w:val="0"/>
        </w:numPr>
        <w:tabs>
          <w:tab w:val="left" w:pos="1465"/>
        </w:tabs>
        <w:spacing w:before="74" w:line="297" w:lineRule="auto"/>
        <w:ind w:right="466" w:rightChars="0"/>
        <w:jc w:val="both"/>
        <w:rPr>
          <w:rFonts w:hint="eastAsia" w:ascii="宋体" w:hAnsi="宋体" w:eastAsia="宋体" w:cs="宋体"/>
          <w:sz w:val="24"/>
          <w:highlight w:val="none"/>
        </w:rPr>
      </w:pPr>
      <w:r>
        <w:rPr>
          <w:rFonts w:hint="eastAsia" w:cs="宋体"/>
          <w:sz w:val="24"/>
          <w:highlight w:val="none"/>
          <w:lang w:eastAsia="zh-CN"/>
        </w:rPr>
        <w:t>（</w:t>
      </w:r>
      <w:r>
        <w:rPr>
          <w:rFonts w:hint="eastAsia" w:cs="宋体"/>
          <w:sz w:val="24"/>
          <w:highlight w:val="none"/>
          <w:lang w:val="en-US" w:eastAsia="zh-CN"/>
        </w:rPr>
        <w:t>1</w:t>
      </w:r>
      <w:r>
        <w:rPr>
          <w:rFonts w:hint="eastAsia" w:cs="宋体"/>
          <w:sz w:val="24"/>
          <w:highlight w:val="none"/>
          <w:lang w:eastAsia="zh-CN"/>
        </w:rPr>
        <w:t>）</w:t>
      </w:r>
      <w:r>
        <w:rPr>
          <w:rFonts w:hint="eastAsia" w:ascii="宋体" w:hAnsi="宋体" w:eastAsia="宋体" w:cs="宋体"/>
          <w:sz w:val="24"/>
          <w:highlight w:val="none"/>
        </w:rPr>
        <w:t>承包人应严格遵守国家及地方政府有关解决拖欠工程款和农民工工资的</w:t>
      </w:r>
      <w:r>
        <w:rPr>
          <w:rFonts w:hint="eastAsia" w:ascii="宋体" w:hAnsi="宋体" w:eastAsia="宋体" w:cs="宋体"/>
          <w:spacing w:val="-5"/>
          <w:sz w:val="24"/>
          <w:highlight w:val="none"/>
        </w:rPr>
        <w:t>法律、法规、规章及规范性文件，及时支付工程中的材料、设备货款及农民工工资</w:t>
      </w:r>
      <w:r>
        <w:rPr>
          <w:rFonts w:hint="eastAsia" w:ascii="宋体" w:hAnsi="宋体" w:eastAsia="宋体" w:cs="宋体"/>
          <w:spacing w:val="-4"/>
          <w:sz w:val="24"/>
          <w:highlight w:val="none"/>
        </w:rPr>
        <w:t>等费用。对恶意拖欠和拒不按计划支付的，作为不良记录纳入公路建设市场信用信</w:t>
      </w:r>
      <w:r>
        <w:rPr>
          <w:rFonts w:hint="eastAsia" w:ascii="宋体" w:hAnsi="宋体" w:eastAsia="宋体" w:cs="宋体"/>
          <w:spacing w:val="-3"/>
          <w:sz w:val="24"/>
          <w:highlight w:val="none"/>
        </w:rPr>
        <w:t>息管理系统；</w:t>
      </w:r>
    </w:p>
    <w:p w14:paraId="3B3BB9BC">
      <w:pPr>
        <w:pStyle w:val="29"/>
        <w:numPr>
          <w:ilvl w:val="0"/>
          <w:numId w:val="0"/>
        </w:numPr>
        <w:tabs>
          <w:tab w:val="left" w:pos="1465"/>
        </w:tabs>
        <w:spacing w:before="11" w:line="307" w:lineRule="auto"/>
        <w:ind w:right="466" w:rightChars="0"/>
        <w:jc w:val="both"/>
        <w:rPr>
          <w:rFonts w:hint="eastAsia" w:ascii="宋体" w:hAnsi="宋体" w:eastAsia="宋体" w:cs="宋体"/>
          <w:sz w:val="24"/>
          <w:highlight w:val="none"/>
        </w:rPr>
      </w:pPr>
      <w:r>
        <w:rPr>
          <w:rFonts w:hint="eastAsia" w:cs="宋体"/>
          <w:spacing w:val="-2"/>
          <w:sz w:val="24"/>
          <w:highlight w:val="none"/>
          <w:lang w:eastAsia="zh-CN"/>
        </w:rPr>
        <w:t>（</w:t>
      </w:r>
      <w:r>
        <w:rPr>
          <w:rFonts w:hint="eastAsia" w:cs="宋体"/>
          <w:spacing w:val="-2"/>
          <w:sz w:val="24"/>
          <w:highlight w:val="none"/>
          <w:lang w:val="en-US" w:eastAsia="zh-CN"/>
        </w:rPr>
        <w:t>2</w:t>
      </w:r>
      <w:r>
        <w:rPr>
          <w:rFonts w:hint="eastAsia" w:cs="宋体"/>
          <w:spacing w:val="-2"/>
          <w:sz w:val="24"/>
          <w:highlight w:val="none"/>
          <w:lang w:eastAsia="zh-CN"/>
        </w:rPr>
        <w:t>）</w:t>
      </w:r>
      <w:r>
        <w:rPr>
          <w:rFonts w:hint="eastAsia" w:ascii="宋体" w:hAnsi="宋体" w:eastAsia="宋体" w:cs="宋体"/>
          <w:spacing w:val="-2"/>
          <w:sz w:val="24"/>
          <w:highlight w:val="none"/>
        </w:rPr>
        <w:t xml:space="preserve">承包人应当依法与每一名农民工或具有劳务资质的劳务公司签订合同， </w:t>
      </w:r>
      <w:r>
        <w:rPr>
          <w:rFonts w:hint="eastAsia" w:ascii="宋体" w:hAnsi="宋体" w:eastAsia="宋体" w:cs="宋体"/>
          <w:spacing w:val="-5"/>
          <w:sz w:val="24"/>
          <w:highlight w:val="none"/>
        </w:rPr>
        <w:t>合同中应当明确约定工作内容、工作要求、工作条件、工作地点、安全生产要求、</w:t>
      </w:r>
      <w:r>
        <w:rPr>
          <w:rFonts w:hint="eastAsia" w:ascii="宋体" w:hAnsi="宋体" w:eastAsia="宋体" w:cs="宋体"/>
          <w:spacing w:val="-4"/>
          <w:sz w:val="24"/>
          <w:highlight w:val="none"/>
        </w:rPr>
        <w:t>劳动报酬</w:t>
      </w:r>
      <w:r>
        <w:rPr>
          <w:rFonts w:hint="eastAsia" w:ascii="宋体" w:hAnsi="宋体" w:eastAsia="宋体" w:cs="宋体"/>
          <w:sz w:val="24"/>
          <w:highlight w:val="none"/>
        </w:rPr>
        <w:t>（包括工日单价或计量单价）、支付时间和支付方式等内容，在签订劳务</w:t>
      </w:r>
      <w:r>
        <w:rPr>
          <w:rFonts w:hint="eastAsia" w:ascii="宋体" w:hAnsi="宋体" w:eastAsia="宋体" w:cs="宋体"/>
          <w:spacing w:val="-4"/>
          <w:sz w:val="24"/>
          <w:highlight w:val="none"/>
        </w:rPr>
        <w:t>或劳动合同后，农民工方可进场。承包人临时或短期聘用农民工的，应当签订短期</w:t>
      </w:r>
      <w:r>
        <w:rPr>
          <w:rFonts w:hint="eastAsia" w:ascii="宋体" w:hAnsi="宋体" w:eastAsia="宋体" w:cs="宋体"/>
          <w:spacing w:val="-3"/>
          <w:sz w:val="24"/>
          <w:highlight w:val="none"/>
        </w:rPr>
        <w:t>临时合同。</w:t>
      </w:r>
    </w:p>
    <w:p w14:paraId="4DF9D6C6">
      <w:pPr>
        <w:pStyle w:val="29"/>
        <w:numPr>
          <w:ilvl w:val="0"/>
          <w:numId w:val="0"/>
        </w:numPr>
        <w:tabs>
          <w:tab w:val="left" w:pos="1465"/>
        </w:tabs>
        <w:spacing w:line="304" w:lineRule="auto"/>
        <w:ind w:right="466" w:rightChars="0"/>
        <w:jc w:val="both"/>
        <w:rPr>
          <w:rFonts w:hint="eastAsia" w:ascii="宋体" w:hAnsi="宋体" w:eastAsia="宋体" w:cs="宋体"/>
          <w:sz w:val="24"/>
          <w:highlight w:val="none"/>
        </w:rPr>
      </w:pPr>
      <w:r>
        <w:rPr>
          <w:rFonts w:hint="eastAsia" w:cs="宋体"/>
          <w:spacing w:val="-3"/>
          <w:sz w:val="24"/>
          <w:highlight w:val="none"/>
          <w:lang w:eastAsia="zh-CN"/>
        </w:rPr>
        <w:t>（</w:t>
      </w:r>
      <w:r>
        <w:rPr>
          <w:rFonts w:hint="eastAsia" w:cs="宋体"/>
          <w:spacing w:val="-3"/>
          <w:sz w:val="24"/>
          <w:highlight w:val="none"/>
          <w:lang w:val="en-US" w:eastAsia="zh-CN"/>
        </w:rPr>
        <w:t>3</w:t>
      </w:r>
      <w:r>
        <w:rPr>
          <w:rFonts w:hint="eastAsia" w:cs="宋体"/>
          <w:spacing w:val="-3"/>
          <w:sz w:val="24"/>
          <w:highlight w:val="none"/>
          <w:lang w:eastAsia="zh-CN"/>
        </w:rPr>
        <w:t>）</w:t>
      </w:r>
      <w:r>
        <w:rPr>
          <w:rFonts w:hint="eastAsia" w:ascii="宋体" w:hAnsi="宋体" w:eastAsia="宋体" w:cs="宋体"/>
          <w:spacing w:val="-3"/>
          <w:sz w:val="24"/>
          <w:highlight w:val="none"/>
        </w:rPr>
        <w:t>承包人项目部应当配备劳资专管员，对农民工实行实名制管理，记录施</w:t>
      </w:r>
      <w:r>
        <w:rPr>
          <w:rFonts w:hint="eastAsia" w:ascii="宋体" w:hAnsi="宋体" w:eastAsia="宋体" w:cs="宋体"/>
          <w:spacing w:val="-5"/>
          <w:sz w:val="24"/>
          <w:highlight w:val="none"/>
        </w:rPr>
        <w:t>工人员进出场情况和施工现场作业农民工的身份信息、劳动考勤，建立工资结算与</w:t>
      </w:r>
      <w:r>
        <w:rPr>
          <w:rFonts w:hint="eastAsia" w:ascii="宋体" w:hAnsi="宋体" w:eastAsia="宋体" w:cs="宋体"/>
          <w:spacing w:val="-4"/>
          <w:sz w:val="24"/>
          <w:highlight w:val="none"/>
        </w:rPr>
        <w:t>支付等管理台账，审核分包人编制的农民工工资支付表，实时掌握施工现场用工及其工资支付情况，不得以包代管。</w:t>
      </w:r>
    </w:p>
    <w:p w14:paraId="1A741F8C">
      <w:pPr>
        <w:pStyle w:val="29"/>
        <w:numPr>
          <w:ilvl w:val="0"/>
          <w:numId w:val="0"/>
        </w:numPr>
        <w:tabs>
          <w:tab w:val="left" w:pos="1465"/>
        </w:tabs>
        <w:spacing w:line="307" w:lineRule="auto"/>
        <w:ind w:right="466" w:rightChars="0"/>
        <w:rPr>
          <w:rFonts w:hint="eastAsia" w:ascii="宋体" w:hAnsi="宋体" w:eastAsia="宋体" w:cs="宋体"/>
          <w:sz w:val="24"/>
          <w:highlight w:val="none"/>
        </w:rPr>
      </w:pPr>
      <w:r>
        <w:rPr>
          <w:rFonts w:hint="eastAsia" w:cs="宋体"/>
          <w:spacing w:val="-6"/>
          <w:sz w:val="24"/>
          <w:highlight w:val="none"/>
          <w:lang w:eastAsia="zh-CN"/>
        </w:rPr>
        <w:t>（</w:t>
      </w:r>
      <w:r>
        <w:rPr>
          <w:rFonts w:hint="eastAsia" w:cs="宋体"/>
          <w:spacing w:val="-6"/>
          <w:sz w:val="24"/>
          <w:highlight w:val="none"/>
          <w:lang w:val="en-US" w:eastAsia="zh-CN"/>
        </w:rPr>
        <w:t>4</w:t>
      </w:r>
      <w:r>
        <w:rPr>
          <w:rFonts w:hint="eastAsia" w:cs="宋体"/>
          <w:spacing w:val="-6"/>
          <w:sz w:val="24"/>
          <w:highlight w:val="none"/>
          <w:lang w:eastAsia="zh-CN"/>
        </w:rPr>
        <w:t>）</w:t>
      </w:r>
      <w:r>
        <w:rPr>
          <w:rFonts w:hint="eastAsia" w:ascii="宋体" w:hAnsi="宋体" w:eastAsia="宋体" w:cs="宋体"/>
          <w:spacing w:val="-6"/>
          <w:sz w:val="24"/>
          <w:highlight w:val="none"/>
        </w:rPr>
        <w:t>农民工工资的发放，应严格按照国家及地方政府有关法律、法规、规章及</w:t>
      </w:r>
      <w:r>
        <w:rPr>
          <w:rFonts w:hint="eastAsia" w:ascii="宋体" w:hAnsi="宋体" w:eastAsia="宋体" w:cs="宋体"/>
          <w:sz w:val="24"/>
          <w:highlight w:val="none"/>
        </w:rPr>
        <w:t>规范性文件的规定执行。</w:t>
      </w:r>
    </w:p>
    <w:p w14:paraId="09C4CD55">
      <w:pPr>
        <w:pStyle w:val="10"/>
        <w:spacing w:before="3"/>
        <w:ind w:firstLine="480" w:firstLineChars="200"/>
        <w:rPr>
          <w:rFonts w:hint="eastAsia" w:ascii="宋体" w:hAnsi="宋体" w:eastAsia="宋体" w:cs="宋体"/>
          <w:highlight w:val="none"/>
        </w:rPr>
      </w:pPr>
      <w:r>
        <w:rPr>
          <w:rFonts w:hint="eastAsia" w:ascii="宋体" w:hAnsi="宋体" w:eastAsia="宋体" w:cs="宋体"/>
          <w:highlight w:val="none"/>
        </w:rPr>
        <w:t>承包人应分解工程价款中的人工费用，在工程项目所在地银行开设农民工工资（劳务费）专用账户，专项用于支付农民工工资。发包人应按照本合同约定的比例或承包人提供的人工费用数额，足额支付人工费用，将应付工程款中的人工费单独拨付到承包人开设的农民工工资（劳务费）专用账户。农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48DAC6E3">
      <w:pPr>
        <w:pStyle w:val="10"/>
        <w:spacing w:line="304" w:lineRule="auto"/>
        <w:ind w:right="266" w:firstLine="480" w:firstLineChars="200"/>
        <w:rPr>
          <w:rFonts w:hint="eastAsia" w:ascii="宋体" w:hAnsi="宋体" w:eastAsia="宋体" w:cs="宋体"/>
          <w:highlight w:val="none"/>
        </w:rPr>
      </w:pPr>
      <w:r>
        <w:rPr>
          <w:rFonts w:hint="eastAsia" w:ascii="宋体" w:hAnsi="宋体" w:eastAsia="宋体" w:cs="宋体"/>
          <w:highlight w:val="none"/>
        </w:rPr>
        <w:t>分包人应按月考核农民工工作量并编制工资支付表，经农民工本人签字确认后， 交承包人汇总核定并报发包人。发包人支付工程款中的人工费用后，承包人将核定的分包人工资支付表提交银行，由银行通过专用账户将工资代付到农民工个人银行账户，并向分包人提供代发工资凭证。</w:t>
      </w:r>
    </w:p>
    <w:p w14:paraId="587D500A">
      <w:pPr>
        <w:pStyle w:val="29"/>
        <w:numPr>
          <w:ilvl w:val="0"/>
          <w:numId w:val="0"/>
        </w:numPr>
        <w:tabs>
          <w:tab w:val="left" w:pos="1465"/>
        </w:tabs>
        <w:spacing w:before="1" w:line="304" w:lineRule="auto"/>
        <w:ind w:right="466" w:rightChars="0"/>
        <w:rPr>
          <w:rFonts w:hint="eastAsia" w:ascii="宋体" w:hAnsi="宋体" w:eastAsia="宋体" w:cs="宋体"/>
          <w:sz w:val="24"/>
          <w:highlight w:val="none"/>
        </w:rPr>
      </w:pPr>
      <w:r>
        <w:rPr>
          <w:rFonts w:hint="eastAsia" w:cs="宋体"/>
          <w:spacing w:val="-4"/>
          <w:sz w:val="24"/>
          <w:highlight w:val="none"/>
          <w:lang w:eastAsia="zh-CN"/>
        </w:rPr>
        <w:t>（</w:t>
      </w:r>
      <w:r>
        <w:rPr>
          <w:rFonts w:hint="eastAsia" w:cs="宋体"/>
          <w:spacing w:val="-4"/>
          <w:sz w:val="24"/>
          <w:highlight w:val="none"/>
          <w:lang w:val="en-US" w:eastAsia="zh-CN"/>
        </w:rPr>
        <w:t>5</w:t>
      </w:r>
      <w:r>
        <w:rPr>
          <w:rFonts w:hint="eastAsia" w:cs="宋体"/>
          <w:spacing w:val="-4"/>
          <w:sz w:val="24"/>
          <w:highlight w:val="none"/>
          <w:lang w:eastAsia="zh-CN"/>
        </w:rPr>
        <w:t>）</w:t>
      </w:r>
      <w:r>
        <w:rPr>
          <w:rFonts w:hint="eastAsia" w:ascii="宋体" w:hAnsi="宋体" w:eastAsia="宋体" w:cs="宋体"/>
          <w:spacing w:val="-4"/>
          <w:sz w:val="24"/>
          <w:highlight w:val="none"/>
        </w:rPr>
        <w:t>为确保施工过程中农民工工资实时、足额发放到位，承包人应按照项目</w:t>
      </w:r>
      <w:r>
        <w:rPr>
          <w:rFonts w:hint="eastAsia" w:ascii="宋体" w:hAnsi="宋体" w:eastAsia="宋体" w:cs="宋体"/>
          <w:spacing w:val="-5"/>
          <w:sz w:val="24"/>
          <w:highlight w:val="none"/>
        </w:rPr>
        <w:t>合同条款约定的时间、金额、形式缴存农民工工资保证金。</w:t>
      </w:r>
    </w:p>
    <w:p w14:paraId="4B8E228B">
      <w:pPr>
        <w:pStyle w:val="10"/>
        <w:spacing w:before="4"/>
        <w:rPr>
          <w:rFonts w:hint="eastAsia" w:ascii="宋体" w:hAnsi="宋体" w:eastAsia="宋体" w:cs="宋体"/>
          <w:highlight w:val="none"/>
        </w:rPr>
      </w:pPr>
      <w:r>
        <w:rPr>
          <w:rFonts w:hint="eastAsia" w:cs="宋体"/>
          <w:highlight w:val="none"/>
          <w:lang w:eastAsia="zh-CN"/>
        </w:rPr>
        <w:t>（</w:t>
      </w:r>
      <w:r>
        <w:rPr>
          <w:rFonts w:hint="eastAsia" w:cs="宋体"/>
          <w:highlight w:val="none"/>
          <w:lang w:val="en-US" w:eastAsia="zh-CN"/>
        </w:rPr>
        <w:t>6</w:t>
      </w:r>
      <w:r>
        <w:rPr>
          <w:rFonts w:hint="eastAsia" w:cs="宋体"/>
          <w:highlight w:val="none"/>
          <w:lang w:eastAsia="zh-CN"/>
        </w:rPr>
        <w:t>）</w:t>
      </w:r>
      <w:r>
        <w:rPr>
          <w:rFonts w:hint="eastAsia" w:ascii="宋体" w:hAnsi="宋体" w:eastAsia="宋体" w:cs="宋体"/>
          <w:highlight w:val="none"/>
        </w:rPr>
        <w:t>农民工工资保证金的缴存时间：承包项目开工前；</w:t>
      </w:r>
    </w:p>
    <w:p w14:paraId="36D2B187">
      <w:pPr>
        <w:pStyle w:val="10"/>
        <w:spacing w:before="84" w:line="304" w:lineRule="auto"/>
        <w:ind w:right="467"/>
        <w:rPr>
          <w:rFonts w:hint="eastAsia" w:ascii="宋体" w:hAnsi="宋体" w:eastAsia="宋体" w:cs="宋体"/>
          <w:sz w:val="18"/>
          <w:highlight w:val="none"/>
        </w:rPr>
      </w:pPr>
      <w:r>
        <w:rPr>
          <w:rFonts w:hint="eastAsia" w:cs="宋体"/>
          <w:spacing w:val="-1"/>
          <w:highlight w:val="none"/>
          <w:lang w:eastAsia="zh-CN"/>
        </w:rPr>
        <w:t>（</w:t>
      </w:r>
      <w:r>
        <w:rPr>
          <w:rFonts w:hint="eastAsia" w:cs="宋体"/>
          <w:spacing w:val="-1"/>
          <w:highlight w:val="none"/>
          <w:lang w:val="en-US" w:eastAsia="zh-CN"/>
        </w:rPr>
        <w:t>7</w:t>
      </w:r>
      <w:r>
        <w:rPr>
          <w:rFonts w:hint="eastAsia" w:cs="宋体"/>
          <w:spacing w:val="-1"/>
          <w:highlight w:val="none"/>
          <w:lang w:eastAsia="zh-CN"/>
        </w:rPr>
        <w:t>）</w:t>
      </w:r>
      <w:r>
        <w:rPr>
          <w:rFonts w:hint="eastAsia" w:ascii="宋体" w:hAnsi="宋体" w:eastAsia="宋体" w:cs="宋体"/>
          <w:spacing w:val="-1"/>
          <w:highlight w:val="none"/>
        </w:rPr>
        <w:t>农民工工资保证金的缴存金额：按《新疆维吾尔自治区农民工工资保证金管理</w:t>
      </w:r>
      <w:r>
        <w:rPr>
          <w:rFonts w:hint="eastAsia" w:ascii="宋体" w:hAnsi="宋体" w:eastAsia="宋体" w:cs="宋体"/>
          <w:highlight w:val="none"/>
        </w:rPr>
        <w:t>暂行办法》（新政办发[2007]114</w:t>
      </w:r>
      <w:r>
        <w:rPr>
          <w:rFonts w:hint="eastAsia" w:ascii="宋体" w:hAnsi="宋体" w:eastAsia="宋体" w:cs="宋体"/>
          <w:spacing w:val="-3"/>
          <w:highlight w:val="none"/>
        </w:rPr>
        <w:t xml:space="preserve"> </w:t>
      </w:r>
      <w:r>
        <w:rPr>
          <w:rFonts w:hint="eastAsia" w:ascii="宋体" w:hAnsi="宋体" w:eastAsia="宋体" w:cs="宋体"/>
          <w:highlight w:val="none"/>
        </w:rPr>
        <w:t>号）的有关规定缴纳；</w:t>
      </w:r>
    </w:p>
    <w:p w14:paraId="64AC77C6">
      <w:pPr>
        <w:pStyle w:val="10"/>
        <w:spacing w:before="66" w:line="307" w:lineRule="auto"/>
        <w:ind w:left="384" w:right="466" w:firstLine="480"/>
        <w:jc w:val="both"/>
        <w:rPr>
          <w:rFonts w:hint="eastAsia" w:ascii="宋体" w:hAnsi="宋体" w:eastAsia="宋体" w:cs="宋体"/>
          <w:highlight w:val="none"/>
        </w:rPr>
      </w:pPr>
      <w:r>
        <w:rPr>
          <w:rFonts w:hint="eastAsia" w:ascii="宋体" w:hAnsi="宋体" w:eastAsia="宋体" w:cs="宋体"/>
          <w:highlight w:val="none"/>
        </w:rPr>
        <w:t>农民工工资保证金的缴存形式：可采用银行保函或现金、支票形式。采用银行保函时，出具保函的银行须具有相应担保能力，且按照发包人批准的格式出具，所需费用由承包人承担。</w:t>
      </w:r>
    </w:p>
    <w:p w14:paraId="7D769726">
      <w:pPr>
        <w:pStyle w:val="10"/>
        <w:spacing w:line="304" w:lineRule="auto"/>
        <w:ind w:left="384" w:right="465" w:firstLine="480"/>
        <w:jc w:val="both"/>
        <w:rPr>
          <w:rFonts w:hint="eastAsia" w:ascii="宋体" w:hAnsi="宋体" w:eastAsia="宋体" w:cs="宋体"/>
          <w:highlight w:val="none"/>
        </w:rPr>
      </w:pPr>
      <w:r>
        <w:rPr>
          <w:rFonts w:hint="eastAsia" w:ascii="宋体" w:hAnsi="宋体" w:eastAsia="宋体" w:cs="宋体"/>
          <w:highlight w:val="none"/>
        </w:rPr>
        <w:t>若发生拖欠农民工工资的情况，发包人有权动用此保证金支付被拖欠的农民工工资。此保证金不足以支付拖欠的农民工工资，不足金额在履约保证金金及质量保留金中支付。农民工工资保证金的扣留条件、返还时间按照项目合同条款的约定执行：</w:t>
      </w:r>
    </w:p>
    <w:p w14:paraId="217561B7">
      <w:pPr>
        <w:pStyle w:val="10"/>
        <w:spacing w:before="8" w:line="312" w:lineRule="auto"/>
        <w:ind w:right="346" w:firstLine="452" w:firstLineChars="200"/>
        <w:rPr>
          <w:rFonts w:hint="eastAsia" w:ascii="宋体" w:hAnsi="宋体" w:eastAsia="宋体" w:cs="宋体"/>
          <w:highlight w:val="none"/>
        </w:rPr>
      </w:pPr>
      <w:r>
        <w:rPr>
          <w:rFonts w:hint="eastAsia" w:ascii="宋体" w:hAnsi="宋体" w:eastAsia="宋体" w:cs="宋体"/>
          <w:spacing w:val="-7"/>
          <w:highlight w:val="none"/>
        </w:rPr>
        <w:t>农民工工资保证金的扣留条件：承包人拖欠工资被责令限期支付逾期未支付时；</w:t>
      </w:r>
      <w:r>
        <w:rPr>
          <w:rFonts w:hint="eastAsia" w:ascii="宋体" w:hAnsi="宋体" w:eastAsia="宋体" w:cs="宋体"/>
          <w:highlight w:val="none"/>
        </w:rPr>
        <w:t>民工工资保证金的返还时间：交工证书签发后两个月内无农民工工资纠纷发生，发包人将保证金全额退还给承包人。</w:t>
      </w:r>
    </w:p>
    <w:p w14:paraId="7F32DF7B">
      <w:pPr>
        <w:pStyle w:val="29"/>
        <w:numPr>
          <w:ilvl w:val="0"/>
          <w:numId w:val="0"/>
        </w:numPr>
        <w:tabs>
          <w:tab w:val="left" w:pos="1465"/>
        </w:tabs>
        <w:spacing w:before="76" w:line="297" w:lineRule="auto"/>
        <w:ind w:right="466" w:rightChars="0"/>
        <w:jc w:val="both"/>
        <w:rPr>
          <w:rFonts w:hint="eastAsia" w:ascii="宋体" w:hAnsi="宋体" w:eastAsia="宋体" w:cs="宋体"/>
          <w:sz w:val="24"/>
          <w:highlight w:val="none"/>
        </w:rPr>
      </w:pPr>
      <w:r>
        <w:rPr>
          <w:rFonts w:hint="eastAsia" w:cs="宋体"/>
          <w:spacing w:val="-2"/>
          <w:sz w:val="24"/>
          <w:highlight w:val="none"/>
          <w:lang w:eastAsia="zh-CN"/>
        </w:rPr>
        <w:t>（</w:t>
      </w:r>
      <w:r>
        <w:rPr>
          <w:rFonts w:hint="eastAsia" w:cs="宋体"/>
          <w:spacing w:val="-2"/>
          <w:sz w:val="24"/>
          <w:highlight w:val="none"/>
          <w:lang w:val="en-US" w:eastAsia="zh-CN"/>
        </w:rPr>
        <w:t>1</w:t>
      </w:r>
      <w:r>
        <w:rPr>
          <w:rFonts w:hint="eastAsia" w:cs="宋体"/>
          <w:spacing w:val="-2"/>
          <w:sz w:val="24"/>
          <w:highlight w:val="none"/>
          <w:lang w:eastAsia="zh-CN"/>
        </w:rPr>
        <w:t>）</w:t>
      </w:r>
      <w:r>
        <w:rPr>
          <w:rFonts w:hint="eastAsia" w:ascii="宋体" w:hAnsi="宋体" w:eastAsia="宋体" w:cs="宋体"/>
          <w:spacing w:val="-2"/>
          <w:sz w:val="24"/>
          <w:highlight w:val="none"/>
        </w:rPr>
        <w:t>承包人应当在施工现场醒目位置设立维权信息告示牌，按照行政监督部</w:t>
      </w:r>
      <w:r>
        <w:rPr>
          <w:rFonts w:hint="eastAsia" w:ascii="宋体" w:hAnsi="宋体" w:eastAsia="宋体" w:cs="宋体"/>
          <w:spacing w:val="-5"/>
          <w:sz w:val="24"/>
          <w:highlight w:val="none"/>
        </w:rPr>
        <w:t>门和发包人的要求进行维权信息公示明示。工程通过交工验收后，承包人对无拖欠</w:t>
      </w:r>
      <w:r>
        <w:rPr>
          <w:rFonts w:hint="eastAsia" w:ascii="宋体" w:hAnsi="宋体" w:eastAsia="宋体" w:cs="宋体"/>
          <w:spacing w:val="-9"/>
          <w:sz w:val="24"/>
          <w:highlight w:val="none"/>
        </w:rPr>
        <w:t>农民工工资情况进行不少于</w:t>
      </w:r>
      <w:r>
        <w:rPr>
          <w:rFonts w:hint="eastAsia" w:ascii="宋体" w:hAnsi="宋体" w:eastAsia="宋体" w:cs="宋体"/>
          <w:sz w:val="24"/>
          <w:highlight w:val="none"/>
        </w:rPr>
        <w:t>30</w:t>
      </w:r>
      <w:r>
        <w:rPr>
          <w:rFonts w:hint="eastAsia" w:ascii="宋体" w:hAnsi="宋体" w:eastAsia="宋体" w:cs="宋体"/>
          <w:spacing w:val="-10"/>
          <w:sz w:val="24"/>
          <w:highlight w:val="none"/>
        </w:rPr>
        <w:t>日的公示，公示期间无举报投诉的，持发包人审核确</w:t>
      </w:r>
      <w:r>
        <w:rPr>
          <w:rFonts w:hint="eastAsia" w:ascii="宋体" w:hAnsi="宋体" w:eastAsia="宋体" w:cs="宋体"/>
          <w:spacing w:val="-5"/>
          <w:sz w:val="24"/>
          <w:highlight w:val="none"/>
        </w:rPr>
        <w:t>认意见到开户银行办理农民工工资专用账户撤销手续，账户内余额归承包人所有。</w:t>
      </w:r>
    </w:p>
    <w:p w14:paraId="4AB10088">
      <w:pPr>
        <w:pStyle w:val="29"/>
        <w:numPr>
          <w:ilvl w:val="0"/>
          <w:numId w:val="0"/>
        </w:numPr>
        <w:tabs>
          <w:tab w:val="left" w:pos="1465"/>
        </w:tabs>
        <w:spacing w:before="11" w:line="307" w:lineRule="auto"/>
        <w:ind w:right="346" w:rightChars="0"/>
        <w:rPr>
          <w:rFonts w:hint="eastAsia" w:ascii="宋体" w:hAnsi="宋体" w:eastAsia="宋体" w:cs="宋体"/>
          <w:sz w:val="24"/>
          <w:highlight w:val="none"/>
        </w:rPr>
      </w:pPr>
      <w:r>
        <w:rPr>
          <w:rFonts w:hint="eastAsia" w:cs="宋体"/>
          <w:spacing w:val="-4"/>
          <w:sz w:val="24"/>
          <w:highlight w:val="none"/>
          <w:lang w:eastAsia="zh-CN"/>
        </w:rPr>
        <w:t>（</w:t>
      </w:r>
      <w:r>
        <w:rPr>
          <w:rFonts w:hint="eastAsia" w:cs="宋体"/>
          <w:spacing w:val="-4"/>
          <w:sz w:val="24"/>
          <w:highlight w:val="none"/>
          <w:lang w:val="en-US" w:eastAsia="zh-CN"/>
        </w:rPr>
        <w:t>2</w:t>
      </w:r>
      <w:r>
        <w:rPr>
          <w:rFonts w:hint="eastAsia" w:cs="宋体"/>
          <w:spacing w:val="-4"/>
          <w:sz w:val="24"/>
          <w:highlight w:val="none"/>
          <w:lang w:eastAsia="zh-CN"/>
        </w:rPr>
        <w:t>）</w:t>
      </w:r>
      <w:r>
        <w:rPr>
          <w:rFonts w:hint="eastAsia" w:ascii="宋体" w:hAnsi="宋体" w:eastAsia="宋体" w:cs="宋体"/>
          <w:spacing w:val="-4"/>
          <w:sz w:val="24"/>
          <w:highlight w:val="none"/>
        </w:rPr>
        <w:t>为认真贯彻落实自治区党委、人民政府关于使用农民工解决我区农村劳动力了过剩、增加农民收入有关问题的指示精神，承包人应严格按《关于印发自治区固定资产投资项目促进农村劳动力培训就业工作实施方案的通知</w:t>
      </w:r>
      <w:r>
        <w:rPr>
          <w:rFonts w:hint="eastAsia" w:ascii="宋体" w:hAnsi="宋体" w:eastAsia="宋体" w:cs="宋体"/>
          <w:spacing w:val="-216"/>
          <w:sz w:val="24"/>
          <w:highlight w:val="none"/>
        </w:rPr>
        <w:t>》</w:t>
      </w:r>
      <w:r>
        <w:rPr>
          <w:rFonts w:hint="eastAsia" w:ascii="宋体" w:hAnsi="宋体" w:eastAsia="宋体" w:cs="宋体"/>
          <w:sz w:val="24"/>
          <w:highlight w:val="none"/>
        </w:rPr>
        <w:t>（</w:t>
      </w:r>
      <w:r>
        <w:rPr>
          <w:rFonts w:hint="eastAsia" w:ascii="宋体" w:hAnsi="宋体" w:eastAsia="宋体" w:cs="宋体"/>
          <w:spacing w:val="-22"/>
          <w:sz w:val="24"/>
          <w:highlight w:val="none"/>
        </w:rPr>
        <w:t>新政办发〔</w:t>
      </w:r>
      <w:r>
        <w:rPr>
          <w:rFonts w:hint="eastAsia" w:ascii="宋体" w:hAnsi="宋体" w:eastAsia="宋体" w:cs="宋体"/>
          <w:sz w:val="24"/>
          <w:highlight w:val="none"/>
        </w:rPr>
        <w:t>2017</w:t>
      </w:r>
      <w:r>
        <w:rPr>
          <w:rFonts w:hint="eastAsia" w:ascii="宋体" w:hAnsi="宋体" w:eastAsia="宋体" w:cs="宋体"/>
          <w:spacing w:val="-18"/>
          <w:sz w:val="24"/>
          <w:highlight w:val="none"/>
        </w:rPr>
        <w:t>〕</w:t>
      </w:r>
      <w:r>
        <w:rPr>
          <w:rFonts w:hint="eastAsia" w:ascii="宋体" w:hAnsi="宋体" w:eastAsia="宋体" w:cs="宋体"/>
          <w:sz w:val="24"/>
          <w:highlight w:val="none"/>
        </w:rPr>
        <w:t>62 号</w:t>
      </w:r>
      <w:r>
        <w:rPr>
          <w:rFonts w:hint="eastAsia" w:ascii="宋体" w:hAnsi="宋体" w:eastAsia="宋体" w:cs="宋体"/>
          <w:spacing w:val="-84"/>
          <w:sz w:val="24"/>
          <w:highlight w:val="none"/>
        </w:rPr>
        <w:t>）</w:t>
      </w:r>
      <w:r>
        <w:rPr>
          <w:rFonts w:hint="eastAsia" w:ascii="宋体" w:hAnsi="宋体" w:eastAsia="宋体" w:cs="宋体"/>
          <w:spacing w:val="-14"/>
          <w:sz w:val="24"/>
          <w:highlight w:val="none"/>
        </w:rPr>
        <w:t>、《关于在公路基础设施建设中使用农民工有关意见的通知</w:t>
      </w:r>
      <w:r>
        <w:rPr>
          <w:rFonts w:hint="eastAsia" w:ascii="宋体" w:hAnsi="宋体" w:eastAsia="宋体" w:cs="宋体"/>
          <w:spacing w:val="-168"/>
          <w:sz w:val="24"/>
          <w:highlight w:val="none"/>
        </w:rPr>
        <w:t>》</w:t>
      </w:r>
      <w:r>
        <w:rPr>
          <w:rFonts w:hint="eastAsia" w:ascii="宋体" w:hAnsi="宋体" w:eastAsia="宋体" w:cs="宋体"/>
          <w:spacing w:val="-3"/>
          <w:sz w:val="24"/>
          <w:highlight w:val="none"/>
        </w:rPr>
        <w:t>（</w:t>
      </w:r>
      <w:r>
        <w:rPr>
          <w:rFonts w:hint="eastAsia" w:ascii="宋体" w:hAnsi="宋体" w:eastAsia="宋体" w:cs="宋体"/>
          <w:sz w:val="24"/>
          <w:highlight w:val="none"/>
        </w:rPr>
        <w:t>新交综[2003]42 号文）、《新疆维吾尔自治区交通厅关于交通建设项目防止拖欠工程款和农民工工资管理暂行办法（试行）》、《新疆维吾尔自治区公路工程建设农民工用工管理办</w:t>
      </w:r>
      <w:r>
        <w:rPr>
          <w:rFonts w:hint="eastAsia" w:ascii="宋体" w:hAnsi="宋体" w:eastAsia="宋体" w:cs="宋体"/>
          <w:spacing w:val="-3"/>
          <w:sz w:val="24"/>
          <w:highlight w:val="none"/>
        </w:rPr>
        <w:t>法</w:t>
      </w:r>
      <w:r>
        <w:rPr>
          <w:rFonts w:hint="eastAsia" w:ascii="宋体" w:hAnsi="宋体" w:eastAsia="宋体" w:cs="宋体"/>
          <w:sz w:val="24"/>
          <w:highlight w:val="none"/>
        </w:rPr>
        <w:t>（试行</w:t>
      </w:r>
      <w:r>
        <w:rPr>
          <w:rFonts w:hint="eastAsia" w:ascii="宋体" w:hAnsi="宋体" w:eastAsia="宋体" w:cs="宋体"/>
          <w:spacing w:val="-5"/>
          <w:sz w:val="24"/>
          <w:highlight w:val="none"/>
        </w:rPr>
        <w:t>）》</w:t>
      </w:r>
      <w:r>
        <w:rPr>
          <w:rFonts w:hint="eastAsia" w:ascii="宋体" w:hAnsi="宋体" w:eastAsia="宋体" w:cs="宋体"/>
          <w:sz w:val="24"/>
          <w:highlight w:val="none"/>
        </w:rPr>
        <w:t>（</w:t>
      </w:r>
      <w:r>
        <w:rPr>
          <w:rFonts w:hint="eastAsia" w:ascii="宋体" w:hAnsi="宋体" w:eastAsia="宋体" w:cs="宋体"/>
          <w:spacing w:val="-1"/>
          <w:sz w:val="24"/>
          <w:highlight w:val="none"/>
        </w:rPr>
        <w:t>新交工程〔</w:t>
      </w:r>
      <w:r>
        <w:rPr>
          <w:rFonts w:hint="eastAsia" w:ascii="宋体" w:hAnsi="宋体" w:eastAsia="宋体" w:cs="宋体"/>
          <w:sz w:val="24"/>
          <w:highlight w:val="none"/>
        </w:rPr>
        <w:t>2017</w:t>
      </w:r>
      <w:r>
        <w:rPr>
          <w:rFonts w:hint="eastAsia" w:ascii="宋体" w:hAnsi="宋体" w:eastAsia="宋体" w:cs="宋体"/>
          <w:spacing w:val="-5"/>
          <w:sz w:val="24"/>
          <w:highlight w:val="none"/>
        </w:rPr>
        <w:t>〕</w:t>
      </w:r>
      <w:r>
        <w:rPr>
          <w:rFonts w:hint="eastAsia" w:ascii="宋体" w:hAnsi="宋体" w:eastAsia="宋体" w:cs="宋体"/>
          <w:sz w:val="24"/>
          <w:highlight w:val="none"/>
        </w:rPr>
        <w:t>16</w:t>
      </w:r>
      <w:r>
        <w:rPr>
          <w:rFonts w:hint="eastAsia" w:ascii="宋体" w:hAnsi="宋体" w:eastAsia="宋体" w:cs="宋体"/>
          <w:spacing w:val="1"/>
          <w:sz w:val="24"/>
          <w:highlight w:val="none"/>
        </w:rPr>
        <w:t xml:space="preserve"> </w:t>
      </w:r>
      <w:r>
        <w:rPr>
          <w:rFonts w:hint="eastAsia" w:ascii="宋体" w:hAnsi="宋体" w:eastAsia="宋体" w:cs="宋体"/>
          <w:sz w:val="24"/>
          <w:highlight w:val="none"/>
        </w:rPr>
        <w:t>号</w:t>
      </w:r>
      <w:r>
        <w:rPr>
          <w:rFonts w:hint="eastAsia" w:ascii="宋体" w:hAnsi="宋体" w:eastAsia="宋体" w:cs="宋体"/>
          <w:spacing w:val="-3"/>
          <w:sz w:val="24"/>
          <w:highlight w:val="none"/>
        </w:rPr>
        <w:t>）</w:t>
      </w:r>
      <w:r>
        <w:rPr>
          <w:rFonts w:hint="eastAsia" w:ascii="宋体" w:hAnsi="宋体" w:eastAsia="宋体" w:cs="宋体"/>
          <w:spacing w:val="-1"/>
          <w:sz w:val="24"/>
          <w:highlight w:val="none"/>
        </w:rPr>
        <w:t>等相关规定，在施工中选用除技术工以外</w:t>
      </w:r>
      <w:r>
        <w:rPr>
          <w:rFonts w:hint="eastAsia" w:ascii="宋体" w:hAnsi="宋体" w:eastAsia="宋体" w:cs="宋体"/>
          <w:spacing w:val="-4"/>
          <w:sz w:val="24"/>
          <w:highlight w:val="none"/>
        </w:rPr>
        <w:t xml:space="preserve">的普工时要使用项目沿线或附近的农民工，且数量不得低于普工总数的 </w:t>
      </w:r>
      <w:r>
        <w:rPr>
          <w:rFonts w:hint="eastAsia" w:ascii="宋体" w:hAnsi="宋体" w:eastAsia="宋体" w:cs="宋体"/>
          <w:spacing w:val="-3"/>
          <w:sz w:val="24"/>
          <w:highlight w:val="none"/>
        </w:rPr>
        <w:t>90</w:t>
      </w:r>
      <w:r>
        <w:rPr>
          <w:rFonts w:hint="eastAsia" w:ascii="宋体" w:hAnsi="宋体" w:eastAsia="宋体" w:cs="宋体"/>
          <w:spacing w:val="-2"/>
          <w:sz w:val="24"/>
          <w:highlight w:val="none"/>
        </w:rPr>
        <w:t>％；要制定相应的计划和措施。</w:t>
      </w:r>
    </w:p>
    <w:p w14:paraId="6788605A">
      <w:pPr>
        <w:pStyle w:val="29"/>
        <w:numPr>
          <w:ilvl w:val="4"/>
          <w:numId w:val="7"/>
        </w:numPr>
        <w:tabs>
          <w:tab w:val="left" w:pos="1523"/>
          <w:tab w:val="left" w:pos="1524"/>
        </w:tabs>
        <w:spacing w:line="293" w:lineRule="exact"/>
        <w:ind w:left="1524" w:hanging="660"/>
        <w:rPr>
          <w:rFonts w:hint="eastAsia" w:ascii="宋体" w:hAnsi="宋体" w:eastAsia="宋体" w:cs="宋体"/>
          <w:sz w:val="24"/>
          <w:highlight w:val="none"/>
        </w:rPr>
      </w:pPr>
      <w:r>
        <w:rPr>
          <w:rFonts w:hint="eastAsia" w:ascii="宋体" w:hAnsi="宋体" w:eastAsia="宋体" w:cs="宋体"/>
          <w:sz w:val="24"/>
          <w:highlight w:val="none"/>
        </w:rPr>
        <w:t>承包人应负责处理其雇佣人员因工伤亡事故的善后事宜。</w:t>
      </w:r>
    </w:p>
    <w:p w14:paraId="37A68022">
      <w:pPr>
        <w:pStyle w:val="29"/>
        <w:numPr>
          <w:ilvl w:val="4"/>
          <w:numId w:val="7"/>
        </w:numPr>
        <w:tabs>
          <w:tab w:val="left" w:pos="1523"/>
          <w:tab w:val="left" w:pos="1524"/>
        </w:tabs>
        <w:spacing w:before="84" w:line="307" w:lineRule="auto"/>
        <w:ind w:left="384" w:right="346" w:firstLine="480"/>
        <w:rPr>
          <w:rFonts w:hint="eastAsia" w:ascii="宋体" w:hAnsi="宋体" w:eastAsia="宋体" w:cs="宋体"/>
          <w:sz w:val="24"/>
          <w:highlight w:val="none"/>
        </w:rPr>
      </w:pPr>
      <w:r>
        <w:rPr>
          <w:rFonts w:hint="eastAsia" w:ascii="宋体" w:hAnsi="宋体" w:eastAsia="宋体" w:cs="宋体"/>
          <w:spacing w:val="-3"/>
          <w:sz w:val="24"/>
          <w:highlight w:val="none"/>
        </w:rPr>
        <w:t>承包人应按国家有关劳动保护的规定，采取有效的防止粉尘、降低噪声、</w:t>
      </w:r>
      <w:r>
        <w:rPr>
          <w:rFonts w:hint="eastAsia" w:ascii="宋体" w:hAnsi="宋体" w:eastAsia="宋体" w:cs="宋体"/>
          <w:sz w:val="24"/>
          <w:highlight w:val="none"/>
        </w:rPr>
        <w:t>控制有害气体和保障高温、高寒、高空作业安全等劳动保护措施。其雇佣人员在施工中受到伤害的，承包人应立即采取有效措施进行抢救和治疗。</w:t>
      </w:r>
    </w:p>
    <w:p w14:paraId="6CF8FF4C">
      <w:pPr>
        <w:pStyle w:val="29"/>
        <w:numPr>
          <w:ilvl w:val="4"/>
          <w:numId w:val="7"/>
        </w:numPr>
        <w:tabs>
          <w:tab w:val="left" w:pos="1529"/>
        </w:tabs>
        <w:spacing w:line="307"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承包人应为其雇佣人员提供必要的食宿条件，以及符合环境保护和卫生</w:t>
      </w:r>
      <w:r>
        <w:rPr>
          <w:rFonts w:hint="eastAsia" w:ascii="宋体" w:hAnsi="宋体" w:eastAsia="宋体" w:cs="宋体"/>
          <w:spacing w:val="-1"/>
          <w:sz w:val="24"/>
          <w:highlight w:val="none"/>
        </w:rPr>
        <w:t>要求的生活环境，在远离城镇的施工场地，还应配备必要的伤病防治和急救的医务</w:t>
      </w:r>
      <w:r>
        <w:rPr>
          <w:rFonts w:hint="eastAsia" w:ascii="宋体" w:hAnsi="宋体" w:eastAsia="宋体" w:cs="宋体"/>
          <w:sz w:val="24"/>
          <w:highlight w:val="none"/>
        </w:rPr>
        <w:t>人员与医疗设施。</w:t>
      </w:r>
    </w:p>
    <w:p w14:paraId="20702D40">
      <w:pPr>
        <w:pStyle w:val="29"/>
        <w:numPr>
          <w:ilvl w:val="4"/>
          <w:numId w:val="7"/>
        </w:numPr>
        <w:tabs>
          <w:tab w:val="left" w:pos="1524"/>
        </w:tabs>
        <w:spacing w:line="303" w:lineRule="exact"/>
        <w:ind w:left="1524" w:hanging="660"/>
        <w:jc w:val="both"/>
        <w:rPr>
          <w:rFonts w:hint="eastAsia" w:ascii="宋体" w:hAnsi="宋体" w:eastAsia="宋体" w:cs="宋体"/>
          <w:sz w:val="24"/>
          <w:highlight w:val="none"/>
        </w:rPr>
      </w:pPr>
      <w:r>
        <w:rPr>
          <w:rFonts w:hint="eastAsia" w:ascii="宋体" w:hAnsi="宋体" w:eastAsia="宋体" w:cs="宋体"/>
          <w:sz w:val="24"/>
          <w:highlight w:val="none"/>
        </w:rPr>
        <w:t>承包人应履行的其他义务</w:t>
      </w:r>
    </w:p>
    <w:p w14:paraId="1330B391">
      <w:pPr>
        <w:pStyle w:val="10"/>
        <w:rPr>
          <w:rFonts w:hint="eastAsia" w:ascii="宋体" w:hAnsi="宋体" w:eastAsia="宋体" w:cs="宋体"/>
          <w:sz w:val="18"/>
          <w:highlight w:val="none"/>
        </w:rPr>
      </w:pPr>
      <w:r>
        <w:rPr>
          <w:rFonts w:hint="eastAsia" w:ascii="宋体" w:hAnsi="宋体" w:eastAsia="宋体" w:cs="宋体"/>
          <w:spacing w:val="-10"/>
          <w:sz w:val="24"/>
          <w:highlight w:val="none"/>
        </w:rPr>
        <w:t>凡是与已建铁路、公路、堤防、通讯及电力缆线、供水、输油、输气管道、</w:t>
      </w:r>
      <w:r>
        <w:rPr>
          <w:rFonts w:hint="eastAsia" w:ascii="宋体" w:hAnsi="宋体" w:eastAsia="宋体" w:cs="宋体"/>
          <w:spacing w:val="-8"/>
          <w:sz w:val="24"/>
          <w:highlight w:val="none"/>
        </w:rPr>
        <w:t>居民住宅区等有交叉、干扰的地段，承包人应在不干扰铁路、公路正常营运以及注意保护地下管线、不干扰附近居民的正常生活的前提下合理安排施工组织计划，采取有效措施保证施工安全，在现场设置施工和安全标志，并在必要时疏导现有交通流；凡</w:t>
      </w:r>
    </w:p>
    <w:p w14:paraId="796AA948">
      <w:pPr>
        <w:pStyle w:val="10"/>
        <w:spacing w:before="66" w:line="307" w:lineRule="auto"/>
        <w:ind w:left="384" w:right="458"/>
        <w:jc w:val="both"/>
        <w:rPr>
          <w:rFonts w:hint="eastAsia" w:ascii="宋体" w:hAnsi="宋体" w:eastAsia="宋体" w:cs="宋体"/>
          <w:highlight w:val="none"/>
        </w:rPr>
      </w:pPr>
      <w:r>
        <w:rPr>
          <w:rFonts w:hint="eastAsia" w:ascii="宋体" w:hAnsi="宋体" w:eastAsia="宋体" w:cs="宋体"/>
          <w:spacing w:val="-8"/>
          <w:highlight w:val="none"/>
        </w:rPr>
        <w:t>是标段内与其他在建工程有互扰的地段，承包人应做好与其他施工单位的协调工作； 凡是标段内地形复杂、存在软土路基、场地狭窄的地段，承包人应按照施工要求制定完善的施工组织计划。承包人应对上述所有工作负责，发包人将根据承包人的要求给予适当协助。承包人应将其采取上述措施而可能发生的全部费用视为已包括在或计入在本合同工程已标价的工程量清单的各相关工程细目的单价或总额价中，发包人将不另行支付。</w:t>
      </w:r>
    </w:p>
    <w:p w14:paraId="01109C62">
      <w:pPr>
        <w:pStyle w:val="10"/>
        <w:spacing w:line="304" w:lineRule="auto"/>
        <w:ind w:left="384" w:right="346" w:firstLine="480"/>
        <w:rPr>
          <w:rFonts w:hint="eastAsia" w:ascii="宋体" w:hAnsi="宋体" w:eastAsia="宋体" w:cs="宋体"/>
          <w:highlight w:val="none"/>
        </w:rPr>
      </w:pPr>
      <w:r>
        <w:rPr>
          <w:rFonts w:hint="eastAsia" w:ascii="宋体" w:hAnsi="宋体" w:eastAsia="宋体" w:cs="宋体"/>
          <w:spacing w:val="-7"/>
          <w:highlight w:val="none"/>
        </w:rPr>
        <w:t>如因承包人采取的措施不利，影响铁路、公路、通讯及电力缆线、供水、输油、</w:t>
      </w:r>
      <w:r>
        <w:rPr>
          <w:rFonts w:hint="eastAsia" w:ascii="宋体" w:hAnsi="宋体" w:eastAsia="宋体" w:cs="宋体"/>
          <w:highlight w:val="none"/>
        </w:rPr>
        <w:t>输气管道等正常安全营运、居民的正常生活而给其它部门或个人造成的一切损失， 或由于上述原因造成本工程工期的拖延或施工费用的增加，均由承包人自行负责， 发包人不承担任何责任。</w:t>
      </w:r>
    </w:p>
    <w:p w14:paraId="7C011256">
      <w:pPr>
        <w:pStyle w:val="29"/>
        <w:numPr>
          <w:ilvl w:val="0"/>
          <w:numId w:val="8"/>
        </w:numPr>
        <w:tabs>
          <w:tab w:val="left" w:pos="1465"/>
        </w:tabs>
        <w:spacing w:line="304" w:lineRule="auto"/>
        <w:ind w:right="466" w:firstLine="480"/>
        <w:jc w:val="both"/>
        <w:rPr>
          <w:rFonts w:hint="eastAsia" w:ascii="宋体" w:hAnsi="宋体" w:eastAsia="宋体" w:cs="宋体"/>
          <w:sz w:val="24"/>
          <w:highlight w:val="none"/>
        </w:rPr>
      </w:pPr>
      <w:r>
        <w:rPr>
          <w:rFonts w:hint="eastAsia" w:ascii="宋体" w:hAnsi="宋体" w:eastAsia="宋体" w:cs="宋体"/>
          <w:spacing w:val="-3"/>
          <w:sz w:val="24"/>
          <w:highlight w:val="none"/>
        </w:rPr>
        <w:t>承包人在进场前及进场施工后，应充分了解工程所在地的民族习惯、宗</w:t>
      </w:r>
      <w:r>
        <w:rPr>
          <w:rFonts w:hint="eastAsia" w:ascii="宋体" w:hAnsi="宋体" w:eastAsia="宋体" w:cs="宋体"/>
          <w:spacing w:val="-5"/>
          <w:sz w:val="24"/>
          <w:highlight w:val="none"/>
        </w:rPr>
        <w:t>教信仰、饮食禁忌等情况，并尊重当地居民的各种习俗，在施工队伍中做好宣传教</w:t>
      </w:r>
      <w:r>
        <w:rPr>
          <w:rFonts w:hint="eastAsia" w:ascii="宋体" w:hAnsi="宋体" w:eastAsia="宋体" w:cs="宋体"/>
          <w:spacing w:val="-4"/>
          <w:sz w:val="24"/>
          <w:highlight w:val="none"/>
        </w:rPr>
        <w:t>育工作，否则，因承包人的员工破坏当地风俗习惯造成的恶劣影响及给发包人带来</w:t>
      </w:r>
      <w:r>
        <w:rPr>
          <w:rFonts w:hint="eastAsia" w:ascii="宋体" w:hAnsi="宋体" w:eastAsia="宋体" w:cs="宋体"/>
          <w:spacing w:val="-3"/>
          <w:sz w:val="24"/>
          <w:highlight w:val="none"/>
        </w:rPr>
        <w:t>的损失由承包人承担。</w:t>
      </w:r>
    </w:p>
    <w:p w14:paraId="76F96CBE">
      <w:pPr>
        <w:pStyle w:val="10"/>
        <w:spacing w:before="190"/>
        <w:ind w:left="583"/>
        <w:rPr>
          <w:rFonts w:hint="eastAsia" w:ascii="宋体" w:hAnsi="宋体" w:eastAsia="宋体" w:cs="宋体"/>
          <w:highlight w:val="none"/>
        </w:rPr>
      </w:pPr>
      <w:r>
        <w:rPr>
          <w:rFonts w:hint="eastAsia" w:ascii="宋体" w:hAnsi="宋体" w:eastAsia="宋体" w:cs="宋体"/>
          <w:highlight w:val="none"/>
        </w:rPr>
        <w:t>三、施工组织计划和工期</w:t>
      </w:r>
    </w:p>
    <w:p w14:paraId="6B6DE993">
      <w:pPr>
        <w:pStyle w:val="10"/>
        <w:spacing w:before="2"/>
        <w:rPr>
          <w:rFonts w:hint="eastAsia" w:ascii="宋体" w:hAnsi="宋体" w:eastAsia="宋体" w:cs="宋体"/>
          <w:sz w:val="21"/>
          <w:highlight w:val="none"/>
        </w:rPr>
      </w:pPr>
    </w:p>
    <w:p w14:paraId="027C31F2">
      <w:pPr>
        <w:pStyle w:val="29"/>
        <w:numPr>
          <w:ilvl w:val="3"/>
          <w:numId w:val="7"/>
        </w:numPr>
        <w:tabs>
          <w:tab w:val="left" w:pos="1005"/>
        </w:tabs>
        <w:ind w:hanging="182"/>
        <w:jc w:val="left"/>
        <w:rPr>
          <w:rFonts w:hint="eastAsia" w:ascii="宋体" w:hAnsi="宋体" w:eastAsia="宋体" w:cs="宋体"/>
          <w:sz w:val="24"/>
          <w:highlight w:val="none"/>
        </w:rPr>
      </w:pPr>
      <w:r>
        <w:rPr>
          <w:rFonts w:hint="eastAsia" w:ascii="宋体" w:hAnsi="宋体" w:eastAsia="宋体" w:cs="宋体"/>
          <w:sz w:val="24"/>
          <w:highlight w:val="none"/>
        </w:rPr>
        <w:t>进度计划</w:t>
      </w:r>
    </w:p>
    <w:p w14:paraId="1D2F43D8">
      <w:pPr>
        <w:pStyle w:val="10"/>
        <w:spacing w:before="4"/>
        <w:rPr>
          <w:rFonts w:hint="eastAsia" w:ascii="宋体" w:hAnsi="宋体" w:eastAsia="宋体" w:cs="宋体"/>
          <w:sz w:val="21"/>
          <w:highlight w:val="none"/>
        </w:rPr>
      </w:pPr>
    </w:p>
    <w:p w14:paraId="07709DCC">
      <w:pPr>
        <w:pStyle w:val="29"/>
        <w:numPr>
          <w:ilvl w:val="4"/>
          <w:numId w:val="7"/>
        </w:numPr>
        <w:tabs>
          <w:tab w:val="left" w:pos="1409"/>
        </w:tabs>
        <w:spacing w:line="312" w:lineRule="auto"/>
        <w:ind w:left="384" w:right="466" w:firstLine="480"/>
        <w:jc w:val="both"/>
        <w:rPr>
          <w:rFonts w:hint="eastAsia" w:ascii="宋体" w:hAnsi="宋体" w:eastAsia="宋体" w:cs="宋体"/>
          <w:sz w:val="24"/>
          <w:highlight w:val="none"/>
        </w:rPr>
      </w:pPr>
      <w:r>
        <w:rPr>
          <w:rFonts w:hint="eastAsia" w:ascii="宋体" w:hAnsi="宋体" w:eastAsia="宋体" w:cs="宋体"/>
          <w:spacing w:val="-3"/>
          <w:sz w:val="24"/>
          <w:highlight w:val="none"/>
        </w:rPr>
        <w:t>承包人应在签订合同协议书后</w:t>
      </w:r>
      <w:r>
        <w:rPr>
          <w:rFonts w:hint="eastAsia" w:ascii="宋体" w:hAnsi="宋体" w:eastAsia="宋体" w:cs="宋体"/>
          <w:sz w:val="24"/>
          <w:highlight w:val="none"/>
        </w:rPr>
        <w:t>14天内，向监理人提交两份其格式和内容</w:t>
      </w:r>
      <w:r>
        <w:rPr>
          <w:rFonts w:hint="eastAsia" w:ascii="宋体" w:hAnsi="宋体" w:eastAsia="宋体" w:cs="宋体"/>
          <w:spacing w:val="-1"/>
          <w:sz w:val="24"/>
          <w:highlight w:val="none"/>
        </w:rPr>
        <w:t>符合规定的施工计划，以及为完成该计划而建议采用的实施性施工安排和施工方案</w:t>
      </w:r>
      <w:r>
        <w:rPr>
          <w:rFonts w:hint="eastAsia" w:ascii="宋体" w:hAnsi="宋体" w:eastAsia="宋体" w:cs="宋体"/>
          <w:spacing w:val="-16"/>
          <w:sz w:val="24"/>
          <w:highlight w:val="none"/>
        </w:rPr>
        <w:t>的说明。监理人应在</w:t>
      </w:r>
      <w:r>
        <w:rPr>
          <w:rFonts w:hint="eastAsia" w:ascii="宋体" w:hAnsi="宋体" w:eastAsia="宋体" w:cs="宋体"/>
          <w:sz w:val="24"/>
          <w:highlight w:val="none"/>
        </w:rPr>
        <w:t>14</w:t>
      </w:r>
      <w:r>
        <w:rPr>
          <w:rFonts w:hint="eastAsia" w:ascii="宋体" w:hAnsi="宋体" w:eastAsia="宋体" w:cs="宋体"/>
          <w:spacing w:val="-1"/>
          <w:sz w:val="24"/>
          <w:highlight w:val="none"/>
        </w:rPr>
        <w:t>天内对承包人施工进度计划和施工方案说明予以批复或提出修改意见；经监理人审查后报发包人批准。经批准的施工进度计划是控制合同工程</w:t>
      </w:r>
      <w:r>
        <w:rPr>
          <w:rFonts w:hint="eastAsia" w:ascii="宋体" w:hAnsi="宋体" w:eastAsia="宋体" w:cs="宋体"/>
          <w:sz w:val="24"/>
          <w:highlight w:val="none"/>
        </w:rPr>
        <w:t>进度的依据。</w:t>
      </w:r>
    </w:p>
    <w:p w14:paraId="52182991">
      <w:pPr>
        <w:pStyle w:val="29"/>
        <w:numPr>
          <w:ilvl w:val="4"/>
          <w:numId w:val="7"/>
        </w:numPr>
        <w:tabs>
          <w:tab w:val="left" w:pos="1404"/>
        </w:tabs>
        <w:spacing w:before="1" w:line="312" w:lineRule="auto"/>
        <w:ind w:left="384" w:right="466" w:firstLine="480"/>
        <w:jc w:val="both"/>
        <w:rPr>
          <w:rFonts w:hint="eastAsia" w:ascii="宋体" w:hAnsi="宋体" w:eastAsia="宋体" w:cs="宋体"/>
          <w:sz w:val="24"/>
          <w:highlight w:val="none"/>
        </w:rPr>
      </w:pPr>
      <w:r>
        <w:rPr>
          <w:rFonts w:hint="eastAsia" w:ascii="宋体" w:hAnsi="宋体" w:eastAsia="宋体" w:cs="宋体"/>
          <w:spacing w:val="-3"/>
          <w:sz w:val="24"/>
          <w:highlight w:val="none"/>
        </w:rPr>
        <w:t>承包人应在确保合同工期的前提下，每月对进度计划修订一次，并应在每</w:t>
      </w:r>
      <w:r>
        <w:rPr>
          <w:rFonts w:hint="eastAsia" w:ascii="宋体" w:hAnsi="宋体" w:eastAsia="宋体" w:cs="宋体"/>
          <w:spacing w:val="-20"/>
          <w:sz w:val="24"/>
          <w:highlight w:val="none"/>
        </w:rPr>
        <w:t xml:space="preserve">月的 </w:t>
      </w:r>
      <w:r>
        <w:rPr>
          <w:rFonts w:hint="eastAsia" w:ascii="宋体" w:hAnsi="宋体" w:eastAsia="宋体" w:cs="宋体"/>
          <w:sz w:val="24"/>
          <w:highlight w:val="none"/>
        </w:rPr>
        <w:t xml:space="preserve">25 </w:t>
      </w:r>
      <w:r>
        <w:rPr>
          <w:rFonts w:hint="eastAsia" w:ascii="宋体" w:hAnsi="宋体" w:eastAsia="宋体" w:cs="宋体"/>
          <w:spacing w:val="-7"/>
          <w:sz w:val="24"/>
          <w:highlight w:val="none"/>
        </w:rPr>
        <w:t>日前提交给监理人审查；监理人批复修订合同进度计划的期限：收到修订合</w:t>
      </w:r>
      <w:r>
        <w:rPr>
          <w:rFonts w:hint="eastAsia" w:ascii="宋体" w:hAnsi="宋体" w:eastAsia="宋体" w:cs="宋体"/>
          <w:spacing w:val="-9"/>
          <w:sz w:val="24"/>
          <w:highlight w:val="none"/>
        </w:rPr>
        <w:t>同进度计划后</w:t>
      </w:r>
      <w:r>
        <w:rPr>
          <w:rFonts w:hint="eastAsia" w:ascii="宋体" w:hAnsi="宋体" w:eastAsia="宋体" w:cs="宋体"/>
          <w:sz w:val="24"/>
          <w:highlight w:val="none"/>
        </w:rPr>
        <w:t>3天内。</w:t>
      </w:r>
    </w:p>
    <w:p w14:paraId="1A5A2BE4">
      <w:pPr>
        <w:pStyle w:val="29"/>
        <w:numPr>
          <w:ilvl w:val="4"/>
          <w:numId w:val="7"/>
        </w:numPr>
        <w:tabs>
          <w:tab w:val="left" w:pos="1404"/>
        </w:tabs>
        <w:spacing w:before="1"/>
        <w:jc w:val="both"/>
        <w:rPr>
          <w:rFonts w:hint="eastAsia" w:ascii="宋体" w:hAnsi="宋体" w:eastAsia="宋体" w:cs="宋体"/>
          <w:sz w:val="24"/>
          <w:highlight w:val="none"/>
        </w:rPr>
      </w:pPr>
      <w:r>
        <w:rPr>
          <w:rFonts w:hint="eastAsia" w:ascii="宋体" w:hAnsi="宋体" w:eastAsia="宋体" w:cs="宋体"/>
          <w:sz w:val="24"/>
          <w:highlight w:val="none"/>
        </w:rPr>
        <w:t>承包人编制施工方案中要有确保工程顺利实施的保证措施。</w:t>
      </w:r>
    </w:p>
    <w:p w14:paraId="4E5ED10B">
      <w:pPr>
        <w:pStyle w:val="10"/>
        <w:spacing w:before="4"/>
        <w:rPr>
          <w:rFonts w:hint="eastAsia" w:ascii="宋体" w:hAnsi="宋体" w:eastAsia="宋体" w:cs="宋体"/>
          <w:sz w:val="21"/>
          <w:highlight w:val="none"/>
        </w:rPr>
      </w:pPr>
    </w:p>
    <w:p w14:paraId="378561D1">
      <w:pPr>
        <w:pStyle w:val="29"/>
        <w:numPr>
          <w:ilvl w:val="3"/>
          <w:numId w:val="7"/>
        </w:numPr>
        <w:tabs>
          <w:tab w:val="left" w:pos="1005"/>
        </w:tabs>
        <w:ind w:hanging="182"/>
        <w:jc w:val="left"/>
        <w:rPr>
          <w:rFonts w:hint="eastAsia" w:ascii="宋体" w:hAnsi="宋体" w:eastAsia="宋体" w:cs="宋体"/>
          <w:sz w:val="24"/>
          <w:highlight w:val="none"/>
        </w:rPr>
      </w:pPr>
      <w:r>
        <w:rPr>
          <w:rFonts w:hint="eastAsia" w:ascii="宋体" w:hAnsi="宋体" w:eastAsia="宋体" w:cs="宋体"/>
          <w:sz w:val="24"/>
          <w:highlight w:val="none"/>
        </w:rPr>
        <w:t>开工和延误</w:t>
      </w:r>
    </w:p>
    <w:p w14:paraId="0DBF6272">
      <w:pPr>
        <w:pStyle w:val="10"/>
        <w:spacing w:before="4"/>
        <w:rPr>
          <w:rFonts w:hint="eastAsia" w:ascii="宋体" w:hAnsi="宋体" w:eastAsia="宋体" w:cs="宋体"/>
          <w:sz w:val="21"/>
          <w:highlight w:val="none"/>
        </w:rPr>
      </w:pPr>
    </w:p>
    <w:p w14:paraId="3BD2B90E">
      <w:pPr>
        <w:pStyle w:val="29"/>
        <w:numPr>
          <w:ilvl w:val="4"/>
          <w:numId w:val="7"/>
        </w:numPr>
        <w:tabs>
          <w:tab w:val="left" w:pos="1404"/>
        </w:tabs>
        <w:jc w:val="both"/>
        <w:rPr>
          <w:rFonts w:hint="eastAsia" w:ascii="宋体" w:hAnsi="宋体" w:eastAsia="宋体" w:cs="宋体"/>
          <w:sz w:val="24"/>
          <w:highlight w:val="none"/>
        </w:rPr>
      </w:pPr>
      <w:r>
        <w:rPr>
          <w:rFonts w:hint="eastAsia" w:ascii="宋体" w:hAnsi="宋体" w:eastAsia="宋体" w:cs="宋体"/>
          <w:sz w:val="24"/>
          <w:highlight w:val="none"/>
        </w:rPr>
        <w:t>工程开工分项目开工和分部工程开工两种：</w:t>
      </w:r>
    </w:p>
    <w:p w14:paraId="2C5F6E7C">
      <w:pPr>
        <w:pStyle w:val="10"/>
        <w:spacing w:before="12"/>
        <w:rPr>
          <w:rFonts w:hint="eastAsia" w:ascii="宋体" w:hAnsi="宋体" w:eastAsia="宋体" w:cs="宋体"/>
          <w:sz w:val="17"/>
          <w:highlight w:val="none"/>
        </w:rPr>
      </w:pPr>
      <w:r>
        <w:rPr>
          <w:rFonts w:hint="eastAsia" w:cs="宋体"/>
          <w:spacing w:val="-3"/>
          <w:sz w:val="24"/>
          <w:highlight w:val="none"/>
          <w:lang w:eastAsia="zh-CN"/>
        </w:rPr>
        <w:t>（</w:t>
      </w:r>
      <w:r>
        <w:rPr>
          <w:rFonts w:hint="eastAsia" w:cs="宋体"/>
          <w:spacing w:val="-3"/>
          <w:sz w:val="24"/>
          <w:highlight w:val="none"/>
          <w:lang w:val="en-US" w:eastAsia="zh-CN"/>
        </w:rPr>
        <w:t>1</w:t>
      </w:r>
      <w:r>
        <w:rPr>
          <w:rFonts w:hint="eastAsia" w:cs="宋体"/>
          <w:spacing w:val="-3"/>
          <w:sz w:val="24"/>
          <w:highlight w:val="none"/>
          <w:lang w:eastAsia="zh-CN"/>
        </w:rPr>
        <w:t>）</w:t>
      </w:r>
      <w:r>
        <w:rPr>
          <w:rFonts w:hint="eastAsia" w:ascii="宋体" w:hAnsi="宋体" w:eastAsia="宋体" w:cs="宋体"/>
          <w:spacing w:val="-3"/>
          <w:sz w:val="24"/>
          <w:highlight w:val="none"/>
        </w:rPr>
        <w:t>项目开工：承包人应在签订合同协议后</w:t>
      </w:r>
      <w:r>
        <w:rPr>
          <w:rFonts w:hint="eastAsia" w:ascii="宋体" w:hAnsi="宋体" w:eastAsia="宋体" w:cs="宋体"/>
          <w:sz w:val="24"/>
          <w:highlight w:val="none"/>
        </w:rPr>
        <w:t>14</w:t>
      </w:r>
      <w:r>
        <w:rPr>
          <w:rFonts w:hint="eastAsia" w:ascii="宋体" w:hAnsi="宋体" w:eastAsia="宋体" w:cs="宋体"/>
          <w:spacing w:val="-1"/>
          <w:sz w:val="24"/>
          <w:highlight w:val="none"/>
        </w:rPr>
        <w:t>天内向监理人提交开工报告， 主要内容应包括：施工管理机构的建立，劳务、机械设备、材料的进场情况，临时</w:t>
      </w:r>
      <w:r>
        <w:rPr>
          <w:rFonts w:hint="eastAsia" w:ascii="宋体" w:hAnsi="宋体" w:eastAsia="宋体" w:cs="宋体"/>
          <w:sz w:val="24"/>
          <w:highlight w:val="none"/>
        </w:rPr>
        <w:t>设施的修建及总体施工组织计划等；</w:t>
      </w:r>
    </w:p>
    <w:p w14:paraId="71E212F4">
      <w:pPr>
        <w:pStyle w:val="29"/>
        <w:numPr>
          <w:ilvl w:val="0"/>
          <w:numId w:val="0"/>
        </w:numPr>
        <w:tabs>
          <w:tab w:val="left" w:pos="1465"/>
        </w:tabs>
        <w:spacing w:before="74" w:line="312" w:lineRule="auto"/>
        <w:ind w:right="466" w:rightChars="0"/>
        <w:jc w:val="both"/>
        <w:rPr>
          <w:rFonts w:hint="eastAsia" w:ascii="宋体" w:hAnsi="宋体" w:eastAsia="宋体" w:cs="宋体"/>
          <w:sz w:val="24"/>
          <w:highlight w:val="none"/>
        </w:rPr>
      </w:pPr>
      <w:r>
        <w:rPr>
          <w:rFonts w:hint="eastAsia" w:cs="宋体"/>
          <w:spacing w:val="-9"/>
          <w:sz w:val="24"/>
          <w:highlight w:val="none"/>
          <w:lang w:eastAsia="zh-CN"/>
        </w:rPr>
        <w:t>（</w:t>
      </w:r>
      <w:r>
        <w:rPr>
          <w:rFonts w:hint="eastAsia" w:cs="宋体"/>
          <w:spacing w:val="-9"/>
          <w:sz w:val="24"/>
          <w:highlight w:val="none"/>
          <w:lang w:val="en-US" w:eastAsia="zh-CN"/>
        </w:rPr>
        <w:t>2</w:t>
      </w:r>
      <w:r>
        <w:rPr>
          <w:rFonts w:hint="eastAsia" w:cs="宋体"/>
          <w:spacing w:val="-9"/>
          <w:sz w:val="24"/>
          <w:highlight w:val="none"/>
          <w:lang w:eastAsia="zh-CN"/>
        </w:rPr>
        <w:t>）</w:t>
      </w:r>
      <w:r>
        <w:rPr>
          <w:rFonts w:hint="eastAsia" w:ascii="宋体" w:hAnsi="宋体" w:eastAsia="宋体" w:cs="宋体"/>
          <w:spacing w:val="-9"/>
          <w:sz w:val="24"/>
          <w:highlight w:val="none"/>
        </w:rPr>
        <w:t>分部工程开工：承包人应在分部工程开工前</w:t>
      </w:r>
      <w:r>
        <w:rPr>
          <w:rFonts w:hint="eastAsia" w:ascii="宋体" w:hAnsi="宋体" w:eastAsia="宋体" w:cs="宋体"/>
          <w:sz w:val="24"/>
          <w:highlight w:val="none"/>
        </w:rPr>
        <w:t>7天向监理人提交分部工程</w:t>
      </w:r>
      <w:r>
        <w:rPr>
          <w:rFonts w:hint="eastAsia" w:ascii="宋体" w:hAnsi="宋体" w:eastAsia="宋体" w:cs="宋体"/>
          <w:spacing w:val="-5"/>
          <w:sz w:val="24"/>
          <w:highlight w:val="none"/>
        </w:rPr>
        <w:t>开工报告，若承包人的开工准备、工作计划和质量控制方法是可接受的，经监理人</w:t>
      </w:r>
      <w:r>
        <w:rPr>
          <w:rFonts w:hint="eastAsia" w:ascii="宋体" w:hAnsi="宋体" w:eastAsia="宋体" w:cs="宋体"/>
          <w:spacing w:val="-4"/>
          <w:sz w:val="24"/>
          <w:highlight w:val="none"/>
        </w:rPr>
        <w:t>书面同意，分部工程才能开工。</w:t>
      </w:r>
    </w:p>
    <w:p w14:paraId="6BB6E4A6">
      <w:pPr>
        <w:pStyle w:val="29"/>
        <w:numPr>
          <w:ilvl w:val="4"/>
          <w:numId w:val="7"/>
        </w:numPr>
        <w:tabs>
          <w:tab w:val="left" w:pos="1404"/>
        </w:tabs>
        <w:spacing w:before="1" w:line="312" w:lineRule="auto"/>
        <w:ind w:left="384" w:right="466" w:firstLine="480"/>
        <w:jc w:val="both"/>
        <w:rPr>
          <w:rFonts w:hint="eastAsia" w:ascii="宋体" w:hAnsi="宋体" w:eastAsia="宋体" w:cs="宋体"/>
          <w:sz w:val="24"/>
          <w:highlight w:val="none"/>
        </w:rPr>
      </w:pPr>
      <w:r>
        <w:rPr>
          <w:rFonts w:hint="eastAsia" w:ascii="宋体" w:hAnsi="宋体" w:eastAsia="宋体" w:cs="宋体"/>
          <w:spacing w:val="-2"/>
          <w:sz w:val="24"/>
          <w:highlight w:val="none"/>
        </w:rPr>
        <w:t>由于下述原因之一而影响施工进度，承包人有权要求延长工期和</w:t>
      </w:r>
      <w:r>
        <w:rPr>
          <w:rFonts w:hint="eastAsia" w:ascii="宋体" w:hAnsi="宋体" w:eastAsia="宋体" w:cs="宋体"/>
          <w:sz w:val="24"/>
          <w:highlight w:val="none"/>
        </w:rPr>
        <w:t>（或</w:t>
      </w:r>
      <w:r>
        <w:rPr>
          <w:rFonts w:hint="eastAsia" w:ascii="宋体" w:hAnsi="宋体" w:eastAsia="宋体" w:cs="宋体"/>
          <w:spacing w:val="-10"/>
          <w:sz w:val="24"/>
          <w:highlight w:val="none"/>
        </w:rPr>
        <w:t>）</w:t>
      </w:r>
      <w:r>
        <w:rPr>
          <w:rFonts w:hint="eastAsia" w:ascii="宋体" w:hAnsi="宋体" w:eastAsia="宋体" w:cs="宋体"/>
          <w:spacing w:val="-17"/>
          <w:sz w:val="24"/>
          <w:highlight w:val="none"/>
        </w:rPr>
        <w:t>增</w:t>
      </w:r>
      <w:r>
        <w:rPr>
          <w:rFonts w:hint="eastAsia" w:ascii="宋体" w:hAnsi="宋体" w:eastAsia="宋体" w:cs="宋体"/>
          <w:sz w:val="24"/>
          <w:highlight w:val="none"/>
        </w:rPr>
        <w:t>加费用。</w:t>
      </w:r>
    </w:p>
    <w:p w14:paraId="3153444D">
      <w:pPr>
        <w:pStyle w:val="29"/>
        <w:numPr>
          <w:ilvl w:val="0"/>
          <w:numId w:val="9"/>
        </w:numPr>
        <w:tabs>
          <w:tab w:val="left" w:pos="1465"/>
        </w:tabs>
        <w:spacing w:line="307" w:lineRule="exact"/>
        <w:rPr>
          <w:rFonts w:hint="eastAsia" w:ascii="宋体" w:hAnsi="宋体" w:eastAsia="宋体" w:cs="宋体"/>
          <w:sz w:val="24"/>
          <w:highlight w:val="none"/>
        </w:rPr>
      </w:pPr>
      <w:r>
        <w:rPr>
          <w:rFonts w:hint="eastAsia" w:ascii="宋体" w:hAnsi="宋体" w:eastAsia="宋体" w:cs="宋体"/>
          <w:sz w:val="24"/>
          <w:highlight w:val="none"/>
        </w:rPr>
        <w:t>增加合同工作内容；</w:t>
      </w:r>
    </w:p>
    <w:p w14:paraId="1F4EE5CF">
      <w:pPr>
        <w:pStyle w:val="29"/>
        <w:numPr>
          <w:ilvl w:val="0"/>
          <w:numId w:val="9"/>
        </w:numPr>
        <w:tabs>
          <w:tab w:val="left" w:pos="1465"/>
        </w:tabs>
        <w:spacing w:before="93"/>
        <w:rPr>
          <w:rFonts w:hint="eastAsia" w:ascii="宋体" w:hAnsi="宋体" w:eastAsia="宋体" w:cs="宋体"/>
          <w:sz w:val="24"/>
          <w:highlight w:val="none"/>
        </w:rPr>
      </w:pPr>
      <w:r>
        <w:rPr>
          <w:rFonts w:hint="eastAsia" w:ascii="宋体" w:hAnsi="宋体" w:eastAsia="宋体" w:cs="宋体"/>
          <w:sz w:val="24"/>
          <w:highlight w:val="none"/>
        </w:rPr>
        <w:t>改变合同中任何一项工作的质量要求或其他特性；</w:t>
      </w:r>
    </w:p>
    <w:p w14:paraId="54D1CF2D">
      <w:pPr>
        <w:pStyle w:val="29"/>
        <w:numPr>
          <w:ilvl w:val="0"/>
          <w:numId w:val="9"/>
        </w:numPr>
        <w:tabs>
          <w:tab w:val="left" w:pos="1465"/>
        </w:tabs>
        <w:spacing w:before="94"/>
        <w:rPr>
          <w:rFonts w:hint="eastAsia" w:ascii="宋体" w:hAnsi="宋体" w:eastAsia="宋体" w:cs="宋体"/>
          <w:sz w:val="24"/>
          <w:highlight w:val="none"/>
        </w:rPr>
      </w:pPr>
      <w:r>
        <w:rPr>
          <w:rFonts w:hint="eastAsia" w:ascii="宋体" w:hAnsi="宋体" w:eastAsia="宋体" w:cs="宋体"/>
          <w:spacing w:val="-10"/>
          <w:sz w:val="24"/>
          <w:highlight w:val="none"/>
        </w:rPr>
        <w:t>连续降大雨</w:t>
      </w:r>
      <w:r>
        <w:rPr>
          <w:rFonts w:hint="eastAsia" w:ascii="宋体" w:hAnsi="宋体" w:eastAsia="宋体" w:cs="宋体"/>
          <w:sz w:val="24"/>
          <w:highlight w:val="none"/>
        </w:rPr>
        <w:t>3</w:t>
      </w:r>
      <w:r>
        <w:rPr>
          <w:rFonts w:hint="eastAsia" w:ascii="宋体" w:hAnsi="宋体" w:eastAsia="宋体" w:cs="宋体"/>
          <w:spacing w:val="-9"/>
          <w:sz w:val="24"/>
          <w:highlight w:val="none"/>
        </w:rPr>
        <w:t>天以上或特大洪水；连续</w:t>
      </w:r>
      <w:r>
        <w:rPr>
          <w:rFonts w:hint="eastAsia" w:ascii="宋体" w:hAnsi="宋体" w:eastAsia="宋体" w:cs="宋体"/>
          <w:sz w:val="24"/>
          <w:highlight w:val="none"/>
        </w:rPr>
        <w:t>7</w:t>
      </w:r>
      <w:r>
        <w:rPr>
          <w:rFonts w:hint="eastAsia" w:ascii="宋体" w:hAnsi="宋体" w:eastAsia="宋体" w:cs="宋体"/>
          <w:spacing w:val="-30"/>
          <w:sz w:val="24"/>
          <w:highlight w:val="none"/>
        </w:rPr>
        <w:t>天</w:t>
      </w:r>
      <w:r>
        <w:rPr>
          <w:rFonts w:hint="eastAsia" w:ascii="宋体" w:hAnsi="宋体" w:eastAsia="宋体" w:cs="宋体"/>
          <w:sz w:val="24"/>
          <w:highlight w:val="none"/>
        </w:rPr>
        <w:t>8</w:t>
      </w:r>
      <w:r>
        <w:rPr>
          <w:rFonts w:hint="eastAsia" w:ascii="宋体" w:hAnsi="宋体" w:eastAsia="宋体" w:cs="宋体"/>
          <w:spacing w:val="-5"/>
          <w:sz w:val="24"/>
          <w:highlight w:val="none"/>
        </w:rPr>
        <w:t>级以上的大风；或出现其他</w:t>
      </w:r>
    </w:p>
    <w:p w14:paraId="774E42CA">
      <w:pPr>
        <w:pStyle w:val="10"/>
        <w:spacing w:before="90" w:line="312" w:lineRule="auto"/>
        <w:ind w:left="384" w:right="465"/>
        <w:rPr>
          <w:rFonts w:hint="eastAsia" w:ascii="宋体" w:hAnsi="宋体" w:eastAsia="宋体" w:cs="宋体"/>
          <w:highlight w:val="none"/>
        </w:rPr>
      </w:pPr>
      <w:r>
        <w:rPr>
          <w:rFonts w:hint="eastAsia" w:ascii="宋体" w:hAnsi="宋体" w:eastAsia="宋体" w:cs="宋体"/>
          <w:highlight w:val="none"/>
        </w:rPr>
        <w:t>异常恶劣的气候条件(是指项目所在地30年以上一遇的罕见气候现象，包括温度、降水、降雪、风等)；</w:t>
      </w:r>
    </w:p>
    <w:p w14:paraId="6E879E17">
      <w:pPr>
        <w:pStyle w:val="29"/>
        <w:numPr>
          <w:ilvl w:val="0"/>
          <w:numId w:val="9"/>
        </w:numPr>
        <w:tabs>
          <w:tab w:val="left" w:pos="1465"/>
        </w:tabs>
        <w:spacing w:before="3"/>
        <w:rPr>
          <w:rFonts w:hint="eastAsia" w:ascii="宋体" w:hAnsi="宋体" w:eastAsia="宋体" w:cs="宋体"/>
          <w:sz w:val="24"/>
          <w:highlight w:val="none"/>
        </w:rPr>
      </w:pPr>
      <w:r>
        <w:rPr>
          <w:rFonts w:hint="eastAsia" w:ascii="宋体" w:hAnsi="宋体" w:eastAsia="宋体" w:cs="宋体"/>
          <w:sz w:val="24"/>
          <w:highlight w:val="none"/>
        </w:rPr>
        <w:t>提供图纸延误；</w:t>
      </w:r>
    </w:p>
    <w:p w14:paraId="0BA6B615">
      <w:pPr>
        <w:pStyle w:val="29"/>
        <w:numPr>
          <w:ilvl w:val="0"/>
          <w:numId w:val="9"/>
        </w:numPr>
        <w:tabs>
          <w:tab w:val="left" w:pos="1465"/>
        </w:tabs>
        <w:spacing w:before="90"/>
        <w:rPr>
          <w:rFonts w:hint="eastAsia" w:ascii="宋体" w:hAnsi="宋体" w:eastAsia="宋体" w:cs="宋体"/>
          <w:sz w:val="24"/>
          <w:highlight w:val="none"/>
        </w:rPr>
      </w:pPr>
      <w:r>
        <w:rPr>
          <w:rFonts w:hint="eastAsia" w:ascii="宋体" w:hAnsi="宋体" w:eastAsia="宋体" w:cs="宋体"/>
          <w:sz w:val="24"/>
          <w:highlight w:val="none"/>
        </w:rPr>
        <w:t>未按合同约定及时支付预付款、进度款；</w:t>
      </w:r>
    </w:p>
    <w:p w14:paraId="5A3CE4D7">
      <w:pPr>
        <w:pStyle w:val="29"/>
        <w:numPr>
          <w:ilvl w:val="0"/>
          <w:numId w:val="9"/>
        </w:numPr>
        <w:tabs>
          <w:tab w:val="left" w:pos="1465"/>
        </w:tabs>
        <w:spacing w:before="94"/>
        <w:rPr>
          <w:rFonts w:hint="eastAsia" w:ascii="宋体" w:hAnsi="宋体" w:eastAsia="宋体" w:cs="宋体"/>
          <w:sz w:val="24"/>
          <w:highlight w:val="none"/>
        </w:rPr>
      </w:pPr>
      <w:r>
        <w:rPr>
          <w:rFonts w:hint="eastAsia" w:ascii="宋体" w:hAnsi="宋体" w:eastAsia="宋体" w:cs="宋体"/>
          <w:sz w:val="24"/>
          <w:highlight w:val="none"/>
        </w:rPr>
        <w:t>由于发包人原因导致的暂停施工；</w:t>
      </w:r>
    </w:p>
    <w:p w14:paraId="4B2CBF88">
      <w:pPr>
        <w:pStyle w:val="29"/>
        <w:numPr>
          <w:ilvl w:val="0"/>
          <w:numId w:val="9"/>
        </w:numPr>
        <w:tabs>
          <w:tab w:val="left" w:pos="1465"/>
        </w:tabs>
        <w:spacing w:before="93"/>
        <w:rPr>
          <w:rFonts w:hint="eastAsia" w:ascii="宋体" w:hAnsi="宋体" w:eastAsia="宋体" w:cs="宋体"/>
          <w:sz w:val="24"/>
          <w:highlight w:val="none"/>
        </w:rPr>
      </w:pPr>
      <w:r>
        <w:rPr>
          <w:rFonts w:hint="eastAsia" w:ascii="宋体" w:hAnsi="宋体" w:eastAsia="宋体" w:cs="宋体"/>
          <w:sz w:val="24"/>
          <w:highlight w:val="none"/>
        </w:rPr>
        <w:t>不是由于承包人的失误或违约而发生的其他特殊情况。</w:t>
      </w:r>
    </w:p>
    <w:p w14:paraId="562522DF">
      <w:pPr>
        <w:pStyle w:val="29"/>
        <w:numPr>
          <w:ilvl w:val="4"/>
          <w:numId w:val="7"/>
        </w:numPr>
        <w:tabs>
          <w:tab w:val="left" w:pos="1404"/>
        </w:tabs>
        <w:spacing w:before="91" w:line="312" w:lineRule="auto"/>
        <w:ind w:left="384" w:right="466" w:firstLine="480"/>
        <w:jc w:val="both"/>
        <w:rPr>
          <w:rFonts w:hint="eastAsia" w:ascii="宋体" w:hAnsi="宋体" w:eastAsia="宋体" w:cs="宋体"/>
          <w:sz w:val="24"/>
          <w:highlight w:val="none"/>
        </w:rPr>
      </w:pPr>
      <w:r>
        <w:rPr>
          <w:rFonts w:hint="eastAsia" w:ascii="宋体" w:hAnsi="宋体" w:eastAsia="宋体" w:cs="宋体"/>
          <w:spacing w:val="-5"/>
          <w:sz w:val="24"/>
          <w:highlight w:val="none"/>
        </w:rPr>
        <w:t>承包人应在上述情况发生后</w:t>
      </w:r>
      <w:r>
        <w:rPr>
          <w:rFonts w:hint="eastAsia" w:ascii="宋体" w:hAnsi="宋体" w:eastAsia="宋体" w:cs="宋体"/>
          <w:sz w:val="24"/>
          <w:highlight w:val="none"/>
        </w:rPr>
        <w:t>7</w:t>
      </w:r>
      <w:r>
        <w:rPr>
          <w:rFonts w:hint="eastAsia" w:ascii="宋体" w:hAnsi="宋体" w:eastAsia="宋体" w:cs="宋体"/>
          <w:spacing w:val="-3"/>
          <w:sz w:val="24"/>
          <w:highlight w:val="none"/>
        </w:rPr>
        <w:t>天内向监理人发出要求延期的申请，并提交</w:t>
      </w:r>
      <w:r>
        <w:rPr>
          <w:rFonts w:hint="eastAsia" w:ascii="宋体" w:hAnsi="宋体" w:eastAsia="宋体" w:cs="宋体"/>
          <w:spacing w:val="-2"/>
          <w:sz w:val="24"/>
          <w:highlight w:val="none"/>
        </w:rPr>
        <w:t>延期的详细情况与缘由，监理人在收到最后详细资料后</w:t>
      </w:r>
      <w:r>
        <w:rPr>
          <w:rFonts w:hint="eastAsia" w:ascii="宋体" w:hAnsi="宋体" w:eastAsia="宋体" w:cs="宋体"/>
          <w:sz w:val="24"/>
          <w:highlight w:val="none"/>
        </w:rPr>
        <w:t>7</w:t>
      </w:r>
      <w:r>
        <w:rPr>
          <w:rFonts w:hint="eastAsia" w:ascii="宋体" w:hAnsi="宋体" w:eastAsia="宋体" w:cs="宋体"/>
          <w:spacing w:val="-1"/>
          <w:sz w:val="24"/>
          <w:highlight w:val="none"/>
        </w:rPr>
        <w:t>天内调查核实并经发包人批准后予以答复，逾期不答复也不提出修改意见，则应视为承包人延期请求已获得</w:t>
      </w:r>
      <w:r>
        <w:rPr>
          <w:rFonts w:hint="eastAsia" w:ascii="宋体" w:hAnsi="宋体" w:eastAsia="宋体" w:cs="宋体"/>
          <w:sz w:val="24"/>
          <w:highlight w:val="none"/>
        </w:rPr>
        <w:t>发包人批准。</w:t>
      </w:r>
    </w:p>
    <w:p w14:paraId="3EA854F3">
      <w:pPr>
        <w:pStyle w:val="29"/>
        <w:numPr>
          <w:ilvl w:val="4"/>
          <w:numId w:val="7"/>
        </w:numPr>
        <w:tabs>
          <w:tab w:val="left" w:pos="1409"/>
        </w:tabs>
        <w:spacing w:before="2" w:line="312" w:lineRule="auto"/>
        <w:ind w:left="384" w:right="467" w:firstLine="480"/>
        <w:jc w:val="both"/>
        <w:rPr>
          <w:rFonts w:hint="eastAsia" w:ascii="宋体" w:hAnsi="宋体" w:eastAsia="宋体" w:cs="宋体"/>
          <w:sz w:val="24"/>
          <w:highlight w:val="none"/>
        </w:rPr>
      </w:pPr>
      <w:r>
        <w:rPr>
          <w:rFonts w:hint="eastAsia" w:ascii="宋体" w:hAnsi="宋体" w:eastAsia="宋体" w:cs="宋体"/>
          <w:spacing w:val="3"/>
          <w:sz w:val="24"/>
          <w:highlight w:val="none"/>
        </w:rPr>
        <w:t>由于承包人原因，未能按合同进度计划完成工作，或监理人认为承包人</w:t>
      </w:r>
      <w:r>
        <w:rPr>
          <w:rFonts w:hint="eastAsia" w:ascii="宋体" w:hAnsi="宋体" w:eastAsia="宋体" w:cs="宋体"/>
          <w:spacing w:val="-6"/>
          <w:sz w:val="24"/>
          <w:highlight w:val="none"/>
        </w:rPr>
        <w:t>施工进度不能满足合同工期要求的，承包人应采取措施加快进度，并承担加快进度所增加的费用。由于承包人原因造成工期延误，承包人应支付逾期违约金。逾期交</w:t>
      </w:r>
      <w:r>
        <w:rPr>
          <w:rFonts w:hint="eastAsia" w:ascii="宋体" w:hAnsi="宋体" w:eastAsia="宋体" w:cs="宋体"/>
          <w:spacing w:val="-5"/>
          <w:sz w:val="24"/>
          <w:highlight w:val="none"/>
        </w:rPr>
        <w:t>工违约金的计算方法在合同条款数据表中约定，时间自预定的交工日期起到交工验</w:t>
      </w:r>
      <w:r>
        <w:rPr>
          <w:rFonts w:hint="eastAsia" w:ascii="宋体" w:hAnsi="宋体" w:eastAsia="宋体" w:cs="宋体"/>
          <w:spacing w:val="-2"/>
          <w:sz w:val="24"/>
          <w:highlight w:val="none"/>
        </w:rPr>
        <w:t>收证书中写明的实际交工日期止</w:t>
      </w:r>
      <w:r>
        <w:rPr>
          <w:rFonts w:hint="eastAsia" w:ascii="宋体" w:hAnsi="宋体" w:eastAsia="宋体" w:cs="宋体"/>
          <w:spacing w:val="4"/>
          <w:sz w:val="24"/>
          <w:highlight w:val="none"/>
        </w:rPr>
        <w:t>（</w:t>
      </w:r>
      <w:r>
        <w:rPr>
          <w:rFonts w:hint="eastAsia" w:ascii="宋体" w:hAnsi="宋体" w:eastAsia="宋体" w:cs="宋体"/>
          <w:sz w:val="24"/>
          <w:highlight w:val="none"/>
        </w:rPr>
        <w:t>扣除已批准的延长工期</w:t>
      </w:r>
      <w:r>
        <w:rPr>
          <w:rFonts w:hint="eastAsia" w:ascii="宋体" w:hAnsi="宋体" w:eastAsia="宋体" w:cs="宋体"/>
          <w:spacing w:val="-23"/>
          <w:sz w:val="24"/>
          <w:highlight w:val="none"/>
        </w:rPr>
        <w:t>）</w:t>
      </w:r>
      <w:r>
        <w:rPr>
          <w:rFonts w:hint="eastAsia" w:ascii="宋体" w:hAnsi="宋体" w:eastAsia="宋体" w:cs="宋体"/>
          <w:spacing w:val="-5"/>
          <w:sz w:val="24"/>
          <w:highlight w:val="none"/>
        </w:rPr>
        <w:t>，按天计算。逾期交工违约金累计金额最高不超过合同条款数据表中写明的限额。但不免除承包人完成工</w:t>
      </w:r>
      <w:r>
        <w:rPr>
          <w:rFonts w:hint="eastAsia" w:ascii="宋体" w:hAnsi="宋体" w:eastAsia="宋体" w:cs="宋体"/>
          <w:sz w:val="24"/>
          <w:highlight w:val="none"/>
        </w:rPr>
        <w:t>程及修补缺陷的义务。</w:t>
      </w:r>
    </w:p>
    <w:p w14:paraId="1A5DD0F6">
      <w:pPr>
        <w:pStyle w:val="29"/>
        <w:numPr>
          <w:ilvl w:val="3"/>
          <w:numId w:val="7"/>
        </w:numPr>
        <w:tabs>
          <w:tab w:val="left" w:pos="1005"/>
        </w:tabs>
        <w:spacing w:before="182"/>
        <w:ind w:hanging="182"/>
        <w:jc w:val="left"/>
        <w:rPr>
          <w:rFonts w:hint="eastAsia" w:ascii="宋体" w:hAnsi="宋体" w:eastAsia="宋体" w:cs="宋体"/>
          <w:sz w:val="24"/>
          <w:highlight w:val="none"/>
        </w:rPr>
      </w:pPr>
      <w:r>
        <w:rPr>
          <w:rFonts w:hint="eastAsia" w:ascii="宋体" w:hAnsi="宋体" w:eastAsia="宋体" w:cs="宋体"/>
          <w:sz w:val="24"/>
          <w:highlight w:val="none"/>
        </w:rPr>
        <w:t>工期提前</w:t>
      </w:r>
    </w:p>
    <w:p w14:paraId="114385D9">
      <w:pPr>
        <w:pStyle w:val="10"/>
        <w:spacing w:before="2"/>
        <w:rPr>
          <w:rFonts w:hint="eastAsia" w:ascii="宋体" w:hAnsi="宋体" w:eastAsia="宋体" w:cs="宋体"/>
          <w:sz w:val="21"/>
          <w:highlight w:val="none"/>
        </w:rPr>
      </w:pPr>
    </w:p>
    <w:p w14:paraId="66517B21">
      <w:pPr>
        <w:pStyle w:val="10"/>
        <w:spacing w:line="312" w:lineRule="auto"/>
        <w:ind w:left="384" w:right="266" w:firstLine="480"/>
        <w:rPr>
          <w:rFonts w:hint="eastAsia" w:ascii="宋体" w:hAnsi="宋体" w:eastAsia="宋体" w:cs="宋体"/>
          <w:highlight w:val="none"/>
        </w:rPr>
      </w:pPr>
      <w:r>
        <w:rPr>
          <w:rFonts w:hint="eastAsia" w:ascii="宋体" w:hAnsi="宋体" w:eastAsia="宋体" w:cs="宋体"/>
          <w:highlight w:val="none"/>
        </w:rPr>
        <w:t>发包人不得随意要求承包人提前交工，承包人也不得随意提出提前交工的建议。如遇特殊情况，发包人确需将工期提前的，发生的费用由发包人承担，发包人和承包人必须采取有效措施，确保工程质量。</w:t>
      </w:r>
    </w:p>
    <w:p w14:paraId="669906AF">
      <w:pPr>
        <w:pStyle w:val="29"/>
        <w:numPr>
          <w:ilvl w:val="3"/>
          <w:numId w:val="7"/>
        </w:numPr>
        <w:tabs>
          <w:tab w:val="left" w:pos="1125"/>
        </w:tabs>
        <w:spacing w:before="181"/>
        <w:ind w:left="1124" w:hanging="302"/>
        <w:jc w:val="left"/>
        <w:rPr>
          <w:rFonts w:hint="eastAsia" w:ascii="宋体" w:hAnsi="宋体" w:eastAsia="宋体" w:cs="宋体"/>
          <w:sz w:val="24"/>
          <w:highlight w:val="none"/>
        </w:rPr>
      </w:pPr>
      <w:r>
        <w:rPr>
          <w:rFonts w:hint="eastAsia" w:ascii="宋体" w:hAnsi="宋体" w:eastAsia="宋体" w:cs="宋体"/>
          <w:sz w:val="24"/>
          <w:highlight w:val="none"/>
        </w:rPr>
        <w:t>暂停施工及复工</w:t>
      </w:r>
    </w:p>
    <w:p w14:paraId="033E77AC">
      <w:pPr>
        <w:pStyle w:val="10"/>
        <w:spacing w:before="4"/>
        <w:rPr>
          <w:rFonts w:hint="eastAsia" w:ascii="宋体" w:hAnsi="宋体" w:eastAsia="宋体" w:cs="宋体"/>
          <w:sz w:val="21"/>
          <w:highlight w:val="none"/>
        </w:rPr>
      </w:pPr>
    </w:p>
    <w:p w14:paraId="39C47505">
      <w:pPr>
        <w:pStyle w:val="29"/>
        <w:numPr>
          <w:ilvl w:val="4"/>
          <w:numId w:val="7"/>
        </w:numPr>
        <w:tabs>
          <w:tab w:val="left" w:pos="1523"/>
          <w:tab w:val="left" w:pos="1524"/>
        </w:tabs>
        <w:ind w:left="1524" w:hanging="660"/>
        <w:rPr>
          <w:rFonts w:hint="eastAsia" w:ascii="宋体" w:hAnsi="宋体" w:eastAsia="宋体" w:cs="宋体"/>
          <w:sz w:val="24"/>
          <w:highlight w:val="none"/>
        </w:rPr>
      </w:pPr>
      <w:r>
        <w:rPr>
          <w:rFonts w:hint="eastAsia" w:ascii="宋体" w:hAnsi="宋体" w:eastAsia="宋体" w:cs="宋体"/>
          <w:sz w:val="24"/>
          <w:highlight w:val="none"/>
        </w:rPr>
        <w:t>承包人暂停施工增加的费用和（或）工期延误由承包人承担，包括：</w:t>
      </w:r>
    </w:p>
    <w:p w14:paraId="03CC9B0A">
      <w:pPr>
        <w:pStyle w:val="10"/>
        <w:spacing w:before="12"/>
        <w:rPr>
          <w:rFonts w:hint="eastAsia" w:ascii="宋体" w:hAnsi="宋体" w:eastAsia="宋体" w:cs="宋体"/>
          <w:sz w:val="17"/>
          <w:highlight w:val="none"/>
        </w:rPr>
      </w:pPr>
      <w:r>
        <w:rPr>
          <w:rFonts w:hint="eastAsia" w:ascii="宋体" w:hAnsi="宋体" w:eastAsia="宋体" w:cs="宋体"/>
          <w:sz w:val="24"/>
          <w:highlight w:val="none"/>
        </w:rPr>
        <w:t>承包人违约引起的暂停施工；</w:t>
      </w:r>
    </w:p>
    <w:p w14:paraId="1A1C56A8">
      <w:pPr>
        <w:pStyle w:val="29"/>
        <w:numPr>
          <w:ilvl w:val="0"/>
          <w:numId w:val="10"/>
        </w:numPr>
        <w:tabs>
          <w:tab w:val="left" w:pos="1465"/>
        </w:tabs>
        <w:spacing w:before="74"/>
        <w:rPr>
          <w:rFonts w:hint="eastAsia" w:ascii="宋体" w:hAnsi="宋体" w:eastAsia="宋体" w:cs="宋体"/>
          <w:sz w:val="24"/>
          <w:highlight w:val="none"/>
        </w:rPr>
      </w:pPr>
      <w:r>
        <w:rPr>
          <w:rFonts w:hint="eastAsia" w:ascii="宋体" w:hAnsi="宋体" w:eastAsia="宋体" w:cs="宋体"/>
          <w:sz w:val="24"/>
          <w:highlight w:val="none"/>
        </w:rPr>
        <w:t>由于承包人原因为工程合理施工和安全保障所必需的暂停施工；</w:t>
      </w:r>
    </w:p>
    <w:p w14:paraId="2D1D20DB">
      <w:pPr>
        <w:pStyle w:val="29"/>
        <w:numPr>
          <w:ilvl w:val="0"/>
          <w:numId w:val="10"/>
        </w:numPr>
        <w:tabs>
          <w:tab w:val="left" w:pos="1465"/>
        </w:tabs>
        <w:spacing w:before="93"/>
        <w:rPr>
          <w:rFonts w:hint="eastAsia" w:ascii="宋体" w:hAnsi="宋体" w:eastAsia="宋体" w:cs="宋体"/>
          <w:sz w:val="24"/>
          <w:highlight w:val="none"/>
        </w:rPr>
      </w:pPr>
      <w:r>
        <w:rPr>
          <w:rFonts w:hint="eastAsia" w:ascii="宋体" w:hAnsi="宋体" w:eastAsia="宋体" w:cs="宋体"/>
          <w:sz w:val="24"/>
          <w:highlight w:val="none"/>
        </w:rPr>
        <w:t>承包人擅自暂停施工；</w:t>
      </w:r>
    </w:p>
    <w:p w14:paraId="35C49831">
      <w:pPr>
        <w:pStyle w:val="29"/>
        <w:numPr>
          <w:ilvl w:val="0"/>
          <w:numId w:val="10"/>
        </w:numPr>
        <w:tabs>
          <w:tab w:val="left" w:pos="1465"/>
        </w:tabs>
        <w:spacing w:before="91"/>
        <w:rPr>
          <w:rFonts w:hint="eastAsia" w:ascii="宋体" w:hAnsi="宋体" w:eastAsia="宋体" w:cs="宋体"/>
          <w:sz w:val="24"/>
          <w:highlight w:val="none"/>
        </w:rPr>
      </w:pPr>
      <w:r>
        <w:rPr>
          <w:rFonts w:hint="eastAsia" w:ascii="宋体" w:hAnsi="宋体" w:eastAsia="宋体" w:cs="宋体"/>
          <w:sz w:val="24"/>
          <w:highlight w:val="none"/>
        </w:rPr>
        <w:t>承包人其他原因引起的暂停施工；</w:t>
      </w:r>
    </w:p>
    <w:p w14:paraId="6D95214C">
      <w:pPr>
        <w:pStyle w:val="29"/>
        <w:numPr>
          <w:ilvl w:val="0"/>
          <w:numId w:val="10"/>
        </w:numPr>
        <w:tabs>
          <w:tab w:val="left" w:pos="1465"/>
        </w:tabs>
        <w:spacing w:before="94"/>
        <w:rPr>
          <w:rFonts w:hint="eastAsia" w:ascii="宋体" w:hAnsi="宋体" w:eastAsia="宋体" w:cs="宋体"/>
          <w:sz w:val="24"/>
          <w:highlight w:val="none"/>
        </w:rPr>
      </w:pPr>
      <w:r>
        <w:rPr>
          <w:rFonts w:hint="eastAsia" w:ascii="宋体" w:hAnsi="宋体" w:eastAsia="宋体" w:cs="宋体"/>
          <w:sz w:val="24"/>
          <w:highlight w:val="none"/>
        </w:rPr>
        <w:t>现场气候条件导致的必要停工（异常恶劣气候条件除外）。</w:t>
      </w:r>
    </w:p>
    <w:p w14:paraId="2C0E0E10">
      <w:pPr>
        <w:pStyle w:val="29"/>
        <w:numPr>
          <w:ilvl w:val="4"/>
          <w:numId w:val="7"/>
        </w:numPr>
        <w:tabs>
          <w:tab w:val="left" w:pos="1529"/>
        </w:tabs>
        <w:spacing w:before="93" w:line="312"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监理人认为有必要时，可向承包人作出暂停施工的指示，承包人应按监</w:t>
      </w:r>
      <w:r>
        <w:rPr>
          <w:rFonts w:hint="eastAsia" w:ascii="宋体" w:hAnsi="宋体" w:eastAsia="宋体" w:cs="宋体"/>
          <w:spacing w:val="-1"/>
          <w:sz w:val="24"/>
          <w:highlight w:val="none"/>
        </w:rPr>
        <w:t>理人指示暂停施工。不论由于何种原因引起的暂停施工，暂停施工期间承包人应负责妥善保护工程并提供安全保障。因发包人或监理人的行为或失误引起的停工，由发包人承担相应的费用补偿，相应工期顺延；由承包人原因造成的停工由承包人承</w:t>
      </w:r>
      <w:r>
        <w:rPr>
          <w:rFonts w:hint="eastAsia" w:ascii="宋体" w:hAnsi="宋体" w:eastAsia="宋体" w:cs="宋体"/>
          <w:sz w:val="24"/>
          <w:highlight w:val="none"/>
        </w:rPr>
        <w:t>担发生的费用，工期不予顺延。</w:t>
      </w:r>
    </w:p>
    <w:p w14:paraId="67FA0007">
      <w:pPr>
        <w:pStyle w:val="29"/>
        <w:numPr>
          <w:ilvl w:val="4"/>
          <w:numId w:val="7"/>
        </w:numPr>
        <w:tabs>
          <w:tab w:val="left" w:pos="1529"/>
        </w:tabs>
        <w:spacing w:line="312" w:lineRule="auto"/>
        <w:ind w:left="384" w:right="466" w:firstLine="480"/>
        <w:jc w:val="both"/>
        <w:rPr>
          <w:rFonts w:hint="eastAsia" w:ascii="宋体" w:hAnsi="宋体" w:eastAsia="宋体" w:cs="宋体"/>
          <w:sz w:val="24"/>
          <w:highlight w:val="none"/>
        </w:rPr>
      </w:pPr>
      <w:r>
        <w:rPr>
          <w:rFonts w:hint="eastAsia" w:ascii="宋体" w:hAnsi="宋体" w:eastAsia="宋体" w:cs="宋体"/>
          <w:sz w:val="24"/>
          <w:highlight w:val="none"/>
        </w:rPr>
        <w:t>由于发包人原因引起的暂停施工造成工期延误的，承包人有权要求发包人延长工期和(或)</w:t>
      </w:r>
      <w:r>
        <w:rPr>
          <w:rFonts w:hint="eastAsia" w:ascii="宋体" w:hAnsi="宋体" w:eastAsia="宋体" w:cs="宋体"/>
          <w:spacing w:val="-4"/>
          <w:sz w:val="24"/>
          <w:highlight w:val="none"/>
        </w:rPr>
        <w:t>增加费用，并支付合理利润。在自暂时停工之日起</w:t>
      </w:r>
      <w:r>
        <w:rPr>
          <w:rFonts w:hint="eastAsia" w:ascii="宋体" w:hAnsi="宋体" w:eastAsia="宋体" w:cs="宋体"/>
          <w:sz w:val="24"/>
          <w:highlight w:val="none"/>
        </w:rPr>
        <w:t>28</w:t>
      </w:r>
      <w:r>
        <w:rPr>
          <w:rFonts w:hint="eastAsia" w:ascii="宋体" w:hAnsi="宋体" w:eastAsia="宋体" w:cs="宋体"/>
          <w:spacing w:val="-5"/>
          <w:sz w:val="24"/>
          <w:highlight w:val="none"/>
        </w:rPr>
        <w:t>天内，监理</w:t>
      </w:r>
      <w:r>
        <w:rPr>
          <w:rFonts w:hint="eastAsia" w:ascii="宋体" w:hAnsi="宋体" w:eastAsia="宋体" w:cs="宋体"/>
          <w:spacing w:val="-9"/>
          <w:sz w:val="24"/>
          <w:highlight w:val="none"/>
        </w:rPr>
        <w:t>人仍未发出复工通知，承包人可向监理人提交书面通知，要求自收到该通知后</w:t>
      </w:r>
      <w:r>
        <w:rPr>
          <w:rFonts w:hint="eastAsia" w:ascii="宋体" w:hAnsi="宋体" w:eastAsia="宋体" w:cs="宋体"/>
          <w:sz w:val="24"/>
          <w:highlight w:val="none"/>
        </w:rPr>
        <w:t>14</w:t>
      </w:r>
      <w:r>
        <w:rPr>
          <w:rFonts w:hint="eastAsia" w:ascii="宋体" w:hAnsi="宋体" w:eastAsia="宋体" w:cs="宋体"/>
          <w:spacing w:val="-18"/>
          <w:sz w:val="24"/>
          <w:highlight w:val="none"/>
        </w:rPr>
        <w:t>天</w:t>
      </w:r>
      <w:r>
        <w:rPr>
          <w:rFonts w:hint="eastAsia" w:ascii="宋体" w:hAnsi="宋体" w:eastAsia="宋体" w:cs="宋体"/>
          <w:sz w:val="24"/>
          <w:highlight w:val="none"/>
        </w:rPr>
        <w:t>内准许已经暂停的工程（或其部分工程）</w:t>
      </w:r>
      <w:r>
        <w:rPr>
          <w:rFonts w:hint="eastAsia" w:ascii="宋体" w:hAnsi="宋体" w:eastAsia="宋体" w:cs="宋体"/>
          <w:spacing w:val="-1"/>
          <w:sz w:val="24"/>
          <w:highlight w:val="none"/>
        </w:rPr>
        <w:t>继续施工。如果监理人逾期不予批准，则</w:t>
      </w:r>
      <w:r>
        <w:rPr>
          <w:rFonts w:hint="eastAsia" w:ascii="宋体" w:hAnsi="宋体" w:eastAsia="宋体" w:cs="宋体"/>
          <w:sz w:val="24"/>
          <w:highlight w:val="none"/>
        </w:rPr>
        <w:t>承包人可以（但并非必须）作如下选择：</w:t>
      </w:r>
    </w:p>
    <w:p w14:paraId="077ED9DD">
      <w:pPr>
        <w:pStyle w:val="29"/>
        <w:numPr>
          <w:ilvl w:val="0"/>
          <w:numId w:val="11"/>
        </w:numPr>
        <w:tabs>
          <w:tab w:val="left" w:pos="1465"/>
        </w:tabs>
        <w:spacing w:before="1" w:line="312" w:lineRule="auto"/>
        <w:ind w:right="466" w:firstLine="480"/>
        <w:rPr>
          <w:rFonts w:hint="eastAsia" w:ascii="宋体" w:hAnsi="宋体" w:eastAsia="宋体" w:cs="宋体"/>
          <w:sz w:val="24"/>
          <w:highlight w:val="none"/>
        </w:rPr>
      </w:pPr>
      <w:r>
        <w:rPr>
          <w:rFonts w:hint="eastAsia" w:ascii="宋体" w:hAnsi="宋体" w:eastAsia="宋体" w:cs="宋体"/>
          <w:spacing w:val="-3"/>
          <w:sz w:val="24"/>
          <w:highlight w:val="none"/>
        </w:rPr>
        <w:t>如果暂停施工仅涉及本工程的一部分时，则可将该部分工程从本合同中</w:t>
      </w:r>
      <w:r>
        <w:rPr>
          <w:rFonts w:hint="eastAsia" w:ascii="宋体" w:hAnsi="宋体" w:eastAsia="宋体" w:cs="宋体"/>
          <w:spacing w:val="-5"/>
          <w:sz w:val="24"/>
          <w:highlight w:val="none"/>
        </w:rPr>
        <w:t>取消，同时将此事通知监理人；</w:t>
      </w:r>
    </w:p>
    <w:p w14:paraId="05ADE6B6">
      <w:pPr>
        <w:pStyle w:val="29"/>
        <w:numPr>
          <w:ilvl w:val="0"/>
          <w:numId w:val="11"/>
        </w:numPr>
        <w:tabs>
          <w:tab w:val="left" w:pos="1465"/>
        </w:tabs>
        <w:spacing w:before="2" w:line="312" w:lineRule="auto"/>
        <w:ind w:right="466" w:firstLine="480"/>
        <w:rPr>
          <w:rFonts w:hint="eastAsia" w:ascii="宋体" w:hAnsi="宋体" w:eastAsia="宋体" w:cs="宋体"/>
          <w:sz w:val="24"/>
          <w:highlight w:val="none"/>
        </w:rPr>
      </w:pPr>
      <w:r>
        <w:rPr>
          <w:rFonts w:hint="eastAsia" w:ascii="宋体" w:hAnsi="宋体" w:eastAsia="宋体" w:cs="宋体"/>
          <w:spacing w:val="-4"/>
          <w:sz w:val="24"/>
          <w:highlight w:val="none"/>
        </w:rPr>
        <w:t>如果暂停施工影响到整个合同工程时，可视为发包人违约，并由发包人</w:t>
      </w:r>
      <w:r>
        <w:rPr>
          <w:rFonts w:hint="eastAsia" w:ascii="宋体" w:hAnsi="宋体" w:eastAsia="宋体" w:cs="宋体"/>
          <w:spacing w:val="-5"/>
          <w:sz w:val="24"/>
          <w:highlight w:val="none"/>
        </w:rPr>
        <w:t>承担违约责任。</w:t>
      </w:r>
    </w:p>
    <w:p w14:paraId="2197CEAB">
      <w:pPr>
        <w:pStyle w:val="29"/>
        <w:numPr>
          <w:ilvl w:val="4"/>
          <w:numId w:val="7"/>
        </w:numPr>
        <w:tabs>
          <w:tab w:val="left" w:pos="1523"/>
          <w:tab w:val="left" w:pos="1524"/>
        </w:tabs>
        <w:spacing w:line="300" w:lineRule="exact"/>
        <w:ind w:left="1524" w:hanging="660"/>
        <w:rPr>
          <w:rFonts w:hint="eastAsia" w:ascii="宋体" w:hAnsi="宋体" w:eastAsia="宋体" w:cs="宋体"/>
          <w:sz w:val="24"/>
          <w:highlight w:val="none"/>
        </w:rPr>
      </w:pPr>
      <w:r>
        <w:rPr>
          <w:rFonts w:hint="eastAsia" w:ascii="宋体" w:hAnsi="宋体" w:eastAsia="宋体" w:cs="宋体"/>
          <w:sz w:val="24"/>
          <w:highlight w:val="none"/>
        </w:rPr>
        <w:t>复工</w:t>
      </w:r>
    </w:p>
    <w:p w14:paraId="4FE09929">
      <w:pPr>
        <w:pStyle w:val="29"/>
        <w:numPr>
          <w:ilvl w:val="0"/>
          <w:numId w:val="12"/>
        </w:numPr>
        <w:tabs>
          <w:tab w:val="left" w:pos="1465"/>
        </w:tabs>
        <w:spacing w:before="84" w:line="307" w:lineRule="auto"/>
        <w:ind w:right="346" w:firstLine="480"/>
        <w:rPr>
          <w:rFonts w:hint="eastAsia" w:ascii="宋体" w:hAnsi="宋体" w:eastAsia="宋体" w:cs="宋体"/>
          <w:sz w:val="24"/>
          <w:highlight w:val="none"/>
        </w:rPr>
      </w:pPr>
      <w:r>
        <w:rPr>
          <w:rFonts w:hint="eastAsia" w:ascii="宋体" w:hAnsi="宋体" w:eastAsia="宋体" w:cs="宋体"/>
          <w:spacing w:val="-7"/>
          <w:sz w:val="24"/>
          <w:highlight w:val="none"/>
        </w:rPr>
        <w:t>暂停施工后，发包人、监理人和承包人应积极协商，采取有效措施积极消</w:t>
      </w:r>
      <w:r>
        <w:rPr>
          <w:rFonts w:hint="eastAsia" w:ascii="宋体" w:hAnsi="宋体" w:eastAsia="宋体" w:cs="宋体"/>
          <w:spacing w:val="-13"/>
          <w:sz w:val="24"/>
          <w:highlight w:val="none"/>
        </w:rPr>
        <w:t>除暂停施工的影响。当工程具备复工条件时，监理人应立即向承包人发出复工通知。</w:t>
      </w:r>
      <w:r>
        <w:rPr>
          <w:rFonts w:hint="eastAsia" w:ascii="宋体" w:hAnsi="宋体" w:eastAsia="宋体" w:cs="宋体"/>
          <w:sz w:val="24"/>
          <w:highlight w:val="none"/>
        </w:rPr>
        <w:t>承包人收到复工通知后，应在监理人指定的期限内复工；</w:t>
      </w:r>
    </w:p>
    <w:p w14:paraId="5EFD851B">
      <w:pPr>
        <w:pStyle w:val="29"/>
        <w:numPr>
          <w:ilvl w:val="0"/>
          <w:numId w:val="12"/>
        </w:numPr>
        <w:tabs>
          <w:tab w:val="left" w:pos="1465"/>
        </w:tabs>
        <w:spacing w:line="307" w:lineRule="auto"/>
        <w:ind w:right="346" w:firstLine="480"/>
        <w:rPr>
          <w:rFonts w:hint="eastAsia" w:ascii="宋体" w:hAnsi="宋体" w:eastAsia="宋体" w:cs="宋体"/>
          <w:sz w:val="24"/>
          <w:highlight w:val="none"/>
        </w:rPr>
      </w:pPr>
      <w:r>
        <w:rPr>
          <w:rFonts w:hint="eastAsia" w:ascii="宋体" w:hAnsi="宋体" w:eastAsia="宋体" w:cs="宋体"/>
          <w:spacing w:val="-8"/>
          <w:sz w:val="24"/>
          <w:highlight w:val="none"/>
        </w:rPr>
        <w:t>承包人无故拖延和拒绝复工的，由此增加的费用和工期延误由承包人承担</w:t>
      </w:r>
      <w:r>
        <w:rPr>
          <w:rFonts w:hint="eastAsia" w:ascii="宋体" w:hAnsi="宋体" w:eastAsia="宋体" w:cs="宋体"/>
          <w:spacing w:val="-3"/>
          <w:sz w:val="24"/>
          <w:highlight w:val="none"/>
        </w:rPr>
        <w:t>；因发包人原因无法按时复工的，承包人有权要求发包人延长工期和</w:t>
      </w:r>
      <w:r>
        <w:rPr>
          <w:rFonts w:hint="eastAsia" w:ascii="宋体" w:hAnsi="宋体" w:eastAsia="宋体" w:cs="宋体"/>
          <w:spacing w:val="4"/>
          <w:sz w:val="24"/>
          <w:highlight w:val="none"/>
        </w:rPr>
        <w:t>(</w:t>
      </w:r>
      <w:r>
        <w:rPr>
          <w:rFonts w:hint="eastAsia" w:ascii="宋体" w:hAnsi="宋体" w:eastAsia="宋体" w:cs="宋体"/>
          <w:sz w:val="24"/>
          <w:highlight w:val="none"/>
        </w:rPr>
        <w:t>或</w:t>
      </w:r>
      <w:r>
        <w:rPr>
          <w:rFonts w:hint="eastAsia" w:ascii="宋体" w:hAnsi="宋体" w:eastAsia="宋体" w:cs="宋体"/>
          <w:spacing w:val="4"/>
          <w:sz w:val="24"/>
          <w:highlight w:val="none"/>
        </w:rPr>
        <w:t>)</w:t>
      </w:r>
      <w:r>
        <w:rPr>
          <w:rFonts w:hint="eastAsia" w:ascii="宋体" w:hAnsi="宋体" w:eastAsia="宋体" w:cs="宋体"/>
          <w:sz w:val="24"/>
          <w:highlight w:val="none"/>
        </w:rPr>
        <w:t>增加费用，并支付合理利润。</w:t>
      </w:r>
    </w:p>
    <w:p w14:paraId="0CBDB842">
      <w:pPr>
        <w:pStyle w:val="29"/>
        <w:numPr>
          <w:ilvl w:val="3"/>
          <w:numId w:val="7"/>
        </w:numPr>
        <w:tabs>
          <w:tab w:val="left" w:pos="1125"/>
        </w:tabs>
        <w:spacing w:before="163"/>
        <w:ind w:left="1124" w:hanging="302"/>
        <w:jc w:val="left"/>
        <w:rPr>
          <w:rFonts w:hint="eastAsia" w:ascii="宋体" w:hAnsi="宋体" w:eastAsia="宋体" w:cs="宋体"/>
          <w:sz w:val="24"/>
          <w:highlight w:val="none"/>
        </w:rPr>
      </w:pPr>
      <w:r>
        <w:rPr>
          <w:rFonts w:hint="eastAsia" w:ascii="宋体" w:hAnsi="宋体" w:eastAsia="宋体" w:cs="宋体"/>
          <w:sz w:val="24"/>
          <w:highlight w:val="none"/>
        </w:rPr>
        <w:t>工程竣（交）工</w:t>
      </w:r>
    </w:p>
    <w:p w14:paraId="69E7200E">
      <w:pPr>
        <w:pStyle w:val="10"/>
        <w:spacing w:before="7"/>
        <w:rPr>
          <w:rFonts w:hint="eastAsia" w:ascii="宋体" w:hAnsi="宋体" w:eastAsia="宋体" w:cs="宋体"/>
          <w:sz w:val="20"/>
          <w:highlight w:val="none"/>
        </w:rPr>
      </w:pPr>
    </w:p>
    <w:p w14:paraId="5D510237">
      <w:pPr>
        <w:pStyle w:val="10"/>
        <w:spacing w:before="5"/>
        <w:ind w:firstLine="480" w:firstLineChars="200"/>
        <w:rPr>
          <w:rFonts w:hint="eastAsia" w:ascii="宋体" w:hAnsi="宋体" w:eastAsia="宋体" w:cs="宋体"/>
          <w:sz w:val="17"/>
          <w:highlight w:val="none"/>
        </w:rPr>
      </w:pPr>
      <w:r>
        <w:rPr>
          <w:rFonts w:hint="eastAsia" w:ascii="宋体" w:hAnsi="宋体" w:eastAsia="宋体" w:cs="宋体"/>
          <w:sz w:val="24"/>
          <w:highlight w:val="none"/>
        </w:rPr>
        <w:t>工程完工，通过交工验收质量达到合格，并已按《新疆维吾尔自治区重要农村公路竣（交）工验收办法（试行）》的规定和地方交通主管部门的规定编制</w:t>
      </w:r>
      <w:r>
        <w:rPr>
          <w:rFonts w:hint="eastAsia" w:ascii="宋体" w:hAnsi="宋体" w:eastAsia="宋体" w:cs="宋体"/>
          <w:spacing w:val="-7"/>
          <w:sz w:val="24"/>
          <w:highlight w:val="none"/>
        </w:rPr>
        <w:t>了竣工图表和竣工资料后，承包人可就此向监理人申请交工验收，同时抄送发包人。</w:t>
      </w:r>
      <w:r>
        <w:rPr>
          <w:rFonts w:hint="eastAsia" w:ascii="宋体" w:hAnsi="宋体" w:eastAsia="宋体" w:cs="宋体"/>
          <w:spacing w:val="-8"/>
          <w:sz w:val="24"/>
          <w:highlight w:val="none"/>
        </w:rPr>
        <w:t>监理人在收到该申请后，应在</w:t>
      </w:r>
      <w:r>
        <w:rPr>
          <w:rFonts w:hint="eastAsia" w:ascii="宋体" w:hAnsi="宋体" w:eastAsia="宋体" w:cs="宋体"/>
          <w:sz w:val="24"/>
          <w:highlight w:val="none"/>
        </w:rPr>
        <w:t>7</w:t>
      </w:r>
      <w:r>
        <w:rPr>
          <w:rFonts w:hint="eastAsia" w:ascii="宋体" w:hAnsi="宋体" w:eastAsia="宋体" w:cs="宋体"/>
          <w:spacing w:val="-8"/>
          <w:sz w:val="24"/>
          <w:highlight w:val="none"/>
        </w:rPr>
        <w:t>天内审核并报发包人，发包人在收到申请后</w:t>
      </w:r>
      <w:r>
        <w:rPr>
          <w:rFonts w:hint="eastAsia" w:ascii="宋体" w:hAnsi="宋体" w:eastAsia="宋体" w:cs="宋体"/>
          <w:sz w:val="24"/>
          <w:highlight w:val="none"/>
        </w:rPr>
        <w:t>14天内应组织交工验收，并写出交工验收报告报上级主管部门备案，同时发包人在交工验</w:t>
      </w:r>
      <w:r>
        <w:rPr>
          <w:rFonts w:hint="eastAsia" w:ascii="宋体" w:hAnsi="宋体" w:eastAsia="宋体" w:cs="宋体"/>
          <w:spacing w:val="-12"/>
          <w:sz w:val="24"/>
          <w:highlight w:val="none"/>
        </w:rPr>
        <w:t>收合格后</w:t>
      </w:r>
      <w:r>
        <w:rPr>
          <w:rFonts w:hint="eastAsia" w:ascii="宋体" w:hAnsi="宋体" w:eastAsia="宋体" w:cs="宋体"/>
          <w:sz w:val="24"/>
          <w:highlight w:val="none"/>
        </w:rPr>
        <w:t>14</w:t>
      </w:r>
      <w:r>
        <w:rPr>
          <w:rFonts w:hint="eastAsia" w:ascii="宋体" w:hAnsi="宋体" w:eastAsia="宋体" w:cs="宋体"/>
          <w:spacing w:val="-10"/>
          <w:sz w:val="24"/>
          <w:highlight w:val="none"/>
        </w:rPr>
        <w:t>天内，向承包人签发交工证书，各合同段交工验收工作所需费用由承包人承担。并办理合同工程移交管养工作。工程进入缺陷责任期。</w:t>
      </w:r>
    </w:p>
    <w:p w14:paraId="02AF6390">
      <w:pPr>
        <w:pStyle w:val="29"/>
        <w:numPr>
          <w:ilvl w:val="4"/>
          <w:numId w:val="7"/>
        </w:numPr>
        <w:tabs>
          <w:tab w:val="left" w:pos="1529"/>
        </w:tabs>
        <w:spacing w:before="74" w:line="304"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全部工程完工后，在全部工程交工证书签发之前，承包人须向发包人提</w:t>
      </w:r>
      <w:r>
        <w:rPr>
          <w:rFonts w:hint="eastAsia" w:ascii="宋体" w:hAnsi="宋体" w:eastAsia="宋体" w:cs="宋体"/>
          <w:spacing w:val="-25"/>
          <w:sz w:val="24"/>
          <w:highlight w:val="none"/>
        </w:rPr>
        <w:t>交</w:t>
      </w:r>
      <w:r>
        <w:rPr>
          <w:rFonts w:hint="eastAsia" w:ascii="宋体" w:hAnsi="宋体" w:eastAsia="宋体" w:cs="宋体"/>
          <w:sz w:val="24"/>
          <w:highlight w:val="none"/>
        </w:rPr>
        <w:t>3</w:t>
      </w:r>
      <w:r>
        <w:rPr>
          <w:rFonts w:hint="eastAsia" w:ascii="宋体" w:hAnsi="宋体" w:eastAsia="宋体" w:cs="宋体"/>
          <w:spacing w:val="-1"/>
          <w:sz w:val="24"/>
          <w:highlight w:val="none"/>
        </w:rPr>
        <w:t>套完整、合格的竣工文件与施工文件。在缺陷责任期内应补充的竣工资料应在签发缺陷责任证书之前提交。在承包人实施和完成本合同工程及其缺陷修复的义务后，应由监理人根据合同规定核查缺陷责任修复完成后填写缺陷责任终止证书，报</w:t>
      </w:r>
      <w:r>
        <w:rPr>
          <w:rFonts w:hint="eastAsia" w:ascii="宋体" w:hAnsi="宋体" w:eastAsia="宋体" w:cs="宋体"/>
          <w:spacing w:val="-3"/>
          <w:sz w:val="24"/>
          <w:highlight w:val="none"/>
        </w:rPr>
        <w:t>发包人同意后，由发包人在缺陷责任期终止后</w:t>
      </w:r>
      <w:r>
        <w:rPr>
          <w:rFonts w:hint="eastAsia" w:ascii="宋体" w:hAnsi="宋体" w:eastAsia="宋体" w:cs="宋体"/>
          <w:sz w:val="24"/>
          <w:highlight w:val="none"/>
        </w:rPr>
        <w:t>21天之内发出。</w:t>
      </w:r>
    </w:p>
    <w:p w14:paraId="450042E0">
      <w:pPr>
        <w:pStyle w:val="29"/>
        <w:numPr>
          <w:ilvl w:val="4"/>
          <w:numId w:val="7"/>
        </w:numPr>
        <w:tabs>
          <w:tab w:val="left" w:pos="1529"/>
        </w:tabs>
        <w:spacing w:before="8" w:line="304" w:lineRule="auto"/>
        <w:ind w:left="384" w:right="467" w:firstLine="480"/>
        <w:jc w:val="both"/>
        <w:rPr>
          <w:rFonts w:hint="eastAsia" w:ascii="宋体" w:hAnsi="宋体" w:eastAsia="宋体" w:cs="宋体"/>
          <w:sz w:val="24"/>
          <w:highlight w:val="none"/>
        </w:rPr>
      </w:pPr>
      <w:r>
        <w:rPr>
          <w:rFonts w:hint="eastAsia" w:ascii="宋体" w:hAnsi="宋体" w:eastAsia="宋体" w:cs="宋体"/>
          <w:sz w:val="24"/>
          <w:highlight w:val="none"/>
        </w:rPr>
        <w:t>工程全部完工并通过交工验收后，发包人应向上级主管部门申请进行竣工验收。组织办理竣工验收的费用，由发包人承担。</w:t>
      </w:r>
    </w:p>
    <w:p w14:paraId="68B79E89">
      <w:pPr>
        <w:pStyle w:val="29"/>
        <w:numPr>
          <w:ilvl w:val="4"/>
          <w:numId w:val="7"/>
        </w:numPr>
        <w:tabs>
          <w:tab w:val="left" w:pos="1529"/>
        </w:tabs>
        <w:spacing w:before="1" w:line="307" w:lineRule="auto"/>
        <w:ind w:left="384" w:right="467" w:firstLine="480"/>
        <w:jc w:val="both"/>
        <w:rPr>
          <w:rFonts w:hint="eastAsia" w:ascii="宋体" w:hAnsi="宋体" w:eastAsia="宋体" w:cs="宋体"/>
          <w:sz w:val="24"/>
          <w:highlight w:val="none"/>
        </w:rPr>
      </w:pPr>
      <w:r>
        <w:rPr>
          <w:rFonts w:hint="eastAsia" w:ascii="宋体" w:hAnsi="宋体" w:eastAsia="宋体" w:cs="宋体"/>
          <w:sz w:val="24"/>
          <w:highlight w:val="none"/>
        </w:rPr>
        <w:t>工程接收证书颁发后，承包人应按要求对施工场地进行清理，直至监理人检验合格为止。竣工清场费用由承包人承担。</w:t>
      </w:r>
    </w:p>
    <w:p w14:paraId="127A9CCE">
      <w:pPr>
        <w:pStyle w:val="29"/>
        <w:numPr>
          <w:ilvl w:val="4"/>
          <w:numId w:val="7"/>
        </w:numPr>
        <w:tabs>
          <w:tab w:val="left" w:pos="1344"/>
        </w:tabs>
        <w:spacing w:line="305" w:lineRule="exact"/>
        <w:ind w:left="1344" w:hanging="480"/>
        <w:jc w:val="both"/>
        <w:rPr>
          <w:rFonts w:hint="eastAsia" w:ascii="宋体" w:hAnsi="宋体" w:eastAsia="宋体" w:cs="宋体"/>
          <w:sz w:val="24"/>
          <w:highlight w:val="none"/>
        </w:rPr>
      </w:pPr>
      <w:r>
        <w:rPr>
          <w:rFonts w:hint="eastAsia" w:ascii="宋体" w:hAnsi="宋体" w:eastAsia="宋体" w:cs="宋体"/>
          <w:sz w:val="24"/>
          <w:highlight w:val="none"/>
        </w:rPr>
        <w:t>施工期运行</w:t>
      </w:r>
    </w:p>
    <w:p w14:paraId="399A58B7">
      <w:pPr>
        <w:pStyle w:val="29"/>
        <w:numPr>
          <w:ilvl w:val="0"/>
          <w:numId w:val="0"/>
        </w:numPr>
        <w:tabs>
          <w:tab w:val="left" w:pos="1584"/>
        </w:tabs>
        <w:spacing w:before="84" w:line="307" w:lineRule="auto"/>
        <w:ind w:right="465" w:rightChars="0" w:firstLine="952" w:firstLineChars="400"/>
        <w:jc w:val="both"/>
        <w:rPr>
          <w:rFonts w:hint="eastAsia" w:ascii="宋体" w:hAnsi="宋体" w:eastAsia="宋体" w:cs="宋体"/>
          <w:sz w:val="24"/>
          <w:highlight w:val="none"/>
        </w:rPr>
      </w:pPr>
      <w:r>
        <w:rPr>
          <w:rFonts w:hint="eastAsia" w:cs="宋体"/>
          <w:spacing w:val="-1"/>
          <w:sz w:val="24"/>
          <w:highlight w:val="none"/>
          <w:lang w:val="en-US" w:eastAsia="zh-CN"/>
        </w:rPr>
        <w:t>9.5.1</w:t>
      </w:r>
      <w:r>
        <w:rPr>
          <w:rFonts w:hint="eastAsia" w:ascii="宋体" w:hAnsi="宋体" w:eastAsia="宋体" w:cs="宋体"/>
          <w:spacing w:val="-1"/>
          <w:sz w:val="24"/>
          <w:highlight w:val="none"/>
        </w:rPr>
        <w:t>施工期运行是指合同工程尚未全部竣工，其中某项或某几项单位工程或工程设备安装已竣工，根据专用合同条款约定，需要投入施工期运行的，经发包人</w:t>
      </w:r>
      <w:r>
        <w:rPr>
          <w:rFonts w:hint="eastAsia" w:ascii="宋体" w:hAnsi="宋体" w:eastAsia="宋体" w:cs="宋体"/>
          <w:spacing w:val="-20"/>
          <w:sz w:val="24"/>
          <w:highlight w:val="none"/>
        </w:rPr>
        <w:t xml:space="preserve">按第 </w:t>
      </w:r>
      <w:r>
        <w:rPr>
          <w:rFonts w:hint="eastAsia" w:ascii="宋体" w:hAnsi="宋体" w:eastAsia="宋体" w:cs="宋体"/>
          <w:sz w:val="24"/>
          <w:highlight w:val="none"/>
        </w:rPr>
        <w:t>11.1 款的约定验收合格，证明能确保安全后，才能在施工期投入运行。</w:t>
      </w:r>
    </w:p>
    <w:p w14:paraId="47D55F83">
      <w:pPr>
        <w:pStyle w:val="29"/>
        <w:numPr>
          <w:ilvl w:val="0"/>
          <w:numId w:val="0"/>
        </w:numPr>
        <w:tabs>
          <w:tab w:val="left" w:pos="1584"/>
        </w:tabs>
        <w:spacing w:line="303" w:lineRule="exact"/>
        <w:ind w:firstLine="960" w:firstLineChars="400"/>
        <w:jc w:val="both"/>
        <w:rPr>
          <w:rFonts w:hint="eastAsia" w:ascii="宋体" w:hAnsi="宋体" w:eastAsia="宋体" w:cs="宋体"/>
          <w:sz w:val="24"/>
          <w:highlight w:val="none"/>
        </w:rPr>
      </w:pPr>
      <w:r>
        <w:rPr>
          <w:rFonts w:hint="eastAsia" w:cs="宋体"/>
          <w:sz w:val="24"/>
          <w:highlight w:val="none"/>
          <w:lang w:val="en-US" w:eastAsia="zh-CN"/>
        </w:rPr>
        <w:t>9.5.2</w:t>
      </w:r>
      <w:r>
        <w:rPr>
          <w:rFonts w:hint="eastAsia" w:ascii="宋体" w:hAnsi="宋体" w:eastAsia="宋体" w:cs="宋体"/>
          <w:sz w:val="24"/>
          <w:highlight w:val="none"/>
        </w:rPr>
        <w:t>在施工期运行中发现工程或工程设备损坏或存在缺陷的，由承包人按第</w:t>
      </w:r>
    </w:p>
    <w:p w14:paraId="5DB776DB">
      <w:pPr>
        <w:pStyle w:val="10"/>
        <w:spacing w:before="86"/>
        <w:ind w:left="384"/>
        <w:jc w:val="both"/>
        <w:rPr>
          <w:rFonts w:hint="eastAsia" w:ascii="宋体" w:hAnsi="宋体" w:eastAsia="宋体" w:cs="宋体"/>
          <w:highlight w:val="none"/>
        </w:rPr>
      </w:pPr>
      <w:r>
        <w:rPr>
          <w:rFonts w:hint="eastAsia" w:ascii="宋体" w:hAnsi="宋体" w:eastAsia="宋体" w:cs="宋体"/>
          <w:highlight w:val="none"/>
        </w:rPr>
        <w:t>21.2 款约定进行修复。</w:t>
      </w:r>
    </w:p>
    <w:p w14:paraId="01E3624E">
      <w:pPr>
        <w:pStyle w:val="29"/>
        <w:numPr>
          <w:ilvl w:val="0"/>
          <w:numId w:val="0"/>
        </w:numPr>
        <w:tabs>
          <w:tab w:val="left" w:pos="1404"/>
        </w:tabs>
        <w:spacing w:before="84"/>
        <w:ind w:left="864" w:leftChars="0"/>
        <w:jc w:val="both"/>
        <w:rPr>
          <w:rFonts w:hint="eastAsia" w:ascii="宋体" w:hAnsi="宋体" w:eastAsia="宋体" w:cs="宋体"/>
          <w:sz w:val="24"/>
          <w:highlight w:val="none"/>
        </w:rPr>
      </w:pPr>
      <w:r>
        <w:rPr>
          <w:rFonts w:hint="eastAsia" w:cs="宋体"/>
          <w:sz w:val="24"/>
          <w:highlight w:val="none"/>
          <w:lang w:val="en-US" w:eastAsia="zh-CN"/>
        </w:rPr>
        <w:t>9.</w:t>
      </w:r>
      <w:r>
        <w:rPr>
          <w:rFonts w:hint="eastAsia" w:ascii="宋体" w:hAnsi="宋体" w:eastAsia="宋体" w:cs="宋体"/>
          <w:sz w:val="24"/>
          <w:highlight w:val="none"/>
        </w:rPr>
        <w:t>试运行</w:t>
      </w:r>
    </w:p>
    <w:p w14:paraId="2AE92EF0">
      <w:pPr>
        <w:pStyle w:val="29"/>
        <w:numPr>
          <w:ilvl w:val="0"/>
          <w:numId w:val="0"/>
        </w:numPr>
        <w:tabs>
          <w:tab w:val="left" w:pos="1584"/>
        </w:tabs>
        <w:spacing w:before="100" w:line="312" w:lineRule="auto"/>
        <w:ind w:left="864" w:leftChars="0" w:right="502" w:rightChars="0"/>
        <w:jc w:val="both"/>
        <w:rPr>
          <w:rFonts w:hint="eastAsia" w:ascii="宋体" w:hAnsi="宋体" w:eastAsia="宋体" w:cs="宋体"/>
          <w:sz w:val="24"/>
          <w:highlight w:val="none"/>
        </w:rPr>
      </w:pPr>
      <w:r>
        <w:rPr>
          <w:rFonts w:hint="eastAsia" w:cs="宋体"/>
          <w:spacing w:val="-1"/>
          <w:sz w:val="24"/>
          <w:highlight w:val="none"/>
          <w:lang w:val="en-US" w:eastAsia="zh-CN"/>
        </w:rPr>
        <w:t>9.6.1</w:t>
      </w:r>
      <w:r>
        <w:rPr>
          <w:rFonts w:hint="eastAsia" w:ascii="宋体" w:hAnsi="宋体" w:eastAsia="宋体" w:cs="宋体"/>
          <w:spacing w:val="-1"/>
          <w:sz w:val="24"/>
          <w:highlight w:val="none"/>
        </w:rPr>
        <w:t>除专用合同条款另有约定外，承包人应按专用合同条款约定进行工程及工程设备试运行，负责提供试运行所需的人员、器材和必要的条件，并承担全部试</w:t>
      </w:r>
      <w:r>
        <w:rPr>
          <w:rFonts w:hint="eastAsia" w:ascii="宋体" w:hAnsi="宋体" w:eastAsia="宋体" w:cs="宋体"/>
          <w:sz w:val="24"/>
          <w:highlight w:val="none"/>
        </w:rPr>
        <w:t>运行费用。</w:t>
      </w:r>
    </w:p>
    <w:p w14:paraId="1EB06091">
      <w:pPr>
        <w:pStyle w:val="29"/>
        <w:numPr>
          <w:ilvl w:val="0"/>
          <w:numId w:val="0"/>
        </w:numPr>
        <w:tabs>
          <w:tab w:val="left" w:pos="1527"/>
        </w:tabs>
        <w:spacing w:line="291" w:lineRule="exact"/>
        <w:ind w:left="863" w:leftChars="0"/>
        <w:jc w:val="both"/>
        <w:rPr>
          <w:rFonts w:hint="eastAsia" w:ascii="宋体" w:hAnsi="宋体" w:eastAsia="宋体" w:cs="宋体"/>
          <w:sz w:val="24"/>
          <w:highlight w:val="none"/>
        </w:rPr>
      </w:pPr>
      <w:r>
        <w:rPr>
          <w:rFonts w:hint="eastAsia" w:cs="宋体"/>
          <w:sz w:val="24"/>
          <w:highlight w:val="none"/>
          <w:lang w:val="en-US" w:eastAsia="zh-CN"/>
        </w:rPr>
        <w:t>9.6.2</w:t>
      </w:r>
      <w:r>
        <w:rPr>
          <w:rFonts w:hint="eastAsia" w:ascii="宋体" w:hAnsi="宋体" w:eastAsia="宋体" w:cs="宋体"/>
          <w:sz w:val="24"/>
          <w:highlight w:val="none"/>
        </w:rPr>
        <w:t>由于承包人的原因导致试运行失败的，承包人应采取措施保证试运行合</w:t>
      </w:r>
    </w:p>
    <w:p w14:paraId="414FC007">
      <w:pPr>
        <w:pStyle w:val="10"/>
        <w:spacing w:before="87" w:line="304" w:lineRule="auto"/>
        <w:ind w:left="384" w:right="465"/>
        <w:rPr>
          <w:rFonts w:hint="eastAsia" w:ascii="宋体" w:hAnsi="宋体" w:eastAsia="宋体" w:cs="宋体"/>
          <w:highlight w:val="none"/>
        </w:rPr>
      </w:pPr>
      <w:r>
        <w:rPr>
          <w:rFonts w:hint="eastAsia" w:ascii="宋体" w:hAnsi="宋体" w:eastAsia="宋体" w:cs="宋体"/>
          <w:highlight w:val="none"/>
        </w:rPr>
        <w:t>格，并承担相应费用。由于发包人的原因导致试运行失败的，承包人应当采取措施保证试运行合格，发包人应承担由此产生的费用，并支付承包人合理利润。</w:t>
      </w:r>
    </w:p>
    <w:p w14:paraId="29D3BF6E">
      <w:pPr>
        <w:pStyle w:val="10"/>
        <w:spacing w:before="174"/>
        <w:ind w:left="583"/>
        <w:rPr>
          <w:rFonts w:hint="eastAsia" w:ascii="宋体" w:hAnsi="宋体" w:eastAsia="宋体" w:cs="宋体"/>
          <w:highlight w:val="none"/>
        </w:rPr>
      </w:pPr>
      <w:r>
        <w:rPr>
          <w:rFonts w:hint="eastAsia" w:ascii="宋体" w:hAnsi="宋体" w:eastAsia="宋体" w:cs="宋体"/>
          <w:highlight w:val="none"/>
        </w:rPr>
        <w:t>四、质量与检验</w:t>
      </w:r>
    </w:p>
    <w:p w14:paraId="5C19A2D1">
      <w:pPr>
        <w:pStyle w:val="10"/>
        <w:spacing w:before="10"/>
        <w:rPr>
          <w:rFonts w:hint="eastAsia" w:ascii="宋体" w:hAnsi="宋体" w:eastAsia="宋体" w:cs="宋体"/>
          <w:sz w:val="19"/>
          <w:highlight w:val="none"/>
        </w:rPr>
      </w:pPr>
    </w:p>
    <w:p w14:paraId="0D56C4C2">
      <w:pPr>
        <w:pStyle w:val="29"/>
        <w:numPr>
          <w:ilvl w:val="3"/>
          <w:numId w:val="7"/>
        </w:numPr>
        <w:tabs>
          <w:tab w:val="left" w:pos="1125"/>
        </w:tabs>
        <w:ind w:left="1124" w:hanging="302"/>
        <w:jc w:val="left"/>
        <w:rPr>
          <w:rFonts w:hint="eastAsia" w:ascii="宋体" w:hAnsi="宋体" w:eastAsia="宋体" w:cs="宋体"/>
          <w:sz w:val="24"/>
          <w:highlight w:val="none"/>
        </w:rPr>
      </w:pPr>
      <w:r>
        <w:rPr>
          <w:rFonts w:hint="eastAsia" w:ascii="宋体" w:hAnsi="宋体" w:eastAsia="宋体" w:cs="宋体"/>
          <w:sz w:val="24"/>
          <w:highlight w:val="none"/>
        </w:rPr>
        <w:t>工程质量与检验</w:t>
      </w:r>
    </w:p>
    <w:p w14:paraId="4188E7AD">
      <w:pPr>
        <w:pStyle w:val="10"/>
        <w:spacing w:before="8"/>
        <w:rPr>
          <w:rFonts w:hint="eastAsia" w:ascii="宋体" w:hAnsi="宋体" w:eastAsia="宋体" w:cs="宋体"/>
          <w:sz w:val="20"/>
          <w:highlight w:val="none"/>
        </w:rPr>
      </w:pPr>
    </w:p>
    <w:p w14:paraId="232BA415">
      <w:pPr>
        <w:pStyle w:val="29"/>
        <w:numPr>
          <w:ilvl w:val="4"/>
          <w:numId w:val="7"/>
        </w:numPr>
        <w:tabs>
          <w:tab w:val="left" w:pos="1528"/>
          <w:tab w:val="left" w:pos="1529"/>
        </w:tabs>
        <w:spacing w:line="304" w:lineRule="auto"/>
        <w:ind w:left="384" w:right="346" w:firstLine="480"/>
        <w:rPr>
          <w:rFonts w:hint="eastAsia" w:ascii="宋体" w:hAnsi="宋体" w:eastAsia="宋体" w:cs="宋体"/>
          <w:sz w:val="24"/>
          <w:highlight w:val="none"/>
        </w:rPr>
      </w:pPr>
      <w:r>
        <w:rPr>
          <w:rFonts w:hint="eastAsia" w:ascii="宋体" w:hAnsi="宋体" w:eastAsia="宋体" w:cs="宋体"/>
          <w:sz w:val="24"/>
          <w:highlight w:val="none"/>
        </w:rPr>
        <w:t>承包人应保证其实施的工程质量达到约定的质量标准，质量标准的评定</w:t>
      </w:r>
      <w:r>
        <w:rPr>
          <w:rFonts w:hint="eastAsia" w:ascii="宋体" w:hAnsi="宋体" w:eastAsia="宋体" w:cs="宋体"/>
          <w:spacing w:val="-4"/>
          <w:sz w:val="24"/>
          <w:highlight w:val="none"/>
        </w:rPr>
        <w:t xml:space="preserve">以交通运输部及新疆交通运输厅有关质量检验评定标准规定为依据。因承包人原因， </w:t>
      </w:r>
      <w:r>
        <w:rPr>
          <w:rFonts w:hint="eastAsia" w:ascii="宋体" w:hAnsi="宋体" w:eastAsia="宋体" w:cs="宋体"/>
          <w:sz w:val="24"/>
          <w:highlight w:val="none"/>
        </w:rPr>
        <w:t>工程质量达不到合同约定验收标准的，监理人有权要求承包人返工直至符合合同要求为止，承包人承担由此造成的费用增加和（或）工期延误。</w:t>
      </w:r>
    </w:p>
    <w:p w14:paraId="3854D4F1">
      <w:pPr>
        <w:pStyle w:val="10"/>
        <w:spacing w:before="5" w:line="304" w:lineRule="auto"/>
        <w:ind w:left="384" w:right="465" w:firstLine="480"/>
        <w:rPr>
          <w:rFonts w:hint="eastAsia" w:ascii="宋体" w:hAnsi="宋体" w:eastAsia="宋体" w:cs="宋体"/>
          <w:highlight w:val="none"/>
        </w:rPr>
      </w:pPr>
      <w:r>
        <w:rPr>
          <w:rFonts w:hint="eastAsia" w:ascii="宋体" w:hAnsi="宋体" w:eastAsia="宋体" w:cs="宋体"/>
          <w:highlight w:val="none"/>
        </w:rPr>
        <w:t>因发包人原因造成工程质量达不到合同约定验收标准的，发包人应承担由于承包人返工造成的费用增加和（或）工期延误，并支付承包人合理利润。</w:t>
      </w:r>
    </w:p>
    <w:p w14:paraId="6C9DC974">
      <w:pPr>
        <w:pStyle w:val="29"/>
        <w:numPr>
          <w:ilvl w:val="4"/>
          <w:numId w:val="7"/>
        </w:numPr>
        <w:tabs>
          <w:tab w:val="left" w:pos="1523"/>
          <w:tab w:val="left" w:pos="1524"/>
        </w:tabs>
        <w:spacing w:before="4"/>
        <w:ind w:left="1524" w:hanging="660"/>
        <w:rPr>
          <w:rFonts w:hint="eastAsia" w:ascii="宋体" w:hAnsi="宋体" w:eastAsia="宋体" w:cs="宋体"/>
          <w:sz w:val="24"/>
          <w:highlight w:val="none"/>
        </w:rPr>
      </w:pPr>
      <w:r>
        <w:rPr>
          <w:rFonts w:hint="eastAsia" w:ascii="宋体" w:hAnsi="宋体" w:eastAsia="宋体" w:cs="宋体"/>
          <w:sz w:val="24"/>
          <w:highlight w:val="none"/>
        </w:rPr>
        <w:t>承包人的质量管理</w:t>
      </w:r>
    </w:p>
    <w:p w14:paraId="4BCFDAC4">
      <w:pPr>
        <w:pStyle w:val="10"/>
        <w:rPr>
          <w:rFonts w:hint="eastAsia" w:ascii="宋体" w:hAnsi="宋体" w:eastAsia="宋体" w:cs="宋体"/>
          <w:highlight w:val="none"/>
        </w:rPr>
      </w:pPr>
      <w:r>
        <w:rPr>
          <w:rFonts w:hint="eastAsia" w:ascii="宋体" w:hAnsi="宋体" w:eastAsia="宋体" w:cs="宋体"/>
          <w:spacing w:val="-1"/>
          <w:sz w:val="24"/>
          <w:highlight w:val="none"/>
        </w:rPr>
        <w:t xml:space="preserve">承包人应在施工场地设置专门的质量检查机构，配备专职质量检查人员， </w:t>
      </w:r>
      <w:r>
        <w:rPr>
          <w:rFonts w:hint="eastAsia" w:ascii="宋体" w:hAnsi="宋体" w:eastAsia="宋体" w:cs="宋体"/>
          <w:sz w:val="24"/>
          <w:highlight w:val="none"/>
        </w:rPr>
        <w:t>建立完善的质量检查制度。承包人应在合同约定的期限内，提交工程质量保证措施</w:t>
      </w:r>
      <w:r>
        <w:rPr>
          <w:rFonts w:hint="eastAsia" w:ascii="宋体" w:hAnsi="宋体" w:eastAsia="宋体" w:cs="宋体"/>
          <w:highlight w:val="none"/>
        </w:rPr>
        <w:t>文件，包括质量检查机构的组织和岗位责任、质检人员的组成、质量检查程序和实施细则等，报送监理人审批；</w:t>
      </w:r>
    </w:p>
    <w:p w14:paraId="113B8AC2">
      <w:pPr>
        <w:pStyle w:val="29"/>
        <w:numPr>
          <w:ilvl w:val="0"/>
          <w:numId w:val="13"/>
        </w:numPr>
        <w:tabs>
          <w:tab w:val="left" w:pos="1465"/>
        </w:tabs>
        <w:spacing w:before="4" w:line="304" w:lineRule="auto"/>
        <w:ind w:right="466" w:firstLine="480"/>
        <w:jc w:val="both"/>
        <w:rPr>
          <w:rFonts w:hint="eastAsia" w:ascii="宋体" w:hAnsi="宋体" w:eastAsia="宋体" w:cs="宋体"/>
          <w:sz w:val="24"/>
          <w:highlight w:val="none"/>
        </w:rPr>
      </w:pPr>
      <w:r>
        <w:rPr>
          <w:rFonts w:hint="eastAsia" w:ascii="宋体" w:hAnsi="宋体" w:eastAsia="宋体" w:cs="宋体"/>
          <w:sz w:val="24"/>
          <w:highlight w:val="none"/>
        </w:rPr>
        <w:t>发包人和承包人应严格遵守交通运输部和新疆交通运输厅有关公路工程</w:t>
      </w:r>
      <w:r>
        <w:rPr>
          <w:rFonts w:hint="eastAsia" w:ascii="宋体" w:hAnsi="宋体" w:eastAsia="宋体" w:cs="宋体"/>
          <w:spacing w:val="-5"/>
          <w:sz w:val="24"/>
          <w:highlight w:val="none"/>
        </w:rPr>
        <w:t>质量责任制和质量问题责任追究的相关规定，施行质量责任终身制，制定相关质量</w:t>
      </w:r>
      <w:r>
        <w:rPr>
          <w:rFonts w:hint="eastAsia" w:ascii="宋体" w:hAnsi="宋体" w:eastAsia="宋体" w:cs="宋体"/>
          <w:spacing w:val="-3"/>
          <w:sz w:val="24"/>
          <w:highlight w:val="none"/>
        </w:rPr>
        <w:t>保证措施；</w:t>
      </w:r>
    </w:p>
    <w:p w14:paraId="685501C3">
      <w:pPr>
        <w:pStyle w:val="29"/>
        <w:numPr>
          <w:ilvl w:val="0"/>
          <w:numId w:val="13"/>
        </w:numPr>
        <w:tabs>
          <w:tab w:val="left" w:pos="1465"/>
        </w:tabs>
        <w:spacing w:before="4" w:line="304" w:lineRule="auto"/>
        <w:ind w:right="466" w:firstLine="480"/>
        <w:jc w:val="both"/>
        <w:rPr>
          <w:rFonts w:hint="eastAsia" w:ascii="宋体" w:hAnsi="宋体" w:eastAsia="宋体" w:cs="宋体"/>
          <w:sz w:val="24"/>
          <w:highlight w:val="none"/>
        </w:rPr>
      </w:pPr>
      <w:r>
        <w:rPr>
          <w:rFonts w:hint="eastAsia" w:ascii="宋体" w:hAnsi="宋体" w:eastAsia="宋体" w:cs="宋体"/>
          <w:spacing w:val="-3"/>
          <w:sz w:val="24"/>
          <w:highlight w:val="none"/>
        </w:rPr>
        <w:t>用于本工程的材料和设备进场以前，承包人必须向监理人提交生产厂商</w:t>
      </w:r>
      <w:r>
        <w:rPr>
          <w:rFonts w:hint="eastAsia" w:ascii="宋体" w:hAnsi="宋体" w:eastAsia="宋体" w:cs="宋体"/>
          <w:spacing w:val="-5"/>
          <w:sz w:val="24"/>
          <w:highlight w:val="none"/>
        </w:rPr>
        <w:t>出具的质量合格证书和承包人检验合格证书，证明材料、设备质量符合技术规范的规定；</w:t>
      </w:r>
    </w:p>
    <w:p w14:paraId="7A305DB4">
      <w:pPr>
        <w:pStyle w:val="29"/>
        <w:numPr>
          <w:ilvl w:val="0"/>
          <w:numId w:val="13"/>
        </w:numPr>
        <w:tabs>
          <w:tab w:val="left" w:pos="1465"/>
        </w:tabs>
        <w:spacing w:before="5" w:line="304" w:lineRule="auto"/>
        <w:ind w:right="466" w:firstLine="480"/>
        <w:rPr>
          <w:rFonts w:hint="eastAsia" w:ascii="宋体" w:hAnsi="宋体" w:eastAsia="宋体" w:cs="宋体"/>
          <w:sz w:val="24"/>
          <w:highlight w:val="none"/>
        </w:rPr>
      </w:pPr>
      <w:r>
        <w:rPr>
          <w:rFonts w:hint="eastAsia" w:ascii="宋体" w:hAnsi="宋体" w:eastAsia="宋体" w:cs="宋体"/>
          <w:spacing w:val="-3"/>
          <w:sz w:val="24"/>
          <w:highlight w:val="none"/>
        </w:rPr>
        <w:t>承包人应随时按监理人的指令在制造、加工或施工现场对材料和设备进</w:t>
      </w:r>
      <w:r>
        <w:rPr>
          <w:rFonts w:hint="eastAsia" w:ascii="宋体" w:hAnsi="宋体" w:eastAsia="宋体" w:cs="宋体"/>
          <w:spacing w:val="-6"/>
          <w:sz w:val="24"/>
          <w:highlight w:val="none"/>
        </w:rPr>
        <w:t>行检验；</w:t>
      </w:r>
    </w:p>
    <w:p w14:paraId="45E1B2A8">
      <w:pPr>
        <w:pStyle w:val="29"/>
        <w:numPr>
          <w:ilvl w:val="0"/>
          <w:numId w:val="13"/>
        </w:numPr>
        <w:tabs>
          <w:tab w:val="left" w:pos="1465"/>
        </w:tabs>
        <w:spacing w:before="1" w:line="307" w:lineRule="auto"/>
        <w:ind w:right="466" w:firstLine="480"/>
        <w:rPr>
          <w:rFonts w:hint="eastAsia" w:ascii="宋体" w:hAnsi="宋体" w:eastAsia="宋体" w:cs="宋体"/>
          <w:sz w:val="24"/>
          <w:highlight w:val="none"/>
        </w:rPr>
      </w:pPr>
      <w:r>
        <w:rPr>
          <w:rFonts w:hint="eastAsia" w:ascii="宋体" w:hAnsi="宋体" w:eastAsia="宋体" w:cs="宋体"/>
          <w:spacing w:val="-2"/>
          <w:sz w:val="24"/>
          <w:highlight w:val="none"/>
        </w:rPr>
        <w:t>承包人应为监理人对材料或设备的检验提供一切必要的协助，在材料用</w:t>
      </w:r>
      <w:r>
        <w:rPr>
          <w:rFonts w:hint="eastAsia" w:ascii="宋体" w:hAnsi="宋体" w:eastAsia="宋体" w:cs="宋体"/>
          <w:spacing w:val="-5"/>
          <w:sz w:val="24"/>
          <w:highlight w:val="none"/>
        </w:rPr>
        <w:t>于工程之前，应按监理人的要求提供材料样品以供检验；</w:t>
      </w:r>
    </w:p>
    <w:p w14:paraId="3C85630F">
      <w:pPr>
        <w:pStyle w:val="29"/>
        <w:numPr>
          <w:ilvl w:val="0"/>
          <w:numId w:val="13"/>
        </w:numPr>
        <w:tabs>
          <w:tab w:val="left" w:pos="1465"/>
        </w:tabs>
        <w:spacing w:line="304" w:lineRule="auto"/>
        <w:ind w:right="466" w:firstLine="480"/>
        <w:rPr>
          <w:rFonts w:hint="eastAsia" w:ascii="宋体" w:hAnsi="宋体" w:eastAsia="宋体" w:cs="宋体"/>
          <w:sz w:val="24"/>
          <w:highlight w:val="none"/>
        </w:rPr>
      </w:pPr>
      <w:r>
        <w:rPr>
          <w:rFonts w:hint="eastAsia" w:ascii="宋体" w:hAnsi="宋体" w:eastAsia="宋体" w:cs="宋体"/>
          <w:spacing w:val="-5"/>
          <w:sz w:val="24"/>
          <w:highlight w:val="none"/>
        </w:rPr>
        <w:t>承包人应加强质量监控，确保规范规定的检验、抽检频率，现场质检的原</w:t>
      </w:r>
      <w:r>
        <w:rPr>
          <w:rFonts w:hint="eastAsia" w:ascii="宋体" w:hAnsi="宋体" w:eastAsia="宋体" w:cs="宋体"/>
          <w:sz w:val="24"/>
          <w:highlight w:val="none"/>
        </w:rPr>
        <w:t>始资料必须真实、准确、可靠，不得追记，接受质量检查时必须出示原始资料；</w:t>
      </w:r>
    </w:p>
    <w:p w14:paraId="0A0DF5FF">
      <w:pPr>
        <w:pStyle w:val="29"/>
        <w:numPr>
          <w:ilvl w:val="0"/>
          <w:numId w:val="13"/>
        </w:numPr>
        <w:tabs>
          <w:tab w:val="left" w:pos="1465"/>
        </w:tabs>
        <w:spacing w:before="1" w:line="304" w:lineRule="auto"/>
        <w:ind w:right="466" w:firstLine="480"/>
        <w:jc w:val="both"/>
        <w:rPr>
          <w:rFonts w:hint="eastAsia" w:ascii="宋体" w:hAnsi="宋体" w:eastAsia="宋体" w:cs="宋体"/>
          <w:sz w:val="24"/>
          <w:highlight w:val="none"/>
        </w:rPr>
      </w:pPr>
      <w:r>
        <w:rPr>
          <w:rFonts w:hint="eastAsia" w:ascii="宋体" w:hAnsi="宋体" w:eastAsia="宋体" w:cs="宋体"/>
          <w:spacing w:val="-4"/>
          <w:sz w:val="24"/>
          <w:highlight w:val="none"/>
        </w:rPr>
        <w:t>承包人必须完善检验手段，根据技术规范的规定配齐检测和试验仪器、</w:t>
      </w:r>
      <w:r>
        <w:rPr>
          <w:rFonts w:hint="eastAsia" w:ascii="宋体" w:hAnsi="宋体" w:eastAsia="宋体" w:cs="宋体"/>
          <w:spacing w:val="-5"/>
          <w:sz w:val="24"/>
          <w:highlight w:val="none"/>
        </w:rPr>
        <w:t>仪表，并应及时校正确保其精度；根据合同要求加强工地试验室的管理；加强标准</w:t>
      </w:r>
      <w:r>
        <w:rPr>
          <w:rFonts w:hint="eastAsia" w:ascii="宋体" w:hAnsi="宋体" w:eastAsia="宋体" w:cs="宋体"/>
          <w:spacing w:val="-4"/>
          <w:sz w:val="24"/>
          <w:highlight w:val="none"/>
        </w:rPr>
        <w:t>计量基础工作和材料检验工作，不得违规计量，不合格材料严禁用于本工程；</w:t>
      </w:r>
    </w:p>
    <w:p w14:paraId="5D641F09">
      <w:pPr>
        <w:pStyle w:val="29"/>
        <w:numPr>
          <w:ilvl w:val="0"/>
          <w:numId w:val="13"/>
        </w:numPr>
        <w:tabs>
          <w:tab w:val="left" w:pos="1465"/>
        </w:tabs>
        <w:spacing w:before="5"/>
        <w:ind w:left="1465"/>
        <w:rPr>
          <w:rFonts w:hint="eastAsia" w:ascii="宋体" w:hAnsi="宋体" w:eastAsia="宋体" w:cs="宋体"/>
          <w:sz w:val="24"/>
          <w:highlight w:val="none"/>
        </w:rPr>
      </w:pPr>
      <w:r>
        <w:rPr>
          <w:rFonts w:hint="eastAsia" w:ascii="宋体" w:hAnsi="宋体" w:eastAsia="宋体" w:cs="宋体"/>
          <w:sz w:val="24"/>
          <w:highlight w:val="none"/>
        </w:rPr>
        <w:t>所有施工操作工艺应符合本合同的规定以及监理人的指令；</w:t>
      </w:r>
    </w:p>
    <w:p w14:paraId="5CE8ED09">
      <w:pPr>
        <w:pStyle w:val="29"/>
        <w:numPr>
          <w:ilvl w:val="0"/>
          <w:numId w:val="13"/>
        </w:numPr>
        <w:tabs>
          <w:tab w:val="left" w:pos="1465"/>
        </w:tabs>
        <w:spacing w:before="84" w:line="307" w:lineRule="auto"/>
        <w:ind w:right="466" w:firstLine="480"/>
        <w:jc w:val="both"/>
        <w:rPr>
          <w:rFonts w:hint="eastAsia" w:ascii="宋体" w:hAnsi="宋体" w:eastAsia="宋体" w:cs="宋体"/>
          <w:sz w:val="24"/>
          <w:highlight w:val="none"/>
        </w:rPr>
      </w:pPr>
      <w:r>
        <w:rPr>
          <w:rFonts w:hint="eastAsia" w:ascii="宋体" w:hAnsi="宋体" w:eastAsia="宋体" w:cs="宋体"/>
          <w:spacing w:val="-5"/>
          <w:sz w:val="24"/>
          <w:highlight w:val="none"/>
        </w:rPr>
        <w:t>对工程质量有争议，监理人可委托独立的工程质量检测机构鉴定，所需费用及因此造成的损失，由责任方承担。双方均有责任的，由双方根据其责任大小</w:t>
      </w:r>
      <w:r>
        <w:rPr>
          <w:rFonts w:hint="eastAsia" w:ascii="宋体" w:hAnsi="宋体" w:eastAsia="宋体" w:cs="宋体"/>
          <w:spacing w:val="-4"/>
          <w:sz w:val="24"/>
          <w:highlight w:val="none"/>
        </w:rPr>
        <w:t>分别承担；</w:t>
      </w:r>
    </w:p>
    <w:p w14:paraId="00AC759E">
      <w:pPr>
        <w:pStyle w:val="29"/>
        <w:numPr>
          <w:ilvl w:val="0"/>
          <w:numId w:val="13"/>
        </w:numPr>
        <w:tabs>
          <w:tab w:val="left" w:pos="1588"/>
        </w:tabs>
        <w:spacing w:line="307" w:lineRule="auto"/>
        <w:ind w:right="465" w:firstLine="480"/>
        <w:jc w:val="both"/>
        <w:rPr>
          <w:rFonts w:hint="eastAsia" w:ascii="宋体" w:hAnsi="宋体" w:eastAsia="宋体" w:cs="宋体"/>
          <w:sz w:val="24"/>
          <w:highlight w:val="none"/>
        </w:rPr>
      </w:pPr>
      <w:r>
        <w:rPr>
          <w:rFonts w:hint="eastAsia" w:ascii="宋体" w:hAnsi="宋体" w:eastAsia="宋体" w:cs="宋体"/>
          <w:spacing w:val="-1"/>
          <w:sz w:val="24"/>
          <w:highlight w:val="none"/>
        </w:rPr>
        <w:t>承包人应合理安排施工计划，合理安排工期，尽量避免工程越冬施工。如必须越冬，要采取必要的措施，保证工程质量；所发生的费用，承包人在报价中</w:t>
      </w:r>
      <w:r>
        <w:rPr>
          <w:rFonts w:hint="eastAsia" w:ascii="宋体" w:hAnsi="宋体" w:eastAsia="宋体" w:cs="宋体"/>
          <w:sz w:val="24"/>
          <w:highlight w:val="none"/>
        </w:rPr>
        <w:t>要充分考虑，发包人不单独支付。</w:t>
      </w:r>
    </w:p>
    <w:p w14:paraId="43A5DEF4">
      <w:pPr>
        <w:pStyle w:val="29"/>
        <w:numPr>
          <w:ilvl w:val="4"/>
          <w:numId w:val="7"/>
        </w:numPr>
        <w:tabs>
          <w:tab w:val="left" w:pos="1529"/>
        </w:tabs>
        <w:spacing w:line="304"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监理人根据检查或检验结果可以拒收有缺陷或不符合合同要求的材料或</w:t>
      </w:r>
      <w:r>
        <w:rPr>
          <w:rFonts w:hint="eastAsia" w:ascii="宋体" w:hAnsi="宋体" w:eastAsia="宋体" w:cs="宋体"/>
          <w:spacing w:val="-1"/>
          <w:sz w:val="24"/>
          <w:highlight w:val="none"/>
        </w:rPr>
        <w:t>设备，并通知承包人说明拒收的理由；承包人应立即修复所述缺陷或替换被拒收材料或设备使其符合合同规定；如果监理人要求在相同条件下进行被拒收材料或设备</w:t>
      </w:r>
      <w:r>
        <w:rPr>
          <w:rFonts w:hint="eastAsia" w:ascii="宋体" w:hAnsi="宋体" w:eastAsia="宋体" w:cs="宋体"/>
          <w:sz w:val="24"/>
          <w:highlight w:val="none"/>
        </w:rPr>
        <w:t>的检验，其检验所发生的费用由承包人承担。</w:t>
      </w:r>
    </w:p>
    <w:p w14:paraId="5D1DA732">
      <w:pPr>
        <w:pStyle w:val="29"/>
        <w:numPr>
          <w:ilvl w:val="4"/>
          <w:numId w:val="7"/>
        </w:numPr>
        <w:tabs>
          <w:tab w:val="left" w:pos="1524"/>
        </w:tabs>
        <w:ind w:left="1524" w:hanging="660"/>
        <w:jc w:val="both"/>
        <w:rPr>
          <w:rFonts w:hint="eastAsia" w:ascii="宋体" w:hAnsi="宋体" w:eastAsia="宋体" w:cs="宋体"/>
          <w:sz w:val="24"/>
          <w:highlight w:val="none"/>
        </w:rPr>
      </w:pPr>
      <w:r>
        <w:rPr>
          <w:rFonts w:hint="eastAsia" w:ascii="宋体" w:hAnsi="宋体" w:eastAsia="宋体" w:cs="宋体"/>
          <w:sz w:val="24"/>
          <w:highlight w:val="none"/>
        </w:rPr>
        <w:t>监理人有权随时就下述事项发出指令：</w:t>
      </w:r>
    </w:p>
    <w:p w14:paraId="14890DF3">
      <w:pPr>
        <w:pStyle w:val="29"/>
        <w:numPr>
          <w:ilvl w:val="0"/>
          <w:numId w:val="14"/>
        </w:numPr>
        <w:tabs>
          <w:tab w:val="left" w:pos="1465"/>
        </w:tabs>
        <w:spacing w:before="81" w:line="304" w:lineRule="auto"/>
        <w:ind w:right="466" w:firstLine="480"/>
        <w:rPr>
          <w:rFonts w:hint="eastAsia" w:ascii="宋体" w:hAnsi="宋体" w:eastAsia="宋体" w:cs="宋体"/>
          <w:sz w:val="24"/>
          <w:highlight w:val="none"/>
        </w:rPr>
      </w:pPr>
      <w:r>
        <w:rPr>
          <w:rFonts w:hint="eastAsia" w:ascii="宋体" w:hAnsi="宋体" w:eastAsia="宋体" w:cs="宋体"/>
          <w:spacing w:val="-4"/>
          <w:sz w:val="24"/>
          <w:highlight w:val="none"/>
        </w:rPr>
        <w:t>责成承包人在规定的时间内，一次或分次将不符合合同规定的材料或设</w:t>
      </w:r>
      <w:r>
        <w:rPr>
          <w:rFonts w:hint="eastAsia" w:ascii="宋体" w:hAnsi="宋体" w:eastAsia="宋体" w:cs="宋体"/>
          <w:spacing w:val="-5"/>
          <w:sz w:val="24"/>
          <w:highlight w:val="none"/>
        </w:rPr>
        <w:t>备从现场运走，并用合格适用的材料或设备取代；</w:t>
      </w:r>
    </w:p>
    <w:p w14:paraId="7D01F4C7">
      <w:pPr>
        <w:pStyle w:val="10"/>
        <w:spacing w:before="5"/>
        <w:rPr>
          <w:rFonts w:hint="eastAsia" w:ascii="宋体" w:hAnsi="宋体" w:eastAsia="宋体" w:cs="宋体"/>
          <w:sz w:val="17"/>
          <w:highlight w:val="none"/>
        </w:rPr>
      </w:pPr>
      <w:r>
        <w:rPr>
          <w:rFonts w:hint="eastAsia" w:ascii="宋体" w:hAnsi="宋体" w:eastAsia="宋体" w:cs="宋体"/>
          <w:spacing w:val="-3"/>
          <w:sz w:val="24"/>
          <w:highlight w:val="none"/>
        </w:rPr>
        <w:t>不管先前是否已经检验或中期付款，如果监理人认为工程的任何部分由</w:t>
      </w:r>
      <w:r>
        <w:rPr>
          <w:rFonts w:hint="eastAsia" w:ascii="宋体" w:hAnsi="宋体" w:eastAsia="宋体" w:cs="宋体"/>
          <w:spacing w:val="-5"/>
          <w:sz w:val="24"/>
          <w:highlight w:val="none"/>
        </w:rPr>
        <w:t>于材料、设备或操作工艺或承包人设计的局部工程不符合合同规定时，由承包人将</w:t>
      </w:r>
      <w:r>
        <w:rPr>
          <w:rFonts w:hint="eastAsia" w:ascii="宋体" w:hAnsi="宋体" w:eastAsia="宋体" w:cs="宋体"/>
          <w:spacing w:val="-4"/>
          <w:sz w:val="24"/>
          <w:highlight w:val="none"/>
        </w:rPr>
        <w:t>这些工程拆除并彻底重做；</w:t>
      </w:r>
    </w:p>
    <w:p w14:paraId="1DC7E7A5">
      <w:pPr>
        <w:pStyle w:val="29"/>
        <w:numPr>
          <w:ilvl w:val="0"/>
          <w:numId w:val="14"/>
        </w:numPr>
        <w:tabs>
          <w:tab w:val="left" w:pos="1465"/>
        </w:tabs>
        <w:spacing w:before="74" w:line="304" w:lineRule="auto"/>
        <w:ind w:right="466" w:firstLine="480"/>
        <w:jc w:val="both"/>
        <w:rPr>
          <w:rFonts w:hint="eastAsia" w:ascii="宋体" w:hAnsi="宋体" w:eastAsia="宋体" w:cs="宋体"/>
          <w:sz w:val="24"/>
          <w:highlight w:val="none"/>
        </w:rPr>
      </w:pPr>
      <w:r>
        <w:rPr>
          <w:rFonts w:hint="eastAsia" w:ascii="宋体" w:hAnsi="宋体" w:eastAsia="宋体" w:cs="宋体"/>
          <w:spacing w:val="-6"/>
          <w:sz w:val="24"/>
          <w:highlight w:val="none"/>
        </w:rPr>
        <w:t>承包人使用不合格材料、工程设备，或采用不适当的施工工艺，或施工不</w:t>
      </w:r>
      <w:r>
        <w:rPr>
          <w:rFonts w:hint="eastAsia" w:ascii="宋体" w:hAnsi="宋体" w:eastAsia="宋体" w:cs="宋体"/>
          <w:spacing w:val="-1"/>
          <w:sz w:val="24"/>
          <w:highlight w:val="none"/>
        </w:rPr>
        <w:t>当，造成工程不合格的，监理人可以随时发出指示，要求承包人立即采取措施进行</w:t>
      </w:r>
      <w:r>
        <w:rPr>
          <w:rFonts w:hint="eastAsia" w:ascii="宋体" w:hAnsi="宋体" w:eastAsia="宋体" w:cs="宋体"/>
          <w:sz w:val="24"/>
          <w:highlight w:val="none"/>
        </w:rPr>
        <w:t>替换、补救或拆除重建，直至达到合同要求的质量标准，由此增加的费用和(或</w:t>
      </w:r>
      <w:r>
        <w:rPr>
          <w:rFonts w:hint="eastAsia" w:ascii="宋体" w:hAnsi="宋体" w:eastAsia="宋体" w:cs="宋体"/>
          <w:spacing w:val="4"/>
          <w:sz w:val="24"/>
          <w:highlight w:val="none"/>
        </w:rPr>
        <w:t>)</w:t>
      </w:r>
      <w:r>
        <w:rPr>
          <w:rFonts w:hint="eastAsia" w:ascii="宋体" w:hAnsi="宋体" w:eastAsia="宋体" w:cs="宋体"/>
          <w:sz w:val="24"/>
          <w:highlight w:val="none"/>
        </w:rPr>
        <w:t>工期延误由承包人承担；</w:t>
      </w:r>
    </w:p>
    <w:p w14:paraId="5BD99928">
      <w:pPr>
        <w:pStyle w:val="29"/>
        <w:numPr>
          <w:ilvl w:val="0"/>
          <w:numId w:val="14"/>
        </w:numPr>
        <w:tabs>
          <w:tab w:val="left" w:pos="1465"/>
        </w:tabs>
        <w:spacing w:before="5" w:line="307" w:lineRule="auto"/>
        <w:ind w:right="346" w:firstLine="480"/>
        <w:rPr>
          <w:rFonts w:hint="eastAsia" w:ascii="宋体" w:hAnsi="宋体" w:eastAsia="宋体" w:cs="宋体"/>
          <w:sz w:val="24"/>
          <w:highlight w:val="none"/>
        </w:rPr>
      </w:pPr>
      <w:r>
        <w:rPr>
          <w:rFonts w:hint="eastAsia" w:ascii="宋体" w:hAnsi="宋体" w:eastAsia="宋体" w:cs="宋体"/>
          <w:spacing w:val="-5"/>
          <w:sz w:val="24"/>
          <w:highlight w:val="none"/>
        </w:rPr>
        <w:t>如果承包人未在规定时间内执行监理人的指示，发包人有权雇用他人执行，由此增加的费用和</w:t>
      </w:r>
      <w:r>
        <w:rPr>
          <w:rFonts w:hint="eastAsia" w:ascii="宋体" w:hAnsi="宋体" w:eastAsia="宋体" w:cs="宋体"/>
          <w:sz w:val="24"/>
          <w:highlight w:val="none"/>
        </w:rPr>
        <w:t>(或)工期延误由承包人承担。</w:t>
      </w:r>
    </w:p>
    <w:p w14:paraId="05077260">
      <w:pPr>
        <w:pStyle w:val="29"/>
        <w:numPr>
          <w:ilvl w:val="4"/>
          <w:numId w:val="7"/>
        </w:numPr>
        <w:tabs>
          <w:tab w:val="left" w:pos="1523"/>
          <w:tab w:val="left" w:pos="1524"/>
        </w:tabs>
        <w:spacing w:line="305" w:lineRule="exact"/>
        <w:ind w:left="1524" w:hanging="660"/>
        <w:rPr>
          <w:rFonts w:hint="eastAsia" w:ascii="宋体" w:hAnsi="宋体" w:eastAsia="宋体" w:cs="宋体"/>
          <w:sz w:val="24"/>
          <w:highlight w:val="none"/>
        </w:rPr>
      </w:pPr>
      <w:r>
        <w:rPr>
          <w:rFonts w:hint="eastAsia" w:ascii="宋体" w:hAnsi="宋体" w:eastAsia="宋体" w:cs="宋体"/>
          <w:sz w:val="24"/>
          <w:highlight w:val="none"/>
        </w:rPr>
        <w:t>工程隐蔽部位覆盖前的检查</w:t>
      </w:r>
    </w:p>
    <w:p w14:paraId="69312D84">
      <w:pPr>
        <w:pStyle w:val="29"/>
        <w:numPr>
          <w:ilvl w:val="0"/>
          <w:numId w:val="15"/>
        </w:numPr>
        <w:tabs>
          <w:tab w:val="left" w:pos="1465"/>
        </w:tabs>
        <w:spacing w:before="84" w:line="307" w:lineRule="auto"/>
        <w:ind w:right="466" w:firstLine="480"/>
        <w:jc w:val="both"/>
        <w:rPr>
          <w:rFonts w:hint="eastAsia" w:ascii="宋体" w:hAnsi="宋体" w:eastAsia="宋体" w:cs="宋体"/>
          <w:sz w:val="24"/>
          <w:highlight w:val="none"/>
        </w:rPr>
      </w:pPr>
      <w:r>
        <w:rPr>
          <w:rFonts w:hint="eastAsia" w:ascii="宋体" w:hAnsi="宋体" w:eastAsia="宋体" w:cs="宋体"/>
          <w:spacing w:val="-6"/>
          <w:sz w:val="24"/>
          <w:highlight w:val="none"/>
        </w:rPr>
        <w:t>没有监理人的批准，任何隐蔽工程均不得覆盖或掩蔽。当任何一部分工</w:t>
      </w:r>
      <w:r>
        <w:rPr>
          <w:rFonts w:hint="eastAsia" w:ascii="宋体" w:hAnsi="宋体" w:eastAsia="宋体" w:cs="宋体"/>
          <w:spacing w:val="-5"/>
          <w:sz w:val="24"/>
          <w:highlight w:val="none"/>
        </w:rPr>
        <w:t>程或基础已经或即将为检查做好准备时，承包人应事先通知监理人，并约定检查的</w:t>
      </w:r>
      <w:r>
        <w:rPr>
          <w:rFonts w:hint="eastAsia" w:ascii="宋体" w:hAnsi="宋体" w:eastAsia="宋体" w:cs="宋体"/>
          <w:spacing w:val="-4"/>
          <w:sz w:val="24"/>
          <w:highlight w:val="none"/>
        </w:rPr>
        <w:t>时间，监理人则应按时派员参加上述工程或基础的检查和量测；如果监理人认为没</w:t>
      </w:r>
      <w:r>
        <w:rPr>
          <w:rFonts w:hint="eastAsia" w:ascii="宋体" w:hAnsi="宋体" w:eastAsia="宋体" w:cs="宋体"/>
          <w:spacing w:val="-6"/>
          <w:sz w:val="24"/>
          <w:highlight w:val="none"/>
        </w:rPr>
        <w:t>有必要参与检查，应就此通知承包人；如果上述约定时间后的</w:t>
      </w:r>
      <w:r>
        <w:rPr>
          <w:rFonts w:hint="eastAsia" w:ascii="宋体" w:hAnsi="宋体" w:eastAsia="宋体" w:cs="宋体"/>
          <w:sz w:val="24"/>
          <w:highlight w:val="none"/>
        </w:rPr>
        <w:t>6小时内，监理人或</w:t>
      </w:r>
      <w:r>
        <w:rPr>
          <w:rFonts w:hint="eastAsia" w:ascii="宋体" w:hAnsi="宋体" w:eastAsia="宋体" w:cs="宋体"/>
          <w:spacing w:val="-3"/>
          <w:sz w:val="24"/>
          <w:highlight w:val="none"/>
        </w:rPr>
        <w:t>其代表未能到场对上述工程或基础进行检查和量测，承包人即可自行检查，并如实</w:t>
      </w:r>
      <w:r>
        <w:rPr>
          <w:rFonts w:hint="eastAsia" w:ascii="宋体" w:hAnsi="宋体" w:eastAsia="宋体" w:cs="宋体"/>
          <w:spacing w:val="-4"/>
          <w:sz w:val="24"/>
          <w:highlight w:val="none"/>
        </w:rPr>
        <w:t>作出自检报告后覆盖或掩蔽，监理人事后应予以认可；</w:t>
      </w:r>
    </w:p>
    <w:p w14:paraId="1E6DA49D">
      <w:pPr>
        <w:pStyle w:val="29"/>
        <w:numPr>
          <w:ilvl w:val="0"/>
          <w:numId w:val="15"/>
        </w:numPr>
        <w:tabs>
          <w:tab w:val="left" w:pos="1465"/>
        </w:tabs>
        <w:spacing w:line="298" w:lineRule="exact"/>
        <w:ind w:left="1465"/>
        <w:rPr>
          <w:rFonts w:hint="eastAsia" w:ascii="宋体" w:hAnsi="宋体" w:eastAsia="宋体" w:cs="宋体"/>
          <w:sz w:val="24"/>
          <w:highlight w:val="none"/>
        </w:rPr>
      </w:pPr>
      <w:r>
        <w:rPr>
          <w:rFonts w:hint="eastAsia" w:ascii="宋体" w:hAnsi="宋体" w:eastAsia="宋体" w:cs="宋体"/>
          <w:sz w:val="24"/>
          <w:highlight w:val="none"/>
        </w:rPr>
        <w:t>重新检验</w:t>
      </w:r>
    </w:p>
    <w:p w14:paraId="7340118F">
      <w:pPr>
        <w:pStyle w:val="10"/>
        <w:spacing w:before="86" w:line="304" w:lineRule="auto"/>
        <w:ind w:left="384" w:right="465" w:firstLine="480"/>
        <w:jc w:val="both"/>
        <w:rPr>
          <w:rFonts w:hint="eastAsia" w:ascii="宋体" w:hAnsi="宋体" w:eastAsia="宋体" w:cs="宋体"/>
          <w:highlight w:val="none"/>
        </w:rPr>
      </w:pPr>
      <w:r>
        <w:rPr>
          <w:rFonts w:hint="eastAsia" w:ascii="宋体" w:hAnsi="宋体" w:eastAsia="宋体" w:cs="宋体"/>
          <w:highlight w:val="none"/>
        </w:rPr>
        <w:t>承包人应按监理人发出的指示，剥开工程的任何一部分或开孔，并负责使该部分恢复原状。检验符合合同规定，监理人在同发包人和承包人适当协商后，应确定剥开或开孔及恢复原状的费用，由发包人承担由此增加的费用和(或)工期延误，并支付承包人合理利润。如检验不符合合同规定，所发生的相关费用由承包人承担；</w:t>
      </w:r>
    </w:p>
    <w:p w14:paraId="7A21F8E3">
      <w:pPr>
        <w:pStyle w:val="29"/>
        <w:numPr>
          <w:ilvl w:val="0"/>
          <w:numId w:val="15"/>
        </w:numPr>
        <w:tabs>
          <w:tab w:val="left" w:pos="1465"/>
        </w:tabs>
        <w:spacing w:before="5" w:line="304" w:lineRule="auto"/>
        <w:ind w:right="466" w:firstLine="480"/>
        <w:rPr>
          <w:rFonts w:hint="eastAsia" w:ascii="宋体" w:hAnsi="宋体" w:eastAsia="宋体" w:cs="宋体"/>
          <w:sz w:val="24"/>
          <w:highlight w:val="none"/>
        </w:rPr>
      </w:pPr>
      <w:r>
        <w:rPr>
          <w:rFonts w:hint="eastAsia" w:ascii="宋体" w:hAnsi="宋体" w:eastAsia="宋体" w:cs="宋体"/>
          <w:spacing w:val="-3"/>
          <w:sz w:val="24"/>
          <w:highlight w:val="none"/>
        </w:rPr>
        <w:t>承包人未通知监理人到场检查，私自将工程隐蔽部位覆盖的，监理人有</w:t>
      </w:r>
      <w:r>
        <w:rPr>
          <w:rFonts w:hint="eastAsia" w:ascii="宋体" w:hAnsi="宋体" w:eastAsia="宋体" w:cs="宋体"/>
          <w:spacing w:val="-5"/>
          <w:sz w:val="24"/>
          <w:highlight w:val="none"/>
        </w:rPr>
        <w:t>权指示承包人钻孔探测或揭开检查，由此增加的费用和</w:t>
      </w:r>
      <w:r>
        <w:rPr>
          <w:rFonts w:hint="eastAsia" w:ascii="宋体" w:hAnsi="宋体" w:eastAsia="宋体" w:cs="宋体"/>
          <w:sz w:val="24"/>
          <w:highlight w:val="none"/>
        </w:rPr>
        <w:t>(或)工期延误由承包人承担。</w:t>
      </w:r>
    </w:p>
    <w:p w14:paraId="5E42651E">
      <w:pPr>
        <w:pStyle w:val="10"/>
        <w:spacing w:before="174"/>
        <w:ind w:left="583"/>
        <w:rPr>
          <w:rFonts w:hint="eastAsia" w:ascii="宋体" w:hAnsi="宋体" w:eastAsia="宋体" w:cs="宋体"/>
          <w:highlight w:val="none"/>
        </w:rPr>
      </w:pPr>
      <w:r>
        <w:rPr>
          <w:rFonts w:hint="eastAsia" w:ascii="宋体" w:hAnsi="宋体" w:eastAsia="宋体" w:cs="宋体"/>
          <w:highlight w:val="none"/>
        </w:rPr>
        <w:t>五、施工安全、治安保卫与环境保护</w:t>
      </w:r>
    </w:p>
    <w:p w14:paraId="6A387868">
      <w:pPr>
        <w:pStyle w:val="10"/>
        <w:rPr>
          <w:rFonts w:hint="eastAsia" w:ascii="宋体" w:hAnsi="宋体" w:eastAsia="宋体" w:cs="宋体"/>
          <w:sz w:val="20"/>
          <w:highlight w:val="none"/>
        </w:rPr>
      </w:pPr>
    </w:p>
    <w:p w14:paraId="08B62252">
      <w:pPr>
        <w:pStyle w:val="29"/>
        <w:numPr>
          <w:ilvl w:val="3"/>
          <w:numId w:val="7"/>
        </w:numPr>
        <w:tabs>
          <w:tab w:val="left" w:pos="1125"/>
        </w:tabs>
        <w:ind w:left="1124" w:hanging="302"/>
        <w:jc w:val="left"/>
        <w:rPr>
          <w:rFonts w:hint="eastAsia" w:ascii="宋体" w:hAnsi="宋体" w:eastAsia="宋体" w:cs="宋体"/>
          <w:sz w:val="24"/>
          <w:highlight w:val="none"/>
        </w:rPr>
      </w:pPr>
      <w:r>
        <w:rPr>
          <w:rFonts w:hint="eastAsia" w:ascii="宋体" w:hAnsi="宋体" w:eastAsia="宋体" w:cs="宋体"/>
          <w:sz w:val="24"/>
          <w:highlight w:val="none"/>
        </w:rPr>
        <w:t>施工安全、治安保卫</w:t>
      </w:r>
    </w:p>
    <w:p w14:paraId="77CF1DB0">
      <w:pPr>
        <w:pStyle w:val="10"/>
        <w:spacing w:before="5"/>
        <w:rPr>
          <w:rFonts w:hint="eastAsia" w:ascii="宋体" w:hAnsi="宋体" w:eastAsia="宋体" w:cs="宋体"/>
          <w:sz w:val="20"/>
          <w:highlight w:val="none"/>
        </w:rPr>
      </w:pPr>
    </w:p>
    <w:p w14:paraId="12D0600C">
      <w:pPr>
        <w:pStyle w:val="29"/>
        <w:numPr>
          <w:ilvl w:val="4"/>
          <w:numId w:val="7"/>
        </w:numPr>
        <w:tabs>
          <w:tab w:val="left" w:pos="1404"/>
        </w:tabs>
        <w:rPr>
          <w:rFonts w:hint="eastAsia" w:ascii="宋体" w:hAnsi="宋体" w:eastAsia="宋体" w:cs="宋体"/>
          <w:sz w:val="24"/>
          <w:highlight w:val="none"/>
        </w:rPr>
      </w:pPr>
      <w:r>
        <w:rPr>
          <w:rFonts w:hint="eastAsia" w:ascii="宋体" w:hAnsi="宋体" w:eastAsia="宋体" w:cs="宋体"/>
          <w:sz w:val="24"/>
          <w:highlight w:val="none"/>
        </w:rPr>
        <w:t>发包人的施工安全责任</w:t>
      </w:r>
    </w:p>
    <w:p w14:paraId="5648B5FC">
      <w:pPr>
        <w:pStyle w:val="29"/>
        <w:numPr>
          <w:ilvl w:val="0"/>
          <w:numId w:val="16"/>
        </w:numPr>
        <w:tabs>
          <w:tab w:val="left" w:pos="1465"/>
        </w:tabs>
        <w:spacing w:before="84" w:line="307" w:lineRule="auto"/>
        <w:ind w:right="466" w:firstLine="480"/>
        <w:rPr>
          <w:rFonts w:hint="eastAsia" w:ascii="宋体" w:hAnsi="宋体" w:eastAsia="宋体" w:cs="宋体"/>
          <w:sz w:val="24"/>
          <w:highlight w:val="none"/>
        </w:rPr>
      </w:pPr>
      <w:r>
        <w:rPr>
          <w:rFonts w:hint="eastAsia" w:ascii="宋体" w:hAnsi="宋体" w:eastAsia="宋体" w:cs="宋体"/>
          <w:spacing w:val="-3"/>
          <w:sz w:val="24"/>
          <w:highlight w:val="none"/>
        </w:rPr>
        <w:t>发包人应按合同约定履行安全职责，授权监理人按合同约定的安全工作</w:t>
      </w:r>
      <w:r>
        <w:rPr>
          <w:rFonts w:hint="eastAsia" w:ascii="宋体" w:hAnsi="宋体" w:eastAsia="宋体" w:cs="宋体"/>
          <w:spacing w:val="-5"/>
          <w:sz w:val="24"/>
          <w:highlight w:val="none"/>
        </w:rPr>
        <w:t>内容监督、检查承包人安全工作的实施，组织承包人和有关单位进行安全检查；</w:t>
      </w:r>
    </w:p>
    <w:p w14:paraId="59EA8263">
      <w:pPr>
        <w:pStyle w:val="29"/>
        <w:numPr>
          <w:ilvl w:val="0"/>
          <w:numId w:val="16"/>
        </w:numPr>
        <w:tabs>
          <w:tab w:val="left" w:pos="1465"/>
        </w:tabs>
        <w:spacing w:line="304" w:lineRule="auto"/>
        <w:ind w:right="466" w:firstLine="480"/>
        <w:rPr>
          <w:rFonts w:hint="eastAsia" w:ascii="宋体" w:hAnsi="宋体" w:eastAsia="宋体" w:cs="宋体"/>
          <w:sz w:val="24"/>
          <w:highlight w:val="none"/>
        </w:rPr>
      </w:pPr>
      <w:r>
        <w:rPr>
          <w:rFonts w:hint="eastAsia" w:ascii="宋体" w:hAnsi="宋体" w:eastAsia="宋体" w:cs="宋体"/>
          <w:spacing w:val="-2"/>
          <w:sz w:val="24"/>
          <w:highlight w:val="none"/>
        </w:rPr>
        <w:t>发包人应对其现场机构雇佣的全部人员的工伤事故承担责任，但由于承</w:t>
      </w:r>
      <w:r>
        <w:rPr>
          <w:rFonts w:hint="eastAsia" w:ascii="宋体" w:hAnsi="宋体" w:eastAsia="宋体" w:cs="宋体"/>
          <w:spacing w:val="-5"/>
          <w:sz w:val="24"/>
          <w:highlight w:val="none"/>
        </w:rPr>
        <w:t>包人原因造成发包人人员工伤的，应由承包人承担责任；</w:t>
      </w:r>
    </w:p>
    <w:p w14:paraId="6C39843B">
      <w:pPr>
        <w:pStyle w:val="29"/>
        <w:numPr>
          <w:ilvl w:val="0"/>
          <w:numId w:val="16"/>
        </w:numPr>
        <w:tabs>
          <w:tab w:val="left" w:pos="1465"/>
        </w:tabs>
        <w:spacing w:before="1" w:line="304" w:lineRule="auto"/>
        <w:ind w:left="864" w:right="862" w:firstLine="0"/>
        <w:rPr>
          <w:rFonts w:hint="eastAsia" w:ascii="宋体" w:hAnsi="宋体" w:eastAsia="宋体" w:cs="宋体"/>
          <w:sz w:val="24"/>
          <w:highlight w:val="none"/>
        </w:rPr>
      </w:pPr>
      <w:r>
        <w:rPr>
          <w:rFonts w:hint="eastAsia" w:ascii="宋体" w:hAnsi="宋体" w:eastAsia="宋体" w:cs="宋体"/>
          <w:spacing w:val="-1"/>
          <w:sz w:val="24"/>
          <w:highlight w:val="none"/>
        </w:rPr>
        <w:t xml:space="preserve">发包人应负责赔偿以下各种情况造成的第三者人身伤亡和财产损失： </w:t>
      </w:r>
      <w:r>
        <w:rPr>
          <w:rFonts w:hint="eastAsia" w:ascii="宋体" w:hAnsi="宋体" w:eastAsia="宋体" w:cs="宋体"/>
          <w:sz w:val="24"/>
          <w:highlight w:val="none"/>
        </w:rPr>
        <w:t>工程或工程的任何部分对土地的占用所造成的第三者财产损失；</w:t>
      </w:r>
    </w:p>
    <w:p w14:paraId="2C296727">
      <w:pPr>
        <w:pStyle w:val="10"/>
        <w:spacing w:before="2"/>
        <w:ind w:left="864"/>
        <w:rPr>
          <w:rFonts w:hint="eastAsia" w:ascii="宋体" w:hAnsi="宋体" w:eastAsia="宋体" w:cs="宋体"/>
          <w:highlight w:val="none"/>
        </w:rPr>
      </w:pPr>
      <w:r>
        <w:rPr>
          <w:rFonts w:hint="eastAsia" w:ascii="宋体" w:hAnsi="宋体" w:eastAsia="宋体" w:cs="宋体"/>
          <w:highlight w:val="none"/>
        </w:rPr>
        <w:t>由于发包人原因在施工场地及其毗邻地带造成的第三者人身伤亡和财产损失。</w:t>
      </w:r>
    </w:p>
    <w:p w14:paraId="13854161">
      <w:pPr>
        <w:pStyle w:val="10"/>
        <w:spacing w:before="5"/>
        <w:rPr>
          <w:rFonts w:hint="eastAsia" w:ascii="宋体" w:hAnsi="宋体" w:eastAsia="宋体" w:cs="宋体"/>
          <w:sz w:val="17"/>
          <w:highlight w:val="none"/>
        </w:rPr>
      </w:pPr>
      <w:r>
        <w:rPr>
          <w:rFonts w:hint="eastAsia" w:ascii="宋体" w:hAnsi="宋体" w:eastAsia="宋体" w:cs="宋体"/>
          <w:sz w:val="24"/>
          <w:highlight w:val="none"/>
        </w:rPr>
        <w:t xml:space="preserve">承包人应遵守工程建设安全生产有关规定，采取有效的安全防护措施， </w:t>
      </w:r>
      <w:r>
        <w:rPr>
          <w:rFonts w:hint="eastAsia" w:ascii="宋体" w:hAnsi="宋体" w:eastAsia="宋体" w:cs="宋体"/>
          <w:spacing w:val="-1"/>
          <w:sz w:val="24"/>
          <w:highlight w:val="none"/>
        </w:rPr>
        <w:t>消除事故隐患，确保所有在现场工作人员及机械设备的安全。由于承包人安全措施</w:t>
      </w:r>
      <w:r>
        <w:rPr>
          <w:rFonts w:hint="eastAsia" w:ascii="宋体" w:hAnsi="宋体" w:eastAsia="宋体" w:cs="宋体"/>
          <w:sz w:val="24"/>
          <w:highlight w:val="none"/>
        </w:rPr>
        <w:t>不力造成事故的责任和由此发生的费用，由承包人承担。承包人还应该：</w:t>
      </w:r>
    </w:p>
    <w:p w14:paraId="6A76E699">
      <w:pPr>
        <w:pStyle w:val="29"/>
        <w:numPr>
          <w:ilvl w:val="0"/>
          <w:numId w:val="17"/>
        </w:numPr>
        <w:tabs>
          <w:tab w:val="left" w:pos="1465"/>
        </w:tabs>
        <w:spacing w:before="74" w:line="304" w:lineRule="auto"/>
        <w:ind w:right="466" w:firstLine="480"/>
        <w:rPr>
          <w:rFonts w:hint="eastAsia" w:ascii="宋体" w:hAnsi="宋体" w:eastAsia="宋体" w:cs="宋体"/>
          <w:sz w:val="24"/>
          <w:highlight w:val="none"/>
        </w:rPr>
      </w:pPr>
      <w:r>
        <w:rPr>
          <w:rFonts w:hint="eastAsia" w:ascii="宋体" w:hAnsi="宋体" w:eastAsia="宋体" w:cs="宋体"/>
          <w:spacing w:val="-5"/>
          <w:sz w:val="24"/>
          <w:highlight w:val="none"/>
        </w:rPr>
        <w:t>专职安全员的配备按《公路水运工程安全生产监督管理办法》</w:t>
      </w:r>
      <w:r>
        <w:rPr>
          <w:rFonts w:hint="eastAsia" w:ascii="宋体" w:hAnsi="宋体" w:eastAsia="宋体" w:cs="宋体"/>
          <w:sz w:val="24"/>
          <w:highlight w:val="none"/>
        </w:rPr>
        <w:t>（</w:t>
      </w:r>
      <w:r>
        <w:rPr>
          <w:rFonts w:hint="eastAsia" w:ascii="宋体" w:hAnsi="宋体" w:eastAsia="宋体" w:cs="宋体"/>
          <w:spacing w:val="-4"/>
          <w:sz w:val="24"/>
          <w:highlight w:val="none"/>
        </w:rPr>
        <w:t>交通运输</w:t>
      </w:r>
      <w:r>
        <w:rPr>
          <w:rFonts w:hint="eastAsia" w:ascii="宋体" w:hAnsi="宋体" w:eastAsia="宋体" w:cs="宋体"/>
          <w:spacing w:val="-20"/>
          <w:sz w:val="24"/>
          <w:highlight w:val="none"/>
        </w:rPr>
        <w:t xml:space="preserve">部令 </w:t>
      </w:r>
      <w:r>
        <w:rPr>
          <w:rFonts w:hint="eastAsia" w:ascii="宋体" w:hAnsi="宋体" w:eastAsia="宋体" w:cs="宋体"/>
          <w:sz w:val="24"/>
          <w:highlight w:val="none"/>
        </w:rPr>
        <w:t xml:space="preserve">2017 </w:t>
      </w:r>
      <w:r>
        <w:rPr>
          <w:rFonts w:hint="eastAsia" w:ascii="宋体" w:hAnsi="宋体" w:eastAsia="宋体" w:cs="宋体"/>
          <w:spacing w:val="-20"/>
          <w:sz w:val="24"/>
          <w:highlight w:val="none"/>
        </w:rPr>
        <w:t xml:space="preserve">年第 </w:t>
      </w:r>
      <w:r>
        <w:rPr>
          <w:rFonts w:hint="eastAsia" w:ascii="宋体" w:hAnsi="宋体" w:eastAsia="宋体" w:cs="宋体"/>
          <w:sz w:val="24"/>
          <w:highlight w:val="none"/>
        </w:rPr>
        <w:t>25 号）的规定执行；</w:t>
      </w:r>
    </w:p>
    <w:p w14:paraId="6064E1FD">
      <w:pPr>
        <w:pStyle w:val="29"/>
        <w:numPr>
          <w:ilvl w:val="0"/>
          <w:numId w:val="17"/>
        </w:numPr>
        <w:tabs>
          <w:tab w:val="left" w:pos="1465"/>
        </w:tabs>
        <w:spacing w:before="4" w:line="304" w:lineRule="auto"/>
        <w:ind w:right="466" w:firstLine="480"/>
        <w:rPr>
          <w:rFonts w:hint="eastAsia" w:ascii="宋体" w:hAnsi="宋体" w:eastAsia="宋体" w:cs="宋体"/>
          <w:sz w:val="24"/>
          <w:highlight w:val="none"/>
        </w:rPr>
      </w:pPr>
      <w:r>
        <w:rPr>
          <w:rFonts w:hint="eastAsia" w:ascii="宋体" w:hAnsi="宋体" w:eastAsia="宋体" w:cs="宋体"/>
          <w:sz w:val="24"/>
          <w:highlight w:val="none"/>
        </w:rPr>
        <w:t>特殊工种(</w:t>
      </w:r>
      <w:r>
        <w:rPr>
          <w:rFonts w:hint="eastAsia" w:ascii="宋体" w:hAnsi="宋体" w:eastAsia="宋体" w:cs="宋体"/>
          <w:spacing w:val="-2"/>
          <w:sz w:val="24"/>
          <w:highlight w:val="none"/>
        </w:rPr>
        <w:t>电工、电梯工、起重工、电焊工、车船驾驶员、爆破工等</w:t>
      </w:r>
      <w:r>
        <w:rPr>
          <w:rFonts w:hint="eastAsia" w:ascii="宋体" w:hAnsi="宋体" w:eastAsia="宋体" w:cs="宋体"/>
          <w:sz w:val="24"/>
          <w:highlight w:val="none"/>
        </w:rPr>
        <w:t>)</w:t>
      </w:r>
      <w:r>
        <w:rPr>
          <w:rFonts w:hint="eastAsia" w:ascii="宋体" w:hAnsi="宋体" w:eastAsia="宋体" w:cs="宋体"/>
          <w:spacing w:val="-9"/>
          <w:sz w:val="24"/>
          <w:highlight w:val="none"/>
        </w:rPr>
        <w:t>要经</w:t>
      </w:r>
      <w:r>
        <w:rPr>
          <w:rFonts w:hint="eastAsia" w:ascii="宋体" w:hAnsi="宋体" w:eastAsia="宋体" w:cs="宋体"/>
          <w:sz w:val="24"/>
          <w:highlight w:val="none"/>
        </w:rPr>
        <w:t>专业培训，并持有专业主管部门签发的合格证上岗；</w:t>
      </w:r>
    </w:p>
    <w:p w14:paraId="0D016402">
      <w:pPr>
        <w:pStyle w:val="29"/>
        <w:numPr>
          <w:ilvl w:val="0"/>
          <w:numId w:val="17"/>
        </w:numPr>
        <w:tabs>
          <w:tab w:val="left" w:pos="1465"/>
        </w:tabs>
        <w:spacing w:line="297" w:lineRule="auto"/>
        <w:ind w:right="466" w:firstLine="480"/>
        <w:jc w:val="both"/>
        <w:rPr>
          <w:rFonts w:hint="eastAsia" w:ascii="宋体" w:hAnsi="宋体" w:eastAsia="宋体" w:cs="宋体"/>
          <w:sz w:val="24"/>
          <w:highlight w:val="none"/>
        </w:rPr>
      </w:pPr>
      <w:r>
        <w:rPr>
          <w:rFonts w:hint="eastAsia" w:ascii="宋体" w:hAnsi="宋体" w:eastAsia="宋体" w:cs="宋体"/>
          <w:spacing w:val="-4"/>
          <w:sz w:val="24"/>
          <w:highlight w:val="none"/>
        </w:rPr>
        <w:t>对于易燃易爆材料的运输、保管必须符合当地安全部门的有关规定，除</w:t>
      </w:r>
      <w:r>
        <w:rPr>
          <w:rFonts w:hint="eastAsia" w:ascii="宋体" w:hAnsi="宋体" w:eastAsia="宋体" w:cs="宋体"/>
          <w:spacing w:val="-5"/>
          <w:sz w:val="24"/>
          <w:highlight w:val="none"/>
        </w:rPr>
        <w:t>应专门妥善保管外，并应配有足够的消防设备，所有施工人员都应熟悉消防设备的</w:t>
      </w:r>
      <w:r>
        <w:rPr>
          <w:rFonts w:hint="eastAsia" w:ascii="宋体" w:hAnsi="宋体" w:eastAsia="宋体" w:cs="宋体"/>
          <w:spacing w:val="-4"/>
          <w:sz w:val="24"/>
          <w:highlight w:val="none"/>
        </w:rPr>
        <w:t>性能和使用方法；</w:t>
      </w:r>
    </w:p>
    <w:p w14:paraId="27C16600">
      <w:pPr>
        <w:pStyle w:val="29"/>
        <w:numPr>
          <w:ilvl w:val="0"/>
          <w:numId w:val="17"/>
        </w:numPr>
        <w:tabs>
          <w:tab w:val="left" w:pos="1465"/>
        </w:tabs>
        <w:spacing w:line="297" w:lineRule="auto"/>
        <w:ind w:right="466" w:firstLine="480"/>
        <w:jc w:val="both"/>
        <w:rPr>
          <w:rFonts w:hint="eastAsia" w:ascii="宋体" w:hAnsi="宋体" w:eastAsia="宋体" w:cs="宋体"/>
          <w:sz w:val="24"/>
          <w:highlight w:val="none"/>
        </w:rPr>
      </w:pPr>
      <w:r>
        <w:rPr>
          <w:rFonts w:hint="eastAsia" w:ascii="宋体" w:hAnsi="宋体" w:eastAsia="宋体" w:cs="宋体"/>
          <w:sz w:val="24"/>
          <w:highlight w:val="none"/>
        </w:rPr>
        <w:t>承包人应严格按照国家安全标准关于公路工程施工安全技术规范制定的</w:t>
      </w:r>
      <w:r>
        <w:rPr>
          <w:rFonts w:hint="eastAsia" w:ascii="宋体" w:hAnsi="宋体" w:eastAsia="宋体" w:cs="宋体"/>
          <w:spacing w:val="-5"/>
          <w:sz w:val="24"/>
          <w:highlight w:val="none"/>
        </w:rPr>
        <w:t>施工安全操作规程，配备必要的安全生产和劳动保护设施，加强对承包人人员的安</w:t>
      </w:r>
      <w:r>
        <w:rPr>
          <w:rFonts w:hint="eastAsia" w:ascii="宋体" w:hAnsi="宋体" w:eastAsia="宋体" w:cs="宋体"/>
          <w:spacing w:val="-4"/>
          <w:sz w:val="24"/>
          <w:highlight w:val="none"/>
        </w:rPr>
        <w:t>全教育，并发放安全工作手册和劳动保护用具。由于承包人原因在施工场地内及其毗邻地带造成的第三者人员伤亡和财产损失，由承包人负责赔偿；</w:t>
      </w:r>
    </w:p>
    <w:p w14:paraId="66DBA8E8">
      <w:pPr>
        <w:pStyle w:val="29"/>
        <w:numPr>
          <w:ilvl w:val="0"/>
          <w:numId w:val="17"/>
        </w:numPr>
        <w:tabs>
          <w:tab w:val="left" w:pos="1465"/>
        </w:tabs>
        <w:spacing w:line="297" w:lineRule="auto"/>
        <w:ind w:right="466" w:firstLine="480"/>
        <w:rPr>
          <w:rFonts w:hint="eastAsia" w:ascii="宋体" w:hAnsi="宋体" w:eastAsia="宋体" w:cs="宋体"/>
          <w:sz w:val="24"/>
          <w:highlight w:val="none"/>
        </w:rPr>
      </w:pPr>
      <w:r>
        <w:rPr>
          <w:rFonts w:hint="eastAsia" w:ascii="宋体" w:hAnsi="宋体" w:eastAsia="宋体" w:cs="宋体"/>
          <w:spacing w:val="-2"/>
          <w:sz w:val="24"/>
          <w:highlight w:val="none"/>
        </w:rPr>
        <w:t>所有施工机具设备和高空作业的设备均应定期检查，并有安全员的签字</w:t>
      </w:r>
      <w:r>
        <w:rPr>
          <w:rFonts w:hint="eastAsia" w:ascii="宋体" w:hAnsi="宋体" w:eastAsia="宋体" w:cs="宋体"/>
          <w:spacing w:val="-7"/>
          <w:sz w:val="24"/>
          <w:highlight w:val="none"/>
        </w:rPr>
        <w:t>记录。</w:t>
      </w:r>
    </w:p>
    <w:p w14:paraId="573801E1">
      <w:pPr>
        <w:pStyle w:val="29"/>
        <w:numPr>
          <w:ilvl w:val="0"/>
          <w:numId w:val="17"/>
        </w:numPr>
        <w:tabs>
          <w:tab w:val="left" w:pos="1465"/>
        </w:tabs>
        <w:spacing w:before="1" w:line="297" w:lineRule="auto"/>
        <w:ind w:right="346" w:firstLine="480"/>
        <w:rPr>
          <w:rFonts w:hint="eastAsia" w:ascii="宋体" w:hAnsi="宋体" w:eastAsia="宋体" w:cs="宋体"/>
          <w:sz w:val="24"/>
          <w:highlight w:val="none"/>
        </w:rPr>
      </w:pPr>
      <w:r>
        <w:rPr>
          <w:rFonts w:hint="eastAsia" w:ascii="宋体" w:hAnsi="宋体" w:eastAsia="宋体" w:cs="宋体"/>
          <w:spacing w:val="-4"/>
          <w:sz w:val="24"/>
          <w:highlight w:val="none"/>
        </w:rPr>
        <w:t>除项目专用合同条款另有约定外，安全生产费用应为投标价</w:t>
      </w:r>
      <w:r>
        <w:rPr>
          <w:rFonts w:hint="eastAsia" w:ascii="宋体" w:hAnsi="宋体" w:eastAsia="宋体" w:cs="宋体"/>
          <w:sz w:val="24"/>
          <w:highlight w:val="none"/>
        </w:rPr>
        <w:t>（不含安全生</w:t>
      </w:r>
      <w:r>
        <w:rPr>
          <w:rFonts w:hint="eastAsia" w:ascii="宋体" w:hAnsi="宋体" w:eastAsia="宋体" w:cs="宋体"/>
          <w:spacing w:val="2"/>
          <w:sz w:val="24"/>
          <w:highlight w:val="none"/>
        </w:rPr>
        <w:t>产费</w:t>
      </w:r>
      <w:r>
        <w:rPr>
          <w:rFonts w:hint="eastAsia" w:ascii="宋体" w:hAnsi="宋体" w:eastAsia="宋体" w:cs="宋体"/>
          <w:spacing w:val="4"/>
          <w:sz w:val="24"/>
          <w:highlight w:val="none"/>
        </w:rPr>
        <w:t>）</w:t>
      </w:r>
      <w:r>
        <w:rPr>
          <w:rFonts w:hint="eastAsia" w:ascii="宋体" w:hAnsi="宋体" w:eastAsia="宋体" w:cs="宋体"/>
          <w:spacing w:val="-25"/>
          <w:sz w:val="24"/>
          <w:highlight w:val="none"/>
        </w:rPr>
        <w:t>的</w:t>
      </w:r>
      <w:r>
        <w:rPr>
          <w:rFonts w:hint="eastAsia" w:ascii="宋体" w:hAnsi="宋体" w:eastAsia="宋体" w:cs="宋体"/>
          <w:sz w:val="24"/>
          <w:highlight w:val="none"/>
        </w:rPr>
        <w:t>1.5%（</w:t>
      </w:r>
      <w:r>
        <w:rPr>
          <w:rFonts w:hint="eastAsia" w:ascii="宋体" w:hAnsi="宋体" w:eastAsia="宋体" w:cs="宋体"/>
          <w:spacing w:val="-3"/>
          <w:sz w:val="24"/>
          <w:highlight w:val="none"/>
        </w:rPr>
        <w:t>若发包人公布了最高投标限价时，按最高投标限价的</w:t>
      </w:r>
      <w:r>
        <w:rPr>
          <w:rFonts w:hint="eastAsia" w:ascii="宋体" w:hAnsi="宋体" w:eastAsia="宋体" w:cs="宋体"/>
          <w:sz w:val="24"/>
          <w:highlight w:val="none"/>
        </w:rPr>
        <w:t>1.5%</w:t>
      </w:r>
      <w:r>
        <w:rPr>
          <w:rFonts w:hint="eastAsia" w:ascii="宋体" w:hAnsi="宋体" w:eastAsia="宋体" w:cs="宋体"/>
          <w:spacing w:val="4"/>
          <w:sz w:val="24"/>
          <w:highlight w:val="none"/>
        </w:rPr>
        <w:t>计</w:t>
      </w:r>
      <w:r>
        <w:rPr>
          <w:rFonts w:hint="eastAsia" w:ascii="宋体" w:hAnsi="宋体" w:eastAsia="宋体" w:cs="宋体"/>
          <w:sz w:val="24"/>
          <w:highlight w:val="none"/>
        </w:rPr>
        <w:t>）。</w:t>
      </w:r>
      <w:r>
        <w:rPr>
          <w:rFonts w:hint="eastAsia" w:ascii="宋体" w:hAnsi="宋体" w:eastAsia="宋体" w:cs="宋体"/>
          <w:spacing w:val="-5"/>
          <w:sz w:val="24"/>
          <w:highlight w:val="none"/>
        </w:rPr>
        <w:t>安全生产费用应用于施工安全防护用具及设施的采购和更新、安全施工措施的落实、</w:t>
      </w:r>
      <w:r>
        <w:rPr>
          <w:rFonts w:hint="eastAsia" w:ascii="宋体" w:hAnsi="宋体" w:eastAsia="宋体" w:cs="宋体"/>
          <w:sz w:val="24"/>
          <w:highlight w:val="none"/>
        </w:rPr>
        <w:t>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商定或确定。</w:t>
      </w:r>
    </w:p>
    <w:p w14:paraId="41644D0A">
      <w:pPr>
        <w:pStyle w:val="29"/>
        <w:numPr>
          <w:ilvl w:val="4"/>
          <w:numId w:val="7"/>
        </w:numPr>
        <w:tabs>
          <w:tab w:val="left" w:pos="1529"/>
        </w:tabs>
        <w:spacing w:before="5" w:line="297"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 xml:space="preserve">为了保护本合同工程免遭破坏或为了现场附近过往人群的安全、方便， </w:t>
      </w:r>
      <w:r>
        <w:rPr>
          <w:rFonts w:hint="eastAsia" w:ascii="宋体" w:hAnsi="宋体" w:eastAsia="宋体" w:cs="宋体"/>
          <w:spacing w:val="-1"/>
          <w:sz w:val="24"/>
          <w:highlight w:val="none"/>
        </w:rPr>
        <w:t>在确有必要的时间和地方，当监理人或有关主管部门要求时，应自费提供照明、警卫、护栅、警告标志等安全防护措施。发包人或监理人不得以任何理由要求承包人违反安全管理的规定进行施工，由此导致的安全事故，由发包人承担相应责任及发</w:t>
      </w:r>
      <w:r>
        <w:rPr>
          <w:rFonts w:hint="eastAsia" w:ascii="宋体" w:hAnsi="宋体" w:eastAsia="宋体" w:cs="宋体"/>
          <w:sz w:val="24"/>
          <w:highlight w:val="none"/>
        </w:rPr>
        <w:t>生的费用。</w:t>
      </w:r>
    </w:p>
    <w:p w14:paraId="37731FA7">
      <w:pPr>
        <w:pStyle w:val="29"/>
        <w:numPr>
          <w:ilvl w:val="4"/>
          <w:numId w:val="7"/>
        </w:numPr>
        <w:tabs>
          <w:tab w:val="left" w:pos="1529"/>
        </w:tabs>
        <w:spacing w:before="4" w:line="297"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承包人应按监理人的指示制定应对灾害的紧急预案，报送监理人审批。</w:t>
      </w:r>
      <w:r>
        <w:rPr>
          <w:rFonts w:hint="eastAsia" w:ascii="宋体" w:hAnsi="宋体" w:eastAsia="宋体" w:cs="宋体"/>
          <w:spacing w:val="-1"/>
          <w:sz w:val="24"/>
          <w:highlight w:val="none"/>
        </w:rPr>
        <w:t>承包人还应按预案做好安全检查，配置必要的救助物资和器材，切实保护好有关人</w:t>
      </w:r>
      <w:r>
        <w:rPr>
          <w:rFonts w:hint="eastAsia" w:ascii="宋体" w:hAnsi="宋体" w:eastAsia="宋体" w:cs="宋体"/>
          <w:sz w:val="24"/>
          <w:highlight w:val="none"/>
        </w:rPr>
        <w:t>员的人身和财产安全。</w:t>
      </w:r>
    </w:p>
    <w:p w14:paraId="0133DB7F">
      <w:pPr>
        <w:pStyle w:val="29"/>
        <w:numPr>
          <w:ilvl w:val="4"/>
          <w:numId w:val="7"/>
        </w:numPr>
        <w:tabs>
          <w:tab w:val="left" w:pos="1529"/>
        </w:tabs>
        <w:spacing w:before="1" w:line="297" w:lineRule="auto"/>
        <w:ind w:left="384" w:right="467" w:firstLine="480"/>
        <w:jc w:val="both"/>
        <w:rPr>
          <w:rFonts w:hint="eastAsia" w:ascii="宋体" w:hAnsi="宋体" w:eastAsia="宋体" w:cs="宋体"/>
          <w:sz w:val="24"/>
          <w:highlight w:val="none"/>
        </w:rPr>
      </w:pPr>
      <w:r>
        <w:rPr>
          <w:rFonts w:hint="eastAsia" w:ascii="宋体" w:hAnsi="宋体" w:eastAsia="宋体" w:cs="宋体"/>
          <w:sz w:val="24"/>
          <w:highlight w:val="none"/>
        </w:rPr>
        <w:t>合同约定的安全作业环境及安全施工措施所需费用应遵守有关规定，并包括在相关工作的合同价格中。</w:t>
      </w:r>
    </w:p>
    <w:p w14:paraId="32AAF4D5">
      <w:pPr>
        <w:pStyle w:val="29"/>
        <w:numPr>
          <w:ilvl w:val="4"/>
          <w:numId w:val="7"/>
        </w:numPr>
        <w:tabs>
          <w:tab w:val="left" w:pos="1529"/>
        </w:tabs>
        <w:spacing w:line="300" w:lineRule="auto"/>
        <w:ind w:left="384" w:right="467" w:firstLine="480"/>
        <w:jc w:val="both"/>
        <w:rPr>
          <w:rFonts w:hint="eastAsia" w:ascii="宋体" w:hAnsi="宋体" w:eastAsia="宋体" w:cs="宋体"/>
          <w:sz w:val="24"/>
          <w:highlight w:val="none"/>
        </w:rPr>
      </w:pPr>
      <w:r>
        <w:rPr>
          <w:rFonts w:hint="eastAsia" w:ascii="宋体" w:hAnsi="宋体" w:eastAsia="宋体" w:cs="宋体"/>
          <w:sz w:val="24"/>
          <w:highlight w:val="none"/>
        </w:rPr>
        <w:t>承包人应充分关注和保障所有在现场工作的人员安全，采取有效措施， 使现场和本合同工程的实施保持有条不紊，以免使上述人员的安全受到威胁。</w:t>
      </w:r>
    </w:p>
    <w:p w14:paraId="0DA65AB5">
      <w:pPr>
        <w:pStyle w:val="10"/>
        <w:spacing w:before="5"/>
        <w:rPr>
          <w:rFonts w:hint="eastAsia" w:ascii="宋体" w:hAnsi="宋体" w:eastAsia="宋体" w:cs="宋体"/>
          <w:highlight w:val="none"/>
        </w:rPr>
      </w:pPr>
      <w:r>
        <w:rPr>
          <w:rFonts w:hint="eastAsia" w:ascii="宋体" w:hAnsi="宋体" w:eastAsia="宋体" w:cs="宋体"/>
          <w:sz w:val="24"/>
          <w:highlight w:val="none"/>
        </w:rPr>
        <w:t>在整个施工过程中对承包人采取的施工安全措施，发包人和监理人有权</w:t>
      </w:r>
      <w:r>
        <w:rPr>
          <w:rFonts w:hint="eastAsia" w:ascii="宋体" w:hAnsi="宋体" w:eastAsia="宋体" w:cs="宋体"/>
          <w:spacing w:val="-1"/>
          <w:sz w:val="24"/>
          <w:highlight w:val="none"/>
        </w:rPr>
        <w:t>监督，并向承包人提出整改要求。如果由于承包人未能对其负责的上述事项采取各</w:t>
      </w:r>
      <w:r>
        <w:rPr>
          <w:rFonts w:hint="eastAsia" w:ascii="宋体" w:hAnsi="宋体" w:eastAsia="宋体" w:cs="宋体"/>
          <w:highlight w:val="none"/>
        </w:rPr>
        <w:t>种必要的措施而导致或发生与此有关的人身伤亡、罚款、索赔、损失补偿、诉讼费用及其他一切责任应由承包人负责。</w:t>
      </w:r>
    </w:p>
    <w:p w14:paraId="18A30A5B">
      <w:pPr>
        <w:pStyle w:val="29"/>
        <w:numPr>
          <w:ilvl w:val="4"/>
          <w:numId w:val="7"/>
        </w:numPr>
        <w:tabs>
          <w:tab w:val="left" w:pos="1523"/>
          <w:tab w:val="left" w:pos="1524"/>
        </w:tabs>
        <w:ind w:left="1524" w:hanging="660"/>
        <w:rPr>
          <w:rFonts w:hint="eastAsia" w:ascii="宋体" w:hAnsi="宋体" w:eastAsia="宋体" w:cs="宋体"/>
          <w:sz w:val="24"/>
          <w:highlight w:val="none"/>
        </w:rPr>
      </w:pPr>
      <w:r>
        <w:rPr>
          <w:rFonts w:hint="eastAsia" w:ascii="宋体" w:hAnsi="宋体" w:eastAsia="宋体" w:cs="宋体"/>
          <w:sz w:val="24"/>
          <w:highlight w:val="none"/>
        </w:rPr>
        <w:t>治安保卫</w:t>
      </w:r>
    </w:p>
    <w:p w14:paraId="350266FE">
      <w:pPr>
        <w:pStyle w:val="29"/>
        <w:numPr>
          <w:ilvl w:val="0"/>
          <w:numId w:val="18"/>
        </w:numPr>
        <w:tabs>
          <w:tab w:val="left" w:pos="1465"/>
        </w:tabs>
        <w:spacing w:before="74" w:line="297" w:lineRule="auto"/>
        <w:ind w:right="466" w:firstLine="480"/>
        <w:rPr>
          <w:rFonts w:hint="eastAsia" w:ascii="宋体" w:hAnsi="宋体" w:eastAsia="宋体" w:cs="宋体"/>
          <w:sz w:val="24"/>
          <w:highlight w:val="none"/>
        </w:rPr>
      </w:pPr>
      <w:r>
        <w:rPr>
          <w:rFonts w:hint="eastAsia" w:ascii="宋体" w:hAnsi="宋体" w:eastAsia="宋体" w:cs="宋体"/>
          <w:spacing w:val="-3"/>
          <w:sz w:val="24"/>
          <w:highlight w:val="none"/>
        </w:rPr>
        <w:t xml:space="preserve">发包人应与当地公安部门协商，在现场建立治安管理机构或联防组织， </w:t>
      </w:r>
      <w:r>
        <w:rPr>
          <w:rFonts w:hint="eastAsia" w:ascii="宋体" w:hAnsi="宋体" w:eastAsia="宋体" w:cs="宋体"/>
          <w:spacing w:val="-5"/>
          <w:sz w:val="24"/>
          <w:highlight w:val="none"/>
        </w:rPr>
        <w:t>统一管理施工场地的治安保卫事项，履行合同工程的治安保卫职责；</w:t>
      </w:r>
    </w:p>
    <w:p w14:paraId="4FEAE303">
      <w:pPr>
        <w:pStyle w:val="29"/>
        <w:numPr>
          <w:ilvl w:val="0"/>
          <w:numId w:val="18"/>
        </w:numPr>
        <w:tabs>
          <w:tab w:val="left" w:pos="1465"/>
        </w:tabs>
        <w:spacing w:before="3" w:line="297" w:lineRule="auto"/>
        <w:ind w:right="466" w:firstLine="480"/>
        <w:rPr>
          <w:rFonts w:hint="eastAsia" w:ascii="宋体" w:hAnsi="宋体" w:eastAsia="宋体" w:cs="宋体"/>
          <w:sz w:val="24"/>
          <w:highlight w:val="none"/>
        </w:rPr>
      </w:pPr>
      <w:r>
        <w:rPr>
          <w:rFonts w:hint="eastAsia" w:ascii="宋体" w:hAnsi="宋体" w:eastAsia="宋体" w:cs="宋体"/>
          <w:sz w:val="24"/>
          <w:highlight w:val="none"/>
        </w:rPr>
        <w:t>发包人和承包人除应协助现场治安管理机构或联防组织维护施工场地的</w:t>
      </w:r>
      <w:r>
        <w:rPr>
          <w:rFonts w:hint="eastAsia" w:ascii="宋体" w:hAnsi="宋体" w:eastAsia="宋体" w:cs="宋体"/>
          <w:spacing w:val="-5"/>
          <w:sz w:val="24"/>
          <w:highlight w:val="none"/>
        </w:rPr>
        <w:t>社会治安外，还应做好包括生活区在内的各自管辖区的治安保卫工作；</w:t>
      </w:r>
    </w:p>
    <w:p w14:paraId="12B12CA1">
      <w:pPr>
        <w:pStyle w:val="29"/>
        <w:numPr>
          <w:ilvl w:val="0"/>
          <w:numId w:val="18"/>
        </w:numPr>
        <w:tabs>
          <w:tab w:val="left" w:pos="1465"/>
        </w:tabs>
        <w:spacing w:before="1" w:line="297" w:lineRule="auto"/>
        <w:ind w:right="346" w:firstLine="480"/>
        <w:rPr>
          <w:rFonts w:hint="eastAsia" w:ascii="宋体" w:hAnsi="宋体" w:eastAsia="宋体" w:cs="宋体"/>
          <w:sz w:val="24"/>
          <w:highlight w:val="none"/>
        </w:rPr>
      </w:pPr>
      <w:r>
        <w:rPr>
          <w:rFonts w:hint="eastAsia" w:ascii="宋体" w:hAnsi="宋体" w:eastAsia="宋体" w:cs="宋体"/>
          <w:spacing w:val="-3"/>
          <w:sz w:val="24"/>
          <w:highlight w:val="none"/>
        </w:rPr>
        <w:t>发包人和承包人应在工程开工后，共同编制施工场地治安管理计划，并制</w:t>
      </w:r>
      <w:r>
        <w:rPr>
          <w:rFonts w:hint="eastAsia" w:ascii="宋体" w:hAnsi="宋体" w:eastAsia="宋体" w:cs="宋体"/>
          <w:spacing w:val="-8"/>
          <w:sz w:val="24"/>
          <w:highlight w:val="none"/>
        </w:rPr>
        <w:t xml:space="preserve">定应对突发治安事件的紧急预案。在工程施工过程中，发生暴乱、爆炸等恐怖事件， </w:t>
      </w:r>
      <w:r>
        <w:rPr>
          <w:rFonts w:hint="eastAsia" w:ascii="宋体" w:hAnsi="宋体" w:eastAsia="宋体" w:cs="宋体"/>
          <w:spacing w:val="-10"/>
          <w:sz w:val="24"/>
          <w:highlight w:val="none"/>
        </w:rPr>
        <w:t>以及群殴、械斗等群体性突发治安事件的，发包人和承包人应立即向当地政府报告。</w:t>
      </w:r>
      <w:r>
        <w:rPr>
          <w:rFonts w:hint="eastAsia" w:ascii="宋体" w:hAnsi="宋体" w:eastAsia="宋体" w:cs="宋体"/>
          <w:sz w:val="24"/>
          <w:highlight w:val="none"/>
        </w:rPr>
        <w:t>发包人和承包人应积极协助当地有关部门采取措施平息事态，防止事态扩大，尽量减少财产损失和避免人员伤亡。</w:t>
      </w:r>
    </w:p>
    <w:p w14:paraId="593DD8D7">
      <w:pPr>
        <w:pStyle w:val="29"/>
        <w:numPr>
          <w:ilvl w:val="3"/>
          <w:numId w:val="7"/>
        </w:numPr>
        <w:tabs>
          <w:tab w:val="left" w:pos="1125"/>
        </w:tabs>
        <w:spacing w:before="184"/>
        <w:ind w:left="1124" w:hanging="302"/>
        <w:jc w:val="left"/>
        <w:rPr>
          <w:rFonts w:hint="eastAsia" w:ascii="宋体" w:hAnsi="宋体" w:eastAsia="宋体" w:cs="宋体"/>
          <w:sz w:val="24"/>
          <w:highlight w:val="none"/>
        </w:rPr>
      </w:pPr>
      <w:r>
        <w:rPr>
          <w:rFonts w:hint="eastAsia" w:ascii="宋体" w:hAnsi="宋体" w:eastAsia="宋体" w:cs="宋体"/>
          <w:sz w:val="24"/>
          <w:highlight w:val="none"/>
        </w:rPr>
        <w:t>环境保护</w:t>
      </w:r>
    </w:p>
    <w:p w14:paraId="02B8C9A1">
      <w:pPr>
        <w:pStyle w:val="10"/>
        <w:spacing w:before="5"/>
        <w:rPr>
          <w:rFonts w:hint="eastAsia" w:ascii="宋体" w:hAnsi="宋体" w:eastAsia="宋体" w:cs="宋体"/>
          <w:sz w:val="20"/>
          <w:highlight w:val="none"/>
        </w:rPr>
      </w:pPr>
    </w:p>
    <w:p w14:paraId="73711E6C">
      <w:pPr>
        <w:pStyle w:val="29"/>
        <w:numPr>
          <w:ilvl w:val="4"/>
          <w:numId w:val="7"/>
        </w:numPr>
        <w:tabs>
          <w:tab w:val="left" w:pos="1529"/>
        </w:tabs>
        <w:spacing w:line="307"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承包人在施工过程中，应遵守有关环境保护的法律，并切实执行环境保</w:t>
      </w:r>
      <w:r>
        <w:rPr>
          <w:rFonts w:hint="eastAsia" w:ascii="宋体" w:hAnsi="宋体" w:eastAsia="宋体" w:cs="宋体"/>
          <w:spacing w:val="-1"/>
          <w:sz w:val="24"/>
          <w:highlight w:val="none"/>
        </w:rPr>
        <w:t>护方面的要求和规定，并对违反法律和合同约定的义务所造成的环境破坏、人为伤</w:t>
      </w:r>
      <w:r>
        <w:rPr>
          <w:rFonts w:hint="eastAsia" w:ascii="宋体" w:hAnsi="宋体" w:eastAsia="宋体" w:cs="宋体"/>
          <w:sz w:val="24"/>
          <w:highlight w:val="none"/>
        </w:rPr>
        <w:t>害和财产损失负责。</w:t>
      </w:r>
    </w:p>
    <w:p w14:paraId="3D00E8A9">
      <w:pPr>
        <w:pStyle w:val="29"/>
        <w:numPr>
          <w:ilvl w:val="0"/>
          <w:numId w:val="19"/>
        </w:numPr>
        <w:tabs>
          <w:tab w:val="left" w:pos="1465"/>
        </w:tabs>
        <w:spacing w:line="304" w:lineRule="auto"/>
        <w:ind w:right="466" w:firstLine="480"/>
        <w:jc w:val="both"/>
        <w:rPr>
          <w:rFonts w:hint="eastAsia" w:ascii="宋体" w:hAnsi="宋体" w:eastAsia="宋体" w:cs="宋体"/>
          <w:sz w:val="24"/>
          <w:highlight w:val="none"/>
        </w:rPr>
      </w:pPr>
      <w:r>
        <w:rPr>
          <w:rFonts w:hint="eastAsia" w:ascii="宋体" w:hAnsi="宋体" w:eastAsia="宋体" w:cs="宋体"/>
          <w:spacing w:val="-4"/>
          <w:sz w:val="24"/>
          <w:highlight w:val="none"/>
        </w:rPr>
        <w:t>对于来自施工机械和运输车辆的施工噪声，应遵守《中华人民共和国环</w:t>
      </w:r>
      <w:r>
        <w:rPr>
          <w:rFonts w:hint="eastAsia" w:ascii="宋体" w:hAnsi="宋体" w:eastAsia="宋体" w:cs="宋体"/>
          <w:spacing w:val="-5"/>
          <w:sz w:val="24"/>
          <w:highlight w:val="none"/>
        </w:rPr>
        <w:t>境噪声污染防治法》并依据《工业企业噪声卫生标准》合理安排工作人员轮流操作</w:t>
      </w:r>
      <w:r>
        <w:rPr>
          <w:rFonts w:hint="eastAsia" w:ascii="宋体" w:hAnsi="宋体" w:eastAsia="宋体" w:cs="宋体"/>
          <w:spacing w:val="-4"/>
          <w:sz w:val="24"/>
          <w:highlight w:val="none"/>
        </w:rPr>
        <w:t>筑路机械，减少接触高噪声的时间或穿插安排高噪声的工作。对距噪声源较近的施工人员，除取得防护罩或头盔等有效措施外并应当缩短其劳动时间保护施工人员的</w:t>
      </w:r>
      <w:r>
        <w:rPr>
          <w:rFonts w:hint="eastAsia" w:ascii="宋体" w:hAnsi="宋体" w:eastAsia="宋体" w:cs="宋体"/>
          <w:spacing w:val="-5"/>
          <w:sz w:val="24"/>
          <w:highlight w:val="none"/>
        </w:rPr>
        <w:t>健康。为保护施工现场附近的居民的夜间休息，对居民区</w:t>
      </w:r>
      <w:r>
        <w:rPr>
          <w:rFonts w:hint="eastAsia" w:ascii="宋体" w:hAnsi="宋体" w:eastAsia="宋体" w:cs="宋体"/>
          <w:sz w:val="24"/>
          <w:highlight w:val="none"/>
        </w:rPr>
        <w:t>150m以内的施工现场、施工时间应加以控制。同时，要注意对机械的经常性保养，尽量使其噪声降低到最</w:t>
      </w:r>
      <w:r>
        <w:rPr>
          <w:rFonts w:hint="eastAsia" w:ascii="宋体" w:hAnsi="宋体" w:eastAsia="宋体" w:cs="宋体"/>
          <w:spacing w:val="-4"/>
          <w:sz w:val="24"/>
          <w:highlight w:val="none"/>
        </w:rPr>
        <w:t>低水平；</w:t>
      </w:r>
    </w:p>
    <w:p w14:paraId="6938BC15">
      <w:pPr>
        <w:pStyle w:val="29"/>
        <w:numPr>
          <w:ilvl w:val="0"/>
          <w:numId w:val="19"/>
        </w:numPr>
        <w:tabs>
          <w:tab w:val="left" w:pos="1465"/>
        </w:tabs>
        <w:spacing w:before="7" w:line="304" w:lineRule="auto"/>
        <w:ind w:right="466" w:firstLine="480"/>
        <w:rPr>
          <w:rFonts w:hint="eastAsia" w:ascii="宋体" w:hAnsi="宋体" w:eastAsia="宋体" w:cs="宋体"/>
          <w:sz w:val="24"/>
          <w:highlight w:val="none"/>
        </w:rPr>
      </w:pPr>
      <w:r>
        <w:rPr>
          <w:rFonts w:hint="eastAsia" w:ascii="宋体" w:hAnsi="宋体" w:eastAsia="宋体" w:cs="宋体"/>
          <w:spacing w:val="-3"/>
          <w:sz w:val="24"/>
          <w:highlight w:val="none"/>
        </w:rPr>
        <w:t>应采取有效措施减轻施工现场的灰土拌合、施工车辆和筑路机械运转和</w:t>
      </w:r>
      <w:r>
        <w:rPr>
          <w:rFonts w:hint="eastAsia" w:ascii="宋体" w:hAnsi="宋体" w:eastAsia="宋体" w:cs="宋体"/>
          <w:spacing w:val="-5"/>
          <w:sz w:val="24"/>
          <w:highlight w:val="none"/>
        </w:rPr>
        <w:t>运输产生的扬尘污染，保护人民健康，如：</w:t>
      </w:r>
    </w:p>
    <w:p w14:paraId="637719B4">
      <w:pPr>
        <w:pStyle w:val="10"/>
        <w:spacing w:before="1"/>
        <w:ind w:left="864"/>
        <w:rPr>
          <w:rFonts w:hint="eastAsia" w:ascii="宋体" w:hAnsi="宋体" w:eastAsia="宋体" w:cs="宋体"/>
          <w:highlight w:val="none"/>
        </w:rPr>
      </w:pPr>
      <w:r>
        <w:rPr>
          <w:rFonts w:hint="eastAsia" w:ascii="宋体" w:hAnsi="宋体" w:eastAsia="宋体" w:cs="宋体"/>
          <w:highlight w:val="none"/>
        </w:rPr>
        <w:t>—拌合设备应有较好密封或有防尘设备。</w:t>
      </w:r>
    </w:p>
    <w:p w14:paraId="3967BEED">
      <w:pPr>
        <w:pStyle w:val="10"/>
        <w:spacing w:before="87"/>
        <w:ind w:left="864"/>
        <w:rPr>
          <w:rFonts w:hint="eastAsia" w:ascii="宋体" w:hAnsi="宋体" w:eastAsia="宋体" w:cs="宋体"/>
          <w:highlight w:val="none"/>
        </w:rPr>
      </w:pPr>
      <w:r>
        <w:rPr>
          <w:rFonts w:hint="eastAsia" w:ascii="宋体" w:hAnsi="宋体" w:eastAsia="宋体" w:cs="宋体"/>
          <w:highlight w:val="none"/>
        </w:rPr>
        <w:t>—施工道路、沥青混凝土拌合站及稳定灰土拌合站应经常进行洒水处理。</w:t>
      </w:r>
    </w:p>
    <w:p w14:paraId="6E76A83A">
      <w:pPr>
        <w:pStyle w:val="10"/>
        <w:spacing w:before="83"/>
        <w:ind w:left="864"/>
        <w:rPr>
          <w:rFonts w:hint="eastAsia" w:ascii="宋体" w:hAnsi="宋体" w:eastAsia="宋体" w:cs="宋体"/>
          <w:highlight w:val="none"/>
        </w:rPr>
      </w:pPr>
      <w:r>
        <w:rPr>
          <w:rFonts w:hint="eastAsia" w:ascii="宋体" w:hAnsi="宋体" w:eastAsia="宋体" w:cs="宋体"/>
          <w:highlight w:val="none"/>
        </w:rPr>
        <w:t>—路面施工应注意保持水分，以免扬尘。</w:t>
      </w:r>
    </w:p>
    <w:p w14:paraId="7FD7E765">
      <w:pPr>
        <w:pStyle w:val="10"/>
        <w:spacing w:before="84"/>
        <w:ind w:left="864"/>
        <w:rPr>
          <w:rFonts w:hint="eastAsia" w:ascii="宋体" w:hAnsi="宋体" w:eastAsia="宋体" w:cs="宋体"/>
          <w:highlight w:val="none"/>
        </w:rPr>
      </w:pPr>
      <w:r>
        <w:rPr>
          <w:rFonts w:hint="eastAsia" w:ascii="宋体" w:hAnsi="宋体" w:eastAsia="宋体" w:cs="宋体"/>
          <w:highlight w:val="none"/>
        </w:rPr>
        <w:t>—桥梁钻孔灌注桩施工时排除的泥浆要作妥善处理，严禁向河流或农田排放；</w:t>
      </w:r>
    </w:p>
    <w:p w14:paraId="48A9E1EE">
      <w:pPr>
        <w:pStyle w:val="29"/>
        <w:numPr>
          <w:ilvl w:val="0"/>
          <w:numId w:val="19"/>
        </w:numPr>
        <w:tabs>
          <w:tab w:val="left" w:pos="1465"/>
        </w:tabs>
        <w:spacing w:before="86" w:line="304" w:lineRule="auto"/>
        <w:ind w:right="466" w:firstLine="480"/>
        <w:rPr>
          <w:rFonts w:hint="eastAsia" w:ascii="宋体" w:hAnsi="宋体" w:eastAsia="宋体" w:cs="宋体"/>
          <w:sz w:val="24"/>
          <w:highlight w:val="none"/>
        </w:rPr>
      </w:pPr>
      <w:r>
        <w:rPr>
          <w:rFonts w:hint="eastAsia" w:ascii="宋体" w:hAnsi="宋体" w:eastAsia="宋体" w:cs="宋体"/>
          <w:spacing w:val="-2"/>
          <w:sz w:val="24"/>
          <w:highlight w:val="none"/>
        </w:rPr>
        <w:t>采取可靠措施保证原有交通的正常通行和维护沿线村镇的居民饮水、农</w:t>
      </w:r>
      <w:r>
        <w:rPr>
          <w:rFonts w:hint="eastAsia" w:ascii="宋体" w:hAnsi="宋体" w:eastAsia="宋体" w:cs="宋体"/>
          <w:spacing w:val="-5"/>
          <w:sz w:val="24"/>
          <w:highlight w:val="none"/>
        </w:rPr>
        <w:t>田灌溉、生产生活用电及通讯等管线的正常使用。</w:t>
      </w:r>
    </w:p>
    <w:p w14:paraId="7B2F17FE">
      <w:pPr>
        <w:pStyle w:val="10"/>
        <w:spacing w:before="5"/>
        <w:rPr>
          <w:rFonts w:hint="eastAsia" w:ascii="宋体" w:hAnsi="宋体" w:eastAsia="宋体" w:cs="宋体"/>
          <w:sz w:val="17"/>
          <w:highlight w:val="none"/>
        </w:rPr>
      </w:pPr>
      <w:r>
        <w:rPr>
          <w:rFonts w:hint="eastAsia" w:ascii="宋体" w:hAnsi="宋体" w:eastAsia="宋体" w:cs="宋体"/>
          <w:sz w:val="24"/>
          <w:highlight w:val="none"/>
        </w:rPr>
        <w:t>承包人应按合同约定的环保工作内容，编制施工环保措施计划，报送监理人审批。</w:t>
      </w:r>
    </w:p>
    <w:p w14:paraId="5B32C7A7">
      <w:pPr>
        <w:pStyle w:val="29"/>
        <w:numPr>
          <w:ilvl w:val="4"/>
          <w:numId w:val="7"/>
        </w:numPr>
        <w:tabs>
          <w:tab w:val="left" w:pos="1529"/>
        </w:tabs>
        <w:spacing w:before="74" w:line="307"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 xml:space="preserve">在施工期间，承包人应合理设置取土场和弃土场，做好施工防护措施， </w:t>
      </w:r>
      <w:r>
        <w:rPr>
          <w:rFonts w:hint="eastAsia" w:ascii="宋体" w:hAnsi="宋体" w:eastAsia="宋体" w:cs="宋体"/>
          <w:spacing w:val="-1"/>
          <w:sz w:val="24"/>
          <w:highlight w:val="none"/>
        </w:rPr>
        <w:t>防止水土流失。施工过程中要采取有效措施防止污染农田，项目完工后承包人应将</w:t>
      </w:r>
      <w:r>
        <w:rPr>
          <w:rFonts w:hint="eastAsia" w:ascii="宋体" w:hAnsi="宋体" w:eastAsia="宋体" w:cs="宋体"/>
          <w:sz w:val="24"/>
          <w:highlight w:val="none"/>
        </w:rPr>
        <w:t>临时占地自费恢复到临时占地使用前的状况。</w:t>
      </w:r>
    </w:p>
    <w:p w14:paraId="5F67123C">
      <w:pPr>
        <w:pStyle w:val="29"/>
        <w:numPr>
          <w:ilvl w:val="4"/>
          <w:numId w:val="7"/>
        </w:numPr>
        <w:tabs>
          <w:tab w:val="left" w:pos="1528"/>
          <w:tab w:val="left" w:pos="1529"/>
        </w:tabs>
        <w:spacing w:line="304" w:lineRule="auto"/>
        <w:ind w:left="384" w:right="346" w:firstLine="480"/>
        <w:rPr>
          <w:rFonts w:hint="eastAsia" w:ascii="宋体" w:hAnsi="宋体" w:eastAsia="宋体" w:cs="宋体"/>
          <w:sz w:val="24"/>
          <w:highlight w:val="none"/>
        </w:rPr>
      </w:pPr>
      <w:r>
        <w:rPr>
          <w:rFonts w:hint="eastAsia" w:ascii="宋体" w:hAnsi="宋体" w:eastAsia="宋体" w:cs="宋体"/>
          <w:sz w:val="24"/>
          <w:highlight w:val="none"/>
        </w:rPr>
        <w:t>承包人应严格按照国家有关法规要求，做好施工过程中的生态保护和水土保持工作。施工中要尽可能减少对原地面的扰动，减少对地面草木的破坏，需要</w:t>
      </w:r>
      <w:r>
        <w:rPr>
          <w:rFonts w:hint="eastAsia" w:ascii="宋体" w:hAnsi="宋体" w:eastAsia="宋体" w:cs="宋体"/>
          <w:spacing w:val="-8"/>
          <w:sz w:val="24"/>
          <w:highlight w:val="none"/>
        </w:rPr>
        <w:t>爆破作业的，应按规定进行控爆设计。加强施工便道的管理，严禁在指定的取</w:t>
      </w:r>
      <w:r>
        <w:rPr>
          <w:rFonts w:hint="eastAsia" w:ascii="宋体" w:hAnsi="宋体" w:eastAsia="宋体" w:cs="宋体"/>
          <w:spacing w:val="-3"/>
          <w:sz w:val="24"/>
          <w:highlight w:val="none"/>
        </w:rPr>
        <w:t>（</w:t>
      </w:r>
      <w:r>
        <w:rPr>
          <w:rFonts w:hint="eastAsia" w:ascii="宋体" w:hAnsi="宋体" w:eastAsia="宋体" w:cs="宋体"/>
          <w:sz w:val="24"/>
          <w:highlight w:val="none"/>
        </w:rPr>
        <w:t>弃</w:t>
      </w:r>
      <w:r>
        <w:rPr>
          <w:rFonts w:hint="eastAsia" w:ascii="宋体" w:hAnsi="宋体" w:eastAsia="宋体" w:cs="宋体"/>
          <w:spacing w:val="-16"/>
          <w:sz w:val="24"/>
          <w:highlight w:val="none"/>
        </w:rPr>
        <w:t xml:space="preserve">） </w:t>
      </w:r>
      <w:r>
        <w:rPr>
          <w:rFonts w:hint="eastAsia" w:ascii="宋体" w:hAnsi="宋体" w:eastAsia="宋体" w:cs="宋体"/>
          <w:sz w:val="24"/>
          <w:highlight w:val="none"/>
        </w:rPr>
        <w:t>土场以外的地方乱挖乱弃。</w:t>
      </w:r>
    </w:p>
    <w:p w14:paraId="6FDDC889">
      <w:pPr>
        <w:pStyle w:val="29"/>
        <w:numPr>
          <w:ilvl w:val="4"/>
          <w:numId w:val="7"/>
        </w:numPr>
        <w:tabs>
          <w:tab w:val="left" w:pos="1529"/>
        </w:tabs>
        <w:spacing w:line="304"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在整个施工过程中对承包人采取的环境保护措施，发包人和监理人有权</w:t>
      </w:r>
      <w:r>
        <w:rPr>
          <w:rFonts w:hint="eastAsia" w:ascii="宋体" w:hAnsi="宋体" w:eastAsia="宋体" w:cs="宋体"/>
          <w:spacing w:val="-1"/>
          <w:sz w:val="24"/>
          <w:highlight w:val="none"/>
        </w:rPr>
        <w:t>监督，并向承包人提出整改要求。如果由于承包人未能对其负责的上述事项采取各种必要的措施而导致或发生与此有关的人身伤亡、罚款、索赔、损失补偿、诉讼费</w:t>
      </w:r>
      <w:r>
        <w:rPr>
          <w:rFonts w:hint="eastAsia" w:ascii="宋体" w:hAnsi="宋体" w:eastAsia="宋体" w:cs="宋体"/>
          <w:sz w:val="24"/>
          <w:highlight w:val="none"/>
        </w:rPr>
        <w:t>用及其他一切责任应由承包人负责。</w:t>
      </w:r>
    </w:p>
    <w:p w14:paraId="2E21436C">
      <w:pPr>
        <w:pStyle w:val="29"/>
        <w:numPr>
          <w:ilvl w:val="3"/>
          <w:numId w:val="7"/>
        </w:numPr>
        <w:tabs>
          <w:tab w:val="left" w:pos="1125"/>
        </w:tabs>
        <w:spacing w:before="178"/>
        <w:ind w:left="1124" w:hanging="302"/>
        <w:jc w:val="left"/>
        <w:rPr>
          <w:rFonts w:hint="eastAsia" w:ascii="宋体" w:hAnsi="宋体" w:eastAsia="宋体" w:cs="宋体"/>
          <w:sz w:val="24"/>
          <w:highlight w:val="none"/>
        </w:rPr>
      </w:pPr>
      <w:r>
        <w:rPr>
          <w:rFonts w:hint="eastAsia" w:ascii="宋体" w:hAnsi="宋体" w:eastAsia="宋体" w:cs="宋体"/>
          <w:sz w:val="24"/>
          <w:highlight w:val="none"/>
        </w:rPr>
        <w:t>事故处理</w:t>
      </w:r>
    </w:p>
    <w:p w14:paraId="4AFDF7BF">
      <w:pPr>
        <w:pStyle w:val="10"/>
        <w:spacing w:before="10"/>
        <w:rPr>
          <w:rFonts w:hint="eastAsia" w:ascii="宋体" w:hAnsi="宋体" w:eastAsia="宋体" w:cs="宋体"/>
          <w:sz w:val="20"/>
          <w:highlight w:val="none"/>
        </w:rPr>
      </w:pPr>
    </w:p>
    <w:p w14:paraId="4046E4E4">
      <w:pPr>
        <w:pStyle w:val="10"/>
        <w:spacing w:line="307" w:lineRule="auto"/>
        <w:ind w:left="384" w:right="466" w:firstLine="480"/>
        <w:jc w:val="both"/>
        <w:rPr>
          <w:rFonts w:hint="eastAsia" w:ascii="宋体" w:hAnsi="宋体" w:eastAsia="宋体" w:cs="宋体"/>
          <w:highlight w:val="none"/>
        </w:rPr>
      </w:pPr>
      <w:r>
        <w:rPr>
          <w:rFonts w:hint="eastAsia" w:ascii="宋体" w:hAnsi="宋体" w:eastAsia="宋体" w:cs="宋体"/>
          <w:spacing w:val="-2"/>
          <w:highlight w:val="none"/>
        </w:rPr>
        <w:t>如果工程施工过程中，发生重大安全事故、质量事故，承包人必须在</w:t>
      </w:r>
      <w:r>
        <w:rPr>
          <w:rFonts w:hint="eastAsia" w:ascii="宋体" w:hAnsi="宋体" w:eastAsia="宋体" w:cs="宋体"/>
          <w:highlight w:val="none"/>
        </w:rPr>
        <w:t>2</w:t>
      </w:r>
      <w:r>
        <w:rPr>
          <w:rFonts w:hint="eastAsia" w:ascii="宋体" w:hAnsi="宋体" w:eastAsia="宋体" w:cs="宋体"/>
          <w:spacing w:val="-4"/>
          <w:highlight w:val="none"/>
        </w:rPr>
        <w:t>小时内</w:t>
      </w:r>
      <w:r>
        <w:rPr>
          <w:rFonts w:hint="eastAsia" w:ascii="宋体" w:hAnsi="宋体" w:eastAsia="宋体" w:cs="宋体"/>
          <w:spacing w:val="-1"/>
          <w:highlight w:val="none"/>
        </w:rPr>
        <w:t>口头报告，</w:t>
      </w:r>
      <w:r>
        <w:rPr>
          <w:rFonts w:hint="eastAsia" w:ascii="宋体" w:hAnsi="宋体" w:eastAsia="宋体" w:cs="宋体"/>
          <w:spacing w:val="-4"/>
          <w:highlight w:val="none"/>
        </w:rPr>
        <w:t>24</w:t>
      </w:r>
      <w:r>
        <w:rPr>
          <w:rFonts w:hint="eastAsia" w:ascii="宋体" w:hAnsi="宋体" w:eastAsia="宋体" w:cs="宋体"/>
          <w:spacing w:val="-2"/>
          <w:highlight w:val="none"/>
        </w:rPr>
        <w:t>小时内将事故详细情况书面报监理人和发包人。如果现场发生一般安</w:t>
      </w:r>
      <w:r>
        <w:rPr>
          <w:rFonts w:hint="eastAsia" w:ascii="宋体" w:hAnsi="宋体" w:eastAsia="宋体" w:cs="宋体"/>
          <w:spacing w:val="-3"/>
          <w:highlight w:val="none"/>
        </w:rPr>
        <w:t>全事故，或质量事故，承包人必须在</w:t>
      </w:r>
      <w:r>
        <w:rPr>
          <w:rFonts w:hint="eastAsia" w:ascii="宋体" w:hAnsi="宋体" w:eastAsia="宋体" w:cs="宋体"/>
          <w:highlight w:val="none"/>
        </w:rPr>
        <w:t>3</w:t>
      </w:r>
      <w:r>
        <w:rPr>
          <w:rFonts w:hint="eastAsia" w:ascii="宋体" w:hAnsi="宋体" w:eastAsia="宋体" w:cs="宋体"/>
          <w:spacing w:val="-1"/>
          <w:highlight w:val="none"/>
        </w:rPr>
        <w:t>天内将事故详细情况书面报告监理人和发包</w:t>
      </w:r>
      <w:r>
        <w:rPr>
          <w:rFonts w:hint="eastAsia" w:ascii="宋体" w:hAnsi="宋体" w:eastAsia="宋体" w:cs="宋体"/>
          <w:highlight w:val="none"/>
        </w:rPr>
        <w:t>人。如果现场(包括临时道路)发生重大交通事故，承包人应尽快报告监理人，同时</w:t>
      </w:r>
      <w:r>
        <w:rPr>
          <w:rFonts w:hint="eastAsia" w:ascii="宋体" w:hAnsi="宋体" w:eastAsia="宋体" w:cs="宋体"/>
          <w:spacing w:val="-1"/>
          <w:highlight w:val="none"/>
        </w:rPr>
        <w:t>应迅速报告当地交通安全管理部门。质量事故等级划分遵照交通运输部公路工程质</w:t>
      </w:r>
      <w:r>
        <w:rPr>
          <w:rFonts w:hint="eastAsia" w:ascii="宋体" w:hAnsi="宋体" w:eastAsia="宋体" w:cs="宋体"/>
          <w:highlight w:val="none"/>
        </w:rPr>
        <w:t>量管理办法的规定。</w:t>
      </w:r>
    </w:p>
    <w:p w14:paraId="23B2B45D">
      <w:pPr>
        <w:pStyle w:val="10"/>
        <w:spacing w:before="182"/>
        <w:ind w:right="7021"/>
        <w:jc w:val="right"/>
        <w:rPr>
          <w:rFonts w:hint="eastAsia" w:ascii="宋体" w:hAnsi="宋体" w:eastAsia="宋体" w:cs="宋体"/>
          <w:highlight w:val="none"/>
        </w:rPr>
      </w:pPr>
      <w:r>
        <w:rPr>
          <w:rFonts w:hint="eastAsia" w:ascii="宋体" w:hAnsi="宋体" w:eastAsia="宋体" w:cs="宋体"/>
          <w:highlight w:val="none"/>
        </w:rPr>
        <w:t>六、合同价款支付</w:t>
      </w:r>
    </w:p>
    <w:p w14:paraId="0EC7AA73">
      <w:pPr>
        <w:pStyle w:val="10"/>
        <w:spacing w:before="10"/>
        <w:rPr>
          <w:rFonts w:hint="eastAsia" w:ascii="宋体" w:hAnsi="宋体" w:eastAsia="宋体" w:cs="宋体"/>
          <w:sz w:val="20"/>
          <w:highlight w:val="none"/>
        </w:rPr>
      </w:pPr>
    </w:p>
    <w:p w14:paraId="5203CD5D">
      <w:pPr>
        <w:pStyle w:val="29"/>
        <w:numPr>
          <w:ilvl w:val="3"/>
          <w:numId w:val="7"/>
        </w:numPr>
        <w:tabs>
          <w:tab w:val="left" w:pos="301"/>
        </w:tabs>
        <w:ind w:left="1124" w:right="6961" w:hanging="1125"/>
        <w:rPr>
          <w:rFonts w:hint="eastAsia" w:ascii="宋体" w:hAnsi="宋体" w:eastAsia="宋体" w:cs="宋体"/>
          <w:sz w:val="24"/>
          <w:highlight w:val="none"/>
        </w:rPr>
      </w:pPr>
      <w:r>
        <w:rPr>
          <w:rFonts w:hint="eastAsia" w:ascii="宋体" w:hAnsi="宋体" w:eastAsia="宋体" w:cs="宋体"/>
          <w:sz w:val="24"/>
          <w:highlight w:val="none"/>
          <w:lang w:val="en-US"/>
        </w:rPr>
        <w:t xml:space="preserve"> </w:t>
      </w:r>
      <w:r>
        <w:rPr>
          <w:rFonts w:hint="eastAsia" w:ascii="宋体" w:hAnsi="宋体" w:eastAsia="宋体" w:cs="宋体"/>
          <w:sz w:val="24"/>
          <w:highlight w:val="none"/>
        </w:rPr>
        <w:t>合同价款支付</w:t>
      </w:r>
    </w:p>
    <w:p w14:paraId="11C7C991">
      <w:pPr>
        <w:pStyle w:val="10"/>
        <w:spacing w:before="10"/>
        <w:rPr>
          <w:rFonts w:hint="eastAsia" w:ascii="宋体" w:hAnsi="宋体" w:eastAsia="宋体" w:cs="宋体"/>
          <w:sz w:val="20"/>
          <w:highlight w:val="none"/>
        </w:rPr>
      </w:pPr>
    </w:p>
    <w:p w14:paraId="794EB996">
      <w:pPr>
        <w:pStyle w:val="29"/>
        <w:numPr>
          <w:ilvl w:val="4"/>
          <w:numId w:val="7"/>
        </w:numPr>
        <w:tabs>
          <w:tab w:val="left" w:pos="1524"/>
        </w:tabs>
        <w:ind w:left="1524" w:hanging="660"/>
        <w:jc w:val="both"/>
        <w:rPr>
          <w:rFonts w:hint="eastAsia" w:ascii="宋体" w:hAnsi="宋体" w:eastAsia="宋体" w:cs="宋体"/>
          <w:sz w:val="24"/>
          <w:highlight w:val="none"/>
        </w:rPr>
      </w:pPr>
      <w:r>
        <w:rPr>
          <w:rFonts w:hint="eastAsia" w:ascii="宋体" w:hAnsi="宋体" w:eastAsia="宋体" w:cs="宋体"/>
          <w:sz w:val="24"/>
          <w:highlight w:val="none"/>
        </w:rPr>
        <w:t>发包人与承包人依据中标价在合同协议书内约定合同价款。</w:t>
      </w:r>
    </w:p>
    <w:p w14:paraId="2B5EC60A">
      <w:pPr>
        <w:pStyle w:val="29"/>
        <w:numPr>
          <w:ilvl w:val="4"/>
          <w:numId w:val="7"/>
        </w:numPr>
        <w:tabs>
          <w:tab w:val="left" w:pos="1524"/>
        </w:tabs>
        <w:spacing w:before="86" w:line="307" w:lineRule="auto"/>
        <w:ind w:left="384" w:right="442" w:firstLine="480"/>
        <w:jc w:val="both"/>
        <w:rPr>
          <w:rFonts w:hint="eastAsia" w:ascii="宋体" w:hAnsi="宋体" w:eastAsia="宋体" w:cs="宋体"/>
          <w:sz w:val="24"/>
          <w:highlight w:val="none"/>
        </w:rPr>
      </w:pPr>
      <w:r>
        <w:rPr>
          <w:rFonts w:hint="eastAsia" w:ascii="宋体" w:hAnsi="宋体" w:eastAsia="宋体" w:cs="宋体"/>
          <w:spacing w:val="-7"/>
          <w:sz w:val="24"/>
          <w:highlight w:val="none"/>
        </w:rPr>
        <w:t>承包人应在每月的</w:t>
      </w:r>
      <w:r>
        <w:rPr>
          <w:rFonts w:hint="eastAsia" w:ascii="宋体" w:hAnsi="宋体" w:eastAsia="宋体" w:cs="宋体"/>
          <w:sz w:val="24"/>
          <w:highlight w:val="none"/>
        </w:rPr>
        <w:t>25</w:t>
      </w:r>
      <w:r>
        <w:rPr>
          <w:rFonts w:hint="eastAsia" w:ascii="宋体" w:hAnsi="宋体" w:eastAsia="宋体" w:cs="宋体"/>
          <w:spacing w:val="-1"/>
          <w:sz w:val="24"/>
          <w:highlight w:val="none"/>
        </w:rPr>
        <w:t>日前，按监理人审定的《工程进度中期支付报表》</w:t>
      </w:r>
      <w:r>
        <w:rPr>
          <w:rFonts w:hint="eastAsia" w:ascii="宋体" w:hAnsi="宋体" w:eastAsia="宋体" w:cs="宋体"/>
          <w:sz w:val="24"/>
          <w:highlight w:val="none"/>
        </w:rPr>
        <w:t>的工程数量及相关的支付额报发包人，发包人据以支付工程进度款。除不可抗拒的自然灾害、特殊社会风险及发包人批准的设计变更外，工程总支付金额不应超过合同价（不包括暂列金额）。</w:t>
      </w:r>
    </w:p>
    <w:p w14:paraId="3A59961E">
      <w:pPr>
        <w:pStyle w:val="29"/>
        <w:numPr>
          <w:ilvl w:val="3"/>
          <w:numId w:val="7"/>
        </w:numPr>
        <w:tabs>
          <w:tab w:val="left" w:pos="1125"/>
        </w:tabs>
        <w:spacing w:before="183"/>
        <w:ind w:left="1124" w:hanging="302"/>
        <w:jc w:val="left"/>
        <w:rPr>
          <w:rFonts w:hint="eastAsia" w:ascii="宋体" w:hAnsi="宋体" w:eastAsia="宋体" w:cs="宋体"/>
          <w:sz w:val="24"/>
          <w:highlight w:val="none"/>
        </w:rPr>
      </w:pPr>
      <w:r>
        <w:rPr>
          <w:rFonts w:hint="eastAsia" w:ascii="宋体" w:hAnsi="宋体" w:eastAsia="宋体" w:cs="宋体"/>
          <w:sz w:val="24"/>
          <w:highlight w:val="none"/>
        </w:rPr>
        <w:t>预付款</w:t>
      </w:r>
    </w:p>
    <w:p w14:paraId="01CFA5FC">
      <w:pPr>
        <w:pStyle w:val="10"/>
        <w:spacing w:before="9"/>
        <w:rPr>
          <w:rFonts w:hint="eastAsia" w:ascii="宋体" w:hAnsi="宋体" w:eastAsia="宋体" w:cs="宋体"/>
          <w:sz w:val="20"/>
          <w:highlight w:val="none"/>
        </w:rPr>
      </w:pPr>
    </w:p>
    <w:p w14:paraId="26936144">
      <w:pPr>
        <w:pStyle w:val="29"/>
        <w:numPr>
          <w:ilvl w:val="4"/>
          <w:numId w:val="7"/>
        </w:numPr>
        <w:tabs>
          <w:tab w:val="left" w:pos="1529"/>
        </w:tabs>
        <w:spacing w:line="307" w:lineRule="auto"/>
        <w:ind w:left="384" w:right="467" w:firstLine="480"/>
        <w:jc w:val="both"/>
        <w:rPr>
          <w:rFonts w:hint="eastAsia" w:ascii="宋体" w:hAnsi="宋体" w:eastAsia="宋体" w:cs="宋体"/>
          <w:sz w:val="24"/>
          <w:highlight w:val="none"/>
        </w:rPr>
      </w:pPr>
      <w:r>
        <w:rPr>
          <w:rFonts w:hint="eastAsia" w:ascii="宋体" w:hAnsi="宋体" w:eastAsia="宋体" w:cs="宋体"/>
          <w:sz w:val="24"/>
          <w:highlight w:val="none"/>
        </w:rPr>
        <w:t>承包人在合同文件载明的人员、主要设备进场后，可得到预付款支付， 预付款必须专用于合同工程。</w:t>
      </w:r>
    </w:p>
    <w:p w14:paraId="1D21B5B8">
      <w:pPr>
        <w:pStyle w:val="10"/>
        <w:spacing w:before="5"/>
        <w:rPr>
          <w:rFonts w:hint="eastAsia" w:ascii="宋体" w:hAnsi="宋体" w:eastAsia="宋体" w:cs="宋体"/>
          <w:sz w:val="17"/>
          <w:highlight w:val="none"/>
        </w:rPr>
      </w:pPr>
      <w:r>
        <w:rPr>
          <w:rFonts w:hint="eastAsia" w:ascii="宋体" w:hAnsi="宋体" w:eastAsia="宋体" w:cs="宋体"/>
          <w:sz w:val="24"/>
          <w:highlight w:val="none"/>
        </w:rPr>
        <w:t>预付款在进度付款中扣回，在颁发工程接收证书前，由于不可抗力或其</w:t>
      </w:r>
      <w:r>
        <w:rPr>
          <w:rFonts w:hint="eastAsia" w:ascii="宋体" w:hAnsi="宋体" w:eastAsia="宋体" w:cs="宋体"/>
          <w:spacing w:val="-1"/>
          <w:sz w:val="24"/>
          <w:highlight w:val="none"/>
        </w:rPr>
        <w:t>他原因解除合同时，预付款尚未扣清的，尚未扣清的预付款余额应作为承包人的到</w:t>
      </w:r>
      <w:r>
        <w:rPr>
          <w:rFonts w:hint="eastAsia" w:ascii="宋体" w:hAnsi="宋体" w:eastAsia="宋体" w:cs="宋体"/>
          <w:sz w:val="24"/>
          <w:highlight w:val="none"/>
        </w:rPr>
        <w:t>期应付款。</w:t>
      </w:r>
    </w:p>
    <w:p w14:paraId="512A36E2">
      <w:pPr>
        <w:pStyle w:val="29"/>
        <w:numPr>
          <w:ilvl w:val="4"/>
          <w:numId w:val="7"/>
        </w:numPr>
        <w:tabs>
          <w:tab w:val="left" w:pos="1409"/>
        </w:tabs>
        <w:spacing w:before="76" w:line="307" w:lineRule="auto"/>
        <w:ind w:left="384" w:right="462" w:firstLine="480"/>
        <w:jc w:val="both"/>
        <w:rPr>
          <w:rFonts w:hint="eastAsia" w:ascii="宋体" w:hAnsi="宋体" w:eastAsia="宋体" w:cs="宋体"/>
          <w:sz w:val="24"/>
          <w:highlight w:val="none"/>
        </w:rPr>
      </w:pPr>
      <w:r>
        <w:rPr>
          <w:rFonts w:hint="eastAsia" w:ascii="宋体" w:hAnsi="宋体" w:eastAsia="宋体" w:cs="宋体"/>
          <w:spacing w:val="1"/>
          <w:sz w:val="24"/>
          <w:highlight w:val="none"/>
        </w:rPr>
        <w:t>开工预付款在进度付款证书的累计金额未达到签约合同价的</w:t>
      </w:r>
      <w:r>
        <w:rPr>
          <w:rFonts w:hint="eastAsia" w:ascii="宋体" w:hAnsi="宋体" w:eastAsia="宋体" w:cs="宋体"/>
          <w:sz w:val="24"/>
          <w:highlight w:val="none"/>
        </w:rPr>
        <w:t>30%</w:t>
      </w:r>
      <w:r>
        <w:rPr>
          <w:rFonts w:hint="eastAsia" w:ascii="宋体" w:hAnsi="宋体" w:eastAsia="宋体" w:cs="宋体"/>
          <w:spacing w:val="3"/>
          <w:sz w:val="24"/>
          <w:highlight w:val="none"/>
        </w:rPr>
        <w:t>之前不</w:t>
      </w:r>
      <w:r>
        <w:rPr>
          <w:rFonts w:hint="eastAsia" w:ascii="宋体" w:hAnsi="宋体" w:eastAsia="宋体" w:cs="宋体"/>
          <w:spacing w:val="-10"/>
          <w:sz w:val="24"/>
          <w:highlight w:val="none"/>
        </w:rPr>
        <w:t>予扣回，在达到签约合同价</w:t>
      </w:r>
      <w:r>
        <w:rPr>
          <w:rFonts w:hint="eastAsia" w:ascii="宋体" w:hAnsi="宋体" w:eastAsia="宋体" w:cs="宋体"/>
          <w:sz w:val="24"/>
          <w:highlight w:val="none"/>
        </w:rPr>
        <w:t>30%</w:t>
      </w:r>
      <w:r>
        <w:rPr>
          <w:rFonts w:hint="eastAsia" w:ascii="宋体" w:hAnsi="宋体" w:eastAsia="宋体" w:cs="宋体"/>
          <w:spacing w:val="-6"/>
          <w:sz w:val="24"/>
          <w:highlight w:val="none"/>
        </w:rPr>
        <w:t>之后，开始按工程进度以固定比例</w:t>
      </w:r>
      <w:r>
        <w:rPr>
          <w:rFonts w:hint="eastAsia" w:ascii="宋体" w:hAnsi="宋体" w:eastAsia="宋体" w:cs="宋体"/>
          <w:sz w:val="24"/>
          <w:highlight w:val="none"/>
        </w:rPr>
        <w:t>(</w:t>
      </w:r>
      <w:r>
        <w:rPr>
          <w:rFonts w:hint="eastAsia" w:ascii="宋体" w:hAnsi="宋体" w:eastAsia="宋体" w:cs="宋体"/>
          <w:spacing w:val="-2"/>
          <w:sz w:val="24"/>
          <w:highlight w:val="none"/>
        </w:rPr>
        <w:t>即每完成签约合</w:t>
      </w:r>
      <w:r>
        <w:rPr>
          <w:rFonts w:hint="eastAsia" w:ascii="宋体" w:hAnsi="宋体" w:eastAsia="宋体" w:cs="宋体"/>
          <w:spacing w:val="-15"/>
          <w:sz w:val="24"/>
          <w:highlight w:val="none"/>
        </w:rPr>
        <w:t>同价的</w:t>
      </w:r>
      <w:r>
        <w:rPr>
          <w:rFonts w:hint="eastAsia" w:ascii="宋体" w:hAnsi="宋体" w:eastAsia="宋体" w:cs="宋体"/>
          <w:spacing w:val="-14"/>
          <w:sz w:val="24"/>
          <w:highlight w:val="none"/>
        </w:rPr>
        <w:t>1%</w:t>
      </w:r>
      <w:r>
        <w:rPr>
          <w:rFonts w:hint="eastAsia" w:ascii="宋体" w:hAnsi="宋体" w:eastAsia="宋体" w:cs="宋体"/>
          <w:spacing w:val="-10"/>
          <w:sz w:val="24"/>
          <w:highlight w:val="none"/>
        </w:rPr>
        <w:t>，扣回开工预付款的</w:t>
      </w:r>
      <w:r>
        <w:rPr>
          <w:rFonts w:hint="eastAsia" w:ascii="宋体" w:hAnsi="宋体" w:eastAsia="宋体" w:cs="宋体"/>
          <w:sz w:val="24"/>
          <w:highlight w:val="none"/>
        </w:rPr>
        <w:t>2%)</w:t>
      </w:r>
      <w:r>
        <w:rPr>
          <w:rFonts w:hint="eastAsia" w:ascii="宋体" w:hAnsi="宋体" w:eastAsia="宋体" w:cs="宋体"/>
          <w:spacing w:val="-5"/>
          <w:sz w:val="24"/>
          <w:highlight w:val="none"/>
        </w:rPr>
        <w:t>分期从各月的进度付款证书中扣回，全部金额在</w:t>
      </w:r>
      <w:r>
        <w:rPr>
          <w:rFonts w:hint="eastAsia" w:ascii="宋体" w:hAnsi="宋体" w:eastAsia="宋体" w:cs="宋体"/>
          <w:spacing w:val="-4"/>
          <w:sz w:val="24"/>
          <w:highlight w:val="none"/>
        </w:rPr>
        <w:t>进度付款证书的累计金额达到签约合同价的</w:t>
      </w:r>
      <w:r>
        <w:rPr>
          <w:rFonts w:hint="eastAsia" w:ascii="宋体" w:hAnsi="宋体" w:eastAsia="宋体" w:cs="宋体"/>
          <w:sz w:val="24"/>
          <w:highlight w:val="none"/>
        </w:rPr>
        <w:t>80%时扣完。</w:t>
      </w:r>
    </w:p>
    <w:p w14:paraId="11F3E242">
      <w:pPr>
        <w:pStyle w:val="29"/>
        <w:numPr>
          <w:ilvl w:val="4"/>
          <w:numId w:val="7"/>
        </w:numPr>
        <w:tabs>
          <w:tab w:val="left" w:pos="1528"/>
          <w:tab w:val="left" w:pos="1529"/>
        </w:tabs>
        <w:spacing w:before="3" w:line="307" w:lineRule="auto"/>
        <w:ind w:left="384" w:right="346" w:firstLine="480"/>
        <w:rPr>
          <w:rFonts w:hint="eastAsia" w:ascii="宋体" w:hAnsi="宋体" w:eastAsia="宋体" w:cs="宋体"/>
          <w:sz w:val="24"/>
          <w:highlight w:val="none"/>
        </w:rPr>
      </w:pPr>
      <w:r>
        <w:rPr>
          <w:rFonts w:hint="eastAsia" w:ascii="宋体" w:hAnsi="宋体" w:eastAsia="宋体" w:cs="宋体"/>
          <w:sz w:val="24"/>
          <w:highlight w:val="none"/>
        </w:rPr>
        <w:t>材料预付款按合同条款数据表中所列主要材料单据费用（进口的材料、</w:t>
      </w:r>
      <w:r>
        <w:rPr>
          <w:rFonts w:hint="eastAsia" w:ascii="宋体" w:hAnsi="宋体" w:eastAsia="宋体" w:cs="宋体"/>
          <w:spacing w:val="-11"/>
          <w:sz w:val="24"/>
          <w:highlight w:val="none"/>
        </w:rPr>
        <w:t>设备为到岸价，国内采购的为出厂价或销售价，地方材料为堆场价</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"_bookmark43" </w:instrText>
      </w:r>
      <w:r>
        <w:rPr>
          <w:rFonts w:hint="eastAsia" w:ascii="宋体" w:hAnsi="宋体" w:eastAsia="宋体" w:cs="宋体"/>
          <w:highlight w:val="none"/>
        </w:rPr>
        <w:fldChar w:fldCharType="separate"/>
      </w:r>
      <w:r>
        <w:rPr>
          <w:rFonts w:hint="eastAsia" w:ascii="宋体" w:hAnsi="宋体" w:eastAsia="宋体" w:cs="宋体"/>
          <w:spacing w:val="-1"/>
          <w:w w:val="98"/>
          <w:position w:val="9"/>
          <w:sz w:val="9"/>
          <w:highlight w:val="none"/>
        </w:rPr>
        <w:t>①</w:t>
      </w:r>
      <w:r>
        <w:rPr>
          <w:rFonts w:hint="eastAsia" w:ascii="宋体" w:hAnsi="宋体" w:eastAsia="宋体" w:cs="宋体"/>
          <w:spacing w:val="-1"/>
          <w:w w:val="98"/>
          <w:position w:val="9"/>
          <w:sz w:val="9"/>
          <w:highlight w:val="none"/>
        </w:rPr>
        <w:fldChar w:fldCharType="end"/>
      </w:r>
      <w:r>
        <w:rPr>
          <w:rFonts w:hint="eastAsia" w:ascii="宋体" w:hAnsi="宋体" w:eastAsia="宋体" w:cs="宋体"/>
          <w:spacing w:val="-58"/>
          <w:sz w:val="24"/>
          <w:highlight w:val="none"/>
        </w:rPr>
        <w:t>）</w:t>
      </w:r>
      <w:r>
        <w:rPr>
          <w:rFonts w:hint="eastAsia" w:ascii="宋体" w:hAnsi="宋体" w:eastAsia="宋体" w:cs="宋体"/>
          <w:spacing w:val="-3"/>
          <w:sz w:val="24"/>
          <w:highlight w:val="none"/>
        </w:rPr>
        <w:t>的百分比支付，</w:t>
      </w:r>
      <w:r>
        <w:rPr>
          <w:rFonts w:hint="eastAsia" w:ascii="宋体" w:hAnsi="宋体" w:eastAsia="宋体" w:cs="宋体"/>
          <w:sz w:val="24"/>
          <w:highlight w:val="none"/>
        </w:rPr>
        <w:t>预付款比例按照项目专用合同条款数据表的规定计算。其余附加条件为：</w:t>
      </w:r>
    </w:p>
    <w:p w14:paraId="6AEE1A24">
      <w:pPr>
        <w:pStyle w:val="29"/>
        <w:numPr>
          <w:ilvl w:val="0"/>
          <w:numId w:val="20"/>
        </w:numPr>
        <w:tabs>
          <w:tab w:val="left" w:pos="1465"/>
        </w:tabs>
        <w:rPr>
          <w:rFonts w:hint="eastAsia" w:ascii="宋体" w:hAnsi="宋体" w:eastAsia="宋体" w:cs="宋体"/>
          <w:sz w:val="24"/>
          <w:highlight w:val="none"/>
        </w:rPr>
      </w:pPr>
      <w:r>
        <w:rPr>
          <w:rFonts w:hint="eastAsia" w:ascii="宋体" w:hAnsi="宋体" w:eastAsia="宋体" w:cs="宋体"/>
          <w:sz w:val="24"/>
          <w:highlight w:val="none"/>
        </w:rPr>
        <w:t>材料符合规范要求并经监理人认可；</w:t>
      </w:r>
    </w:p>
    <w:p w14:paraId="1F6DB8E9">
      <w:pPr>
        <w:pStyle w:val="29"/>
        <w:numPr>
          <w:ilvl w:val="0"/>
          <w:numId w:val="20"/>
        </w:numPr>
        <w:tabs>
          <w:tab w:val="left" w:pos="1465"/>
        </w:tabs>
        <w:spacing w:before="86"/>
        <w:rPr>
          <w:rFonts w:hint="eastAsia" w:ascii="宋体" w:hAnsi="宋体" w:eastAsia="宋体" w:cs="宋体"/>
          <w:sz w:val="24"/>
          <w:highlight w:val="none"/>
        </w:rPr>
      </w:pPr>
      <w:r>
        <w:rPr>
          <w:rFonts w:hint="eastAsia" w:ascii="宋体" w:hAnsi="宋体" w:eastAsia="宋体" w:cs="宋体"/>
          <w:sz w:val="24"/>
          <w:highlight w:val="none"/>
        </w:rPr>
        <w:t>承包人已出具材料费用凭证或支付单据；</w:t>
      </w:r>
    </w:p>
    <w:p w14:paraId="12B560AD">
      <w:pPr>
        <w:pStyle w:val="29"/>
        <w:numPr>
          <w:ilvl w:val="0"/>
          <w:numId w:val="20"/>
        </w:numPr>
        <w:tabs>
          <w:tab w:val="left" w:pos="1465"/>
        </w:tabs>
        <w:spacing w:before="86" w:line="309" w:lineRule="auto"/>
        <w:ind w:left="864" w:right="382" w:firstLine="0"/>
        <w:rPr>
          <w:rFonts w:hint="eastAsia" w:ascii="宋体" w:hAnsi="宋体" w:eastAsia="宋体" w:cs="宋体"/>
          <w:sz w:val="24"/>
          <w:highlight w:val="none"/>
        </w:rPr>
      </w:pPr>
      <w:r>
        <w:rPr>
          <w:rFonts w:hint="eastAsia" w:ascii="宋体" w:hAnsi="宋体" w:eastAsia="宋体" w:cs="宋体"/>
          <w:spacing w:val="-1"/>
          <w:sz w:val="24"/>
          <w:highlight w:val="none"/>
        </w:rPr>
        <w:t>材料已在现场交货，且存储良好，监理人认为材料的存储方法符合要求。</w:t>
      </w:r>
      <w:r>
        <w:rPr>
          <w:rFonts w:hint="eastAsia" w:ascii="宋体" w:hAnsi="宋体" w:eastAsia="宋体" w:cs="宋体"/>
          <w:sz w:val="24"/>
          <w:highlight w:val="none"/>
        </w:rPr>
        <w:t>则监理人应将此项金额作为材料预付款计入下一次的进度付款证书中，在预计</w:t>
      </w:r>
    </w:p>
    <w:p w14:paraId="425E89B3">
      <w:pPr>
        <w:pStyle w:val="10"/>
        <w:spacing w:line="304" w:lineRule="exact"/>
        <w:ind w:left="384"/>
        <w:rPr>
          <w:rFonts w:hint="eastAsia" w:ascii="宋体" w:hAnsi="宋体" w:eastAsia="宋体" w:cs="宋体"/>
          <w:highlight w:val="none"/>
        </w:rPr>
      </w:pPr>
      <w:r>
        <w:rPr>
          <w:rFonts w:hint="eastAsia" w:ascii="宋体" w:hAnsi="宋体" w:eastAsia="宋体" w:cs="宋体"/>
          <w:highlight w:val="none"/>
        </w:rPr>
        <w:t>交工前3个月，将不再支付材料预付款。</w:t>
      </w:r>
    </w:p>
    <w:p w14:paraId="00CF2394">
      <w:pPr>
        <w:pStyle w:val="10"/>
        <w:spacing w:before="10"/>
        <w:rPr>
          <w:rFonts w:hint="eastAsia" w:ascii="宋体" w:hAnsi="宋体" w:eastAsia="宋体" w:cs="宋体"/>
          <w:sz w:val="20"/>
          <w:highlight w:val="none"/>
        </w:rPr>
      </w:pPr>
    </w:p>
    <w:p w14:paraId="6D129F86">
      <w:pPr>
        <w:pStyle w:val="29"/>
        <w:numPr>
          <w:ilvl w:val="3"/>
          <w:numId w:val="7"/>
        </w:numPr>
        <w:tabs>
          <w:tab w:val="left" w:pos="1125"/>
        </w:tabs>
        <w:ind w:left="1124" w:hanging="302"/>
        <w:jc w:val="left"/>
        <w:rPr>
          <w:rFonts w:hint="eastAsia" w:ascii="宋体" w:hAnsi="宋体" w:eastAsia="宋体" w:cs="宋体"/>
          <w:sz w:val="24"/>
          <w:highlight w:val="none"/>
        </w:rPr>
      </w:pPr>
      <w:r>
        <w:rPr>
          <w:rFonts w:hint="eastAsia" w:ascii="宋体" w:hAnsi="宋体" w:eastAsia="宋体" w:cs="宋体"/>
          <w:sz w:val="24"/>
          <w:highlight w:val="none"/>
        </w:rPr>
        <w:t>计量与支付</w:t>
      </w:r>
    </w:p>
    <w:p w14:paraId="3990DD6C">
      <w:pPr>
        <w:pStyle w:val="10"/>
        <w:spacing w:before="9"/>
        <w:rPr>
          <w:rFonts w:hint="eastAsia" w:ascii="宋体" w:hAnsi="宋体" w:eastAsia="宋体" w:cs="宋体"/>
          <w:sz w:val="20"/>
          <w:highlight w:val="none"/>
        </w:rPr>
      </w:pPr>
    </w:p>
    <w:p w14:paraId="394FBBA1">
      <w:pPr>
        <w:pStyle w:val="29"/>
        <w:numPr>
          <w:ilvl w:val="4"/>
          <w:numId w:val="7"/>
        </w:numPr>
        <w:tabs>
          <w:tab w:val="left" w:pos="1523"/>
          <w:tab w:val="left" w:pos="1524"/>
        </w:tabs>
        <w:spacing w:before="1" w:line="307" w:lineRule="auto"/>
        <w:ind w:left="384" w:right="466" w:firstLine="480"/>
        <w:rPr>
          <w:rFonts w:hint="eastAsia" w:ascii="宋体" w:hAnsi="宋体" w:eastAsia="宋体" w:cs="宋体"/>
          <w:sz w:val="24"/>
          <w:highlight w:val="none"/>
        </w:rPr>
      </w:pPr>
      <w:r>
        <w:rPr>
          <w:rFonts w:hint="eastAsia" w:ascii="宋体" w:hAnsi="宋体" w:eastAsia="宋体" w:cs="宋体"/>
          <w:spacing w:val="-8"/>
          <w:sz w:val="24"/>
          <w:highlight w:val="none"/>
        </w:rPr>
        <w:t>承包人应在每月</w:t>
      </w:r>
      <w:r>
        <w:rPr>
          <w:rFonts w:hint="eastAsia" w:ascii="宋体" w:hAnsi="宋体" w:eastAsia="宋体" w:cs="宋体"/>
          <w:sz w:val="24"/>
          <w:highlight w:val="none"/>
        </w:rPr>
        <w:t>25</w:t>
      </w:r>
      <w:r>
        <w:rPr>
          <w:rFonts w:hint="eastAsia" w:ascii="宋体" w:hAnsi="宋体" w:eastAsia="宋体" w:cs="宋体"/>
          <w:spacing w:val="-5"/>
          <w:sz w:val="24"/>
          <w:highlight w:val="none"/>
        </w:rPr>
        <w:t>日前，经监理人现场核实已完成的合格工程数量，确</w:t>
      </w:r>
      <w:r>
        <w:rPr>
          <w:rFonts w:hint="eastAsia" w:ascii="宋体" w:hAnsi="宋体" w:eastAsia="宋体" w:cs="宋体"/>
          <w:sz w:val="24"/>
          <w:highlight w:val="none"/>
        </w:rPr>
        <w:t>定其价款，监理人签字后作为工程价款支付的依据。</w:t>
      </w:r>
    </w:p>
    <w:p w14:paraId="5B5230FB">
      <w:pPr>
        <w:pStyle w:val="10"/>
        <w:spacing w:line="309" w:lineRule="auto"/>
        <w:ind w:left="384" w:right="465" w:firstLine="480"/>
        <w:rPr>
          <w:rFonts w:hint="eastAsia" w:ascii="宋体" w:hAnsi="宋体" w:eastAsia="宋体" w:cs="宋体"/>
          <w:highlight w:val="none"/>
        </w:rPr>
      </w:pPr>
      <w:r>
        <w:rPr>
          <w:rFonts w:hint="eastAsia" w:ascii="宋体" w:hAnsi="宋体" w:eastAsia="宋体" w:cs="宋体"/>
          <w:highlight w:val="none"/>
        </w:rPr>
        <w:t>本项目工程量清单中总额价子目的支付原则和支付进度按实际完成工程量及时限计量支付，并执行以下原则：</w:t>
      </w:r>
    </w:p>
    <w:p w14:paraId="292CF9FF">
      <w:pPr>
        <w:pStyle w:val="29"/>
        <w:numPr>
          <w:ilvl w:val="4"/>
          <w:numId w:val="7"/>
        </w:numPr>
        <w:tabs>
          <w:tab w:val="left" w:pos="1523"/>
          <w:tab w:val="left" w:pos="1524"/>
        </w:tabs>
        <w:spacing w:before="1" w:line="307" w:lineRule="auto"/>
        <w:ind w:left="384" w:right="466" w:firstLine="480"/>
        <w:rPr>
          <w:rFonts w:hint="eastAsia" w:ascii="宋体" w:hAnsi="宋体" w:eastAsia="宋体" w:cs="宋体"/>
          <w:spacing w:val="-5"/>
          <w:sz w:val="24"/>
          <w:highlight w:val="none"/>
        </w:rPr>
      </w:pPr>
      <w:r>
        <w:rPr>
          <w:rFonts w:hint="eastAsia" w:ascii="宋体" w:hAnsi="宋体" w:eastAsia="宋体" w:cs="宋体"/>
          <w:spacing w:val="-5"/>
          <w:sz w:val="24"/>
          <w:highlight w:val="none"/>
        </w:rPr>
        <w:t>竣工文件：按交通运输部及新疆交通运输厅规定的竣工文件和施工文件编制的有关规定，编制出3套完整合格的竣工文件；装订尺寸及方法符合档案管理的有关规定。竣工验收后支付此项费用的90%，剩余部分在缺陷责任期满、应补齐的资料补齐后支付。</w:t>
      </w:r>
    </w:p>
    <w:p w14:paraId="4C28B8CB">
      <w:pPr>
        <w:pStyle w:val="29"/>
        <w:numPr>
          <w:ilvl w:val="4"/>
          <w:numId w:val="7"/>
        </w:numPr>
        <w:tabs>
          <w:tab w:val="left" w:pos="1523"/>
          <w:tab w:val="left" w:pos="1524"/>
        </w:tabs>
        <w:spacing w:before="1" w:line="307" w:lineRule="auto"/>
        <w:ind w:left="384" w:right="466" w:firstLine="480"/>
        <w:rPr>
          <w:rFonts w:hint="eastAsia" w:ascii="宋体" w:hAnsi="宋体" w:eastAsia="宋体" w:cs="宋体"/>
          <w:spacing w:val="-2"/>
          <w:sz w:val="24"/>
          <w:szCs w:val="24"/>
          <w:highlight w:val="none"/>
          <w:lang w:val="zh-CN" w:eastAsia="zh-CN" w:bidi="zh-CN"/>
        </w:rPr>
      </w:pPr>
      <w:r>
        <w:rPr>
          <w:rFonts w:hint="eastAsia" w:ascii="宋体" w:hAnsi="宋体" w:eastAsia="宋体" w:cs="宋体"/>
          <w:spacing w:val="-5"/>
          <w:sz w:val="24"/>
          <w:highlight w:val="none"/>
          <w:lang w:val="zh-CN" w:eastAsia="zh-CN"/>
        </w:rPr>
        <w:t>施工环保费：施工过程中注意保护工程范围以外的土地植被、当地水源、灌溉渠道，污水排放达到国家规定标准；沥青混合料拌合场必须设置在离居民</w:t>
      </w:r>
      <w:r>
        <w:rPr>
          <w:rFonts w:hint="eastAsia" w:ascii="宋体" w:hAnsi="宋体" w:eastAsia="宋体" w:cs="宋体"/>
          <w:spacing w:val="-2"/>
          <w:sz w:val="24"/>
          <w:szCs w:val="24"/>
          <w:highlight w:val="none"/>
          <w:lang w:val="zh-CN" w:eastAsia="zh-CN" w:bidi="zh-CN"/>
        </w:rPr>
        <w:t>区、学校、医院300m以外的下风处；将扬尘、噪音控制在最低水平。工程开工后，监理人对承包人实施环保措施满意，支付此项费用的30%，工程交工验收时没有被投诉，支付剩余的70%。如被罚款费用自负。</w:t>
      </w:r>
    </w:p>
    <w:p w14:paraId="49587243">
      <w:pPr>
        <w:pStyle w:val="29"/>
        <w:numPr>
          <w:ilvl w:val="0"/>
          <w:numId w:val="0"/>
        </w:numPr>
        <w:tabs>
          <w:tab w:val="left" w:pos="1484"/>
        </w:tabs>
        <w:spacing w:before="2" w:line="307" w:lineRule="auto"/>
        <w:ind w:right="462" w:rightChars="0" w:firstLine="472" w:firstLineChars="200"/>
        <w:rPr>
          <w:rFonts w:hint="eastAsia" w:ascii="宋体" w:hAnsi="宋体" w:eastAsia="宋体" w:cs="宋体"/>
          <w:spacing w:val="-2"/>
          <w:sz w:val="24"/>
          <w:szCs w:val="24"/>
          <w:highlight w:val="none"/>
          <w:lang w:val="zh-CN" w:eastAsia="zh-CN" w:bidi="zh-CN"/>
        </w:rPr>
      </w:pPr>
      <w:r>
        <w:rPr>
          <w:rFonts w:hint="eastAsia" w:ascii="宋体" w:hAnsi="宋体" w:eastAsia="宋体" w:cs="宋体"/>
          <w:spacing w:val="-2"/>
          <w:sz w:val="24"/>
          <w:szCs w:val="24"/>
          <w:highlight w:val="none"/>
          <w:lang w:val="zh-CN" w:eastAsia="zh-CN" w:bidi="zh-CN"/>
        </w:rPr>
        <w:t>临时道路修建、养护与拆除（包括原道路的养护）：承包人根据需求和需要修建的社会交通便道和施工现场的临时道路，并设置必要的交通标志，临时道路（包括原有道路）应加强养护、降低扬尘。临时道路修建后经监理人签认后支付此项费用的80%，交工后拆除恢复原地貌，工程交工验收后支付剩余的20%。</w:t>
      </w:r>
    </w:p>
    <w:p w14:paraId="42D2BE32">
      <w:pPr>
        <w:pStyle w:val="10"/>
        <w:spacing w:before="5"/>
        <w:rPr>
          <w:rFonts w:hint="eastAsia" w:ascii="宋体" w:hAnsi="宋体" w:eastAsia="宋体" w:cs="宋体"/>
          <w:spacing w:val="-2"/>
          <w:sz w:val="24"/>
          <w:szCs w:val="24"/>
          <w:highlight w:val="none"/>
          <w:lang w:val="zh-CN" w:eastAsia="zh-CN" w:bidi="zh-CN"/>
        </w:rPr>
      </w:pPr>
      <w:r>
        <w:rPr>
          <w:rFonts w:hint="eastAsia" w:ascii="宋体" w:hAnsi="宋体" w:eastAsia="宋体" w:cs="宋体"/>
          <w:spacing w:val="-2"/>
          <w:sz w:val="24"/>
          <w:szCs w:val="24"/>
          <w:highlight w:val="none"/>
          <w:lang w:val="zh-CN" w:eastAsia="zh-CN" w:bidi="zh-CN"/>
        </w:rPr>
        <w:t>临时工程用地：承包人根据现场考察和施工组织计划确定临时工程用地及费用。该项费用包含承包人生产、生活用地，施工中取土场、料场用地，临时工程堆场价为材料（或设备）的</w:t>
      </w:r>
    </w:p>
    <w:p w14:paraId="6CD2B76C">
      <w:pPr>
        <w:pStyle w:val="10"/>
        <w:spacing w:before="5"/>
        <w:rPr>
          <w:rFonts w:hint="eastAsia" w:ascii="宋体" w:hAnsi="宋体" w:eastAsia="宋体" w:cs="宋体"/>
          <w:sz w:val="17"/>
          <w:highlight w:val="none"/>
        </w:rPr>
      </w:pPr>
      <w:r>
        <w:rPr>
          <w:rFonts w:hint="eastAsia" w:ascii="宋体" w:hAnsi="宋体" w:eastAsia="宋体" w:cs="宋体"/>
          <w:spacing w:val="-2"/>
          <w:sz w:val="24"/>
          <w:szCs w:val="24"/>
          <w:highlight w:val="none"/>
          <w:lang w:val="zh-CN" w:eastAsia="zh-CN" w:bidi="zh-CN"/>
        </w:rPr>
        <w:t>出厂价或销售价。</w:t>
      </w:r>
    </w:p>
    <w:p w14:paraId="2A4FCBA9">
      <w:pPr>
        <w:pStyle w:val="29"/>
        <w:numPr>
          <w:ilvl w:val="0"/>
          <w:numId w:val="0"/>
        </w:numPr>
        <w:tabs>
          <w:tab w:val="left" w:pos="1484"/>
        </w:tabs>
        <w:spacing w:line="307" w:lineRule="auto"/>
        <w:ind w:right="361" w:rightChars="0" w:firstLine="472" w:firstLineChars="200"/>
        <w:rPr>
          <w:rFonts w:hint="eastAsia" w:ascii="宋体" w:hAnsi="宋体" w:eastAsia="宋体" w:cs="宋体"/>
          <w:spacing w:val="-2"/>
          <w:sz w:val="24"/>
          <w:szCs w:val="24"/>
          <w:highlight w:val="none"/>
          <w:lang w:val="zh-CN" w:eastAsia="zh-CN" w:bidi="zh-CN"/>
        </w:rPr>
      </w:pPr>
      <w:r>
        <w:rPr>
          <w:rFonts w:hint="eastAsia" w:ascii="宋体" w:hAnsi="宋体" w:eastAsia="宋体" w:cs="宋体"/>
          <w:spacing w:val="-2"/>
          <w:sz w:val="24"/>
          <w:szCs w:val="24"/>
          <w:highlight w:val="none"/>
          <w:lang w:val="zh-CN" w:eastAsia="zh-CN" w:bidi="zh-CN"/>
        </w:rPr>
        <w:t>及附属工作临时用地。经监理人签认后支付此项费用的80%，交工后拆除恢复原地貌后，工程交工验收后支付剩余的20%。</w:t>
      </w:r>
    </w:p>
    <w:p w14:paraId="5EAA72A6">
      <w:pPr>
        <w:pStyle w:val="29"/>
        <w:numPr>
          <w:ilvl w:val="0"/>
          <w:numId w:val="0"/>
        </w:numPr>
        <w:tabs>
          <w:tab w:val="left" w:pos="1484"/>
        </w:tabs>
        <w:spacing w:line="307" w:lineRule="auto"/>
        <w:ind w:right="361" w:rightChars="0" w:firstLine="472" w:firstLineChars="200"/>
        <w:rPr>
          <w:rFonts w:hint="eastAsia" w:ascii="宋体" w:hAnsi="宋体" w:eastAsia="宋体" w:cs="宋体"/>
          <w:spacing w:val="-2"/>
          <w:sz w:val="24"/>
          <w:szCs w:val="24"/>
          <w:highlight w:val="none"/>
          <w:lang w:val="zh-CN" w:eastAsia="zh-CN" w:bidi="zh-CN"/>
        </w:rPr>
      </w:pPr>
      <w:r>
        <w:rPr>
          <w:rFonts w:hint="eastAsia" w:ascii="宋体" w:hAnsi="宋体" w:eastAsia="宋体" w:cs="宋体"/>
          <w:spacing w:val="-2"/>
          <w:sz w:val="24"/>
          <w:szCs w:val="24"/>
          <w:highlight w:val="none"/>
          <w:lang w:val="zh-CN" w:eastAsia="zh-CN" w:bidi="zh-CN"/>
        </w:rPr>
        <w:t>临时供电设施架设、维护与拆除：开工报告批准的临时供电设施安装后支付此项费用的80%，交工后拆除所安装设备及系统恢复到工程实施前的状态，工程交工验收后支付剩余的20%。</w:t>
      </w:r>
    </w:p>
    <w:p w14:paraId="196FB2D2">
      <w:pPr>
        <w:pStyle w:val="29"/>
        <w:numPr>
          <w:ilvl w:val="0"/>
          <w:numId w:val="0"/>
        </w:numPr>
        <w:tabs>
          <w:tab w:val="left" w:pos="1484"/>
        </w:tabs>
        <w:spacing w:line="307" w:lineRule="auto"/>
        <w:ind w:right="361" w:rightChars="0" w:firstLine="472" w:firstLineChars="200"/>
        <w:rPr>
          <w:rFonts w:hint="eastAsia" w:ascii="宋体" w:hAnsi="宋体" w:eastAsia="宋体" w:cs="宋体"/>
          <w:spacing w:val="-2"/>
          <w:sz w:val="24"/>
          <w:szCs w:val="24"/>
          <w:highlight w:val="none"/>
          <w:lang w:val="zh-CN" w:eastAsia="zh-CN" w:bidi="zh-CN"/>
        </w:rPr>
      </w:pPr>
      <w:r>
        <w:rPr>
          <w:rFonts w:hint="eastAsia" w:ascii="宋体" w:hAnsi="宋体" w:eastAsia="宋体" w:cs="宋体"/>
          <w:spacing w:val="-2"/>
          <w:sz w:val="24"/>
          <w:szCs w:val="24"/>
          <w:highlight w:val="none"/>
          <w:lang w:val="zh-CN" w:eastAsia="zh-CN" w:bidi="zh-CN"/>
        </w:rPr>
        <w:t>电信设施的提供、维护与拆除：开工报告批准的临时电信设施安装后支付此项费用的80%，交工后拆除所安装设备及系统恢复到工程实施前的状态，工程交工验收后支付剩余的20%。</w:t>
      </w:r>
    </w:p>
    <w:p w14:paraId="4558946B">
      <w:pPr>
        <w:pStyle w:val="29"/>
        <w:numPr>
          <w:ilvl w:val="0"/>
          <w:numId w:val="0"/>
        </w:numPr>
        <w:tabs>
          <w:tab w:val="left" w:pos="1484"/>
        </w:tabs>
        <w:spacing w:line="307" w:lineRule="auto"/>
        <w:ind w:right="361" w:rightChars="0" w:firstLine="472" w:firstLineChars="200"/>
        <w:rPr>
          <w:rFonts w:hint="eastAsia" w:ascii="宋体" w:hAnsi="宋体" w:eastAsia="宋体" w:cs="宋体"/>
          <w:spacing w:val="-2"/>
          <w:sz w:val="24"/>
          <w:szCs w:val="24"/>
          <w:highlight w:val="none"/>
          <w:lang w:val="zh-CN" w:eastAsia="zh-CN" w:bidi="zh-CN"/>
        </w:rPr>
      </w:pPr>
      <w:r>
        <w:rPr>
          <w:rFonts w:hint="eastAsia" w:ascii="宋体" w:hAnsi="宋体" w:eastAsia="宋体" w:cs="宋体"/>
          <w:spacing w:val="-2"/>
          <w:sz w:val="24"/>
          <w:szCs w:val="24"/>
          <w:highlight w:val="none"/>
          <w:lang w:val="zh-CN" w:eastAsia="zh-CN" w:bidi="zh-CN"/>
        </w:rPr>
        <w:t>临时供水与排污设施：供水与排污设施实施经监理人签认后支付此项费用的 90%，交工后拆除其全部临时排污设施恢复到工程实施前的状态，工程交工验收后支付剩余的10%。</w:t>
      </w:r>
    </w:p>
    <w:p w14:paraId="1D69CF86">
      <w:pPr>
        <w:pStyle w:val="29"/>
        <w:numPr>
          <w:ilvl w:val="0"/>
          <w:numId w:val="0"/>
        </w:numPr>
        <w:tabs>
          <w:tab w:val="left" w:pos="1484"/>
        </w:tabs>
        <w:spacing w:line="307" w:lineRule="auto"/>
        <w:ind w:right="361" w:rightChars="0" w:firstLine="472" w:firstLineChars="200"/>
        <w:rPr>
          <w:rFonts w:hint="eastAsia" w:ascii="宋体" w:hAnsi="宋体" w:eastAsia="宋体" w:cs="宋体"/>
          <w:spacing w:val="-2"/>
          <w:sz w:val="24"/>
          <w:szCs w:val="24"/>
          <w:highlight w:val="none"/>
          <w:lang w:val="zh-CN" w:eastAsia="zh-CN" w:bidi="zh-CN"/>
        </w:rPr>
      </w:pPr>
      <w:r>
        <w:rPr>
          <w:rFonts w:hint="eastAsia" w:ascii="宋体" w:hAnsi="宋体" w:eastAsia="宋体" w:cs="宋体"/>
          <w:spacing w:val="-2"/>
          <w:sz w:val="24"/>
          <w:szCs w:val="24"/>
          <w:highlight w:val="none"/>
          <w:lang w:val="zh-CN" w:eastAsia="zh-CN" w:bidi="zh-CN"/>
        </w:rPr>
        <w:t>承包人驻地建设：驻地建设完成、开工报告批准、工地试验室制备齐全后支付此项费用的90%，按照合同或协议将驻地移走、清除、恢复原貌后，工程交工验收后支付剩余的10%。</w:t>
      </w:r>
    </w:p>
    <w:p w14:paraId="48A33C85">
      <w:pPr>
        <w:pStyle w:val="29"/>
        <w:numPr>
          <w:ilvl w:val="0"/>
          <w:numId w:val="0"/>
        </w:numPr>
        <w:tabs>
          <w:tab w:val="left" w:pos="1484"/>
        </w:tabs>
        <w:spacing w:line="307" w:lineRule="auto"/>
        <w:ind w:right="361" w:rightChars="0" w:firstLine="472" w:firstLineChars="200"/>
        <w:rPr>
          <w:rFonts w:hint="eastAsia" w:ascii="宋体" w:hAnsi="宋体" w:eastAsia="宋体" w:cs="宋体"/>
          <w:spacing w:val="-2"/>
          <w:sz w:val="24"/>
          <w:szCs w:val="24"/>
          <w:highlight w:val="none"/>
          <w:lang w:val="zh-CN" w:eastAsia="zh-CN" w:bidi="zh-CN"/>
        </w:rPr>
      </w:pPr>
      <w:r>
        <w:rPr>
          <w:rFonts w:hint="eastAsia" w:ascii="宋体" w:hAnsi="宋体" w:eastAsia="宋体" w:cs="宋体"/>
          <w:spacing w:val="-2"/>
          <w:sz w:val="24"/>
          <w:szCs w:val="24"/>
          <w:highlight w:val="none"/>
          <w:lang w:val="zh-CN" w:eastAsia="zh-CN" w:bidi="zh-CN"/>
        </w:rPr>
        <w:t>全生产费：施工安全设施费用及与此有关的一切作业经监理人对工程安全生产情况检查达到安全合格标准后，以总额的90%按月（合同工期）平均分次支付。交工验收后经监理人同意后支付剩余的10%。如承包人在此基础上增加安全生产费用以满足项目施工需要，则承包人应在本项目工程量清单其他相关子目的单价或总额价中予以考虑，发包人不再另行支付。</w:t>
      </w:r>
    </w:p>
    <w:p w14:paraId="4177FE1C">
      <w:pPr>
        <w:pStyle w:val="29"/>
        <w:numPr>
          <w:ilvl w:val="0"/>
          <w:numId w:val="0"/>
        </w:numPr>
        <w:tabs>
          <w:tab w:val="left" w:pos="1484"/>
        </w:tabs>
        <w:spacing w:line="307" w:lineRule="auto"/>
        <w:ind w:right="361" w:rightChars="0" w:firstLine="472" w:firstLineChars="200"/>
        <w:rPr>
          <w:rFonts w:hint="eastAsia" w:ascii="宋体" w:hAnsi="宋体" w:eastAsia="宋体" w:cs="宋体"/>
          <w:spacing w:val="-2"/>
          <w:sz w:val="24"/>
          <w:szCs w:val="24"/>
          <w:highlight w:val="none"/>
          <w:lang w:val="zh-CN" w:eastAsia="zh-CN" w:bidi="zh-CN"/>
        </w:rPr>
      </w:pPr>
      <w:r>
        <w:rPr>
          <w:rFonts w:hint="eastAsia" w:ascii="宋体" w:hAnsi="宋体" w:eastAsia="宋体" w:cs="宋体"/>
          <w:spacing w:val="-2"/>
          <w:sz w:val="24"/>
          <w:szCs w:val="24"/>
          <w:highlight w:val="none"/>
          <w:lang w:val="zh-CN" w:eastAsia="zh-CN" w:bidi="zh-CN"/>
        </w:rPr>
        <w:t>对承包人超出设计图纸范围和因承包人原因造成返工的工程量，不予计量。</w:t>
      </w:r>
    </w:p>
    <w:p w14:paraId="3F3AC920">
      <w:pPr>
        <w:pStyle w:val="29"/>
        <w:numPr>
          <w:ilvl w:val="0"/>
          <w:numId w:val="0"/>
        </w:numPr>
        <w:tabs>
          <w:tab w:val="left" w:pos="1484"/>
        </w:tabs>
        <w:spacing w:line="307" w:lineRule="auto"/>
        <w:ind w:right="361" w:rightChars="0"/>
        <w:rPr>
          <w:rFonts w:hint="eastAsia" w:ascii="宋体" w:hAnsi="宋体" w:eastAsia="宋体" w:cs="宋体"/>
          <w:spacing w:val="-2"/>
          <w:sz w:val="24"/>
          <w:szCs w:val="24"/>
          <w:highlight w:val="none"/>
          <w:lang w:val="zh-CN" w:eastAsia="zh-CN" w:bidi="zh-CN"/>
        </w:rPr>
      </w:pPr>
      <w:r>
        <w:rPr>
          <w:rFonts w:hint="eastAsia" w:ascii="宋体" w:hAnsi="宋体" w:eastAsia="宋体" w:cs="宋体"/>
          <w:spacing w:val="-2"/>
          <w:sz w:val="24"/>
          <w:szCs w:val="24"/>
          <w:highlight w:val="none"/>
          <w:lang w:val="zh-CN" w:eastAsia="zh-CN" w:bidi="zh-CN"/>
        </w:rPr>
        <w:t>月支付：</w:t>
      </w:r>
    </w:p>
    <w:p w14:paraId="40026E8B">
      <w:pPr>
        <w:pStyle w:val="29"/>
        <w:numPr>
          <w:ilvl w:val="0"/>
          <w:numId w:val="0"/>
        </w:numPr>
        <w:tabs>
          <w:tab w:val="left" w:pos="1484"/>
        </w:tabs>
        <w:spacing w:line="307" w:lineRule="auto"/>
        <w:ind w:right="361" w:rightChars="0" w:firstLine="472" w:firstLineChars="200"/>
        <w:rPr>
          <w:rFonts w:hint="eastAsia" w:ascii="宋体" w:hAnsi="宋体" w:eastAsia="宋体" w:cs="宋体"/>
          <w:spacing w:val="-2"/>
          <w:sz w:val="24"/>
          <w:szCs w:val="24"/>
          <w:highlight w:val="none"/>
          <w:lang w:val="zh-CN" w:eastAsia="zh-CN" w:bidi="zh-CN"/>
        </w:rPr>
      </w:pPr>
      <w:r>
        <w:rPr>
          <w:rFonts w:hint="eastAsia" w:ascii="宋体" w:hAnsi="宋体" w:eastAsia="宋体" w:cs="宋体"/>
          <w:spacing w:val="-2"/>
          <w:sz w:val="24"/>
          <w:szCs w:val="24"/>
          <w:highlight w:val="none"/>
          <w:lang w:val="zh-CN" w:eastAsia="zh-CN" w:bidi="zh-CN"/>
        </w:rPr>
        <w:t>承包人应在每月25日前向监理人提交由其项目经理签署的按《工程进度计量报表》格式填写月结账单一式6份；</w:t>
      </w:r>
    </w:p>
    <w:p w14:paraId="1D30D69D">
      <w:pPr>
        <w:pStyle w:val="29"/>
        <w:numPr>
          <w:ilvl w:val="0"/>
          <w:numId w:val="0"/>
        </w:numPr>
        <w:tabs>
          <w:tab w:val="left" w:pos="1465"/>
        </w:tabs>
        <w:spacing w:before="84" w:line="304" w:lineRule="auto"/>
        <w:ind w:right="466" w:rightChars="0" w:firstLine="460" w:firstLineChars="200"/>
        <w:rPr>
          <w:rFonts w:hint="eastAsia" w:ascii="宋体" w:hAnsi="宋体" w:eastAsia="宋体" w:cs="宋体"/>
          <w:sz w:val="24"/>
          <w:highlight w:val="none"/>
        </w:rPr>
      </w:pPr>
      <w:r>
        <w:rPr>
          <w:rFonts w:hint="eastAsia" w:ascii="宋体" w:hAnsi="宋体" w:eastAsia="宋体" w:cs="宋体"/>
          <w:spacing w:val="-5"/>
          <w:sz w:val="24"/>
          <w:highlight w:val="none"/>
        </w:rPr>
        <w:t>监理人在收到月结账单后</w:t>
      </w:r>
      <w:r>
        <w:rPr>
          <w:rFonts w:hint="eastAsia" w:ascii="宋体" w:hAnsi="宋体" w:eastAsia="宋体" w:cs="宋体"/>
          <w:sz w:val="24"/>
          <w:highlight w:val="none"/>
        </w:rPr>
        <w:t>7</w:t>
      </w:r>
      <w:r>
        <w:rPr>
          <w:rFonts w:hint="eastAsia" w:ascii="宋体" w:hAnsi="宋体" w:eastAsia="宋体" w:cs="宋体"/>
          <w:spacing w:val="-4"/>
          <w:sz w:val="24"/>
          <w:highlight w:val="none"/>
        </w:rPr>
        <w:t>天内签发中期支付证书，签发时应写明其认</w:t>
      </w:r>
      <w:r>
        <w:rPr>
          <w:rFonts w:hint="eastAsia" w:ascii="宋体" w:hAnsi="宋体" w:eastAsia="宋体" w:cs="宋体"/>
          <w:spacing w:val="-5"/>
          <w:sz w:val="24"/>
          <w:highlight w:val="none"/>
        </w:rPr>
        <w:t>为应该到期结算的价款及需要扣留和扣回的款额并报发包人审批；</w:t>
      </w:r>
    </w:p>
    <w:p w14:paraId="2E990D2F">
      <w:pPr>
        <w:pStyle w:val="29"/>
        <w:numPr>
          <w:ilvl w:val="0"/>
          <w:numId w:val="0"/>
        </w:numPr>
        <w:tabs>
          <w:tab w:val="left" w:pos="1484"/>
        </w:tabs>
        <w:spacing w:line="307" w:lineRule="auto"/>
        <w:ind w:right="361" w:rightChars="0" w:firstLine="472" w:firstLineChars="200"/>
        <w:rPr>
          <w:rFonts w:hint="eastAsia" w:ascii="宋体" w:hAnsi="宋体" w:eastAsia="宋体" w:cs="宋体"/>
          <w:spacing w:val="-2"/>
          <w:sz w:val="24"/>
          <w:szCs w:val="24"/>
          <w:highlight w:val="none"/>
          <w:lang w:val="zh-CN" w:eastAsia="zh-CN" w:bidi="zh-CN"/>
        </w:rPr>
      </w:pPr>
      <w:r>
        <w:rPr>
          <w:rFonts w:hint="eastAsia" w:ascii="宋体" w:hAnsi="宋体" w:eastAsia="宋体" w:cs="宋体"/>
          <w:spacing w:val="-2"/>
          <w:sz w:val="24"/>
          <w:szCs w:val="24"/>
          <w:highlight w:val="none"/>
          <w:lang w:val="zh-CN" w:eastAsia="zh-CN" w:bidi="zh-CN"/>
        </w:rPr>
        <w:t>发包人应在收到该中期支付证书后14天内支付给承包人。如果发包人在上述期限内未能付款，发包人应按全国银行间同业拆借中心公布的1年期贷款市场报价利率向承包人支付未付款额的利息，付息时间从应付而未付该款额之日算起。</w:t>
      </w:r>
    </w:p>
    <w:p w14:paraId="789AF2A9">
      <w:pPr>
        <w:pStyle w:val="29"/>
        <w:numPr>
          <w:ilvl w:val="4"/>
          <w:numId w:val="7"/>
        </w:numPr>
        <w:tabs>
          <w:tab w:val="left" w:pos="1523"/>
          <w:tab w:val="left" w:pos="1524"/>
        </w:tabs>
        <w:spacing w:before="4" w:line="304" w:lineRule="auto"/>
        <w:ind w:left="384" w:right="466" w:firstLine="480"/>
        <w:rPr>
          <w:rFonts w:hint="eastAsia" w:ascii="宋体" w:hAnsi="宋体" w:eastAsia="宋体" w:cs="宋体"/>
          <w:sz w:val="24"/>
          <w:highlight w:val="none"/>
        </w:rPr>
      </w:pPr>
      <w:r>
        <w:rPr>
          <w:rFonts w:hint="eastAsia" w:ascii="宋体" w:hAnsi="宋体" w:eastAsia="宋体" w:cs="宋体"/>
          <w:spacing w:val="-5"/>
          <w:sz w:val="24"/>
          <w:highlight w:val="none"/>
        </w:rPr>
        <w:t>在合同工程交工证书签发后</w:t>
      </w:r>
      <w:r>
        <w:rPr>
          <w:rFonts w:hint="eastAsia" w:ascii="宋体" w:hAnsi="宋体" w:eastAsia="宋体" w:cs="宋体"/>
          <w:sz w:val="24"/>
          <w:highlight w:val="none"/>
        </w:rPr>
        <w:t>42</w:t>
      </w:r>
      <w:r>
        <w:rPr>
          <w:rFonts w:hint="eastAsia" w:ascii="宋体" w:hAnsi="宋体" w:eastAsia="宋体" w:cs="宋体"/>
          <w:spacing w:val="-6"/>
          <w:sz w:val="24"/>
          <w:highlight w:val="none"/>
        </w:rPr>
        <w:t>天之内，承包人应向监理人提交一份交工</w:t>
      </w:r>
      <w:r>
        <w:rPr>
          <w:rFonts w:hint="eastAsia" w:ascii="宋体" w:hAnsi="宋体" w:eastAsia="宋体" w:cs="宋体"/>
          <w:sz w:val="24"/>
          <w:highlight w:val="none"/>
        </w:rPr>
        <w:t>结算单，并附上详细文件，表明：</w:t>
      </w:r>
    </w:p>
    <w:p w14:paraId="59ABE936">
      <w:pPr>
        <w:pStyle w:val="29"/>
        <w:numPr>
          <w:ilvl w:val="0"/>
          <w:numId w:val="21"/>
        </w:numPr>
        <w:tabs>
          <w:tab w:val="left" w:pos="1465"/>
        </w:tabs>
        <w:spacing w:before="1"/>
        <w:rPr>
          <w:rFonts w:hint="eastAsia" w:ascii="宋体" w:hAnsi="宋体" w:eastAsia="宋体" w:cs="宋体"/>
          <w:sz w:val="24"/>
          <w:highlight w:val="none"/>
        </w:rPr>
      </w:pPr>
      <w:r>
        <w:rPr>
          <w:rFonts w:hint="eastAsia" w:ascii="宋体" w:hAnsi="宋体" w:eastAsia="宋体" w:cs="宋体"/>
          <w:sz w:val="24"/>
          <w:highlight w:val="none"/>
        </w:rPr>
        <w:t>按交工证书中写明的交工日期，完成的合同全部工程的最终价值；</w:t>
      </w:r>
    </w:p>
    <w:p w14:paraId="46827067">
      <w:pPr>
        <w:pStyle w:val="29"/>
        <w:numPr>
          <w:ilvl w:val="0"/>
          <w:numId w:val="21"/>
        </w:numPr>
        <w:tabs>
          <w:tab w:val="left" w:pos="1465"/>
        </w:tabs>
        <w:spacing w:before="86"/>
        <w:rPr>
          <w:rFonts w:hint="eastAsia" w:ascii="宋体" w:hAnsi="宋体" w:eastAsia="宋体" w:cs="宋体"/>
          <w:sz w:val="24"/>
          <w:highlight w:val="none"/>
        </w:rPr>
      </w:pPr>
      <w:r>
        <w:rPr>
          <w:rFonts w:hint="eastAsia" w:ascii="宋体" w:hAnsi="宋体" w:eastAsia="宋体" w:cs="宋体"/>
          <w:sz w:val="24"/>
          <w:highlight w:val="none"/>
        </w:rPr>
        <w:t>承包人认为应支付的其他款项。</w:t>
      </w:r>
    </w:p>
    <w:p w14:paraId="6832B4B6">
      <w:pPr>
        <w:pStyle w:val="29"/>
        <w:numPr>
          <w:ilvl w:val="4"/>
          <w:numId w:val="7"/>
        </w:numPr>
        <w:tabs>
          <w:tab w:val="left" w:pos="1523"/>
          <w:tab w:val="left" w:pos="1524"/>
        </w:tabs>
        <w:spacing w:before="84" w:line="304" w:lineRule="auto"/>
        <w:ind w:left="384" w:right="346" w:firstLine="480"/>
        <w:rPr>
          <w:rFonts w:hint="eastAsia" w:ascii="宋体" w:hAnsi="宋体" w:eastAsia="宋体" w:cs="宋体"/>
          <w:sz w:val="24"/>
          <w:highlight w:val="none"/>
        </w:rPr>
      </w:pPr>
      <w:r>
        <w:rPr>
          <w:rFonts w:hint="eastAsia" w:ascii="宋体" w:hAnsi="宋体" w:eastAsia="宋体" w:cs="宋体"/>
          <w:spacing w:val="-8"/>
          <w:sz w:val="24"/>
          <w:highlight w:val="none"/>
        </w:rPr>
        <w:t>在缺陷责任期满的</w:t>
      </w:r>
      <w:r>
        <w:rPr>
          <w:rFonts w:hint="eastAsia" w:ascii="宋体" w:hAnsi="宋体" w:eastAsia="宋体" w:cs="宋体"/>
          <w:sz w:val="24"/>
          <w:highlight w:val="none"/>
        </w:rPr>
        <w:t>14</w:t>
      </w:r>
      <w:r>
        <w:rPr>
          <w:rFonts w:hint="eastAsia" w:ascii="宋体" w:hAnsi="宋体" w:eastAsia="宋体" w:cs="宋体"/>
          <w:spacing w:val="-13"/>
          <w:sz w:val="24"/>
          <w:highlight w:val="none"/>
        </w:rPr>
        <w:t xml:space="preserve">天内，承包人应向监理人提交一份最后结账单草案， </w:t>
      </w:r>
      <w:r>
        <w:rPr>
          <w:rFonts w:hint="eastAsia" w:ascii="宋体" w:hAnsi="宋体" w:eastAsia="宋体" w:cs="宋体"/>
          <w:sz w:val="24"/>
          <w:highlight w:val="none"/>
        </w:rPr>
        <w:t>并附上详细的证明文件，供监理人考虑，表明：</w:t>
      </w:r>
    </w:p>
    <w:p w14:paraId="4866E090">
      <w:pPr>
        <w:pStyle w:val="29"/>
        <w:numPr>
          <w:ilvl w:val="0"/>
          <w:numId w:val="22"/>
        </w:numPr>
        <w:tabs>
          <w:tab w:val="left" w:pos="1465"/>
        </w:tabs>
        <w:spacing w:before="74"/>
        <w:rPr>
          <w:rFonts w:hint="eastAsia" w:ascii="宋体" w:hAnsi="宋体" w:eastAsia="宋体" w:cs="宋体"/>
          <w:sz w:val="24"/>
          <w:highlight w:val="none"/>
        </w:rPr>
      </w:pPr>
      <w:r>
        <w:rPr>
          <w:rFonts w:hint="eastAsia" w:ascii="宋体" w:hAnsi="宋体" w:eastAsia="宋体" w:cs="宋体"/>
          <w:sz w:val="24"/>
          <w:highlight w:val="none"/>
        </w:rPr>
        <w:t>根据合同规定已经完成的全部工程价值；</w:t>
      </w:r>
    </w:p>
    <w:p w14:paraId="7D444E28">
      <w:pPr>
        <w:pStyle w:val="29"/>
        <w:numPr>
          <w:ilvl w:val="0"/>
          <w:numId w:val="22"/>
        </w:numPr>
        <w:tabs>
          <w:tab w:val="left" w:pos="1465"/>
        </w:tabs>
        <w:spacing w:before="84"/>
        <w:rPr>
          <w:rFonts w:hint="eastAsia" w:ascii="宋体" w:hAnsi="宋体" w:eastAsia="宋体" w:cs="宋体"/>
          <w:sz w:val="24"/>
          <w:highlight w:val="none"/>
        </w:rPr>
      </w:pPr>
      <w:r>
        <w:rPr>
          <w:rFonts w:hint="eastAsia" w:ascii="宋体" w:hAnsi="宋体" w:eastAsia="宋体" w:cs="宋体"/>
          <w:sz w:val="24"/>
          <w:highlight w:val="none"/>
        </w:rPr>
        <w:t>承包人根据合同规定认为应该支付的任何其他的款项。</w:t>
      </w:r>
    </w:p>
    <w:p w14:paraId="2FC53613">
      <w:pPr>
        <w:pStyle w:val="29"/>
        <w:numPr>
          <w:ilvl w:val="4"/>
          <w:numId w:val="7"/>
        </w:numPr>
        <w:tabs>
          <w:tab w:val="left" w:pos="1528"/>
          <w:tab w:val="left" w:pos="1529"/>
        </w:tabs>
        <w:spacing w:before="86" w:line="304" w:lineRule="auto"/>
        <w:ind w:left="384" w:right="467" w:firstLine="480"/>
        <w:rPr>
          <w:rFonts w:hint="eastAsia" w:ascii="宋体" w:hAnsi="宋体" w:eastAsia="宋体" w:cs="宋体"/>
          <w:sz w:val="24"/>
          <w:highlight w:val="none"/>
        </w:rPr>
      </w:pPr>
      <w:r>
        <w:rPr>
          <w:rFonts w:hint="eastAsia" w:ascii="宋体" w:hAnsi="宋体" w:eastAsia="宋体" w:cs="宋体"/>
          <w:sz w:val="24"/>
          <w:highlight w:val="none"/>
        </w:rPr>
        <w:t>在提交最后结账单的同时，承包人应给发包人一份书面清账书并抄送监理人，确认最后结账单中的总额作为应付给承包人的全部款项的最后结算。</w:t>
      </w:r>
    </w:p>
    <w:p w14:paraId="3346A595">
      <w:pPr>
        <w:pStyle w:val="10"/>
        <w:spacing w:before="1" w:line="307" w:lineRule="auto"/>
        <w:ind w:left="384" w:right="415" w:firstLine="480"/>
        <w:rPr>
          <w:rFonts w:hint="eastAsia" w:ascii="宋体" w:hAnsi="宋体" w:eastAsia="宋体" w:cs="宋体"/>
          <w:highlight w:val="none"/>
        </w:rPr>
      </w:pPr>
      <w:r>
        <w:rPr>
          <w:rFonts w:hint="eastAsia" w:ascii="宋体" w:hAnsi="宋体" w:eastAsia="宋体" w:cs="宋体"/>
          <w:highlight w:val="none"/>
        </w:rPr>
        <w:t>在最后结账单收到7天内，监理人应该签发一份最后支付证书报发包人批准， 并抄送承包人，说明：</w:t>
      </w:r>
    </w:p>
    <w:p w14:paraId="2C1A8B0A">
      <w:pPr>
        <w:pStyle w:val="29"/>
        <w:numPr>
          <w:ilvl w:val="0"/>
          <w:numId w:val="23"/>
        </w:numPr>
        <w:tabs>
          <w:tab w:val="left" w:pos="1465"/>
        </w:tabs>
        <w:spacing w:line="305" w:lineRule="exact"/>
        <w:rPr>
          <w:rFonts w:hint="eastAsia" w:ascii="宋体" w:hAnsi="宋体" w:eastAsia="宋体" w:cs="宋体"/>
          <w:sz w:val="24"/>
          <w:highlight w:val="none"/>
        </w:rPr>
      </w:pPr>
      <w:r>
        <w:rPr>
          <w:rFonts w:hint="eastAsia" w:ascii="宋体" w:hAnsi="宋体" w:eastAsia="宋体" w:cs="宋体"/>
          <w:sz w:val="24"/>
          <w:highlight w:val="none"/>
        </w:rPr>
        <w:t>根据合同规定的最后应付的款额；</w:t>
      </w:r>
    </w:p>
    <w:p w14:paraId="1451534A">
      <w:pPr>
        <w:pStyle w:val="29"/>
        <w:numPr>
          <w:ilvl w:val="0"/>
          <w:numId w:val="23"/>
        </w:numPr>
        <w:tabs>
          <w:tab w:val="left" w:pos="1465"/>
        </w:tabs>
        <w:spacing w:before="84" w:line="307" w:lineRule="auto"/>
        <w:ind w:left="384" w:right="466" w:firstLine="480"/>
        <w:rPr>
          <w:rFonts w:hint="eastAsia" w:ascii="宋体" w:hAnsi="宋体" w:eastAsia="宋体" w:cs="宋体"/>
          <w:sz w:val="24"/>
          <w:highlight w:val="none"/>
        </w:rPr>
      </w:pPr>
      <w:r>
        <w:rPr>
          <w:rFonts w:hint="eastAsia" w:ascii="宋体" w:hAnsi="宋体" w:eastAsia="宋体" w:cs="宋体"/>
          <w:sz w:val="24"/>
          <w:highlight w:val="none"/>
        </w:rPr>
        <w:t>在对发包人以前所付的全部款额和发包人根据合同规定应得的全部款项</w:t>
      </w:r>
      <w:r>
        <w:rPr>
          <w:rFonts w:hint="eastAsia" w:ascii="宋体" w:hAnsi="宋体" w:eastAsia="宋体" w:cs="宋体"/>
          <w:spacing w:val="-5"/>
          <w:sz w:val="24"/>
          <w:highlight w:val="none"/>
        </w:rPr>
        <w:t>予以确认后，发包人欠承包人或承包人欠发包人的差额；</w:t>
      </w:r>
    </w:p>
    <w:p w14:paraId="5035C6C4">
      <w:pPr>
        <w:pStyle w:val="29"/>
        <w:numPr>
          <w:ilvl w:val="0"/>
          <w:numId w:val="23"/>
        </w:numPr>
        <w:tabs>
          <w:tab w:val="left" w:pos="1465"/>
        </w:tabs>
        <w:spacing w:line="307" w:lineRule="auto"/>
        <w:ind w:left="384" w:right="466" w:firstLine="480"/>
        <w:jc w:val="both"/>
        <w:rPr>
          <w:rFonts w:hint="eastAsia" w:ascii="宋体" w:hAnsi="宋体" w:eastAsia="宋体" w:cs="宋体"/>
          <w:sz w:val="24"/>
          <w:highlight w:val="none"/>
        </w:rPr>
      </w:pPr>
      <w:r>
        <w:rPr>
          <w:rFonts w:hint="eastAsia" w:ascii="宋体" w:hAnsi="宋体" w:eastAsia="宋体" w:cs="宋体"/>
          <w:spacing w:val="-5"/>
          <w:sz w:val="24"/>
          <w:highlight w:val="none"/>
        </w:rPr>
        <w:t>工程进度付款的修正，在对以往历次已签发的进度付款证书进行汇总和审核中发现错、漏或重复的，监理人有权修正，承包人也有权提出修正申请。经双</w:t>
      </w:r>
      <w:r>
        <w:rPr>
          <w:rFonts w:hint="eastAsia" w:ascii="宋体" w:hAnsi="宋体" w:eastAsia="宋体" w:cs="宋体"/>
          <w:spacing w:val="-4"/>
          <w:sz w:val="24"/>
          <w:highlight w:val="none"/>
        </w:rPr>
        <w:t>方复核同意的修正，应在本次进度付款中支付或扣除。</w:t>
      </w:r>
    </w:p>
    <w:p w14:paraId="0E722EDB">
      <w:pPr>
        <w:pStyle w:val="29"/>
        <w:numPr>
          <w:ilvl w:val="0"/>
          <w:numId w:val="0"/>
        </w:numPr>
        <w:tabs>
          <w:tab w:val="left" w:pos="1465"/>
        </w:tabs>
        <w:spacing w:before="7" w:line="304" w:lineRule="auto"/>
        <w:ind w:right="466" w:rightChars="0" w:firstLine="440" w:firstLineChars="200"/>
        <w:jc w:val="both"/>
        <w:rPr>
          <w:rFonts w:hint="eastAsia" w:ascii="宋体" w:hAnsi="宋体" w:eastAsia="宋体" w:cs="宋体"/>
          <w:highlight w:val="none"/>
        </w:rPr>
      </w:pPr>
      <w:r>
        <w:rPr>
          <w:rFonts w:hint="eastAsia" w:ascii="宋体" w:hAnsi="宋体" w:eastAsia="宋体" w:cs="宋体"/>
          <w:highlight w:val="none"/>
        </w:rPr>
        <w:t>七、试验和检验</w:t>
      </w:r>
    </w:p>
    <w:p w14:paraId="3CDFB089">
      <w:pPr>
        <w:pStyle w:val="10"/>
        <w:rPr>
          <w:rFonts w:hint="eastAsia" w:ascii="宋体" w:hAnsi="宋体" w:eastAsia="宋体" w:cs="宋体"/>
          <w:sz w:val="20"/>
          <w:highlight w:val="none"/>
        </w:rPr>
      </w:pPr>
    </w:p>
    <w:p w14:paraId="46B750BE">
      <w:pPr>
        <w:pStyle w:val="29"/>
        <w:numPr>
          <w:ilvl w:val="3"/>
          <w:numId w:val="7"/>
        </w:numPr>
        <w:tabs>
          <w:tab w:val="left" w:pos="1244"/>
        </w:tabs>
        <w:spacing w:before="1"/>
        <w:ind w:left="1243" w:hanging="421"/>
        <w:jc w:val="both"/>
        <w:rPr>
          <w:rFonts w:hint="eastAsia" w:ascii="宋体" w:hAnsi="宋体" w:eastAsia="宋体" w:cs="宋体"/>
          <w:sz w:val="24"/>
          <w:highlight w:val="none"/>
        </w:rPr>
      </w:pPr>
      <w:r>
        <w:rPr>
          <w:rFonts w:hint="eastAsia" w:ascii="宋体" w:hAnsi="宋体" w:eastAsia="宋体" w:cs="宋体"/>
          <w:sz w:val="24"/>
          <w:highlight w:val="none"/>
        </w:rPr>
        <w:t>试验和检验</w:t>
      </w:r>
    </w:p>
    <w:p w14:paraId="1DE145B4">
      <w:pPr>
        <w:pStyle w:val="10"/>
        <w:spacing w:before="4"/>
        <w:rPr>
          <w:rFonts w:hint="eastAsia" w:ascii="宋体" w:hAnsi="宋体" w:eastAsia="宋体" w:cs="宋体"/>
          <w:sz w:val="20"/>
          <w:highlight w:val="none"/>
        </w:rPr>
      </w:pPr>
    </w:p>
    <w:p w14:paraId="36AF59CD">
      <w:pPr>
        <w:pStyle w:val="29"/>
        <w:numPr>
          <w:ilvl w:val="4"/>
          <w:numId w:val="7"/>
        </w:numPr>
        <w:tabs>
          <w:tab w:val="left" w:pos="1524"/>
        </w:tabs>
        <w:spacing w:before="1"/>
        <w:ind w:left="1524" w:hanging="660"/>
        <w:jc w:val="both"/>
        <w:rPr>
          <w:rFonts w:hint="eastAsia" w:ascii="宋体" w:hAnsi="宋体" w:eastAsia="宋体" w:cs="宋体"/>
          <w:sz w:val="24"/>
          <w:highlight w:val="none"/>
        </w:rPr>
      </w:pPr>
      <w:r>
        <w:rPr>
          <w:rFonts w:hint="eastAsia" w:ascii="宋体" w:hAnsi="宋体" w:eastAsia="宋体" w:cs="宋体"/>
          <w:sz w:val="24"/>
          <w:highlight w:val="none"/>
        </w:rPr>
        <w:t>材料、工程设备和工程的试验和检验</w:t>
      </w:r>
    </w:p>
    <w:p w14:paraId="0D441FC2">
      <w:pPr>
        <w:pStyle w:val="10"/>
        <w:spacing w:before="5"/>
        <w:rPr>
          <w:rFonts w:hint="eastAsia" w:ascii="宋体" w:hAnsi="宋体" w:eastAsia="宋体" w:cs="宋体"/>
          <w:sz w:val="17"/>
          <w:highlight w:val="none"/>
        </w:rPr>
      </w:pPr>
      <w:r>
        <w:rPr>
          <w:rFonts w:hint="eastAsia" w:ascii="宋体" w:hAnsi="宋体" w:eastAsia="宋体" w:cs="宋体"/>
          <w:spacing w:val="-3"/>
          <w:sz w:val="24"/>
          <w:highlight w:val="none"/>
        </w:rPr>
        <w:t>承包人应按合同约定进行材料、工程设备和工程的试验和检验，并为监</w:t>
      </w:r>
      <w:r>
        <w:rPr>
          <w:rFonts w:hint="eastAsia" w:ascii="宋体" w:hAnsi="宋体" w:eastAsia="宋体" w:cs="宋体"/>
          <w:spacing w:val="-5"/>
          <w:sz w:val="24"/>
          <w:highlight w:val="none"/>
        </w:rPr>
        <w:t>理人对上述材料、工程设备和工程的质量检查提供必要的试验资料和原始记录。按</w:t>
      </w:r>
      <w:r>
        <w:rPr>
          <w:rFonts w:hint="eastAsia" w:ascii="宋体" w:hAnsi="宋体" w:eastAsia="宋体" w:cs="宋体"/>
          <w:spacing w:val="-4"/>
          <w:sz w:val="24"/>
          <w:highlight w:val="none"/>
        </w:rPr>
        <w:t>合同约定应由监理人与承包人共同进行试验和检验的，由承包人负责提供必要的试验资料和原始记录；</w:t>
      </w:r>
    </w:p>
    <w:p w14:paraId="3FDF320A">
      <w:pPr>
        <w:pStyle w:val="29"/>
        <w:numPr>
          <w:ilvl w:val="0"/>
          <w:numId w:val="24"/>
        </w:numPr>
        <w:tabs>
          <w:tab w:val="left" w:pos="1465"/>
        </w:tabs>
        <w:spacing w:before="74" w:line="304" w:lineRule="auto"/>
        <w:ind w:right="346" w:firstLine="480"/>
        <w:rPr>
          <w:rFonts w:hint="eastAsia" w:ascii="宋体" w:hAnsi="宋体" w:eastAsia="宋体" w:cs="宋体"/>
          <w:sz w:val="24"/>
          <w:highlight w:val="none"/>
        </w:rPr>
      </w:pPr>
      <w:r>
        <w:rPr>
          <w:rFonts w:hint="eastAsia" w:ascii="宋体" w:hAnsi="宋体" w:eastAsia="宋体" w:cs="宋体"/>
          <w:spacing w:val="-3"/>
          <w:sz w:val="24"/>
          <w:highlight w:val="none"/>
        </w:rPr>
        <w:t>监理人未按合同约定派员参加试验和检验的，除监理人另有指示外，承包</w:t>
      </w:r>
      <w:r>
        <w:rPr>
          <w:rFonts w:hint="eastAsia" w:ascii="宋体" w:hAnsi="宋体" w:eastAsia="宋体" w:cs="宋体"/>
          <w:spacing w:val="-11"/>
          <w:sz w:val="24"/>
          <w:highlight w:val="none"/>
        </w:rPr>
        <w:t>人可自行试验和检验，并应立即将试验和检验结果报送监理人，监理人应签字确认；</w:t>
      </w:r>
    </w:p>
    <w:p w14:paraId="5C57AF32">
      <w:pPr>
        <w:pStyle w:val="29"/>
        <w:numPr>
          <w:ilvl w:val="0"/>
          <w:numId w:val="24"/>
        </w:numPr>
        <w:tabs>
          <w:tab w:val="left" w:pos="1465"/>
        </w:tabs>
        <w:spacing w:before="4" w:line="304" w:lineRule="auto"/>
        <w:ind w:right="466" w:firstLine="480"/>
        <w:jc w:val="both"/>
        <w:rPr>
          <w:rFonts w:hint="eastAsia" w:ascii="宋体" w:hAnsi="宋体" w:eastAsia="宋体" w:cs="宋体"/>
          <w:sz w:val="24"/>
          <w:highlight w:val="none"/>
        </w:rPr>
      </w:pPr>
      <w:r>
        <w:rPr>
          <w:rFonts w:hint="eastAsia" w:ascii="宋体" w:hAnsi="宋体" w:eastAsia="宋体" w:cs="宋体"/>
          <w:spacing w:val="-3"/>
          <w:sz w:val="24"/>
          <w:highlight w:val="none"/>
        </w:rPr>
        <w:t>监理人对承包人的试验和检验结果有疑问的，或为查清承包人试验和检</w:t>
      </w:r>
      <w:r>
        <w:rPr>
          <w:rFonts w:hint="eastAsia" w:ascii="宋体" w:hAnsi="宋体" w:eastAsia="宋体" w:cs="宋体"/>
          <w:spacing w:val="-5"/>
          <w:sz w:val="24"/>
          <w:highlight w:val="none"/>
        </w:rPr>
        <w:t>验成果的可靠性要求承包人重新试验和检验的，可按合同约定由监理人与承包人共</w:t>
      </w:r>
      <w:r>
        <w:rPr>
          <w:rFonts w:hint="eastAsia" w:ascii="宋体" w:hAnsi="宋体" w:eastAsia="宋体" w:cs="宋体"/>
          <w:spacing w:val="-4"/>
          <w:sz w:val="24"/>
          <w:highlight w:val="none"/>
        </w:rPr>
        <w:t>同进行。重新试验和检验的结果证明该项材料、工程设备或工程的质量不符合合同</w:t>
      </w:r>
      <w:r>
        <w:rPr>
          <w:rFonts w:hint="eastAsia" w:ascii="宋体" w:hAnsi="宋体" w:eastAsia="宋体" w:cs="宋体"/>
          <w:spacing w:val="-2"/>
          <w:sz w:val="24"/>
          <w:highlight w:val="none"/>
        </w:rPr>
        <w:t>要求的，由此增加的费用和</w:t>
      </w:r>
      <w:r>
        <w:rPr>
          <w:rFonts w:hint="eastAsia" w:ascii="宋体" w:hAnsi="宋体" w:eastAsia="宋体" w:cs="宋体"/>
          <w:sz w:val="24"/>
          <w:highlight w:val="none"/>
        </w:rPr>
        <w:t>(</w:t>
      </w:r>
      <w:r>
        <w:rPr>
          <w:rFonts w:hint="eastAsia" w:ascii="宋体" w:hAnsi="宋体" w:eastAsia="宋体" w:cs="宋体"/>
          <w:spacing w:val="4"/>
          <w:sz w:val="24"/>
          <w:highlight w:val="none"/>
        </w:rPr>
        <w:t>或</w:t>
      </w:r>
      <w:r>
        <w:rPr>
          <w:rFonts w:hint="eastAsia" w:ascii="宋体" w:hAnsi="宋体" w:eastAsia="宋体" w:cs="宋体"/>
          <w:sz w:val="24"/>
          <w:highlight w:val="none"/>
        </w:rPr>
        <w:t>)工期延误由承包人承担；重新试验和检验结果证明该项材料、工程设备和工程符合合同要求，由发包人承担由此增加的费用和</w:t>
      </w:r>
      <w:r>
        <w:rPr>
          <w:rFonts w:hint="eastAsia" w:ascii="宋体" w:hAnsi="宋体" w:eastAsia="宋体" w:cs="宋体"/>
          <w:spacing w:val="4"/>
          <w:sz w:val="24"/>
          <w:highlight w:val="none"/>
        </w:rPr>
        <w:t>(</w:t>
      </w:r>
      <w:r>
        <w:rPr>
          <w:rFonts w:hint="eastAsia" w:ascii="宋体" w:hAnsi="宋体" w:eastAsia="宋体" w:cs="宋体"/>
          <w:sz w:val="24"/>
          <w:highlight w:val="none"/>
        </w:rPr>
        <w:t>或</w:t>
      </w:r>
      <w:r>
        <w:rPr>
          <w:rFonts w:hint="eastAsia" w:ascii="宋体" w:hAnsi="宋体" w:eastAsia="宋体" w:cs="宋体"/>
          <w:spacing w:val="4"/>
          <w:sz w:val="24"/>
          <w:highlight w:val="none"/>
        </w:rPr>
        <w:t>)</w:t>
      </w:r>
      <w:r>
        <w:rPr>
          <w:rFonts w:hint="eastAsia" w:ascii="宋体" w:hAnsi="宋体" w:eastAsia="宋体" w:cs="宋体"/>
          <w:sz w:val="24"/>
          <w:highlight w:val="none"/>
        </w:rPr>
        <w:t>工期延误，并支付承包人合理利润。</w:t>
      </w:r>
    </w:p>
    <w:p w14:paraId="4F57E460">
      <w:pPr>
        <w:pStyle w:val="29"/>
        <w:numPr>
          <w:ilvl w:val="4"/>
          <w:numId w:val="7"/>
        </w:numPr>
        <w:tabs>
          <w:tab w:val="left" w:pos="1524"/>
        </w:tabs>
        <w:spacing w:before="9"/>
        <w:ind w:left="1524" w:hanging="660"/>
        <w:jc w:val="both"/>
        <w:rPr>
          <w:rFonts w:hint="eastAsia" w:ascii="宋体" w:hAnsi="宋体" w:eastAsia="宋体" w:cs="宋体"/>
          <w:sz w:val="24"/>
          <w:highlight w:val="none"/>
        </w:rPr>
      </w:pPr>
      <w:r>
        <w:rPr>
          <w:rFonts w:hint="eastAsia" w:ascii="宋体" w:hAnsi="宋体" w:eastAsia="宋体" w:cs="宋体"/>
          <w:sz w:val="24"/>
          <w:highlight w:val="none"/>
        </w:rPr>
        <w:t>现场材料试验</w:t>
      </w:r>
    </w:p>
    <w:p w14:paraId="74BAB886">
      <w:pPr>
        <w:pStyle w:val="29"/>
        <w:numPr>
          <w:ilvl w:val="0"/>
          <w:numId w:val="25"/>
        </w:numPr>
        <w:tabs>
          <w:tab w:val="left" w:pos="1465"/>
        </w:tabs>
        <w:spacing w:before="83" w:line="304" w:lineRule="auto"/>
        <w:ind w:right="466" w:firstLine="480"/>
        <w:rPr>
          <w:rFonts w:hint="eastAsia" w:ascii="宋体" w:hAnsi="宋体" w:eastAsia="宋体" w:cs="宋体"/>
          <w:sz w:val="24"/>
          <w:highlight w:val="none"/>
        </w:rPr>
      </w:pPr>
      <w:r>
        <w:rPr>
          <w:rFonts w:hint="eastAsia" w:ascii="宋体" w:hAnsi="宋体" w:eastAsia="宋体" w:cs="宋体"/>
          <w:spacing w:val="-2"/>
          <w:sz w:val="24"/>
          <w:highlight w:val="none"/>
        </w:rPr>
        <w:t>承包人根据合同约定或监理人指示进行的现场材料试验，应由承包人提</w:t>
      </w:r>
      <w:r>
        <w:rPr>
          <w:rFonts w:hint="eastAsia" w:ascii="宋体" w:hAnsi="宋体" w:eastAsia="宋体" w:cs="宋体"/>
          <w:spacing w:val="-5"/>
          <w:sz w:val="24"/>
          <w:highlight w:val="none"/>
        </w:rPr>
        <w:t>供试验场所、试验人员、试验设备器材以及其他必要的试验条件；</w:t>
      </w:r>
    </w:p>
    <w:p w14:paraId="6F8BB720">
      <w:pPr>
        <w:pStyle w:val="29"/>
        <w:numPr>
          <w:ilvl w:val="0"/>
          <w:numId w:val="25"/>
        </w:numPr>
        <w:tabs>
          <w:tab w:val="left" w:pos="1465"/>
        </w:tabs>
        <w:spacing w:before="4" w:line="304" w:lineRule="auto"/>
        <w:ind w:right="466" w:firstLine="480"/>
        <w:rPr>
          <w:rFonts w:hint="eastAsia" w:ascii="宋体" w:hAnsi="宋体" w:eastAsia="宋体" w:cs="宋体"/>
          <w:sz w:val="24"/>
          <w:highlight w:val="none"/>
        </w:rPr>
      </w:pPr>
      <w:r>
        <w:rPr>
          <w:rFonts w:hint="eastAsia" w:ascii="宋体" w:hAnsi="宋体" w:eastAsia="宋体" w:cs="宋体"/>
          <w:spacing w:val="-3"/>
          <w:sz w:val="24"/>
          <w:highlight w:val="none"/>
        </w:rPr>
        <w:t>监理人在必要时可以使用承包人的试验场所、试验设备器材以及其他试</w:t>
      </w:r>
      <w:r>
        <w:rPr>
          <w:rFonts w:hint="eastAsia" w:ascii="宋体" w:hAnsi="宋体" w:eastAsia="宋体" w:cs="宋体"/>
          <w:spacing w:val="-5"/>
          <w:sz w:val="24"/>
          <w:highlight w:val="none"/>
        </w:rPr>
        <w:t>验条件，进行以工程质量检查为目的的复核性材料试验，承包人应予以协助。</w:t>
      </w:r>
    </w:p>
    <w:p w14:paraId="280E02F4">
      <w:pPr>
        <w:pStyle w:val="29"/>
        <w:numPr>
          <w:ilvl w:val="4"/>
          <w:numId w:val="7"/>
        </w:numPr>
        <w:tabs>
          <w:tab w:val="left" w:pos="1344"/>
        </w:tabs>
        <w:spacing w:before="1"/>
        <w:ind w:left="1344" w:hanging="480"/>
        <w:rPr>
          <w:rFonts w:hint="eastAsia" w:ascii="宋体" w:hAnsi="宋体" w:eastAsia="宋体" w:cs="宋体"/>
          <w:sz w:val="24"/>
          <w:highlight w:val="none"/>
        </w:rPr>
      </w:pPr>
      <w:r>
        <w:rPr>
          <w:rFonts w:hint="eastAsia" w:ascii="宋体" w:hAnsi="宋体" w:eastAsia="宋体" w:cs="宋体"/>
          <w:sz w:val="24"/>
          <w:highlight w:val="none"/>
        </w:rPr>
        <w:t>承包人采购材料设备</w:t>
      </w:r>
    </w:p>
    <w:p w14:paraId="6B21AEFD">
      <w:pPr>
        <w:pStyle w:val="29"/>
        <w:numPr>
          <w:ilvl w:val="0"/>
          <w:numId w:val="26"/>
        </w:numPr>
        <w:tabs>
          <w:tab w:val="left" w:pos="1465"/>
        </w:tabs>
        <w:spacing w:before="86" w:line="304" w:lineRule="auto"/>
        <w:ind w:right="466" w:firstLine="480"/>
        <w:rPr>
          <w:rFonts w:hint="eastAsia" w:ascii="宋体" w:hAnsi="宋体" w:eastAsia="宋体" w:cs="宋体"/>
          <w:sz w:val="24"/>
          <w:highlight w:val="none"/>
        </w:rPr>
      </w:pPr>
      <w:r>
        <w:rPr>
          <w:rFonts w:hint="eastAsia" w:ascii="宋体" w:hAnsi="宋体" w:eastAsia="宋体" w:cs="宋体"/>
          <w:spacing w:val="-5"/>
          <w:sz w:val="24"/>
          <w:highlight w:val="none"/>
        </w:rPr>
        <w:t>除合同另有规定外，为完成本合同各项工作所需的材料和工程设备，均由承包人负责采购、验收、运输和保管；</w:t>
      </w:r>
    </w:p>
    <w:p w14:paraId="07417A8A">
      <w:pPr>
        <w:pStyle w:val="29"/>
        <w:numPr>
          <w:ilvl w:val="0"/>
          <w:numId w:val="26"/>
        </w:numPr>
        <w:tabs>
          <w:tab w:val="left" w:pos="1465"/>
        </w:tabs>
        <w:spacing w:before="2"/>
        <w:ind w:left="1465"/>
        <w:rPr>
          <w:rFonts w:hint="eastAsia" w:ascii="宋体" w:hAnsi="宋体" w:eastAsia="宋体" w:cs="宋体"/>
          <w:sz w:val="24"/>
          <w:highlight w:val="none"/>
        </w:rPr>
      </w:pPr>
      <w:r>
        <w:rPr>
          <w:rFonts w:hint="eastAsia" w:ascii="宋体" w:hAnsi="宋体" w:eastAsia="宋体" w:cs="宋体"/>
          <w:sz w:val="24"/>
          <w:highlight w:val="none"/>
        </w:rPr>
        <w:t>承包人与供货厂家的供货协议一经签订，应将一份副本提交监理人。</w:t>
      </w:r>
    </w:p>
    <w:p w14:paraId="79EC07FB">
      <w:pPr>
        <w:pStyle w:val="29"/>
        <w:numPr>
          <w:ilvl w:val="4"/>
          <w:numId w:val="7"/>
        </w:numPr>
        <w:tabs>
          <w:tab w:val="left" w:pos="1528"/>
          <w:tab w:val="left" w:pos="1529"/>
        </w:tabs>
        <w:spacing w:before="86" w:line="304" w:lineRule="auto"/>
        <w:ind w:left="384" w:right="466" w:firstLine="480"/>
        <w:rPr>
          <w:rFonts w:hint="eastAsia" w:ascii="宋体" w:hAnsi="宋体" w:eastAsia="宋体" w:cs="宋体"/>
          <w:sz w:val="24"/>
          <w:highlight w:val="none"/>
        </w:rPr>
      </w:pPr>
      <w:r>
        <w:rPr>
          <w:rFonts w:hint="eastAsia" w:ascii="宋体" w:hAnsi="宋体" w:eastAsia="宋体" w:cs="宋体"/>
          <w:sz w:val="24"/>
          <w:highlight w:val="none"/>
        </w:rPr>
        <w:t>进场材料、设备必须符合合同规定，并经监理人认可。不合格的材料、设备应立即搬运出施工场地，不得用于本合同工程。</w:t>
      </w:r>
    </w:p>
    <w:p w14:paraId="27A092F2">
      <w:pPr>
        <w:pStyle w:val="10"/>
        <w:spacing w:before="174"/>
        <w:ind w:left="583"/>
        <w:rPr>
          <w:rFonts w:hint="eastAsia" w:ascii="宋体" w:hAnsi="宋体" w:eastAsia="宋体" w:cs="宋体"/>
          <w:highlight w:val="none"/>
        </w:rPr>
      </w:pPr>
      <w:r>
        <w:rPr>
          <w:rFonts w:hint="eastAsia" w:ascii="宋体" w:hAnsi="宋体" w:eastAsia="宋体" w:cs="宋体"/>
          <w:highlight w:val="none"/>
        </w:rPr>
        <w:t>八、工程变更</w:t>
      </w:r>
    </w:p>
    <w:p w14:paraId="182B67C3">
      <w:pPr>
        <w:pStyle w:val="10"/>
        <w:spacing w:before="11"/>
        <w:rPr>
          <w:rFonts w:hint="eastAsia" w:ascii="宋体" w:hAnsi="宋体" w:eastAsia="宋体" w:cs="宋体"/>
          <w:sz w:val="19"/>
          <w:highlight w:val="none"/>
        </w:rPr>
      </w:pPr>
    </w:p>
    <w:p w14:paraId="70E57688">
      <w:pPr>
        <w:pStyle w:val="29"/>
        <w:numPr>
          <w:ilvl w:val="3"/>
          <w:numId w:val="7"/>
        </w:numPr>
        <w:tabs>
          <w:tab w:val="left" w:pos="925"/>
        </w:tabs>
        <w:ind w:left="925" w:hanging="301"/>
        <w:jc w:val="left"/>
        <w:rPr>
          <w:rFonts w:hint="eastAsia" w:ascii="宋体" w:hAnsi="宋体" w:eastAsia="宋体" w:cs="宋体"/>
          <w:sz w:val="24"/>
          <w:highlight w:val="none"/>
        </w:rPr>
      </w:pPr>
      <w:r>
        <w:rPr>
          <w:rFonts w:hint="eastAsia" w:ascii="宋体" w:hAnsi="宋体" w:eastAsia="宋体" w:cs="宋体"/>
          <w:sz w:val="24"/>
          <w:highlight w:val="none"/>
        </w:rPr>
        <w:t>工程数量及价格的变更</w:t>
      </w:r>
    </w:p>
    <w:p w14:paraId="7E726ABD">
      <w:pPr>
        <w:pStyle w:val="10"/>
        <w:spacing w:before="7"/>
        <w:rPr>
          <w:rFonts w:hint="eastAsia" w:ascii="宋体" w:hAnsi="宋体" w:eastAsia="宋体" w:cs="宋体"/>
          <w:sz w:val="20"/>
          <w:highlight w:val="none"/>
        </w:rPr>
      </w:pPr>
    </w:p>
    <w:p w14:paraId="2A608A8B">
      <w:pPr>
        <w:pStyle w:val="29"/>
        <w:numPr>
          <w:ilvl w:val="4"/>
          <w:numId w:val="7"/>
        </w:numPr>
        <w:tabs>
          <w:tab w:val="left" w:pos="1528"/>
          <w:tab w:val="left" w:pos="1529"/>
        </w:tabs>
        <w:spacing w:line="304" w:lineRule="auto"/>
        <w:ind w:left="384" w:right="467" w:firstLine="480"/>
        <w:rPr>
          <w:rFonts w:hint="eastAsia" w:ascii="宋体" w:hAnsi="宋体" w:eastAsia="宋体" w:cs="宋体"/>
          <w:sz w:val="24"/>
          <w:highlight w:val="none"/>
        </w:rPr>
      </w:pPr>
      <w:r>
        <w:rPr>
          <w:rFonts w:hint="eastAsia" w:ascii="宋体" w:hAnsi="宋体" w:eastAsia="宋体" w:cs="宋体"/>
          <w:sz w:val="24"/>
          <w:highlight w:val="none"/>
        </w:rPr>
        <w:t>发包人或监理人如认为有必要时，可根据规定对本合同工程中任何部分的结构形式、质量、等级或数量作出变更，包括：</w:t>
      </w:r>
    </w:p>
    <w:p w14:paraId="11159082">
      <w:pPr>
        <w:pStyle w:val="29"/>
        <w:numPr>
          <w:ilvl w:val="0"/>
          <w:numId w:val="27"/>
        </w:numPr>
        <w:tabs>
          <w:tab w:val="left" w:pos="1465"/>
        </w:tabs>
        <w:spacing w:before="2"/>
        <w:rPr>
          <w:rFonts w:hint="eastAsia" w:ascii="宋体" w:hAnsi="宋体" w:eastAsia="宋体" w:cs="宋体"/>
          <w:sz w:val="24"/>
          <w:highlight w:val="none"/>
        </w:rPr>
      </w:pPr>
      <w:r>
        <w:rPr>
          <w:rFonts w:hint="eastAsia" w:ascii="宋体" w:hAnsi="宋体" w:eastAsia="宋体" w:cs="宋体"/>
          <w:sz w:val="24"/>
          <w:highlight w:val="none"/>
        </w:rPr>
        <w:t>增加或减少本合同中的任何工程的数量；</w:t>
      </w:r>
    </w:p>
    <w:p w14:paraId="5D27D453">
      <w:pPr>
        <w:pStyle w:val="29"/>
        <w:numPr>
          <w:ilvl w:val="0"/>
          <w:numId w:val="27"/>
        </w:numPr>
        <w:tabs>
          <w:tab w:val="left" w:pos="1465"/>
        </w:tabs>
        <w:spacing w:before="86" w:line="304" w:lineRule="auto"/>
        <w:ind w:left="384" w:right="466" w:firstLine="480"/>
        <w:rPr>
          <w:rFonts w:hint="eastAsia" w:ascii="宋体" w:hAnsi="宋体" w:eastAsia="宋体" w:cs="宋体"/>
          <w:sz w:val="24"/>
          <w:highlight w:val="none"/>
        </w:rPr>
      </w:pPr>
      <w:r>
        <w:rPr>
          <w:rFonts w:hint="eastAsia" w:ascii="宋体" w:hAnsi="宋体" w:eastAsia="宋体" w:cs="宋体"/>
          <w:spacing w:val="-4"/>
          <w:sz w:val="24"/>
          <w:highlight w:val="none"/>
        </w:rPr>
        <w:t>取消合同中的任何单项工程，但被取消的工程不能转由发包人或其他人</w:t>
      </w:r>
      <w:r>
        <w:rPr>
          <w:rFonts w:hint="eastAsia" w:ascii="宋体" w:hAnsi="宋体" w:eastAsia="宋体" w:cs="宋体"/>
          <w:spacing w:val="-5"/>
          <w:sz w:val="24"/>
          <w:highlight w:val="none"/>
        </w:rPr>
        <w:t>实施，由于承包人违约造成的情况除外；</w:t>
      </w:r>
    </w:p>
    <w:p w14:paraId="5DA44B88">
      <w:pPr>
        <w:pStyle w:val="29"/>
        <w:numPr>
          <w:ilvl w:val="0"/>
          <w:numId w:val="27"/>
        </w:numPr>
        <w:tabs>
          <w:tab w:val="left" w:pos="1465"/>
        </w:tabs>
        <w:spacing w:before="1"/>
        <w:rPr>
          <w:rFonts w:hint="eastAsia" w:ascii="宋体" w:hAnsi="宋体" w:eastAsia="宋体" w:cs="宋体"/>
          <w:sz w:val="24"/>
          <w:highlight w:val="none"/>
        </w:rPr>
      </w:pPr>
      <w:r>
        <w:rPr>
          <w:rFonts w:hint="eastAsia" w:ascii="宋体" w:hAnsi="宋体" w:eastAsia="宋体" w:cs="宋体"/>
          <w:sz w:val="24"/>
          <w:highlight w:val="none"/>
        </w:rPr>
        <w:t>改变合同中的任何一项工作的质量或其他特性；</w:t>
      </w:r>
    </w:p>
    <w:p w14:paraId="162FFD33">
      <w:pPr>
        <w:pStyle w:val="29"/>
        <w:numPr>
          <w:ilvl w:val="0"/>
          <w:numId w:val="27"/>
        </w:numPr>
        <w:tabs>
          <w:tab w:val="left" w:pos="1465"/>
        </w:tabs>
        <w:spacing w:before="86"/>
        <w:rPr>
          <w:rFonts w:hint="eastAsia" w:ascii="宋体" w:hAnsi="宋体" w:eastAsia="宋体" w:cs="宋体"/>
          <w:sz w:val="24"/>
          <w:highlight w:val="none"/>
        </w:rPr>
      </w:pPr>
      <w:r>
        <w:rPr>
          <w:rFonts w:hint="eastAsia" w:ascii="宋体" w:hAnsi="宋体" w:eastAsia="宋体" w:cs="宋体"/>
          <w:sz w:val="24"/>
          <w:highlight w:val="none"/>
        </w:rPr>
        <w:t>改变本工程任何部分的标高、基线、位置或尺寸；</w:t>
      </w:r>
    </w:p>
    <w:p w14:paraId="6385BF68">
      <w:pPr>
        <w:pStyle w:val="29"/>
        <w:numPr>
          <w:ilvl w:val="0"/>
          <w:numId w:val="27"/>
        </w:numPr>
        <w:tabs>
          <w:tab w:val="left" w:pos="1465"/>
        </w:tabs>
        <w:spacing w:before="84"/>
        <w:rPr>
          <w:rFonts w:hint="eastAsia" w:ascii="宋体" w:hAnsi="宋体" w:eastAsia="宋体" w:cs="宋体"/>
          <w:sz w:val="24"/>
          <w:highlight w:val="none"/>
        </w:rPr>
      </w:pPr>
      <w:r>
        <w:rPr>
          <w:rFonts w:hint="eastAsia" w:ascii="宋体" w:hAnsi="宋体" w:eastAsia="宋体" w:cs="宋体"/>
          <w:sz w:val="24"/>
          <w:highlight w:val="none"/>
        </w:rPr>
        <w:t>改变合同中任何一项工作的施工时间或改变已批准的施工工艺或顺序；</w:t>
      </w:r>
    </w:p>
    <w:p w14:paraId="4D2B90E5">
      <w:pPr>
        <w:pStyle w:val="29"/>
        <w:numPr>
          <w:ilvl w:val="0"/>
          <w:numId w:val="27"/>
        </w:numPr>
        <w:tabs>
          <w:tab w:val="left" w:pos="1465"/>
        </w:tabs>
        <w:spacing w:before="83"/>
        <w:rPr>
          <w:rFonts w:hint="eastAsia" w:ascii="宋体" w:hAnsi="宋体" w:eastAsia="宋体" w:cs="宋体"/>
          <w:sz w:val="24"/>
          <w:highlight w:val="none"/>
        </w:rPr>
      </w:pPr>
      <w:r>
        <w:rPr>
          <w:rFonts w:hint="eastAsia" w:ascii="宋体" w:hAnsi="宋体" w:eastAsia="宋体" w:cs="宋体"/>
          <w:sz w:val="24"/>
          <w:highlight w:val="none"/>
        </w:rPr>
        <w:t>完成本工程需要追加的额外工作。</w:t>
      </w:r>
    </w:p>
    <w:p w14:paraId="66154F95">
      <w:pPr>
        <w:pStyle w:val="29"/>
        <w:numPr>
          <w:ilvl w:val="4"/>
          <w:numId w:val="7"/>
        </w:numPr>
        <w:tabs>
          <w:tab w:val="left" w:pos="1523"/>
          <w:tab w:val="left" w:pos="1524"/>
        </w:tabs>
        <w:spacing w:before="87"/>
        <w:ind w:left="1524" w:hanging="660"/>
        <w:rPr>
          <w:rFonts w:hint="eastAsia" w:ascii="宋体" w:hAnsi="宋体" w:eastAsia="宋体" w:cs="宋体"/>
          <w:sz w:val="18"/>
          <w:highlight w:val="none"/>
        </w:rPr>
      </w:pPr>
      <w:r>
        <w:rPr>
          <w:rFonts w:hint="eastAsia" w:ascii="宋体" w:hAnsi="宋体" w:eastAsia="宋体" w:cs="宋体"/>
          <w:sz w:val="24"/>
          <w:highlight w:val="none"/>
        </w:rPr>
        <w:t>价格调整</w:t>
      </w:r>
    </w:p>
    <w:p w14:paraId="5DB27E55">
      <w:pPr>
        <w:pStyle w:val="10"/>
        <w:spacing w:before="66" w:line="307" w:lineRule="auto"/>
        <w:ind w:left="384" w:right="465" w:firstLine="480"/>
        <w:jc w:val="both"/>
        <w:rPr>
          <w:rFonts w:hint="eastAsia" w:ascii="宋体" w:hAnsi="宋体" w:eastAsia="宋体" w:cs="宋体"/>
          <w:highlight w:val="none"/>
        </w:rPr>
      </w:pPr>
      <w:r>
        <w:rPr>
          <w:rFonts w:hint="eastAsia" w:ascii="宋体" w:hAnsi="宋体" w:eastAsia="宋体" w:cs="宋体"/>
          <w:highlight w:val="none"/>
        </w:rPr>
        <w:t>在合同实施期间，投标人填写的单价、合价和总额价不会由于物价波动进行价格调整；由于法律变化引起的价格调整，监理人应根据法律、国家或自治区有关部门的规定，商定确定需调整的合同价款。</w:t>
      </w:r>
    </w:p>
    <w:p w14:paraId="0F92B6FD">
      <w:pPr>
        <w:pStyle w:val="29"/>
        <w:numPr>
          <w:ilvl w:val="4"/>
          <w:numId w:val="7"/>
        </w:numPr>
        <w:tabs>
          <w:tab w:val="left" w:pos="1529"/>
        </w:tabs>
        <w:spacing w:line="304" w:lineRule="auto"/>
        <w:ind w:left="384" w:right="467" w:firstLine="480"/>
        <w:jc w:val="both"/>
        <w:rPr>
          <w:rFonts w:hint="eastAsia" w:ascii="宋体" w:hAnsi="宋体" w:eastAsia="宋体" w:cs="宋体"/>
          <w:sz w:val="24"/>
          <w:highlight w:val="none"/>
        </w:rPr>
      </w:pPr>
      <w:r>
        <w:rPr>
          <w:rFonts w:hint="eastAsia" w:ascii="宋体" w:hAnsi="宋体" w:eastAsia="宋体" w:cs="宋体"/>
          <w:sz w:val="24"/>
          <w:highlight w:val="none"/>
        </w:rPr>
        <w:t>如果发出本工程的变更指令是因承包人过错，承包人违反合同或因承包人责任造成的，则这种违约引起的任何额外费用应由承包人承担。</w:t>
      </w:r>
    </w:p>
    <w:p w14:paraId="58C752C9">
      <w:pPr>
        <w:pStyle w:val="29"/>
        <w:numPr>
          <w:ilvl w:val="4"/>
          <w:numId w:val="7"/>
        </w:numPr>
        <w:tabs>
          <w:tab w:val="left" w:pos="1529"/>
        </w:tabs>
        <w:spacing w:line="304"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没有监理人指令，承包人不得擅自变更。变更指令应说明变更的目的、</w:t>
      </w:r>
      <w:r>
        <w:rPr>
          <w:rFonts w:hint="eastAsia" w:ascii="宋体" w:hAnsi="宋体" w:eastAsia="宋体" w:cs="宋体"/>
          <w:spacing w:val="-1"/>
          <w:sz w:val="24"/>
          <w:highlight w:val="none"/>
        </w:rPr>
        <w:t>范围、变更内容以及变更的工程量及其进度和技术要求，并附有关图纸和文件。承</w:t>
      </w:r>
      <w:r>
        <w:rPr>
          <w:rFonts w:hint="eastAsia" w:ascii="宋体" w:hAnsi="宋体" w:eastAsia="宋体" w:cs="宋体"/>
          <w:sz w:val="24"/>
          <w:highlight w:val="none"/>
        </w:rPr>
        <w:t>包人收到变更指令后，应按变更指令进行变更工作。</w:t>
      </w:r>
    </w:p>
    <w:p w14:paraId="5BBCCC7B">
      <w:pPr>
        <w:pStyle w:val="29"/>
        <w:numPr>
          <w:ilvl w:val="4"/>
          <w:numId w:val="7"/>
        </w:numPr>
        <w:tabs>
          <w:tab w:val="left" w:pos="1529"/>
        </w:tabs>
        <w:spacing w:before="4" w:line="304"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变更工程的价格增加或减少额，应以已标价工程量清单中的单价或合计为依据。除专用合同条款另有约定外，因变更引起的价格调整按照以下约定处理。</w:t>
      </w:r>
    </w:p>
    <w:p w14:paraId="2504CE47">
      <w:pPr>
        <w:pStyle w:val="29"/>
        <w:numPr>
          <w:ilvl w:val="0"/>
          <w:numId w:val="28"/>
        </w:numPr>
        <w:tabs>
          <w:tab w:val="left" w:pos="1465"/>
        </w:tabs>
        <w:spacing w:before="18"/>
        <w:rPr>
          <w:rFonts w:hint="eastAsia" w:ascii="宋体" w:hAnsi="宋体" w:eastAsia="宋体" w:cs="宋体"/>
          <w:sz w:val="24"/>
          <w:highlight w:val="none"/>
        </w:rPr>
      </w:pPr>
      <w:r>
        <w:rPr>
          <w:rFonts w:hint="eastAsia" w:ascii="宋体" w:hAnsi="宋体" w:eastAsia="宋体" w:cs="宋体"/>
          <w:sz w:val="24"/>
          <w:highlight w:val="none"/>
        </w:rPr>
        <w:t>已标价工程量清单中有适用于变更工作的子目的，采用该子目的单价。</w:t>
      </w:r>
    </w:p>
    <w:p w14:paraId="207ED027">
      <w:pPr>
        <w:pStyle w:val="29"/>
        <w:numPr>
          <w:ilvl w:val="0"/>
          <w:numId w:val="28"/>
        </w:numPr>
        <w:tabs>
          <w:tab w:val="left" w:pos="1465"/>
        </w:tabs>
        <w:spacing w:before="93" w:line="312" w:lineRule="auto"/>
        <w:ind w:left="384" w:right="466" w:firstLine="480"/>
        <w:rPr>
          <w:rFonts w:hint="eastAsia" w:ascii="宋体" w:hAnsi="宋体" w:eastAsia="宋体" w:cs="宋体"/>
          <w:sz w:val="24"/>
          <w:highlight w:val="none"/>
        </w:rPr>
      </w:pPr>
      <w:r>
        <w:rPr>
          <w:rFonts w:hint="eastAsia" w:ascii="宋体" w:hAnsi="宋体" w:eastAsia="宋体" w:cs="宋体"/>
          <w:spacing w:val="-3"/>
          <w:sz w:val="24"/>
          <w:highlight w:val="none"/>
        </w:rPr>
        <w:t>已标价工程量清单中无适用于变更工作的子目，但有类似子目的，可在</w:t>
      </w:r>
      <w:r>
        <w:rPr>
          <w:rFonts w:hint="eastAsia" w:ascii="宋体" w:hAnsi="宋体" w:eastAsia="宋体" w:cs="宋体"/>
          <w:spacing w:val="-4"/>
          <w:sz w:val="24"/>
          <w:highlight w:val="none"/>
        </w:rPr>
        <w:t>合理范围内参照类似子目的单价，由监理人按商定或确定原则变更工作的单价。</w:t>
      </w:r>
    </w:p>
    <w:p w14:paraId="7610F6ED">
      <w:pPr>
        <w:pStyle w:val="29"/>
        <w:numPr>
          <w:ilvl w:val="0"/>
          <w:numId w:val="28"/>
        </w:numPr>
        <w:tabs>
          <w:tab w:val="left" w:pos="1465"/>
        </w:tabs>
        <w:spacing w:line="290" w:lineRule="exact"/>
        <w:rPr>
          <w:rFonts w:hint="eastAsia" w:ascii="宋体" w:hAnsi="宋体" w:eastAsia="宋体" w:cs="宋体"/>
          <w:sz w:val="24"/>
          <w:highlight w:val="none"/>
        </w:rPr>
      </w:pPr>
      <w:r>
        <w:rPr>
          <w:rFonts w:hint="eastAsia" w:ascii="宋体" w:hAnsi="宋体" w:eastAsia="宋体" w:cs="宋体"/>
          <w:spacing w:val="-5"/>
          <w:sz w:val="24"/>
          <w:highlight w:val="none"/>
        </w:rPr>
        <w:t>已标价工程量清单中无适用或类似子目的单价，可按照成本加利润的原则，</w:t>
      </w:r>
    </w:p>
    <w:p w14:paraId="6A555BC6">
      <w:pPr>
        <w:pStyle w:val="10"/>
        <w:spacing w:before="86" w:line="304" w:lineRule="auto"/>
        <w:ind w:left="384" w:right="465"/>
        <w:rPr>
          <w:rFonts w:hint="eastAsia" w:ascii="宋体" w:hAnsi="宋体" w:eastAsia="宋体" w:cs="宋体"/>
          <w:highlight w:val="none"/>
        </w:rPr>
      </w:pPr>
      <w:r>
        <w:rPr>
          <w:rFonts w:hint="eastAsia" w:ascii="宋体" w:hAnsi="宋体" w:eastAsia="宋体" w:cs="宋体"/>
          <w:highlight w:val="none"/>
        </w:rPr>
        <w:t>由监理人依据交通运输部或新疆交通运输厅的相关概算预算编制办法及定额编制编制单价，按商定或确定原则变更工作的单价。</w:t>
      </w:r>
    </w:p>
    <w:p w14:paraId="6878DFEC">
      <w:pPr>
        <w:pStyle w:val="29"/>
        <w:numPr>
          <w:ilvl w:val="4"/>
          <w:numId w:val="7"/>
        </w:numPr>
        <w:tabs>
          <w:tab w:val="left" w:pos="1523"/>
          <w:tab w:val="left" w:pos="1524"/>
        </w:tabs>
        <w:spacing w:before="1"/>
        <w:ind w:left="1524" w:hanging="660"/>
        <w:rPr>
          <w:rFonts w:hint="eastAsia" w:ascii="宋体" w:hAnsi="宋体" w:eastAsia="宋体" w:cs="宋体"/>
          <w:sz w:val="24"/>
          <w:highlight w:val="none"/>
        </w:rPr>
      </w:pPr>
      <w:r>
        <w:rPr>
          <w:rFonts w:hint="eastAsia" w:ascii="宋体" w:hAnsi="宋体" w:eastAsia="宋体" w:cs="宋体"/>
          <w:sz w:val="24"/>
          <w:highlight w:val="none"/>
        </w:rPr>
        <w:t>暂列金额只能按监理人的批示使用，并对合同价款进行相应调整。</w:t>
      </w:r>
    </w:p>
    <w:p w14:paraId="2648DFC0">
      <w:pPr>
        <w:pStyle w:val="29"/>
        <w:numPr>
          <w:ilvl w:val="4"/>
          <w:numId w:val="7"/>
        </w:numPr>
        <w:tabs>
          <w:tab w:val="left" w:pos="1523"/>
          <w:tab w:val="left" w:pos="1524"/>
        </w:tabs>
        <w:spacing w:before="87"/>
        <w:ind w:left="1524" w:hanging="660"/>
        <w:rPr>
          <w:rFonts w:hint="eastAsia" w:ascii="宋体" w:hAnsi="宋体" w:eastAsia="宋体" w:cs="宋体"/>
          <w:sz w:val="24"/>
          <w:highlight w:val="none"/>
        </w:rPr>
      </w:pPr>
      <w:r>
        <w:rPr>
          <w:rFonts w:hint="eastAsia" w:ascii="宋体" w:hAnsi="宋体" w:eastAsia="宋体" w:cs="宋体"/>
          <w:sz w:val="24"/>
          <w:highlight w:val="none"/>
        </w:rPr>
        <w:t>未经批准的设计变更，其费用不得进入决算。</w:t>
      </w:r>
    </w:p>
    <w:p w14:paraId="69E1B641">
      <w:pPr>
        <w:pStyle w:val="29"/>
        <w:numPr>
          <w:ilvl w:val="4"/>
          <w:numId w:val="7"/>
        </w:numPr>
        <w:tabs>
          <w:tab w:val="left" w:pos="1528"/>
          <w:tab w:val="left" w:pos="1529"/>
        </w:tabs>
        <w:spacing w:before="83" w:line="304" w:lineRule="auto"/>
        <w:ind w:left="384" w:right="467" w:firstLine="480"/>
        <w:rPr>
          <w:rFonts w:hint="eastAsia" w:ascii="宋体" w:hAnsi="宋体" w:eastAsia="宋体" w:cs="宋体"/>
          <w:sz w:val="24"/>
          <w:highlight w:val="none"/>
        </w:rPr>
      </w:pPr>
      <w:r>
        <w:rPr>
          <w:rFonts w:hint="eastAsia" w:ascii="宋体" w:hAnsi="宋体" w:eastAsia="宋体" w:cs="宋体"/>
          <w:sz w:val="24"/>
          <w:highlight w:val="none"/>
        </w:rPr>
        <w:t>变更类型及程序依照《新疆维吾尔自治区农村公路工程设计变更管理办法（试行）》的规定施行。</w:t>
      </w:r>
    </w:p>
    <w:p w14:paraId="41BAAF98">
      <w:pPr>
        <w:pStyle w:val="10"/>
        <w:spacing w:before="174"/>
        <w:ind w:left="583"/>
        <w:rPr>
          <w:rFonts w:hint="eastAsia" w:ascii="宋体" w:hAnsi="宋体" w:eastAsia="宋体" w:cs="宋体"/>
          <w:highlight w:val="none"/>
        </w:rPr>
      </w:pPr>
      <w:r>
        <w:rPr>
          <w:rFonts w:hint="eastAsia" w:ascii="宋体" w:hAnsi="宋体" w:eastAsia="宋体" w:cs="宋体"/>
          <w:highlight w:val="none"/>
        </w:rPr>
        <w:t>九、缺陷责任</w:t>
      </w:r>
    </w:p>
    <w:p w14:paraId="177F0E2F">
      <w:pPr>
        <w:pStyle w:val="10"/>
        <w:rPr>
          <w:rFonts w:hint="eastAsia" w:ascii="宋体" w:hAnsi="宋体" w:eastAsia="宋体" w:cs="宋体"/>
          <w:sz w:val="20"/>
          <w:highlight w:val="none"/>
        </w:rPr>
      </w:pPr>
    </w:p>
    <w:p w14:paraId="6844C414">
      <w:pPr>
        <w:pStyle w:val="29"/>
        <w:numPr>
          <w:ilvl w:val="3"/>
          <w:numId w:val="7"/>
        </w:numPr>
        <w:tabs>
          <w:tab w:val="left" w:pos="1244"/>
        </w:tabs>
        <w:spacing w:before="1"/>
        <w:ind w:left="1243" w:hanging="421"/>
        <w:jc w:val="left"/>
        <w:rPr>
          <w:rFonts w:hint="eastAsia" w:ascii="宋体" w:hAnsi="宋体" w:eastAsia="宋体" w:cs="宋体"/>
          <w:sz w:val="24"/>
          <w:highlight w:val="none"/>
        </w:rPr>
      </w:pPr>
      <w:r>
        <w:rPr>
          <w:rFonts w:hint="eastAsia" w:ascii="宋体" w:hAnsi="宋体" w:eastAsia="宋体" w:cs="宋体"/>
          <w:sz w:val="24"/>
          <w:highlight w:val="none"/>
        </w:rPr>
        <w:t>缺陷责任及修复</w:t>
      </w:r>
    </w:p>
    <w:p w14:paraId="5FFACF6F">
      <w:pPr>
        <w:pStyle w:val="10"/>
        <w:spacing w:before="4"/>
        <w:rPr>
          <w:rFonts w:hint="eastAsia" w:ascii="宋体" w:hAnsi="宋体" w:eastAsia="宋体" w:cs="宋体"/>
          <w:sz w:val="20"/>
          <w:highlight w:val="none"/>
        </w:rPr>
      </w:pPr>
    </w:p>
    <w:p w14:paraId="0FF1A88D">
      <w:pPr>
        <w:pStyle w:val="29"/>
        <w:numPr>
          <w:ilvl w:val="4"/>
          <w:numId w:val="7"/>
        </w:numPr>
        <w:tabs>
          <w:tab w:val="left" w:pos="1529"/>
        </w:tabs>
        <w:spacing w:before="1" w:line="304" w:lineRule="auto"/>
        <w:ind w:left="384" w:right="467" w:firstLine="480"/>
        <w:jc w:val="both"/>
        <w:rPr>
          <w:rFonts w:hint="eastAsia" w:ascii="宋体" w:hAnsi="宋体" w:eastAsia="宋体" w:cs="宋体"/>
          <w:sz w:val="24"/>
          <w:highlight w:val="none"/>
        </w:rPr>
      </w:pPr>
      <w:r>
        <w:rPr>
          <w:rFonts w:hint="eastAsia" w:ascii="宋体" w:hAnsi="宋体" w:eastAsia="宋体" w:cs="宋体"/>
          <w:sz w:val="24"/>
          <w:highlight w:val="none"/>
        </w:rPr>
        <w:t>缺陷责任期从本合同工程交工证书签发之日起计算。承包人应在缺陷责任期内对已交付使用的工程承担缺陷责任。</w:t>
      </w:r>
    </w:p>
    <w:p w14:paraId="7FF5D6D9">
      <w:pPr>
        <w:pStyle w:val="29"/>
        <w:numPr>
          <w:ilvl w:val="4"/>
          <w:numId w:val="7"/>
        </w:numPr>
        <w:tabs>
          <w:tab w:val="left" w:pos="1529"/>
        </w:tabs>
        <w:spacing w:before="3" w:line="304"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在缺陷责任期满前，由发包人会同监理人在有关部门参加下，对工程进</w:t>
      </w:r>
      <w:r>
        <w:rPr>
          <w:rFonts w:hint="eastAsia" w:ascii="宋体" w:hAnsi="宋体" w:eastAsia="宋体" w:cs="宋体"/>
          <w:spacing w:val="-1"/>
          <w:sz w:val="24"/>
          <w:highlight w:val="none"/>
        </w:rPr>
        <w:t>行一次全面核查，使本工程按合同所要求的条件，达到发包人和监理人认为合格的</w:t>
      </w:r>
      <w:r>
        <w:rPr>
          <w:rFonts w:hint="eastAsia" w:ascii="宋体" w:hAnsi="宋体" w:eastAsia="宋体" w:cs="宋体"/>
          <w:sz w:val="24"/>
          <w:highlight w:val="none"/>
        </w:rPr>
        <w:t>程度。要求承包人：</w:t>
      </w:r>
    </w:p>
    <w:p w14:paraId="35420BF9">
      <w:pPr>
        <w:pStyle w:val="29"/>
        <w:numPr>
          <w:ilvl w:val="0"/>
          <w:numId w:val="29"/>
        </w:numPr>
        <w:tabs>
          <w:tab w:val="left" w:pos="1465"/>
        </w:tabs>
        <w:spacing w:before="5" w:line="304" w:lineRule="auto"/>
        <w:ind w:right="466" w:firstLine="480"/>
        <w:rPr>
          <w:rFonts w:hint="eastAsia" w:ascii="宋体" w:hAnsi="宋体" w:eastAsia="宋体" w:cs="宋体"/>
          <w:sz w:val="24"/>
          <w:highlight w:val="none"/>
        </w:rPr>
      </w:pPr>
      <w:r>
        <w:rPr>
          <w:rFonts w:hint="eastAsia" w:ascii="宋体" w:hAnsi="宋体" w:eastAsia="宋体" w:cs="宋体"/>
          <w:spacing w:val="-5"/>
          <w:sz w:val="24"/>
          <w:highlight w:val="none"/>
        </w:rPr>
        <w:t>在缺陷责任期内，尽快完成在交工证书中写明的未完工作，并完成对本工程缺陷的修复或监理人指令的修补工作；</w:t>
      </w:r>
    </w:p>
    <w:p w14:paraId="6EEFD825">
      <w:pPr>
        <w:pStyle w:val="10"/>
        <w:spacing w:before="5"/>
        <w:rPr>
          <w:rFonts w:hint="eastAsia" w:ascii="宋体" w:hAnsi="宋体" w:eastAsia="宋体" w:cs="宋体"/>
          <w:sz w:val="17"/>
          <w:highlight w:val="none"/>
        </w:rPr>
      </w:pPr>
      <w:r>
        <w:rPr>
          <w:rFonts w:hint="eastAsia" w:ascii="宋体" w:hAnsi="宋体" w:eastAsia="宋体" w:cs="宋体"/>
          <w:spacing w:val="-5"/>
          <w:sz w:val="24"/>
          <w:highlight w:val="none"/>
        </w:rPr>
        <w:t xml:space="preserve">在缺陷责任期满后的 </w:t>
      </w:r>
      <w:r>
        <w:rPr>
          <w:rFonts w:hint="eastAsia" w:ascii="宋体" w:hAnsi="宋体" w:eastAsia="宋体" w:cs="宋体"/>
          <w:sz w:val="24"/>
          <w:highlight w:val="none"/>
        </w:rPr>
        <w:t>14</w:t>
      </w:r>
      <w:r>
        <w:rPr>
          <w:rFonts w:hint="eastAsia" w:ascii="宋体" w:hAnsi="宋体" w:eastAsia="宋体" w:cs="宋体"/>
          <w:spacing w:val="11"/>
          <w:sz w:val="24"/>
          <w:highlight w:val="none"/>
        </w:rPr>
        <w:t xml:space="preserve"> </w:t>
      </w:r>
      <w:r>
        <w:rPr>
          <w:rFonts w:hint="eastAsia" w:ascii="宋体" w:hAnsi="宋体" w:eastAsia="宋体" w:cs="宋体"/>
          <w:spacing w:val="-1"/>
          <w:sz w:val="24"/>
          <w:highlight w:val="none"/>
        </w:rPr>
        <w:t>天内，按照发包人和监理人在缺陷责任期满前检查结果而发出的指令，对存在的缺陷或其他不合格之处进行修补、重建及修复。承包人不能在合理时间内修复缺陷的，发包人可自行修复或委托其他人修复，所需费</w:t>
      </w:r>
      <w:r>
        <w:rPr>
          <w:rFonts w:hint="eastAsia" w:ascii="宋体" w:hAnsi="宋体" w:eastAsia="宋体" w:cs="宋体"/>
          <w:sz w:val="24"/>
          <w:highlight w:val="none"/>
        </w:rPr>
        <w:t>用和利润由承包人承担。</w:t>
      </w:r>
    </w:p>
    <w:p w14:paraId="6BEC2441">
      <w:pPr>
        <w:pStyle w:val="29"/>
        <w:numPr>
          <w:ilvl w:val="4"/>
          <w:numId w:val="7"/>
        </w:numPr>
        <w:tabs>
          <w:tab w:val="left" w:pos="1529"/>
        </w:tabs>
        <w:spacing w:before="74" w:line="307"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在缺陷责任期内，因承包人原因造成的缺陷修复费用和复验费用应由承</w:t>
      </w:r>
      <w:r>
        <w:rPr>
          <w:rFonts w:hint="eastAsia" w:ascii="宋体" w:hAnsi="宋体" w:eastAsia="宋体" w:cs="宋体"/>
          <w:spacing w:val="-1"/>
          <w:sz w:val="24"/>
          <w:highlight w:val="none"/>
        </w:rPr>
        <w:t>包人自行负责；不属于承包人原因造成的缺陷修复费用由监理人同承包人协商并报</w:t>
      </w:r>
      <w:r>
        <w:rPr>
          <w:rFonts w:hint="eastAsia" w:ascii="宋体" w:hAnsi="宋体" w:eastAsia="宋体" w:cs="宋体"/>
          <w:sz w:val="24"/>
          <w:highlight w:val="none"/>
        </w:rPr>
        <w:t>发包人批准。</w:t>
      </w:r>
    </w:p>
    <w:p w14:paraId="0BC1CDD9">
      <w:pPr>
        <w:pStyle w:val="29"/>
        <w:numPr>
          <w:ilvl w:val="4"/>
          <w:numId w:val="7"/>
        </w:numPr>
        <w:tabs>
          <w:tab w:val="left" w:pos="1529"/>
        </w:tabs>
        <w:spacing w:line="307"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由于承包人原因造成某项缺陷或损坏使某项工程不能按原定目标使用而</w:t>
      </w:r>
      <w:r>
        <w:rPr>
          <w:rFonts w:hint="eastAsia" w:ascii="宋体" w:hAnsi="宋体" w:eastAsia="宋体" w:cs="宋体"/>
          <w:spacing w:val="-1"/>
          <w:sz w:val="24"/>
          <w:highlight w:val="none"/>
        </w:rPr>
        <w:t>需要再次检查、检验和修复的，发包人有权要求承包人相应延长缺陷责任期，但缺</w:t>
      </w:r>
      <w:r>
        <w:rPr>
          <w:rFonts w:hint="eastAsia" w:ascii="宋体" w:hAnsi="宋体" w:eastAsia="宋体" w:cs="宋体"/>
          <w:spacing w:val="-6"/>
          <w:sz w:val="24"/>
          <w:highlight w:val="none"/>
        </w:rPr>
        <w:t xml:space="preserve">陷责任期最长不超过 </w:t>
      </w:r>
      <w:r>
        <w:rPr>
          <w:rFonts w:hint="eastAsia" w:ascii="宋体" w:hAnsi="宋体" w:eastAsia="宋体" w:cs="宋体"/>
          <w:sz w:val="24"/>
          <w:highlight w:val="none"/>
        </w:rPr>
        <w:t>2 年，自该项工程或设备修复之日算起。</w:t>
      </w:r>
    </w:p>
    <w:p w14:paraId="4D5F0B49">
      <w:pPr>
        <w:pStyle w:val="29"/>
        <w:numPr>
          <w:ilvl w:val="4"/>
          <w:numId w:val="7"/>
        </w:numPr>
        <w:tabs>
          <w:tab w:val="left" w:pos="1529"/>
        </w:tabs>
        <w:spacing w:line="304" w:lineRule="auto"/>
        <w:ind w:left="384" w:right="467" w:firstLine="480"/>
        <w:jc w:val="both"/>
        <w:rPr>
          <w:rFonts w:hint="eastAsia" w:ascii="宋体" w:hAnsi="宋体" w:eastAsia="宋体" w:cs="宋体"/>
          <w:sz w:val="24"/>
          <w:highlight w:val="none"/>
        </w:rPr>
      </w:pPr>
      <w:r>
        <w:rPr>
          <w:rFonts w:hint="eastAsia" w:ascii="宋体" w:hAnsi="宋体" w:eastAsia="宋体" w:cs="宋体"/>
          <w:sz w:val="24"/>
          <w:highlight w:val="none"/>
        </w:rPr>
        <w:t>保修期自实际交工日期起计算，具体期限在合同条款数据表中约定。在保修期内承包人应对由于施工质量原因造成的损坏自费进行修复。</w:t>
      </w:r>
    </w:p>
    <w:p w14:paraId="4F79B118">
      <w:pPr>
        <w:pStyle w:val="29"/>
        <w:numPr>
          <w:ilvl w:val="4"/>
          <w:numId w:val="7"/>
        </w:numPr>
        <w:tabs>
          <w:tab w:val="left" w:pos="1524"/>
        </w:tabs>
        <w:ind w:left="1524" w:hanging="660"/>
        <w:jc w:val="both"/>
        <w:rPr>
          <w:rFonts w:hint="eastAsia" w:ascii="宋体" w:hAnsi="宋体" w:eastAsia="宋体" w:cs="宋体"/>
          <w:sz w:val="24"/>
          <w:highlight w:val="none"/>
        </w:rPr>
      </w:pPr>
      <w:r>
        <w:rPr>
          <w:rFonts w:hint="eastAsia" w:ascii="宋体" w:hAnsi="宋体" w:eastAsia="宋体" w:cs="宋体"/>
          <w:spacing w:val="-7"/>
          <w:sz w:val="24"/>
          <w:highlight w:val="none"/>
        </w:rPr>
        <w:t xml:space="preserve">工程保修期终止后 </w:t>
      </w:r>
      <w:r>
        <w:rPr>
          <w:rFonts w:hint="eastAsia" w:ascii="宋体" w:hAnsi="宋体" w:eastAsia="宋体" w:cs="宋体"/>
          <w:sz w:val="24"/>
          <w:highlight w:val="none"/>
        </w:rPr>
        <w:t>28 天内，监理人签发保修期终止证书。</w:t>
      </w:r>
    </w:p>
    <w:p w14:paraId="0E29EB34">
      <w:pPr>
        <w:pStyle w:val="29"/>
        <w:numPr>
          <w:ilvl w:val="4"/>
          <w:numId w:val="7"/>
        </w:numPr>
        <w:tabs>
          <w:tab w:val="left" w:pos="1529"/>
        </w:tabs>
        <w:spacing w:before="78" w:line="307"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若承包人不履行保修义务和责任，则承包人应承担由于违约造成的法律</w:t>
      </w:r>
      <w:r>
        <w:rPr>
          <w:rFonts w:hint="eastAsia" w:ascii="宋体" w:hAnsi="宋体" w:eastAsia="宋体" w:cs="宋体"/>
          <w:spacing w:val="-1"/>
          <w:sz w:val="24"/>
          <w:highlight w:val="none"/>
        </w:rPr>
        <w:t>后果，并由发包人将其违约行为上报交通运输主管部门，并作为不良记录纳入公路</w:t>
      </w:r>
      <w:r>
        <w:rPr>
          <w:rFonts w:hint="eastAsia" w:ascii="宋体" w:hAnsi="宋体" w:eastAsia="宋体" w:cs="宋体"/>
          <w:sz w:val="24"/>
          <w:highlight w:val="none"/>
        </w:rPr>
        <w:t>建设市场信用信息管理系统。</w:t>
      </w:r>
    </w:p>
    <w:p w14:paraId="6740305E">
      <w:pPr>
        <w:pStyle w:val="29"/>
        <w:numPr>
          <w:ilvl w:val="4"/>
          <w:numId w:val="7"/>
        </w:numPr>
        <w:tabs>
          <w:tab w:val="left" w:pos="1534"/>
        </w:tabs>
        <w:spacing w:line="304" w:lineRule="auto"/>
        <w:ind w:left="384" w:right="467" w:firstLine="480"/>
        <w:jc w:val="both"/>
        <w:rPr>
          <w:rFonts w:hint="eastAsia" w:ascii="宋体" w:hAnsi="宋体" w:eastAsia="宋体" w:cs="宋体"/>
          <w:sz w:val="24"/>
          <w:highlight w:val="none"/>
        </w:rPr>
      </w:pPr>
      <w:r>
        <w:rPr>
          <w:rFonts w:hint="eastAsia" w:ascii="宋体" w:hAnsi="宋体" w:eastAsia="宋体" w:cs="宋体"/>
          <w:spacing w:val="-5"/>
          <w:sz w:val="24"/>
          <w:highlight w:val="none"/>
        </w:rPr>
        <w:t xml:space="preserve">缺陷责任期满后 </w:t>
      </w:r>
      <w:r>
        <w:rPr>
          <w:rFonts w:hint="eastAsia" w:ascii="宋体" w:hAnsi="宋体" w:eastAsia="宋体" w:cs="宋体"/>
          <w:sz w:val="24"/>
          <w:highlight w:val="none"/>
        </w:rPr>
        <w:t>14</w:t>
      </w:r>
      <w:r>
        <w:rPr>
          <w:rFonts w:hint="eastAsia" w:ascii="宋体" w:hAnsi="宋体" w:eastAsia="宋体" w:cs="宋体"/>
          <w:spacing w:val="4"/>
          <w:sz w:val="24"/>
          <w:highlight w:val="none"/>
        </w:rPr>
        <w:t xml:space="preserve"> 天内,</w:t>
      </w:r>
      <w:r>
        <w:rPr>
          <w:rFonts w:hint="eastAsia" w:ascii="宋体" w:hAnsi="宋体" w:eastAsia="宋体" w:cs="宋体"/>
          <w:spacing w:val="3"/>
          <w:sz w:val="24"/>
          <w:highlight w:val="none"/>
        </w:rPr>
        <w:t>由监理人向承包人出具经发包人签认的缺陷责任终止证书。</w:t>
      </w:r>
    </w:p>
    <w:p w14:paraId="3A76D333">
      <w:pPr>
        <w:pStyle w:val="10"/>
        <w:spacing w:before="169"/>
        <w:ind w:left="583"/>
        <w:rPr>
          <w:rFonts w:hint="eastAsia" w:ascii="宋体" w:hAnsi="宋体" w:eastAsia="宋体" w:cs="宋体"/>
          <w:highlight w:val="none"/>
        </w:rPr>
      </w:pPr>
      <w:r>
        <w:rPr>
          <w:rFonts w:hint="eastAsia" w:ascii="宋体" w:hAnsi="宋体" w:eastAsia="宋体" w:cs="宋体"/>
          <w:highlight w:val="none"/>
        </w:rPr>
        <w:t>十、违约、索赔和争议</w:t>
      </w:r>
    </w:p>
    <w:p w14:paraId="76E8D3EE">
      <w:pPr>
        <w:pStyle w:val="10"/>
        <w:rPr>
          <w:rFonts w:hint="eastAsia" w:ascii="宋体" w:hAnsi="宋体" w:eastAsia="宋体" w:cs="宋体"/>
          <w:sz w:val="20"/>
          <w:highlight w:val="none"/>
        </w:rPr>
      </w:pPr>
    </w:p>
    <w:p w14:paraId="098E2D2D">
      <w:pPr>
        <w:pStyle w:val="29"/>
        <w:numPr>
          <w:ilvl w:val="3"/>
          <w:numId w:val="7"/>
        </w:numPr>
        <w:tabs>
          <w:tab w:val="left" w:pos="1125"/>
        </w:tabs>
        <w:ind w:left="1124" w:hanging="302"/>
        <w:jc w:val="left"/>
        <w:rPr>
          <w:rFonts w:hint="eastAsia" w:ascii="宋体" w:hAnsi="宋体" w:eastAsia="宋体" w:cs="宋体"/>
          <w:sz w:val="24"/>
          <w:highlight w:val="none"/>
        </w:rPr>
      </w:pPr>
      <w:r>
        <w:rPr>
          <w:rFonts w:hint="eastAsia" w:ascii="宋体" w:hAnsi="宋体" w:eastAsia="宋体" w:cs="宋体"/>
          <w:sz w:val="24"/>
          <w:highlight w:val="none"/>
        </w:rPr>
        <w:t>违约</w:t>
      </w:r>
    </w:p>
    <w:p w14:paraId="194765ED">
      <w:pPr>
        <w:pStyle w:val="10"/>
        <w:spacing w:before="5"/>
        <w:rPr>
          <w:rFonts w:hint="eastAsia" w:ascii="宋体" w:hAnsi="宋体" w:eastAsia="宋体" w:cs="宋体"/>
          <w:sz w:val="20"/>
          <w:highlight w:val="none"/>
        </w:rPr>
      </w:pPr>
    </w:p>
    <w:p w14:paraId="026154C1">
      <w:pPr>
        <w:pStyle w:val="29"/>
        <w:numPr>
          <w:ilvl w:val="4"/>
          <w:numId w:val="7"/>
        </w:numPr>
        <w:tabs>
          <w:tab w:val="left" w:pos="1523"/>
          <w:tab w:val="left" w:pos="1524"/>
        </w:tabs>
        <w:ind w:left="1524" w:hanging="660"/>
        <w:rPr>
          <w:rFonts w:hint="eastAsia" w:ascii="宋体" w:hAnsi="宋体" w:eastAsia="宋体" w:cs="宋体"/>
          <w:sz w:val="24"/>
          <w:highlight w:val="none"/>
        </w:rPr>
      </w:pPr>
      <w:r>
        <w:rPr>
          <w:rFonts w:hint="eastAsia" w:ascii="宋体" w:hAnsi="宋体" w:eastAsia="宋体" w:cs="宋体"/>
          <w:sz w:val="24"/>
          <w:highlight w:val="none"/>
        </w:rPr>
        <w:t>发包人违约</w:t>
      </w:r>
    </w:p>
    <w:p w14:paraId="71191B30">
      <w:pPr>
        <w:pStyle w:val="29"/>
        <w:numPr>
          <w:ilvl w:val="0"/>
          <w:numId w:val="0"/>
        </w:numPr>
        <w:tabs>
          <w:tab w:val="left" w:pos="1703"/>
          <w:tab w:val="left" w:pos="1704"/>
        </w:tabs>
        <w:spacing w:before="84"/>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下列情况属发包人违约：</w:t>
      </w:r>
    </w:p>
    <w:p w14:paraId="67F0890B">
      <w:pPr>
        <w:pStyle w:val="29"/>
        <w:numPr>
          <w:ilvl w:val="0"/>
          <w:numId w:val="0"/>
        </w:numPr>
        <w:tabs>
          <w:tab w:val="left" w:pos="1465"/>
        </w:tabs>
        <w:spacing w:before="86" w:line="304" w:lineRule="auto"/>
        <w:ind w:left="864" w:leftChars="0" w:right="346" w:rightChars="0"/>
        <w:rPr>
          <w:rFonts w:hint="eastAsia" w:ascii="宋体" w:hAnsi="宋体" w:eastAsia="宋体" w:cs="宋体"/>
          <w:sz w:val="24"/>
          <w:highlight w:val="none"/>
        </w:rPr>
      </w:pPr>
      <w:r>
        <w:rPr>
          <w:rFonts w:hint="eastAsia" w:cs="宋体"/>
          <w:spacing w:val="-11"/>
          <w:sz w:val="24"/>
          <w:highlight w:val="none"/>
          <w:lang w:eastAsia="zh-CN"/>
        </w:rPr>
        <w:t>（</w:t>
      </w:r>
      <w:r>
        <w:rPr>
          <w:rFonts w:hint="eastAsia" w:cs="宋体"/>
          <w:spacing w:val="-11"/>
          <w:sz w:val="24"/>
          <w:highlight w:val="none"/>
          <w:lang w:val="en-US" w:eastAsia="zh-CN"/>
        </w:rPr>
        <w:t>1</w:t>
      </w:r>
      <w:r>
        <w:rPr>
          <w:rFonts w:hint="eastAsia" w:cs="宋体"/>
          <w:spacing w:val="-11"/>
          <w:sz w:val="24"/>
          <w:highlight w:val="none"/>
          <w:lang w:eastAsia="zh-CN"/>
        </w:rPr>
        <w:t>）</w:t>
      </w:r>
      <w:r>
        <w:rPr>
          <w:rFonts w:hint="eastAsia" w:ascii="宋体" w:hAnsi="宋体" w:eastAsia="宋体" w:cs="宋体"/>
          <w:spacing w:val="-11"/>
          <w:sz w:val="24"/>
          <w:highlight w:val="none"/>
        </w:rPr>
        <w:t>按合同约定，未向承包人支付根据监理人签发的支付证书项下的应付款额</w:t>
      </w:r>
      <w:r>
        <w:rPr>
          <w:rFonts w:hint="eastAsia" w:ascii="宋体" w:hAnsi="宋体" w:eastAsia="宋体" w:cs="宋体"/>
          <w:spacing w:val="-5"/>
          <w:sz w:val="24"/>
          <w:highlight w:val="none"/>
        </w:rPr>
        <w:t>，或拖延、拒绝批准付款申请和支付凭证，导致付款延误的；</w:t>
      </w:r>
    </w:p>
    <w:p w14:paraId="28AD90DD">
      <w:pPr>
        <w:pStyle w:val="29"/>
        <w:numPr>
          <w:ilvl w:val="0"/>
          <w:numId w:val="0"/>
        </w:numPr>
        <w:tabs>
          <w:tab w:val="left" w:pos="1465"/>
        </w:tabs>
        <w:spacing w:before="2"/>
        <w:ind w:left="864" w:leftChars="0"/>
        <w:rPr>
          <w:rFonts w:hint="eastAsia" w:ascii="宋体" w:hAnsi="宋体" w:eastAsia="宋体" w:cs="宋体"/>
          <w:sz w:val="24"/>
          <w:highlight w:val="none"/>
        </w:rPr>
      </w:pPr>
      <w:r>
        <w:rPr>
          <w:rFonts w:hint="eastAsia" w:cs="宋体"/>
          <w:sz w:val="24"/>
          <w:highlight w:val="none"/>
          <w:lang w:eastAsia="zh-CN"/>
        </w:rPr>
        <w:t>（</w:t>
      </w:r>
      <w:r>
        <w:rPr>
          <w:rFonts w:hint="eastAsia" w:cs="宋体"/>
          <w:sz w:val="24"/>
          <w:highlight w:val="none"/>
          <w:lang w:val="en-US" w:eastAsia="zh-CN"/>
        </w:rPr>
        <w:t>2</w:t>
      </w:r>
      <w:r>
        <w:rPr>
          <w:rFonts w:hint="eastAsia" w:cs="宋体"/>
          <w:sz w:val="24"/>
          <w:highlight w:val="none"/>
          <w:lang w:eastAsia="zh-CN"/>
        </w:rPr>
        <w:t>）</w:t>
      </w:r>
      <w:r>
        <w:rPr>
          <w:rFonts w:hint="eastAsia" w:ascii="宋体" w:hAnsi="宋体" w:eastAsia="宋体" w:cs="宋体"/>
          <w:sz w:val="24"/>
          <w:highlight w:val="none"/>
        </w:rPr>
        <w:t>发包人原因造成停工的；</w:t>
      </w:r>
    </w:p>
    <w:p w14:paraId="7E7D6AC1">
      <w:pPr>
        <w:pStyle w:val="29"/>
        <w:numPr>
          <w:ilvl w:val="0"/>
          <w:numId w:val="0"/>
        </w:numPr>
        <w:tabs>
          <w:tab w:val="left" w:pos="1465"/>
        </w:tabs>
        <w:spacing w:before="86" w:line="304" w:lineRule="auto"/>
        <w:ind w:right="466" w:rightChars="0" w:firstLine="928" w:firstLineChars="400"/>
        <w:rPr>
          <w:rFonts w:hint="eastAsia" w:ascii="宋体" w:hAnsi="宋体" w:eastAsia="宋体" w:cs="宋体"/>
          <w:sz w:val="24"/>
          <w:highlight w:val="none"/>
        </w:rPr>
      </w:pPr>
      <w:r>
        <w:rPr>
          <w:rFonts w:hint="eastAsia" w:cs="宋体"/>
          <w:spacing w:val="-4"/>
          <w:sz w:val="24"/>
          <w:highlight w:val="none"/>
          <w:lang w:eastAsia="zh-CN"/>
        </w:rPr>
        <w:t>（</w:t>
      </w:r>
      <w:r>
        <w:rPr>
          <w:rFonts w:hint="eastAsia" w:cs="宋体"/>
          <w:spacing w:val="-4"/>
          <w:sz w:val="24"/>
          <w:highlight w:val="none"/>
          <w:lang w:val="en-US" w:eastAsia="zh-CN"/>
        </w:rPr>
        <w:t>3</w:t>
      </w:r>
      <w:r>
        <w:rPr>
          <w:rFonts w:hint="eastAsia" w:cs="宋体"/>
          <w:spacing w:val="-4"/>
          <w:sz w:val="24"/>
          <w:highlight w:val="none"/>
          <w:lang w:eastAsia="zh-CN"/>
        </w:rPr>
        <w:t>）</w:t>
      </w:r>
      <w:r>
        <w:rPr>
          <w:rFonts w:hint="eastAsia" w:ascii="宋体" w:hAnsi="宋体" w:eastAsia="宋体" w:cs="宋体"/>
          <w:spacing w:val="-4"/>
          <w:sz w:val="24"/>
          <w:highlight w:val="none"/>
        </w:rPr>
        <w:t>监理人无正当理由没有在约定期限内，发出复工指示，导致承包人无法</w:t>
      </w:r>
      <w:r>
        <w:rPr>
          <w:rFonts w:hint="eastAsia" w:ascii="宋体" w:hAnsi="宋体" w:eastAsia="宋体" w:cs="宋体"/>
          <w:spacing w:val="-6"/>
          <w:sz w:val="24"/>
          <w:highlight w:val="none"/>
        </w:rPr>
        <w:t>复工的；</w:t>
      </w:r>
    </w:p>
    <w:p w14:paraId="3E59E0B4">
      <w:pPr>
        <w:pStyle w:val="29"/>
        <w:numPr>
          <w:ilvl w:val="0"/>
          <w:numId w:val="0"/>
        </w:numPr>
        <w:tabs>
          <w:tab w:val="left" w:pos="1479"/>
        </w:tabs>
        <w:spacing w:before="1" w:line="304" w:lineRule="auto"/>
        <w:ind w:left="864" w:leftChars="0" w:right="466" w:rightChars="0"/>
        <w:jc w:val="both"/>
        <w:rPr>
          <w:rFonts w:hint="eastAsia" w:ascii="宋体" w:hAnsi="宋体" w:eastAsia="宋体" w:cs="宋体"/>
          <w:sz w:val="24"/>
          <w:highlight w:val="none"/>
        </w:rPr>
      </w:pPr>
      <w:r>
        <w:rPr>
          <w:rFonts w:hint="eastAsia" w:cs="宋体"/>
          <w:spacing w:val="2"/>
          <w:sz w:val="24"/>
          <w:highlight w:val="none"/>
          <w:lang w:eastAsia="zh-CN"/>
        </w:rPr>
        <w:t>（</w:t>
      </w:r>
      <w:r>
        <w:rPr>
          <w:rFonts w:hint="eastAsia" w:cs="宋体"/>
          <w:spacing w:val="2"/>
          <w:sz w:val="24"/>
          <w:highlight w:val="none"/>
          <w:lang w:val="en-US" w:eastAsia="zh-CN"/>
        </w:rPr>
        <w:t>4</w:t>
      </w:r>
      <w:r>
        <w:rPr>
          <w:rFonts w:hint="eastAsia" w:cs="宋体"/>
          <w:spacing w:val="2"/>
          <w:sz w:val="24"/>
          <w:highlight w:val="none"/>
          <w:lang w:eastAsia="zh-CN"/>
        </w:rPr>
        <w:t>）</w:t>
      </w:r>
      <w:r>
        <w:rPr>
          <w:rFonts w:hint="eastAsia" w:ascii="宋体" w:hAnsi="宋体" w:eastAsia="宋体" w:cs="宋体"/>
          <w:spacing w:val="2"/>
          <w:sz w:val="24"/>
          <w:highlight w:val="none"/>
        </w:rPr>
        <w:t>未根据本合同任何条款而无理阻碍或拒绝对任何上述证书颁发的所需批</w:t>
      </w:r>
      <w:r>
        <w:rPr>
          <w:rFonts w:hint="eastAsia" w:ascii="宋体" w:hAnsi="宋体" w:eastAsia="宋体" w:cs="宋体"/>
          <w:spacing w:val="1"/>
          <w:sz w:val="24"/>
          <w:highlight w:val="none"/>
        </w:rPr>
        <w:t>准，则承包人有权终止对本合同项下的承包，并通知发包人，抄送监理人，该终止</w:t>
      </w:r>
      <w:r>
        <w:rPr>
          <w:rFonts w:hint="eastAsia" w:ascii="宋体" w:hAnsi="宋体" w:eastAsia="宋体" w:cs="宋体"/>
          <w:spacing w:val="-10"/>
          <w:sz w:val="24"/>
          <w:highlight w:val="none"/>
        </w:rPr>
        <w:t xml:space="preserve">在发出通知 </w:t>
      </w:r>
      <w:r>
        <w:rPr>
          <w:rFonts w:hint="eastAsia" w:ascii="宋体" w:hAnsi="宋体" w:eastAsia="宋体" w:cs="宋体"/>
          <w:sz w:val="24"/>
          <w:highlight w:val="none"/>
        </w:rPr>
        <w:t xml:space="preserve">14 </w:t>
      </w:r>
      <w:r>
        <w:rPr>
          <w:rFonts w:hint="eastAsia" w:ascii="宋体" w:hAnsi="宋体" w:eastAsia="宋体" w:cs="宋体"/>
          <w:spacing w:val="-11"/>
          <w:sz w:val="24"/>
          <w:highlight w:val="none"/>
        </w:rPr>
        <w:t>天后生效，发包人应承担违约责任，赔偿因其违约给承包人造成的损</w:t>
      </w:r>
      <w:r>
        <w:rPr>
          <w:rFonts w:hint="eastAsia" w:ascii="宋体" w:hAnsi="宋体" w:eastAsia="宋体" w:cs="宋体"/>
          <w:sz w:val="24"/>
          <w:highlight w:val="none"/>
        </w:rPr>
        <w:t>失，顺延延误的工期。</w:t>
      </w:r>
    </w:p>
    <w:p w14:paraId="062D1D0C">
      <w:pPr>
        <w:pStyle w:val="29"/>
        <w:numPr>
          <w:ilvl w:val="0"/>
          <w:numId w:val="0"/>
        </w:numPr>
        <w:tabs>
          <w:tab w:val="left" w:pos="1703"/>
          <w:tab w:val="left" w:pos="1704"/>
        </w:tabs>
        <w:spacing w:before="8" w:line="304" w:lineRule="auto"/>
        <w:ind w:right="346" w:rightChars="0" w:firstLine="456" w:firstLineChars="200"/>
        <w:rPr>
          <w:rFonts w:hint="eastAsia" w:ascii="宋体" w:hAnsi="宋体" w:eastAsia="宋体" w:cs="宋体"/>
          <w:sz w:val="24"/>
          <w:highlight w:val="none"/>
        </w:rPr>
      </w:pPr>
      <w:r>
        <w:rPr>
          <w:rFonts w:hint="eastAsia" w:ascii="宋体" w:hAnsi="宋体" w:eastAsia="宋体" w:cs="宋体"/>
          <w:spacing w:val="-6"/>
          <w:sz w:val="24"/>
          <w:highlight w:val="none"/>
        </w:rPr>
        <w:t>发包人发生违约情况时，承包人可向发包人发出通知，要求发包人采取</w:t>
      </w:r>
      <w:r>
        <w:rPr>
          <w:rFonts w:hint="eastAsia" w:ascii="宋体" w:hAnsi="宋体" w:eastAsia="宋体" w:cs="宋体"/>
          <w:spacing w:val="-13"/>
          <w:sz w:val="24"/>
          <w:highlight w:val="none"/>
        </w:rPr>
        <w:t xml:space="preserve">有效措施纠正违约行为。发包人收到承包人通知后的 </w:t>
      </w:r>
      <w:r>
        <w:rPr>
          <w:rFonts w:hint="eastAsia" w:ascii="宋体" w:hAnsi="宋体" w:eastAsia="宋体" w:cs="宋体"/>
          <w:sz w:val="24"/>
          <w:highlight w:val="none"/>
        </w:rPr>
        <w:t xml:space="preserve">28 </w:t>
      </w:r>
      <w:r>
        <w:rPr>
          <w:rFonts w:hint="eastAsia" w:ascii="宋体" w:hAnsi="宋体" w:eastAsia="宋体" w:cs="宋体"/>
          <w:spacing w:val="-4"/>
          <w:sz w:val="24"/>
          <w:highlight w:val="none"/>
        </w:rPr>
        <w:t>天内仍不履行合同义务，承包人有权暂停施工，并通知监理人，发包人应承担由此增加的费用和</w:t>
      </w:r>
      <w:r>
        <w:rPr>
          <w:rFonts w:hint="eastAsia" w:ascii="宋体" w:hAnsi="宋体" w:eastAsia="宋体" w:cs="宋体"/>
          <w:sz w:val="24"/>
          <w:highlight w:val="none"/>
        </w:rPr>
        <w:t>(或)</w:t>
      </w:r>
      <w:r>
        <w:rPr>
          <w:rFonts w:hint="eastAsia" w:ascii="宋体" w:hAnsi="宋体" w:eastAsia="宋体" w:cs="宋体"/>
          <w:spacing w:val="-4"/>
          <w:sz w:val="24"/>
          <w:highlight w:val="none"/>
        </w:rPr>
        <w:t xml:space="preserve">工期延误， </w:t>
      </w:r>
      <w:r>
        <w:rPr>
          <w:rFonts w:hint="eastAsia" w:ascii="宋体" w:hAnsi="宋体" w:eastAsia="宋体" w:cs="宋体"/>
          <w:sz w:val="24"/>
          <w:highlight w:val="none"/>
        </w:rPr>
        <w:t>并支付承包人合理利润。</w:t>
      </w:r>
    </w:p>
    <w:p w14:paraId="5803F4CE">
      <w:pPr>
        <w:pStyle w:val="29"/>
        <w:numPr>
          <w:ilvl w:val="4"/>
          <w:numId w:val="7"/>
        </w:numPr>
        <w:tabs>
          <w:tab w:val="left" w:pos="1523"/>
          <w:tab w:val="left" w:pos="1524"/>
        </w:tabs>
        <w:spacing w:before="5"/>
        <w:ind w:left="1524" w:hanging="660"/>
        <w:rPr>
          <w:rFonts w:hint="eastAsia" w:ascii="宋体" w:hAnsi="宋体" w:eastAsia="宋体" w:cs="宋体"/>
          <w:sz w:val="24"/>
          <w:highlight w:val="none"/>
        </w:rPr>
      </w:pPr>
      <w:r>
        <w:rPr>
          <w:rFonts w:hint="eastAsia" w:ascii="宋体" w:hAnsi="宋体" w:eastAsia="宋体" w:cs="宋体"/>
          <w:sz w:val="24"/>
          <w:highlight w:val="none"/>
        </w:rPr>
        <w:t>承包人违约</w:t>
      </w:r>
    </w:p>
    <w:p w14:paraId="6FC8D333">
      <w:pPr>
        <w:pStyle w:val="10"/>
        <w:spacing w:before="5"/>
        <w:rPr>
          <w:rFonts w:hint="eastAsia" w:ascii="宋体" w:hAnsi="宋体" w:eastAsia="宋体" w:cs="宋体"/>
          <w:sz w:val="17"/>
          <w:highlight w:val="none"/>
        </w:rPr>
      </w:pPr>
      <w:r>
        <w:rPr>
          <w:rFonts w:hint="eastAsia" w:ascii="宋体" w:hAnsi="宋体" w:eastAsia="宋体" w:cs="宋体"/>
          <w:sz w:val="24"/>
          <w:highlight w:val="none"/>
        </w:rPr>
        <w:t>下列情况属承包人违约：</w:t>
      </w:r>
    </w:p>
    <w:p w14:paraId="3B9C02EE">
      <w:pPr>
        <w:pStyle w:val="29"/>
        <w:numPr>
          <w:ilvl w:val="0"/>
          <w:numId w:val="30"/>
        </w:numPr>
        <w:tabs>
          <w:tab w:val="left" w:pos="1465"/>
        </w:tabs>
        <w:spacing w:before="74"/>
        <w:rPr>
          <w:rFonts w:hint="eastAsia" w:ascii="宋体" w:hAnsi="宋体" w:eastAsia="宋体" w:cs="宋体"/>
          <w:sz w:val="24"/>
          <w:highlight w:val="none"/>
        </w:rPr>
      </w:pPr>
      <w:r>
        <w:rPr>
          <w:rFonts w:hint="eastAsia" w:ascii="宋体" w:hAnsi="宋体" w:eastAsia="宋体" w:cs="宋体"/>
          <w:sz w:val="24"/>
          <w:highlight w:val="none"/>
        </w:rPr>
        <w:t>无视监理人事先的书面警告，不履行其合同规定的义务；</w:t>
      </w:r>
    </w:p>
    <w:p w14:paraId="6C407C8A">
      <w:pPr>
        <w:pStyle w:val="29"/>
        <w:numPr>
          <w:ilvl w:val="0"/>
          <w:numId w:val="30"/>
        </w:numPr>
        <w:tabs>
          <w:tab w:val="left" w:pos="1465"/>
        </w:tabs>
        <w:spacing w:before="84" w:line="307" w:lineRule="auto"/>
        <w:ind w:left="384" w:right="466" w:firstLine="480"/>
        <w:rPr>
          <w:rFonts w:hint="eastAsia" w:ascii="宋体" w:hAnsi="宋体" w:eastAsia="宋体" w:cs="宋体"/>
          <w:sz w:val="24"/>
          <w:highlight w:val="none"/>
        </w:rPr>
      </w:pPr>
      <w:r>
        <w:rPr>
          <w:rFonts w:hint="eastAsia" w:ascii="宋体" w:hAnsi="宋体" w:eastAsia="宋体" w:cs="宋体"/>
          <w:spacing w:val="-6"/>
          <w:sz w:val="24"/>
          <w:highlight w:val="none"/>
        </w:rPr>
        <w:t>违反合同规定，私自将合同的全部或部分权利转让给其他人，或私自将</w:t>
      </w:r>
      <w:r>
        <w:rPr>
          <w:rFonts w:hint="eastAsia" w:ascii="宋体" w:hAnsi="宋体" w:eastAsia="宋体" w:cs="宋体"/>
          <w:spacing w:val="-5"/>
          <w:sz w:val="24"/>
          <w:highlight w:val="none"/>
        </w:rPr>
        <w:t>合同的全部或部分义务转让给其他人；</w:t>
      </w:r>
    </w:p>
    <w:p w14:paraId="551835A0">
      <w:pPr>
        <w:pStyle w:val="29"/>
        <w:numPr>
          <w:ilvl w:val="0"/>
          <w:numId w:val="30"/>
        </w:numPr>
        <w:tabs>
          <w:tab w:val="left" w:pos="1465"/>
        </w:tabs>
        <w:spacing w:line="307" w:lineRule="auto"/>
        <w:ind w:left="384" w:right="466" w:firstLine="480"/>
        <w:jc w:val="both"/>
        <w:rPr>
          <w:rFonts w:hint="eastAsia" w:ascii="宋体" w:hAnsi="宋体" w:eastAsia="宋体" w:cs="宋体"/>
          <w:sz w:val="24"/>
          <w:highlight w:val="none"/>
        </w:rPr>
      </w:pPr>
      <w:r>
        <w:rPr>
          <w:rFonts w:hint="eastAsia" w:ascii="宋体" w:hAnsi="宋体" w:eastAsia="宋体" w:cs="宋体"/>
          <w:spacing w:val="-2"/>
          <w:sz w:val="24"/>
          <w:highlight w:val="none"/>
        </w:rPr>
        <w:t>未按在合同谈判阶段确定的内容配备其他管理和技术人员、主要机械设</w:t>
      </w:r>
      <w:r>
        <w:rPr>
          <w:rFonts w:hint="eastAsia" w:ascii="宋体" w:hAnsi="宋体" w:eastAsia="宋体" w:cs="宋体"/>
          <w:spacing w:val="-5"/>
          <w:sz w:val="24"/>
          <w:highlight w:val="none"/>
        </w:rPr>
        <w:t>备和试验检测设备、未按期提交施工组织计划；私自将已按合同约定进入场地的施</w:t>
      </w:r>
      <w:r>
        <w:rPr>
          <w:rFonts w:hint="eastAsia" w:ascii="宋体" w:hAnsi="宋体" w:eastAsia="宋体" w:cs="宋体"/>
          <w:spacing w:val="-4"/>
          <w:sz w:val="24"/>
          <w:highlight w:val="none"/>
        </w:rPr>
        <w:t>工设备、临时设备或材料撤离施工场地；</w:t>
      </w:r>
    </w:p>
    <w:p w14:paraId="70D17781">
      <w:pPr>
        <w:pStyle w:val="29"/>
        <w:numPr>
          <w:ilvl w:val="0"/>
          <w:numId w:val="30"/>
        </w:numPr>
        <w:tabs>
          <w:tab w:val="left" w:pos="1468"/>
        </w:tabs>
        <w:spacing w:line="304" w:lineRule="auto"/>
        <w:ind w:left="384" w:right="467" w:firstLine="480"/>
        <w:jc w:val="both"/>
        <w:rPr>
          <w:rFonts w:hint="eastAsia" w:ascii="宋体" w:hAnsi="宋体" w:eastAsia="宋体" w:cs="宋体"/>
          <w:sz w:val="24"/>
          <w:highlight w:val="none"/>
        </w:rPr>
      </w:pPr>
      <w:r>
        <w:rPr>
          <w:rFonts w:hint="eastAsia" w:ascii="宋体" w:hAnsi="宋体" w:eastAsia="宋体" w:cs="宋体"/>
          <w:spacing w:val="-4"/>
          <w:sz w:val="24"/>
          <w:highlight w:val="none"/>
        </w:rPr>
        <w:t xml:space="preserve">在监理人通知或指令发出 </w:t>
      </w:r>
      <w:r>
        <w:rPr>
          <w:rFonts w:hint="eastAsia" w:ascii="宋体" w:hAnsi="宋体" w:eastAsia="宋体" w:cs="宋体"/>
          <w:sz w:val="24"/>
          <w:highlight w:val="none"/>
        </w:rPr>
        <w:t>28</w:t>
      </w:r>
      <w:r>
        <w:rPr>
          <w:rFonts w:hint="eastAsia" w:ascii="宋体" w:hAnsi="宋体" w:eastAsia="宋体" w:cs="宋体"/>
          <w:spacing w:val="10"/>
          <w:sz w:val="24"/>
          <w:highlight w:val="none"/>
        </w:rPr>
        <w:t xml:space="preserve"> </w:t>
      </w:r>
      <w:r>
        <w:rPr>
          <w:rFonts w:hint="eastAsia" w:ascii="宋体" w:hAnsi="宋体" w:eastAsia="宋体" w:cs="宋体"/>
          <w:spacing w:val="-1"/>
          <w:sz w:val="24"/>
          <w:highlight w:val="none"/>
        </w:rPr>
        <w:t>天内不遵守该通知或指令修复或运走、替换</w:t>
      </w:r>
      <w:r>
        <w:rPr>
          <w:rFonts w:hint="eastAsia" w:ascii="宋体" w:hAnsi="宋体" w:eastAsia="宋体" w:cs="宋体"/>
          <w:sz w:val="24"/>
          <w:highlight w:val="none"/>
        </w:rPr>
        <w:t>不合格材料、设备的；</w:t>
      </w:r>
    </w:p>
    <w:p w14:paraId="4DAFAFBD">
      <w:pPr>
        <w:pStyle w:val="29"/>
        <w:numPr>
          <w:ilvl w:val="0"/>
          <w:numId w:val="30"/>
        </w:numPr>
        <w:tabs>
          <w:tab w:val="left" w:pos="1468"/>
        </w:tabs>
        <w:spacing w:line="304" w:lineRule="auto"/>
        <w:ind w:left="384" w:right="467" w:firstLine="480"/>
        <w:jc w:val="both"/>
        <w:rPr>
          <w:rFonts w:hint="eastAsia" w:ascii="宋体" w:hAnsi="宋体" w:eastAsia="宋体" w:cs="宋体"/>
          <w:sz w:val="24"/>
          <w:highlight w:val="none"/>
        </w:rPr>
      </w:pPr>
      <w:r>
        <w:rPr>
          <w:rFonts w:hint="eastAsia" w:ascii="宋体" w:hAnsi="宋体" w:eastAsia="宋体" w:cs="宋体"/>
          <w:spacing w:val="-2"/>
          <w:sz w:val="24"/>
          <w:highlight w:val="none"/>
        </w:rPr>
        <w:t xml:space="preserve">无正当理由延期开工或因进度滞后，在接到监理人加快进度通知 </w:t>
      </w:r>
      <w:r>
        <w:rPr>
          <w:rFonts w:hint="eastAsia" w:ascii="宋体" w:hAnsi="宋体" w:eastAsia="宋体" w:cs="宋体"/>
          <w:sz w:val="24"/>
          <w:highlight w:val="none"/>
        </w:rPr>
        <w:t>28</w:t>
      </w:r>
      <w:r>
        <w:rPr>
          <w:rFonts w:hint="eastAsia" w:ascii="宋体" w:hAnsi="宋体" w:eastAsia="宋体" w:cs="宋体"/>
          <w:spacing w:val="12"/>
          <w:sz w:val="24"/>
          <w:highlight w:val="none"/>
        </w:rPr>
        <w:t xml:space="preserve"> </w:t>
      </w:r>
      <w:r>
        <w:rPr>
          <w:rFonts w:hint="eastAsia" w:ascii="宋体" w:hAnsi="宋体" w:eastAsia="宋体" w:cs="宋体"/>
          <w:spacing w:val="-6"/>
          <w:sz w:val="24"/>
          <w:highlight w:val="none"/>
        </w:rPr>
        <w:t>天内</w:t>
      </w:r>
      <w:r>
        <w:rPr>
          <w:rFonts w:hint="eastAsia" w:ascii="宋体" w:hAnsi="宋体" w:eastAsia="宋体" w:cs="宋体"/>
          <w:sz w:val="24"/>
          <w:highlight w:val="none"/>
        </w:rPr>
        <w:t>无正当理由、未能采取措施加快进行本工程或其关键部分的施工；</w:t>
      </w:r>
    </w:p>
    <w:p w14:paraId="323E5FC1">
      <w:pPr>
        <w:pStyle w:val="29"/>
        <w:numPr>
          <w:ilvl w:val="0"/>
          <w:numId w:val="30"/>
        </w:numPr>
        <w:tabs>
          <w:tab w:val="left" w:pos="1465"/>
        </w:tabs>
        <w:rPr>
          <w:rFonts w:hint="eastAsia" w:ascii="宋体" w:hAnsi="宋体" w:eastAsia="宋体" w:cs="宋体"/>
          <w:sz w:val="24"/>
          <w:highlight w:val="none"/>
        </w:rPr>
      </w:pPr>
      <w:r>
        <w:rPr>
          <w:rFonts w:hint="eastAsia" w:ascii="宋体" w:hAnsi="宋体" w:eastAsia="宋体" w:cs="宋体"/>
          <w:sz w:val="24"/>
          <w:highlight w:val="none"/>
        </w:rPr>
        <w:t>未达到规定质量目标的；</w:t>
      </w:r>
    </w:p>
    <w:p w14:paraId="53C9F065">
      <w:pPr>
        <w:pStyle w:val="29"/>
        <w:numPr>
          <w:ilvl w:val="0"/>
          <w:numId w:val="30"/>
        </w:numPr>
        <w:tabs>
          <w:tab w:val="left" w:pos="1465"/>
        </w:tabs>
        <w:spacing w:before="84"/>
        <w:rPr>
          <w:rFonts w:hint="eastAsia" w:ascii="宋体" w:hAnsi="宋体" w:eastAsia="宋体" w:cs="宋体"/>
          <w:sz w:val="24"/>
          <w:highlight w:val="none"/>
        </w:rPr>
      </w:pPr>
      <w:r>
        <w:rPr>
          <w:rFonts w:hint="eastAsia" w:ascii="宋体" w:hAnsi="宋体" w:eastAsia="宋体" w:cs="宋体"/>
          <w:sz w:val="24"/>
          <w:highlight w:val="none"/>
        </w:rPr>
        <w:t>出现三级一般质量事故以上的；</w:t>
      </w:r>
    </w:p>
    <w:p w14:paraId="005F82C9">
      <w:pPr>
        <w:pStyle w:val="29"/>
        <w:numPr>
          <w:ilvl w:val="0"/>
          <w:numId w:val="30"/>
        </w:numPr>
        <w:tabs>
          <w:tab w:val="left" w:pos="1465"/>
        </w:tabs>
        <w:spacing w:before="83"/>
        <w:rPr>
          <w:rFonts w:hint="eastAsia" w:ascii="宋体" w:hAnsi="宋体" w:eastAsia="宋体" w:cs="宋体"/>
          <w:sz w:val="24"/>
          <w:highlight w:val="none"/>
        </w:rPr>
      </w:pPr>
      <w:r>
        <w:rPr>
          <w:rFonts w:hint="eastAsia" w:ascii="宋体" w:hAnsi="宋体" w:eastAsia="宋体" w:cs="宋体"/>
          <w:sz w:val="24"/>
          <w:highlight w:val="none"/>
        </w:rPr>
        <w:t>发生野蛮施工，造成环保事件或损坏原有建筑物的；</w:t>
      </w:r>
    </w:p>
    <w:p w14:paraId="18299B2A">
      <w:pPr>
        <w:pStyle w:val="29"/>
        <w:numPr>
          <w:ilvl w:val="0"/>
          <w:numId w:val="30"/>
        </w:numPr>
        <w:tabs>
          <w:tab w:val="left" w:pos="1465"/>
        </w:tabs>
        <w:spacing w:before="84"/>
        <w:rPr>
          <w:rFonts w:hint="eastAsia" w:ascii="宋体" w:hAnsi="宋体" w:eastAsia="宋体" w:cs="宋体"/>
          <w:sz w:val="24"/>
          <w:highlight w:val="none"/>
        </w:rPr>
      </w:pPr>
      <w:r>
        <w:rPr>
          <w:rFonts w:hint="eastAsia" w:ascii="宋体" w:hAnsi="宋体" w:eastAsia="宋体" w:cs="宋体"/>
          <w:sz w:val="24"/>
          <w:highlight w:val="none"/>
        </w:rPr>
        <w:t>因通行便道维护不力，造成社会恶劣影响的；</w:t>
      </w:r>
    </w:p>
    <w:p w14:paraId="638B2E20">
      <w:pPr>
        <w:pStyle w:val="29"/>
        <w:numPr>
          <w:ilvl w:val="0"/>
          <w:numId w:val="30"/>
        </w:numPr>
        <w:tabs>
          <w:tab w:val="left" w:pos="1585"/>
        </w:tabs>
        <w:spacing w:before="86"/>
        <w:ind w:left="1585" w:hanging="721"/>
        <w:rPr>
          <w:rFonts w:hint="eastAsia" w:ascii="宋体" w:hAnsi="宋体" w:eastAsia="宋体" w:cs="宋体"/>
          <w:sz w:val="24"/>
          <w:highlight w:val="none"/>
        </w:rPr>
      </w:pPr>
      <w:r>
        <w:rPr>
          <w:rFonts w:hint="eastAsia" w:ascii="宋体" w:hAnsi="宋体" w:eastAsia="宋体" w:cs="宋体"/>
          <w:sz w:val="24"/>
          <w:highlight w:val="none"/>
        </w:rPr>
        <w:t>拖欠劳务工资、设备、材料款，造成恶劣影响的；</w:t>
      </w:r>
    </w:p>
    <w:p w14:paraId="483E9421">
      <w:pPr>
        <w:pStyle w:val="29"/>
        <w:numPr>
          <w:ilvl w:val="0"/>
          <w:numId w:val="30"/>
        </w:numPr>
        <w:tabs>
          <w:tab w:val="left" w:pos="1585"/>
        </w:tabs>
        <w:spacing w:before="84"/>
        <w:ind w:left="1585" w:hanging="721"/>
        <w:rPr>
          <w:rFonts w:hint="eastAsia" w:ascii="宋体" w:hAnsi="宋体" w:eastAsia="宋体" w:cs="宋体"/>
          <w:sz w:val="24"/>
          <w:highlight w:val="none"/>
        </w:rPr>
      </w:pPr>
      <w:r>
        <w:rPr>
          <w:rFonts w:hint="eastAsia" w:ascii="宋体" w:hAnsi="宋体" w:eastAsia="宋体" w:cs="宋体"/>
          <w:sz w:val="24"/>
          <w:highlight w:val="none"/>
        </w:rPr>
        <w:t>违反分包、转包规定的；</w:t>
      </w:r>
    </w:p>
    <w:p w14:paraId="10E695EF">
      <w:pPr>
        <w:pStyle w:val="29"/>
        <w:numPr>
          <w:ilvl w:val="0"/>
          <w:numId w:val="30"/>
        </w:numPr>
        <w:tabs>
          <w:tab w:val="left" w:pos="1588"/>
        </w:tabs>
        <w:spacing w:before="84" w:line="307" w:lineRule="auto"/>
        <w:ind w:left="384" w:right="467" w:firstLine="480"/>
        <w:rPr>
          <w:rFonts w:hint="eastAsia" w:ascii="宋体" w:hAnsi="宋体" w:eastAsia="宋体" w:cs="宋体"/>
          <w:sz w:val="24"/>
          <w:highlight w:val="none"/>
        </w:rPr>
      </w:pPr>
      <w:r>
        <w:rPr>
          <w:rFonts w:hint="eastAsia" w:ascii="宋体" w:hAnsi="宋体" w:eastAsia="宋体" w:cs="宋体"/>
          <w:spacing w:val="-1"/>
          <w:sz w:val="24"/>
          <w:highlight w:val="none"/>
        </w:rPr>
        <w:t>承包人在缺陷责任期内，未能对工程接收证书所列的缺陷清单的内容或</w:t>
      </w:r>
      <w:r>
        <w:rPr>
          <w:rFonts w:hint="eastAsia" w:ascii="宋体" w:hAnsi="宋体" w:eastAsia="宋体" w:cs="宋体"/>
          <w:sz w:val="24"/>
          <w:highlight w:val="none"/>
        </w:rPr>
        <w:t>缺陷责任期内发生的缺陷进行修复，而又拒绝按监理人指示再进行修补的；</w:t>
      </w:r>
    </w:p>
    <w:p w14:paraId="2FEEB7B5">
      <w:pPr>
        <w:pStyle w:val="29"/>
        <w:numPr>
          <w:ilvl w:val="0"/>
          <w:numId w:val="30"/>
        </w:numPr>
        <w:tabs>
          <w:tab w:val="left" w:pos="1585"/>
        </w:tabs>
        <w:spacing w:line="305" w:lineRule="exact"/>
        <w:ind w:left="1585" w:hanging="721"/>
        <w:rPr>
          <w:rFonts w:hint="eastAsia" w:ascii="宋体" w:hAnsi="宋体" w:eastAsia="宋体" w:cs="宋体"/>
          <w:sz w:val="24"/>
          <w:highlight w:val="none"/>
        </w:rPr>
      </w:pPr>
      <w:r>
        <w:rPr>
          <w:rFonts w:hint="eastAsia" w:ascii="宋体" w:hAnsi="宋体" w:eastAsia="宋体" w:cs="宋体"/>
          <w:sz w:val="24"/>
          <w:highlight w:val="none"/>
        </w:rPr>
        <w:t>违反其他合同规定履约义务的。</w:t>
      </w:r>
    </w:p>
    <w:p w14:paraId="2B0CAE30">
      <w:pPr>
        <w:pStyle w:val="29"/>
        <w:numPr>
          <w:ilvl w:val="5"/>
          <w:numId w:val="7"/>
        </w:numPr>
        <w:tabs>
          <w:tab w:val="left" w:pos="1704"/>
        </w:tabs>
        <w:spacing w:before="83"/>
        <w:ind w:left="1704" w:hanging="840"/>
        <w:jc w:val="both"/>
        <w:rPr>
          <w:rFonts w:hint="eastAsia" w:ascii="宋体" w:hAnsi="宋体" w:eastAsia="宋体" w:cs="宋体"/>
          <w:sz w:val="24"/>
          <w:highlight w:val="none"/>
        </w:rPr>
      </w:pPr>
      <w:r>
        <w:rPr>
          <w:rFonts w:hint="eastAsia" w:ascii="宋体" w:hAnsi="宋体" w:eastAsia="宋体" w:cs="宋体"/>
          <w:sz w:val="24"/>
          <w:highlight w:val="none"/>
        </w:rPr>
        <w:t>承包人承担违约责任，赔偿因其违约给发包人造成的损失。</w:t>
      </w:r>
    </w:p>
    <w:p w14:paraId="7A928E22">
      <w:pPr>
        <w:pStyle w:val="29"/>
        <w:numPr>
          <w:ilvl w:val="5"/>
          <w:numId w:val="7"/>
        </w:numPr>
        <w:tabs>
          <w:tab w:val="left" w:pos="1707"/>
        </w:tabs>
        <w:spacing w:before="86" w:line="304" w:lineRule="auto"/>
        <w:ind w:right="465" w:firstLine="480"/>
        <w:jc w:val="both"/>
        <w:rPr>
          <w:rFonts w:hint="eastAsia" w:ascii="宋体" w:hAnsi="宋体" w:eastAsia="宋体" w:cs="宋体"/>
          <w:sz w:val="24"/>
          <w:highlight w:val="none"/>
        </w:rPr>
      </w:pPr>
      <w:r>
        <w:rPr>
          <w:rFonts w:hint="eastAsia" w:ascii="宋体" w:hAnsi="宋体" w:eastAsia="宋体" w:cs="宋体"/>
          <w:spacing w:val="-5"/>
          <w:sz w:val="24"/>
          <w:highlight w:val="none"/>
        </w:rPr>
        <w:t xml:space="preserve">监理人发出整改通知 </w:t>
      </w:r>
      <w:r>
        <w:rPr>
          <w:rFonts w:hint="eastAsia" w:ascii="宋体" w:hAnsi="宋体" w:eastAsia="宋体" w:cs="宋体"/>
          <w:sz w:val="24"/>
          <w:highlight w:val="none"/>
        </w:rPr>
        <w:t>28</w:t>
      </w:r>
      <w:r>
        <w:rPr>
          <w:rFonts w:hint="eastAsia" w:ascii="宋体" w:hAnsi="宋体" w:eastAsia="宋体" w:cs="宋体"/>
          <w:spacing w:val="11"/>
          <w:sz w:val="24"/>
          <w:highlight w:val="none"/>
        </w:rPr>
        <w:t xml:space="preserve"> </w:t>
      </w:r>
      <w:r>
        <w:rPr>
          <w:rFonts w:hint="eastAsia" w:ascii="宋体" w:hAnsi="宋体" w:eastAsia="宋体" w:cs="宋体"/>
          <w:spacing w:val="-1"/>
          <w:sz w:val="24"/>
          <w:highlight w:val="none"/>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为不免除承包人应承担的违</w:t>
      </w:r>
      <w:r>
        <w:rPr>
          <w:rFonts w:hint="eastAsia" w:ascii="宋体" w:hAnsi="宋体" w:eastAsia="宋体" w:cs="宋体"/>
          <w:sz w:val="24"/>
          <w:highlight w:val="none"/>
        </w:rPr>
        <w:t>约责任，也不影响发包人根据合同约定享有的索赔权利。</w:t>
      </w:r>
    </w:p>
    <w:p w14:paraId="07A5CFD3">
      <w:pPr>
        <w:pStyle w:val="29"/>
        <w:numPr>
          <w:ilvl w:val="4"/>
          <w:numId w:val="7"/>
        </w:numPr>
        <w:tabs>
          <w:tab w:val="left" w:pos="1529"/>
        </w:tabs>
        <w:spacing w:before="6" w:line="307"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在履行合同过程中，一方当事人因第三人的原因造成违约的，应当向对</w:t>
      </w:r>
      <w:r>
        <w:rPr>
          <w:rFonts w:hint="eastAsia" w:ascii="宋体" w:hAnsi="宋体" w:eastAsia="宋体" w:cs="宋体"/>
          <w:spacing w:val="-1"/>
          <w:sz w:val="24"/>
          <w:highlight w:val="none"/>
        </w:rPr>
        <w:t>方当事人承担违约责任。一方当事人和第三人之间的纠纷，依照法律规定或者按照</w:t>
      </w:r>
      <w:r>
        <w:rPr>
          <w:rFonts w:hint="eastAsia" w:ascii="宋体" w:hAnsi="宋体" w:eastAsia="宋体" w:cs="宋体"/>
          <w:sz w:val="24"/>
          <w:highlight w:val="none"/>
        </w:rPr>
        <w:t>约定解决。</w:t>
      </w:r>
    </w:p>
    <w:p w14:paraId="0F793E3F">
      <w:pPr>
        <w:pStyle w:val="29"/>
        <w:numPr>
          <w:ilvl w:val="4"/>
          <w:numId w:val="7"/>
        </w:numPr>
        <w:tabs>
          <w:tab w:val="left" w:pos="1524"/>
        </w:tabs>
        <w:spacing w:line="303" w:lineRule="exact"/>
        <w:ind w:left="1524" w:hanging="660"/>
        <w:jc w:val="both"/>
        <w:rPr>
          <w:rFonts w:hint="eastAsia" w:ascii="宋体" w:hAnsi="宋体" w:eastAsia="宋体" w:cs="宋体"/>
          <w:sz w:val="24"/>
          <w:highlight w:val="none"/>
        </w:rPr>
      </w:pPr>
      <w:r>
        <w:rPr>
          <w:rFonts w:hint="eastAsia" w:ascii="宋体" w:hAnsi="宋体" w:eastAsia="宋体" w:cs="宋体"/>
          <w:sz w:val="24"/>
          <w:highlight w:val="none"/>
        </w:rPr>
        <w:t>合同解除后的估价、付款和结清</w:t>
      </w:r>
    </w:p>
    <w:p w14:paraId="33E969E2">
      <w:pPr>
        <w:pStyle w:val="29"/>
        <w:numPr>
          <w:ilvl w:val="0"/>
          <w:numId w:val="31"/>
        </w:numPr>
        <w:tabs>
          <w:tab w:val="left" w:pos="1465"/>
        </w:tabs>
        <w:spacing w:before="86" w:line="304" w:lineRule="auto"/>
        <w:ind w:right="466" w:firstLine="480"/>
        <w:rPr>
          <w:rFonts w:hint="eastAsia" w:ascii="宋体" w:hAnsi="宋体" w:eastAsia="宋体" w:cs="宋体"/>
          <w:sz w:val="24"/>
          <w:highlight w:val="none"/>
        </w:rPr>
      </w:pPr>
      <w:r>
        <w:rPr>
          <w:rFonts w:hint="eastAsia" w:ascii="宋体" w:hAnsi="宋体" w:eastAsia="宋体" w:cs="宋体"/>
          <w:spacing w:val="-6"/>
          <w:sz w:val="24"/>
          <w:highlight w:val="none"/>
        </w:rPr>
        <w:t>合同解除后，监理人商定或确定承包人实际完成工作的价值，以及承包</w:t>
      </w:r>
      <w:r>
        <w:rPr>
          <w:rFonts w:hint="eastAsia" w:ascii="宋体" w:hAnsi="宋体" w:eastAsia="宋体" w:cs="宋体"/>
          <w:spacing w:val="-5"/>
          <w:sz w:val="24"/>
          <w:highlight w:val="none"/>
        </w:rPr>
        <w:t>人已提供的材料、施工设备、工程设备和临时工程等的价值；</w:t>
      </w:r>
    </w:p>
    <w:p w14:paraId="5EA9257F">
      <w:pPr>
        <w:pStyle w:val="29"/>
        <w:numPr>
          <w:ilvl w:val="0"/>
          <w:numId w:val="31"/>
        </w:numPr>
        <w:tabs>
          <w:tab w:val="left" w:pos="1465"/>
        </w:tabs>
        <w:spacing w:before="2" w:line="307" w:lineRule="auto"/>
        <w:ind w:right="466" w:firstLine="480"/>
        <w:rPr>
          <w:rFonts w:hint="eastAsia" w:ascii="宋体" w:hAnsi="宋体" w:eastAsia="宋体" w:cs="宋体"/>
          <w:sz w:val="24"/>
          <w:highlight w:val="none"/>
        </w:rPr>
      </w:pPr>
      <w:r>
        <w:rPr>
          <w:rFonts w:hint="eastAsia" w:ascii="宋体" w:hAnsi="宋体" w:eastAsia="宋体" w:cs="宋体"/>
          <w:spacing w:val="-7"/>
          <w:sz w:val="24"/>
          <w:highlight w:val="none"/>
        </w:rPr>
        <w:t>合同解除后，发包人应暂停对承包人的一切付款，查清各项付款和已扣</w:t>
      </w:r>
      <w:r>
        <w:rPr>
          <w:rFonts w:hint="eastAsia" w:ascii="宋体" w:hAnsi="宋体" w:eastAsia="宋体" w:cs="宋体"/>
          <w:spacing w:val="-5"/>
          <w:sz w:val="24"/>
          <w:highlight w:val="none"/>
        </w:rPr>
        <w:t>款金额，包括承包人应支付的违约金；</w:t>
      </w:r>
    </w:p>
    <w:p w14:paraId="2DA34214">
      <w:pPr>
        <w:pStyle w:val="10"/>
        <w:spacing w:before="5"/>
        <w:rPr>
          <w:rFonts w:hint="eastAsia" w:ascii="宋体" w:hAnsi="宋体" w:eastAsia="宋体" w:cs="宋体"/>
          <w:sz w:val="17"/>
          <w:highlight w:val="none"/>
        </w:rPr>
      </w:pPr>
      <w:r>
        <w:rPr>
          <w:rFonts w:hint="eastAsia" w:ascii="宋体" w:hAnsi="宋体" w:eastAsia="宋体" w:cs="宋体"/>
          <w:spacing w:val="-6"/>
          <w:sz w:val="24"/>
          <w:highlight w:val="none"/>
        </w:rPr>
        <w:t>合同解除后，发包人应约定向承包人索赔由于解除合同给发包人造成的</w:t>
      </w:r>
      <w:r>
        <w:rPr>
          <w:rFonts w:hint="eastAsia" w:ascii="宋体" w:hAnsi="宋体" w:eastAsia="宋体" w:cs="宋体"/>
          <w:spacing w:val="-7"/>
          <w:sz w:val="24"/>
          <w:highlight w:val="none"/>
        </w:rPr>
        <w:t>损失；</w:t>
      </w:r>
    </w:p>
    <w:p w14:paraId="6209F549">
      <w:pPr>
        <w:pStyle w:val="29"/>
        <w:numPr>
          <w:ilvl w:val="0"/>
          <w:numId w:val="31"/>
        </w:numPr>
        <w:tabs>
          <w:tab w:val="left" w:pos="1465"/>
        </w:tabs>
        <w:spacing w:before="74" w:line="304" w:lineRule="auto"/>
        <w:ind w:right="466" w:firstLine="480"/>
        <w:rPr>
          <w:rFonts w:hint="eastAsia" w:ascii="宋体" w:hAnsi="宋体" w:eastAsia="宋体" w:cs="宋体"/>
          <w:sz w:val="24"/>
          <w:highlight w:val="none"/>
        </w:rPr>
      </w:pPr>
      <w:r>
        <w:rPr>
          <w:rFonts w:hint="eastAsia" w:ascii="宋体" w:hAnsi="宋体" w:eastAsia="宋体" w:cs="宋体"/>
          <w:spacing w:val="-4"/>
          <w:sz w:val="24"/>
          <w:highlight w:val="none"/>
        </w:rPr>
        <w:t>合同双方确认上述往来款项后，出具最终结清付款证书，结清全部合同</w:t>
      </w:r>
      <w:r>
        <w:rPr>
          <w:rFonts w:hint="eastAsia" w:ascii="宋体" w:hAnsi="宋体" w:eastAsia="宋体" w:cs="宋体"/>
          <w:spacing w:val="-7"/>
          <w:sz w:val="24"/>
          <w:highlight w:val="none"/>
        </w:rPr>
        <w:t>款项；</w:t>
      </w:r>
    </w:p>
    <w:p w14:paraId="31BE0083">
      <w:pPr>
        <w:pStyle w:val="29"/>
        <w:numPr>
          <w:ilvl w:val="0"/>
          <w:numId w:val="31"/>
        </w:numPr>
        <w:tabs>
          <w:tab w:val="left" w:pos="1470"/>
        </w:tabs>
        <w:spacing w:before="4"/>
        <w:ind w:left="1469" w:hanging="606"/>
        <w:rPr>
          <w:rFonts w:hint="eastAsia" w:ascii="宋体" w:hAnsi="宋体" w:eastAsia="宋体" w:cs="宋体"/>
          <w:sz w:val="24"/>
          <w:highlight w:val="none"/>
        </w:rPr>
      </w:pPr>
      <w:r>
        <w:rPr>
          <w:rFonts w:hint="eastAsia" w:ascii="宋体" w:hAnsi="宋体" w:eastAsia="宋体" w:cs="宋体"/>
          <w:spacing w:val="-12"/>
          <w:sz w:val="24"/>
          <w:highlight w:val="none"/>
        </w:rPr>
        <w:t>发包人和承包人未能就解除合同后的结清达成一致而形成争议的，按约定办</w:t>
      </w:r>
    </w:p>
    <w:p w14:paraId="64257006">
      <w:pPr>
        <w:pStyle w:val="10"/>
        <w:spacing w:before="83"/>
        <w:ind w:left="384"/>
        <w:rPr>
          <w:rFonts w:hint="eastAsia" w:ascii="宋体" w:hAnsi="宋体" w:eastAsia="宋体" w:cs="宋体"/>
          <w:highlight w:val="none"/>
        </w:rPr>
      </w:pPr>
      <w:r>
        <w:rPr>
          <w:rFonts w:hint="eastAsia" w:ascii="宋体" w:hAnsi="宋体" w:eastAsia="宋体" w:cs="宋体"/>
          <w:highlight w:val="none"/>
        </w:rPr>
        <w:t>理。</w:t>
      </w:r>
    </w:p>
    <w:p w14:paraId="3AD05DFE">
      <w:pPr>
        <w:pStyle w:val="10"/>
        <w:rPr>
          <w:rFonts w:hint="eastAsia" w:ascii="宋体" w:hAnsi="宋体" w:eastAsia="宋体" w:cs="宋体"/>
          <w:sz w:val="20"/>
          <w:highlight w:val="none"/>
        </w:rPr>
      </w:pPr>
    </w:p>
    <w:p w14:paraId="0DF361AD">
      <w:pPr>
        <w:pStyle w:val="29"/>
        <w:numPr>
          <w:ilvl w:val="3"/>
          <w:numId w:val="7"/>
        </w:numPr>
        <w:tabs>
          <w:tab w:val="left" w:pos="1125"/>
        </w:tabs>
        <w:spacing w:before="1"/>
        <w:ind w:left="1124" w:hanging="302"/>
        <w:jc w:val="left"/>
        <w:rPr>
          <w:rFonts w:hint="eastAsia" w:ascii="宋体" w:hAnsi="宋体" w:eastAsia="宋体" w:cs="宋体"/>
          <w:sz w:val="24"/>
          <w:highlight w:val="none"/>
        </w:rPr>
      </w:pPr>
      <w:r>
        <w:rPr>
          <w:rFonts w:hint="eastAsia" w:ascii="宋体" w:hAnsi="宋体" w:eastAsia="宋体" w:cs="宋体"/>
          <w:sz w:val="24"/>
          <w:highlight w:val="none"/>
        </w:rPr>
        <w:t>索赔</w:t>
      </w:r>
    </w:p>
    <w:p w14:paraId="39600C42">
      <w:pPr>
        <w:pStyle w:val="10"/>
        <w:spacing w:before="7"/>
        <w:rPr>
          <w:rFonts w:hint="eastAsia" w:ascii="宋体" w:hAnsi="宋体" w:eastAsia="宋体" w:cs="宋体"/>
          <w:sz w:val="20"/>
          <w:highlight w:val="none"/>
        </w:rPr>
      </w:pPr>
    </w:p>
    <w:p w14:paraId="042BD237">
      <w:pPr>
        <w:pStyle w:val="29"/>
        <w:numPr>
          <w:ilvl w:val="4"/>
          <w:numId w:val="7"/>
        </w:numPr>
        <w:tabs>
          <w:tab w:val="left" w:pos="1529"/>
        </w:tabs>
        <w:spacing w:line="304" w:lineRule="auto"/>
        <w:ind w:left="384" w:right="467" w:firstLine="480"/>
        <w:jc w:val="both"/>
        <w:rPr>
          <w:rFonts w:hint="eastAsia" w:ascii="宋体" w:hAnsi="宋体" w:eastAsia="宋体" w:cs="宋体"/>
          <w:sz w:val="24"/>
          <w:highlight w:val="none"/>
        </w:rPr>
      </w:pPr>
      <w:r>
        <w:rPr>
          <w:rFonts w:hint="eastAsia" w:ascii="宋体" w:hAnsi="宋体" w:eastAsia="宋体" w:cs="宋体"/>
          <w:sz w:val="24"/>
          <w:highlight w:val="none"/>
        </w:rPr>
        <w:t>当一方向另一方提出索赔时，要有正当索赔理由，并向监理人提交索赔事件发生时的有效证据。</w:t>
      </w:r>
    </w:p>
    <w:p w14:paraId="69FECBBF">
      <w:pPr>
        <w:pStyle w:val="29"/>
        <w:numPr>
          <w:ilvl w:val="4"/>
          <w:numId w:val="7"/>
        </w:numPr>
        <w:tabs>
          <w:tab w:val="left" w:pos="1529"/>
        </w:tabs>
        <w:spacing w:before="1" w:line="307" w:lineRule="auto"/>
        <w:ind w:left="384" w:right="467" w:firstLine="480"/>
        <w:jc w:val="both"/>
        <w:rPr>
          <w:rFonts w:hint="eastAsia" w:ascii="宋体" w:hAnsi="宋体" w:eastAsia="宋体" w:cs="宋体"/>
          <w:sz w:val="24"/>
          <w:highlight w:val="none"/>
        </w:rPr>
      </w:pPr>
      <w:r>
        <w:rPr>
          <w:rFonts w:hint="eastAsia" w:ascii="宋体" w:hAnsi="宋体" w:eastAsia="宋体" w:cs="宋体"/>
          <w:sz w:val="24"/>
          <w:highlight w:val="none"/>
        </w:rPr>
        <w:t>发包人未能按合同约定履行自己的各项义务或发生错误，造成工期延误和承包人经济损失，承包人可按下列程序以书面形式申请索赔：</w:t>
      </w:r>
    </w:p>
    <w:p w14:paraId="6F1969E1">
      <w:pPr>
        <w:pStyle w:val="29"/>
        <w:numPr>
          <w:ilvl w:val="0"/>
          <w:numId w:val="32"/>
        </w:numPr>
        <w:tabs>
          <w:tab w:val="left" w:pos="1468"/>
        </w:tabs>
        <w:spacing w:line="304" w:lineRule="auto"/>
        <w:ind w:right="467" w:firstLine="480"/>
        <w:jc w:val="both"/>
        <w:rPr>
          <w:rFonts w:hint="eastAsia" w:ascii="宋体" w:hAnsi="宋体" w:eastAsia="宋体" w:cs="宋体"/>
          <w:sz w:val="24"/>
          <w:highlight w:val="none"/>
        </w:rPr>
      </w:pPr>
      <w:r>
        <w:rPr>
          <w:rFonts w:hint="eastAsia" w:ascii="宋体" w:hAnsi="宋体" w:eastAsia="宋体" w:cs="宋体"/>
          <w:spacing w:val="-5"/>
          <w:sz w:val="24"/>
          <w:highlight w:val="none"/>
        </w:rPr>
        <w:t xml:space="preserve">索赔事件首次发生的 </w:t>
      </w:r>
      <w:r>
        <w:rPr>
          <w:rFonts w:hint="eastAsia" w:ascii="宋体" w:hAnsi="宋体" w:eastAsia="宋体" w:cs="宋体"/>
          <w:sz w:val="24"/>
          <w:highlight w:val="none"/>
        </w:rPr>
        <w:t>21</w:t>
      </w:r>
      <w:r>
        <w:rPr>
          <w:rFonts w:hint="eastAsia" w:ascii="宋体" w:hAnsi="宋体" w:eastAsia="宋体" w:cs="宋体"/>
          <w:spacing w:val="11"/>
          <w:sz w:val="24"/>
          <w:highlight w:val="none"/>
        </w:rPr>
        <w:t xml:space="preserve"> </w:t>
      </w:r>
      <w:r>
        <w:rPr>
          <w:rFonts w:hint="eastAsia" w:ascii="宋体" w:hAnsi="宋体" w:eastAsia="宋体" w:cs="宋体"/>
          <w:spacing w:val="-1"/>
          <w:sz w:val="24"/>
          <w:highlight w:val="none"/>
        </w:rPr>
        <w:t>天之内，向监理人提出索赔意向书，并抄送发包</w:t>
      </w:r>
      <w:r>
        <w:rPr>
          <w:rFonts w:hint="eastAsia" w:ascii="宋体" w:hAnsi="宋体" w:eastAsia="宋体" w:cs="宋体"/>
          <w:sz w:val="24"/>
          <w:highlight w:val="none"/>
        </w:rPr>
        <w:t>人；</w:t>
      </w:r>
    </w:p>
    <w:p w14:paraId="71B6C286">
      <w:pPr>
        <w:pStyle w:val="29"/>
        <w:numPr>
          <w:ilvl w:val="0"/>
          <w:numId w:val="32"/>
        </w:numPr>
        <w:tabs>
          <w:tab w:val="left" w:pos="1468"/>
        </w:tabs>
        <w:spacing w:before="2" w:line="304" w:lineRule="auto"/>
        <w:ind w:right="467" w:firstLine="480"/>
        <w:jc w:val="both"/>
        <w:rPr>
          <w:rFonts w:hint="eastAsia" w:ascii="宋体" w:hAnsi="宋体" w:eastAsia="宋体" w:cs="宋体"/>
          <w:sz w:val="24"/>
          <w:highlight w:val="none"/>
        </w:rPr>
      </w:pPr>
      <w:r>
        <w:rPr>
          <w:rFonts w:hint="eastAsia" w:ascii="宋体" w:hAnsi="宋体" w:eastAsia="宋体" w:cs="宋体"/>
          <w:spacing w:val="-5"/>
          <w:sz w:val="24"/>
          <w:highlight w:val="none"/>
        </w:rPr>
        <w:t xml:space="preserve">发出索赔意向通知后 </w:t>
      </w:r>
      <w:r>
        <w:rPr>
          <w:rFonts w:hint="eastAsia" w:ascii="宋体" w:hAnsi="宋体" w:eastAsia="宋体" w:cs="宋体"/>
          <w:sz w:val="24"/>
          <w:highlight w:val="none"/>
        </w:rPr>
        <w:t>21</w:t>
      </w:r>
      <w:r>
        <w:rPr>
          <w:rFonts w:hint="eastAsia" w:ascii="宋体" w:hAnsi="宋体" w:eastAsia="宋体" w:cs="宋体"/>
          <w:spacing w:val="11"/>
          <w:sz w:val="24"/>
          <w:highlight w:val="none"/>
        </w:rPr>
        <w:t xml:space="preserve"> </w:t>
      </w:r>
      <w:r>
        <w:rPr>
          <w:rFonts w:hint="eastAsia" w:ascii="宋体" w:hAnsi="宋体" w:eastAsia="宋体" w:cs="宋体"/>
          <w:spacing w:val="-1"/>
          <w:sz w:val="24"/>
          <w:highlight w:val="none"/>
        </w:rPr>
        <w:t>天内或监理人同意的另一期限内，承包人应送交</w:t>
      </w:r>
      <w:r>
        <w:rPr>
          <w:rFonts w:hint="eastAsia" w:ascii="宋体" w:hAnsi="宋体" w:eastAsia="宋体" w:cs="宋体"/>
          <w:sz w:val="24"/>
          <w:highlight w:val="none"/>
        </w:rPr>
        <w:t>监理人一份拟索赔款额的详细账目，并说明索赔所依据的理由；</w:t>
      </w:r>
    </w:p>
    <w:p w14:paraId="0283131C">
      <w:pPr>
        <w:pStyle w:val="29"/>
        <w:numPr>
          <w:ilvl w:val="0"/>
          <w:numId w:val="32"/>
        </w:numPr>
        <w:tabs>
          <w:tab w:val="left" w:pos="1468"/>
        </w:tabs>
        <w:spacing w:before="1" w:line="307" w:lineRule="auto"/>
        <w:ind w:right="346" w:firstLine="480"/>
        <w:jc w:val="both"/>
        <w:rPr>
          <w:rFonts w:hint="eastAsia" w:ascii="宋体" w:hAnsi="宋体" w:eastAsia="宋体" w:cs="宋体"/>
          <w:sz w:val="24"/>
          <w:highlight w:val="none"/>
        </w:rPr>
      </w:pPr>
      <w:r>
        <w:rPr>
          <w:rFonts w:hint="eastAsia" w:ascii="宋体" w:hAnsi="宋体" w:eastAsia="宋体" w:cs="宋体"/>
          <w:spacing w:val="-5"/>
          <w:sz w:val="24"/>
          <w:highlight w:val="none"/>
        </w:rPr>
        <w:t xml:space="preserve">在索赔事件影响结束后的 </w:t>
      </w:r>
      <w:r>
        <w:rPr>
          <w:rFonts w:hint="eastAsia" w:ascii="宋体" w:hAnsi="宋体" w:eastAsia="宋体" w:cs="宋体"/>
          <w:sz w:val="24"/>
          <w:highlight w:val="none"/>
        </w:rPr>
        <w:t>28</w:t>
      </w:r>
      <w:r>
        <w:rPr>
          <w:rFonts w:hint="eastAsia" w:ascii="宋体" w:hAnsi="宋体" w:eastAsia="宋体" w:cs="宋体"/>
          <w:spacing w:val="6"/>
          <w:sz w:val="24"/>
          <w:highlight w:val="none"/>
        </w:rPr>
        <w:t xml:space="preserve"> </w:t>
      </w:r>
      <w:r>
        <w:rPr>
          <w:rFonts w:hint="eastAsia" w:ascii="宋体" w:hAnsi="宋体" w:eastAsia="宋体" w:cs="宋体"/>
          <w:sz w:val="24"/>
          <w:highlight w:val="none"/>
        </w:rPr>
        <w:t>天内，承包人应向监理人递交最终索赔通知</w:t>
      </w:r>
      <w:r>
        <w:rPr>
          <w:rFonts w:hint="eastAsia" w:ascii="宋体" w:hAnsi="宋体" w:eastAsia="宋体" w:cs="宋体"/>
          <w:spacing w:val="-10"/>
          <w:sz w:val="24"/>
          <w:highlight w:val="none"/>
        </w:rPr>
        <w:t>书，说明最终要求索赔的追加付款金额和延长的工期，并附必要的记录和证明材料；</w:t>
      </w:r>
    </w:p>
    <w:p w14:paraId="1691B4E9">
      <w:pPr>
        <w:pStyle w:val="29"/>
        <w:numPr>
          <w:ilvl w:val="0"/>
          <w:numId w:val="32"/>
        </w:numPr>
        <w:tabs>
          <w:tab w:val="left" w:pos="1465"/>
        </w:tabs>
        <w:spacing w:line="304" w:lineRule="auto"/>
        <w:ind w:right="466" w:firstLine="480"/>
        <w:jc w:val="both"/>
        <w:rPr>
          <w:rFonts w:hint="eastAsia" w:ascii="宋体" w:hAnsi="宋体" w:eastAsia="宋体" w:cs="宋体"/>
          <w:sz w:val="24"/>
          <w:highlight w:val="none"/>
        </w:rPr>
      </w:pPr>
      <w:r>
        <w:rPr>
          <w:rFonts w:hint="eastAsia" w:ascii="宋体" w:hAnsi="宋体" w:eastAsia="宋体" w:cs="宋体"/>
          <w:spacing w:val="-2"/>
          <w:sz w:val="24"/>
          <w:highlight w:val="none"/>
        </w:rPr>
        <w:t>监理人应对承包人按规定提供的索赔证据和详细账目进行审查核实，查</w:t>
      </w:r>
      <w:r>
        <w:rPr>
          <w:rFonts w:hint="eastAsia" w:ascii="宋体" w:hAnsi="宋体" w:eastAsia="宋体" w:cs="宋体"/>
          <w:spacing w:val="-5"/>
          <w:sz w:val="24"/>
          <w:highlight w:val="none"/>
        </w:rPr>
        <w:t xml:space="preserve">验承包人的记录和证明材料，必要时监理人可要求承包人提交全部原始记录副本； </w:t>
      </w:r>
      <w:r>
        <w:rPr>
          <w:rFonts w:hint="eastAsia" w:ascii="宋体" w:hAnsi="宋体" w:eastAsia="宋体" w:cs="宋体"/>
          <w:spacing w:val="-4"/>
          <w:sz w:val="24"/>
          <w:highlight w:val="none"/>
        </w:rPr>
        <w:t>在与承包人协商并报发包人批准后，确定承包人有权得到的全部的索赔款额，并按规定列入中期支付证书或最后支付证书内予以支付。监理人将此决定通知承包人， 并抄送发包人。</w:t>
      </w:r>
    </w:p>
    <w:p w14:paraId="20823533">
      <w:pPr>
        <w:pStyle w:val="29"/>
        <w:numPr>
          <w:ilvl w:val="4"/>
          <w:numId w:val="7"/>
        </w:numPr>
        <w:tabs>
          <w:tab w:val="left" w:pos="1524"/>
        </w:tabs>
        <w:spacing w:before="6"/>
        <w:ind w:left="1524" w:hanging="660"/>
        <w:jc w:val="both"/>
        <w:rPr>
          <w:rFonts w:hint="eastAsia" w:ascii="宋体" w:hAnsi="宋体" w:eastAsia="宋体" w:cs="宋体"/>
          <w:sz w:val="24"/>
          <w:highlight w:val="none"/>
        </w:rPr>
      </w:pPr>
      <w:r>
        <w:rPr>
          <w:rFonts w:hint="eastAsia" w:ascii="宋体" w:hAnsi="宋体" w:eastAsia="宋体" w:cs="宋体"/>
          <w:sz w:val="24"/>
          <w:highlight w:val="none"/>
        </w:rPr>
        <w:t>承包人提出索赔的期限</w:t>
      </w:r>
    </w:p>
    <w:p w14:paraId="2030C214">
      <w:pPr>
        <w:pStyle w:val="29"/>
        <w:numPr>
          <w:ilvl w:val="0"/>
          <w:numId w:val="33"/>
        </w:numPr>
        <w:tabs>
          <w:tab w:val="left" w:pos="1465"/>
        </w:tabs>
        <w:spacing w:before="84" w:line="304" w:lineRule="auto"/>
        <w:ind w:right="466" w:firstLine="480"/>
        <w:rPr>
          <w:rFonts w:hint="eastAsia" w:ascii="宋体" w:hAnsi="宋体" w:eastAsia="宋体" w:cs="宋体"/>
          <w:sz w:val="24"/>
          <w:highlight w:val="none"/>
        </w:rPr>
      </w:pPr>
      <w:r>
        <w:rPr>
          <w:rFonts w:hint="eastAsia" w:ascii="宋体" w:hAnsi="宋体" w:eastAsia="宋体" w:cs="宋体"/>
          <w:spacing w:val="-3"/>
          <w:sz w:val="24"/>
          <w:highlight w:val="none"/>
        </w:rPr>
        <w:t>承包人按约定接受了竣工付款证书后，应被认为已无权再提出在合同工</w:t>
      </w:r>
      <w:r>
        <w:rPr>
          <w:rFonts w:hint="eastAsia" w:ascii="宋体" w:hAnsi="宋体" w:eastAsia="宋体" w:cs="宋体"/>
          <w:spacing w:val="-5"/>
          <w:sz w:val="24"/>
          <w:highlight w:val="none"/>
        </w:rPr>
        <w:t>程接收证书颁发前所发生的任何索赔；</w:t>
      </w:r>
    </w:p>
    <w:p w14:paraId="040270EE">
      <w:pPr>
        <w:pStyle w:val="29"/>
        <w:numPr>
          <w:ilvl w:val="0"/>
          <w:numId w:val="33"/>
        </w:numPr>
        <w:tabs>
          <w:tab w:val="left" w:pos="1465"/>
        </w:tabs>
        <w:spacing w:before="3" w:line="304" w:lineRule="auto"/>
        <w:ind w:right="466" w:firstLine="480"/>
        <w:rPr>
          <w:rFonts w:hint="eastAsia" w:ascii="宋体" w:hAnsi="宋体" w:eastAsia="宋体" w:cs="宋体"/>
          <w:sz w:val="24"/>
          <w:highlight w:val="none"/>
        </w:rPr>
      </w:pPr>
      <w:r>
        <w:rPr>
          <w:rFonts w:hint="eastAsia" w:ascii="宋体" w:hAnsi="宋体" w:eastAsia="宋体" w:cs="宋体"/>
          <w:spacing w:val="-3"/>
          <w:sz w:val="24"/>
          <w:highlight w:val="none"/>
        </w:rPr>
        <w:t>承包人按约定提交的最终结清申请单中，只限于提出工程接收证书颁发</w:t>
      </w:r>
      <w:r>
        <w:rPr>
          <w:rFonts w:hint="eastAsia" w:ascii="宋体" w:hAnsi="宋体" w:eastAsia="宋体" w:cs="宋体"/>
          <w:spacing w:val="-5"/>
          <w:sz w:val="24"/>
          <w:highlight w:val="none"/>
        </w:rPr>
        <w:t>后发生的索赔。提出索赔的期限自接受最终结清证书时终止。</w:t>
      </w:r>
    </w:p>
    <w:p w14:paraId="0BEEA81A">
      <w:pPr>
        <w:pStyle w:val="29"/>
        <w:numPr>
          <w:ilvl w:val="4"/>
          <w:numId w:val="7"/>
        </w:numPr>
        <w:tabs>
          <w:tab w:val="left" w:pos="1523"/>
          <w:tab w:val="left" w:pos="1524"/>
        </w:tabs>
        <w:spacing w:before="2"/>
        <w:ind w:left="1524" w:hanging="660"/>
        <w:rPr>
          <w:rFonts w:hint="eastAsia" w:ascii="宋体" w:hAnsi="宋体" w:eastAsia="宋体" w:cs="宋体"/>
          <w:sz w:val="24"/>
          <w:highlight w:val="none"/>
        </w:rPr>
      </w:pPr>
      <w:r>
        <w:rPr>
          <w:rFonts w:hint="eastAsia" w:ascii="宋体" w:hAnsi="宋体" w:eastAsia="宋体" w:cs="宋体"/>
          <w:sz w:val="24"/>
          <w:highlight w:val="none"/>
        </w:rPr>
        <w:t>发包人的索赔</w:t>
      </w:r>
    </w:p>
    <w:p w14:paraId="478E4452">
      <w:pPr>
        <w:pStyle w:val="29"/>
        <w:numPr>
          <w:ilvl w:val="0"/>
          <w:numId w:val="34"/>
        </w:numPr>
        <w:tabs>
          <w:tab w:val="left" w:pos="1465"/>
        </w:tabs>
        <w:spacing w:before="86" w:line="304" w:lineRule="auto"/>
        <w:ind w:right="466" w:firstLine="480"/>
        <w:jc w:val="both"/>
        <w:rPr>
          <w:rFonts w:hint="eastAsia" w:ascii="宋体" w:hAnsi="宋体" w:eastAsia="宋体" w:cs="宋体"/>
          <w:sz w:val="24"/>
          <w:highlight w:val="none"/>
        </w:rPr>
      </w:pPr>
      <w:r>
        <w:rPr>
          <w:rFonts w:hint="eastAsia" w:ascii="宋体" w:hAnsi="宋体" w:eastAsia="宋体" w:cs="宋体"/>
          <w:spacing w:val="-6"/>
          <w:sz w:val="24"/>
          <w:highlight w:val="none"/>
        </w:rPr>
        <w:t>发生索赔事件后，监理人应及时书面通知承包人，详细说明发包人有权</w:t>
      </w:r>
      <w:r>
        <w:rPr>
          <w:rFonts w:hint="eastAsia" w:ascii="宋体" w:hAnsi="宋体" w:eastAsia="宋体" w:cs="宋体"/>
          <w:spacing w:val="-3"/>
          <w:sz w:val="24"/>
          <w:highlight w:val="none"/>
        </w:rPr>
        <w:t>得到的索赔金额和</w:t>
      </w:r>
      <w:r>
        <w:rPr>
          <w:rFonts w:hint="eastAsia" w:ascii="宋体" w:hAnsi="宋体" w:eastAsia="宋体" w:cs="宋体"/>
          <w:spacing w:val="4"/>
          <w:sz w:val="24"/>
          <w:highlight w:val="none"/>
        </w:rPr>
        <w:t>(</w:t>
      </w:r>
      <w:r>
        <w:rPr>
          <w:rFonts w:hint="eastAsia" w:ascii="宋体" w:hAnsi="宋体" w:eastAsia="宋体" w:cs="宋体"/>
          <w:sz w:val="24"/>
          <w:highlight w:val="none"/>
        </w:rPr>
        <w:t>或</w:t>
      </w:r>
      <w:r>
        <w:rPr>
          <w:rFonts w:hint="eastAsia" w:ascii="宋体" w:hAnsi="宋体" w:eastAsia="宋体" w:cs="宋体"/>
          <w:spacing w:val="4"/>
          <w:sz w:val="24"/>
          <w:highlight w:val="none"/>
        </w:rPr>
        <w:t>)</w:t>
      </w:r>
      <w:r>
        <w:rPr>
          <w:rFonts w:hint="eastAsia" w:ascii="宋体" w:hAnsi="宋体" w:eastAsia="宋体" w:cs="宋体"/>
          <w:sz w:val="24"/>
          <w:highlight w:val="none"/>
        </w:rPr>
        <w:t>延长缺陷责任期的细节和依据。发包人提出索赔的期限和要求与承包人提出索赔期限和要求约定相同，延长缺陷责任期的通知应在缺陷责任期</w:t>
      </w:r>
      <w:r>
        <w:rPr>
          <w:rFonts w:hint="eastAsia" w:ascii="宋体" w:hAnsi="宋体" w:eastAsia="宋体" w:cs="宋体"/>
          <w:spacing w:val="-4"/>
          <w:sz w:val="24"/>
          <w:highlight w:val="none"/>
        </w:rPr>
        <w:t>届满前发出；</w:t>
      </w:r>
    </w:p>
    <w:p w14:paraId="4A7F4BB8">
      <w:pPr>
        <w:pStyle w:val="29"/>
        <w:numPr>
          <w:ilvl w:val="0"/>
          <w:numId w:val="34"/>
        </w:numPr>
        <w:tabs>
          <w:tab w:val="left" w:pos="1465"/>
        </w:tabs>
        <w:spacing w:before="5" w:line="307" w:lineRule="auto"/>
        <w:ind w:right="466" w:firstLine="480"/>
        <w:jc w:val="both"/>
        <w:rPr>
          <w:rFonts w:hint="eastAsia" w:ascii="宋体" w:hAnsi="宋体" w:eastAsia="宋体" w:cs="宋体"/>
          <w:sz w:val="20"/>
          <w:highlight w:val="none"/>
        </w:rPr>
      </w:pPr>
      <w:r>
        <w:rPr>
          <w:rFonts w:hint="eastAsia" w:ascii="宋体" w:hAnsi="宋体" w:eastAsia="宋体" w:cs="宋体"/>
          <w:spacing w:val="-1"/>
          <w:sz w:val="24"/>
          <w:highlight w:val="none"/>
        </w:rPr>
        <w:t>监理人按商定或确定发包人从承包人处得到赔付的金额和</w:t>
      </w:r>
      <w:r>
        <w:rPr>
          <w:rFonts w:hint="eastAsia" w:ascii="宋体" w:hAnsi="宋体" w:eastAsia="宋体" w:cs="宋体"/>
          <w:sz w:val="24"/>
          <w:highlight w:val="none"/>
        </w:rPr>
        <w:t>(或)</w:t>
      </w:r>
      <w:r>
        <w:rPr>
          <w:rFonts w:hint="eastAsia" w:ascii="宋体" w:hAnsi="宋体" w:eastAsia="宋体" w:cs="宋体"/>
          <w:spacing w:val="-4"/>
          <w:sz w:val="24"/>
          <w:highlight w:val="none"/>
        </w:rPr>
        <w:t>缺陷责任期</w:t>
      </w:r>
      <w:r>
        <w:rPr>
          <w:rFonts w:hint="eastAsia" w:ascii="宋体" w:hAnsi="宋体" w:eastAsia="宋体" w:cs="宋体"/>
          <w:spacing w:val="-1"/>
          <w:sz w:val="24"/>
          <w:highlight w:val="none"/>
        </w:rPr>
        <w:t>的延长期。承包人应付给发包人的金额可从拟支付给承包人的合同价款中扣除，或</w:t>
      </w:r>
      <w:r>
        <w:rPr>
          <w:rFonts w:hint="eastAsia" w:ascii="宋体" w:hAnsi="宋体" w:eastAsia="宋体" w:cs="宋体"/>
          <w:sz w:val="24"/>
          <w:highlight w:val="none"/>
        </w:rPr>
        <w:t>由承包人以其他方式支付给发包人。</w:t>
      </w:r>
    </w:p>
    <w:p w14:paraId="39A363EE">
      <w:pPr>
        <w:pStyle w:val="29"/>
        <w:numPr>
          <w:ilvl w:val="4"/>
          <w:numId w:val="7"/>
        </w:numPr>
        <w:tabs>
          <w:tab w:val="left" w:pos="1529"/>
        </w:tabs>
        <w:spacing w:before="1" w:line="307"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无论在施工过程中或在工程竣工之后，无论在本合同的失效或终止之前</w:t>
      </w:r>
      <w:r>
        <w:rPr>
          <w:rFonts w:hint="eastAsia" w:ascii="宋体" w:hAnsi="宋体" w:eastAsia="宋体" w:cs="宋体"/>
          <w:spacing w:val="-1"/>
          <w:sz w:val="24"/>
          <w:highlight w:val="none"/>
        </w:rPr>
        <w:t>或之后，如果发包人和承包人之间就本合同文件的条款、规定、规范、图纸、质量与进度要求，支付与扣除，延期与索赔发生任何法律上、经济上或技术上的纠纷， 包括对监理人作出指示、指令、决定、评定、认证和价格发生的纠纷，纠纷中的问题，首先应根据本条款规定书面提交给监理人解决，并抄送另一方。监理人在收到</w:t>
      </w:r>
      <w:r>
        <w:rPr>
          <w:rFonts w:hint="eastAsia" w:ascii="宋体" w:hAnsi="宋体" w:eastAsia="宋体" w:cs="宋体"/>
          <w:spacing w:val="-9"/>
          <w:sz w:val="24"/>
          <w:highlight w:val="none"/>
        </w:rPr>
        <w:t xml:space="preserve">此提交文件后 </w:t>
      </w:r>
      <w:r>
        <w:rPr>
          <w:rFonts w:hint="eastAsia" w:ascii="宋体" w:hAnsi="宋体" w:eastAsia="宋体" w:cs="宋体"/>
          <w:sz w:val="24"/>
          <w:highlight w:val="none"/>
        </w:rPr>
        <w:t>42 天之内应将自己的裁定通知发包人和承包人。</w:t>
      </w:r>
    </w:p>
    <w:p w14:paraId="0150337F">
      <w:pPr>
        <w:pStyle w:val="29"/>
        <w:numPr>
          <w:ilvl w:val="4"/>
          <w:numId w:val="7"/>
        </w:numPr>
        <w:tabs>
          <w:tab w:val="left" w:pos="1529"/>
        </w:tabs>
        <w:spacing w:line="307" w:lineRule="auto"/>
        <w:ind w:left="384" w:right="382" w:firstLine="480"/>
        <w:jc w:val="both"/>
        <w:rPr>
          <w:rFonts w:hint="eastAsia" w:ascii="宋体" w:hAnsi="宋体" w:eastAsia="宋体" w:cs="宋体"/>
          <w:sz w:val="24"/>
          <w:highlight w:val="none"/>
        </w:rPr>
      </w:pPr>
      <w:r>
        <w:rPr>
          <w:rFonts w:hint="eastAsia" w:ascii="宋体" w:hAnsi="宋体" w:eastAsia="宋体" w:cs="宋体"/>
          <w:sz w:val="24"/>
          <w:highlight w:val="none"/>
        </w:rPr>
        <w:t>如果发包人或承包人有一方对监理人的裁定有异议，或如果监理人在收</w:t>
      </w:r>
      <w:r>
        <w:rPr>
          <w:rFonts w:hint="eastAsia" w:ascii="宋体" w:hAnsi="宋体" w:eastAsia="宋体" w:cs="宋体"/>
          <w:spacing w:val="-9"/>
          <w:sz w:val="24"/>
          <w:highlight w:val="none"/>
        </w:rPr>
        <w:t xml:space="preserve">到提交文件后 </w:t>
      </w:r>
      <w:r>
        <w:rPr>
          <w:rFonts w:hint="eastAsia" w:ascii="宋体" w:hAnsi="宋体" w:eastAsia="宋体" w:cs="宋体"/>
          <w:sz w:val="24"/>
          <w:highlight w:val="none"/>
        </w:rPr>
        <w:t xml:space="preserve">42 </w:t>
      </w:r>
      <w:r>
        <w:rPr>
          <w:rFonts w:hint="eastAsia" w:ascii="宋体" w:hAnsi="宋体" w:eastAsia="宋体" w:cs="宋体"/>
          <w:spacing w:val="-1"/>
          <w:sz w:val="24"/>
          <w:highlight w:val="none"/>
        </w:rPr>
        <w:t>天内，没有发出自己裁定通知，则双方可采取下列程序解决争议：</w:t>
      </w:r>
    </w:p>
    <w:p w14:paraId="018DB3DD">
      <w:pPr>
        <w:pStyle w:val="29"/>
        <w:numPr>
          <w:ilvl w:val="0"/>
          <w:numId w:val="0"/>
        </w:numPr>
        <w:tabs>
          <w:tab w:val="left" w:pos="1465"/>
        </w:tabs>
        <w:spacing w:line="304" w:lineRule="auto"/>
        <w:ind w:left="864" w:leftChars="0" w:right="466" w:rightChars="0"/>
        <w:rPr>
          <w:rFonts w:hint="eastAsia" w:ascii="宋体" w:hAnsi="宋体" w:eastAsia="宋体" w:cs="宋体"/>
          <w:sz w:val="24"/>
          <w:highlight w:val="none"/>
        </w:rPr>
      </w:pPr>
      <w:r>
        <w:rPr>
          <w:rFonts w:hint="eastAsia" w:cs="宋体"/>
          <w:sz w:val="24"/>
          <w:highlight w:val="none"/>
          <w:lang w:eastAsia="zh-CN"/>
        </w:rPr>
        <w:t>（</w:t>
      </w:r>
      <w:r>
        <w:rPr>
          <w:rFonts w:hint="eastAsia" w:cs="宋体"/>
          <w:sz w:val="24"/>
          <w:highlight w:val="none"/>
          <w:lang w:val="en-US" w:eastAsia="zh-CN"/>
        </w:rPr>
        <w:t>1</w:t>
      </w:r>
      <w:r>
        <w:rPr>
          <w:rFonts w:hint="eastAsia" w:cs="宋体"/>
          <w:sz w:val="24"/>
          <w:highlight w:val="none"/>
          <w:lang w:eastAsia="zh-CN"/>
        </w:rPr>
        <w:t>）</w:t>
      </w:r>
      <w:r>
        <w:rPr>
          <w:rFonts w:hint="eastAsia" w:ascii="宋体" w:hAnsi="宋体" w:eastAsia="宋体" w:cs="宋体"/>
          <w:sz w:val="24"/>
          <w:highlight w:val="none"/>
        </w:rPr>
        <w:t>双方就纠纷事项进行友好协商解决或通过双方上级主管部门进行调解或</w:t>
      </w:r>
      <w:r>
        <w:rPr>
          <w:rFonts w:hint="eastAsia" w:ascii="宋体" w:hAnsi="宋体" w:eastAsia="宋体" w:cs="宋体"/>
          <w:spacing w:val="-5"/>
          <w:sz w:val="24"/>
          <w:highlight w:val="none"/>
        </w:rPr>
        <w:t>争议评审解决；</w:t>
      </w:r>
    </w:p>
    <w:p w14:paraId="6C0C6F06">
      <w:pPr>
        <w:pStyle w:val="29"/>
        <w:numPr>
          <w:ilvl w:val="0"/>
          <w:numId w:val="0"/>
        </w:numPr>
        <w:tabs>
          <w:tab w:val="left" w:pos="1465"/>
        </w:tabs>
        <w:spacing w:before="6" w:line="319" w:lineRule="auto"/>
        <w:ind w:left="864" w:leftChars="0" w:right="382" w:rightChars="0"/>
        <w:rPr>
          <w:rFonts w:hint="eastAsia" w:ascii="宋体" w:hAnsi="宋体" w:eastAsia="宋体" w:cs="宋体"/>
          <w:sz w:val="24"/>
          <w:highlight w:val="none"/>
        </w:rPr>
      </w:pPr>
      <w:r>
        <w:rPr>
          <w:rFonts w:hint="eastAsia" w:cs="宋体"/>
          <w:spacing w:val="-1"/>
          <w:sz w:val="24"/>
          <w:highlight w:val="none"/>
          <w:lang w:eastAsia="zh-CN"/>
        </w:rPr>
        <w:t>（</w:t>
      </w:r>
      <w:r>
        <w:rPr>
          <w:rFonts w:hint="eastAsia" w:cs="宋体"/>
          <w:spacing w:val="-1"/>
          <w:sz w:val="24"/>
          <w:highlight w:val="none"/>
          <w:lang w:val="en-US" w:eastAsia="zh-CN"/>
        </w:rPr>
        <w:t>2</w:t>
      </w:r>
      <w:r>
        <w:rPr>
          <w:rFonts w:hint="eastAsia" w:cs="宋体"/>
          <w:spacing w:val="-1"/>
          <w:sz w:val="24"/>
          <w:highlight w:val="none"/>
          <w:lang w:eastAsia="zh-CN"/>
        </w:rPr>
        <w:t>）</w:t>
      </w:r>
      <w:r>
        <w:rPr>
          <w:rFonts w:hint="eastAsia" w:ascii="宋体" w:hAnsi="宋体" w:eastAsia="宋体" w:cs="宋体"/>
          <w:spacing w:val="-1"/>
          <w:sz w:val="24"/>
          <w:highlight w:val="none"/>
        </w:rPr>
        <w:t xml:space="preserve">发包人和承包人接受评审意见的，由监理人根据评审意见拟定执行协议， </w:t>
      </w:r>
      <w:r>
        <w:rPr>
          <w:rFonts w:hint="eastAsia" w:ascii="宋体" w:hAnsi="宋体" w:eastAsia="宋体" w:cs="宋体"/>
          <w:sz w:val="24"/>
          <w:highlight w:val="none"/>
        </w:rPr>
        <w:t>经争议双方签字后作为合同的补充文件，并遵照执行；</w:t>
      </w:r>
    </w:p>
    <w:p w14:paraId="7A965694">
      <w:pPr>
        <w:pStyle w:val="29"/>
        <w:numPr>
          <w:ilvl w:val="0"/>
          <w:numId w:val="0"/>
        </w:numPr>
        <w:tabs>
          <w:tab w:val="left" w:pos="1465"/>
        </w:tabs>
        <w:spacing w:line="319" w:lineRule="auto"/>
        <w:ind w:left="864" w:leftChars="0" w:right="466" w:rightChars="0"/>
        <w:jc w:val="both"/>
        <w:rPr>
          <w:rFonts w:hint="eastAsia" w:ascii="宋体" w:hAnsi="宋体" w:eastAsia="宋体" w:cs="宋体"/>
          <w:sz w:val="24"/>
          <w:highlight w:val="none"/>
        </w:rPr>
      </w:pPr>
      <w:r>
        <w:rPr>
          <w:rFonts w:hint="eastAsia" w:cs="宋体"/>
          <w:spacing w:val="-3"/>
          <w:sz w:val="24"/>
          <w:highlight w:val="none"/>
          <w:lang w:eastAsia="zh-CN"/>
        </w:rPr>
        <w:t>（</w:t>
      </w:r>
      <w:r>
        <w:rPr>
          <w:rFonts w:hint="eastAsia" w:cs="宋体"/>
          <w:spacing w:val="-3"/>
          <w:sz w:val="24"/>
          <w:highlight w:val="none"/>
          <w:lang w:val="en-US" w:eastAsia="zh-CN"/>
        </w:rPr>
        <w:t>3</w:t>
      </w:r>
      <w:r>
        <w:rPr>
          <w:rFonts w:hint="eastAsia" w:cs="宋体"/>
          <w:spacing w:val="-3"/>
          <w:sz w:val="24"/>
          <w:highlight w:val="none"/>
          <w:lang w:eastAsia="zh-CN"/>
        </w:rPr>
        <w:t>）</w:t>
      </w:r>
      <w:r>
        <w:rPr>
          <w:rFonts w:hint="eastAsia" w:ascii="宋体" w:hAnsi="宋体" w:eastAsia="宋体" w:cs="宋体"/>
          <w:spacing w:val="-3"/>
          <w:sz w:val="24"/>
          <w:highlight w:val="none"/>
        </w:rPr>
        <w:t>发包人或承包人不接受评审意见，并要求提交仲裁或提起诉讼的，应在</w:t>
      </w:r>
      <w:r>
        <w:rPr>
          <w:rFonts w:hint="eastAsia" w:ascii="宋体" w:hAnsi="宋体" w:eastAsia="宋体" w:cs="宋体"/>
          <w:spacing w:val="-12"/>
          <w:sz w:val="24"/>
          <w:highlight w:val="none"/>
        </w:rPr>
        <w:t xml:space="preserve">收到评审意见后的 </w:t>
      </w:r>
      <w:r>
        <w:rPr>
          <w:rFonts w:hint="eastAsia" w:ascii="宋体" w:hAnsi="宋体" w:eastAsia="宋体" w:cs="宋体"/>
          <w:sz w:val="24"/>
          <w:highlight w:val="none"/>
        </w:rPr>
        <w:t xml:space="preserve">14 </w:t>
      </w:r>
      <w:r>
        <w:rPr>
          <w:rFonts w:hint="eastAsia" w:ascii="宋体" w:hAnsi="宋体" w:eastAsia="宋体" w:cs="宋体"/>
          <w:spacing w:val="-5"/>
          <w:sz w:val="24"/>
          <w:highlight w:val="none"/>
        </w:rPr>
        <w:t>天内将仲裁或起诉意向书面通知另一方，并抄送监理人，但在仲裁或诉讼结束前应暂按监理人的确定执行。</w:t>
      </w:r>
    </w:p>
    <w:p w14:paraId="696978C4">
      <w:pPr>
        <w:pStyle w:val="29"/>
        <w:numPr>
          <w:ilvl w:val="4"/>
          <w:numId w:val="7"/>
        </w:numPr>
        <w:tabs>
          <w:tab w:val="left" w:pos="1529"/>
        </w:tabs>
        <w:spacing w:before="4" w:line="319"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除非本合同已被终止，承包人无论在什么情况下都应尽一切努力继续完</w:t>
      </w:r>
      <w:r>
        <w:rPr>
          <w:rFonts w:hint="eastAsia" w:ascii="宋体" w:hAnsi="宋体" w:eastAsia="宋体" w:cs="宋体"/>
          <w:spacing w:val="-1"/>
          <w:sz w:val="24"/>
          <w:highlight w:val="none"/>
        </w:rPr>
        <w:t>成本工程，承包人和发包人应使监理人的裁定付诸实施，除非监理人对裁定作出新</w:t>
      </w:r>
      <w:r>
        <w:rPr>
          <w:rFonts w:hint="eastAsia" w:ascii="宋体" w:hAnsi="宋体" w:eastAsia="宋体" w:cs="宋体"/>
          <w:sz w:val="24"/>
          <w:highlight w:val="none"/>
        </w:rPr>
        <w:t>的更改。</w:t>
      </w:r>
    </w:p>
    <w:p w14:paraId="44B251CD">
      <w:pPr>
        <w:pStyle w:val="10"/>
        <w:spacing w:before="182"/>
        <w:ind w:left="372" w:right="7530"/>
        <w:jc w:val="center"/>
        <w:rPr>
          <w:rFonts w:hint="eastAsia" w:ascii="宋体" w:hAnsi="宋体" w:eastAsia="宋体" w:cs="宋体"/>
          <w:highlight w:val="none"/>
        </w:rPr>
      </w:pPr>
      <w:r>
        <w:rPr>
          <w:rFonts w:hint="eastAsia" w:ascii="宋体" w:hAnsi="宋体" w:eastAsia="宋体" w:cs="宋体"/>
          <w:highlight w:val="none"/>
        </w:rPr>
        <w:t>十一、其他</w:t>
      </w:r>
    </w:p>
    <w:p w14:paraId="44369A50">
      <w:pPr>
        <w:pStyle w:val="10"/>
        <w:spacing w:before="1"/>
        <w:rPr>
          <w:rFonts w:hint="eastAsia" w:ascii="宋体" w:hAnsi="宋体" w:eastAsia="宋体" w:cs="宋体"/>
          <w:sz w:val="22"/>
          <w:highlight w:val="none"/>
        </w:rPr>
      </w:pPr>
    </w:p>
    <w:p w14:paraId="4EA3F0D0">
      <w:pPr>
        <w:pStyle w:val="29"/>
        <w:numPr>
          <w:ilvl w:val="3"/>
          <w:numId w:val="7"/>
        </w:numPr>
        <w:tabs>
          <w:tab w:val="left" w:pos="1125"/>
        </w:tabs>
        <w:ind w:left="1124" w:hanging="302"/>
        <w:jc w:val="left"/>
        <w:rPr>
          <w:rFonts w:hint="eastAsia" w:ascii="宋体" w:hAnsi="宋体" w:eastAsia="宋体" w:cs="宋体"/>
          <w:sz w:val="24"/>
          <w:highlight w:val="none"/>
        </w:rPr>
      </w:pPr>
      <w:r>
        <w:rPr>
          <w:rFonts w:hint="eastAsia" w:ascii="宋体" w:hAnsi="宋体" w:eastAsia="宋体" w:cs="宋体"/>
          <w:sz w:val="24"/>
          <w:highlight w:val="none"/>
        </w:rPr>
        <w:t>转让与分包</w:t>
      </w:r>
    </w:p>
    <w:p w14:paraId="522F60FF">
      <w:pPr>
        <w:pStyle w:val="10"/>
        <w:spacing w:before="4"/>
        <w:rPr>
          <w:rFonts w:hint="eastAsia" w:ascii="宋体" w:hAnsi="宋体" w:eastAsia="宋体" w:cs="宋体"/>
          <w:sz w:val="22"/>
          <w:highlight w:val="none"/>
        </w:rPr>
      </w:pPr>
    </w:p>
    <w:p w14:paraId="3DD99F0B">
      <w:pPr>
        <w:pStyle w:val="29"/>
        <w:numPr>
          <w:ilvl w:val="4"/>
          <w:numId w:val="7"/>
        </w:numPr>
        <w:tabs>
          <w:tab w:val="left" w:pos="1523"/>
          <w:tab w:val="left" w:pos="1524"/>
        </w:tabs>
        <w:spacing w:line="312" w:lineRule="auto"/>
        <w:ind w:left="384" w:right="562" w:firstLine="480"/>
        <w:rPr>
          <w:rFonts w:hint="eastAsia" w:ascii="宋体" w:hAnsi="宋体" w:eastAsia="宋体" w:cs="宋体"/>
          <w:sz w:val="24"/>
          <w:highlight w:val="none"/>
        </w:rPr>
      </w:pPr>
      <w:r>
        <w:rPr>
          <w:rFonts w:hint="eastAsia" w:ascii="宋体" w:hAnsi="宋体" w:eastAsia="宋体" w:cs="宋体"/>
          <w:spacing w:val="-1"/>
          <w:sz w:val="24"/>
          <w:highlight w:val="none"/>
        </w:rPr>
        <w:t>除合同另有约定外，未经对方当事人同意，一方当事人不得将合同权利</w:t>
      </w:r>
      <w:r>
        <w:rPr>
          <w:rFonts w:hint="eastAsia" w:ascii="宋体" w:hAnsi="宋体" w:eastAsia="宋体" w:cs="宋体"/>
          <w:sz w:val="24"/>
          <w:highlight w:val="none"/>
        </w:rPr>
        <w:t>全部或部分转让给第三人，也不得全部或部分转移合同义务。</w:t>
      </w:r>
    </w:p>
    <w:p w14:paraId="386684CB">
      <w:pPr>
        <w:pStyle w:val="29"/>
        <w:numPr>
          <w:ilvl w:val="4"/>
          <w:numId w:val="7"/>
        </w:numPr>
        <w:tabs>
          <w:tab w:val="left" w:pos="1523"/>
          <w:tab w:val="left" w:pos="1524"/>
        </w:tabs>
        <w:spacing w:line="312" w:lineRule="auto"/>
        <w:ind w:left="384" w:right="346" w:firstLine="480"/>
        <w:rPr>
          <w:rFonts w:hint="eastAsia" w:ascii="宋体" w:hAnsi="宋体" w:eastAsia="宋体" w:cs="宋体"/>
          <w:sz w:val="24"/>
          <w:highlight w:val="none"/>
        </w:rPr>
      </w:pPr>
      <w:r>
        <w:rPr>
          <w:rFonts w:hint="eastAsia" w:ascii="宋体" w:hAnsi="宋体" w:eastAsia="宋体" w:cs="宋体"/>
          <w:sz w:val="24"/>
          <w:highlight w:val="none"/>
        </w:rPr>
        <w:t>承包人不得将其承包的全部工程转包给第三人，或将其承包的全部工程</w:t>
      </w:r>
      <w:r>
        <w:rPr>
          <w:rFonts w:hint="eastAsia" w:ascii="宋体" w:hAnsi="宋体" w:eastAsia="宋体" w:cs="宋体"/>
          <w:spacing w:val="-6"/>
          <w:sz w:val="24"/>
          <w:highlight w:val="none"/>
        </w:rPr>
        <w:t>肢解后以分包的名义转包给第三人。本工程严禁转包和违规分包，且不得再次分包。</w:t>
      </w:r>
    </w:p>
    <w:p w14:paraId="10267057">
      <w:pPr>
        <w:pStyle w:val="29"/>
        <w:numPr>
          <w:ilvl w:val="4"/>
          <w:numId w:val="7"/>
        </w:numPr>
        <w:tabs>
          <w:tab w:val="left" w:pos="1523"/>
          <w:tab w:val="left" w:pos="1524"/>
        </w:tabs>
        <w:spacing w:before="2" w:line="312" w:lineRule="auto"/>
        <w:ind w:left="384" w:right="562" w:firstLine="480"/>
        <w:rPr>
          <w:rFonts w:hint="eastAsia" w:ascii="宋体" w:hAnsi="宋体" w:eastAsia="宋体" w:cs="宋体"/>
          <w:sz w:val="24"/>
          <w:highlight w:val="none"/>
        </w:rPr>
      </w:pPr>
      <w:r>
        <w:rPr>
          <w:rFonts w:hint="eastAsia" w:ascii="宋体" w:hAnsi="宋体" w:eastAsia="宋体" w:cs="宋体"/>
          <w:spacing w:val="-1"/>
          <w:sz w:val="24"/>
          <w:highlight w:val="none"/>
        </w:rPr>
        <w:t xml:space="preserve">承包人不得将工程主体、关键性工作分包给第三人。未经发包人同意， </w:t>
      </w:r>
      <w:r>
        <w:rPr>
          <w:rFonts w:hint="eastAsia" w:ascii="宋体" w:hAnsi="宋体" w:eastAsia="宋体" w:cs="宋体"/>
          <w:sz w:val="24"/>
          <w:highlight w:val="none"/>
        </w:rPr>
        <w:t>承包人不得将工程的其他部分或工作分包给第三人。</w:t>
      </w:r>
    </w:p>
    <w:p w14:paraId="76BF6273">
      <w:pPr>
        <w:pStyle w:val="29"/>
        <w:numPr>
          <w:ilvl w:val="4"/>
          <w:numId w:val="7"/>
        </w:numPr>
        <w:tabs>
          <w:tab w:val="left" w:pos="1523"/>
          <w:tab w:val="left" w:pos="1524"/>
        </w:tabs>
        <w:spacing w:line="307" w:lineRule="exact"/>
        <w:ind w:left="1524" w:hanging="660"/>
        <w:rPr>
          <w:rFonts w:hint="eastAsia" w:ascii="宋体" w:hAnsi="宋体" w:eastAsia="宋体" w:cs="宋体"/>
          <w:sz w:val="24"/>
          <w:highlight w:val="none"/>
        </w:rPr>
      </w:pPr>
      <w:r>
        <w:rPr>
          <w:rFonts w:hint="eastAsia" w:ascii="宋体" w:hAnsi="宋体" w:eastAsia="宋体" w:cs="宋体"/>
          <w:sz w:val="24"/>
          <w:highlight w:val="none"/>
        </w:rPr>
        <w:t>分包人的资格能力应与其分包工程的标准和规模相适应。</w:t>
      </w:r>
    </w:p>
    <w:p w14:paraId="6EE24794">
      <w:pPr>
        <w:pStyle w:val="29"/>
        <w:numPr>
          <w:ilvl w:val="4"/>
          <w:numId w:val="7"/>
        </w:numPr>
        <w:tabs>
          <w:tab w:val="left" w:pos="1523"/>
          <w:tab w:val="left" w:pos="1524"/>
        </w:tabs>
        <w:spacing w:before="93"/>
        <w:ind w:left="1524" w:hanging="660"/>
        <w:rPr>
          <w:rFonts w:hint="eastAsia" w:ascii="宋体" w:hAnsi="宋体" w:eastAsia="宋体" w:cs="宋体"/>
          <w:sz w:val="24"/>
          <w:highlight w:val="none"/>
        </w:rPr>
      </w:pPr>
      <w:r>
        <w:rPr>
          <w:rFonts w:hint="eastAsia" w:ascii="宋体" w:hAnsi="宋体" w:eastAsia="宋体" w:cs="宋体"/>
          <w:sz w:val="24"/>
          <w:highlight w:val="none"/>
        </w:rPr>
        <w:t>承包人应与分包人就分包工程向发包人承担连带责任。</w:t>
      </w:r>
    </w:p>
    <w:p w14:paraId="4F269A10">
      <w:pPr>
        <w:pStyle w:val="29"/>
        <w:numPr>
          <w:ilvl w:val="4"/>
          <w:numId w:val="7"/>
        </w:numPr>
        <w:tabs>
          <w:tab w:val="left" w:pos="1545"/>
          <w:tab w:val="left" w:pos="1546"/>
        </w:tabs>
        <w:spacing w:before="91" w:line="312" w:lineRule="auto"/>
        <w:ind w:left="384" w:right="465" w:firstLine="480"/>
        <w:rPr>
          <w:rFonts w:hint="eastAsia" w:ascii="宋体" w:hAnsi="宋体" w:eastAsia="宋体" w:cs="宋体"/>
          <w:sz w:val="24"/>
          <w:highlight w:val="none"/>
        </w:rPr>
      </w:pPr>
      <w:r>
        <w:rPr>
          <w:rFonts w:hint="eastAsia" w:ascii="宋体" w:hAnsi="宋体" w:eastAsia="宋体" w:cs="宋体"/>
          <w:spacing w:val="8"/>
          <w:sz w:val="24"/>
          <w:highlight w:val="none"/>
        </w:rPr>
        <w:t>发包人对承包人与分包人之间的法律与经济纠纷不承担任何责任和义务。</w:t>
      </w:r>
    </w:p>
    <w:p w14:paraId="63F246DF">
      <w:pPr>
        <w:pStyle w:val="29"/>
        <w:numPr>
          <w:ilvl w:val="4"/>
          <w:numId w:val="7"/>
        </w:numPr>
        <w:tabs>
          <w:tab w:val="left" w:pos="1523"/>
          <w:tab w:val="left" w:pos="1524"/>
        </w:tabs>
        <w:spacing w:before="2"/>
        <w:ind w:left="1524" w:hanging="660"/>
        <w:rPr>
          <w:rFonts w:hint="eastAsia" w:ascii="宋体" w:hAnsi="宋体" w:eastAsia="宋体" w:cs="宋体"/>
          <w:sz w:val="18"/>
          <w:highlight w:val="none"/>
        </w:rPr>
      </w:pPr>
      <w:r>
        <w:rPr>
          <w:rFonts w:hint="eastAsia" w:ascii="宋体" w:hAnsi="宋体" w:eastAsia="宋体" w:cs="宋体"/>
          <w:sz w:val="24"/>
          <w:highlight w:val="none"/>
        </w:rPr>
        <w:t>各项分包工作均应遵守《公路工程施工分包管理办法》的有关规定。</w:t>
      </w:r>
    </w:p>
    <w:p w14:paraId="2ED369B5">
      <w:pPr>
        <w:pStyle w:val="29"/>
        <w:numPr>
          <w:ilvl w:val="3"/>
          <w:numId w:val="7"/>
        </w:numPr>
        <w:tabs>
          <w:tab w:val="left" w:pos="1125"/>
        </w:tabs>
        <w:spacing w:before="75"/>
        <w:ind w:left="1124" w:hanging="302"/>
        <w:jc w:val="left"/>
        <w:rPr>
          <w:rFonts w:hint="eastAsia" w:ascii="宋体" w:hAnsi="宋体" w:eastAsia="宋体" w:cs="宋体"/>
          <w:sz w:val="24"/>
          <w:highlight w:val="none"/>
        </w:rPr>
      </w:pPr>
      <w:r>
        <w:rPr>
          <w:rFonts w:hint="eastAsia" w:ascii="宋体" w:hAnsi="宋体" w:eastAsia="宋体" w:cs="宋体"/>
          <w:sz w:val="24"/>
          <w:highlight w:val="none"/>
        </w:rPr>
        <w:t>保险</w:t>
      </w:r>
    </w:p>
    <w:p w14:paraId="77AF96D8">
      <w:pPr>
        <w:pStyle w:val="10"/>
        <w:rPr>
          <w:rFonts w:hint="eastAsia" w:ascii="宋体" w:hAnsi="宋体" w:eastAsia="宋体" w:cs="宋体"/>
          <w:sz w:val="22"/>
          <w:highlight w:val="none"/>
        </w:rPr>
      </w:pPr>
    </w:p>
    <w:p w14:paraId="4331C94A">
      <w:pPr>
        <w:pStyle w:val="29"/>
        <w:numPr>
          <w:ilvl w:val="4"/>
          <w:numId w:val="7"/>
        </w:numPr>
        <w:tabs>
          <w:tab w:val="left" w:pos="1528"/>
          <w:tab w:val="left" w:pos="1529"/>
        </w:tabs>
        <w:spacing w:before="1" w:line="319" w:lineRule="auto"/>
        <w:ind w:left="384" w:right="346" w:firstLine="480"/>
        <w:rPr>
          <w:rFonts w:hint="eastAsia" w:ascii="宋体" w:hAnsi="宋体" w:eastAsia="宋体" w:cs="宋体"/>
          <w:sz w:val="24"/>
          <w:highlight w:val="none"/>
        </w:rPr>
      </w:pPr>
      <w:r>
        <w:rPr>
          <w:rFonts w:hint="eastAsia" w:ascii="宋体" w:hAnsi="宋体" w:eastAsia="宋体" w:cs="宋体"/>
          <w:sz w:val="24"/>
          <w:highlight w:val="none"/>
        </w:rPr>
        <w:t>承包人应为承包工程投保建筑工程一切险、安装工程一切险等工程保险</w:t>
      </w:r>
      <w:r>
        <w:rPr>
          <w:rFonts w:hint="eastAsia" w:ascii="宋体" w:hAnsi="宋体" w:eastAsia="宋体" w:cs="宋体"/>
          <w:spacing w:val="-10"/>
          <w:sz w:val="24"/>
          <w:highlight w:val="none"/>
        </w:rPr>
        <w:t>及第三者责任险，保险期限为开工日起直至本合同工程签发缺陷责任期终止证书止。</w:t>
      </w:r>
      <w:r>
        <w:rPr>
          <w:rFonts w:hint="eastAsia" w:ascii="宋体" w:hAnsi="宋体" w:eastAsia="宋体" w:cs="宋体"/>
          <w:sz w:val="24"/>
          <w:highlight w:val="none"/>
        </w:rPr>
        <w:t>相关费用均包含在工程量清单的单价及总额价中，发包人不单独支付。</w:t>
      </w:r>
    </w:p>
    <w:p w14:paraId="5BAE1DFD">
      <w:pPr>
        <w:pStyle w:val="29"/>
        <w:numPr>
          <w:ilvl w:val="4"/>
          <w:numId w:val="7"/>
        </w:numPr>
        <w:tabs>
          <w:tab w:val="left" w:pos="1529"/>
        </w:tabs>
        <w:spacing w:before="4" w:line="319"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承包人应依照有关法律规定参加工伤保险，为其履行合同所雇用的全部</w:t>
      </w:r>
      <w:r>
        <w:rPr>
          <w:rFonts w:hint="eastAsia" w:ascii="宋体" w:hAnsi="宋体" w:eastAsia="宋体" w:cs="宋体"/>
          <w:spacing w:val="-1"/>
          <w:sz w:val="24"/>
          <w:highlight w:val="none"/>
        </w:rPr>
        <w:t>人员缴纳工伤保险费，并要求其分包人也进行此项保险。保险的一切费用应由承包</w:t>
      </w:r>
      <w:r>
        <w:rPr>
          <w:rFonts w:hint="eastAsia" w:ascii="宋体" w:hAnsi="宋体" w:eastAsia="宋体" w:cs="宋体"/>
          <w:sz w:val="24"/>
          <w:highlight w:val="none"/>
        </w:rPr>
        <w:t>人承担并支付。</w:t>
      </w:r>
    </w:p>
    <w:p w14:paraId="0BD6F27B">
      <w:pPr>
        <w:pStyle w:val="29"/>
        <w:numPr>
          <w:ilvl w:val="4"/>
          <w:numId w:val="7"/>
        </w:numPr>
        <w:tabs>
          <w:tab w:val="left" w:pos="1529"/>
        </w:tabs>
        <w:spacing w:before="2" w:line="319" w:lineRule="auto"/>
        <w:ind w:left="384" w:right="467" w:firstLine="480"/>
        <w:jc w:val="both"/>
        <w:rPr>
          <w:rFonts w:hint="eastAsia" w:ascii="宋体" w:hAnsi="宋体" w:eastAsia="宋体" w:cs="宋体"/>
          <w:sz w:val="24"/>
          <w:highlight w:val="none"/>
        </w:rPr>
      </w:pPr>
      <w:r>
        <w:rPr>
          <w:rFonts w:hint="eastAsia" w:ascii="宋体" w:hAnsi="宋体" w:eastAsia="宋体" w:cs="宋体"/>
          <w:sz w:val="24"/>
          <w:highlight w:val="none"/>
        </w:rPr>
        <w:t>承包人应在整个施工期间为其现场机构雇用的全部人员，投保人身意外</w:t>
      </w:r>
      <w:r>
        <w:rPr>
          <w:rFonts w:hint="eastAsia" w:ascii="宋体" w:hAnsi="宋体" w:eastAsia="宋体" w:cs="宋体"/>
          <w:spacing w:val="-1"/>
          <w:sz w:val="24"/>
          <w:highlight w:val="none"/>
        </w:rPr>
        <w:t>伤害险，缴纳保险费，并要求其分包人也进行此项保险。保险的一切费用应由承包</w:t>
      </w:r>
      <w:r>
        <w:rPr>
          <w:rFonts w:hint="eastAsia" w:ascii="宋体" w:hAnsi="宋体" w:eastAsia="宋体" w:cs="宋体"/>
          <w:sz w:val="24"/>
          <w:highlight w:val="none"/>
        </w:rPr>
        <w:t>人承担并支付。</w:t>
      </w:r>
    </w:p>
    <w:p w14:paraId="5891AC99">
      <w:pPr>
        <w:pStyle w:val="29"/>
        <w:numPr>
          <w:ilvl w:val="4"/>
          <w:numId w:val="7"/>
        </w:numPr>
        <w:tabs>
          <w:tab w:val="left" w:pos="1529"/>
        </w:tabs>
        <w:spacing w:before="4" w:line="319" w:lineRule="auto"/>
        <w:ind w:left="384" w:right="465" w:firstLine="480"/>
        <w:jc w:val="both"/>
        <w:rPr>
          <w:rFonts w:hint="eastAsia" w:ascii="宋体" w:hAnsi="宋体" w:eastAsia="宋体" w:cs="宋体"/>
          <w:sz w:val="24"/>
          <w:highlight w:val="none"/>
        </w:rPr>
      </w:pPr>
      <w:r>
        <w:rPr>
          <w:rFonts w:hint="eastAsia" w:ascii="宋体" w:hAnsi="宋体" w:eastAsia="宋体" w:cs="宋体"/>
          <w:sz w:val="24"/>
          <w:highlight w:val="none"/>
        </w:rPr>
        <w:t>承包人应为其施工设备等办理保险，其投保金额应足以现场重置。办理</w:t>
      </w:r>
      <w:r>
        <w:rPr>
          <w:rFonts w:hint="eastAsia" w:ascii="宋体" w:hAnsi="宋体" w:eastAsia="宋体" w:cs="宋体"/>
          <w:spacing w:val="-1"/>
          <w:sz w:val="24"/>
          <w:highlight w:val="none"/>
        </w:rPr>
        <w:t>本款保险的一切费用均由承包人承担，并包括在工程量清单的单价及总额价中，发</w:t>
      </w:r>
      <w:r>
        <w:rPr>
          <w:rFonts w:hint="eastAsia" w:ascii="宋体" w:hAnsi="宋体" w:eastAsia="宋体" w:cs="宋体"/>
          <w:sz w:val="24"/>
          <w:highlight w:val="none"/>
        </w:rPr>
        <w:t>包人不单独支付。</w:t>
      </w:r>
    </w:p>
    <w:p w14:paraId="3FFCD44C">
      <w:pPr>
        <w:pStyle w:val="29"/>
        <w:numPr>
          <w:ilvl w:val="4"/>
          <w:numId w:val="7"/>
        </w:numPr>
        <w:tabs>
          <w:tab w:val="left" w:pos="1529"/>
        </w:tabs>
        <w:spacing w:before="2" w:line="319" w:lineRule="auto"/>
        <w:ind w:left="384" w:right="467" w:firstLine="480"/>
        <w:jc w:val="both"/>
        <w:rPr>
          <w:rFonts w:hint="eastAsia" w:ascii="宋体" w:hAnsi="宋体" w:eastAsia="宋体" w:cs="宋体"/>
          <w:sz w:val="24"/>
          <w:highlight w:val="none"/>
        </w:rPr>
      </w:pPr>
      <w:r>
        <w:rPr>
          <w:rFonts w:hint="eastAsia" w:ascii="宋体" w:hAnsi="宋体" w:eastAsia="宋体" w:cs="宋体"/>
          <w:sz w:val="24"/>
          <w:highlight w:val="none"/>
        </w:rPr>
        <w:t>承包人应在办理有关保险后，尽快向发包人提供按合同要求所报各种保</w:t>
      </w:r>
      <w:r>
        <w:rPr>
          <w:rFonts w:hint="eastAsia" w:ascii="宋体" w:hAnsi="宋体" w:eastAsia="宋体" w:cs="宋体"/>
          <w:spacing w:val="-5"/>
          <w:sz w:val="24"/>
          <w:highlight w:val="none"/>
        </w:rPr>
        <w:t xml:space="preserve">险的生效证明，并在开工后 </w:t>
      </w:r>
      <w:r>
        <w:rPr>
          <w:rFonts w:hint="eastAsia" w:ascii="宋体" w:hAnsi="宋体" w:eastAsia="宋体" w:cs="宋体"/>
          <w:sz w:val="24"/>
          <w:highlight w:val="none"/>
        </w:rPr>
        <w:t>56 天内提交保险单，同时向监理人提交副本。</w:t>
      </w:r>
    </w:p>
    <w:p w14:paraId="3795DC5D">
      <w:pPr>
        <w:pStyle w:val="29"/>
        <w:numPr>
          <w:ilvl w:val="4"/>
          <w:numId w:val="7"/>
        </w:numPr>
        <w:tabs>
          <w:tab w:val="left" w:pos="1524"/>
        </w:tabs>
        <w:spacing w:before="3"/>
        <w:ind w:left="1524" w:hanging="660"/>
        <w:jc w:val="both"/>
        <w:rPr>
          <w:rFonts w:hint="eastAsia" w:ascii="宋体" w:hAnsi="宋体" w:eastAsia="宋体" w:cs="宋体"/>
          <w:sz w:val="24"/>
          <w:highlight w:val="none"/>
        </w:rPr>
      </w:pPr>
      <w:r>
        <w:rPr>
          <w:rFonts w:hint="eastAsia" w:ascii="宋体" w:hAnsi="宋体" w:eastAsia="宋体" w:cs="宋体"/>
          <w:spacing w:val="-3"/>
          <w:sz w:val="24"/>
          <w:highlight w:val="none"/>
        </w:rPr>
        <w:t>保险事故发生时，承包人有责任尽力采取必要措施，防止或者减少损失。</w:t>
      </w:r>
    </w:p>
    <w:p w14:paraId="458D6B86">
      <w:pPr>
        <w:pStyle w:val="10"/>
        <w:spacing w:before="1"/>
        <w:rPr>
          <w:rFonts w:hint="eastAsia" w:ascii="宋体" w:hAnsi="宋体" w:eastAsia="宋体" w:cs="宋体"/>
          <w:sz w:val="22"/>
          <w:highlight w:val="none"/>
        </w:rPr>
      </w:pPr>
    </w:p>
    <w:p w14:paraId="1D50AB68">
      <w:pPr>
        <w:pStyle w:val="29"/>
        <w:numPr>
          <w:ilvl w:val="3"/>
          <w:numId w:val="7"/>
        </w:numPr>
        <w:tabs>
          <w:tab w:val="left" w:pos="1125"/>
        </w:tabs>
        <w:ind w:left="1124" w:hanging="302"/>
        <w:jc w:val="left"/>
        <w:rPr>
          <w:rFonts w:hint="eastAsia" w:ascii="宋体" w:hAnsi="宋体" w:eastAsia="宋体" w:cs="宋体"/>
          <w:sz w:val="24"/>
          <w:highlight w:val="none"/>
        </w:rPr>
      </w:pPr>
      <w:r>
        <w:rPr>
          <w:rFonts w:hint="eastAsia" w:ascii="宋体" w:hAnsi="宋体" w:eastAsia="宋体" w:cs="宋体"/>
          <w:sz w:val="24"/>
          <w:highlight w:val="none"/>
        </w:rPr>
        <w:t>不利物质条件</w:t>
      </w:r>
    </w:p>
    <w:p w14:paraId="27664CF4">
      <w:pPr>
        <w:pStyle w:val="10"/>
        <w:spacing w:before="11"/>
        <w:rPr>
          <w:rFonts w:hint="eastAsia" w:ascii="宋体" w:hAnsi="宋体" w:eastAsia="宋体" w:cs="宋体"/>
          <w:sz w:val="21"/>
          <w:highlight w:val="none"/>
        </w:rPr>
      </w:pPr>
    </w:p>
    <w:p w14:paraId="04EDD657">
      <w:pPr>
        <w:pStyle w:val="29"/>
        <w:numPr>
          <w:ilvl w:val="4"/>
          <w:numId w:val="7"/>
        </w:numPr>
        <w:tabs>
          <w:tab w:val="left" w:pos="1523"/>
          <w:tab w:val="left" w:pos="1524"/>
        </w:tabs>
        <w:spacing w:line="319" w:lineRule="auto"/>
        <w:ind w:left="384" w:right="346" w:firstLine="480"/>
        <w:rPr>
          <w:rFonts w:hint="eastAsia" w:ascii="宋体" w:hAnsi="宋体" w:eastAsia="宋体" w:cs="宋体"/>
          <w:sz w:val="24"/>
          <w:highlight w:val="none"/>
        </w:rPr>
      </w:pPr>
      <w:r>
        <w:rPr>
          <w:rFonts w:hint="eastAsia" w:ascii="宋体" w:hAnsi="宋体" w:eastAsia="宋体" w:cs="宋体"/>
          <w:spacing w:val="-5"/>
          <w:sz w:val="24"/>
          <w:highlight w:val="none"/>
        </w:rPr>
        <w:t>不利物质条件，是指承包人在施工场地遇到的不可预见的自然物质条件、</w:t>
      </w:r>
      <w:r>
        <w:rPr>
          <w:rFonts w:hint="eastAsia" w:ascii="宋体" w:hAnsi="宋体" w:eastAsia="宋体" w:cs="宋体"/>
          <w:sz w:val="24"/>
          <w:highlight w:val="none"/>
        </w:rPr>
        <w:t>非自然的物质障碍和污染物，包括地下和水文条件，但不包括气候条件。</w:t>
      </w:r>
    </w:p>
    <w:p w14:paraId="74112A67">
      <w:pPr>
        <w:pStyle w:val="29"/>
        <w:numPr>
          <w:ilvl w:val="4"/>
          <w:numId w:val="7"/>
        </w:numPr>
        <w:tabs>
          <w:tab w:val="left" w:pos="1528"/>
          <w:tab w:val="left" w:pos="1529"/>
        </w:tabs>
        <w:spacing w:before="3" w:line="319" w:lineRule="auto"/>
        <w:ind w:left="384" w:right="346" w:firstLine="480"/>
        <w:rPr>
          <w:rFonts w:hint="eastAsia" w:ascii="宋体" w:hAnsi="宋体" w:eastAsia="宋体" w:cs="宋体"/>
          <w:sz w:val="24"/>
          <w:highlight w:val="none"/>
        </w:rPr>
      </w:pPr>
      <w:r>
        <w:rPr>
          <w:rFonts w:hint="eastAsia" w:ascii="宋体" w:hAnsi="宋体" w:eastAsia="宋体" w:cs="宋体"/>
          <w:sz w:val="24"/>
          <w:highlight w:val="none"/>
        </w:rPr>
        <w:t>承包人遇到不利物质条件时，应采取适应不利物质条件的合理措施继续施工，并及时通知监理人。监理人应当及时发出指示，指示构成变更的，按约定办</w:t>
      </w:r>
      <w:r>
        <w:rPr>
          <w:rFonts w:hint="eastAsia" w:ascii="宋体" w:hAnsi="宋体" w:eastAsia="宋体" w:cs="宋体"/>
          <w:spacing w:val="-3"/>
          <w:sz w:val="24"/>
          <w:highlight w:val="none"/>
        </w:rPr>
        <w:t>理。监理人没有发出指示的，承包人因采取合理措施而增加的费用和</w:t>
      </w:r>
      <w:r>
        <w:rPr>
          <w:rFonts w:hint="eastAsia" w:ascii="宋体" w:hAnsi="宋体" w:eastAsia="宋体" w:cs="宋体"/>
          <w:sz w:val="24"/>
          <w:highlight w:val="none"/>
        </w:rPr>
        <w:t>(或)</w:t>
      </w:r>
      <w:r>
        <w:rPr>
          <w:rFonts w:hint="eastAsia" w:ascii="宋体" w:hAnsi="宋体" w:eastAsia="宋体" w:cs="宋体"/>
          <w:spacing w:val="-4"/>
          <w:sz w:val="24"/>
          <w:highlight w:val="none"/>
        </w:rPr>
        <w:t xml:space="preserve">工期延误， </w:t>
      </w:r>
      <w:r>
        <w:rPr>
          <w:rFonts w:hint="eastAsia" w:ascii="宋体" w:hAnsi="宋体" w:eastAsia="宋体" w:cs="宋体"/>
          <w:sz w:val="24"/>
          <w:highlight w:val="none"/>
        </w:rPr>
        <w:t>由发包人承担。</w:t>
      </w:r>
    </w:p>
    <w:p w14:paraId="4AFAF655">
      <w:pPr>
        <w:pStyle w:val="29"/>
        <w:numPr>
          <w:ilvl w:val="3"/>
          <w:numId w:val="7"/>
        </w:numPr>
        <w:tabs>
          <w:tab w:val="left" w:pos="1125"/>
        </w:tabs>
        <w:spacing w:before="162"/>
        <w:ind w:left="1124" w:hanging="302"/>
        <w:jc w:val="left"/>
        <w:rPr>
          <w:rFonts w:hint="eastAsia" w:ascii="宋体" w:hAnsi="宋体" w:eastAsia="宋体" w:cs="宋体"/>
          <w:sz w:val="24"/>
          <w:highlight w:val="none"/>
        </w:rPr>
      </w:pPr>
      <w:r>
        <w:rPr>
          <w:rFonts w:hint="eastAsia" w:ascii="宋体" w:hAnsi="宋体" w:eastAsia="宋体" w:cs="宋体"/>
          <w:sz w:val="24"/>
          <w:highlight w:val="none"/>
        </w:rPr>
        <w:t>不可抗力后果及其处理</w:t>
      </w:r>
    </w:p>
    <w:p w14:paraId="5C931CE8">
      <w:pPr>
        <w:pStyle w:val="10"/>
        <w:spacing w:before="5"/>
        <w:rPr>
          <w:rFonts w:hint="eastAsia" w:ascii="宋体" w:hAnsi="宋体" w:eastAsia="宋体" w:cs="宋体"/>
          <w:sz w:val="20"/>
          <w:highlight w:val="none"/>
        </w:rPr>
      </w:pPr>
    </w:p>
    <w:p w14:paraId="1F2A47BF">
      <w:pPr>
        <w:pStyle w:val="29"/>
        <w:numPr>
          <w:ilvl w:val="4"/>
          <w:numId w:val="7"/>
        </w:numPr>
        <w:tabs>
          <w:tab w:val="left" w:pos="1528"/>
          <w:tab w:val="left" w:pos="1529"/>
        </w:tabs>
        <w:spacing w:line="307" w:lineRule="auto"/>
        <w:ind w:left="384" w:right="467" w:firstLine="480"/>
        <w:rPr>
          <w:rFonts w:hint="eastAsia" w:ascii="宋体" w:hAnsi="宋体" w:eastAsia="宋体" w:cs="宋体"/>
          <w:sz w:val="24"/>
          <w:highlight w:val="none"/>
        </w:rPr>
      </w:pPr>
      <w:r>
        <w:rPr>
          <w:rFonts w:hint="eastAsia" w:ascii="宋体" w:hAnsi="宋体" w:eastAsia="宋体" w:cs="宋体"/>
          <w:sz w:val="24"/>
          <w:highlight w:val="none"/>
        </w:rPr>
        <w:t>不可抗力是指承包人和发包人在订立合同时不可预见，在工程施工过程中不可避免发生并不能克服的自然灾害和社会性突发事件。包括但不限于：</w:t>
      </w:r>
    </w:p>
    <w:p w14:paraId="5DC436A3">
      <w:pPr>
        <w:pStyle w:val="29"/>
        <w:numPr>
          <w:ilvl w:val="0"/>
          <w:numId w:val="35"/>
        </w:numPr>
        <w:tabs>
          <w:tab w:val="left" w:pos="1465"/>
        </w:tabs>
        <w:spacing w:line="304" w:lineRule="auto"/>
        <w:ind w:right="462" w:firstLine="480"/>
        <w:rPr>
          <w:rFonts w:hint="eastAsia" w:ascii="宋体" w:hAnsi="宋体" w:eastAsia="宋体" w:cs="宋体"/>
          <w:sz w:val="24"/>
          <w:highlight w:val="none"/>
        </w:rPr>
      </w:pPr>
      <w:r>
        <w:rPr>
          <w:rFonts w:hint="eastAsia" w:ascii="宋体" w:hAnsi="宋体" w:eastAsia="宋体" w:cs="宋体"/>
          <w:sz w:val="24"/>
          <w:highlight w:val="none"/>
        </w:rPr>
        <w:t>地震、海啸、火山爆发、泥石流、暴雨(雪)</w:t>
      </w:r>
      <w:r>
        <w:rPr>
          <w:rFonts w:hint="eastAsia" w:ascii="宋体" w:hAnsi="宋体" w:eastAsia="宋体" w:cs="宋体"/>
          <w:spacing w:val="-4"/>
          <w:sz w:val="24"/>
          <w:highlight w:val="none"/>
        </w:rPr>
        <w:t>、台风、龙卷风、水灾等自然</w:t>
      </w:r>
      <w:r>
        <w:rPr>
          <w:rFonts w:hint="eastAsia" w:ascii="宋体" w:hAnsi="宋体" w:eastAsia="宋体" w:cs="宋体"/>
          <w:sz w:val="24"/>
          <w:highlight w:val="none"/>
        </w:rPr>
        <w:t>灾害；</w:t>
      </w:r>
    </w:p>
    <w:p w14:paraId="23028542">
      <w:pPr>
        <w:pStyle w:val="29"/>
        <w:numPr>
          <w:ilvl w:val="0"/>
          <w:numId w:val="35"/>
        </w:numPr>
        <w:tabs>
          <w:tab w:val="left" w:pos="1465"/>
        </w:tabs>
        <w:spacing w:before="1" w:line="304" w:lineRule="auto"/>
        <w:ind w:right="462" w:firstLine="480"/>
        <w:rPr>
          <w:rFonts w:hint="eastAsia" w:ascii="宋体" w:hAnsi="宋体" w:eastAsia="宋体" w:cs="宋体"/>
          <w:sz w:val="24"/>
          <w:highlight w:val="none"/>
        </w:rPr>
      </w:pPr>
      <w:r>
        <w:rPr>
          <w:rFonts w:hint="eastAsia" w:ascii="宋体" w:hAnsi="宋体" w:eastAsia="宋体" w:cs="宋体"/>
          <w:spacing w:val="-9"/>
          <w:sz w:val="24"/>
          <w:highlight w:val="none"/>
        </w:rPr>
        <w:t xml:space="preserve">战争、骚乱、暴动，但纯属承包人或其分包人派遣与雇用的人员由于本 </w:t>
      </w:r>
      <w:r>
        <w:rPr>
          <w:rFonts w:hint="eastAsia" w:ascii="宋体" w:hAnsi="宋体" w:eastAsia="宋体" w:cs="宋体"/>
          <w:spacing w:val="-4"/>
          <w:sz w:val="24"/>
          <w:highlight w:val="none"/>
        </w:rPr>
        <w:t>合同工程施工原因引起者除外；</w:t>
      </w:r>
    </w:p>
    <w:p w14:paraId="3D1C8B7C">
      <w:pPr>
        <w:pStyle w:val="10"/>
        <w:spacing w:before="5"/>
        <w:rPr>
          <w:rFonts w:hint="eastAsia" w:ascii="宋体" w:hAnsi="宋体" w:eastAsia="宋体" w:cs="宋体"/>
          <w:sz w:val="17"/>
          <w:highlight w:val="none"/>
        </w:rPr>
      </w:pPr>
      <w:r>
        <w:rPr>
          <w:rFonts w:hint="eastAsia" w:ascii="宋体" w:hAnsi="宋体" w:eastAsia="宋体" w:cs="宋体"/>
          <w:sz w:val="24"/>
          <w:highlight w:val="none"/>
        </w:rPr>
        <w:t>核反应、辐射或放射性污染；</w:t>
      </w:r>
    </w:p>
    <w:p w14:paraId="0A05FFF3">
      <w:pPr>
        <w:pStyle w:val="29"/>
        <w:numPr>
          <w:ilvl w:val="0"/>
          <w:numId w:val="35"/>
        </w:numPr>
        <w:tabs>
          <w:tab w:val="left" w:pos="1465"/>
        </w:tabs>
        <w:spacing w:before="74"/>
        <w:ind w:left="1465"/>
        <w:rPr>
          <w:rFonts w:hint="eastAsia" w:ascii="宋体" w:hAnsi="宋体" w:eastAsia="宋体" w:cs="宋体"/>
          <w:sz w:val="24"/>
          <w:highlight w:val="none"/>
        </w:rPr>
      </w:pPr>
      <w:r>
        <w:rPr>
          <w:rFonts w:hint="eastAsia" w:ascii="宋体" w:hAnsi="宋体" w:eastAsia="宋体" w:cs="宋体"/>
          <w:sz w:val="24"/>
          <w:highlight w:val="none"/>
        </w:rPr>
        <w:t>空中飞行物体坠落或非发包人或承包人责任造成的爆炸、火灾；</w:t>
      </w:r>
    </w:p>
    <w:p w14:paraId="12CC2E88">
      <w:pPr>
        <w:pStyle w:val="29"/>
        <w:numPr>
          <w:ilvl w:val="0"/>
          <w:numId w:val="35"/>
        </w:numPr>
        <w:tabs>
          <w:tab w:val="left" w:pos="1465"/>
        </w:tabs>
        <w:spacing w:before="84"/>
        <w:ind w:left="1465"/>
        <w:rPr>
          <w:rFonts w:hint="eastAsia" w:ascii="宋体" w:hAnsi="宋体" w:eastAsia="宋体" w:cs="宋体"/>
          <w:sz w:val="24"/>
          <w:highlight w:val="none"/>
        </w:rPr>
      </w:pPr>
      <w:r>
        <w:rPr>
          <w:rFonts w:hint="eastAsia" w:ascii="宋体" w:hAnsi="宋体" w:eastAsia="宋体" w:cs="宋体"/>
          <w:sz w:val="24"/>
          <w:highlight w:val="none"/>
        </w:rPr>
        <w:t>瘟疫；</w:t>
      </w:r>
    </w:p>
    <w:p w14:paraId="247CF6F9">
      <w:pPr>
        <w:pStyle w:val="29"/>
        <w:numPr>
          <w:ilvl w:val="0"/>
          <w:numId w:val="35"/>
        </w:numPr>
        <w:tabs>
          <w:tab w:val="left" w:pos="1465"/>
        </w:tabs>
        <w:spacing w:before="86"/>
        <w:ind w:left="1465"/>
        <w:rPr>
          <w:rFonts w:hint="eastAsia" w:ascii="宋体" w:hAnsi="宋体" w:eastAsia="宋体" w:cs="宋体"/>
          <w:sz w:val="24"/>
          <w:highlight w:val="none"/>
        </w:rPr>
      </w:pPr>
      <w:r>
        <w:rPr>
          <w:rFonts w:hint="eastAsia" w:ascii="宋体" w:hAnsi="宋体" w:eastAsia="宋体" w:cs="宋体"/>
          <w:sz w:val="24"/>
          <w:highlight w:val="none"/>
        </w:rPr>
        <w:t>合同条款约定的其他情形。</w:t>
      </w:r>
    </w:p>
    <w:p w14:paraId="11425FB9">
      <w:pPr>
        <w:pStyle w:val="29"/>
        <w:numPr>
          <w:ilvl w:val="4"/>
          <w:numId w:val="7"/>
        </w:numPr>
        <w:tabs>
          <w:tab w:val="left" w:pos="1523"/>
          <w:tab w:val="left" w:pos="1524"/>
        </w:tabs>
        <w:spacing w:before="83"/>
        <w:ind w:left="1524" w:hanging="660"/>
        <w:rPr>
          <w:rFonts w:hint="eastAsia" w:ascii="宋体" w:hAnsi="宋体" w:eastAsia="宋体" w:cs="宋体"/>
          <w:sz w:val="24"/>
          <w:highlight w:val="none"/>
        </w:rPr>
      </w:pPr>
      <w:r>
        <w:rPr>
          <w:rFonts w:hint="eastAsia" w:ascii="宋体" w:hAnsi="宋体" w:eastAsia="宋体" w:cs="宋体"/>
          <w:sz w:val="24"/>
          <w:highlight w:val="none"/>
        </w:rPr>
        <w:t>不可抗力造成损害的责任</w:t>
      </w:r>
    </w:p>
    <w:p w14:paraId="3BCE3010">
      <w:pPr>
        <w:pStyle w:val="10"/>
        <w:spacing w:before="84" w:line="307" w:lineRule="auto"/>
        <w:ind w:left="384" w:right="465" w:firstLine="480"/>
        <w:rPr>
          <w:rFonts w:hint="eastAsia" w:ascii="宋体" w:hAnsi="宋体" w:eastAsia="宋体" w:cs="宋体"/>
          <w:highlight w:val="none"/>
        </w:rPr>
      </w:pPr>
      <w:r>
        <w:rPr>
          <w:rFonts w:hint="eastAsia" w:ascii="宋体" w:hAnsi="宋体" w:eastAsia="宋体" w:cs="宋体"/>
          <w:highlight w:val="none"/>
        </w:rPr>
        <w:t>不可抗力导致的人员伤亡、财产损失、费用增加和(或)工期延误等后果，由合同双方按以下原则承担：</w:t>
      </w:r>
    </w:p>
    <w:p w14:paraId="42EA134E">
      <w:pPr>
        <w:pStyle w:val="29"/>
        <w:numPr>
          <w:ilvl w:val="0"/>
          <w:numId w:val="36"/>
        </w:numPr>
        <w:tabs>
          <w:tab w:val="left" w:pos="1465"/>
        </w:tabs>
        <w:spacing w:line="304" w:lineRule="auto"/>
        <w:ind w:right="466" w:firstLine="480"/>
        <w:rPr>
          <w:rFonts w:hint="eastAsia" w:ascii="宋体" w:hAnsi="宋体" w:eastAsia="宋体" w:cs="宋体"/>
          <w:sz w:val="24"/>
          <w:highlight w:val="none"/>
        </w:rPr>
      </w:pPr>
      <w:r>
        <w:rPr>
          <w:rFonts w:hint="eastAsia" w:ascii="宋体" w:hAnsi="宋体" w:eastAsia="宋体" w:cs="宋体"/>
          <w:spacing w:val="-6"/>
          <w:sz w:val="24"/>
          <w:highlight w:val="none"/>
        </w:rPr>
        <w:t>永久工程，包括已运至施工场地的材料和工程设备的损害，以及因工程</w:t>
      </w:r>
      <w:r>
        <w:rPr>
          <w:rFonts w:hint="eastAsia" w:ascii="宋体" w:hAnsi="宋体" w:eastAsia="宋体" w:cs="宋体"/>
          <w:spacing w:val="-5"/>
          <w:sz w:val="24"/>
          <w:highlight w:val="none"/>
        </w:rPr>
        <w:t>损害造成的第三者人员伤亡和财产损失由发包人承担；</w:t>
      </w:r>
    </w:p>
    <w:p w14:paraId="30F84353">
      <w:pPr>
        <w:pStyle w:val="29"/>
        <w:numPr>
          <w:ilvl w:val="0"/>
          <w:numId w:val="36"/>
        </w:numPr>
        <w:tabs>
          <w:tab w:val="left" w:pos="1465"/>
        </w:tabs>
        <w:spacing w:before="2"/>
        <w:ind w:left="1465"/>
        <w:rPr>
          <w:rFonts w:hint="eastAsia" w:ascii="宋体" w:hAnsi="宋体" w:eastAsia="宋体" w:cs="宋体"/>
          <w:sz w:val="24"/>
          <w:highlight w:val="none"/>
        </w:rPr>
      </w:pPr>
      <w:r>
        <w:rPr>
          <w:rFonts w:hint="eastAsia" w:ascii="宋体" w:hAnsi="宋体" w:eastAsia="宋体" w:cs="宋体"/>
          <w:sz w:val="24"/>
          <w:highlight w:val="none"/>
        </w:rPr>
        <w:t>承包人设备的损坏由承包人承担；</w:t>
      </w:r>
    </w:p>
    <w:p w14:paraId="158D7A97">
      <w:pPr>
        <w:pStyle w:val="29"/>
        <w:numPr>
          <w:ilvl w:val="0"/>
          <w:numId w:val="36"/>
        </w:numPr>
        <w:tabs>
          <w:tab w:val="left" w:pos="1465"/>
        </w:tabs>
        <w:spacing w:before="83"/>
        <w:ind w:left="1465"/>
        <w:rPr>
          <w:rFonts w:hint="eastAsia" w:ascii="宋体" w:hAnsi="宋体" w:eastAsia="宋体" w:cs="宋体"/>
          <w:sz w:val="24"/>
          <w:highlight w:val="none"/>
        </w:rPr>
      </w:pPr>
      <w:r>
        <w:rPr>
          <w:rFonts w:hint="eastAsia" w:ascii="宋体" w:hAnsi="宋体" w:eastAsia="宋体" w:cs="宋体"/>
          <w:sz w:val="24"/>
          <w:highlight w:val="none"/>
        </w:rPr>
        <w:t>发包人和承包人各自承担其人员伤亡和其他财产损失及其相关费用；</w:t>
      </w:r>
    </w:p>
    <w:p w14:paraId="172A3CDB">
      <w:pPr>
        <w:pStyle w:val="29"/>
        <w:numPr>
          <w:ilvl w:val="0"/>
          <w:numId w:val="36"/>
        </w:numPr>
        <w:tabs>
          <w:tab w:val="left" w:pos="1465"/>
        </w:tabs>
        <w:spacing w:before="84" w:line="307" w:lineRule="auto"/>
        <w:ind w:right="466" w:firstLine="480"/>
        <w:rPr>
          <w:rFonts w:hint="eastAsia" w:ascii="宋体" w:hAnsi="宋体" w:eastAsia="宋体" w:cs="宋体"/>
          <w:sz w:val="24"/>
          <w:highlight w:val="none"/>
        </w:rPr>
      </w:pPr>
      <w:r>
        <w:rPr>
          <w:rFonts w:hint="eastAsia" w:ascii="宋体" w:hAnsi="宋体" w:eastAsia="宋体" w:cs="宋体"/>
          <w:spacing w:val="-3"/>
          <w:sz w:val="24"/>
          <w:highlight w:val="none"/>
        </w:rPr>
        <w:t>承包人的停工损失由承包人承担，但停工期间应监理人要求照管工程和</w:t>
      </w:r>
      <w:r>
        <w:rPr>
          <w:rFonts w:hint="eastAsia" w:ascii="宋体" w:hAnsi="宋体" w:eastAsia="宋体" w:cs="宋体"/>
          <w:spacing w:val="-5"/>
          <w:sz w:val="24"/>
          <w:highlight w:val="none"/>
        </w:rPr>
        <w:t>清理、修复工程的金额由发包人承担；</w:t>
      </w:r>
    </w:p>
    <w:p w14:paraId="4A291347">
      <w:pPr>
        <w:pStyle w:val="29"/>
        <w:numPr>
          <w:ilvl w:val="0"/>
          <w:numId w:val="36"/>
        </w:numPr>
        <w:tabs>
          <w:tab w:val="left" w:pos="1465"/>
        </w:tabs>
        <w:spacing w:line="304" w:lineRule="auto"/>
        <w:ind w:right="466" w:firstLine="480"/>
        <w:rPr>
          <w:rFonts w:hint="eastAsia" w:ascii="宋体" w:hAnsi="宋体" w:eastAsia="宋体" w:cs="宋体"/>
          <w:sz w:val="24"/>
          <w:highlight w:val="none"/>
        </w:rPr>
      </w:pPr>
      <w:r>
        <w:rPr>
          <w:rFonts w:hint="eastAsia" w:ascii="宋体" w:hAnsi="宋体" w:eastAsia="宋体" w:cs="宋体"/>
          <w:spacing w:val="-7"/>
          <w:sz w:val="24"/>
          <w:highlight w:val="none"/>
        </w:rPr>
        <w:t>不能按期竣工的，应合理延长工期，承包人不需支付逾期竣工违约金。发</w:t>
      </w:r>
      <w:r>
        <w:rPr>
          <w:rFonts w:hint="eastAsia" w:ascii="宋体" w:hAnsi="宋体" w:eastAsia="宋体" w:cs="宋体"/>
          <w:sz w:val="24"/>
          <w:highlight w:val="none"/>
        </w:rPr>
        <w:t>包人要求赶工的，承包人应采取赶工措施，赶工费用由发包人承担。</w:t>
      </w:r>
    </w:p>
    <w:p w14:paraId="2BA14C1E">
      <w:pPr>
        <w:pStyle w:val="29"/>
        <w:numPr>
          <w:ilvl w:val="4"/>
          <w:numId w:val="7"/>
        </w:numPr>
        <w:tabs>
          <w:tab w:val="left" w:pos="1523"/>
          <w:tab w:val="left" w:pos="1524"/>
        </w:tabs>
        <w:spacing w:before="1"/>
        <w:ind w:left="1524" w:hanging="660"/>
        <w:rPr>
          <w:rFonts w:hint="eastAsia" w:ascii="宋体" w:hAnsi="宋体" w:eastAsia="宋体" w:cs="宋体"/>
          <w:sz w:val="24"/>
          <w:highlight w:val="none"/>
        </w:rPr>
      </w:pPr>
      <w:r>
        <w:rPr>
          <w:rFonts w:hint="eastAsia" w:ascii="宋体" w:hAnsi="宋体" w:eastAsia="宋体" w:cs="宋体"/>
          <w:sz w:val="24"/>
          <w:highlight w:val="none"/>
        </w:rPr>
        <w:t>延迟履行期间发生的不可抗力</w:t>
      </w:r>
    </w:p>
    <w:p w14:paraId="45501235">
      <w:pPr>
        <w:pStyle w:val="10"/>
        <w:spacing w:before="84"/>
        <w:ind w:left="864"/>
        <w:rPr>
          <w:rFonts w:hint="eastAsia" w:ascii="宋体" w:hAnsi="宋体" w:eastAsia="宋体" w:cs="宋体"/>
          <w:highlight w:val="none"/>
        </w:rPr>
      </w:pPr>
      <w:r>
        <w:rPr>
          <w:rFonts w:hint="eastAsia" w:ascii="宋体" w:hAnsi="宋体" w:eastAsia="宋体" w:cs="宋体"/>
          <w:highlight w:val="none"/>
        </w:rPr>
        <w:t>合同一方当事人延迟履行，在延迟履行期间发生不可抗力的，不免除其责任。</w:t>
      </w:r>
    </w:p>
    <w:p w14:paraId="081D3521">
      <w:pPr>
        <w:pStyle w:val="29"/>
        <w:numPr>
          <w:ilvl w:val="4"/>
          <w:numId w:val="7"/>
        </w:numPr>
        <w:tabs>
          <w:tab w:val="left" w:pos="1523"/>
          <w:tab w:val="left" w:pos="1524"/>
        </w:tabs>
        <w:spacing w:before="84"/>
        <w:ind w:left="1524" w:hanging="660"/>
        <w:rPr>
          <w:rFonts w:hint="eastAsia" w:ascii="宋体" w:hAnsi="宋体" w:eastAsia="宋体" w:cs="宋体"/>
          <w:sz w:val="24"/>
          <w:highlight w:val="none"/>
        </w:rPr>
      </w:pPr>
      <w:r>
        <w:rPr>
          <w:rFonts w:hint="eastAsia" w:ascii="宋体" w:hAnsi="宋体" w:eastAsia="宋体" w:cs="宋体"/>
          <w:sz w:val="24"/>
          <w:highlight w:val="none"/>
        </w:rPr>
        <w:t>避免和减少不可抗力损失</w:t>
      </w:r>
    </w:p>
    <w:p w14:paraId="598BE5D3">
      <w:pPr>
        <w:pStyle w:val="10"/>
        <w:spacing w:before="86" w:line="304" w:lineRule="auto"/>
        <w:ind w:left="384" w:right="465" w:firstLine="480"/>
        <w:rPr>
          <w:rFonts w:hint="eastAsia" w:ascii="宋体" w:hAnsi="宋体" w:eastAsia="宋体" w:cs="宋体"/>
          <w:highlight w:val="none"/>
        </w:rPr>
      </w:pPr>
      <w:r>
        <w:rPr>
          <w:rFonts w:hint="eastAsia" w:ascii="宋体" w:hAnsi="宋体" w:eastAsia="宋体" w:cs="宋体"/>
          <w:highlight w:val="none"/>
        </w:rPr>
        <w:t>不可抗力发生后，发包人和承包人均应采取措施尽量避免和减少损失的扩大， 任何一方没有采取有效措施导致损失扩大的，应对扩大的损失承担责任。</w:t>
      </w:r>
    </w:p>
    <w:p w14:paraId="66EB1F82">
      <w:pPr>
        <w:pStyle w:val="29"/>
        <w:numPr>
          <w:ilvl w:val="4"/>
          <w:numId w:val="7"/>
        </w:numPr>
        <w:tabs>
          <w:tab w:val="left" w:pos="1523"/>
          <w:tab w:val="left" w:pos="1524"/>
        </w:tabs>
        <w:spacing w:before="1"/>
        <w:ind w:left="1524" w:hanging="660"/>
        <w:rPr>
          <w:rFonts w:hint="eastAsia" w:ascii="宋体" w:hAnsi="宋体" w:eastAsia="宋体" w:cs="宋体"/>
          <w:sz w:val="24"/>
          <w:highlight w:val="none"/>
        </w:rPr>
      </w:pPr>
      <w:r>
        <w:rPr>
          <w:rFonts w:hint="eastAsia" w:ascii="宋体" w:hAnsi="宋体" w:eastAsia="宋体" w:cs="宋体"/>
          <w:sz w:val="24"/>
          <w:highlight w:val="none"/>
        </w:rPr>
        <w:t>因不可抗力解除合同</w:t>
      </w:r>
    </w:p>
    <w:p w14:paraId="0828309F">
      <w:pPr>
        <w:pStyle w:val="10"/>
        <w:spacing w:before="86" w:line="304" w:lineRule="auto"/>
        <w:ind w:left="384" w:right="465" w:firstLine="480"/>
        <w:jc w:val="both"/>
        <w:rPr>
          <w:rFonts w:hint="eastAsia" w:ascii="宋体" w:hAnsi="宋体" w:eastAsia="宋体" w:cs="宋体"/>
          <w:highlight w:val="none"/>
        </w:rPr>
      </w:pPr>
      <w:r>
        <w:rPr>
          <w:rFonts w:hint="eastAsia" w:ascii="宋体" w:hAnsi="宋体" w:eastAsia="宋体" w:cs="宋体"/>
          <w:spacing w:val="-1"/>
          <w:highlight w:val="none"/>
        </w:rPr>
        <w:t xml:space="preserve">合同一方当事人因不可抗力不能履行合同的，应当及时通知对方解除合同。合同解除后，承包人应按照约定撤离施工场地。已经订货的材料、设备由订货方负责退货或解除订货合同，不能退还的货款和因退货、解除订货合同发生的费用，由发包人承担，因未及时退货造成的损失由责任方承担。合同解除后的付款参照约定， </w:t>
      </w:r>
      <w:r>
        <w:rPr>
          <w:rFonts w:hint="eastAsia" w:ascii="宋体" w:hAnsi="宋体" w:eastAsia="宋体" w:cs="宋体"/>
          <w:highlight w:val="none"/>
        </w:rPr>
        <w:t>由监理人按商定确定。</w:t>
      </w:r>
    </w:p>
    <w:p w14:paraId="7783DF51">
      <w:pPr>
        <w:pStyle w:val="29"/>
        <w:numPr>
          <w:ilvl w:val="3"/>
          <w:numId w:val="7"/>
        </w:numPr>
        <w:tabs>
          <w:tab w:val="left" w:pos="1125"/>
        </w:tabs>
        <w:spacing w:before="179"/>
        <w:ind w:left="1124" w:hanging="302"/>
        <w:jc w:val="left"/>
        <w:rPr>
          <w:rFonts w:hint="eastAsia" w:ascii="宋体" w:hAnsi="宋体" w:eastAsia="宋体" w:cs="宋体"/>
          <w:sz w:val="24"/>
          <w:highlight w:val="none"/>
        </w:rPr>
      </w:pPr>
      <w:r>
        <w:rPr>
          <w:rFonts w:hint="eastAsia" w:ascii="宋体" w:hAnsi="宋体" w:eastAsia="宋体" w:cs="宋体"/>
          <w:sz w:val="24"/>
          <w:highlight w:val="none"/>
        </w:rPr>
        <w:t>文物</w:t>
      </w:r>
    </w:p>
    <w:p w14:paraId="146271DC">
      <w:pPr>
        <w:pStyle w:val="10"/>
        <w:spacing w:before="7"/>
        <w:rPr>
          <w:rFonts w:hint="eastAsia" w:ascii="宋体" w:hAnsi="宋体" w:eastAsia="宋体" w:cs="宋体"/>
          <w:sz w:val="20"/>
          <w:highlight w:val="none"/>
        </w:rPr>
      </w:pPr>
    </w:p>
    <w:p w14:paraId="3081894B">
      <w:pPr>
        <w:pStyle w:val="10"/>
        <w:spacing w:line="304" w:lineRule="auto"/>
        <w:ind w:left="384" w:right="346" w:firstLine="480"/>
        <w:rPr>
          <w:rFonts w:hint="eastAsia" w:ascii="宋体" w:hAnsi="宋体" w:eastAsia="宋体" w:cs="宋体"/>
          <w:highlight w:val="none"/>
        </w:rPr>
      </w:pPr>
      <w:r>
        <w:rPr>
          <w:rFonts w:hint="eastAsia" w:ascii="宋体" w:hAnsi="宋体" w:eastAsia="宋体" w:cs="宋体"/>
          <w:spacing w:val="-7"/>
          <w:highlight w:val="none"/>
        </w:rPr>
        <w:t>在施工场地发掘出的所有文物、古迹以及具有地质研究或考古价值的其他遗迹、</w:t>
      </w:r>
      <w:r>
        <w:rPr>
          <w:rFonts w:hint="eastAsia" w:ascii="宋体" w:hAnsi="宋体" w:eastAsia="宋体" w:cs="宋体"/>
          <w:highlight w:val="none"/>
        </w:rPr>
        <w:t>化石、钱币或物品属于国家财产。承包人一旦发现上述文物时，应采取一切必要的措施保护现场，防止任何人员移动或损坏任何该类物品，并立即将此发现通知监理人，并执行监理人关于此事的指令。如果由于这样的指令使承包人工期受到拖延和</w:t>
      </w:r>
    </w:p>
    <w:p w14:paraId="13B66354">
      <w:pPr>
        <w:pStyle w:val="10"/>
        <w:spacing w:before="5" w:line="307" w:lineRule="auto"/>
        <w:ind w:left="384" w:right="465"/>
        <w:jc w:val="both"/>
        <w:rPr>
          <w:rFonts w:hint="eastAsia" w:ascii="宋体" w:hAnsi="宋体" w:eastAsia="宋体" w:cs="宋体"/>
          <w:highlight w:val="none"/>
        </w:rPr>
      </w:pPr>
      <w:r>
        <w:rPr>
          <w:rFonts w:hint="eastAsia" w:ascii="宋体" w:hAnsi="宋体" w:eastAsia="宋体" w:cs="宋体"/>
          <w:highlight w:val="none"/>
        </w:rPr>
        <w:t>（或）增加了费用，则监理人在与承包人和发包人协商后应确定延长工期和（或） 增加费用，通知承包人并抄送发包人。承包人发现文物不及时报告或隐瞒不报致使文物丢失或损坏的，应赔偿损失并承担相应的法律责任。</w:t>
      </w:r>
    </w:p>
    <w:p w14:paraId="21416D9B">
      <w:pPr>
        <w:spacing w:line="307" w:lineRule="auto"/>
        <w:jc w:val="both"/>
        <w:rPr>
          <w:rFonts w:hint="eastAsia" w:ascii="宋体" w:hAnsi="宋体" w:eastAsia="宋体" w:cs="宋体"/>
          <w:highlight w:val="none"/>
        </w:rPr>
        <w:sectPr>
          <w:headerReference r:id="rId6" w:type="default"/>
          <w:footerReference r:id="rId7" w:type="default"/>
          <w:pgSz w:w="11910" w:h="16840"/>
          <w:pgMar w:top="1360" w:right="1120" w:bottom="1080" w:left="1260" w:header="882" w:footer="880" w:gutter="0"/>
          <w:cols w:space="720" w:num="1"/>
        </w:sectPr>
      </w:pPr>
    </w:p>
    <w:p w14:paraId="3CB9A071">
      <w:pPr>
        <w:pStyle w:val="10"/>
        <w:spacing w:before="8"/>
        <w:rPr>
          <w:rFonts w:hint="eastAsia" w:ascii="宋体" w:hAnsi="宋体" w:eastAsia="宋体" w:cs="宋体"/>
          <w:sz w:val="16"/>
          <w:highlight w:val="none"/>
        </w:rPr>
      </w:pPr>
    </w:p>
    <w:p w14:paraId="6508A89A">
      <w:pPr>
        <w:pStyle w:val="29"/>
        <w:numPr>
          <w:ilvl w:val="3"/>
          <w:numId w:val="7"/>
        </w:numPr>
        <w:tabs>
          <w:tab w:val="left" w:pos="1125"/>
        </w:tabs>
        <w:spacing w:before="77"/>
        <w:ind w:left="1124" w:hanging="302"/>
        <w:jc w:val="left"/>
        <w:rPr>
          <w:rFonts w:hint="eastAsia" w:ascii="宋体" w:hAnsi="宋体" w:eastAsia="宋体" w:cs="宋体"/>
          <w:sz w:val="24"/>
          <w:highlight w:val="none"/>
        </w:rPr>
      </w:pPr>
      <w:r>
        <w:rPr>
          <w:rFonts w:hint="eastAsia" w:ascii="宋体" w:hAnsi="宋体" w:eastAsia="宋体" w:cs="宋体"/>
          <w:sz w:val="24"/>
          <w:highlight w:val="none"/>
        </w:rPr>
        <w:t>违约赔偿</w:t>
      </w:r>
    </w:p>
    <w:p w14:paraId="3830CB91">
      <w:pPr>
        <w:pStyle w:val="10"/>
        <w:spacing w:before="4"/>
        <w:rPr>
          <w:rFonts w:hint="eastAsia" w:ascii="宋体" w:hAnsi="宋体" w:eastAsia="宋体" w:cs="宋体"/>
          <w:sz w:val="20"/>
          <w:highlight w:val="none"/>
        </w:rPr>
      </w:pPr>
    </w:p>
    <w:p w14:paraId="64559A96">
      <w:pPr>
        <w:pStyle w:val="29"/>
        <w:numPr>
          <w:ilvl w:val="4"/>
          <w:numId w:val="7"/>
        </w:numPr>
        <w:tabs>
          <w:tab w:val="left" w:pos="1524"/>
        </w:tabs>
        <w:spacing w:before="1" w:line="307" w:lineRule="auto"/>
        <w:ind w:left="384" w:right="346" w:firstLine="480"/>
        <w:jc w:val="both"/>
        <w:rPr>
          <w:rFonts w:hint="eastAsia" w:ascii="宋体" w:hAnsi="宋体" w:eastAsia="宋体" w:cs="宋体"/>
          <w:sz w:val="24"/>
          <w:highlight w:val="none"/>
        </w:rPr>
      </w:pPr>
      <w:r>
        <w:rPr>
          <w:rFonts w:hint="eastAsia" w:ascii="宋体" w:hAnsi="宋体" w:eastAsia="宋体" w:cs="宋体"/>
          <w:spacing w:val="-5"/>
          <w:sz w:val="24"/>
          <w:highlight w:val="none"/>
        </w:rPr>
        <w:t xml:space="preserve">施工过程中发包人或监理人、质监机构抽检连续 </w:t>
      </w:r>
      <w:r>
        <w:rPr>
          <w:rFonts w:hint="eastAsia" w:ascii="宋体" w:hAnsi="宋体" w:eastAsia="宋体" w:cs="宋体"/>
          <w:sz w:val="24"/>
          <w:highlight w:val="none"/>
        </w:rPr>
        <w:t xml:space="preserve">2 </w:t>
      </w:r>
      <w:r>
        <w:rPr>
          <w:rFonts w:hint="eastAsia" w:ascii="宋体" w:hAnsi="宋体" w:eastAsia="宋体" w:cs="宋体"/>
          <w:spacing w:val="-2"/>
          <w:sz w:val="24"/>
          <w:highlight w:val="none"/>
        </w:rPr>
        <w:t xml:space="preserve">个分项工程不合格者， </w:t>
      </w:r>
      <w:r>
        <w:rPr>
          <w:rFonts w:hint="eastAsia" w:ascii="宋体" w:hAnsi="宋体" w:eastAsia="宋体" w:cs="宋体"/>
          <w:spacing w:val="-7"/>
          <w:sz w:val="24"/>
          <w:highlight w:val="none"/>
        </w:rPr>
        <w:t xml:space="preserve">按合同条款的有关要求，承包人对不合格分项工程补做或返工，使其达到合格标准， </w:t>
      </w:r>
      <w:r>
        <w:rPr>
          <w:rFonts w:hint="eastAsia" w:ascii="宋体" w:hAnsi="宋体" w:eastAsia="宋体" w:cs="宋体"/>
          <w:spacing w:val="-6"/>
          <w:sz w:val="24"/>
          <w:highlight w:val="none"/>
        </w:rPr>
        <w:t xml:space="preserve">并赔偿每个分项工程 </w:t>
      </w:r>
      <w:r>
        <w:rPr>
          <w:rFonts w:hint="eastAsia" w:ascii="宋体" w:hAnsi="宋体" w:eastAsia="宋体" w:cs="宋体"/>
          <w:sz w:val="24"/>
          <w:highlight w:val="none"/>
        </w:rPr>
        <w:t>10000 元的违约金。</w:t>
      </w:r>
    </w:p>
    <w:p w14:paraId="11698B96">
      <w:pPr>
        <w:pStyle w:val="29"/>
        <w:numPr>
          <w:ilvl w:val="4"/>
          <w:numId w:val="7"/>
        </w:numPr>
        <w:tabs>
          <w:tab w:val="left" w:pos="1523"/>
          <w:tab w:val="left" w:pos="1524"/>
        </w:tabs>
        <w:spacing w:line="307" w:lineRule="auto"/>
        <w:ind w:left="384" w:right="346" w:firstLine="480"/>
        <w:rPr>
          <w:rFonts w:hint="eastAsia" w:ascii="宋体" w:hAnsi="宋体" w:eastAsia="宋体" w:cs="宋体"/>
          <w:sz w:val="24"/>
          <w:highlight w:val="none"/>
        </w:rPr>
      </w:pPr>
      <w:r>
        <w:rPr>
          <w:rFonts w:hint="eastAsia" w:ascii="宋体" w:hAnsi="宋体" w:eastAsia="宋体" w:cs="宋体"/>
          <w:spacing w:val="-3"/>
          <w:sz w:val="24"/>
          <w:highlight w:val="none"/>
        </w:rPr>
        <w:t>承包人未按规定工期完成本合同工程，拖期损失赔偿见合同条款数据表。</w:t>
      </w:r>
      <w:r>
        <w:rPr>
          <w:rFonts w:hint="eastAsia" w:ascii="宋体" w:hAnsi="宋体" w:eastAsia="宋体" w:cs="宋体"/>
          <w:sz w:val="24"/>
          <w:highlight w:val="none"/>
        </w:rPr>
        <w:t>工程进度严重滞后，承包人即使采取措施也不能保证工程按期完工，发包人有权指定分包并没收履约保证金。</w:t>
      </w:r>
    </w:p>
    <w:p w14:paraId="3D91B87F">
      <w:pPr>
        <w:pStyle w:val="29"/>
        <w:numPr>
          <w:ilvl w:val="4"/>
          <w:numId w:val="7"/>
        </w:numPr>
        <w:tabs>
          <w:tab w:val="left" w:pos="1524"/>
        </w:tabs>
        <w:spacing w:line="307" w:lineRule="auto"/>
        <w:ind w:left="384" w:right="466" w:firstLine="480"/>
        <w:jc w:val="both"/>
        <w:rPr>
          <w:rFonts w:hint="eastAsia" w:ascii="宋体" w:hAnsi="宋体" w:eastAsia="宋体" w:cs="宋体"/>
          <w:sz w:val="24"/>
          <w:highlight w:val="none"/>
        </w:rPr>
      </w:pPr>
      <w:r>
        <w:rPr>
          <w:rFonts w:hint="eastAsia" w:ascii="宋体" w:hAnsi="宋体" w:eastAsia="宋体" w:cs="宋体"/>
          <w:spacing w:val="-9"/>
          <w:sz w:val="24"/>
          <w:highlight w:val="none"/>
        </w:rPr>
        <w:t xml:space="preserve">承包人主要管理人员、机械设备未按投标文件约定时间进场，人员按 </w:t>
      </w:r>
      <w:r>
        <w:rPr>
          <w:rFonts w:hint="eastAsia" w:ascii="宋体" w:hAnsi="宋体" w:eastAsia="宋体" w:cs="宋体"/>
          <w:spacing w:val="-6"/>
          <w:sz w:val="24"/>
          <w:highlight w:val="none"/>
        </w:rPr>
        <w:t xml:space="preserve">200 </w:t>
      </w:r>
      <w:r>
        <w:rPr>
          <w:rFonts w:hint="eastAsia" w:ascii="宋体" w:hAnsi="宋体" w:eastAsia="宋体" w:cs="宋体"/>
          <w:sz w:val="24"/>
          <w:highlight w:val="none"/>
        </w:rPr>
        <w:t>元/人·</w:t>
      </w:r>
      <w:r>
        <w:rPr>
          <w:rFonts w:hint="eastAsia" w:ascii="宋体" w:hAnsi="宋体" w:eastAsia="宋体" w:cs="宋体"/>
          <w:spacing w:val="-12"/>
          <w:sz w:val="24"/>
          <w:highlight w:val="none"/>
        </w:rPr>
        <w:t>天，机械设备每天按《公路工程机械台班费用定额》台班基价两倍支付违约赔</w:t>
      </w:r>
      <w:r>
        <w:rPr>
          <w:rFonts w:hint="eastAsia" w:ascii="宋体" w:hAnsi="宋体" w:eastAsia="宋体" w:cs="宋体"/>
          <w:sz w:val="24"/>
          <w:highlight w:val="none"/>
        </w:rPr>
        <w:t>偿。</w:t>
      </w:r>
    </w:p>
    <w:p w14:paraId="46BC7B3F">
      <w:pPr>
        <w:pStyle w:val="29"/>
        <w:numPr>
          <w:ilvl w:val="4"/>
          <w:numId w:val="7"/>
        </w:numPr>
        <w:tabs>
          <w:tab w:val="left" w:pos="1529"/>
        </w:tabs>
        <w:spacing w:line="307" w:lineRule="auto"/>
        <w:ind w:left="384" w:right="467" w:firstLine="480"/>
        <w:jc w:val="both"/>
        <w:rPr>
          <w:rFonts w:hint="eastAsia" w:ascii="宋体" w:hAnsi="宋体" w:eastAsia="宋体" w:cs="宋体"/>
          <w:sz w:val="24"/>
          <w:highlight w:val="none"/>
        </w:rPr>
      </w:pPr>
      <w:r>
        <w:rPr>
          <w:rFonts w:hint="eastAsia" w:ascii="宋体" w:hAnsi="宋体" w:eastAsia="宋体" w:cs="宋体"/>
          <w:sz w:val="24"/>
          <w:highlight w:val="none"/>
        </w:rPr>
        <w:t>发生克扣、拖欠劳务工资、设备材料款，造成恶劣影响的，承包人在限期内不予支付时，发包人将从其履约保证金中支付。</w:t>
      </w:r>
    </w:p>
    <w:p w14:paraId="617B3906">
      <w:pPr>
        <w:pStyle w:val="29"/>
        <w:numPr>
          <w:ilvl w:val="4"/>
          <w:numId w:val="7"/>
        </w:numPr>
        <w:tabs>
          <w:tab w:val="left" w:pos="1529"/>
        </w:tabs>
        <w:spacing w:line="304" w:lineRule="auto"/>
        <w:ind w:left="384" w:right="467" w:firstLine="480"/>
        <w:jc w:val="both"/>
        <w:rPr>
          <w:rFonts w:hint="eastAsia" w:ascii="宋体" w:hAnsi="宋体" w:eastAsia="宋体" w:cs="宋体"/>
          <w:sz w:val="24"/>
          <w:highlight w:val="none"/>
        </w:rPr>
      </w:pPr>
      <w:r>
        <w:rPr>
          <w:rFonts w:hint="eastAsia" w:ascii="宋体" w:hAnsi="宋体" w:eastAsia="宋体" w:cs="宋体"/>
          <w:sz w:val="24"/>
          <w:highlight w:val="none"/>
        </w:rPr>
        <w:t>便道未按合同管养，影响社会车辆通行，造成恶劣影响的，承包人在限期内不予整改的，发包人可另行实施，其发生的费用从承包人工程款中扣回。</w:t>
      </w:r>
    </w:p>
    <w:p w14:paraId="69792B0D">
      <w:pPr>
        <w:pStyle w:val="29"/>
        <w:numPr>
          <w:ilvl w:val="4"/>
          <w:numId w:val="7"/>
        </w:numPr>
        <w:tabs>
          <w:tab w:val="left" w:pos="1529"/>
        </w:tabs>
        <w:spacing w:line="304" w:lineRule="auto"/>
        <w:ind w:left="384" w:right="467" w:firstLine="480"/>
        <w:jc w:val="both"/>
        <w:rPr>
          <w:rFonts w:hint="eastAsia" w:ascii="宋体" w:hAnsi="宋体" w:eastAsia="宋体" w:cs="宋体"/>
          <w:sz w:val="24"/>
          <w:highlight w:val="none"/>
        </w:rPr>
      </w:pPr>
      <w:r>
        <w:rPr>
          <w:rFonts w:hint="eastAsia" w:ascii="宋体" w:hAnsi="宋体" w:eastAsia="宋体" w:cs="宋体"/>
          <w:sz w:val="24"/>
          <w:highlight w:val="none"/>
        </w:rPr>
        <w:t>承包人违约转让或变相转让合同，发包人将没收履约保证金，并将其清除出场。</w:t>
      </w:r>
    </w:p>
    <w:p w14:paraId="08A4E48F">
      <w:pPr>
        <w:pStyle w:val="29"/>
        <w:numPr>
          <w:ilvl w:val="4"/>
          <w:numId w:val="7"/>
        </w:numPr>
        <w:tabs>
          <w:tab w:val="left" w:pos="1528"/>
          <w:tab w:val="left" w:pos="1529"/>
        </w:tabs>
        <w:spacing w:line="304" w:lineRule="auto"/>
        <w:ind w:left="384" w:right="346" w:firstLine="480"/>
        <w:rPr>
          <w:rFonts w:hint="eastAsia" w:ascii="宋体" w:hAnsi="宋体" w:eastAsia="宋体" w:cs="宋体"/>
          <w:sz w:val="24"/>
          <w:highlight w:val="none"/>
        </w:rPr>
      </w:pPr>
      <w:r>
        <w:rPr>
          <w:rFonts w:hint="eastAsia" w:ascii="宋体" w:hAnsi="宋体" w:eastAsia="宋体" w:cs="宋体"/>
          <w:sz w:val="24"/>
          <w:highlight w:val="none"/>
        </w:rPr>
        <w:t>在工程施工过程中，如监理人或发包人认为承包人主要管理人员及技术人员不能胜任工作，提出更换人员要求，承包人必须执行，且更换人员资格不低于所换人员资格，无论是否征得发包人同意，均按下述规定扣除其违约金：项目经理</w:t>
      </w:r>
      <w:r>
        <w:rPr>
          <w:rFonts w:hint="eastAsia" w:ascii="宋体" w:hAnsi="宋体" w:eastAsia="宋体" w:cs="宋体"/>
          <w:spacing w:val="-10"/>
          <w:sz w:val="24"/>
          <w:highlight w:val="none"/>
        </w:rPr>
        <w:t xml:space="preserve">每人次扣除 </w:t>
      </w:r>
      <w:r>
        <w:rPr>
          <w:rFonts w:hint="eastAsia" w:ascii="宋体" w:hAnsi="宋体" w:eastAsia="宋体" w:cs="宋体"/>
          <w:sz w:val="24"/>
          <w:highlight w:val="none"/>
        </w:rPr>
        <w:t>6</w:t>
      </w:r>
      <w:r>
        <w:rPr>
          <w:rFonts w:hint="eastAsia" w:ascii="宋体" w:hAnsi="宋体" w:eastAsia="宋体" w:cs="宋体"/>
          <w:spacing w:val="5"/>
          <w:sz w:val="24"/>
          <w:highlight w:val="none"/>
        </w:rPr>
        <w:t xml:space="preserve"> </w:t>
      </w:r>
      <w:r>
        <w:rPr>
          <w:rFonts w:hint="eastAsia" w:ascii="宋体" w:hAnsi="宋体" w:eastAsia="宋体" w:cs="宋体"/>
          <w:spacing w:val="-5"/>
          <w:sz w:val="24"/>
          <w:highlight w:val="none"/>
        </w:rPr>
        <w:t xml:space="preserve">万元，项目总工每人次扣除 </w:t>
      </w:r>
      <w:r>
        <w:rPr>
          <w:rFonts w:hint="eastAsia" w:ascii="宋体" w:hAnsi="宋体" w:eastAsia="宋体" w:cs="宋体"/>
          <w:sz w:val="24"/>
          <w:highlight w:val="none"/>
        </w:rPr>
        <w:t>5</w:t>
      </w:r>
      <w:r>
        <w:rPr>
          <w:rFonts w:hint="eastAsia" w:ascii="宋体" w:hAnsi="宋体" w:eastAsia="宋体" w:cs="宋体"/>
          <w:spacing w:val="7"/>
          <w:sz w:val="24"/>
          <w:highlight w:val="none"/>
        </w:rPr>
        <w:t xml:space="preserve"> </w:t>
      </w:r>
      <w:r>
        <w:rPr>
          <w:rFonts w:hint="eastAsia" w:ascii="宋体" w:hAnsi="宋体" w:eastAsia="宋体" w:cs="宋体"/>
          <w:sz w:val="24"/>
          <w:highlight w:val="none"/>
        </w:rPr>
        <w:t>万元，路基工程师、路面工程师、结构</w:t>
      </w:r>
      <w:r>
        <w:rPr>
          <w:rFonts w:hint="eastAsia" w:ascii="宋体" w:hAnsi="宋体" w:eastAsia="宋体" w:cs="宋体"/>
          <w:spacing w:val="-11"/>
          <w:sz w:val="24"/>
          <w:highlight w:val="none"/>
        </w:rPr>
        <w:t xml:space="preserve">工程师、计量计划负责人、试验检测工程师每人次扣除 </w:t>
      </w:r>
      <w:r>
        <w:rPr>
          <w:rFonts w:hint="eastAsia" w:ascii="宋体" w:hAnsi="宋体" w:eastAsia="宋体" w:cs="宋体"/>
          <w:sz w:val="24"/>
          <w:highlight w:val="none"/>
        </w:rPr>
        <w:t xml:space="preserve">3 </w:t>
      </w:r>
      <w:r>
        <w:rPr>
          <w:rFonts w:hint="eastAsia" w:ascii="宋体" w:hAnsi="宋体" w:eastAsia="宋体" w:cs="宋体"/>
          <w:spacing w:val="-7"/>
          <w:sz w:val="24"/>
          <w:highlight w:val="none"/>
        </w:rPr>
        <w:t xml:space="preserve">万元。即使交纳了违约金， </w:t>
      </w:r>
      <w:r>
        <w:rPr>
          <w:rFonts w:hint="eastAsia" w:ascii="宋体" w:hAnsi="宋体" w:eastAsia="宋体" w:cs="宋体"/>
          <w:spacing w:val="-3"/>
          <w:sz w:val="24"/>
          <w:highlight w:val="none"/>
        </w:rPr>
        <w:t xml:space="preserve">承包人仍有义务按合同规定纠正其违约行为；更换率达到 </w:t>
      </w:r>
      <w:r>
        <w:rPr>
          <w:rFonts w:hint="eastAsia" w:ascii="宋体" w:hAnsi="宋体" w:eastAsia="宋体" w:cs="宋体"/>
          <w:sz w:val="24"/>
          <w:highlight w:val="none"/>
        </w:rPr>
        <w:t>50%的按照《新疆维吾尔自治区农村公路建设从业单位信用评价实施细则》的规定评价。</w:t>
      </w:r>
    </w:p>
    <w:p w14:paraId="51EEAE12">
      <w:pPr>
        <w:pStyle w:val="29"/>
        <w:numPr>
          <w:ilvl w:val="3"/>
          <w:numId w:val="7"/>
        </w:numPr>
        <w:tabs>
          <w:tab w:val="left" w:pos="1125"/>
        </w:tabs>
        <w:spacing w:before="170"/>
        <w:ind w:left="1124" w:hanging="302"/>
        <w:jc w:val="left"/>
        <w:rPr>
          <w:rFonts w:hint="eastAsia" w:ascii="宋体" w:hAnsi="宋体" w:eastAsia="宋体" w:cs="宋体"/>
          <w:sz w:val="24"/>
          <w:highlight w:val="none"/>
        </w:rPr>
      </w:pPr>
      <w:r>
        <w:rPr>
          <w:rFonts w:hint="eastAsia" w:ascii="宋体" w:hAnsi="宋体" w:eastAsia="宋体" w:cs="宋体"/>
          <w:sz w:val="24"/>
          <w:highlight w:val="none"/>
        </w:rPr>
        <w:t>承包人需遵循的其他规定和要求</w:t>
      </w:r>
    </w:p>
    <w:p w14:paraId="0CC38436">
      <w:pPr>
        <w:pStyle w:val="10"/>
        <w:spacing w:before="8"/>
        <w:rPr>
          <w:rFonts w:hint="eastAsia" w:ascii="宋体" w:hAnsi="宋体" w:eastAsia="宋体" w:cs="宋体"/>
          <w:sz w:val="20"/>
          <w:highlight w:val="none"/>
        </w:rPr>
      </w:pPr>
    </w:p>
    <w:p w14:paraId="2ECC9680">
      <w:pPr>
        <w:pStyle w:val="29"/>
        <w:numPr>
          <w:ilvl w:val="4"/>
          <w:numId w:val="7"/>
        </w:numPr>
        <w:tabs>
          <w:tab w:val="left" w:pos="1523"/>
          <w:tab w:val="left" w:pos="1524"/>
        </w:tabs>
        <w:ind w:left="1524" w:hanging="660"/>
        <w:rPr>
          <w:rFonts w:hint="eastAsia" w:ascii="宋体" w:hAnsi="宋体" w:eastAsia="宋体" w:cs="宋体"/>
          <w:sz w:val="24"/>
          <w:highlight w:val="none"/>
        </w:rPr>
      </w:pPr>
      <w:r>
        <w:rPr>
          <w:rFonts w:hint="eastAsia" w:ascii="宋体" w:hAnsi="宋体" w:eastAsia="宋体" w:cs="宋体"/>
          <w:sz w:val="24"/>
          <w:highlight w:val="none"/>
        </w:rPr>
        <w:t>新疆公路工程现行通知、办法详见附件。</w:t>
      </w:r>
    </w:p>
    <w:p w14:paraId="2066C205">
      <w:pPr>
        <w:pStyle w:val="29"/>
        <w:numPr>
          <w:ilvl w:val="4"/>
          <w:numId w:val="7"/>
        </w:numPr>
        <w:tabs>
          <w:tab w:val="left" w:pos="1523"/>
          <w:tab w:val="left" w:pos="1524"/>
        </w:tabs>
        <w:spacing w:before="83"/>
        <w:ind w:left="1524" w:hanging="660"/>
        <w:rPr>
          <w:rFonts w:hint="eastAsia" w:ascii="宋体" w:hAnsi="宋体" w:eastAsia="宋体" w:cs="宋体"/>
          <w:sz w:val="24"/>
          <w:highlight w:val="none"/>
        </w:rPr>
      </w:pPr>
      <w:r>
        <w:rPr>
          <w:rFonts w:hint="eastAsia" w:ascii="宋体" w:hAnsi="宋体" w:eastAsia="宋体" w:cs="宋体"/>
          <w:sz w:val="24"/>
          <w:highlight w:val="none"/>
        </w:rPr>
        <w:t>临时排水设施</w:t>
      </w:r>
    </w:p>
    <w:p w14:paraId="5446957F">
      <w:pPr>
        <w:pStyle w:val="10"/>
        <w:spacing w:before="84" w:line="307" w:lineRule="auto"/>
        <w:ind w:left="384" w:right="465" w:firstLine="480"/>
        <w:rPr>
          <w:rFonts w:hint="eastAsia" w:ascii="宋体" w:hAnsi="宋体" w:eastAsia="宋体" w:cs="宋体"/>
          <w:highlight w:val="none"/>
        </w:rPr>
      </w:pPr>
      <w:r>
        <w:rPr>
          <w:rFonts w:hint="eastAsia" w:ascii="宋体" w:hAnsi="宋体" w:eastAsia="宋体" w:cs="宋体"/>
          <w:highlight w:val="none"/>
        </w:rPr>
        <w:t>承包人在施工中，道路的临时排水设施要与路基的施工同步，所需费用报价中要充分考虑。如因承包人排水设施不当，造成的工程损失由承包人承担。</w:t>
      </w:r>
    </w:p>
    <w:p w14:paraId="1C46B1EE">
      <w:pPr>
        <w:pStyle w:val="29"/>
        <w:numPr>
          <w:ilvl w:val="4"/>
          <w:numId w:val="7"/>
        </w:numPr>
        <w:tabs>
          <w:tab w:val="left" w:pos="1523"/>
          <w:tab w:val="left" w:pos="1524"/>
        </w:tabs>
        <w:spacing w:line="305" w:lineRule="exact"/>
        <w:ind w:left="1524" w:hanging="660"/>
        <w:rPr>
          <w:rFonts w:hint="eastAsia" w:ascii="宋体" w:hAnsi="宋体" w:eastAsia="宋体" w:cs="宋体"/>
          <w:sz w:val="24"/>
          <w:highlight w:val="none"/>
        </w:rPr>
      </w:pPr>
      <w:r>
        <w:rPr>
          <w:rFonts w:hint="eastAsia" w:ascii="宋体" w:hAnsi="宋体" w:eastAsia="宋体" w:cs="宋体"/>
          <w:sz w:val="24"/>
          <w:highlight w:val="none"/>
        </w:rPr>
        <w:t>突发公共卫生事件</w:t>
      </w:r>
    </w:p>
    <w:p w14:paraId="3FE61BA5">
      <w:pPr>
        <w:pStyle w:val="10"/>
        <w:spacing w:before="84" w:line="307" w:lineRule="auto"/>
        <w:ind w:left="384" w:right="465" w:firstLine="480"/>
        <w:jc w:val="both"/>
        <w:rPr>
          <w:rFonts w:hint="eastAsia" w:ascii="宋体" w:hAnsi="宋体" w:eastAsia="宋体" w:cs="宋体"/>
          <w:highlight w:val="none"/>
        </w:rPr>
      </w:pPr>
      <w:r>
        <w:rPr>
          <w:rFonts w:hint="eastAsia" w:ascii="宋体" w:hAnsi="宋体" w:eastAsia="宋体" w:cs="宋体"/>
          <w:highlight w:val="none"/>
        </w:rPr>
        <w:t>为了有效预防、及时控制和消除公共卫生事件的危害，保障全体施工人员（</w:t>
      </w:r>
      <w:r>
        <w:rPr>
          <w:rFonts w:hint="eastAsia" w:ascii="宋体" w:hAnsi="宋体" w:eastAsia="宋体" w:cs="宋体"/>
          <w:spacing w:val="-12"/>
          <w:highlight w:val="none"/>
        </w:rPr>
        <w:t>包</w:t>
      </w:r>
      <w:r>
        <w:rPr>
          <w:rFonts w:hint="eastAsia" w:ascii="宋体" w:hAnsi="宋体" w:eastAsia="宋体" w:cs="宋体"/>
          <w:highlight w:val="none"/>
        </w:rPr>
        <w:t>括雇用劳务人员）</w:t>
      </w:r>
      <w:r>
        <w:rPr>
          <w:rFonts w:hint="eastAsia" w:ascii="宋体" w:hAnsi="宋体" w:eastAsia="宋体" w:cs="宋体"/>
          <w:spacing w:val="-1"/>
          <w:highlight w:val="none"/>
        </w:rPr>
        <w:t>及周围群众身体健康和生命安全，维持正常社会秩序，承包人应</w:t>
      </w:r>
      <w:r>
        <w:rPr>
          <w:rFonts w:hint="eastAsia" w:ascii="宋体" w:hAnsi="宋体" w:eastAsia="宋体" w:cs="宋体"/>
          <w:spacing w:val="-6"/>
          <w:highlight w:val="none"/>
        </w:rPr>
        <w:t xml:space="preserve">全面贯彻国务院第 </w:t>
      </w:r>
      <w:r>
        <w:rPr>
          <w:rFonts w:hint="eastAsia" w:ascii="宋体" w:hAnsi="宋体" w:eastAsia="宋体" w:cs="宋体"/>
          <w:highlight w:val="none"/>
        </w:rPr>
        <w:t xml:space="preserve">376 </w:t>
      </w:r>
      <w:r>
        <w:rPr>
          <w:rFonts w:hint="eastAsia" w:ascii="宋体" w:hAnsi="宋体" w:eastAsia="宋体" w:cs="宋体"/>
          <w:spacing w:val="-1"/>
          <w:highlight w:val="none"/>
        </w:rPr>
        <w:t>号令《突发公共卫生事件应急条例》，其涉及内容均不单独</w:t>
      </w:r>
    </w:p>
    <w:p w14:paraId="246F42E7">
      <w:pPr>
        <w:spacing w:line="307" w:lineRule="auto"/>
        <w:jc w:val="both"/>
        <w:rPr>
          <w:rFonts w:hint="eastAsia" w:ascii="宋体" w:hAnsi="宋体" w:eastAsia="宋体" w:cs="宋体"/>
          <w:highlight w:val="none"/>
        </w:rPr>
        <w:sectPr>
          <w:pgSz w:w="11910" w:h="16840"/>
          <w:pgMar w:top="1360" w:right="1120" w:bottom="1080" w:left="1260" w:header="882" w:footer="880" w:gutter="0"/>
          <w:cols w:space="720" w:num="1"/>
        </w:sectPr>
      </w:pPr>
    </w:p>
    <w:p w14:paraId="2A71915A">
      <w:pPr>
        <w:pStyle w:val="10"/>
        <w:rPr>
          <w:rFonts w:hint="eastAsia" w:ascii="宋体" w:hAnsi="宋体" w:eastAsia="宋体" w:cs="宋体"/>
          <w:sz w:val="18"/>
          <w:highlight w:val="none"/>
        </w:rPr>
      </w:pPr>
    </w:p>
    <w:p w14:paraId="741ECF99">
      <w:pPr>
        <w:pStyle w:val="10"/>
        <w:spacing w:before="66" w:line="304" w:lineRule="auto"/>
        <w:ind w:left="384" w:right="465"/>
        <w:rPr>
          <w:rFonts w:hint="eastAsia" w:ascii="宋体" w:hAnsi="宋体" w:eastAsia="宋体" w:cs="宋体"/>
          <w:highlight w:val="none"/>
        </w:rPr>
      </w:pPr>
      <w:r>
        <w:rPr>
          <w:rFonts w:hint="eastAsia" w:ascii="宋体" w:hAnsi="宋体" w:eastAsia="宋体" w:cs="宋体"/>
          <w:highlight w:val="none"/>
        </w:rPr>
        <w:t>计量与支付，投标人报价时综合考虑其费用，所涉及的费用均包括在与之相关的工程细目的单价之中，发包人不单独支付。</w:t>
      </w:r>
    </w:p>
    <w:p w14:paraId="44330EFE">
      <w:pPr>
        <w:pStyle w:val="29"/>
        <w:numPr>
          <w:ilvl w:val="4"/>
          <w:numId w:val="7"/>
        </w:numPr>
        <w:tabs>
          <w:tab w:val="left" w:pos="1523"/>
          <w:tab w:val="left" w:pos="1524"/>
        </w:tabs>
        <w:spacing w:before="4"/>
        <w:ind w:left="1524" w:hanging="660"/>
        <w:rPr>
          <w:rFonts w:hint="eastAsia" w:ascii="宋体" w:hAnsi="宋体" w:eastAsia="宋体" w:cs="宋体"/>
          <w:sz w:val="24"/>
          <w:highlight w:val="none"/>
        </w:rPr>
      </w:pPr>
      <w:r>
        <w:rPr>
          <w:rFonts w:hint="eastAsia" w:ascii="宋体" w:hAnsi="宋体" w:eastAsia="宋体" w:cs="宋体"/>
          <w:sz w:val="24"/>
          <w:highlight w:val="none"/>
        </w:rPr>
        <w:t>反商业贿赂</w:t>
      </w:r>
    </w:p>
    <w:p w14:paraId="6161EB6F">
      <w:pPr>
        <w:pStyle w:val="10"/>
        <w:spacing w:before="84" w:line="304" w:lineRule="auto"/>
        <w:ind w:left="384" w:right="467" w:firstLine="480"/>
        <w:rPr>
          <w:rFonts w:hint="eastAsia" w:ascii="宋体" w:hAnsi="宋体" w:eastAsia="宋体" w:cs="宋体"/>
          <w:sz w:val="30"/>
          <w:highlight w:val="none"/>
        </w:rPr>
      </w:pPr>
      <w:r>
        <w:rPr>
          <w:rFonts w:hint="eastAsia" w:ascii="宋体" w:hAnsi="宋体" w:eastAsia="宋体" w:cs="宋体"/>
          <w:highlight w:val="none"/>
        </w:rPr>
        <w:t>严格执行国家、自治区、交通运输厅关于反商业贿赂的有关规定。承包人应严格按照廉政建设责任制度执行，并将廉政合同落到实处，制定相应的计划和措施。</w:t>
      </w:r>
    </w:p>
    <w:p w14:paraId="28B11547">
      <w:pPr>
        <w:pStyle w:val="10"/>
        <w:ind w:left="864"/>
        <w:rPr>
          <w:rFonts w:hint="eastAsia" w:ascii="宋体" w:hAnsi="宋体" w:eastAsia="宋体" w:cs="宋体"/>
          <w:highlight w:val="none"/>
        </w:rPr>
      </w:pPr>
      <w:r>
        <w:rPr>
          <w:rFonts w:hint="eastAsia" w:ascii="宋体" w:hAnsi="宋体" w:eastAsia="宋体" w:cs="宋体"/>
          <w:highlight w:val="none"/>
        </w:rPr>
        <w:t>附件：</w:t>
      </w:r>
    </w:p>
    <w:p w14:paraId="5857DD3B">
      <w:pPr>
        <w:pStyle w:val="29"/>
        <w:numPr>
          <w:ilvl w:val="0"/>
          <w:numId w:val="37"/>
        </w:numPr>
        <w:tabs>
          <w:tab w:val="left" w:pos="1145"/>
        </w:tabs>
        <w:spacing w:before="84"/>
        <w:rPr>
          <w:rFonts w:hint="eastAsia" w:ascii="宋体" w:hAnsi="宋体" w:eastAsia="宋体" w:cs="宋体"/>
          <w:sz w:val="24"/>
          <w:highlight w:val="none"/>
        </w:rPr>
      </w:pPr>
      <w:r>
        <w:rPr>
          <w:rFonts w:hint="eastAsia" w:ascii="宋体" w:hAnsi="宋体" w:eastAsia="宋体" w:cs="宋体"/>
          <w:sz w:val="24"/>
          <w:highlight w:val="none"/>
        </w:rPr>
        <w:t>《新疆维吾尔自治区农村公路建设管理办法》</w:t>
      </w:r>
    </w:p>
    <w:p w14:paraId="6A2E8F12">
      <w:pPr>
        <w:pStyle w:val="29"/>
        <w:numPr>
          <w:ilvl w:val="0"/>
          <w:numId w:val="37"/>
        </w:numPr>
        <w:tabs>
          <w:tab w:val="left" w:pos="1145"/>
        </w:tabs>
        <w:spacing w:before="86" w:line="304" w:lineRule="auto"/>
        <w:ind w:left="864" w:right="942" w:firstLine="0"/>
        <w:rPr>
          <w:rFonts w:hint="eastAsia" w:ascii="宋体" w:hAnsi="宋体" w:eastAsia="宋体" w:cs="宋体"/>
          <w:sz w:val="24"/>
          <w:highlight w:val="none"/>
        </w:rPr>
      </w:pPr>
      <w:r>
        <w:rPr>
          <w:rFonts w:hint="eastAsia" w:ascii="宋体" w:hAnsi="宋体" w:eastAsia="宋体" w:cs="宋体"/>
          <w:spacing w:val="-1"/>
          <w:sz w:val="24"/>
          <w:highlight w:val="none"/>
        </w:rPr>
        <w:t>《新疆维吾尔自治区农村公路建设工程质量监督机构和人员考核办法》</w:t>
      </w:r>
      <w:r>
        <w:rPr>
          <w:rFonts w:hint="eastAsia" w:ascii="宋体" w:hAnsi="宋体" w:eastAsia="宋体" w:cs="宋体"/>
          <w:sz w:val="24"/>
          <w:highlight w:val="none"/>
        </w:rPr>
        <w:t>(3)《新疆维吾尔自治区农村公路工程质量监督管理细则》</w:t>
      </w:r>
    </w:p>
    <w:p w14:paraId="150C8803">
      <w:pPr>
        <w:pStyle w:val="10"/>
        <w:spacing w:before="1" w:line="308" w:lineRule="auto"/>
        <w:ind w:left="862"/>
        <w:rPr>
          <w:rFonts w:hint="eastAsia" w:ascii="宋体" w:hAnsi="宋体" w:eastAsia="宋体" w:cs="宋体"/>
          <w:highlight w:val="none"/>
        </w:rPr>
      </w:pPr>
      <w:r>
        <w:rPr>
          <w:rFonts w:hint="eastAsia" w:ascii="宋体" w:hAnsi="宋体" w:eastAsia="宋体" w:cs="宋体"/>
          <w:highlight w:val="none"/>
        </w:rPr>
        <w:t>(4)《新疆维吾尔自治区农村公路工程设计变更管理办法（试行）》</w:t>
      </w:r>
    </w:p>
    <w:p w14:paraId="649DCEE1">
      <w:pPr>
        <w:pStyle w:val="10"/>
        <w:spacing w:before="1" w:line="308" w:lineRule="auto"/>
        <w:ind w:left="862"/>
        <w:rPr>
          <w:rFonts w:hint="eastAsia" w:ascii="宋体" w:hAnsi="宋体" w:eastAsia="宋体" w:cs="宋体"/>
          <w:highlight w:val="none"/>
        </w:rPr>
      </w:pPr>
      <w:r>
        <w:rPr>
          <w:rFonts w:hint="eastAsia" w:ascii="宋体" w:hAnsi="宋体" w:eastAsia="宋体" w:cs="宋体"/>
          <w:highlight w:val="none"/>
        </w:rPr>
        <w:t>(5)《新疆维吾尔自治区农村公路工程施工监理工作规定》</w:t>
      </w:r>
    </w:p>
    <w:p w14:paraId="5836EBF7">
      <w:pPr>
        <w:pStyle w:val="10"/>
        <w:spacing w:line="305" w:lineRule="auto"/>
        <w:ind w:left="862"/>
        <w:rPr>
          <w:rFonts w:hint="eastAsia" w:ascii="宋体" w:hAnsi="宋体" w:eastAsia="宋体" w:cs="宋体"/>
          <w:highlight w:val="none"/>
        </w:rPr>
      </w:pPr>
      <w:r>
        <w:rPr>
          <w:rFonts w:hint="eastAsia" w:ascii="宋体" w:hAnsi="宋体" w:eastAsia="宋体" w:cs="宋体"/>
          <w:highlight w:val="none"/>
        </w:rPr>
        <w:t>(6)《新疆维吾尔自治区农村公路工程试验检测工作规定》</w:t>
      </w:r>
    </w:p>
    <w:p w14:paraId="1735513D">
      <w:pPr>
        <w:pStyle w:val="10"/>
        <w:spacing w:line="305" w:lineRule="auto"/>
        <w:ind w:left="862"/>
        <w:rPr>
          <w:rFonts w:hint="eastAsia" w:ascii="宋体" w:hAnsi="宋体" w:eastAsia="宋体" w:cs="宋体"/>
          <w:highlight w:val="none"/>
        </w:rPr>
      </w:pPr>
      <w:r>
        <w:rPr>
          <w:rFonts w:hint="eastAsia" w:ascii="宋体" w:hAnsi="宋体" w:eastAsia="宋体" w:cs="宋体"/>
          <w:highlight w:val="none"/>
        </w:rPr>
        <w:t>(7)《新疆小交通量农村公路工程技术指南》</w:t>
      </w:r>
    </w:p>
    <w:p w14:paraId="50EC8104">
      <w:pPr>
        <w:pStyle w:val="29"/>
        <w:numPr>
          <w:ilvl w:val="0"/>
          <w:numId w:val="38"/>
        </w:numPr>
        <w:tabs>
          <w:tab w:val="left" w:pos="1145"/>
        </w:tabs>
        <w:spacing w:before="2"/>
        <w:rPr>
          <w:rFonts w:hint="eastAsia" w:ascii="宋体" w:hAnsi="宋体" w:eastAsia="宋体" w:cs="宋体"/>
          <w:sz w:val="24"/>
          <w:highlight w:val="none"/>
        </w:rPr>
      </w:pPr>
      <w:r>
        <w:rPr>
          <w:rFonts w:hint="eastAsia" w:ascii="宋体" w:hAnsi="宋体" w:eastAsia="宋体" w:cs="宋体"/>
          <w:sz w:val="24"/>
          <w:highlight w:val="none"/>
        </w:rPr>
        <w:t>《新疆农村公路施工图设计外业勘察验收指南》</w:t>
      </w:r>
    </w:p>
    <w:p w14:paraId="4700EE45">
      <w:pPr>
        <w:pStyle w:val="29"/>
        <w:numPr>
          <w:ilvl w:val="0"/>
          <w:numId w:val="38"/>
        </w:numPr>
        <w:tabs>
          <w:tab w:val="left" w:pos="1152"/>
        </w:tabs>
        <w:spacing w:before="83"/>
        <w:ind w:left="1152" w:hanging="288"/>
        <w:rPr>
          <w:rFonts w:hint="eastAsia" w:ascii="宋体" w:hAnsi="宋体" w:eastAsia="宋体" w:cs="宋体"/>
          <w:sz w:val="24"/>
          <w:highlight w:val="none"/>
        </w:rPr>
      </w:pPr>
      <w:r>
        <w:rPr>
          <w:rFonts w:hint="eastAsia" w:ascii="宋体" w:hAnsi="宋体" w:eastAsia="宋体" w:cs="宋体"/>
          <w:spacing w:val="7"/>
          <w:sz w:val="24"/>
          <w:highlight w:val="none"/>
        </w:rPr>
        <w:t>《关于在公路改建改造工程中加强便道管理保障通行的通知》（</w:t>
      </w:r>
      <w:r>
        <w:rPr>
          <w:rFonts w:hint="eastAsia" w:ascii="宋体" w:hAnsi="宋体" w:eastAsia="宋体" w:cs="宋体"/>
          <w:spacing w:val="5"/>
          <w:sz w:val="24"/>
          <w:highlight w:val="none"/>
        </w:rPr>
        <w:t>新交监察</w:t>
      </w:r>
    </w:p>
    <w:p w14:paraId="3739B232">
      <w:pPr>
        <w:pStyle w:val="10"/>
        <w:spacing w:before="84"/>
        <w:ind w:left="384"/>
        <w:rPr>
          <w:rFonts w:hint="eastAsia" w:ascii="宋体" w:hAnsi="宋体" w:eastAsia="宋体" w:cs="宋体"/>
          <w:highlight w:val="none"/>
        </w:rPr>
      </w:pPr>
      <w:r>
        <w:rPr>
          <w:rFonts w:hint="eastAsia" w:ascii="宋体" w:hAnsi="宋体" w:eastAsia="宋体" w:cs="宋体"/>
          <w:highlight w:val="none"/>
        </w:rPr>
        <w:t>〔2001〕5 号文）；</w:t>
      </w:r>
    </w:p>
    <w:p w14:paraId="41EAD736">
      <w:pPr>
        <w:pStyle w:val="29"/>
        <w:numPr>
          <w:ilvl w:val="0"/>
          <w:numId w:val="38"/>
        </w:numPr>
        <w:tabs>
          <w:tab w:val="left" w:pos="1265"/>
        </w:tabs>
        <w:spacing w:before="86" w:line="304" w:lineRule="auto"/>
        <w:ind w:left="864" w:right="3702" w:firstLine="0"/>
        <w:rPr>
          <w:rFonts w:hint="eastAsia" w:ascii="宋体" w:hAnsi="宋体" w:eastAsia="宋体" w:cs="宋体"/>
          <w:sz w:val="24"/>
          <w:highlight w:val="none"/>
        </w:rPr>
      </w:pPr>
      <w:r>
        <w:rPr>
          <w:rFonts w:hint="eastAsia" w:ascii="宋体" w:hAnsi="宋体" w:eastAsia="宋体" w:cs="宋体"/>
          <w:sz w:val="24"/>
          <w:highlight w:val="none"/>
        </w:rPr>
        <w:t xml:space="preserve">《新疆公路工程台背回填管理办法》； </w:t>
      </w:r>
    </w:p>
    <w:p w14:paraId="4FB23DE5">
      <w:pPr>
        <w:pStyle w:val="29"/>
        <w:numPr>
          <w:ilvl w:val="0"/>
          <w:numId w:val="38"/>
        </w:numPr>
        <w:tabs>
          <w:tab w:val="left" w:pos="1265"/>
        </w:tabs>
        <w:spacing w:before="86" w:line="304" w:lineRule="auto"/>
        <w:ind w:left="864" w:right="3702" w:firstLine="0"/>
        <w:rPr>
          <w:rFonts w:hint="eastAsia" w:ascii="宋体" w:hAnsi="宋体" w:eastAsia="宋体" w:cs="宋体"/>
          <w:sz w:val="24"/>
          <w:highlight w:val="none"/>
        </w:rPr>
      </w:pPr>
      <w:r>
        <w:rPr>
          <w:rFonts w:hint="eastAsia" w:ascii="宋体" w:hAnsi="宋体" w:eastAsia="宋体" w:cs="宋体"/>
          <w:spacing w:val="-1"/>
          <w:sz w:val="24"/>
          <w:highlight w:val="none"/>
        </w:rPr>
        <w:t>《新疆公路工程建设项目便道管理办法》；</w:t>
      </w:r>
    </w:p>
    <w:p w14:paraId="6404B8FC">
      <w:pPr>
        <w:pStyle w:val="29"/>
        <w:numPr>
          <w:ilvl w:val="0"/>
          <w:numId w:val="39"/>
        </w:numPr>
        <w:tabs>
          <w:tab w:val="left" w:pos="1268"/>
        </w:tabs>
        <w:spacing w:before="2" w:line="307" w:lineRule="auto"/>
        <w:ind w:right="465" w:firstLine="480"/>
        <w:rPr>
          <w:rFonts w:hint="eastAsia" w:ascii="宋体" w:hAnsi="宋体" w:eastAsia="宋体" w:cs="宋体"/>
          <w:sz w:val="24"/>
          <w:highlight w:val="none"/>
        </w:rPr>
      </w:pPr>
      <w:r>
        <w:rPr>
          <w:rFonts w:hint="eastAsia" w:ascii="宋体" w:hAnsi="宋体" w:eastAsia="宋体" w:cs="宋体"/>
          <w:sz w:val="24"/>
          <w:highlight w:val="none"/>
        </w:rPr>
        <w:t>《新疆维吾尔自治区公路工程路基下沉、路面破损、桥涵处跳车等质量问题责任追究》（新交政法〔2001〕20 号）；</w:t>
      </w:r>
    </w:p>
    <w:p w14:paraId="30098C8D">
      <w:pPr>
        <w:pStyle w:val="29"/>
        <w:numPr>
          <w:ilvl w:val="0"/>
          <w:numId w:val="39"/>
        </w:numPr>
        <w:tabs>
          <w:tab w:val="left" w:pos="1265"/>
        </w:tabs>
        <w:spacing w:line="304" w:lineRule="auto"/>
        <w:ind w:right="346" w:firstLine="480"/>
        <w:rPr>
          <w:rFonts w:hint="eastAsia" w:ascii="宋体" w:hAnsi="宋体" w:eastAsia="宋体" w:cs="宋体"/>
          <w:sz w:val="24"/>
          <w:highlight w:val="none"/>
        </w:rPr>
      </w:pPr>
      <w:r>
        <w:rPr>
          <w:rFonts w:hint="eastAsia" w:ascii="宋体" w:hAnsi="宋体" w:eastAsia="宋体" w:cs="宋体"/>
          <w:spacing w:val="-8"/>
          <w:sz w:val="24"/>
          <w:highlight w:val="none"/>
        </w:rPr>
        <w:t>《关于提高新疆公路工程路基、路面压实度指标的通知》</w:t>
      </w:r>
      <w:r>
        <w:rPr>
          <w:rFonts w:hint="eastAsia" w:ascii="宋体" w:hAnsi="宋体" w:eastAsia="宋体" w:cs="宋体"/>
          <w:spacing w:val="-3"/>
          <w:sz w:val="24"/>
          <w:highlight w:val="none"/>
        </w:rPr>
        <w:t>（</w:t>
      </w:r>
      <w:r>
        <w:rPr>
          <w:rFonts w:hint="eastAsia" w:ascii="宋体" w:hAnsi="宋体" w:eastAsia="宋体" w:cs="宋体"/>
          <w:spacing w:val="-10"/>
          <w:sz w:val="24"/>
          <w:highlight w:val="none"/>
        </w:rPr>
        <w:t>新交质监〔</w:t>
      </w:r>
      <w:r>
        <w:rPr>
          <w:rFonts w:hint="eastAsia" w:ascii="宋体" w:hAnsi="宋体" w:eastAsia="宋体" w:cs="宋体"/>
          <w:sz w:val="24"/>
          <w:highlight w:val="none"/>
        </w:rPr>
        <w:t>2002</w:t>
      </w:r>
      <w:r>
        <w:rPr>
          <w:rFonts w:hint="eastAsia" w:ascii="宋体" w:hAnsi="宋体" w:eastAsia="宋体" w:cs="宋体"/>
          <w:spacing w:val="-9"/>
          <w:sz w:val="24"/>
          <w:highlight w:val="none"/>
        </w:rPr>
        <w:t xml:space="preserve">〕 </w:t>
      </w:r>
      <w:r>
        <w:rPr>
          <w:rFonts w:hint="eastAsia" w:ascii="宋体" w:hAnsi="宋体" w:eastAsia="宋体" w:cs="宋体"/>
          <w:sz w:val="24"/>
          <w:highlight w:val="none"/>
        </w:rPr>
        <w:t>2号）；</w:t>
      </w:r>
    </w:p>
    <w:p w14:paraId="24E06B5D">
      <w:pPr>
        <w:pStyle w:val="29"/>
        <w:numPr>
          <w:ilvl w:val="0"/>
          <w:numId w:val="39"/>
        </w:numPr>
        <w:tabs>
          <w:tab w:val="left" w:pos="1268"/>
        </w:tabs>
        <w:spacing w:before="1" w:line="304" w:lineRule="auto"/>
        <w:ind w:right="465" w:firstLine="480"/>
        <w:rPr>
          <w:rFonts w:hint="eastAsia" w:ascii="宋体" w:hAnsi="宋体" w:eastAsia="宋体" w:cs="宋体"/>
          <w:sz w:val="24"/>
          <w:highlight w:val="none"/>
        </w:rPr>
      </w:pPr>
      <w:r>
        <w:rPr>
          <w:rFonts w:hint="eastAsia" w:ascii="宋体" w:hAnsi="宋体" w:eastAsia="宋体" w:cs="宋体"/>
          <w:sz w:val="24"/>
          <w:highlight w:val="none"/>
        </w:rPr>
        <w:t>《新疆维吾尔自治区公路路面透层油和下封层质量控制施工机械配套指导意见》（新交质监〔2008〕22 号）；</w:t>
      </w:r>
    </w:p>
    <w:p w14:paraId="5D3E019F">
      <w:pPr>
        <w:pStyle w:val="29"/>
        <w:numPr>
          <w:ilvl w:val="0"/>
          <w:numId w:val="39"/>
        </w:numPr>
        <w:tabs>
          <w:tab w:val="left" w:pos="1268"/>
        </w:tabs>
        <w:spacing w:before="1"/>
        <w:ind w:left="1267"/>
        <w:rPr>
          <w:rFonts w:hint="eastAsia" w:ascii="宋体" w:hAnsi="宋体" w:eastAsia="宋体" w:cs="宋体"/>
          <w:sz w:val="24"/>
          <w:highlight w:val="none"/>
        </w:rPr>
      </w:pPr>
      <w:r>
        <w:rPr>
          <w:rFonts w:hint="eastAsia" w:ascii="宋体" w:hAnsi="宋体" w:eastAsia="宋体" w:cs="宋体"/>
          <w:sz w:val="24"/>
          <w:highlight w:val="none"/>
        </w:rPr>
        <w:t>《新疆维吾尔自治区农村公路建设廉政工作实施办法</w:t>
      </w:r>
      <w:r>
        <w:rPr>
          <w:rFonts w:hint="eastAsia" w:ascii="宋体" w:hAnsi="宋体" w:eastAsia="宋体" w:cs="宋体"/>
          <w:spacing w:val="4"/>
          <w:sz w:val="24"/>
          <w:highlight w:val="none"/>
        </w:rPr>
        <w:t>（</w:t>
      </w:r>
      <w:r>
        <w:rPr>
          <w:rFonts w:hint="eastAsia" w:ascii="宋体" w:hAnsi="宋体" w:eastAsia="宋体" w:cs="宋体"/>
          <w:spacing w:val="2"/>
          <w:sz w:val="24"/>
          <w:highlight w:val="none"/>
        </w:rPr>
        <w:t>试行</w:t>
      </w:r>
      <w:r>
        <w:rPr>
          <w:rFonts w:hint="eastAsia" w:ascii="宋体" w:hAnsi="宋体" w:eastAsia="宋体" w:cs="宋体"/>
          <w:sz w:val="24"/>
          <w:highlight w:val="none"/>
        </w:rPr>
        <w:t>）</w:t>
      </w:r>
      <w:r>
        <w:rPr>
          <w:rFonts w:hint="eastAsia" w:ascii="宋体" w:hAnsi="宋体" w:eastAsia="宋体" w:cs="宋体"/>
          <w:spacing w:val="4"/>
          <w:sz w:val="24"/>
          <w:highlight w:val="none"/>
        </w:rPr>
        <w:t>》</w:t>
      </w:r>
      <w:r>
        <w:rPr>
          <w:rFonts w:hint="eastAsia" w:ascii="宋体" w:hAnsi="宋体" w:eastAsia="宋体" w:cs="宋体"/>
          <w:sz w:val="24"/>
          <w:highlight w:val="none"/>
        </w:rPr>
        <w:t>（</w:t>
      </w:r>
      <w:r>
        <w:rPr>
          <w:rFonts w:hint="eastAsia" w:ascii="宋体" w:hAnsi="宋体" w:eastAsia="宋体" w:cs="宋体"/>
          <w:spacing w:val="1"/>
          <w:sz w:val="24"/>
          <w:highlight w:val="none"/>
        </w:rPr>
        <w:t>新交办</w:t>
      </w:r>
    </w:p>
    <w:p w14:paraId="5F581C90">
      <w:pPr>
        <w:pStyle w:val="10"/>
        <w:spacing w:before="86"/>
        <w:ind w:left="384"/>
        <w:rPr>
          <w:rFonts w:hint="eastAsia" w:ascii="宋体" w:hAnsi="宋体" w:eastAsia="宋体" w:cs="宋体"/>
          <w:highlight w:val="none"/>
        </w:rPr>
      </w:pPr>
      <w:r>
        <w:rPr>
          <w:rFonts w:hint="eastAsia" w:ascii="宋体" w:hAnsi="宋体" w:eastAsia="宋体" w:cs="宋体"/>
          <w:highlight w:val="none"/>
        </w:rPr>
        <w:t>〔2008〕80 号）；</w:t>
      </w:r>
    </w:p>
    <w:p w14:paraId="7CDF66A9">
      <w:pPr>
        <w:pStyle w:val="29"/>
        <w:numPr>
          <w:ilvl w:val="0"/>
          <w:numId w:val="39"/>
        </w:numPr>
        <w:tabs>
          <w:tab w:val="left" w:pos="1268"/>
        </w:tabs>
        <w:spacing w:before="84" w:line="304" w:lineRule="auto"/>
        <w:ind w:right="465" w:firstLine="480"/>
        <w:rPr>
          <w:rFonts w:hint="eastAsia" w:ascii="宋体" w:hAnsi="宋体" w:eastAsia="宋体" w:cs="宋体"/>
          <w:sz w:val="24"/>
          <w:highlight w:val="none"/>
        </w:rPr>
      </w:pPr>
      <w:r>
        <w:rPr>
          <w:rFonts w:hint="eastAsia" w:ascii="宋体" w:hAnsi="宋体" w:eastAsia="宋体" w:cs="宋体"/>
          <w:sz w:val="24"/>
          <w:highlight w:val="none"/>
        </w:rPr>
        <w:t>关于印发《新疆维吾尔自治区公路工程施工质量责任和责任追究制度》的通知（新交工程〔2016〕28 号）；</w:t>
      </w:r>
    </w:p>
    <w:p w14:paraId="3DCB539E">
      <w:pPr>
        <w:pStyle w:val="29"/>
        <w:numPr>
          <w:ilvl w:val="0"/>
          <w:numId w:val="39"/>
        </w:numPr>
        <w:tabs>
          <w:tab w:val="left" w:pos="1265"/>
        </w:tabs>
        <w:spacing w:before="4" w:line="304" w:lineRule="auto"/>
        <w:ind w:right="342" w:firstLine="480"/>
        <w:rPr>
          <w:rFonts w:hint="eastAsia" w:ascii="宋体" w:hAnsi="宋体" w:eastAsia="宋体" w:cs="宋体"/>
          <w:sz w:val="24"/>
          <w:highlight w:val="none"/>
        </w:rPr>
      </w:pPr>
      <w:r>
        <w:rPr>
          <w:rFonts w:hint="eastAsia" w:ascii="宋体" w:hAnsi="宋体" w:eastAsia="宋体" w:cs="宋体"/>
          <w:spacing w:val="-5"/>
          <w:sz w:val="24"/>
          <w:highlight w:val="none"/>
        </w:rPr>
        <w:t>《关于在公路基础设施建设中使用农民工有关意见的通知》</w:t>
      </w:r>
      <w:r>
        <w:rPr>
          <w:rFonts w:hint="eastAsia" w:ascii="宋体" w:hAnsi="宋体" w:eastAsia="宋体" w:cs="宋体"/>
          <w:sz w:val="24"/>
          <w:highlight w:val="none"/>
        </w:rPr>
        <w:t>（</w:t>
      </w:r>
      <w:r>
        <w:rPr>
          <w:rFonts w:hint="eastAsia" w:ascii="宋体" w:hAnsi="宋体" w:eastAsia="宋体" w:cs="宋体"/>
          <w:spacing w:val="-16"/>
          <w:sz w:val="24"/>
          <w:highlight w:val="none"/>
        </w:rPr>
        <w:t>新交综〔</w:t>
      </w:r>
      <w:r>
        <w:rPr>
          <w:rFonts w:hint="eastAsia" w:ascii="宋体" w:hAnsi="宋体" w:eastAsia="宋体" w:cs="宋体"/>
          <w:sz w:val="24"/>
          <w:highlight w:val="none"/>
        </w:rPr>
        <w:t>2003</w:t>
      </w:r>
      <w:r>
        <w:rPr>
          <w:rFonts w:hint="eastAsia" w:ascii="宋体" w:hAnsi="宋体" w:eastAsia="宋体" w:cs="宋体"/>
          <w:spacing w:val="-8"/>
          <w:sz w:val="24"/>
          <w:highlight w:val="none"/>
        </w:rPr>
        <w:t>〕</w:t>
      </w:r>
      <w:r>
        <w:rPr>
          <w:rFonts w:hint="eastAsia" w:ascii="宋体" w:hAnsi="宋体" w:eastAsia="宋体" w:cs="宋体"/>
          <w:sz w:val="24"/>
          <w:highlight w:val="none"/>
        </w:rPr>
        <w:t>42号）；</w:t>
      </w:r>
    </w:p>
    <w:p w14:paraId="1BAB3718">
      <w:pPr>
        <w:pStyle w:val="29"/>
        <w:numPr>
          <w:ilvl w:val="0"/>
          <w:numId w:val="39"/>
        </w:numPr>
        <w:tabs>
          <w:tab w:val="left" w:pos="1268"/>
        </w:tabs>
        <w:spacing w:before="1" w:line="307" w:lineRule="auto"/>
        <w:ind w:right="465" w:firstLine="480"/>
        <w:rPr>
          <w:rFonts w:hint="eastAsia" w:ascii="宋体" w:hAnsi="宋体" w:eastAsia="宋体" w:cs="宋体"/>
          <w:sz w:val="24"/>
          <w:highlight w:val="none"/>
        </w:rPr>
      </w:pPr>
      <w:r>
        <w:rPr>
          <w:rFonts w:hint="eastAsia" w:ascii="宋体" w:hAnsi="宋体" w:eastAsia="宋体" w:cs="宋体"/>
          <w:sz w:val="24"/>
          <w:highlight w:val="none"/>
        </w:rPr>
        <w:t>关于印发《新疆维吾尔自治区交通厅关于交通建设项目防止拖欠工程款和农民工工资管理暂行办法（试行）》（新交综〔2005〕42 号）；</w:t>
      </w:r>
    </w:p>
    <w:p w14:paraId="69638DD9">
      <w:pPr>
        <w:pStyle w:val="29"/>
        <w:numPr>
          <w:ilvl w:val="0"/>
          <w:numId w:val="39"/>
        </w:numPr>
        <w:tabs>
          <w:tab w:val="left" w:pos="1265"/>
        </w:tabs>
        <w:spacing w:line="304" w:lineRule="auto"/>
        <w:ind w:right="342" w:firstLine="480"/>
        <w:rPr>
          <w:rFonts w:hint="eastAsia" w:ascii="宋体" w:hAnsi="宋体" w:eastAsia="宋体" w:cs="宋体"/>
          <w:sz w:val="24"/>
          <w:highlight w:val="none"/>
        </w:rPr>
      </w:pPr>
      <w:r>
        <w:rPr>
          <w:rFonts w:hint="eastAsia" w:ascii="宋体" w:hAnsi="宋体" w:eastAsia="宋体" w:cs="宋体"/>
          <w:spacing w:val="-5"/>
          <w:sz w:val="24"/>
          <w:highlight w:val="none"/>
        </w:rPr>
        <w:t>《关于在公路基础设施建设中使用农民工有关事宜的通知》</w:t>
      </w:r>
      <w:r>
        <w:rPr>
          <w:rFonts w:hint="eastAsia" w:ascii="宋体" w:hAnsi="宋体" w:eastAsia="宋体" w:cs="宋体"/>
          <w:sz w:val="24"/>
          <w:highlight w:val="none"/>
        </w:rPr>
        <w:t>（</w:t>
      </w:r>
      <w:r>
        <w:rPr>
          <w:rFonts w:hint="eastAsia" w:ascii="宋体" w:hAnsi="宋体" w:eastAsia="宋体" w:cs="宋体"/>
          <w:spacing w:val="-16"/>
          <w:sz w:val="24"/>
          <w:highlight w:val="none"/>
        </w:rPr>
        <w:t>新交综〔</w:t>
      </w:r>
      <w:r>
        <w:rPr>
          <w:rFonts w:hint="eastAsia" w:ascii="宋体" w:hAnsi="宋体" w:eastAsia="宋体" w:cs="宋体"/>
          <w:sz w:val="24"/>
          <w:highlight w:val="none"/>
        </w:rPr>
        <w:t>2006</w:t>
      </w:r>
      <w:r>
        <w:rPr>
          <w:rFonts w:hint="eastAsia" w:ascii="宋体" w:hAnsi="宋体" w:eastAsia="宋体" w:cs="宋体"/>
          <w:spacing w:val="-8"/>
          <w:sz w:val="24"/>
          <w:highlight w:val="none"/>
        </w:rPr>
        <w:t>〕</w:t>
      </w:r>
      <w:r>
        <w:rPr>
          <w:rFonts w:hint="eastAsia" w:ascii="宋体" w:hAnsi="宋体" w:eastAsia="宋体" w:cs="宋体"/>
          <w:sz w:val="24"/>
          <w:highlight w:val="none"/>
        </w:rPr>
        <w:t>139号）；</w:t>
      </w:r>
    </w:p>
    <w:p w14:paraId="66FABA16">
      <w:pPr>
        <w:spacing w:line="304" w:lineRule="auto"/>
        <w:rPr>
          <w:rFonts w:hint="eastAsia" w:ascii="宋体" w:hAnsi="宋体" w:eastAsia="宋体" w:cs="宋体"/>
          <w:sz w:val="24"/>
          <w:highlight w:val="none"/>
        </w:rPr>
        <w:sectPr>
          <w:pgSz w:w="11910" w:h="16840"/>
          <w:pgMar w:top="1360" w:right="1120" w:bottom="1080" w:left="1260" w:header="882" w:footer="880" w:gutter="0"/>
          <w:cols w:space="720" w:num="1"/>
        </w:sectPr>
      </w:pPr>
    </w:p>
    <w:p w14:paraId="3D9E1DC5">
      <w:pPr>
        <w:pStyle w:val="10"/>
        <w:spacing w:before="5"/>
        <w:rPr>
          <w:rFonts w:hint="eastAsia" w:ascii="宋体" w:hAnsi="宋体" w:eastAsia="宋体" w:cs="宋体"/>
          <w:sz w:val="17"/>
          <w:highlight w:val="none"/>
        </w:rPr>
      </w:pPr>
    </w:p>
    <w:p w14:paraId="4DEA542C">
      <w:pPr>
        <w:pStyle w:val="29"/>
        <w:numPr>
          <w:ilvl w:val="0"/>
          <w:numId w:val="39"/>
        </w:numPr>
        <w:tabs>
          <w:tab w:val="left" w:pos="1265"/>
        </w:tabs>
        <w:spacing w:before="74"/>
        <w:ind w:left="1264" w:hanging="401"/>
        <w:rPr>
          <w:rFonts w:hint="eastAsia" w:ascii="宋体" w:hAnsi="宋体" w:eastAsia="宋体" w:cs="宋体"/>
          <w:sz w:val="24"/>
          <w:highlight w:val="none"/>
        </w:rPr>
      </w:pPr>
      <w:r>
        <w:rPr>
          <w:rFonts w:hint="eastAsia" w:ascii="宋体" w:hAnsi="宋体" w:eastAsia="宋体" w:cs="宋体"/>
          <w:spacing w:val="-5"/>
          <w:sz w:val="24"/>
          <w:highlight w:val="none"/>
        </w:rPr>
        <w:t>《新疆维吾尔自治区农民工工资保证金管理暂行办法》</w:t>
      </w:r>
      <w:r>
        <w:rPr>
          <w:rFonts w:hint="eastAsia" w:ascii="宋体" w:hAnsi="宋体" w:eastAsia="宋体" w:cs="宋体"/>
          <w:spacing w:val="-3"/>
          <w:sz w:val="24"/>
          <w:highlight w:val="none"/>
        </w:rPr>
        <w:t>（</w:t>
      </w:r>
      <w:r>
        <w:rPr>
          <w:rFonts w:hint="eastAsia" w:ascii="宋体" w:hAnsi="宋体" w:eastAsia="宋体" w:cs="宋体"/>
          <w:sz w:val="24"/>
          <w:highlight w:val="none"/>
        </w:rPr>
        <w:t>新政办发[2007]114</w:t>
      </w:r>
    </w:p>
    <w:p w14:paraId="0B566AC6">
      <w:pPr>
        <w:pStyle w:val="10"/>
        <w:spacing w:before="84"/>
        <w:ind w:left="384"/>
        <w:rPr>
          <w:rFonts w:hint="eastAsia" w:ascii="宋体" w:hAnsi="宋体" w:eastAsia="宋体" w:cs="宋体"/>
          <w:highlight w:val="none"/>
        </w:rPr>
      </w:pPr>
      <w:r>
        <w:rPr>
          <w:rFonts w:hint="eastAsia" w:ascii="宋体" w:hAnsi="宋体" w:eastAsia="宋体" w:cs="宋体"/>
          <w:highlight w:val="none"/>
        </w:rPr>
        <w:t>号）</w:t>
      </w:r>
    </w:p>
    <w:p w14:paraId="78F5D509">
      <w:pPr>
        <w:pStyle w:val="29"/>
        <w:numPr>
          <w:ilvl w:val="0"/>
          <w:numId w:val="39"/>
        </w:numPr>
        <w:tabs>
          <w:tab w:val="left" w:pos="1275"/>
        </w:tabs>
        <w:spacing w:before="86"/>
        <w:ind w:left="1274" w:hanging="411"/>
        <w:rPr>
          <w:rFonts w:hint="eastAsia" w:ascii="宋体" w:hAnsi="宋体" w:eastAsia="宋体" w:cs="宋体"/>
          <w:sz w:val="24"/>
          <w:highlight w:val="none"/>
        </w:rPr>
      </w:pPr>
      <w:r>
        <w:rPr>
          <w:rFonts w:hint="eastAsia" w:ascii="宋体" w:hAnsi="宋体" w:eastAsia="宋体" w:cs="宋体"/>
          <w:spacing w:val="9"/>
          <w:sz w:val="24"/>
          <w:highlight w:val="none"/>
        </w:rPr>
        <w:t>《关于做好农村公路建设项目农民工使用有关事宜的通知》</w:t>
      </w:r>
      <w:r>
        <w:rPr>
          <w:rFonts w:hint="eastAsia" w:ascii="宋体" w:hAnsi="宋体" w:eastAsia="宋体" w:cs="宋体"/>
          <w:spacing w:val="12"/>
          <w:sz w:val="24"/>
          <w:highlight w:val="none"/>
        </w:rPr>
        <w:t>（</w:t>
      </w:r>
      <w:r>
        <w:rPr>
          <w:rFonts w:hint="eastAsia" w:ascii="宋体" w:hAnsi="宋体" w:eastAsia="宋体" w:cs="宋体"/>
          <w:spacing w:val="7"/>
          <w:sz w:val="24"/>
          <w:highlight w:val="none"/>
        </w:rPr>
        <w:t>新交农路</w:t>
      </w:r>
    </w:p>
    <w:p w14:paraId="7499C6CA">
      <w:pPr>
        <w:pStyle w:val="10"/>
        <w:spacing w:before="83"/>
        <w:ind w:left="384"/>
        <w:rPr>
          <w:rFonts w:hint="eastAsia" w:ascii="宋体" w:hAnsi="宋体" w:eastAsia="宋体" w:cs="宋体"/>
          <w:highlight w:val="none"/>
        </w:rPr>
      </w:pPr>
      <w:r>
        <w:rPr>
          <w:rFonts w:hint="eastAsia" w:ascii="宋体" w:hAnsi="宋体" w:eastAsia="宋体" w:cs="宋体"/>
          <w:highlight w:val="none"/>
        </w:rPr>
        <w:t>〔2016〕16 号）；</w:t>
      </w:r>
    </w:p>
    <w:p w14:paraId="239D086B">
      <w:pPr>
        <w:pStyle w:val="29"/>
        <w:numPr>
          <w:ilvl w:val="0"/>
          <w:numId w:val="39"/>
        </w:numPr>
        <w:tabs>
          <w:tab w:val="left" w:pos="1268"/>
        </w:tabs>
        <w:spacing w:before="84" w:line="307" w:lineRule="auto"/>
        <w:ind w:right="465" w:firstLine="480"/>
        <w:rPr>
          <w:rFonts w:hint="eastAsia" w:ascii="宋体" w:hAnsi="宋体" w:eastAsia="宋体" w:cs="宋体"/>
          <w:sz w:val="24"/>
          <w:highlight w:val="none"/>
        </w:rPr>
      </w:pPr>
      <w:r>
        <w:rPr>
          <w:rFonts w:hint="eastAsia" w:ascii="宋体" w:hAnsi="宋体" w:eastAsia="宋体" w:cs="宋体"/>
          <w:sz w:val="24"/>
          <w:highlight w:val="none"/>
        </w:rPr>
        <w:t>新疆维吾尔自治区人社、住建、交通、水利四部门联合印发的《关于在工程建设领域实行农民工工资专用账户管理和银行代发工资制度的通知》（</w:t>
      </w:r>
      <w:r>
        <w:rPr>
          <w:rFonts w:hint="eastAsia" w:ascii="宋体" w:hAnsi="宋体" w:eastAsia="宋体" w:cs="宋体"/>
          <w:spacing w:val="-3"/>
          <w:sz w:val="24"/>
          <w:highlight w:val="none"/>
        </w:rPr>
        <w:t>新人社发</w:t>
      </w:r>
    </w:p>
    <w:p w14:paraId="79FD4E17">
      <w:pPr>
        <w:pStyle w:val="10"/>
        <w:spacing w:line="305" w:lineRule="exact"/>
        <w:ind w:left="384"/>
        <w:rPr>
          <w:rFonts w:hint="eastAsia" w:ascii="宋体" w:hAnsi="宋体" w:eastAsia="宋体" w:cs="宋体"/>
          <w:highlight w:val="none"/>
        </w:rPr>
      </w:pPr>
      <w:r>
        <w:rPr>
          <w:rFonts w:hint="eastAsia" w:ascii="宋体" w:hAnsi="宋体" w:eastAsia="宋体" w:cs="宋体"/>
          <w:highlight w:val="none"/>
        </w:rPr>
        <w:t>〔2018〕4 号）</w:t>
      </w:r>
    </w:p>
    <w:p w14:paraId="5EEB6BB6">
      <w:pPr>
        <w:pStyle w:val="10"/>
        <w:rPr>
          <w:rFonts w:hint="eastAsia" w:ascii="宋体" w:hAnsi="宋体" w:eastAsia="宋体" w:cs="宋体"/>
          <w:sz w:val="20"/>
          <w:highlight w:val="none"/>
        </w:rPr>
      </w:pPr>
      <w:r>
        <w:rPr>
          <w:rFonts w:hint="eastAsia" w:ascii="宋体" w:hAnsi="宋体" w:eastAsia="宋体" w:cs="宋体"/>
          <w:highlight w:val="none"/>
        </w:rPr>
        <w:t>承包人在施工中应严格执行国家、交通运输部、新疆维吾尔自治区、新疆交通</w:t>
      </w:r>
      <w:r>
        <w:rPr>
          <w:rFonts w:hint="eastAsia" w:ascii="宋体" w:hAnsi="宋体" w:eastAsia="宋体" w:cs="宋体"/>
          <w:spacing w:val="-10"/>
          <w:highlight w:val="none"/>
        </w:rPr>
        <w:t xml:space="preserve">运输厅现行通知、办法的相关规定，涉及报价因素的应在投标报价中充分予以考虑， </w:t>
      </w:r>
      <w:r>
        <w:rPr>
          <w:rFonts w:hint="eastAsia" w:ascii="宋体" w:hAnsi="宋体" w:eastAsia="宋体" w:cs="宋体"/>
          <w:highlight w:val="none"/>
        </w:rPr>
        <w:t>发包人将不另行支付。</w:t>
      </w:r>
    </w:p>
    <w:p w14:paraId="5373A82E">
      <w:pPr>
        <w:pStyle w:val="10"/>
        <w:spacing w:before="5"/>
        <w:rPr>
          <w:rFonts w:hint="eastAsia" w:ascii="宋体" w:hAnsi="宋体" w:eastAsia="宋体" w:cs="宋体"/>
          <w:sz w:val="29"/>
          <w:highlight w:val="none"/>
        </w:rPr>
      </w:pPr>
    </w:p>
    <w:p w14:paraId="07EC89F9">
      <w:pPr>
        <w:rPr>
          <w:rFonts w:hint="eastAsia"/>
          <w:highlight w:val="none"/>
        </w:rPr>
      </w:pPr>
    </w:p>
    <w:p w14:paraId="38C537CF">
      <w:pPr>
        <w:pStyle w:val="6"/>
        <w:tabs>
          <w:tab w:val="left" w:pos="1952"/>
        </w:tabs>
        <w:rPr>
          <w:rFonts w:hint="eastAsia" w:ascii="宋体" w:hAnsi="宋体" w:eastAsia="宋体" w:cs="宋体"/>
          <w:b/>
          <w:sz w:val="18"/>
          <w:highlight w:val="none"/>
        </w:rPr>
      </w:pPr>
      <w:bookmarkStart w:id="77" w:name="_TOC_250026"/>
      <w:bookmarkEnd w:id="77"/>
      <w:r>
        <w:rPr>
          <w:rFonts w:hint="eastAsia" w:ascii="宋体" w:hAnsi="宋体" w:eastAsia="宋体" w:cs="宋体"/>
          <w:sz w:val="30"/>
          <w:szCs w:val="30"/>
          <w:highlight w:val="none"/>
        </w:rPr>
        <w:t>第二节</w:t>
      </w:r>
      <w:r>
        <w:rPr>
          <w:rFonts w:hint="eastAsia" w:ascii="宋体" w:hAnsi="宋体" w:eastAsia="宋体" w:cs="宋体"/>
          <w:sz w:val="30"/>
          <w:szCs w:val="30"/>
          <w:highlight w:val="none"/>
          <w:lang w:val="en-US"/>
        </w:rPr>
        <w:t xml:space="preserve">  </w:t>
      </w:r>
      <w:r>
        <w:rPr>
          <w:rFonts w:hint="eastAsia" w:ascii="宋体" w:hAnsi="宋体" w:eastAsia="宋体" w:cs="宋体"/>
          <w:sz w:val="30"/>
          <w:szCs w:val="30"/>
          <w:highlight w:val="none"/>
        </w:rPr>
        <w:t>专用合同条款</w:t>
      </w:r>
    </w:p>
    <w:p w14:paraId="2E7A95B1">
      <w:pPr>
        <w:pStyle w:val="23"/>
        <w:rPr>
          <w:rFonts w:hint="eastAsia"/>
          <w:highlight w:val="none"/>
        </w:rPr>
      </w:pPr>
    </w:p>
    <w:p w14:paraId="6514B716">
      <w:pPr>
        <w:pStyle w:val="10"/>
        <w:spacing w:before="66"/>
        <w:rPr>
          <w:rFonts w:hint="eastAsia" w:ascii="宋体" w:hAnsi="宋体" w:eastAsia="宋体" w:cs="宋体"/>
          <w:highlight w:val="none"/>
        </w:rPr>
      </w:pPr>
      <w:r>
        <w:rPr>
          <w:rFonts w:hint="eastAsia" w:ascii="宋体" w:hAnsi="宋体" w:eastAsia="宋体" w:cs="宋体"/>
          <w:highlight w:val="none"/>
        </w:rPr>
        <w:t>说明：</w:t>
      </w:r>
    </w:p>
    <w:p w14:paraId="265CB32F">
      <w:pPr>
        <w:pStyle w:val="10"/>
        <w:spacing w:before="84" w:line="304" w:lineRule="auto"/>
        <w:ind w:left="384" w:right="465" w:firstLine="480"/>
        <w:jc w:val="both"/>
        <w:rPr>
          <w:rFonts w:hint="eastAsia" w:ascii="宋体" w:hAnsi="宋体" w:eastAsia="宋体" w:cs="宋体"/>
          <w:highlight w:val="none"/>
        </w:rPr>
      </w:pPr>
      <w:r>
        <w:rPr>
          <w:rFonts w:hint="eastAsia" w:ascii="宋体" w:hAnsi="宋体" w:eastAsia="宋体" w:cs="宋体"/>
          <w:highlight w:val="none"/>
        </w:rPr>
        <w:t>发包人可根据招标项目的具体特点和实际需要，对“通用合同条款”进行补充和细化，补充和细化的内容不得与“通用合同条款”强制性规定相抵触。同时，细化、补充或约定的不同内容，不得违反法律、行政法规的强制性规定和平等、自愿、公平和诚实信用原则。</w:t>
      </w:r>
    </w:p>
    <w:p w14:paraId="6ABA13E7">
      <w:pPr>
        <w:pStyle w:val="10"/>
        <w:spacing w:before="7"/>
        <w:ind w:left="864"/>
        <w:rPr>
          <w:rFonts w:hint="eastAsia" w:ascii="宋体" w:hAnsi="宋体" w:eastAsia="宋体" w:cs="宋体"/>
          <w:highlight w:val="none"/>
        </w:rPr>
      </w:pPr>
      <w:r>
        <w:rPr>
          <w:rFonts w:hint="eastAsia" w:ascii="宋体" w:hAnsi="宋体" w:eastAsia="宋体" w:cs="宋体"/>
          <w:highlight w:val="none"/>
        </w:rPr>
        <w:t>专用合同条款的编号应与通用合同条款号一致。</w:t>
      </w:r>
    </w:p>
    <w:p w14:paraId="19A0C0FA">
      <w:pPr>
        <w:rPr>
          <w:rFonts w:hint="eastAsia" w:ascii="宋体" w:hAnsi="宋体" w:eastAsia="宋体" w:cs="宋体"/>
          <w:highlight w:val="none"/>
        </w:rPr>
        <w:sectPr>
          <w:footerReference r:id="rId8" w:type="default"/>
          <w:pgSz w:w="11910" w:h="16840"/>
          <w:pgMar w:top="1360" w:right="1120" w:bottom="1080" w:left="1260" w:header="882" w:footer="880" w:gutter="0"/>
          <w:cols w:space="720" w:num="1"/>
        </w:sectPr>
      </w:pPr>
    </w:p>
    <w:p w14:paraId="37134DD4">
      <w:pPr>
        <w:pStyle w:val="10"/>
        <w:rPr>
          <w:rFonts w:hint="eastAsia" w:ascii="宋体" w:hAnsi="宋体" w:eastAsia="宋体" w:cs="宋体"/>
          <w:sz w:val="18"/>
          <w:highlight w:val="none"/>
        </w:rPr>
      </w:pPr>
    </w:p>
    <w:p w14:paraId="558EF664">
      <w:pPr>
        <w:pStyle w:val="10"/>
        <w:spacing w:before="66"/>
        <w:ind w:left="3880"/>
        <w:rPr>
          <w:rFonts w:hint="eastAsia" w:ascii="宋体" w:hAnsi="宋体" w:eastAsia="宋体" w:cs="宋体"/>
          <w:b/>
          <w:bCs/>
          <w:highlight w:val="none"/>
        </w:rPr>
      </w:pPr>
      <w:r>
        <w:rPr>
          <w:rFonts w:hint="eastAsia" w:ascii="宋体" w:hAnsi="宋体" w:eastAsia="宋体" w:cs="宋体"/>
          <w:b/>
          <w:bCs/>
          <w:highlight w:val="none"/>
        </w:rPr>
        <w:t>合同条款数据表</w:t>
      </w:r>
    </w:p>
    <w:p w14:paraId="47159CB4">
      <w:pPr>
        <w:pStyle w:val="10"/>
        <w:spacing w:before="84" w:line="307" w:lineRule="auto"/>
        <w:ind w:left="384" w:right="382" w:firstLine="480"/>
        <w:rPr>
          <w:rFonts w:hint="eastAsia" w:ascii="宋体" w:hAnsi="宋体" w:eastAsia="宋体" w:cs="宋体"/>
          <w:highlight w:val="none"/>
        </w:rPr>
      </w:pPr>
      <w:r>
        <w:rPr>
          <w:rFonts w:hint="eastAsia" w:ascii="宋体" w:hAnsi="宋体" w:eastAsia="宋体" w:cs="宋体"/>
          <w:highlight w:val="none"/>
        </w:rPr>
        <mc:AlternateContent>
          <mc:Choice Requires="wps">
            <w:drawing>
              <wp:anchor distT="0" distB="0" distL="114300" distR="114300" simplePos="0" relativeHeight="251677696" behindDoc="0" locked="0" layoutInCell="1" allowOverlap="1">
                <wp:simplePos x="0" y="0"/>
                <wp:positionH relativeFrom="page">
                  <wp:posOffset>972185</wp:posOffset>
                </wp:positionH>
                <wp:positionV relativeFrom="paragraph">
                  <wp:posOffset>504190</wp:posOffset>
                </wp:positionV>
                <wp:extent cx="5655310" cy="6537325"/>
                <wp:effectExtent l="0" t="0" r="0" b="0"/>
                <wp:wrapNone/>
                <wp:docPr id="14" name="文本框 30"/>
                <wp:cNvGraphicFramePr/>
                <a:graphic xmlns:a="http://schemas.openxmlformats.org/drawingml/2006/main">
                  <a:graphicData uri="http://schemas.microsoft.com/office/word/2010/wordprocessingShape">
                    <wps:wsp>
                      <wps:cNvSpPr txBox="1"/>
                      <wps:spPr>
                        <a:xfrm>
                          <a:off x="0" y="0"/>
                          <a:ext cx="5655310" cy="6537325"/>
                        </a:xfrm>
                        <a:prstGeom prst="rect">
                          <a:avLst/>
                        </a:prstGeom>
                        <a:noFill/>
                        <a:ln>
                          <a:noFill/>
                        </a:ln>
                      </wps:spPr>
                      <wps:txbx>
                        <w:txbxContent>
                          <w:tbl>
                            <w:tblPr>
                              <w:tblStyle w:val="24"/>
                              <w:tblW w:w="8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7"/>
                              <w:gridCol w:w="7512"/>
                            </w:tblGrid>
                            <w:tr w14:paraId="10957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347" w:type="dxa"/>
                                </w:tcPr>
                                <w:p w14:paraId="55D8052D">
                                  <w:pPr>
                                    <w:pStyle w:val="30"/>
                                    <w:spacing w:before="12"/>
                                    <w:rPr>
                                      <w:sz w:val="15"/>
                                    </w:rPr>
                                  </w:pPr>
                                </w:p>
                                <w:p w14:paraId="040F61E9">
                                  <w:pPr>
                                    <w:pStyle w:val="30"/>
                                    <w:ind w:left="356" w:right="346"/>
                                    <w:jc w:val="center"/>
                                    <w:rPr>
                                      <w:sz w:val="20"/>
                                    </w:rPr>
                                  </w:pPr>
                                  <w:r>
                                    <w:rPr>
                                      <w:sz w:val="20"/>
                                    </w:rPr>
                                    <w:t>条款号</w:t>
                                  </w:r>
                                </w:p>
                              </w:tc>
                              <w:tc>
                                <w:tcPr>
                                  <w:tcW w:w="7512" w:type="dxa"/>
                                </w:tcPr>
                                <w:p w14:paraId="79078EC2">
                                  <w:pPr>
                                    <w:pStyle w:val="30"/>
                                    <w:spacing w:before="12"/>
                                    <w:rPr>
                                      <w:sz w:val="15"/>
                                    </w:rPr>
                                  </w:pPr>
                                </w:p>
                                <w:p w14:paraId="23E4D063">
                                  <w:pPr>
                                    <w:pStyle w:val="30"/>
                                    <w:ind w:left="3246" w:right="3242"/>
                                    <w:jc w:val="center"/>
                                    <w:rPr>
                                      <w:sz w:val="20"/>
                                    </w:rPr>
                                  </w:pPr>
                                  <w:r>
                                    <w:rPr>
                                      <w:sz w:val="20"/>
                                    </w:rPr>
                                    <w:t>信息或数据</w:t>
                                  </w:r>
                                </w:p>
                              </w:tc>
                            </w:tr>
                            <w:tr w14:paraId="2CFF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347" w:type="dxa"/>
                                </w:tcPr>
                                <w:p w14:paraId="4CCF1B03">
                                  <w:pPr>
                                    <w:pStyle w:val="30"/>
                                    <w:rPr>
                                      <w:rFonts w:ascii="Times New Roman"/>
                                      <w:sz w:val="20"/>
                                    </w:rPr>
                                  </w:pPr>
                                </w:p>
                              </w:tc>
                              <w:tc>
                                <w:tcPr>
                                  <w:tcW w:w="7512" w:type="dxa"/>
                                </w:tcPr>
                                <w:p w14:paraId="6BF0F7AF">
                                  <w:pPr>
                                    <w:pStyle w:val="30"/>
                                    <w:spacing w:before="76"/>
                                    <w:ind w:left="282"/>
                                    <w:rPr>
                                      <w:rFonts w:hint="eastAsia" w:eastAsia="宋体"/>
                                      <w:sz w:val="21"/>
                                      <w:lang w:val="en-US" w:eastAsia="zh-CN"/>
                                    </w:rPr>
                                  </w:pPr>
                                  <w:r>
                                    <w:rPr>
                                      <w:sz w:val="21"/>
                                    </w:rPr>
                                    <w:t>发包人：</w:t>
                                  </w:r>
                                  <w:r>
                                    <w:rPr>
                                      <w:rFonts w:hint="eastAsia"/>
                                      <w:sz w:val="21"/>
                                      <w:lang w:val="en-US" w:eastAsia="zh-CN"/>
                                    </w:rPr>
                                    <w:t>叶城县洛克乡人民政府</w:t>
                                  </w:r>
                                </w:p>
                                <w:p w14:paraId="7643DB32">
                                  <w:pPr>
                                    <w:pStyle w:val="30"/>
                                    <w:tabs>
                                      <w:tab w:val="left" w:pos="3116"/>
                                    </w:tabs>
                                    <w:spacing w:before="50"/>
                                    <w:ind w:left="282"/>
                                    <w:rPr>
                                      <w:sz w:val="21"/>
                                      <w:lang w:val="en-US"/>
                                    </w:rPr>
                                  </w:pPr>
                                  <w:r>
                                    <w:rPr>
                                      <w:sz w:val="21"/>
                                    </w:rPr>
                                    <w:t>地址：</w:t>
                                  </w:r>
                                  <w:r>
                                    <w:rPr>
                                      <w:rFonts w:hint="eastAsia"/>
                                      <w:sz w:val="21"/>
                                      <w:lang w:val="en-US"/>
                                    </w:rPr>
                                    <w:t>伽师县</w:t>
                                  </w:r>
                                  <w:r>
                                    <w:rPr>
                                      <w:sz w:val="21"/>
                                    </w:rPr>
                                    <w:tab/>
                                  </w:r>
                                  <w:r>
                                    <w:rPr>
                                      <w:sz w:val="21"/>
                                    </w:rPr>
                                    <w:t>邮政编码：</w:t>
                                  </w:r>
                                </w:p>
                              </w:tc>
                            </w:tr>
                            <w:tr w14:paraId="50659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47" w:type="dxa"/>
                                </w:tcPr>
                                <w:p w14:paraId="7005EFDD">
                                  <w:pPr>
                                    <w:pStyle w:val="30"/>
                                    <w:rPr>
                                      <w:rFonts w:ascii="Times New Roman"/>
                                      <w:sz w:val="20"/>
                                    </w:rPr>
                                  </w:pPr>
                                </w:p>
                              </w:tc>
                              <w:tc>
                                <w:tcPr>
                                  <w:tcW w:w="7512" w:type="dxa"/>
                                </w:tcPr>
                                <w:p w14:paraId="534075D5">
                                  <w:pPr>
                                    <w:pStyle w:val="30"/>
                                    <w:spacing w:before="75"/>
                                    <w:ind w:left="282"/>
                                    <w:rPr>
                                      <w:sz w:val="21"/>
                                      <w:lang w:val="en-US"/>
                                    </w:rPr>
                                  </w:pPr>
                                  <w:r>
                                    <w:rPr>
                                      <w:sz w:val="21"/>
                                    </w:rPr>
                                    <w:t>监理人：</w:t>
                                  </w:r>
                                  <w:r>
                                    <w:rPr>
                                      <w:rFonts w:hint="eastAsia"/>
                                      <w:sz w:val="21"/>
                                      <w:lang w:val="en-US"/>
                                    </w:rPr>
                                    <w:t>/</w:t>
                                  </w:r>
                                </w:p>
                                <w:p w14:paraId="17263391">
                                  <w:pPr>
                                    <w:pStyle w:val="30"/>
                                    <w:tabs>
                                      <w:tab w:val="left" w:pos="3116"/>
                                    </w:tabs>
                                    <w:spacing w:before="50"/>
                                    <w:ind w:left="282"/>
                                    <w:rPr>
                                      <w:sz w:val="21"/>
                                    </w:rPr>
                                  </w:pPr>
                                  <w:r>
                                    <w:rPr>
                                      <w:sz w:val="21"/>
                                    </w:rPr>
                                    <w:t>地址：</w:t>
                                  </w:r>
                                  <w:r>
                                    <w:rPr>
                                      <w:sz w:val="21"/>
                                    </w:rPr>
                                    <w:tab/>
                                  </w:r>
                                  <w:r>
                                    <w:rPr>
                                      <w:sz w:val="21"/>
                                    </w:rPr>
                                    <w:t>邮政编码：</w:t>
                                  </w:r>
                                </w:p>
                              </w:tc>
                            </w:tr>
                            <w:tr w14:paraId="39611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47" w:type="dxa"/>
                                </w:tcPr>
                                <w:p w14:paraId="52FCBA01">
                                  <w:pPr>
                                    <w:pStyle w:val="30"/>
                                    <w:spacing w:before="6"/>
                                    <w:rPr>
                                      <w:sz w:val="17"/>
                                    </w:rPr>
                                  </w:pPr>
                                </w:p>
                                <w:p w14:paraId="7BADB33F">
                                  <w:pPr>
                                    <w:pStyle w:val="30"/>
                                    <w:spacing w:before="1"/>
                                    <w:ind w:left="355" w:right="346"/>
                                    <w:jc w:val="center"/>
                                    <w:rPr>
                                      <w:rFonts w:ascii="Times New Roman"/>
                                      <w:sz w:val="20"/>
                                    </w:rPr>
                                  </w:pPr>
                                  <w:r>
                                    <w:rPr>
                                      <w:rFonts w:ascii="Times New Roman"/>
                                      <w:sz w:val="20"/>
                                    </w:rPr>
                                    <w:t>21.1</w:t>
                                  </w:r>
                                </w:p>
                              </w:tc>
                              <w:tc>
                                <w:tcPr>
                                  <w:tcW w:w="7512" w:type="dxa"/>
                                </w:tcPr>
                                <w:p w14:paraId="27A4523A">
                                  <w:pPr>
                                    <w:pStyle w:val="30"/>
                                    <w:spacing w:before="12"/>
                                    <w:rPr>
                                      <w:sz w:val="9"/>
                                    </w:rPr>
                                  </w:pPr>
                                </w:p>
                                <w:p w14:paraId="139AB8B3">
                                  <w:pPr>
                                    <w:pStyle w:val="30"/>
                                    <w:spacing w:line="132" w:lineRule="exact"/>
                                    <w:ind w:left="1273"/>
                                    <w:rPr>
                                      <w:sz w:val="14"/>
                                    </w:rPr>
                                  </w:pPr>
                                </w:p>
                                <w:p w14:paraId="6CF24980">
                                  <w:pPr>
                                    <w:pStyle w:val="30"/>
                                    <w:tabs>
                                      <w:tab w:val="left" w:pos="4014"/>
                                    </w:tabs>
                                    <w:spacing w:line="360" w:lineRule="auto"/>
                                    <w:ind w:left="272"/>
                                    <w:rPr>
                                      <w:sz w:val="20"/>
                                    </w:rPr>
                                  </w:pPr>
                                  <w:r>
                                    <w:rPr>
                                      <w:sz w:val="21"/>
                                    </w:rPr>
                                    <w:t>缺陷责任期 ：自实际交工日期起计算</w:t>
                                  </w:r>
                                  <w:r>
                                    <w:rPr>
                                      <w:sz w:val="21"/>
                                      <w:u w:val="single"/>
                                    </w:rPr>
                                    <w:t xml:space="preserve"> </w:t>
                                  </w:r>
                                  <w:r>
                                    <w:rPr>
                                      <w:rFonts w:hint="eastAsia"/>
                                      <w:sz w:val="21"/>
                                      <w:u w:val="single"/>
                                      <w:lang w:val="en-US"/>
                                    </w:rPr>
                                    <w:t xml:space="preserve">1 </w:t>
                                  </w:r>
                                  <w:r>
                                    <w:rPr>
                                      <w:sz w:val="21"/>
                                    </w:rPr>
                                    <w:t>年</w:t>
                                  </w:r>
                                </w:p>
                              </w:tc>
                            </w:tr>
                            <w:tr w14:paraId="71A20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347" w:type="dxa"/>
                                </w:tcPr>
                                <w:p w14:paraId="0E9A1E4E">
                                  <w:pPr>
                                    <w:pStyle w:val="30"/>
                                    <w:rPr>
                                      <w:rFonts w:ascii="Times New Roman"/>
                                      <w:sz w:val="20"/>
                                    </w:rPr>
                                  </w:pPr>
                                </w:p>
                              </w:tc>
                              <w:tc>
                                <w:tcPr>
                                  <w:tcW w:w="7512" w:type="dxa"/>
                                </w:tcPr>
                                <w:p w14:paraId="347473BB">
                                  <w:pPr>
                                    <w:pStyle w:val="30"/>
                                    <w:spacing w:before="14" w:line="320" w:lineRule="atLeast"/>
                                    <w:ind w:left="106" w:right="107" w:firstLine="175"/>
                                    <w:rPr>
                                      <w:sz w:val="21"/>
                                    </w:rPr>
                                  </w:pPr>
                                  <w:r>
                                    <w:rPr>
                                      <w:sz w:val="21"/>
                                    </w:rPr>
                                    <w:t xml:space="preserve">图纸需要修改和补充的，应由监理人取得发包人同意后，在该工程或工程相应 </w:t>
                                  </w:r>
                                  <w:r>
                                    <w:rPr>
                                      <w:w w:val="95"/>
                                      <w:sz w:val="21"/>
                                    </w:rPr>
                                    <w:t xml:space="preserve"> </w:t>
                                  </w:r>
                                  <w:r>
                                    <w:rPr>
                                      <w:sz w:val="21"/>
                                    </w:rPr>
                                    <w:t>部位施工前</w:t>
                                  </w:r>
                                  <w:r>
                                    <w:rPr>
                                      <w:sz w:val="21"/>
                                      <w:u w:val="single"/>
                                    </w:rPr>
                                    <w:t xml:space="preserve"> </w:t>
                                  </w:r>
                                  <w:r>
                                    <w:rPr>
                                      <w:rFonts w:ascii="Times New Roman" w:eastAsia="Times New Roman"/>
                                      <w:sz w:val="21"/>
                                      <w:u w:val="single"/>
                                    </w:rPr>
                                    <w:t>7</w:t>
                                  </w:r>
                                  <w:r>
                                    <w:rPr>
                                      <w:rFonts w:ascii="Times New Roman" w:eastAsia="Times New Roman"/>
                                      <w:spacing w:val="51"/>
                                      <w:sz w:val="21"/>
                                    </w:rPr>
                                    <w:t xml:space="preserve"> </w:t>
                                  </w:r>
                                  <w:r>
                                    <w:rPr>
                                      <w:sz w:val="21"/>
                                    </w:rPr>
                                    <w:t>天签发图纸修改图给承包人</w:t>
                                  </w:r>
                                </w:p>
                              </w:tc>
                            </w:tr>
                            <w:tr w14:paraId="4CC54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347" w:type="dxa"/>
                                </w:tcPr>
                                <w:p w14:paraId="3B317E07">
                                  <w:pPr>
                                    <w:pStyle w:val="30"/>
                                    <w:rPr>
                                      <w:rFonts w:ascii="Times New Roman"/>
                                      <w:sz w:val="20"/>
                                    </w:rPr>
                                  </w:pPr>
                                </w:p>
                              </w:tc>
                              <w:tc>
                                <w:tcPr>
                                  <w:tcW w:w="7512" w:type="dxa"/>
                                </w:tcPr>
                                <w:p w14:paraId="14819800">
                                  <w:pPr>
                                    <w:pStyle w:val="30"/>
                                    <w:spacing w:before="178"/>
                                    <w:ind w:left="282"/>
                                    <w:rPr>
                                      <w:sz w:val="21"/>
                                    </w:rPr>
                                  </w:pPr>
                                  <w:r>
                                    <w:rPr>
                                      <w:sz w:val="21"/>
                                    </w:rPr>
                                    <w:t>监理人在行使变更前需要发包人事先批准</w:t>
                                  </w:r>
                                </w:p>
                              </w:tc>
                            </w:tr>
                            <w:tr w14:paraId="17B1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347" w:type="dxa"/>
                                </w:tcPr>
                                <w:p w14:paraId="26BCAEA0">
                                  <w:pPr>
                                    <w:pStyle w:val="30"/>
                                    <w:spacing w:before="10"/>
                                    <w:rPr>
                                      <w:sz w:val="15"/>
                                    </w:rPr>
                                  </w:pPr>
                                </w:p>
                                <w:p w14:paraId="6AC65A9F">
                                  <w:pPr>
                                    <w:pStyle w:val="30"/>
                                    <w:ind w:left="356" w:right="344"/>
                                    <w:jc w:val="center"/>
                                    <w:rPr>
                                      <w:rFonts w:ascii="Times New Roman"/>
                                      <w:sz w:val="20"/>
                                    </w:rPr>
                                  </w:pPr>
                                  <w:r>
                                    <w:rPr>
                                      <w:rFonts w:ascii="Times New Roman"/>
                                      <w:sz w:val="20"/>
                                    </w:rPr>
                                    <w:t>6.2</w:t>
                                  </w:r>
                                </w:p>
                              </w:tc>
                              <w:tc>
                                <w:tcPr>
                                  <w:tcW w:w="7512" w:type="dxa"/>
                                </w:tcPr>
                                <w:p w14:paraId="24900981">
                                  <w:pPr>
                                    <w:pStyle w:val="30"/>
                                    <w:spacing w:before="177"/>
                                    <w:ind w:left="282"/>
                                    <w:rPr>
                                      <w:sz w:val="21"/>
                                    </w:rPr>
                                  </w:pPr>
                                  <w:r>
                                    <w:rPr>
                                      <w:sz w:val="21"/>
                                    </w:rPr>
                                    <w:t>发包人是否提供材料或工程设备：</w:t>
                                  </w:r>
                                  <w:r>
                                    <w:rPr>
                                      <w:rFonts w:hint="eastAsia"/>
                                      <w:sz w:val="21"/>
                                    </w:rPr>
                                    <w:t>否</w:t>
                                  </w:r>
                                </w:p>
                              </w:tc>
                            </w:tr>
                            <w:tr w14:paraId="3A680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347" w:type="dxa"/>
                                </w:tcPr>
                                <w:p w14:paraId="4E11E3C1">
                                  <w:pPr>
                                    <w:pStyle w:val="30"/>
                                    <w:spacing w:before="9"/>
                                    <w:rPr>
                                      <w:sz w:val="15"/>
                                    </w:rPr>
                                  </w:pPr>
                                </w:p>
                                <w:p w14:paraId="69CC2CE8">
                                  <w:pPr>
                                    <w:pStyle w:val="30"/>
                                    <w:ind w:left="356" w:right="344"/>
                                    <w:jc w:val="center"/>
                                    <w:rPr>
                                      <w:rFonts w:ascii="Times New Roman"/>
                                      <w:sz w:val="20"/>
                                    </w:rPr>
                                  </w:pPr>
                                  <w:r>
                                    <w:rPr>
                                      <w:rFonts w:ascii="Times New Roman"/>
                                      <w:sz w:val="20"/>
                                    </w:rPr>
                                    <w:t>6.2</w:t>
                                  </w:r>
                                </w:p>
                              </w:tc>
                              <w:tc>
                                <w:tcPr>
                                  <w:tcW w:w="7512" w:type="dxa"/>
                                </w:tcPr>
                                <w:p w14:paraId="191FDF1C">
                                  <w:pPr>
                                    <w:pStyle w:val="30"/>
                                    <w:tabs>
                                      <w:tab w:val="left" w:pos="4219"/>
                                    </w:tabs>
                                    <w:spacing w:before="178"/>
                                    <w:ind w:left="282"/>
                                    <w:rPr>
                                      <w:rFonts w:ascii="Times New Roman"/>
                                      <w:sz w:val="21"/>
                                    </w:rPr>
                                  </w:pPr>
                                  <w:r>
                                    <w:rPr>
                                      <w:sz w:val="21"/>
                                    </w:rPr>
                                    <w:t>发包人是否提供施工设备和临时设施：</w:t>
                                  </w:r>
                                  <w:r>
                                    <w:rPr>
                                      <w:rFonts w:ascii="Times New Roman" w:eastAsia="Times New Roman"/>
                                      <w:w w:val="95"/>
                                      <w:sz w:val="21"/>
                                      <w:u w:val="single"/>
                                    </w:rPr>
                                    <w:t xml:space="preserve"> </w:t>
                                  </w:r>
                                  <w:r>
                                    <w:rPr>
                                      <w:rFonts w:hint="eastAsia" w:ascii="Times New Roman"/>
                                      <w:sz w:val="21"/>
                                      <w:u w:val="single"/>
                                      <w:lang w:val="en-US"/>
                                    </w:rPr>
                                    <w:t>否</w:t>
                                  </w:r>
                                </w:p>
                              </w:tc>
                            </w:tr>
                            <w:tr w14:paraId="2F236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1347" w:type="dxa"/>
                                </w:tcPr>
                                <w:p w14:paraId="043521A1">
                                  <w:pPr>
                                    <w:pStyle w:val="30"/>
                                    <w:spacing w:before="1"/>
                                    <w:rPr>
                                      <w:sz w:val="26"/>
                                      <w:highlight w:val="none"/>
                                    </w:rPr>
                                  </w:pPr>
                                </w:p>
                                <w:p w14:paraId="57691172">
                                  <w:pPr>
                                    <w:pStyle w:val="30"/>
                                    <w:ind w:left="356" w:right="344"/>
                                    <w:jc w:val="center"/>
                                    <w:rPr>
                                      <w:rFonts w:ascii="Times New Roman"/>
                                      <w:sz w:val="20"/>
                                      <w:highlight w:val="none"/>
                                    </w:rPr>
                                  </w:pPr>
                                  <w:r>
                                    <w:rPr>
                                      <w:rFonts w:ascii="Times New Roman"/>
                                      <w:sz w:val="20"/>
                                      <w:highlight w:val="none"/>
                                    </w:rPr>
                                    <w:t>8.4</w:t>
                                  </w:r>
                                </w:p>
                              </w:tc>
                              <w:tc>
                                <w:tcPr>
                                  <w:tcW w:w="7512" w:type="dxa"/>
                                </w:tcPr>
                                <w:p w14:paraId="2F2DA216">
                                  <w:pPr>
                                    <w:pStyle w:val="30"/>
                                    <w:tabs>
                                      <w:tab w:val="left" w:pos="2276"/>
                                    </w:tabs>
                                    <w:spacing w:before="114" w:line="285" w:lineRule="auto"/>
                                    <w:ind w:left="106" w:right="188" w:firstLine="175"/>
                                    <w:rPr>
                                      <w:sz w:val="21"/>
                                      <w:highlight w:val="none"/>
                                    </w:rPr>
                                  </w:pPr>
                                  <w:r>
                                    <w:rPr>
                                      <w:sz w:val="21"/>
                                      <w:highlight w:val="none"/>
                                    </w:rPr>
                                    <w:t>逾期交工违约金：</w:t>
                                  </w:r>
                                  <w:r>
                                    <w:rPr>
                                      <w:sz w:val="21"/>
                                      <w:highlight w:val="none"/>
                                      <w:u w:val="single"/>
                                    </w:rPr>
                                    <w:t xml:space="preserve"> </w:t>
                                  </w:r>
                                  <w:r>
                                    <w:rPr>
                                      <w:rFonts w:hint="eastAsia"/>
                                      <w:sz w:val="21"/>
                                      <w:highlight w:val="none"/>
                                      <w:u w:val="single"/>
                                      <w:lang w:val="en-US"/>
                                    </w:rPr>
                                    <w:t>0.3</w:t>
                                  </w:r>
                                  <w:r>
                                    <w:rPr>
                                      <w:rFonts w:ascii="Times New Roman" w:eastAsia="Times New Roman"/>
                                      <w:w w:val="95"/>
                                      <w:sz w:val="21"/>
                                      <w:highlight w:val="none"/>
                                    </w:rPr>
                                    <w:t>%</w:t>
                                  </w:r>
                                  <w:r>
                                    <w:rPr>
                                      <w:sz w:val="21"/>
                                      <w:highlight w:val="none"/>
                                    </w:rPr>
                                    <w:t>合同价元/天（如由于承包人的原因造成逾期交工，其相应增加监理服务费和发包人管理费由承包人承担）</w:t>
                                  </w:r>
                                </w:p>
                              </w:tc>
                            </w:tr>
                            <w:tr w14:paraId="0A848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347" w:type="dxa"/>
                                </w:tcPr>
                                <w:p w14:paraId="037109F8">
                                  <w:pPr>
                                    <w:pStyle w:val="30"/>
                                    <w:spacing w:before="9"/>
                                    <w:rPr>
                                      <w:sz w:val="15"/>
                                    </w:rPr>
                                  </w:pPr>
                                </w:p>
                                <w:p w14:paraId="7912DA0C">
                                  <w:pPr>
                                    <w:pStyle w:val="30"/>
                                    <w:ind w:left="356" w:right="344"/>
                                    <w:jc w:val="center"/>
                                    <w:rPr>
                                      <w:rFonts w:ascii="Times New Roman"/>
                                      <w:sz w:val="20"/>
                                    </w:rPr>
                                  </w:pPr>
                                  <w:r>
                                    <w:rPr>
                                      <w:rFonts w:ascii="Times New Roman"/>
                                      <w:sz w:val="20"/>
                                    </w:rPr>
                                    <w:t>8.4</w:t>
                                  </w:r>
                                </w:p>
                              </w:tc>
                              <w:tc>
                                <w:tcPr>
                                  <w:tcW w:w="7512" w:type="dxa"/>
                                </w:tcPr>
                                <w:p w14:paraId="0A0F949C">
                                  <w:pPr>
                                    <w:pStyle w:val="30"/>
                                    <w:spacing w:before="106" w:line="125" w:lineRule="exact"/>
                                    <w:ind w:left="662"/>
                                    <w:jc w:val="center"/>
                                    <w:rPr>
                                      <w:sz w:val="14"/>
                                    </w:rPr>
                                  </w:pPr>
                                </w:p>
                                <w:p w14:paraId="4FB8BC55">
                                  <w:pPr>
                                    <w:pStyle w:val="30"/>
                                    <w:tabs>
                                      <w:tab w:val="left" w:pos="2802"/>
                                    </w:tabs>
                                    <w:spacing w:line="220" w:lineRule="exact"/>
                                    <w:ind w:left="283"/>
                                    <w:rPr>
                                      <w:sz w:val="21"/>
                                    </w:rPr>
                                  </w:pPr>
                                  <w:r>
                                    <w:rPr>
                                      <w:sz w:val="21"/>
                                    </w:rPr>
                                    <w:t>逾期交工违约金限额：</w:t>
                                  </w:r>
                                  <w:r>
                                    <w:rPr>
                                      <w:sz w:val="21"/>
                                      <w:u w:val="single"/>
                                    </w:rPr>
                                    <w:t xml:space="preserve"> </w:t>
                                  </w:r>
                                  <w:r>
                                    <w:rPr>
                                      <w:rFonts w:hint="eastAsia"/>
                                      <w:sz w:val="21"/>
                                      <w:u w:val="single"/>
                                      <w:lang w:val="en-US"/>
                                    </w:rPr>
                                    <w:t xml:space="preserve">10 </w:t>
                                  </w:r>
                                  <w:r>
                                    <w:rPr>
                                      <w:rFonts w:ascii="Times New Roman" w:eastAsia="Times New Roman"/>
                                      <w:sz w:val="21"/>
                                    </w:rPr>
                                    <w:t>%</w:t>
                                  </w:r>
                                  <w:r>
                                    <w:rPr>
                                      <w:sz w:val="21"/>
                                    </w:rPr>
                                    <w:t>签约合同价</w:t>
                                  </w:r>
                                </w:p>
                              </w:tc>
                            </w:tr>
                            <w:tr w14:paraId="7A8EE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347" w:type="dxa"/>
                                </w:tcPr>
                                <w:p w14:paraId="440CF048">
                                  <w:pPr>
                                    <w:pStyle w:val="30"/>
                                    <w:spacing w:before="10"/>
                                    <w:rPr>
                                      <w:sz w:val="15"/>
                                    </w:rPr>
                                  </w:pPr>
                                </w:p>
                                <w:p w14:paraId="242FD817">
                                  <w:pPr>
                                    <w:pStyle w:val="30"/>
                                    <w:ind w:left="356" w:right="344"/>
                                    <w:jc w:val="center"/>
                                    <w:rPr>
                                      <w:rFonts w:ascii="Times New Roman"/>
                                      <w:sz w:val="20"/>
                                    </w:rPr>
                                  </w:pPr>
                                  <w:r>
                                    <w:rPr>
                                      <w:rFonts w:ascii="Times New Roman"/>
                                      <w:sz w:val="20"/>
                                    </w:rPr>
                                    <w:t>5.6</w:t>
                                  </w:r>
                                </w:p>
                              </w:tc>
                              <w:tc>
                                <w:tcPr>
                                  <w:tcW w:w="7512" w:type="dxa"/>
                                </w:tcPr>
                                <w:p w14:paraId="4BB3F715">
                                  <w:pPr>
                                    <w:pStyle w:val="30"/>
                                    <w:spacing w:before="105" w:line="125" w:lineRule="exact"/>
                                    <w:ind w:left="33"/>
                                    <w:jc w:val="center"/>
                                    <w:rPr>
                                      <w:sz w:val="14"/>
                                    </w:rPr>
                                  </w:pPr>
                                </w:p>
                                <w:p w14:paraId="69AF4926">
                                  <w:pPr>
                                    <w:pStyle w:val="30"/>
                                    <w:tabs>
                                      <w:tab w:val="left" w:pos="2487"/>
                                    </w:tabs>
                                    <w:spacing w:line="220" w:lineRule="exact"/>
                                    <w:ind w:left="283"/>
                                    <w:rPr>
                                      <w:sz w:val="21"/>
                                    </w:rPr>
                                  </w:pPr>
                                  <w:r>
                                    <w:rPr>
                                      <w:sz w:val="21"/>
                                    </w:rPr>
                                    <w:t>开工预付款金额：</w:t>
                                  </w:r>
                                  <w:r>
                                    <w:rPr>
                                      <w:rFonts w:hint="eastAsia"/>
                                      <w:sz w:val="21"/>
                                      <w:u w:val="single"/>
                                      <w:lang w:val="en-US"/>
                                    </w:rPr>
                                    <w:t xml:space="preserve">30 </w:t>
                                  </w:r>
                                  <w:r>
                                    <w:rPr>
                                      <w:rFonts w:ascii="Times New Roman" w:eastAsia="Times New Roman"/>
                                      <w:sz w:val="21"/>
                                    </w:rPr>
                                    <w:t>%</w:t>
                                  </w:r>
                                  <w:r>
                                    <w:rPr>
                                      <w:sz w:val="21"/>
                                    </w:rPr>
                                    <w:t>签约合同价</w:t>
                                  </w:r>
                                </w:p>
                              </w:tc>
                            </w:tr>
                            <w:tr w14:paraId="447F8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347" w:type="dxa"/>
                                </w:tcPr>
                                <w:p w14:paraId="53EA02AA">
                                  <w:pPr>
                                    <w:pStyle w:val="30"/>
                                    <w:spacing w:before="9"/>
                                    <w:rPr>
                                      <w:sz w:val="15"/>
                                    </w:rPr>
                                  </w:pPr>
                                </w:p>
                                <w:p w14:paraId="65F00333">
                                  <w:pPr>
                                    <w:pStyle w:val="30"/>
                                    <w:ind w:left="355" w:right="346"/>
                                    <w:jc w:val="center"/>
                                    <w:rPr>
                                      <w:rFonts w:ascii="Times New Roman"/>
                                      <w:sz w:val="20"/>
                                    </w:rPr>
                                  </w:pPr>
                                  <w:r>
                                    <w:rPr>
                                      <w:rFonts w:ascii="Times New Roman"/>
                                      <w:sz w:val="20"/>
                                    </w:rPr>
                                    <w:t>17.5</w:t>
                                  </w:r>
                                </w:p>
                              </w:tc>
                              <w:tc>
                                <w:tcPr>
                                  <w:tcW w:w="7512" w:type="dxa"/>
                                </w:tcPr>
                                <w:p w14:paraId="18C400ED">
                                  <w:pPr>
                                    <w:pStyle w:val="30"/>
                                    <w:spacing w:before="106" w:line="125" w:lineRule="exact"/>
                                    <w:ind w:right="426"/>
                                    <w:jc w:val="right"/>
                                    <w:rPr>
                                      <w:sz w:val="14"/>
                                    </w:rPr>
                                  </w:pPr>
                                </w:p>
                                <w:p w14:paraId="6B544FFF">
                                  <w:pPr>
                                    <w:pStyle w:val="30"/>
                                    <w:tabs>
                                      <w:tab w:val="left" w:pos="6687"/>
                                    </w:tabs>
                                    <w:spacing w:line="215" w:lineRule="exact"/>
                                    <w:ind w:left="282"/>
                                    <w:rPr>
                                      <w:rFonts w:ascii="Times New Roman" w:eastAsia="Times New Roman"/>
                                      <w:sz w:val="21"/>
                                    </w:rPr>
                                  </w:pPr>
                                  <w:r>
                                    <w:rPr>
                                      <w:sz w:val="21"/>
                                    </w:rPr>
                                    <w:t>材料预付款比例：水泥、钢材、沥青等主要材料单据所列费用的</w:t>
                                  </w:r>
                                  <w:r>
                                    <w:rPr>
                                      <w:rFonts w:hint="eastAsia"/>
                                      <w:sz w:val="21"/>
                                      <w:u w:val="single"/>
                                      <w:lang w:val="en-US"/>
                                    </w:rPr>
                                    <w:t xml:space="preserve"> / </w:t>
                                  </w:r>
                                  <w:r>
                                    <w:rPr>
                                      <w:rFonts w:ascii="Times New Roman" w:eastAsia="Times New Roman"/>
                                      <w:sz w:val="21"/>
                                    </w:rPr>
                                    <w:t>%</w:t>
                                  </w:r>
                                </w:p>
                              </w:tc>
                            </w:tr>
                            <w:tr w14:paraId="1F3C9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347" w:type="dxa"/>
                                </w:tcPr>
                                <w:p w14:paraId="79D420C1">
                                  <w:pPr>
                                    <w:pStyle w:val="30"/>
                                    <w:spacing w:before="10"/>
                                    <w:rPr>
                                      <w:sz w:val="15"/>
                                    </w:rPr>
                                  </w:pPr>
                                </w:p>
                                <w:p w14:paraId="74269234">
                                  <w:pPr>
                                    <w:pStyle w:val="30"/>
                                    <w:ind w:left="355" w:right="346"/>
                                    <w:jc w:val="center"/>
                                    <w:rPr>
                                      <w:rFonts w:ascii="Times New Roman"/>
                                      <w:sz w:val="20"/>
                                    </w:rPr>
                                  </w:pPr>
                                  <w:r>
                                    <w:rPr>
                                      <w:rFonts w:ascii="Times New Roman"/>
                                      <w:sz w:val="20"/>
                                    </w:rPr>
                                    <w:t>18.3</w:t>
                                  </w:r>
                                </w:p>
                              </w:tc>
                              <w:tc>
                                <w:tcPr>
                                  <w:tcW w:w="7512" w:type="dxa"/>
                                </w:tcPr>
                                <w:p w14:paraId="1BA78765">
                                  <w:pPr>
                                    <w:pStyle w:val="30"/>
                                    <w:spacing w:before="177"/>
                                    <w:ind w:left="282"/>
                                    <w:rPr>
                                      <w:sz w:val="21"/>
                                    </w:rPr>
                                  </w:pPr>
                                  <w:r>
                                    <w:rPr>
                                      <w:sz w:val="21"/>
                                    </w:rPr>
                                    <w:t>承包人在每个付款周期末向监理人提交进度付款申请单的份数：</w:t>
                                  </w:r>
                                  <w:r>
                                    <w:rPr>
                                      <w:sz w:val="21"/>
                                      <w:u w:val="single"/>
                                    </w:rPr>
                                    <w:t xml:space="preserve"> </w:t>
                                  </w:r>
                                  <w:r>
                                    <w:rPr>
                                      <w:rFonts w:ascii="Times New Roman" w:eastAsia="Times New Roman"/>
                                      <w:sz w:val="21"/>
                                      <w:u w:val="single"/>
                                    </w:rPr>
                                    <w:t>6</w:t>
                                  </w:r>
                                  <w:r>
                                    <w:rPr>
                                      <w:rFonts w:ascii="Times New Roman" w:eastAsia="Times New Roman"/>
                                      <w:sz w:val="21"/>
                                    </w:rPr>
                                    <w:t xml:space="preserve"> </w:t>
                                  </w:r>
                                  <w:r>
                                    <w:rPr>
                                      <w:sz w:val="21"/>
                                    </w:rPr>
                                    <w:t>份</w:t>
                                  </w:r>
                                </w:p>
                              </w:tc>
                            </w:tr>
                            <w:tr w14:paraId="09377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347" w:type="dxa"/>
                                </w:tcPr>
                                <w:p w14:paraId="1433128E">
                                  <w:pPr>
                                    <w:pStyle w:val="30"/>
                                    <w:spacing w:before="10"/>
                                    <w:rPr>
                                      <w:sz w:val="20"/>
                                    </w:rPr>
                                  </w:pPr>
                                </w:p>
                                <w:p w14:paraId="0DD70520">
                                  <w:pPr>
                                    <w:pStyle w:val="30"/>
                                    <w:ind w:left="356" w:right="346"/>
                                    <w:jc w:val="center"/>
                                    <w:rPr>
                                      <w:rFonts w:ascii="Times New Roman"/>
                                      <w:sz w:val="20"/>
                                    </w:rPr>
                                  </w:pPr>
                                  <w:r>
                                    <w:rPr>
                                      <w:rFonts w:ascii="Times New Roman"/>
                                      <w:sz w:val="20"/>
                                    </w:rPr>
                                    <w:t>18.3(3)</w:t>
                                  </w:r>
                                </w:p>
                              </w:tc>
                              <w:tc>
                                <w:tcPr>
                                  <w:tcW w:w="7512" w:type="dxa"/>
                                </w:tcPr>
                                <w:p w14:paraId="6F37B6A3">
                                  <w:pPr>
                                    <w:pStyle w:val="30"/>
                                    <w:spacing w:line="320" w:lineRule="exact"/>
                                    <w:ind w:left="106" w:right="41" w:firstLine="175"/>
                                    <w:rPr>
                                      <w:sz w:val="21"/>
                                    </w:rPr>
                                  </w:pPr>
                                  <w:r>
                                    <w:rPr>
                                      <w:sz w:val="21"/>
                                    </w:rPr>
                                    <w:t xml:space="preserve">逾期付款违约金的利率：全国银行间同业拆借中心公布的 </w:t>
                                  </w:r>
                                  <w:r>
                                    <w:rPr>
                                      <w:rFonts w:ascii="Times New Roman" w:eastAsia="Times New Roman"/>
                                      <w:sz w:val="21"/>
                                    </w:rPr>
                                    <w:t xml:space="preserve">1 </w:t>
                                  </w:r>
                                  <w:r>
                                    <w:rPr>
                                      <w:sz w:val="21"/>
                                    </w:rPr>
                                    <w:t>年期贷款市场报价利率</w:t>
                                  </w:r>
                                </w:p>
                              </w:tc>
                            </w:tr>
                            <w:tr w14:paraId="75547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1347" w:type="dxa"/>
                                </w:tcPr>
                                <w:p w14:paraId="7BC7CDB8">
                                  <w:pPr>
                                    <w:pStyle w:val="30"/>
                                  </w:pPr>
                                </w:p>
                                <w:p w14:paraId="54950B4D">
                                  <w:pPr>
                                    <w:pStyle w:val="30"/>
                                  </w:pPr>
                                </w:p>
                                <w:p w14:paraId="58173D75">
                                  <w:pPr>
                                    <w:pStyle w:val="30"/>
                                    <w:spacing w:before="183"/>
                                    <w:ind w:left="356" w:right="346"/>
                                    <w:jc w:val="center"/>
                                    <w:rPr>
                                      <w:rFonts w:ascii="Times New Roman"/>
                                      <w:sz w:val="20"/>
                                    </w:rPr>
                                  </w:pPr>
                                  <w:r>
                                    <w:rPr>
                                      <w:rFonts w:ascii="Times New Roman"/>
                                      <w:sz w:val="20"/>
                                    </w:rPr>
                                    <w:t>18.7(1)</w:t>
                                  </w:r>
                                </w:p>
                              </w:tc>
                              <w:tc>
                                <w:tcPr>
                                  <w:tcW w:w="7512" w:type="dxa"/>
                                </w:tcPr>
                                <w:p w14:paraId="2E70B476">
                                  <w:pPr>
                                    <w:pStyle w:val="30"/>
                                    <w:spacing w:line="100" w:lineRule="exact"/>
                                    <w:ind w:left="1750"/>
                                    <w:rPr>
                                      <w:sz w:val="14"/>
                                    </w:rPr>
                                  </w:pPr>
                                </w:p>
                                <w:p w14:paraId="73ECBF1E">
                                  <w:pPr>
                                    <w:pStyle w:val="30"/>
                                    <w:spacing w:line="315" w:lineRule="exact"/>
                                    <w:ind w:firstLine="210" w:firstLineChars="100"/>
                                    <w:rPr>
                                      <w:rFonts w:hint="default" w:eastAsia="宋体"/>
                                      <w:sz w:val="21"/>
                                      <w:lang w:val="en-US" w:eastAsia="zh-CN"/>
                                    </w:rPr>
                                  </w:pPr>
                                  <w:r>
                                    <w:rPr>
                                      <w:rFonts w:hint="eastAsia"/>
                                      <w:sz w:val="21"/>
                                      <w:lang w:val="en-US" w:eastAsia="zh-CN"/>
                                    </w:rPr>
                                    <w:t>本项目不收取质量保证金</w:t>
                                  </w:r>
                                </w:p>
                              </w:tc>
                            </w:tr>
                          </w:tbl>
                          <w:p w14:paraId="08BDFEBE">
                            <w:pPr>
                              <w:pStyle w:val="10"/>
                            </w:pPr>
                          </w:p>
                        </w:txbxContent>
                      </wps:txbx>
                      <wps:bodyPr lIns="0" tIns="0" rIns="0" bIns="0" upright="1"/>
                    </wps:wsp>
                  </a:graphicData>
                </a:graphic>
              </wp:anchor>
            </w:drawing>
          </mc:Choice>
          <mc:Fallback>
            <w:pict>
              <v:shape id="文本框 30" o:spid="_x0000_s1026" o:spt="202" type="#_x0000_t202" style="position:absolute;left:0pt;margin-left:76.55pt;margin-top:39.7pt;height:514.75pt;width:445.3pt;mso-position-horizontal-relative:page;z-index:251677696;mso-width-relative:page;mso-height-relative:page;" filled="f" stroked="f" coordsize="21600,21600" o:gfxdata="UEsDBAoAAAAAAIdO4kAAAAAAAAAAAAAAAAAEAAAAZHJzL1BLAwQUAAAACACHTuJAjg2gjNoAAAAM&#10;AQAADwAAAGRycy9kb3ducmV2LnhtbE2PTU/DMAyG70j8h8hI3FhSNra1NJ0QghMSoisHjmnjtdUa&#10;pzTZB/8e7wQ3v/Kj14/zzdkN4ohT6D1pSGYKBFLjbU+ths/q9W4NIkRD1gyeUMMPBtgU11e5yaw/&#10;UYnHbWwFl1DIjIYuxjGTMjQdOhNmfkTi3c5PzkSOUyvtZE5c7gZ5r9RSOtMTX+jMiM8dNvvtwWl4&#10;+qLypf9+rz/KXdlXVarobbnX+vYmUY8gIp7jHwwXfVaHgp1qfyAbxMD5YZ4wqmGVLkBcALWYr0DU&#10;PCVqnYIscvn/ieIXUEsDBBQAAAAIAIdO4kBcJKVbuwEAAHUDAAAOAAAAZHJzL2Uyb0RvYy54bWyt&#10;U0uOEzEQ3SNxB8t74nzoMGqlM9IoGoSEAGngAI7bTluyXZbtpDsXgBuwYsOec+UclJ3fMGxmMRt3&#10;dVX1q/deuRe3gzVkJ0PU4Bo6GY0pkU5Aq92mod++3r+5oSQm7lpuwMmG7mWkt8vXrxa9r+UUOjCt&#10;DARBXKx739AuJV8zFkUnLY8j8NJhUUGwPOFr2LA28B7RrWHT8XjOegitDyBkjJhdHYv0hBieAwhK&#10;aSFXILZWunREDdLwhJJip32ky8JWKSnSZ6WiTMQ0FJWmcuIQjNf5ZMsFrzeB+06LEwX+HApPNFmu&#10;HQ69QK144mQb9H9QVosAEVQaCbDsKKQ4giom4yfePHTcy6IFrY7+Ynp8OVjxafclEN3iTXhLieMW&#10;N374+ePw68/h93cyKwb1PtbY9+CxMw13MGBzNi7nIyaz7kEFm5+oiGAd7d1f7JVDIgKT1byqZhMs&#10;CazNq9m72bTKOOz6uQ8xvZdgSQ4aGnB/xVa++xjTsfXckqc5uNfGlB0a908CMXOGXTnmKA3r4UR8&#10;De0e9ZgPDt3MN+MchHOwPgdbH/SmQzpFdYHEbRTep5uT1/34vQy+/i3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4NoIzaAAAADAEAAA8AAAAAAAAAAQAgAAAAIgAAAGRycy9kb3ducmV2LnhtbFBL&#10;AQIUABQAAAAIAIdO4kBcJKVbuwEAAHUDAAAOAAAAAAAAAAEAIAAAACkBAABkcnMvZTJvRG9jLnht&#10;bFBLBQYAAAAABgAGAFkBAABWBQAAAAA=&#10;">
                <v:fill on="f" focussize="0,0"/>
                <v:stroke on="f"/>
                <v:imagedata o:title=""/>
                <o:lock v:ext="edit" aspectratio="f"/>
                <v:textbox inset="0mm,0mm,0mm,0mm">
                  <w:txbxContent>
                    <w:tbl>
                      <w:tblPr>
                        <w:tblStyle w:val="24"/>
                        <w:tblW w:w="8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7"/>
                        <w:gridCol w:w="7512"/>
                      </w:tblGrid>
                      <w:tr w14:paraId="10957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347" w:type="dxa"/>
                          </w:tcPr>
                          <w:p w14:paraId="55D8052D">
                            <w:pPr>
                              <w:pStyle w:val="30"/>
                              <w:spacing w:before="12"/>
                              <w:rPr>
                                <w:sz w:val="15"/>
                              </w:rPr>
                            </w:pPr>
                          </w:p>
                          <w:p w14:paraId="040F61E9">
                            <w:pPr>
                              <w:pStyle w:val="30"/>
                              <w:ind w:left="356" w:right="346"/>
                              <w:jc w:val="center"/>
                              <w:rPr>
                                <w:sz w:val="20"/>
                              </w:rPr>
                            </w:pPr>
                            <w:r>
                              <w:rPr>
                                <w:sz w:val="20"/>
                              </w:rPr>
                              <w:t>条款号</w:t>
                            </w:r>
                          </w:p>
                        </w:tc>
                        <w:tc>
                          <w:tcPr>
                            <w:tcW w:w="7512" w:type="dxa"/>
                          </w:tcPr>
                          <w:p w14:paraId="79078EC2">
                            <w:pPr>
                              <w:pStyle w:val="30"/>
                              <w:spacing w:before="12"/>
                              <w:rPr>
                                <w:sz w:val="15"/>
                              </w:rPr>
                            </w:pPr>
                          </w:p>
                          <w:p w14:paraId="23E4D063">
                            <w:pPr>
                              <w:pStyle w:val="30"/>
                              <w:ind w:left="3246" w:right="3242"/>
                              <w:jc w:val="center"/>
                              <w:rPr>
                                <w:sz w:val="20"/>
                              </w:rPr>
                            </w:pPr>
                            <w:r>
                              <w:rPr>
                                <w:sz w:val="20"/>
                              </w:rPr>
                              <w:t>信息或数据</w:t>
                            </w:r>
                          </w:p>
                        </w:tc>
                      </w:tr>
                      <w:tr w14:paraId="2CFF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347" w:type="dxa"/>
                          </w:tcPr>
                          <w:p w14:paraId="4CCF1B03">
                            <w:pPr>
                              <w:pStyle w:val="30"/>
                              <w:rPr>
                                <w:rFonts w:ascii="Times New Roman"/>
                                <w:sz w:val="20"/>
                              </w:rPr>
                            </w:pPr>
                          </w:p>
                        </w:tc>
                        <w:tc>
                          <w:tcPr>
                            <w:tcW w:w="7512" w:type="dxa"/>
                          </w:tcPr>
                          <w:p w14:paraId="6BF0F7AF">
                            <w:pPr>
                              <w:pStyle w:val="30"/>
                              <w:spacing w:before="76"/>
                              <w:ind w:left="282"/>
                              <w:rPr>
                                <w:rFonts w:hint="eastAsia" w:eastAsia="宋体"/>
                                <w:sz w:val="21"/>
                                <w:lang w:val="en-US" w:eastAsia="zh-CN"/>
                              </w:rPr>
                            </w:pPr>
                            <w:r>
                              <w:rPr>
                                <w:sz w:val="21"/>
                              </w:rPr>
                              <w:t>发包人：</w:t>
                            </w:r>
                            <w:r>
                              <w:rPr>
                                <w:rFonts w:hint="eastAsia"/>
                                <w:sz w:val="21"/>
                                <w:lang w:val="en-US" w:eastAsia="zh-CN"/>
                              </w:rPr>
                              <w:t>叶城县洛克乡人民政府</w:t>
                            </w:r>
                          </w:p>
                          <w:p w14:paraId="7643DB32">
                            <w:pPr>
                              <w:pStyle w:val="30"/>
                              <w:tabs>
                                <w:tab w:val="left" w:pos="3116"/>
                              </w:tabs>
                              <w:spacing w:before="50"/>
                              <w:ind w:left="282"/>
                              <w:rPr>
                                <w:sz w:val="21"/>
                                <w:lang w:val="en-US"/>
                              </w:rPr>
                            </w:pPr>
                            <w:r>
                              <w:rPr>
                                <w:sz w:val="21"/>
                              </w:rPr>
                              <w:t>地址：</w:t>
                            </w:r>
                            <w:r>
                              <w:rPr>
                                <w:rFonts w:hint="eastAsia"/>
                                <w:sz w:val="21"/>
                                <w:lang w:val="en-US"/>
                              </w:rPr>
                              <w:t>伽师县</w:t>
                            </w:r>
                            <w:r>
                              <w:rPr>
                                <w:sz w:val="21"/>
                              </w:rPr>
                              <w:tab/>
                            </w:r>
                            <w:r>
                              <w:rPr>
                                <w:sz w:val="21"/>
                              </w:rPr>
                              <w:t>邮政编码：</w:t>
                            </w:r>
                          </w:p>
                        </w:tc>
                      </w:tr>
                      <w:tr w14:paraId="50659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47" w:type="dxa"/>
                          </w:tcPr>
                          <w:p w14:paraId="7005EFDD">
                            <w:pPr>
                              <w:pStyle w:val="30"/>
                              <w:rPr>
                                <w:rFonts w:ascii="Times New Roman"/>
                                <w:sz w:val="20"/>
                              </w:rPr>
                            </w:pPr>
                          </w:p>
                        </w:tc>
                        <w:tc>
                          <w:tcPr>
                            <w:tcW w:w="7512" w:type="dxa"/>
                          </w:tcPr>
                          <w:p w14:paraId="534075D5">
                            <w:pPr>
                              <w:pStyle w:val="30"/>
                              <w:spacing w:before="75"/>
                              <w:ind w:left="282"/>
                              <w:rPr>
                                <w:sz w:val="21"/>
                                <w:lang w:val="en-US"/>
                              </w:rPr>
                            </w:pPr>
                            <w:r>
                              <w:rPr>
                                <w:sz w:val="21"/>
                              </w:rPr>
                              <w:t>监理人：</w:t>
                            </w:r>
                            <w:r>
                              <w:rPr>
                                <w:rFonts w:hint="eastAsia"/>
                                <w:sz w:val="21"/>
                                <w:lang w:val="en-US"/>
                              </w:rPr>
                              <w:t>/</w:t>
                            </w:r>
                          </w:p>
                          <w:p w14:paraId="17263391">
                            <w:pPr>
                              <w:pStyle w:val="30"/>
                              <w:tabs>
                                <w:tab w:val="left" w:pos="3116"/>
                              </w:tabs>
                              <w:spacing w:before="50"/>
                              <w:ind w:left="282"/>
                              <w:rPr>
                                <w:sz w:val="21"/>
                              </w:rPr>
                            </w:pPr>
                            <w:r>
                              <w:rPr>
                                <w:sz w:val="21"/>
                              </w:rPr>
                              <w:t>地址：</w:t>
                            </w:r>
                            <w:r>
                              <w:rPr>
                                <w:sz w:val="21"/>
                              </w:rPr>
                              <w:tab/>
                            </w:r>
                            <w:r>
                              <w:rPr>
                                <w:sz w:val="21"/>
                              </w:rPr>
                              <w:t>邮政编码：</w:t>
                            </w:r>
                          </w:p>
                        </w:tc>
                      </w:tr>
                      <w:tr w14:paraId="39611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47" w:type="dxa"/>
                          </w:tcPr>
                          <w:p w14:paraId="52FCBA01">
                            <w:pPr>
                              <w:pStyle w:val="30"/>
                              <w:spacing w:before="6"/>
                              <w:rPr>
                                <w:sz w:val="17"/>
                              </w:rPr>
                            </w:pPr>
                          </w:p>
                          <w:p w14:paraId="7BADB33F">
                            <w:pPr>
                              <w:pStyle w:val="30"/>
                              <w:spacing w:before="1"/>
                              <w:ind w:left="355" w:right="346"/>
                              <w:jc w:val="center"/>
                              <w:rPr>
                                <w:rFonts w:ascii="Times New Roman"/>
                                <w:sz w:val="20"/>
                              </w:rPr>
                            </w:pPr>
                            <w:r>
                              <w:rPr>
                                <w:rFonts w:ascii="Times New Roman"/>
                                <w:sz w:val="20"/>
                              </w:rPr>
                              <w:t>21.1</w:t>
                            </w:r>
                          </w:p>
                        </w:tc>
                        <w:tc>
                          <w:tcPr>
                            <w:tcW w:w="7512" w:type="dxa"/>
                          </w:tcPr>
                          <w:p w14:paraId="27A4523A">
                            <w:pPr>
                              <w:pStyle w:val="30"/>
                              <w:spacing w:before="12"/>
                              <w:rPr>
                                <w:sz w:val="9"/>
                              </w:rPr>
                            </w:pPr>
                          </w:p>
                          <w:p w14:paraId="139AB8B3">
                            <w:pPr>
                              <w:pStyle w:val="30"/>
                              <w:spacing w:line="132" w:lineRule="exact"/>
                              <w:ind w:left="1273"/>
                              <w:rPr>
                                <w:sz w:val="14"/>
                              </w:rPr>
                            </w:pPr>
                          </w:p>
                          <w:p w14:paraId="6CF24980">
                            <w:pPr>
                              <w:pStyle w:val="30"/>
                              <w:tabs>
                                <w:tab w:val="left" w:pos="4014"/>
                              </w:tabs>
                              <w:spacing w:line="360" w:lineRule="auto"/>
                              <w:ind w:left="272"/>
                              <w:rPr>
                                <w:sz w:val="20"/>
                              </w:rPr>
                            </w:pPr>
                            <w:r>
                              <w:rPr>
                                <w:sz w:val="21"/>
                              </w:rPr>
                              <w:t>缺陷责任期 ：自实际交工日期起计算</w:t>
                            </w:r>
                            <w:r>
                              <w:rPr>
                                <w:sz w:val="21"/>
                                <w:u w:val="single"/>
                              </w:rPr>
                              <w:t xml:space="preserve"> </w:t>
                            </w:r>
                            <w:r>
                              <w:rPr>
                                <w:rFonts w:hint="eastAsia"/>
                                <w:sz w:val="21"/>
                                <w:u w:val="single"/>
                                <w:lang w:val="en-US"/>
                              </w:rPr>
                              <w:t xml:space="preserve">1 </w:t>
                            </w:r>
                            <w:r>
                              <w:rPr>
                                <w:sz w:val="21"/>
                              </w:rPr>
                              <w:t>年</w:t>
                            </w:r>
                          </w:p>
                        </w:tc>
                      </w:tr>
                      <w:tr w14:paraId="71A20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347" w:type="dxa"/>
                          </w:tcPr>
                          <w:p w14:paraId="0E9A1E4E">
                            <w:pPr>
                              <w:pStyle w:val="30"/>
                              <w:rPr>
                                <w:rFonts w:ascii="Times New Roman"/>
                                <w:sz w:val="20"/>
                              </w:rPr>
                            </w:pPr>
                          </w:p>
                        </w:tc>
                        <w:tc>
                          <w:tcPr>
                            <w:tcW w:w="7512" w:type="dxa"/>
                          </w:tcPr>
                          <w:p w14:paraId="347473BB">
                            <w:pPr>
                              <w:pStyle w:val="30"/>
                              <w:spacing w:before="14" w:line="320" w:lineRule="atLeast"/>
                              <w:ind w:left="106" w:right="107" w:firstLine="175"/>
                              <w:rPr>
                                <w:sz w:val="21"/>
                              </w:rPr>
                            </w:pPr>
                            <w:r>
                              <w:rPr>
                                <w:sz w:val="21"/>
                              </w:rPr>
                              <w:t xml:space="preserve">图纸需要修改和补充的，应由监理人取得发包人同意后，在该工程或工程相应 </w:t>
                            </w:r>
                            <w:r>
                              <w:rPr>
                                <w:w w:val="95"/>
                                <w:sz w:val="21"/>
                              </w:rPr>
                              <w:t xml:space="preserve"> </w:t>
                            </w:r>
                            <w:r>
                              <w:rPr>
                                <w:sz w:val="21"/>
                              </w:rPr>
                              <w:t>部位施工前</w:t>
                            </w:r>
                            <w:r>
                              <w:rPr>
                                <w:sz w:val="21"/>
                                <w:u w:val="single"/>
                              </w:rPr>
                              <w:t xml:space="preserve"> </w:t>
                            </w:r>
                            <w:r>
                              <w:rPr>
                                <w:rFonts w:ascii="Times New Roman" w:eastAsia="Times New Roman"/>
                                <w:sz w:val="21"/>
                                <w:u w:val="single"/>
                              </w:rPr>
                              <w:t>7</w:t>
                            </w:r>
                            <w:r>
                              <w:rPr>
                                <w:rFonts w:ascii="Times New Roman" w:eastAsia="Times New Roman"/>
                                <w:spacing w:val="51"/>
                                <w:sz w:val="21"/>
                              </w:rPr>
                              <w:t xml:space="preserve"> </w:t>
                            </w:r>
                            <w:r>
                              <w:rPr>
                                <w:sz w:val="21"/>
                              </w:rPr>
                              <w:t>天签发图纸修改图给承包人</w:t>
                            </w:r>
                          </w:p>
                        </w:tc>
                      </w:tr>
                      <w:tr w14:paraId="4CC54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347" w:type="dxa"/>
                          </w:tcPr>
                          <w:p w14:paraId="3B317E07">
                            <w:pPr>
                              <w:pStyle w:val="30"/>
                              <w:rPr>
                                <w:rFonts w:ascii="Times New Roman"/>
                                <w:sz w:val="20"/>
                              </w:rPr>
                            </w:pPr>
                          </w:p>
                        </w:tc>
                        <w:tc>
                          <w:tcPr>
                            <w:tcW w:w="7512" w:type="dxa"/>
                          </w:tcPr>
                          <w:p w14:paraId="14819800">
                            <w:pPr>
                              <w:pStyle w:val="30"/>
                              <w:spacing w:before="178"/>
                              <w:ind w:left="282"/>
                              <w:rPr>
                                <w:sz w:val="21"/>
                              </w:rPr>
                            </w:pPr>
                            <w:r>
                              <w:rPr>
                                <w:sz w:val="21"/>
                              </w:rPr>
                              <w:t>监理人在行使变更前需要发包人事先批准</w:t>
                            </w:r>
                          </w:p>
                        </w:tc>
                      </w:tr>
                      <w:tr w14:paraId="17B1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347" w:type="dxa"/>
                          </w:tcPr>
                          <w:p w14:paraId="26BCAEA0">
                            <w:pPr>
                              <w:pStyle w:val="30"/>
                              <w:spacing w:before="10"/>
                              <w:rPr>
                                <w:sz w:val="15"/>
                              </w:rPr>
                            </w:pPr>
                          </w:p>
                          <w:p w14:paraId="6AC65A9F">
                            <w:pPr>
                              <w:pStyle w:val="30"/>
                              <w:ind w:left="356" w:right="344"/>
                              <w:jc w:val="center"/>
                              <w:rPr>
                                <w:rFonts w:ascii="Times New Roman"/>
                                <w:sz w:val="20"/>
                              </w:rPr>
                            </w:pPr>
                            <w:r>
                              <w:rPr>
                                <w:rFonts w:ascii="Times New Roman"/>
                                <w:sz w:val="20"/>
                              </w:rPr>
                              <w:t>6.2</w:t>
                            </w:r>
                          </w:p>
                        </w:tc>
                        <w:tc>
                          <w:tcPr>
                            <w:tcW w:w="7512" w:type="dxa"/>
                          </w:tcPr>
                          <w:p w14:paraId="24900981">
                            <w:pPr>
                              <w:pStyle w:val="30"/>
                              <w:spacing w:before="177"/>
                              <w:ind w:left="282"/>
                              <w:rPr>
                                <w:sz w:val="21"/>
                              </w:rPr>
                            </w:pPr>
                            <w:r>
                              <w:rPr>
                                <w:sz w:val="21"/>
                              </w:rPr>
                              <w:t>发包人是否提供材料或工程设备：</w:t>
                            </w:r>
                            <w:r>
                              <w:rPr>
                                <w:rFonts w:hint="eastAsia"/>
                                <w:sz w:val="21"/>
                              </w:rPr>
                              <w:t>否</w:t>
                            </w:r>
                          </w:p>
                        </w:tc>
                      </w:tr>
                      <w:tr w14:paraId="3A680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347" w:type="dxa"/>
                          </w:tcPr>
                          <w:p w14:paraId="4E11E3C1">
                            <w:pPr>
                              <w:pStyle w:val="30"/>
                              <w:spacing w:before="9"/>
                              <w:rPr>
                                <w:sz w:val="15"/>
                              </w:rPr>
                            </w:pPr>
                          </w:p>
                          <w:p w14:paraId="69CC2CE8">
                            <w:pPr>
                              <w:pStyle w:val="30"/>
                              <w:ind w:left="356" w:right="344"/>
                              <w:jc w:val="center"/>
                              <w:rPr>
                                <w:rFonts w:ascii="Times New Roman"/>
                                <w:sz w:val="20"/>
                              </w:rPr>
                            </w:pPr>
                            <w:r>
                              <w:rPr>
                                <w:rFonts w:ascii="Times New Roman"/>
                                <w:sz w:val="20"/>
                              </w:rPr>
                              <w:t>6.2</w:t>
                            </w:r>
                          </w:p>
                        </w:tc>
                        <w:tc>
                          <w:tcPr>
                            <w:tcW w:w="7512" w:type="dxa"/>
                          </w:tcPr>
                          <w:p w14:paraId="191FDF1C">
                            <w:pPr>
                              <w:pStyle w:val="30"/>
                              <w:tabs>
                                <w:tab w:val="left" w:pos="4219"/>
                              </w:tabs>
                              <w:spacing w:before="178"/>
                              <w:ind w:left="282"/>
                              <w:rPr>
                                <w:rFonts w:ascii="Times New Roman"/>
                                <w:sz w:val="21"/>
                              </w:rPr>
                            </w:pPr>
                            <w:r>
                              <w:rPr>
                                <w:sz w:val="21"/>
                              </w:rPr>
                              <w:t>发包人是否提供施工设备和临时设施：</w:t>
                            </w:r>
                            <w:r>
                              <w:rPr>
                                <w:rFonts w:ascii="Times New Roman" w:eastAsia="Times New Roman"/>
                                <w:w w:val="95"/>
                                <w:sz w:val="21"/>
                                <w:u w:val="single"/>
                              </w:rPr>
                              <w:t xml:space="preserve"> </w:t>
                            </w:r>
                            <w:r>
                              <w:rPr>
                                <w:rFonts w:hint="eastAsia" w:ascii="Times New Roman"/>
                                <w:sz w:val="21"/>
                                <w:u w:val="single"/>
                                <w:lang w:val="en-US"/>
                              </w:rPr>
                              <w:t>否</w:t>
                            </w:r>
                          </w:p>
                        </w:tc>
                      </w:tr>
                      <w:tr w14:paraId="2F236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1347" w:type="dxa"/>
                          </w:tcPr>
                          <w:p w14:paraId="043521A1">
                            <w:pPr>
                              <w:pStyle w:val="30"/>
                              <w:spacing w:before="1"/>
                              <w:rPr>
                                <w:sz w:val="26"/>
                                <w:highlight w:val="none"/>
                              </w:rPr>
                            </w:pPr>
                          </w:p>
                          <w:p w14:paraId="57691172">
                            <w:pPr>
                              <w:pStyle w:val="30"/>
                              <w:ind w:left="356" w:right="344"/>
                              <w:jc w:val="center"/>
                              <w:rPr>
                                <w:rFonts w:ascii="Times New Roman"/>
                                <w:sz w:val="20"/>
                                <w:highlight w:val="none"/>
                              </w:rPr>
                            </w:pPr>
                            <w:r>
                              <w:rPr>
                                <w:rFonts w:ascii="Times New Roman"/>
                                <w:sz w:val="20"/>
                                <w:highlight w:val="none"/>
                              </w:rPr>
                              <w:t>8.4</w:t>
                            </w:r>
                          </w:p>
                        </w:tc>
                        <w:tc>
                          <w:tcPr>
                            <w:tcW w:w="7512" w:type="dxa"/>
                          </w:tcPr>
                          <w:p w14:paraId="2F2DA216">
                            <w:pPr>
                              <w:pStyle w:val="30"/>
                              <w:tabs>
                                <w:tab w:val="left" w:pos="2276"/>
                              </w:tabs>
                              <w:spacing w:before="114" w:line="285" w:lineRule="auto"/>
                              <w:ind w:left="106" w:right="188" w:firstLine="175"/>
                              <w:rPr>
                                <w:sz w:val="21"/>
                                <w:highlight w:val="none"/>
                              </w:rPr>
                            </w:pPr>
                            <w:r>
                              <w:rPr>
                                <w:sz w:val="21"/>
                                <w:highlight w:val="none"/>
                              </w:rPr>
                              <w:t>逾期交工违约金：</w:t>
                            </w:r>
                            <w:r>
                              <w:rPr>
                                <w:sz w:val="21"/>
                                <w:highlight w:val="none"/>
                                <w:u w:val="single"/>
                              </w:rPr>
                              <w:t xml:space="preserve"> </w:t>
                            </w:r>
                            <w:r>
                              <w:rPr>
                                <w:rFonts w:hint="eastAsia"/>
                                <w:sz w:val="21"/>
                                <w:highlight w:val="none"/>
                                <w:u w:val="single"/>
                                <w:lang w:val="en-US"/>
                              </w:rPr>
                              <w:t>0.3</w:t>
                            </w:r>
                            <w:r>
                              <w:rPr>
                                <w:rFonts w:ascii="Times New Roman" w:eastAsia="Times New Roman"/>
                                <w:w w:val="95"/>
                                <w:sz w:val="21"/>
                                <w:highlight w:val="none"/>
                              </w:rPr>
                              <w:t>%</w:t>
                            </w:r>
                            <w:r>
                              <w:rPr>
                                <w:sz w:val="21"/>
                                <w:highlight w:val="none"/>
                              </w:rPr>
                              <w:t>合同价元/天（如由于承包人的原因造成逾期交工，其相应增加监理服务费和发包人管理费由承包人承担）</w:t>
                            </w:r>
                          </w:p>
                        </w:tc>
                      </w:tr>
                      <w:tr w14:paraId="0A848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347" w:type="dxa"/>
                          </w:tcPr>
                          <w:p w14:paraId="037109F8">
                            <w:pPr>
                              <w:pStyle w:val="30"/>
                              <w:spacing w:before="9"/>
                              <w:rPr>
                                <w:sz w:val="15"/>
                              </w:rPr>
                            </w:pPr>
                          </w:p>
                          <w:p w14:paraId="7912DA0C">
                            <w:pPr>
                              <w:pStyle w:val="30"/>
                              <w:ind w:left="356" w:right="344"/>
                              <w:jc w:val="center"/>
                              <w:rPr>
                                <w:rFonts w:ascii="Times New Roman"/>
                                <w:sz w:val="20"/>
                              </w:rPr>
                            </w:pPr>
                            <w:r>
                              <w:rPr>
                                <w:rFonts w:ascii="Times New Roman"/>
                                <w:sz w:val="20"/>
                              </w:rPr>
                              <w:t>8.4</w:t>
                            </w:r>
                          </w:p>
                        </w:tc>
                        <w:tc>
                          <w:tcPr>
                            <w:tcW w:w="7512" w:type="dxa"/>
                          </w:tcPr>
                          <w:p w14:paraId="0A0F949C">
                            <w:pPr>
                              <w:pStyle w:val="30"/>
                              <w:spacing w:before="106" w:line="125" w:lineRule="exact"/>
                              <w:ind w:left="662"/>
                              <w:jc w:val="center"/>
                              <w:rPr>
                                <w:sz w:val="14"/>
                              </w:rPr>
                            </w:pPr>
                          </w:p>
                          <w:p w14:paraId="4FB8BC55">
                            <w:pPr>
                              <w:pStyle w:val="30"/>
                              <w:tabs>
                                <w:tab w:val="left" w:pos="2802"/>
                              </w:tabs>
                              <w:spacing w:line="220" w:lineRule="exact"/>
                              <w:ind w:left="283"/>
                              <w:rPr>
                                <w:sz w:val="21"/>
                              </w:rPr>
                            </w:pPr>
                            <w:r>
                              <w:rPr>
                                <w:sz w:val="21"/>
                              </w:rPr>
                              <w:t>逾期交工违约金限额：</w:t>
                            </w:r>
                            <w:r>
                              <w:rPr>
                                <w:sz w:val="21"/>
                                <w:u w:val="single"/>
                              </w:rPr>
                              <w:t xml:space="preserve"> </w:t>
                            </w:r>
                            <w:r>
                              <w:rPr>
                                <w:rFonts w:hint="eastAsia"/>
                                <w:sz w:val="21"/>
                                <w:u w:val="single"/>
                                <w:lang w:val="en-US"/>
                              </w:rPr>
                              <w:t xml:space="preserve">10 </w:t>
                            </w:r>
                            <w:r>
                              <w:rPr>
                                <w:rFonts w:ascii="Times New Roman" w:eastAsia="Times New Roman"/>
                                <w:sz w:val="21"/>
                              </w:rPr>
                              <w:t>%</w:t>
                            </w:r>
                            <w:r>
                              <w:rPr>
                                <w:sz w:val="21"/>
                              </w:rPr>
                              <w:t>签约合同价</w:t>
                            </w:r>
                          </w:p>
                        </w:tc>
                      </w:tr>
                      <w:tr w14:paraId="7A8EE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347" w:type="dxa"/>
                          </w:tcPr>
                          <w:p w14:paraId="440CF048">
                            <w:pPr>
                              <w:pStyle w:val="30"/>
                              <w:spacing w:before="10"/>
                              <w:rPr>
                                <w:sz w:val="15"/>
                              </w:rPr>
                            </w:pPr>
                          </w:p>
                          <w:p w14:paraId="242FD817">
                            <w:pPr>
                              <w:pStyle w:val="30"/>
                              <w:ind w:left="356" w:right="344"/>
                              <w:jc w:val="center"/>
                              <w:rPr>
                                <w:rFonts w:ascii="Times New Roman"/>
                                <w:sz w:val="20"/>
                              </w:rPr>
                            </w:pPr>
                            <w:r>
                              <w:rPr>
                                <w:rFonts w:ascii="Times New Roman"/>
                                <w:sz w:val="20"/>
                              </w:rPr>
                              <w:t>5.6</w:t>
                            </w:r>
                          </w:p>
                        </w:tc>
                        <w:tc>
                          <w:tcPr>
                            <w:tcW w:w="7512" w:type="dxa"/>
                          </w:tcPr>
                          <w:p w14:paraId="4BB3F715">
                            <w:pPr>
                              <w:pStyle w:val="30"/>
                              <w:spacing w:before="105" w:line="125" w:lineRule="exact"/>
                              <w:ind w:left="33"/>
                              <w:jc w:val="center"/>
                              <w:rPr>
                                <w:sz w:val="14"/>
                              </w:rPr>
                            </w:pPr>
                          </w:p>
                          <w:p w14:paraId="69AF4926">
                            <w:pPr>
                              <w:pStyle w:val="30"/>
                              <w:tabs>
                                <w:tab w:val="left" w:pos="2487"/>
                              </w:tabs>
                              <w:spacing w:line="220" w:lineRule="exact"/>
                              <w:ind w:left="283"/>
                              <w:rPr>
                                <w:sz w:val="21"/>
                              </w:rPr>
                            </w:pPr>
                            <w:r>
                              <w:rPr>
                                <w:sz w:val="21"/>
                              </w:rPr>
                              <w:t>开工预付款金额：</w:t>
                            </w:r>
                            <w:r>
                              <w:rPr>
                                <w:rFonts w:hint="eastAsia"/>
                                <w:sz w:val="21"/>
                                <w:u w:val="single"/>
                                <w:lang w:val="en-US"/>
                              </w:rPr>
                              <w:t xml:space="preserve">30 </w:t>
                            </w:r>
                            <w:r>
                              <w:rPr>
                                <w:rFonts w:ascii="Times New Roman" w:eastAsia="Times New Roman"/>
                                <w:sz w:val="21"/>
                              </w:rPr>
                              <w:t>%</w:t>
                            </w:r>
                            <w:r>
                              <w:rPr>
                                <w:sz w:val="21"/>
                              </w:rPr>
                              <w:t>签约合同价</w:t>
                            </w:r>
                          </w:p>
                        </w:tc>
                      </w:tr>
                      <w:tr w14:paraId="447F8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347" w:type="dxa"/>
                          </w:tcPr>
                          <w:p w14:paraId="53EA02AA">
                            <w:pPr>
                              <w:pStyle w:val="30"/>
                              <w:spacing w:before="9"/>
                              <w:rPr>
                                <w:sz w:val="15"/>
                              </w:rPr>
                            </w:pPr>
                          </w:p>
                          <w:p w14:paraId="65F00333">
                            <w:pPr>
                              <w:pStyle w:val="30"/>
                              <w:ind w:left="355" w:right="346"/>
                              <w:jc w:val="center"/>
                              <w:rPr>
                                <w:rFonts w:ascii="Times New Roman"/>
                                <w:sz w:val="20"/>
                              </w:rPr>
                            </w:pPr>
                            <w:r>
                              <w:rPr>
                                <w:rFonts w:ascii="Times New Roman"/>
                                <w:sz w:val="20"/>
                              </w:rPr>
                              <w:t>17.5</w:t>
                            </w:r>
                          </w:p>
                        </w:tc>
                        <w:tc>
                          <w:tcPr>
                            <w:tcW w:w="7512" w:type="dxa"/>
                          </w:tcPr>
                          <w:p w14:paraId="18C400ED">
                            <w:pPr>
                              <w:pStyle w:val="30"/>
                              <w:spacing w:before="106" w:line="125" w:lineRule="exact"/>
                              <w:ind w:right="426"/>
                              <w:jc w:val="right"/>
                              <w:rPr>
                                <w:sz w:val="14"/>
                              </w:rPr>
                            </w:pPr>
                          </w:p>
                          <w:p w14:paraId="6B544FFF">
                            <w:pPr>
                              <w:pStyle w:val="30"/>
                              <w:tabs>
                                <w:tab w:val="left" w:pos="6687"/>
                              </w:tabs>
                              <w:spacing w:line="215" w:lineRule="exact"/>
                              <w:ind w:left="282"/>
                              <w:rPr>
                                <w:rFonts w:ascii="Times New Roman" w:eastAsia="Times New Roman"/>
                                <w:sz w:val="21"/>
                              </w:rPr>
                            </w:pPr>
                            <w:r>
                              <w:rPr>
                                <w:sz w:val="21"/>
                              </w:rPr>
                              <w:t>材料预付款比例：水泥、钢材、沥青等主要材料单据所列费用的</w:t>
                            </w:r>
                            <w:r>
                              <w:rPr>
                                <w:rFonts w:hint="eastAsia"/>
                                <w:sz w:val="21"/>
                                <w:u w:val="single"/>
                                <w:lang w:val="en-US"/>
                              </w:rPr>
                              <w:t xml:space="preserve"> / </w:t>
                            </w:r>
                            <w:r>
                              <w:rPr>
                                <w:rFonts w:ascii="Times New Roman" w:eastAsia="Times New Roman"/>
                                <w:sz w:val="21"/>
                              </w:rPr>
                              <w:t>%</w:t>
                            </w:r>
                          </w:p>
                        </w:tc>
                      </w:tr>
                      <w:tr w14:paraId="1F3C9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347" w:type="dxa"/>
                          </w:tcPr>
                          <w:p w14:paraId="79D420C1">
                            <w:pPr>
                              <w:pStyle w:val="30"/>
                              <w:spacing w:before="10"/>
                              <w:rPr>
                                <w:sz w:val="15"/>
                              </w:rPr>
                            </w:pPr>
                          </w:p>
                          <w:p w14:paraId="74269234">
                            <w:pPr>
                              <w:pStyle w:val="30"/>
                              <w:ind w:left="355" w:right="346"/>
                              <w:jc w:val="center"/>
                              <w:rPr>
                                <w:rFonts w:ascii="Times New Roman"/>
                                <w:sz w:val="20"/>
                              </w:rPr>
                            </w:pPr>
                            <w:r>
                              <w:rPr>
                                <w:rFonts w:ascii="Times New Roman"/>
                                <w:sz w:val="20"/>
                              </w:rPr>
                              <w:t>18.3</w:t>
                            </w:r>
                          </w:p>
                        </w:tc>
                        <w:tc>
                          <w:tcPr>
                            <w:tcW w:w="7512" w:type="dxa"/>
                          </w:tcPr>
                          <w:p w14:paraId="1BA78765">
                            <w:pPr>
                              <w:pStyle w:val="30"/>
                              <w:spacing w:before="177"/>
                              <w:ind w:left="282"/>
                              <w:rPr>
                                <w:sz w:val="21"/>
                              </w:rPr>
                            </w:pPr>
                            <w:r>
                              <w:rPr>
                                <w:sz w:val="21"/>
                              </w:rPr>
                              <w:t>承包人在每个付款周期末向监理人提交进度付款申请单的份数：</w:t>
                            </w:r>
                            <w:r>
                              <w:rPr>
                                <w:sz w:val="21"/>
                                <w:u w:val="single"/>
                              </w:rPr>
                              <w:t xml:space="preserve"> </w:t>
                            </w:r>
                            <w:r>
                              <w:rPr>
                                <w:rFonts w:ascii="Times New Roman" w:eastAsia="Times New Roman"/>
                                <w:sz w:val="21"/>
                                <w:u w:val="single"/>
                              </w:rPr>
                              <w:t>6</w:t>
                            </w:r>
                            <w:r>
                              <w:rPr>
                                <w:rFonts w:ascii="Times New Roman" w:eastAsia="Times New Roman"/>
                                <w:sz w:val="21"/>
                              </w:rPr>
                              <w:t xml:space="preserve"> </w:t>
                            </w:r>
                            <w:r>
                              <w:rPr>
                                <w:sz w:val="21"/>
                              </w:rPr>
                              <w:t>份</w:t>
                            </w:r>
                          </w:p>
                        </w:tc>
                      </w:tr>
                      <w:tr w14:paraId="09377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347" w:type="dxa"/>
                          </w:tcPr>
                          <w:p w14:paraId="1433128E">
                            <w:pPr>
                              <w:pStyle w:val="30"/>
                              <w:spacing w:before="10"/>
                              <w:rPr>
                                <w:sz w:val="20"/>
                              </w:rPr>
                            </w:pPr>
                          </w:p>
                          <w:p w14:paraId="0DD70520">
                            <w:pPr>
                              <w:pStyle w:val="30"/>
                              <w:ind w:left="356" w:right="346"/>
                              <w:jc w:val="center"/>
                              <w:rPr>
                                <w:rFonts w:ascii="Times New Roman"/>
                                <w:sz w:val="20"/>
                              </w:rPr>
                            </w:pPr>
                            <w:r>
                              <w:rPr>
                                <w:rFonts w:ascii="Times New Roman"/>
                                <w:sz w:val="20"/>
                              </w:rPr>
                              <w:t>18.3(3)</w:t>
                            </w:r>
                          </w:p>
                        </w:tc>
                        <w:tc>
                          <w:tcPr>
                            <w:tcW w:w="7512" w:type="dxa"/>
                          </w:tcPr>
                          <w:p w14:paraId="6F37B6A3">
                            <w:pPr>
                              <w:pStyle w:val="30"/>
                              <w:spacing w:line="320" w:lineRule="exact"/>
                              <w:ind w:left="106" w:right="41" w:firstLine="175"/>
                              <w:rPr>
                                <w:sz w:val="21"/>
                              </w:rPr>
                            </w:pPr>
                            <w:r>
                              <w:rPr>
                                <w:sz w:val="21"/>
                              </w:rPr>
                              <w:t xml:space="preserve">逾期付款违约金的利率：全国银行间同业拆借中心公布的 </w:t>
                            </w:r>
                            <w:r>
                              <w:rPr>
                                <w:rFonts w:ascii="Times New Roman" w:eastAsia="Times New Roman"/>
                                <w:sz w:val="21"/>
                              </w:rPr>
                              <w:t xml:space="preserve">1 </w:t>
                            </w:r>
                            <w:r>
                              <w:rPr>
                                <w:sz w:val="21"/>
                              </w:rPr>
                              <w:t>年期贷款市场报价利率</w:t>
                            </w:r>
                          </w:p>
                        </w:tc>
                      </w:tr>
                      <w:tr w14:paraId="75547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1347" w:type="dxa"/>
                          </w:tcPr>
                          <w:p w14:paraId="7BC7CDB8">
                            <w:pPr>
                              <w:pStyle w:val="30"/>
                            </w:pPr>
                          </w:p>
                          <w:p w14:paraId="54950B4D">
                            <w:pPr>
                              <w:pStyle w:val="30"/>
                            </w:pPr>
                          </w:p>
                          <w:p w14:paraId="58173D75">
                            <w:pPr>
                              <w:pStyle w:val="30"/>
                              <w:spacing w:before="183"/>
                              <w:ind w:left="356" w:right="346"/>
                              <w:jc w:val="center"/>
                              <w:rPr>
                                <w:rFonts w:ascii="Times New Roman"/>
                                <w:sz w:val="20"/>
                              </w:rPr>
                            </w:pPr>
                            <w:r>
                              <w:rPr>
                                <w:rFonts w:ascii="Times New Roman"/>
                                <w:sz w:val="20"/>
                              </w:rPr>
                              <w:t>18.7(1)</w:t>
                            </w:r>
                          </w:p>
                        </w:tc>
                        <w:tc>
                          <w:tcPr>
                            <w:tcW w:w="7512" w:type="dxa"/>
                          </w:tcPr>
                          <w:p w14:paraId="2E70B476">
                            <w:pPr>
                              <w:pStyle w:val="30"/>
                              <w:spacing w:line="100" w:lineRule="exact"/>
                              <w:ind w:left="1750"/>
                              <w:rPr>
                                <w:sz w:val="14"/>
                              </w:rPr>
                            </w:pPr>
                          </w:p>
                          <w:p w14:paraId="73ECBF1E">
                            <w:pPr>
                              <w:pStyle w:val="30"/>
                              <w:spacing w:line="315" w:lineRule="exact"/>
                              <w:ind w:firstLine="210" w:firstLineChars="100"/>
                              <w:rPr>
                                <w:rFonts w:hint="default" w:eastAsia="宋体"/>
                                <w:sz w:val="21"/>
                                <w:lang w:val="en-US" w:eastAsia="zh-CN"/>
                              </w:rPr>
                            </w:pPr>
                            <w:r>
                              <w:rPr>
                                <w:rFonts w:hint="eastAsia"/>
                                <w:sz w:val="21"/>
                                <w:lang w:val="en-US" w:eastAsia="zh-CN"/>
                              </w:rPr>
                              <w:t>本项目不收取质量保证金</w:t>
                            </w:r>
                          </w:p>
                        </w:tc>
                      </w:tr>
                    </w:tbl>
                    <w:p w14:paraId="08BDFEBE">
                      <w:pPr>
                        <w:pStyle w:val="10"/>
                      </w:pPr>
                    </w:p>
                  </w:txbxContent>
                </v:textbox>
              </v:shape>
            </w:pict>
          </mc:Fallback>
        </mc:AlternateContent>
      </w:r>
      <w:r>
        <w:rPr>
          <w:rFonts w:hint="eastAsia" w:ascii="宋体" w:hAnsi="宋体" w:eastAsia="宋体" w:cs="宋体"/>
          <w:highlight w:val="none"/>
        </w:rPr>
        <w:t>说明： 本数据表是项目合同条款中适用于本项目的信息和数据的归纳与提示， 是项目合同条款的组成部分。</w:t>
      </w:r>
    </w:p>
    <w:p w14:paraId="63F49A09">
      <w:pPr>
        <w:pStyle w:val="10"/>
        <w:rPr>
          <w:rFonts w:hint="eastAsia" w:ascii="宋体" w:hAnsi="宋体" w:eastAsia="宋体" w:cs="宋体"/>
          <w:sz w:val="20"/>
          <w:highlight w:val="none"/>
        </w:rPr>
      </w:pPr>
    </w:p>
    <w:p w14:paraId="12726715">
      <w:pPr>
        <w:pStyle w:val="10"/>
        <w:rPr>
          <w:rFonts w:hint="eastAsia" w:ascii="宋体" w:hAnsi="宋体" w:eastAsia="宋体" w:cs="宋体"/>
          <w:sz w:val="20"/>
          <w:highlight w:val="none"/>
        </w:rPr>
      </w:pPr>
    </w:p>
    <w:p w14:paraId="6EADFFB5">
      <w:pPr>
        <w:pStyle w:val="10"/>
        <w:rPr>
          <w:rFonts w:hint="eastAsia" w:ascii="宋体" w:hAnsi="宋体" w:eastAsia="宋体" w:cs="宋体"/>
          <w:sz w:val="20"/>
          <w:highlight w:val="none"/>
        </w:rPr>
      </w:pPr>
    </w:p>
    <w:p w14:paraId="7768A5D8">
      <w:pPr>
        <w:pStyle w:val="10"/>
        <w:rPr>
          <w:rFonts w:hint="eastAsia" w:ascii="宋体" w:hAnsi="宋体" w:eastAsia="宋体" w:cs="宋体"/>
          <w:sz w:val="20"/>
          <w:highlight w:val="none"/>
        </w:rPr>
      </w:pPr>
    </w:p>
    <w:p w14:paraId="5EE4C200">
      <w:pPr>
        <w:pStyle w:val="10"/>
        <w:rPr>
          <w:rFonts w:hint="eastAsia" w:ascii="宋体" w:hAnsi="宋体" w:eastAsia="宋体" w:cs="宋体"/>
          <w:sz w:val="20"/>
          <w:highlight w:val="none"/>
        </w:rPr>
      </w:pPr>
    </w:p>
    <w:p w14:paraId="1C761AFC">
      <w:pPr>
        <w:pStyle w:val="10"/>
        <w:rPr>
          <w:rFonts w:hint="eastAsia" w:ascii="宋体" w:hAnsi="宋体" w:eastAsia="宋体" w:cs="宋体"/>
          <w:sz w:val="20"/>
          <w:highlight w:val="none"/>
        </w:rPr>
      </w:pPr>
    </w:p>
    <w:p w14:paraId="0FC7C5F8">
      <w:pPr>
        <w:pStyle w:val="10"/>
        <w:rPr>
          <w:rFonts w:hint="eastAsia" w:ascii="宋体" w:hAnsi="宋体" w:eastAsia="宋体" w:cs="宋体"/>
          <w:sz w:val="20"/>
          <w:highlight w:val="none"/>
        </w:rPr>
      </w:pPr>
    </w:p>
    <w:p w14:paraId="70F7F0CD">
      <w:pPr>
        <w:pStyle w:val="10"/>
        <w:rPr>
          <w:rFonts w:hint="eastAsia" w:ascii="宋体" w:hAnsi="宋体" w:eastAsia="宋体" w:cs="宋体"/>
          <w:sz w:val="20"/>
          <w:highlight w:val="none"/>
        </w:rPr>
      </w:pPr>
    </w:p>
    <w:p w14:paraId="5DE3FAD5">
      <w:pPr>
        <w:pStyle w:val="10"/>
        <w:rPr>
          <w:rFonts w:hint="eastAsia" w:ascii="宋体" w:hAnsi="宋体" w:eastAsia="宋体" w:cs="宋体"/>
          <w:sz w:val="20"/>
          <w:highlight w:val="none"/>
        </w:rPr>
      </w:pPr>
    </w:p>
    <w:p w14:paraId="34E2810E">
      <w:pPr>
        <w:pStyle w:val="10"/>
        <w:rPr>
          <w:rFonts w:hint="eastAsia" w:ascii="宋体" w:hAnsi="宋体" w:eastAsia="宋体" w:cs="宋体"/>
          <w:sz w:val="20"/>
          <w:highlight w:val="none"/>
        </w:rPr>
      </w:pPr>
    </w:p>
    <w:p w14:paraId="0AE58F69">
      <w:pPr>
        <w:pStyle w:val="10"/>
        <w:rPr>
          <w:rFonts w:hint="eastAsia" w:ascii="宋体" w:hAnsi="宋体" w:eastAsia="宋体" w:cs="宋体"/>
          <w:sz w:val="20"/>
          <w:highlight w:val="none"/>
        </w:rPr>
      </w:pPr>
    </w:p>
    <w:p w14:paraId="016B3893">
      <w:pPr>
        <w:pStyle w:val="10"/>
        <w:rPr>
          <w:rFonts w:hint="eastAsia" w:ascii="宋体" w:hAnsi="宋体" w:eastAsia="宋体" w:cs="宋体"/>
          <w:sz w:val="20"/>
          <w:highlight w:val="none"/>
        </w:rPr>
      </w:pPr>
    </w:p>
    <w:p w14:paraId="00597553">
      <w:pPr>
        <w:pStyle w:val="10"/>
        <w:rPr>
          <w:rFonts w:hint="eastAsia" w:ascii="宋体" w:hAnsi="宋体" w:eastAsia="宋体" w:cs="宋体"/>
          <w:sz w:val="20"/>
          <w:highlight w:val="none"/>
        </w:rPr>
      </w:pPr>
    </w:p>
    <w:p w14:paraId="4E58B6F9">
      <w:pPr>
        <w:pStyle w:val="10"/>
        <w:rPr>
          <w:rFonts w:hint="eastAsia" w:ascii="宋体" w:hAnsi="宋体" w:eastAsia="宋体" w:cs="宋体"/>
          <w:sz w:val="20"/>
          <w:highlight w:val="none"/>
        </w:rPr>
      </w:pPr>
    </w:p>
    <w:p w14:paraId="107FD204">
      <w:pPr>
        <w:pStyle w:val="10"/>
        <w:rPr>
          <w:rFonts w:hint="eastAsia" w:ascii="宋体" w:hAnsi="宋体" w:eastAsia="宋体" w:cs="宋体"/>
          <w:sz w:val="20"/>
          <w:highlight w:val="none"/>
        </w:rPr>
      </w:pPr>
    </w:p>
    <w:p w14:paraId="64F27FF7">
      <w:pPr>
        <w:pStyle w:val="10"/>
        <w:rPr>
          <w:rFonts w:hint="eastAsia" w:ascii="宋体" w:hAnsi="宋体" w:eastAsia="宋体" w:cs="宋体"/>
          <w:sz w:val="20"/>
          <w:highlight w:val="none"/>
        </w:rPr>
      </w:pPr>
    </w:p>
    <w:p w14:paraId="6380D93C">
      <w:pPr>
        <w:pStyle w:val="10"/>
        <w:rPr>
          <w:rFonts w:hint="eastAsia" w:ascii="宋体" w:hAnsi="宋体" w:eastAsia="宋体" w:cs="宋体"/>
          <w:sz w:val="20"/>
          <w:highlight w:val="none"/>
        </w:rPr>
      </w:pPr>
    </w:p>
    <w:p w14:paraId="38BADD87">
      <w:pPr>
        <w:pStyle w:val="10"/>
        <w:rPr>
          <w:rFonts w:hint="eastAsia" w:ascii="宋体" w:hAnsi="宋体" w:eastAsia="宋体" w:cs="宋体"/>
          <w:sz w:val="20"/>
          <w:highlight w:val="none"/>
        </w:rPr>
      </w:pPr>
    </w:p>
    <w:p w14:paraId="6BE17244">
      <w:pPr>
        <w:pStyle w:val="10"/>
        <w:rPr>
          <w:rFonts w:hint="eastAsia" w:ascii="宋体" w:hAnsi="宋体" w:eastAsia="宋体" w:cs="宋体"/>
          <w:sz w:val="20"/>
          <w:highlight w:val="none"/>
        </w:rPr>
      </w:pPr>
    </w:p>
    <w:p w14:paraId="47FB7B26">
      <w:pPr>
        <w:pStyle w:val="10"/>
        <w:rPr>
          <w:rFonts w:hint="eastAsia" w:ascii="宋体" w:hAnsi="宋体" w:eastAsia="宋体" w:cs="宋体"/>
          <w:sz w:val="20"/>
          <w:highlight w:val="none"/>
        </w:rPr>
      </w:pPr>
    </w:p>
    <w:p w14:paraId="36F9309A">
      <w:pPr>
        <w:pStyle w:val="10"/>
        <w:rPr>
          <w:rFonts w:hint="eastAsia" w:ascii="宋体" w:hAnsi="宋体" w:eastAsia="宋体" w:cs="宋体"/>
          <w:sz w:val="20"/>
          <w:highlight w:val="none"/>
        </w:rPr>
      </w:pPr>
    </w:p>
    <w:p w14:paraId="5630F44A">
      <w:pPr>
        <w:pStyle w:val="10"/>
        <w:rPr>
          <w:rFonts w:hint="eastAsia" w:ascii="宋体" w:hAnsi="宋体" w:eastAsia="宋体" w:cs="宋体"/>
          <w:sz w:val="20"/>
          <w:highlight w:val="none"/>
        </w:rPr>
      </w:pPr>
    </w:p>
    <w:p w14:paraId="00CE127A">
      <w:pPr>
        <w:pStyle w:val="10"/>
        <w:rPr>
          <w:rFonts w:hint="eastAsia" w:ascii="宋体" w:hAnsi="宋体" w:eastAsia="宋体" w:cs="宋体"/>
          <w:sz w:val="20"/>
          <w:highlight w:val="none"/>
        </w:rPr>
      </w:pPr>
    </w:p>
    <w:p w14:paraId="7222D123">
      <w:pPr>
        <w:pStyle w:val="10"/>
        <w:rPr>
          <w:rFonts w:hint="eastAsia" w:ascii="宋体" w:hAnsi="宋体" w:eastAsia="宋体" w:cs="宋体"/>
          <w:sz w:val="20"/>
          <w:highlight w:val="none"/>
        </w:rPr>
      </w:pPr>
    </w:p>
    <w:p w14:paraId="0D0616FF">
      <w:pPr>
        <w:pStyle w:val="10"/>
        <w:rPr>
          <w:rFonts w:hint="eastAsia" w:ascii="宋体" w:hAnsi="宋体" w:eastAsia="宋体" w:cs="宋体"/>
          <w:sz w:val="20"/>
          <w:highlight w:val="none"/>
        </w:rPr>
      </w:pPr>
    </w:p>
    <w:p w14:paraId="1482CC22">
      <w:pPr>
        <w:pStyle w:val="10"/>
        <w:rPr>
          <w:rFonts w:hint="eastAsia" w:ascii="宋体" w:hAnsi="宋体" w:eastAsia="宋体" w:cs="宋体"/>
          <w:sz w:val="20"/>
          <w:highlight w:val="none"/>
        </w:rPr>
      </w:pPr>
    </w:p>
    <w:p w14:paraId="60FE1A2B">
      <w:pPr>
        <w:pStyle w:val="10"/>
        <w:rPr>
          <w:rFonts w:hint="eastAsia" w:ascii="宋体" w:hAnsi="宋体" w:eastAsia="宋体" w:cs="宋体"/>
          <w:sz w:val="20"/>
          <w:highlight w:val="none"/>
        </w:rPr>
      </w:pPr>
    </w:p>
    <w:p w14:paraId="34CA5522">
      <w:pPr>
        <w:pStyle w:val="10"/>
        <w:rPr>
          <w:rFonts w:hint="eastAsia" w:ascii="宋体" w:hAnsi="宋体" w:eastAsia="宋体" w:cs="宋体"/>
          <w:sz w:val="20"/>
          <w:highlight w:val="none"/>
        </w:rPr>
      </w:pPr>
    </w:p>
    <w:p w14:paraId="42387768">
      <w:pPr>
        <w:pStyle w:val="10"/>
        <w:rPr>
          <w:rFonts w:hint="eastAsia" w:ascii="宋体" w:hAnsi="宋体" w:eastAsia="宋体" w:cs="宋体"/>
          <w:sz w:val="20"/>
          <w:highlight w:val="none"/>
        </w:rPr>
      </w:pPr>
    </w:p>
    <w:p w14:paraId="591D700B">
      <w:pPr>
        <w:pStyle w:val="10"/>
        <w:rPr>
          <w:rFonts w:hint="eastAsia" w:ascii="宋体" w:hAnsi="宋体" w:eastAsia="宋体" w:cs="宋体"/>
          <w:sz w:val="20"/>
          <w:highlight w:val="none"/>
        </w:rPr>
      </w:pPr>
    </w:p>
    <w:p w14:paraId="1197BF83">
      <w:pPr>
        <w:pStyle w:val="10"/>
        <w:rPr>
          <w:rFonts w:hint="eastAsia" w:ascii="宋体" w:hAnsi="宋体" w:eastAsia="宋体" w:cs="宋体"/>
          <w:sz w:val="20"/>
          <w:highlight w:val="none"/>
        </w:rPr>
      </w:pPr>
    </w:p>
    <w:p w14:paraId="457E6D3F">
      <w:pPr>
        <w:pStyle w:val="10"/>
        <w:rPr>
          <w:rFonts w:hint="eastAsia" w:ascii="宋体" w:hAnsi="宋体" w:eastAsia="宋体" w:cs="宋体"/>
          <w:sz w:val="20"/>
          <w:highlight w:val="none"/>
        </w:rPr>
      </w:pPr>
    </w:p>
    <w:p w14:paraId="73DFE337">
      <w:pPr>
        <w:pStyle w:val="10"/>
        <w:rPr>
          <w:rFonts w:hint="eastAsia" w:ascii="宋体" w:hAnsi="宋体" w:eastAsia="宋体" w:cs="宋体"/>
          <w:sz w:val="20"/>
          <w:highlight w:val="none"/>
        </w:rPr>
      </w:pPr>
    </w:p>
    <w:p w14:paraId="007C7D91">
      <w:pPr>
        <w:pStyle w:val="10"/>
        <w:rPr>
          <w:rFonts w:hint="eastAsia" w:ascii="宋体" w:hAnsi="宋体" w:eastAsia="宋体" w:cs="宋体"/>
          <w:sz w:val="20"/>
          <w:highlight w:val="none"/>
        </w:rPr>
      </w:pPr>
    </w:p>
    <w:p w14:paraId="3077E45B">
      <w:pPr>
        <w:pStyle w:val="10"/>
        <w:rPr>
          <w:rFonts w:hint="eastAsia" w:ascii="宋体" w:hAnsi="宋体" w:eastAsia="宋体" w:cs="宋体"/>
          <w:sz w:val="20"/>
          <w:highlight w:val="none"/>
        </w:rPr>
      </w:pPr>
    </w:p>
    <w:p w14:paraId="1F12682B">
      <w:pPr>
        <w:pStyle w:val="10"/>
        <w:rPr>
          <w:rFonts w:hint="eastAsia" w:ascii="宋体" w:hAnsi="宋体" w:eastAsia="宋体" w:cs="宋体"/>
          <w:sz w:val="20"/>
          <w:highlight w:val="none"/>
        </w:rPr>
      </w:pPr>
    </w:p>
    <w:p w14:paraId="756B442F">
      <w:pPr>
        <w:pStyle w:val="10"/>
        <w:rPr>
          <w:rFonts w:hint="eastAsia" w:ascii="宋体" w:hAnsi="宋体" w:eastAsia="宋体" w:cs="宋体"/>
          <w:sz w:val="20"/>
          <w:highlight w:val="none"/>
        </w:rPr>
      </w:pPr>
    </w:p>
    <w:p w14:paraId="3753DE03">
      <w:pPr>
        <w:pStyle w:val="10"/>
        <w:spacing w:before="9"/>
        <w:rPr>
          <w:rFonts w:hint="eastAsia" w:ascii="宋体" w:hAnsi="宋体" w:eastAsia="宋体" w:cs="宋体"/>
          <w:highlight w:val="none"/>
        </w:rPr>
      </w:pPr>
      <w:r>
        <w:rPr>
          <w:rFonts w:hint="eastAsia" w:ascii="宋体" w:hAnsi="宋体" w:eastAsia="宋体" w:cs="宋体"/>
          <w:highlight w:val="none"/>
        </w:rPr>
        <mc:AlternateContent>
          <mc:Choice Requires="wps">
            <w:drawing>
              <wp:anchor distT="0" distB="0" distL="114300" distR="114300" simplePos="0" relativeHeight="251676672" behindDoc="1" locked="0" layoutInCell="1" allowOverlap="1">
                <wp:simplePos x="0" y="0"/>
                <wp:positionH relativeFrom="page">
                  <wp:posOffset>1043305</wp:posOffset>
                </wp:positionH>
                <wp:positionV relativeFrom="paragraph">
                  <wp:posOffset>168910</wp:posOffset>
                </wp:positionV>
                <wp:extent cx="1828800" cy="0"/>
                <wp:effectExtent l="0" t="0" r="0" b="0"/>
                <wp:wrapTopAndBottom/>
                <wp:docPr id="13" name="直线 31"/>
                <wp:cNvGraphicFramePr/>
                <a:graphic xmlns:a="http://schemas.openxmlformats.org/drawingml/2006/main">
                  <a:graphicData uri="http://schemas.microsoft.com/office/word/2010/wordprocessingShape">
                    <wps:wsp>
                      <wps:cNvCnPr/>
                      <wps:spPr>
                        <a:xfrm>
                          <a:off x="0" y="0"/>
                          <a:ext cx="1828800" cy="0"/>
                        </a:xfrm>
                        <a:prstGeom prst="line">
                          <a:avLst/>
                        </a:prstGeom>
                        <a:ln w="0" cap="flat" cmpd="sng">
                          <a:solidFill>
                            <a:srgbClr val="000000"/>
                          </a:solidFill>
                          <a:prstDash val="solid"/>
                          <a:headEnd type="none" w="med" len="med"/>
                          <a:tailEnd type="none" w="med" len="med"/>
                        </a:ln>
                      </wps:spPr>
                      <wps:bodyPr/>
                    </wps:wsp>
                  </a:graphicData>
                </a:graphic>
              </wp:anchor>
            </w:drawing>
          </mc:Choice>
          <mc:Fallback>
            <w:pict>
              <v:line id="直线 31" o:spid="_x0000_s1026" o:spt="20" style="position:absolute;left:0pt;margin-left:82.15pt;margin-top:13.3pt;height:0pt;width:144pt;mso-position-horizontal-relative:page;mso-wrap-distance-bottom:0pt;mso-wrap-distance-top:0pt;z-index:-251639808;mso-width-relative:page;mso-height-relative:page;" filled="f" stroked="t" coordsize="21600,21600" o:gfxdata="UEsDBAoAAAAAAIdO4kAAAAAAAAAAAAAAAAAEAAAAZHJzL1BLAwQUAAAACACHTuJAiAfQ4dYAAAAJ&#10;AQAADwAAAGRycy9kb3ducmV2LnhtbE2PzU7DMBCE70i8g7VI3KidtERViNNDERdAQg1I5biNTZJi&#10;r6PY/eHtWcQBjjP7aXamWp29E0c7xSGQhmymQFhqgxmo0/D2+nCzBBETkkEXyGr4shFW9eVFhaUJ&#10;J9rYY5M6wSEUS9TQpzSWUsa2tx7jLIyW+PYRJo+J5dRJM+GJw72TuVKF9DgQf+hxtOvetp/NwWtQ&#10;L0/Fu3xe7/fbx/uNwnnjVNZofX2VqTsQyZ7THww/9bk61NxpFw5konCsi8WcUQ15UYBgYHGbs7H7&#10;NWRdyf8L6m9QSwMEFAAAAAgAh07iQIRizMzcAQAAzgMAAA4AAABkcnMvZTJvRG9jLnhtbK1TS24b&#10;MQzdF+gdBO3rsR2gMAYeZxE33RStgbYHoPWZEaAfRMVjn6XX6KqbHifXKKVxnDTdeNFZaCiKeuR7&#10;pNa3R2fZQSU0wXd8MZtzprwI0vi+49+/3b9bcYYZvAQbvOr4SSG/3bx9sx5jq5ZhCFaqxAjEYzvG&#10;jg85x7ZpUAzKAc5CVJ4OdUgOMm1T38gEI6E72yzn8/fNGJKMKQiFSN7tdMjPiOkawKC1EWobxINT&#10;Pk+oSVnIRAkHE5FvarVaK5G/aI0qM9txYprrSknI3pe12ayh7RPEwYhzCXBNCa84OTCekl6gtpCB&#10;PSTzD5QzIgUMOs9EcM1EpCpCLBbzV9p8HSCqyoWkxngRHf8frPh82CVmJE3CDWceHHX88cfPx1+/&#10;2c2iqDNGbCnozu/SeYdxlwrVo06u/IkEO1ZFTxdF1TEzQc7FarlazUls8XTWPF+MCfNHFRwrRset&#10;8YUstHD4hJmSUehTSHFbz8aaRgCNnaZ2E6yLVDr6vl7EYI28N9aWcEz9/s4mdoDS+voVPgT6V1jJ&#10;sAUcprh6NA3FoEB+8JLlUyRNPL0FXvI7JTmzip5OsQgQ2gzGXhNJqa2nCoqkk4jF2gd5qtpWP7W5&#10;1ngeyTJHL/f19vMz3P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AfQ4dYAAAAJAQAADwAAAAAA&#10;AAABACAAAAAiAAAAZHJzL2Rvd25yZXYueG1sUEsBAhQAFAAAAAgAh07iQIRizMzcAQAAzgMAAA4A&#10;AAAAAAAAAQAgAAAAJQEAAGRycy9lMm9Eb2MueG1sUEsFBgAAAAAGAAYAWQEAAHMFAAAAAA==&#10;">
                <v:fill on="f" focussize="0,0"/>
                <v:stroke weight="0pt" color="#000000" joinstyle="round"/>
                <v:imagedata o:title=""/>
                <o:lock v:ext="edit" aspectratio="f"/>
                <w10:wrap type="topAndBottom"/>
              </v:line>
            </w:pict>
          </mc:Fallback>
        </mc:AlternateContent>
      </w:r>
    </w:p>
    <w:tbl>
      <w:tblPr>
        <w:tblStyle w:val="24"/>
        <w:tblW w:w="8891" w:type="dxa"/>
        <w:tblInd w:w="2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2"/>
        <w:gridCol w:w="7539"/>
      </w:tblGrid>
      <w:tr w14:paraId="73214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352" w:type="dxa"/>
          </w:tcPr>
          <w:p w14:paraId="76BE42BB">
            <w:pPr>
              <w:pStyle w:val="30"/>
              <w:rPr>
                <w:rFonts w:hint="eastAsia" w:ascii="宋体" w:hAnsi="宋体" w:eastAsia="宋体" w:cs="宋体"/>
                <w:sz w:val="20"/>
                <w:highlight w:val="none"/>
              </w:rPr>
            </w:pPr>
          </w:p>
        </w:tc>
        <w:tc>
          <w:tcPr>
            <w:tcW w:w="7539" w:type="dxa"/>
          </w:tcPr>
          <w:p w14:paraId="59062907">
            <w:pPr>
              <w:pStyle w:val="30"/>
              <w:spacing w:before="142"/>
              <w:ind w:left="282"/>
              <w:rPr>
                <w:rFonts w:hint="eastAsia" w:ascii="宋体" w:hAnsi="宋体" w:eastAsia="宋体" w:cs="宋体"/>
                <w:sz w:val="21"/>
                <w:highlight w:val="none"/>
              </w:rPr>
            </w:pPr>
            <w:r>
              <w:rPr>
                <w:rFonts w:hint="eastAsia" w:ascii="宋体" w:hAnsi="宋体" w:eastAsia="宋体" w:cs="宋体"/>
                <w:sz w:val="21"/>
                <w:highlight w:val="none"/>
              </w:rPr>
              <w:t>承包人向监理人提交交工付款申请单(包括相关证明材料)的份数：</w:t>
            </w:r>
            <w:r>
              <w:rPr>
                <w:rFonts w:hint="eastAsia" w:ascii="宋体" w:hAnsi="宋体" w:eastAsia="宋体" w:cs="宋体"/>
                <w:sz w:val="21"/>
                <w:highlight w:val="none"/>
                <w:u w:val="single"/>
              </w:rPr>
              <w:t xml:space="preserve"> 1</w:t>
            </w:r>
            <w:r>
              <w:rPr>
                <w:rFonts w:hint="eastAsia" w:ascii="宋体" w:hAnsi="宋体" w:eastAsia="宋体" w:cs="宋体"/>
                <w:spacing w:val="52"/>
                <w:sz w:val="21"/>
                <w:highlight w:val="none"/>
                <w:u w:val="single"/>
              </w:rPr>
              <w:t xml:space="preserve"> </w:t>
            </w:r>
            <w:r>
              <w:rPr>
                <w:rFonts w:hint="eastAsia" w:ascii="宋体" w:hAnsi="宋体" w:eastAsia="宋体" w:cs="宋体"/>
                <w:sz w:val="21"/>
                <w:highlight w:val="none"/>
              </w:rPr>
              <w:t>份</w:t>
            </w:r>
          </w:p>
        </w:tc>
      </w:tr>
      <w:tr w14:paraId="2EC4E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352" w:type="dxa"/>
          </w:tcPr>
          <w:p w14:paraId="6525DE36">
            <w:pPr>
              <w:pStyle w:val="30"/>
              <w:rPr>
                <w:rFonts w:hint="eastAsia" w:ascii="宋体" w:hAnsi="宋体" w:eastAsia="宋体" w:cs="宋体"/>
                <w:sz w:val="20"/>
                <w:highlight w:val="none"/>
              </w:rPr>
            </w:pPr>
          </w:p>
        </w:tc>
        <w:tc>
          <w:tcPr>
            <w:tcW w:w="7539" w:type="dxa"/>
          </w:tcPr>
          <w:p w14:paraId="4847A96B">
            <w:pPr>
              <w:pStyle w:val="30"/>
              <w:spacing w:before="141"/>
              <w:ind w:left="282"/>
              <w:rPr>
                <w:rFonts w:hint="eastAsia" w:ascii="宋体" w:hAnsi="宋体" w:eastAsia="宋体" w:cs="宋体"/>
                <w:sz w:val="21"/>
                <w:highlight w:val="none"/>
              </w:rPr>
            </w:pPr>
            <w:r>
              <w:rPr>
                <w:rFonts w:hint="eastAsia" w:ascii="宋体" w:hAnsi="宋体" w:eastAsia="宋体" w:cs="宋体"/>
                <w:sz w:val="21"/>
                <w:highlight w:val="none"/>
              </w:rPr>
              <w:t>承包人向监理人提交最终结清申请单(包括相关证明材料)的份数：</w:t>
            </w:r>
            <w:r>
              <w:rPr>
                <w:rFonts w:hint="eastAsia" w:ascii="宋体" w:hAnsi="宋体" w:eastAsia="宋体" w:cs="宋体"/>
                <w:sz w:val="21"/>
                <w:highlight w:val="none"/>
                <w:u w:val="single"/>
              </w:rPr>
              <w:t xml:space="preserve"> 1 </w:t>
            </w:r>
            <w:r>
              <w:rPr>
                <w:rFonts w:hint="eastAsia" w:ascii="宋体" w:hAnsi="宋体" w:eastAsia="宋体" w:cs="宋体"/>
                <w:sz w:val="21"/>
                <w:highlight w:val="none"/>
              </w:rPr>
              <w:t>份</w:t>
            </w:r>
          </w:p>
        </w:tc>
      </w:tr>
      <w:tr w14:paraId="133E7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352" w:type="dxa"/>
          </w:tcPr>
          <w:p w14:paraId="3065E087">
            <w:pPr>
              <w:pStyle w:val="30"/>
              <w:rPr>
                <w:rFonts w:hint="eastAsia" w:ascii="宋体" w:hAnsi="宋体" w:eastAsia="宋体" w:cs="宋体"/>
                <w:sz w:val="17"/>
                <w:highlight w:val="none"/>
              </w:rPr>
            </w:pPr>
          </w:p>
          <w:p w14:paraId="468F7CB3">
            <w:pPr>
              <w:pStyle w:val="30"/>
              <w:ind w:left="355" w:right="346"/>
              <w:jc w:val="center"/>
              <w:rPr>
                <w:rFonts w:hint="eastAsia" w:ascii="宋体" w:hAnsi="宋体" w:eastAsia="宋体" w:cs="宋体"/>
                <w:sz w:val="20"/>
                <w:highlight w:val="none"/>
              </w:rPr>
            </w:pPr>
            <w:r>
              <w:rPr>
                <w:rFonts w:hint="eastAsia" w:ascii="宋体" w:hAnsi="宋体" w:eastAsia="宋体" w:cs="宋体"/>
                <w:sz w:val="20"/>
                <w:highlight w:val="none"/>
              </w:rPr>
              <w:t>11.2</w:t>
            </w:r>
          </w:p>
        </w:tc>
        <w:tc>
          <w:tcPr>
            <w:tcW w:w="7539" w:type="dxa"/>
          </w:tcPr>
          <w:p w14:paraId="29E99D6C">
            <w:pPr>
              <w:pStyle w:val="30"/>
              <w:spacing w:before="142"/>
              <w:ind w:left="282"/>
              <w:rPr>
                <w:rFonts w:hint="eastAsia" w:ascii="宋体" w:hAnsi="宋体" w:eastAsia="宋体" w:cs="宋体"/>
                <w:sz w:val="21"/>
                <w:highlight w:val="none"/>
              </w:rPr>
            </w:pPr>
            <w:r>
              <w:rPr>
                <w:rFonts w:hint="eastAsia" w:ascii="宋体" w:hAnsi="宋体" w:eastAsia="宋体" w:cs="宋体"/>
                <w:spacing w:val="-8"/>
                <w:sz w:val="21"/>
                <w:highlight w:val="none"/>
              </w:rPr>
              <w:t xml:space="preserve">竣工资料的份数：原始资料 </w:t>
            </w:r>
            <w:r>
              <w:rPr>
                <w:rFonts w:hint="eastAsia" w:ascii="宋体" w:hAnsi="宋体" w:eastAsia="宋体" w:cs="宋体"/>
                <w:sz w:val="21"/>
                <w:highlight w:val="none"/>
              </w:rPr>
              <w:t xml:space="preserve">1 </w:t>
            </w:r>
            <w:r>
              <w:rPr>
                <w:rFonts w:hint="eastAsia" w:ascii="宋体" w:hAnsi="宋体" w:eastAsia="宋体" w:cs="宋体"/>
                <w:spacing w:val="-15"/>
                <w:sz w:val="21"/>
                <w:highlight w:val="none"/>
              </w:rPr>
              <w:t xml:space="preserve">份，复印件 </w:t>
            </w:r>
            <w:r>
              <w:rPr>
                <w:rFonts w:hint="eastAsia" w:ascii="宋体" w:hAnsi="宋体" w:eastAsia="宋体" w:cs="宋体"/>
                <w:sz w:val="21"/>
                <w:highlight w:val="none"/>
              </w:rPr>
              <w:t xml:space="preserve">2 </w:t>
            </w:r>
            <w:r>
              <w:rPr>
                <w:rFonts w:hint="eastAsia" w:ascii="宋体" w:hAnsi="宋体" w:eastAsia="宋体" w:cs="宋体"/>
                <w:spacing w:val="-10"/>
                <w:sz w:val="21"/>
                <w:highlight w:val="none"/>
              </w:rPr>
              <w:t>份，电子文件</w:t>
            </w:r>
            <w:r>
              <w:rPr>
                <w:rFonts w:hint="eastAsia" w:ascii="宋体" w:hAnsi="宋体" w:eastAsia="宋体" w:cs="宋体"/>
                <w:sz w:val="21"/>
                <w:highlight w:val="none"/>
              </w:rPr>
              <w:t>（</w:t>
            </w:r>
            <w:r>
              <w:rPr>
                <w:rFonts w:hint="eastAsia" w:ascii="宋体" w:hAnsi="宋体" w:eastAsia="宋体" w:cs="宋体"/>
                <w:spacing w:val="-14"/>
                <w:sz w:val="21"/>
                <w:highlight w:val="none"/>
              </w:rPr>
              <w:t xml:space="preserve">光盘或 </w:t>
            </w:r>
            <w:r>
              <w:rPr>
                <w:rFonts w:hint="eastAsia" w:ascii="宋体" w:hAnsi="宋体" w:eastAsia="宋体" w:cs="宋体"/>
                <w:sz w:val="21"/>
                <w:highlight w:val="none"/>
              </w:rPr>
              <w:t>U 盘</w:t>
            </w:r>
            <w:r>
              <w:rPr>
                <w:rFonts w:hint="eastAsia" w:ascii="宋体" w:hAnsi="宋体" w:eastAsia="宋体" w:cs="宋体"/>
                <w:spacing w:val="-29"/>
                <w:sz w:val="21"/>
                <w:highlight w:val="none"/>
              </w:rPr>
              <w:t>）</w:t>
            </w:r>
            <w:r>
              <w:rPr>
                <w:rFonts w:hint="eastAsia" w:ascii="宋体" w:hAnsi="宋体" w:eastAsia="宋体" w:cs="宋体"/>
                <w:spacing w:val="-29"/>
                <w:sz w:val="21"/>
                <w:highlight w:val="none"/>
                <w:u w:val="single"/>
              </w:rPr>
              <w:t xml:space="preserve"> </w:t>
            </w:r>
            <w:r>
              <w:rPr>
                <w:rFonts w:hint="eastAsia" w:ascii="宋体" w:hAnsi="宋体" w:eastAsia="宋体" w:cs="宋体"/>
                <w:sz w:val="21"/>
                <w:highlight w:val="none"/>
                <w:u w:val="single"/>
              </w:rPr>
              <w:t xml:space="preserve">2 </w:t>
            </w:r>
            <w:r>
              <w:rPr>
                <w:rFonts w:hint="eastAsia" w:ascii="宋体" w:hAnsi="宋体" w:eastAsia="宋体" w:cs="宋体"/>
                <w:sz w:val="21"/>
                <w:highlight w:val="none"/>
              </w:rPr>
              <w:t>份</w:t>
            </w:r>
          </w:p>
        </w:tc>
      </w:tr>
      <w:tr w14:paraId="5048B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352" w:type="dxa"/>
          </w:tcPr>
          <w:p w14:paraId="6B5C84C7">
            <w:pPr>
              <w:pStyle w:val="30"/>
              <w:spacing w:before="9"/>
              <w:rPr>
                <w:rFonts w:hint="eastAsia" w:ascii="宋体" w:hAnsi="宋体" w:eastAsia="宋体" w:cs="宋体"/>
                <w:sz w:val="23"/>
                <w:highlight w:val="none"/>
              </w:rPr>
            </w:pPr>
          </w:p>
          <w:p w14:paraId="3E3DD2AA">
            <w:pPr>
              <w:pStyle w:val="30"/>
              <w:ind w:left="355" w:right="346"/>
              <w:jc w:val="center"/>
              <w:rPr>
                <w:rFonts w:hint="eastAsia" w:ascii="宋体" w:hAnsi="宋体" w:eastAsia="宋体" w:cs="宋体"/>
                <w:sz w:val="20"/>
                <w:highlight w:val="none"/>
              </w:rPr>
            </w:pPr>
            <w:r>
              <w:rPr>
                <w:rFonts w:hint="eastAsia" w:ascii="宋体" w:hAnsi="宋体" w:eastAsia="宋体" w:cs="宋体"/>
                <w:sz w:val="20"/>
                <w:highlight w:val="none"/>
              </w:rPr>
              <w:t>11.5</w:t>
            </w:r>
          </w:p>
        </w:tc>
        <w:tc>
          <w:tcPr>
            <w:tcW w:w="7539" w:type="dxa"/>
          </w:tcPr>
          <w:p w14:paraId="74966DB6">
            <w:pPr>
              <w:pStyle w:val="30"/>
              <w:spacing w:before="142"/>
              <w:ind w:left="282"/>
              <w:rPr>
                <w:rFonts w:hint="eastAsia" w:ascii="宋体" w:hAnsi="宋体" w:eastAsia="宋体" w:cs="宋体"/>
                <w:spacing w:val="-8"/>
                <w:sz w:val="21"/>
                <w:highlight w:val="none"/>
                <w:u w:val="single"/>
              </w:rPr>
            </w:pPr>
            <w:r>
              <w:rPr>
                <w:rFonts w:hint="eastAsia" w:ascii="宋体" w:hAnsi="宋体" w:eastAsia="宋体" w:cs="宋体"/>
                <w:spacing w:val="-8"/>
                <w:sz w:val="21"/>
                <w:highlight w:val="none"/>
              </w:rPr>
              <w:t>单位工程是否需投入施工期运行：</w:t>
            </w:r>
            <w:r>
              <w:rPr>
                <w:rFonts w:hint="eastAsia" w:ascii="宋体" w:hAnsi="宋体" w:eastAsia="宋体" w:cs="宋体"/>
                <w:spacing w:val="-8"/>
                <w:sz w:val="21"/>
                <w:highlight w:val="none"/>
                <w:u w:val="single"/>
              </w:rPr>
              <w:t xml:space="preserve"> </w:t>
            </w:r>
            <w:r>
              <w:rPr>
                <w:rFonts w:hint="eastAsia" w:ascii="宋体" w:hAnsi="宋体" w:eastAsia="宋体" w:cs="宋体"/>
                <w:spacing w:val="-8"/>
                <w:sz w:val="21"/>
                <w:highlight w:val="none"/>
                <w:u w:val="single"/>
                <w:lang w:val="en-US"/>
              </w:rPr>
              <w:t>否</w:t>
            </w:r>
          </w:p>
          <w:p w14:paraId="60BAE53E">
            <w:pPr>
              <w:pStyle w:val="30"/>
              <w:spacing w:before="142"/>
              <w:ind w:left="282"/>
              <w:rPr>
                <w:rFonts w:hint="eastAsia" w:ascii="宋体" w:hAnsi="宋体" w:eastAsia="宋体" w:cs="宋体"/>
                <w:spacing w:val="-8"/>
                <w:sz w:val="21"/>
                <w:highlight w:val="none"/>
                <w:lang w:val="en-US"/>
              </w:rPr>
            </w:pPr>
            <w:r>
              <w:rPr>
                <w:rFonts w:hint="eastAsia" w:ascii="宋体" w:hAnsi="宋体" w:eastAsia="宋体" w:cs="宋体"/>
                <w:spacing w:val="-8"/>
                <w:sz w:val="21"/>
                <w:highlight w:val="none"/>
              </w:rPr>
              <w:t>如单位工程需要进行施工期运行，需要施工期运行的单位工程规定如下：</w:t>
            </w:r>
            <w:r>
              <w:rPr>
                <w:rFonts w:hint="eastAsia" w:ascii="宋体" w:hAnsi="宋体" w:eastAsia="宋体" w:cs="宋体"/>
                <w:spacing w:val="-8"/>
                <w:sz w:val="21"/>
                <w:highlight w:val="none"/>
                <w:u w:val="single"/>
              </w:rPr>
              <w:t xml:space="preserve"> </w:t>
            </w:r>
            <w:r>
              <w:rPr>
                <w:rFonts w:hint="eastAsia" w:ascii="宋体" w:hAnsi="宋体" w:eastAsia="宋体" w:cs="宋体"/>
                <w:spacing w:val="-8"/>
                <w:sz w:val="21"/>
                <w:highlight w:val="none"/>
                <w:u w:val="single"/>
                <w:lang w:val="en-US"/>
              </w:rPr>
              <w:t xml:space="preserve">/ </w:t>
            </w:r>
          </w:p>
        </w:tc>
      </w:tr>
      <w:tr w14:paraId="32AB0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352" w:type="dxa"/>
          </w:tcPr>
          <w:p w14:paraId="30095C3C">
            <w:pPr>
              <w:pStyle w:val="30"/>
              <w:spacing w:before="5"/>
              <w:rPr>
                <w:rFonts w:hint="eastAsia" w:ascii="宋体" w:hAnsi="宋体" w:eastAsia="宋体" w:cs="宋体"/>
                <w:sz w:val="23"/>
                <w:highlight w:val="none"/>
              </w:rPr>
            </w:pPr>
          </w:p>
          <w:p w14:paraId="7B756CD5">
            <w:pPr>
              <w:pStyle w:val="30"/>
              <w:ind w:left="355" w:right="346"/>
              <w:jc w:val="center"/>
              <w:rPr>
                <w:rFonts w:hint="eastAsia" w:ascii="宋体" w:hAnsi="宋体" w:eastAsia="宋体" w:cs="宋体"/>
                <w:sz w:val="20"/>
                <w:highlight w:val="none"/>
              </w:rPr>
            </w:pPr>
            <w:r>
              <w:rPr>
                <w:rFonts w:hint="eastAsia" w:ascii="宋体" w:hAnsi="宋体" w:eastAsia="宋体" w:cs="宋体"/>
                <w:sz w:val="20"/>
                <w:highlight w:val="none"/>
              </w:rPr>
              <w:t>11.6</w:t>
            </w:r>
          </w:p>
        </w:tc>
        <w:tc>
          <w:tcPr>
            <w:tcW w:w="7539" w:type="dxa"/>
          </w:tcPr>
          <w:p w14:paraId="4318564B">
            <w:pPr>
              <w:pStyle w:val="30"/>
              <w:spacing w:before="142"/>
              <w:ind w:left="282"/>
              <w:rPr>
                <w:rFonts w:hint="eastAsia" w:ascii="宋体" w:hAnsi="宋体" w:eastAsia="宋体" w:cs="宋体"/>
                <w:spacing w:val="-8"/>
                <w:sz w:val="21"/>
                <w:highlight w:val="none"/>
                <w:u w:val="single"/>
              </w:rPr>
            </w:pPr>
            <w:r>
              <w:rPr>
                <w:rFonts w:hint="eastAsia" w:ascii="宋体" w:hAnsi="宋体" w:eastAsia="宋体" w:cs="宋体"/>
                <w:spacing w:val="-8"/>
                <w:sz w:val="21"/>
                <w:highlight w:val="none"/>
              </w:rPr>
              <w:t>本工程是否进行试运行：</w:t>
            </w:r>
            <w:r>
              <w:rPr>
                <w:rFonts w:hint="eastAsia" w:ascii="宋体" w:hAnsi="宋体" w:eastAsia="宋体" w:cs="宋体"/>
                <w:spacing w:val="-8"/>
                <w:sz w:val="21"/>
                <w:highlight w:val="none"/>
                <w:u w:val="single"/>
              </w:rPr>
              <w:t xml:space="preserve"> </w:t>
            </w:r>
            <w:r>
              <w:rPr>
                <w:rFonts w:hint="eastAsia" w:ascii="宋体" w:hAnsi="宋体" w:eastAsia="宋体" w:cs="宋体"/>
                <w:spacing w:val="-8"/>
                <w:sz w:val="21"/>
                <w:highlight w:val="none"/>
                <w:u w:val="single"/>
                <w:lang w:val="en-US"/>
              </w:rPr>
              <w:t>否</w:t>
            </w:r>
          </w:p>
          <w:p w14:paraId="3EB1DE24">
            <w:pPr>
              <w:pStyle w:val="30"/>
              <w:spacing w:before="142"/>
              <w:ind w:left="282"/>
              <w:rPr>
                <w:rFonts w:hint="eastAsia" w:ascii="宋体" w:hAnsi="宋体" w:eastAsia="宋体" w:cs="宋体"/>
                <w:spacing w:val="-8"/>
                <w:sz w:val="21"/>
                <w:highlight w:val="none"/>
                <w:lang w:val="en-US"/>
              </w:rPr>
            </w:pPr>
            <w:r>
              <w:rPr>
                <w:rFonts w:hint="eastAsia" w:ascii="宋体" w:hAnsi="宋体" w:eastAsia="宋体" w:cs="宋体"/>
                <w:spacing w:val="-8"/>
                <w:sz w:val="21"/>
                <w:highlight w:val="none"/>
              </w:rPr>
              <w:t>如本工程需要进行试运行，试运行的具体规定如下：</w:t>
            </w:r>
            <w:r>
              <w:rPr>
                <w:rFonts w:hint="eastAsia" w:ascii="宋体" w:hAnsi="宋体" w:eastAsia="宋体" w:cs="宋体"/>
                <w:spacing w:val="-8"/>
                <w:sz w:val="21"/>
                <w:highlight w:val="none"/>
                <w:u w:val="single"/>
              </w:rPr>
              <w:t xml:space="preserve"> </w:t>
            </w:r>
            <w:r>
              <w:rPr>
                <w:rFonts w:hint="eastAsia" w:ascii="宋体" w:hAnsi="宋体" w:eastAsia="宋体" w:cs="宋体"/>
                <w:spacing w:val="-8"/>
                <w:sz w:val="21"/>
                <w:highlight w:val="none"/>
                <w:u w:val="single"/>
                <w:lang w:val="en-US"/>
              </w:rPr>
              <w:t xml:space="preserve">/ </w:t>
            </w:r>
          </w:p>
        </w:tc>
      </w:tr>
      <w:tr w14:paraId="113EB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352" w:type="dxa"/>
          </w:tcPr>
          <w:p w14:paraId="633A17B4">
            <w:pPr>
              <w:pStyle w:val="30"/>
              <w:spacing w:before="1"/>
              <w:rPr>
                <w:rFonts w:hint="eastAsia" w:ascii="宋体" w:hAnsi="宋体" w:eastAsia="宋体" w:cs="宋体"/>
                <w:sz w:val="17"/>
                <w:highlight w:val="none"/>
              </w:rPr>
            </w:pPr>
          </w:p>
          <w:p w14:paraId="00FF3315">
            <w:pPr>
              <w:pStyle w:val="30"/>
              <w:ind w:left="355" w:right="346"/>
              <w:jc w:val="center"/>
              <w:rPr>
                <w:rFonts w:hint="eastAsia" w:ascii="宋体" w:hAnsi="宋体" w:eastAsia="宋体" w:cs="宋体"/>
                <w:sz w:val="20"/>
                <w:highlight w:val="none"/>
              </w:rPr>
            </w:pPr>
            <w:r>
              <w:rPr>
                <w:rFonts w:hint="eastAsia" w:ascii="宋体" w:hAnsi="宋体" w:eastAsia="宋体" w:cs="宋体"/>
                <w:sz w:val="20"/>
                <w:highlight w:val="none"/>
              </w:rPr>
              <w:t>21.5</w:t>
            </w:r>
          </w:p>
        </w:tc>
        <w:tc>
          <w:tcPr>
            <w:tcW w:w="7539" w:type="dxa"/>
          </w:tcPr>
          <w:p w14:paraId="16D51445">
            <w:pPr>
              <w:pStyle w:val="30"/>
              <w:spacing w:before="69" w:line="127" w:lineRule="exact"/>
              <w:ind w:left="105"/>
              <w:jc w:val="both"/>
              <w:rPr>
                <w:rFonts w:hint="eastAsia" w:ascii="宋体" w:hAnsi="宋体" w:eastAsia="宋体" w:cs="宋体"/>
                <w:sz w:val="14"/>
                <w:highlight w:val="none"/>
              </w:rPr>
            </w:pPr>
          </w:p>
          <w:p w14:paraId="0E6BADA4">
            <w:pPr>
              <w:pStyle w:val="30"/>
              <w:tabs>
                <w:tab w:val="left" w:pos="3536"/>
              </w:tabs>
              <w:spacing w:line="360" w:lineRule="auto"/>
              <w:ind w:left="282"/>
              <w:rPr>
                <w:rFonts w:hint="eastAsia" w:ascii="宋体" w:hAnsi="宋体" w:eastAsia="宋体" w:cs="宋体"/>
                <w:sz w:val="21"/>
                <w:highlight w:val="none"/>
              </w:rPr>
            </w:pPr>
            <w:r>
              <w:rPr>
                <w:rFonts w:hint="eastAsia" w:ascii="宋体" w:hAnsi="宋体" w:eastAsia="宋体" w:cs="宋体"/>
                <w:sz w:val="21"/>
                <w:highlight w:val="none"/>
              </w:rPr>
              <w:t>保修期：自实际交工日期起计算</w:t>
            </w:r>
            <w:r>
              <w:rPr>
                <w:rFonts w:hint="eastAsia" w:ascii="宋体" w:hAnsi="宋体" w:eastAsia="宋体" w:cs="宋体"/>
                <w:sz w:val="21"/>
                <w:highlight w:val="none"/>
                <w:u w:val="single"/>
              </w:rPr>
              <w:t xml:space="preserve"> </w:t>
            </w:r>
            <w:r>
              <w:rPr>
                <w:rFonts w:hint="eastAsia" w:ascii="宋体" w:hAnsi="宋体" w:eastAsia="宋体" w:cs="宋体"/>
                <w:sz w:val="21"/>
                <w:highlight w:val="none"/>
                <w:u w:val="single"/>
                <w:lang w:val="en-US"/>
              </w:rPr>
              <w:t xml:space="preserve">1 </w:t>
            </w:r>
            <w:r>
              <w:rPr>
                <w:rFonts w:hint="eastAsia" w:ascii="宋体" w:hAnsi="宋体" w:eastAsia="宋体" w:cs="宋体"/>
                <w:sz w:val="21"/>
                <w:highlight w:val="none"/>
              </w:rPr>
              <w:t>年</w:t>
            </w:r>
          </w:p>
        </w:tc>
      </w:tr>
      <w:tr w14:paraId="77B50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352" w:type="dxa"/>
          </w:tcPr>
          <w:p w14:paraId="73D385BD">
            <w:pPr>
              <w:pStyle w:val="30"/>
              <w:spacing w:before="11"/>
              <w:rPr>
                <w:rFonts w:hint="eastAsia" w:ascii="宋体" w:hAnsi="宋体" w:eastAsia="宋体" w:cs="宋体"/>
                <w:sz w:val="20"/>
                <w:highlight w:val="none"/>
              </w:rPr>
            </w:pPr>
          </w:p>
          <w:p w14:paraId="0B972C33">
            <w:pPr>
              <w:pStyle w:val="30"/>
              <w:ind w:right="346"/>
              <w:jc w:val="center"/>
              <w:rPr>
                <w:rFonts w:hint="eastAsia" w:ascii="宋体" w:hAnsi="宋体" w:eastAsia="宋体" w:cs="宋体"/>
                <w:sz w:val="20"/>
                <w:highlight w:val="none"/>
              </w:rPr>
            </w:pPr>
            <w:r>
              <w:rPr>
                <w:rFonts w:hint="eastAsia" w:ascii="宋体" w:hAnsi="宋体" w:eastAsia="宋体" w:cs="宋体"/>
                <w:sz w:val="20"/>
                <w:highlight w:val="none"/>
                <w:lang w:val="en-US"/>
              </w:rPr>
              <w:t xml:space="preserve">  </w:t>
            </w:r>
            <w:r>
              <w:rPr>
                <w:rFonts w:hint="eastAsia" w:ascii="宋体" w:hAnsi="宋体" w:eastAsia="宋体" w:cs="宋体"/>
                <w:sz w:val="20"/>
                <w:highlight w:val="none"/>
              </w:rPr>
              <w:t>24.2(3)</w:t>
            </w:r>
          </w:p>
        </w:tc>
        <w:tc>
          <w:tcPr>
            <w:tcW w:w="7539" w:type="dxa"/>
          </w:tcPr>
          <w:p w14:paraId="5352F95F">
            <w:pPr>
              <w:pStyle w:val="30"/>
              <w:spacing w:before="45"/>
              <w:ind w:left="282"/>
              <w:rPr>
                <w:rFonts w:hint="eastAsia" w:ascii="宋体" w:hAnsi="宋体" w:eastAsia="宋体" w:cs="宋体"/>
                <w:sz w:val="21"/>
                <w:highlight w:val="none"/>
              </w:rPr>
            </w:pPr>
            <w:r>
              <w:rPr>
                <w:rFonts w:hint="eastAsia" w:ascii="宋体" w:hAnsi="宋体" w:eastAsia="宋体" w:cs="宋体"/>
                <w:sz w:val="21"/>
                <w:highlight w:val="none"/>
              </w:rPr>
              <w:t>争议的最终解决方式：诉讼</w:t>
            </w:r>
          </w:p>
          <w:p w14:paraId="7B859988">
            <w:pPr>
              <w:pStyle w:val="30"/>
              <w:tabs>
                <w:tab w:val="left" w:pos="3699"/>
              </w:tabs>
              <w:spacing w:before="52" w:line="253" w:lineRule="exact"/>
              <w:ind w:left="282"/>
              <w:rPr>
                <w:rFonts w:hint="eastAsia" w:ascii="宋体" w:hAnsi="宋体" w:eastAsia="宋体" w:cs="宋体"/>
                <w:sz w:val="21"/>
                <w:highlight w:val="none"/>
              </w:rPr>
            </w:pPr>
            <w:r>
              <w:rPr>
                <w:rFonts w:hint="eastAsia" w:ascii="宋体" w:hAnsi="宋体" w:eastAsia="宋体" w:cs="宋体"/>
                <w:sz w:val="21"/>
                <w:highlight w:val="none"/>
              </w:rPr>
              <w:t>如采用仲裁，仲裁委员会名称：</w:t>
            </w:r>
            <w:r>
              <w:rPr>
                <w:rFonts w:hint="eastAsia" w:ascii="宋体" w:hAnsi="宋体" w:eastAsia="宋体" w:cs="宋体"/>
                <w:spacing w:val="95"/>
                <w:sz w:val="21"/>
                <w:highlight w:val="none"/>
                <w:u w:val="single"/>
              </w:rPr>
              <w:t xml:space="preserve"> </w:t>
            </w:r>
            <w:r>
              <w:rPr>
                <w:rFonts w:hint="eastAsia" w:ascii="宋体" w:hAnsi="宋体" w:eastAsia="宋体" w:cs="宋体"/>
                <w:spacing w:val="95"/>
                <w:sz w:val="21"/>
                <w:highlight w:val="none"/>
                <w:u w:val="single"/>
                <w:lang w:val="en-US"/>
              </w:rPr>
              <w:t>/</w:t>
            </w:r>
            <w:r>
              <w:rPr>
                <w:rFonts w:hint="eastAsia" w:ascii="宋体" w:hAnsi="宋体" w:eastAsia="宋体" w:cs="宋体"/>
                <w:sz w:val="21"/>
                <w:highlight w:val="none"/>
                <w:u w:val="single"/>
              </w:rPr>
              <w:tab/>
            </w:r>
          </w:p>
        </w:tc>
      </w:tr>
      <w:tr w14:paraId="20814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352" w:type="dxa"/>
            <w:vAlign w:val="top"/>
          </w:tcPr>
          <w:p w14:paraId="478D741A">
            <w:pPr>
              <w:pStyle w:val="30"/>
              <w:ind w:right="346" w:rightChars="0"/>
              <w:jc w:val="center"/>
              <w:rPr>
                <w:rFonts w:hint="eastAsia" w:ascii="宋体" w:hAnsi="宋体" w:eastAsia="宋体" w:cs="宋体"/>
                <w:sz w:val="20"/>
                <w:highlight w:val="none"/>
                <w:lang w:val="en-US"/>
              </w:rPr>
            </w:pPr>
            <w:r>
              <w:rPr>
                <w:rFonts w:hint="eastAsia" w:cs="宋体"/>
                <w:sz w:val="20"/>
                <w:highlight w:val="none"/>
                <w:lang w:val="en-US" w:eastAsia="zh-CN"/>
              </w:rPr>
              <w:t>特别说明</w:t>
            </w:r>
          </w:p>
        </w:tc>
        <w:tc>
          <w:tcPr>
            <w:tcW w:w="7539" w:type="dxa"/>
            <w:vAlign w:val="top"/>
          </w:tcPr>
          <w:p w14:paraId="4FC9CE45">
            <w:pPr>
              <w:pStyle w:val="30"/>
              <w:tabs>
                <w:tab w:val="left" w:pos="3699"/>
              </w:tabs>
              <w:spacing w:before="52" w:line="253" w:lineRule="exact"/>
              <w:rPr>
                <w:rFonts w:hint="eastAsia" w:ascii="宋体" w:hAnsi="宋体" w:eastAsia="宋体" w:cs="宋体"/>
                <w:sz w:val="21"/>
                <w:highlight w:val="none"/>
              </w:rPr>
            </w:pPr>
            <w:r>
              <w:rPr>
                <w:rFonts w:hint="eastAsia" w:ascii="宋体" w:hAnsi="宋体" w:eastAsia="宋体" w:cs="宋体"/>
                <w:sz w:val="21"/>
                <w:highlight w:val="none"/>
              </w:rPr>
              <w:t>如项目执行过程中因存在工期延误、工程质量问题、拖欠工资等事项采购人提出异议或要求时，供应商应当在2小时内响应，并在24小时内提出切实可行的解决方案供应商应当在响应文件中予以说明，否则视为未响应磋商文件。</w:t>
            </w:r>
          </w:p>
        </w:tc>
      </w:tr>
    </w:tbl>
    <w:p w14:paraId="5A492887">
      <w:pPr>
        <w:spacing w:before="103"/>
        <w:ind w:left="384"/>
        <w:rPr>
          <w:rFonts w:hint="eastAsia" w:ascii="宋体" w:hAnsi="宋体" w:eastAsia="宋体" w:cs="宋体"/>
          <w:sz w:val="21"/>
          <w:highlight w:val="none"/>
        </w:rPr>
      </w:pPr>
      <w:r>
        <w:rPr>
          <w:rFonts w:hint="eastAsia" w:ascii="宋体" w:hAnsi="宋体" w:eastAsia="宋体" w:cs="宋体"/>
          <w:sz w:val="21"/>
          <w:highlight w:val="none"/>
        </w:rPr>
        <w:t>说明：招标人编制的“项目合同条款”不限于本部分所列内容。</w:t>
      </w:r>
    </w:p>
    <w:p w14:paraId="1608F985">
      <w:pPr>
        <w:pStyle w:val="10"/>
        <w:rPr>
          <w:rFonts w:hint="eastAsia" w:ascii="宋体" w:hAnsi="宋体" w:eastAsia="宋体" w:cs="宋体"/>
          <w:sz w:val="20"/>
          <w:highlight w:val="none"/>
        </w:rPr>
      </w:pPr>
    </w:p>
    <w:p w14:paraId="6021D1F4">
      <w:pPr>
        <w:pStyle w:val="10"/>
        <w:rPr>
          <w:rFonts w:hint="eastAsia" w:ascii="宋体" w:hAnsi="宋体" w:eastAsia="宋体" w:cs="宋体"/>
          <w:sz w:val="20"/>
          <w:highlight w:val="none"/>
        </w:rPr>
      </w:pPr>
    </w:p>
    <w:p w14:paraId="6AD2CF6C">
      <w:pPr>
        <w:pStyle w:val="10"/>
        <w:rPr>
          <w:rFonts w:hint="eastAsia" w:ascii="宋体" w:hAnsi="宋体" w:eastAsia="宋体" w:cs="宋体"/>
          <w:sz w:val="20"/>
          <w:highlight w:val="none"/>
        </w:rPr>
      </w:pPr>
    </w:p>
    <w:p w14:paraId="40312740">
      <w:pPr>
        <w:pStyle w:val="10"/>
        <w:rPr>
          <w:rFonts w:hint="eastAsia" w:ascii="宋体" w:hAnsi="宋体" w:eastAsia="宋体" w:cs="宋体"/>
          <w:sz w:val="20"/>
          <w:highlight w:val="none"/>
        </w:rPr>
      </w:pPr>
    </w:p>
    <w:p w14:paraId="24C08100">
      <w:pPr>
        <w:pStyle w:val="10"/>
        <w:rPr>
          <w:rFonts w:hint="eastAsia" w:ascii="宋体" w:hAnsi="宋体" w:eastAsia="宋体" w:cs="宋体"/>
          <w:sz w:val="20"/>
          <w:highlight w:val="none"/>
        </w:rPr>
      </w:pPr>
    </w:p>
    <w:p w14:paraId="2333D0BE">
      <w:pPr>
        <w:pStyle w:val="10"/>
        <w:rPr>
          <w:rFonts w:hint="eastAsia" w:ascii="宋体" w:hAnsi="宋体" w:eastAsia="宋体" w:cs="宋体"/>
          <w:sz w:val="20"/>
          <w:highlight w:val="none"/>
        </w:rPr>
      </w:pPr>
    </w:p>
    <w:p w14:paraId="17399FE1">
      <w:pPr>
        <w:pStyle w:val="10"/>
        <w:rPr>
          <w:rFonts w:hint="eastAsia" w:ascii="宋体" w:hAnsi="宋体" w:eastAsia="宋体" w:cs="宋体"/>
          <w:sz w:val="20"/>
          <w:highlight w:val="none"/>
        </w:rPr>
      </w:pPr>
    </w:p>
    <w:p w14:paraId="0804EA89">
      <w:pPr>
        <w:pStyle w:val="10"/>
        <w:rPr>
          <w:rFonts w:hint="eastAsia" w:ascii="宋体" w:hAnsi="宋体" w:eastAsia="宋体" w:cs="宋体"/>
          <w:sz w:val="20"/>
          <w:highlight w:val="none"/>
        </w:rPr>
      </w:pPr>
    </w:p>
    <w:p w14:paraId="086638CA">
      <w:pPr>
        <w:pStyle w:val="10"/>
        <w:rPr>
          <w:rFonts w:hint="eastAsia" w:ascii="宋体" w:hAnsi="宋体" w:eastAsia="宋体" w:cs="宋体"/>
          <w:sz w:val="20"/>
          <w:highlight w:val="none"/>
        </w:rPr>
      </w:pPr>
    </w:p>
    <w:p w14:paraId="6E48ECA5">
      <w:pPr>
        <w:pStyle w:val="10"/>
        <w:rPr>
          <w:rFonts w:hint="eastAsia" w:ascii="宋体" w:hAnsi="宋体" w:eastAsia="宋体" w:cs="宋体"/>
          <w:sz w:val="20"/>
          <w:highlight w:val="none"/>
        </w:rPr>
      </w:pPr>
    </w:p>
    <w:p w14:paraId="0C595DE6">
      <w:pPr>
        <w:pStyle w:val="10"/>
        <w:rPr>
          <w:rFonts w:hint="eastAsia" w:ascii="宋体" w:hAnsi="宋体" w:eastAsia="宋体" w:cs="宋体"/>
          <w:sz w:val="20"/>
          <w:highlight w:val="none"/>
        </w:rPr>
      </w:pPr>
    </w:p>
    <w:p w14:paraId="0FFB03A6">
      <w:pPr>
        <w:pStyle w:val="10"/>
        <w:rPr>
          <w:rFonts w:hint="eastAsia" w:ascii="宋体" w:hAnsi="宋体" w:eastAsia="宋体" w:cs="宋体"/>
          <w:sz w:val="20"/>
          <w:highlight w:val="none"/>
        </w:rPr>
      </w:pPr>
    </w:p>
    <w:p w14:paraId="50603669">
      <w:pPr>
        <w:pStyle w:val="10"/>
        <w:rPr>
          <w:rFonts w:hint="eastAsia" w:ascii="宋体" w:hAnsi="宋体" w:eastAsia="宋体" w:cs="宋体"/>
          <w:sz w:val="20"/>
          <w:highlight w:val="none"/>
        </w:rPr>
      </w:pPr>
    </w:p>
    <w:p w14:paraId="3AEC1F76">
      <w:pPr>
        <w:pStyle w:val="10"/>
        <w:rPr>
          <w:rFonts w:hint="eastAsia" w:ascii="宋体" w:hAnsi="宋体" w:eastAsia="宋体" w:cs="宋体"/>
          <w:sz w:val="20"/>
          <w:highlight w:val="none"/>
        </w:rPr>
      </w:pPr>
    </w:p>
    <w:p w14:paraId="5FF33DE3">
      <w:pPr>
        <w:pStyle w:val="10"/>
        <w:rPr>
          <w:rFonts w:hint="eastAsia" w:ascii="宋体" w:hAnsi="宋体" w:eastAsia="宋体" w:cs="宋体"/>
          <w:sz w:val="20"/>
          <w:highlight w:val="none"/>
        </w:rPr>
      </w:pPr>
    </w:p>
    <w:p w14:paraId="580DCBB7">
      <w:pPr>
        <w:pStyle w:val="10"/>
        <w:rPr>
          <w:rFonts w:hint="eastAsia" w:ascii="宋体" w:hAnsi="宋体" w:eastAsia="宋体" w:cs="宋体"/>
          <w:sz w:val="20"/>
          <w:highlight w:val="none"/>
        </w:rPr>
      </w:pPr>
    </w:p>
    <w:p w14:paraId="75AA4FBE">
      <w:pPr>
        <w:pStyle w:val="10"/>
        <w:rPr>
          <w:rFonts w:hint="eastAsia" w:ascii="宋体" w:hAnsi="宋体" w:eastAsia="宋体" w:cs="宋体"/>
          <w:sz w:val="20"/>
          <w:highlight w:val="none"/>
        </w:rPr>
      </w:pPr>
    </w:p>
    <w:p w14:paraId="5BFF683C">
      <w:pPr>
        <w:pStyle w:val="10"/>
        <w:rPr>
          <w:rFonts w:hint="eastAsia" w:ascii="宋体" w:hAnsi="宋体" w:eastAsia="宋体" w:cs="宋体"/>
          <w:sz w:val="20"/>
          <w:highlight w:val="none"/>
        </w:rPr>
      </w:pPr>
    </w:p>
    <w:p w14:paraId="513210F9">
      <w:pPr>
        <w:pStyle w:val="10"/>
        <w:rPr>
          <w:rFonts w:hint="eastAsia" w:ascii="宋体" w:hAnsi="宋体" w:eastAsia="宋体" w:cs="宋体"/>
          <w:sz w:val="20"/>
          <w:highlight w:val="none"/>
        </w:rPr>
      </w:pPr>
    </w:p>
    <w:p w14:paraId="60C0592B">
      <w:pPr>
        <w:pStyle w:val="10"/>
        <w:rPr>
          <w:rFonts w:hint="eastAsia" w:ascii="宋体" w:hAnsi="宋体" w:eastAsia="宋体" w:cs="宋体"/>
          <w:sz w:val="20"/>
          <w:highlight w:val="none"/>
        </w:rPr>
      </w:pPr>
    </w:p>
    <w:p w14:paraId="3BBA4E0B">
      <w:pPr>
        <w:pStyle w:val="10"/>
        <w:rPr>
          <w:rFonts w:hint="eastAsia" w:ascii="宋体" w:hAnsi="宋体" w:eastAsia="宋体" w:cs="宋体"/>
          <w:sz w:val="20"/>
          <w:highlight w:val="none"/>
        </w:rPr>
      </w:pPr>
    </w:p>
    <w:p w14:paraId="3F689F76">
      <w:pPr>
        <w:pStyle w:val="10"/>
        <w:rPr>
          <w:rFonts w:hint="eastAsia" w:ascii="宋体" w:hAnsi="宋体" w:eastAsia="宋体" w:cs="宋体"/>
          <w:sz w:val="20"/>
          <w:highlight w:val="none"/>
        </w:rPr>
      </w:pPr>
    </w:p>
    <w:p w14:paraId="380BAF5A">
      <w:pPr>
        <w:pStyle w:val="10"/>
        <w:rPr>
          <w:rFonts w:hint="eastAsia" w:ascii="宋体" w:hAnsi="宋体" w:eastAsia="宋体" w:cs="宋体"/>
          <w:sz w:val="20"/>
          <w:highlight w:val="none"/>
        </w:rPr>
      </w:pPr>
    </w:p>
    <w:p w14:paraId="412476EA">
      <w:pPr>
        <w:pStyle w:val="10"/>
        <w:rPr>
          <w:rFonts w:hint="eastAsia" w:ascii="宋体" w:hAnsi="宋体" w:eastAsia="宋体" w:cs="宋体"/>
          <w:sz w:val="20"/>
          <w:highlight w:val="none"/>
        </w:rPr>
      </w:pPr>
    </w:p>
    <w:p w14:paraId="50C0263E">
      <w:pPr>
        <w:pStyle w:val="10"/>
        <w:rPr>
          <w:rFonts w:hint="eastAsia" w:ascii="宋体" w:hAnsi="宋体" w:eastAsia="宋体" w:cs="宋体"/>
          <w:sz w:val="20"/>
          <w:highlight w:val="none"/>
        </w:rPr>
      </w:pPr>
    </w:p>
    <w:p w14:paraId="7E2B00BA">
      <w:pPr>
        <w:pStyle w:val="10"/>
        <w:rPr>
          <w:rFonts w:hint="eastAsia" w:ascii="宋体" w:hAnsi="宋体" w:eastAsia="宋体" w:cs="宋体"/>
          <w:sz w:val="20"/>
          <w:highlight w:val="none"/>
        </w:rPr>
      </w:pPr>
    </w:p>
    <w:p w14:paraId="752B224D">
      <w:pPr>
        <w:pStyle w:val="10"/>
        <w:rPr>
          <w:rFonts w:hint="eastAsia" w:ascii="宋体" w:hAnsi="宋体" w:eastAsia="宋体" w:cs="宋体"/>
          <w:sz w:val="20"/>
          <w:highlight w:val="none"/>
        </w:rPr>
      </w:pPr>
    </w:p>
    <w:p w14:paraId="6C553408">
      <w:pPr>
        <w:pStyle w:val="10"/>
        <w:rPr>
          <w:rFonts w:hint="eastAsia" w:ascii="宋体" w:hAnsi="宋体" w:eastAsia="宋体" w:cs="宋体"/>
          <w:sz w:val="20"/>
          <w:highlight w:val="none"/>
        </w:rPr>
      </w:pPr>
    </w:p>
    <w:p w14:paraId="7CF2FB99">
      <w:pPr>
        <w:pStyle w:val="10"/>
        <w:rPr>
          <w:rFonts w:hint="eastAsia" w:ascii="宋体" w:hAnsi="宋体" w:eastAsia="宋体" w:cs="宋体"/>
          <w:sz w:val="20"/>
          <w:highlight w:val="none"/>
        </w:rPr>
      </w:pPr>
    </w:p>
    <w:p w14:paraId="040133C8">
      <w:pPr>
        <w:pStyle w:val="10"/>
        <w:rPr>
          <w:rFonts w:hint="eastAsia" w:ascii="宋体" w:hAnsi="宋体" w:eastAsia="宋体" w:cs="宋体"/>
          <w:sz w:val="20"/>
          <w:highlight w:val="none"/>
        </w:rPr>
      </w:pPr>
    </w:p>
    <w:p w14:paraId="22E49A31">
      <w:pPr>
        <w:pStyle w:val="10"/>
        <w:rPr>
          <w:rFonts w:hint="eastAsia" w:ascii="宋体" w:hAnsi="宋体" w:eastAsia="宋体" w:cs="宋体"/>
          <w:sz w:val="20"/>
          <w:highlight w:val="none"/>
        </w:rPr>
      </w:pPr>
    </w:p>
    <w:p w14:paraId="7A0BCB33">
      <w:pPr>
        <w:pStyle w:val="10"/>
        <w:rPr>
          <w:rFonts w:hint="eastAsia" w:ascii="宋体" w:hAnsi="宋体" w:eastAsia="宋体" w:cs="宋体"/>
          <w:sz w:val="20"/>
          <w:highlight w:val="none"/>
        </w:rPr>
      </w:pPr>
    </w:p>
    <w:p w14:paraId="4FC25245">
      <w:pPr>
        <w:pStyle w:val="10"/>
        <w:rPr>
          <w:rFonts w:hint="eastAsia" w:ascii="宋体" w:hAnsi="宋体" w:eastAsia="宋体" w:cs="宋体"/>
          <w:sz w:val="20"/>
          <w:highlight w:val="none"/>
        </w:rPr>
      </w:pPr>
    </w:p>
    <w:p w14:paraId="6A870379">
      <w:pPr>
        <w:pStyle w:val="10"/>
        <w:spacing w:before="1"/>
        <w:rPr>
          <w:rFonts w:hint="eastAsia" w:ascii="宋体" w:hAnsi="宋体" w:eastAsia="宋体" w:cs="宋体"/>
          <w:sz w:val="13"/>
          <w:highlight w:val="none"/>
        </w:rPr>
      </w:pPr>
    </w:p>
    <w:p w14:paraId="64A1907E">
      <w:pPr>
        <w:pStyle w:val="10"/>
        <w:spacing w:before="8"/>
        <w:rPr>
          <w:rFonts w:hint="eastAsia" w:ascii="宋体" w:hAnsi="宋体" w:eastAsia="宋体" w:cs="宋体"/>
          <w:sz w:val="5"/>
          <w:highlight w:val="none"/>
        </w:rPr>
      </w:pPr>
    </w:p>
    <w:p w14:paraId="28EE0E48">
      <w:pPr>
        <w:rPr>
          <w:rFonts w:hint="eastAsia" w:ascii="宋体" w:hAnsi="宋体" w:eastAsia="宋体" w:cs="宋体"/>
          <w:sz w:val="18"/>
          <w:highlight w:val="none"/>
        </w:rPr>
        <w:sectPr>
          <w:pgSz w:w="11910" w:h="16840"/>
          <w:pgMar w:top="1360" w:right="1120" w:bottom="1080" w:left="1260" w:header="882" w:footer="880" w:gutter="0"/>
          <w:cols w:space="720" w:num="1"/>
        </w:sectPr>
      </w:pPr>
    </w:p>
    <w:p w14:paraId="1ABC885A">
      <w:pPr>
        <w:pStyle w:val="10"/>
        <w:outlineLvl w:val="9"/>
        <w:rPr>
          <w:rFonts w:hint="eastAsia" w:ascii="宋体" w:hAnsi="宋体" w:eastAsia="宋体" w:cs="宋体"/>
          <w:sz w:val="20"/>
          <w:highlight w:val="none"/>
        </w:rPr>
      </w:pPr>
    </w:p>
    <w:p w14:paraId="509AD4CB">
      <w:pPr>
        <w:pStyle w:val="10"/>
        <w:spacing w:before="9"/>
        <w:outlineLvl w:val="9"/>
        <w:rPr>
          <w:rFonts w:hint="eastAsia" w:ascii="宋体" w:hAnsi="宋体" w:eastAsia="宋体" w:cs="宋体"/>
          <w:sz w:val="17"/>
          <w:highlight w:val="none"/>
        </w:rPr>
      </w:pPr>
    </w:p>
    <w:p w14:paraId="52C92B32">
      <w:pPr>
        <w:tabs>
          <w:tab w:val="left" w:pos="1952"/>
        </w:tabs>
        <w:outlineLvl w:val="9"/>
        <w:rPr>
          <w:rFonts w:hint="eastAsia" w:ascii="宋体" w:hAnsi="宋体" w:eastAsia="宋体" w:cs="宋体"/>
          <w:sz w:val="30"/>
          <w:szCs w:val="30"/>
          <w:highlight w:val="none"/>
        </w:rPr>
      </w:pPr>
      <w:bookmarkStart w:id="78" w:name="_TOC_250025"/>
      <w:bookmarkEnd w:id="78"/>
    </w:p>
    <w:p w14:paraId="5BC480A6">
      <w:pPr>
        <w:tabs>
          <w:tab w:val="left" w:pos="1952"/>
        </w:tabs>
        <w:outlineLvl w:val="9"/>
        <w:rPr>
          <w:rFonts w:hint="eastAsia" w:ascii="宋体" w:hAnsi="宋体" w:eastAsia="宋体" w:cs="宋体"/>
          <w:sz w:val="30"/>
          <w:szCs w:val="30"/>
          <w:highlight w:val="none"/>
        </w:rPr>
      </w:pPr>
    </w:p>
    <w:p w14:paraId="0F1C6674">
      <w:pPr>
        <w:tabs>
          <w:tab w:val="left" w:pos="1952"/>
        </w:tabs>
        <w:outlineLvl w:val="9"/>
        <w:rPr>
          <w:rFonts w:hint="eastAsia" w:ascii="宋体" w:hAnsi="宋体" w:eastAsia="宋体" w:cs="宋体"/>
          <w:sz w:val="30"/>
          <w:szCs w:val="30"/>
          <w:highlight w:val="none"/>
        </w:rPr>
      </w:pPr>
    </w:p>
    <w:p w14:paraId="6A758EE6">
      <w:pPr>
        <w:pStyle w:val="6"/>
        <w:tabs>
          <w:tab w:val="left" w:pos="1952"/>
        </w:tabs>
        <w:rPr>
          <w:rFonts w:hint="eastAsia" w:ascii="宋体" w:hAnsi="宋体" w:eastAsia="宋体" w:cs="宋体"/>
          <w:sz w:val="30"/>
          <w:szCs w:val="30"/>
          <w:highlight w:val="none"/>
        </w:rPr>
        <w:sectPr>
          <w:pgSz w:w="11910" w:h="16840"/>
          <w:pgMar w:top="1360" w:right="1120" w:bottom="1080" w:left="1260" w:header="882" w:footer="880" w:gutter="0"/>
          <w:cols w:space="720" w:num="1"/>
        </w:sectPr>
      </w:pPr>
      <w:r>
        <w:rPr>
          <w:rFonts w:hint="eastAsia" w:ascii="宋体" w:hAnsi="宋体" w:eastAsia="宋体" w:cs="宋体"/>
          <w:sz w:val="30"/>
          <w:szCs w:val="30"/>
          <w:highlight w:val="none"/>
        </w:rPr>
        <w:t>第三节</w:t>
      </w:r>
      <w:r>
        <w:rPr>
          <w:rFonts w:hint="eastAsia" w:ascii="宋体" w:hAnsi="宋体" w:eastAsia="宋体" w:cs="宋体"/>
          <w:sz w:val="30"/>
          <w:szCs w:val="30"/>
          <w:highlight w:val="none"/>
          <w:lang w:val="en-US"/>
        </w:rPr>
        <w:t xml:space="preserve">  </w:t>
      </w:r>
      <w:r>
        <w:rPr>
          <w:rFonts w:hint="eastAsia" w:ascii="宋体" w:hAnsi="宋体" w:eastAsia="宋体" w:cs="宋体"/>
          <w:sz w:val="30"/>
          <w:szCs w:val="30"/>
          <w:highlight w:val="none"/>
        </w:rPr>
        <w:t>合同附件格式</w:t>
      </w:r>
    </w:p>
    <w:p w14:paraId="62B8A552">
      <w:pPr>
        <w:pStyle w:val="10"/>
        <w:rPr>
          <w:rFonts w:hint="eastAsia" w:ascii="宋体" w:hAnsi="宋体" w:eastAsia="宋体" w:cs="宋体"/>
          <w:b/>
          <w:sz w:val="20"/>
          <w:highlight w:val="none"/>
        </w:rPr>
      </w:pPr>
    </w:p>
    <w:p w14:paraId="04358206">
      <w:pPr>
        <w:pStyle w:val="10"/>
        <w:tabs>
          <w:tab w:val="left" w:pos="1343"/>
        </w:tabs>
        <w:spacing w:before="66"/>
        <w:ind w:left="384"/>
        <w:rPr>
          <w:rFonts w:hint="eastAsia" w:ascii="宋体" w:hAnsi="宋体" w:eastAsia="宋体" w:cs="宋体"/>
          <w:highlight w:val="none"/>
        </w:rPr>
      </w:pPr>
      <w:r>
        <w:rPr>
          <w:rFonts w:hint="eastAsia" w:ascii="宋体" w:hAnsi="宋体" w:eastAsia="宋体" w:cs="宋体"/>
          <w:highlight w:val="none"/>
        </w:rPr>
        <w:t>附件一</w:t>
      </w:r>
      <w:r>
        <w:rPr>
          <w:rFonts w:hint="eastAsia" w:ascii="宋体" w:hAnsi="宋体" w:eastAsia="宋体" w:cs="宋体"/>
          <w:highlight w:val="none"/>
        </w:rPr>
        <w:tab/>
      </w:r>
      <w:r>
        <w:rPr>
          <w:rFonts w:hint="eastAsia" w:ascii="宋体" w:hAnsi="宋体" w:eastAsia="宋体" w:cs="宋体"/>
          <w:highlight w:val="none"/>
        </w:rPr>
        <w:t>合同协议书</w:t>
      </w:r>
    </w:p>
    <w:p w14:paraId="42E0BF2E">
      <w:pPr>
        <w:pStyle w:val="10"/>
        <w:rPr>
          <w:rFonts w:hint="eastAsia" w:ascii="宋体" w:hAnsi="宋体" w:eastAsia="宋体" w:cs="宋体"/>
          <w:sz w:val="20"/>
          <w:highlight w:val="none"/>
        </w:rPr>
      </w:pPr>
    </w:p>
    <w:p w14:paraId="23621944">
      <w:pPr>
        <w:pStyle w:val="10"/>
        <w:spacing w:before="3"/>
        <w:rPr>
          <w:rFonts w:hint="eastAsia" w:ascii="宋体" w:hAnsi="宋体" w:eastAsia="宋体" w:cs="宋体"/>
          <w:sz w:val="17"/>
          <w:highlight w:val="none"/>
        </w:rPr>
      </w:pPr>
    </w:p>
    <w:p w14:paraId="4A044CE0">
      <w:pPr>
        <w:pStyle w:val="10"/>
        <w:ind w:left="372" w:right="455"/>
        <w:jc w:val="center"/>
        <w:rPr>
          <w:rFonts w:hint="eastAsia" w:ascii="宋体" w:hAnsi="宋体" w:eastAsia="宋体" w:cs="宋体"/>
          <w:highlight w:val="none"/>
        </w:rPr>
      </w:pPr>
      <w:r>
        <w:rPr>
          <w:rFonts w:hint="eastAsia" w:ascii="宋体" w:hAnsi="宋体" w:eastAsia="宋体" w:cs="宋体"/>
          <w:highlight w:val="none"/>
        </w:rPr>
        <w:t>合同协议书</w:t>
      </w:r>
    </w:p>
    <w:p w14:paraId="666D56D0">
      <w:pPr>
        <w:pStyle w:val="10"/>
        <w:rPr>
          <w:rFonts w:hint="eastAsia" w:ascii="宋体" w:hAnsi="宋体" w:eastAsia="宋体" w:cs="宋体"/>
          <w:sz w:val="20"/>
          <w:highlight w:val="none"/>
        </w:rPr>
      </w:pPr>
    </w:p>
    <w:p w14:paraId="15AADB66">
      <w:pPr>
        <w:pStyle w:val="10"/>
        <w:tabs>
          <w:tab w:val="left" w:pos="3203"/>
          <w:tab w:val="left" w:pos="8975"/>
        </w:tabs>
        <w:spacing w:before="221"/>
        <w:ind w:left="864"/>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rPr>
        <w:t xml:space="preserve">    </w:t>
      </w:r>
      <w:r>
        <w:rPr>
          <w:rFonts w:hint="eastAsia" w:ascii="宋体" w:hAnsi="宋体" w:eastAsia="宋体" w:cs="宋体"/>
          <w:highlight w:val="none"/>
          <w:u w:val="single"/>
        </w:rPr>
        <w:tab/>
      </w:r>
      <w:r>
        <w:rPr>
          <w:rFonts w:hint="eastAsia" w:ascii="宋体" w:hAnsi="宋体" w:eastAsia="宋体" w:cs="宋体"/>
          <w:highlight w:val="none"/>
        </w:rPr>
        <w:t xml:space="preserve"> </w:t>
      </w:r>
      <w:r>
        <w:rPr>
          <w:rFonts w:hint="eastAsia" w:ascii="宋体" w:hAnsi="宋体" w:eastAsia="宋体" w:cs="宋体"/>
          <w:spacing w:val="-1"/>
          <w:highlight w:val="none"/>
        </w:rPr>
        <w:t>(发</w:t>
      </w:r>
      <w:r>
        <w:rPr>
          <w:rFonts w:hint="eastAsia" w:ascii="宋体" w:hAnsi="宋体" w:eastAsia="宋体" w:cs="宋体"/>
          <w:highlight w:val="none"/>
        </w:rPr>
        <w:t>包人名称，以下简称“发包人”)为实施</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p>
    <w:p w14:paraId="75BB988B">
      <w:pPr>
        <w:pStyle w:val="10"/>
        <w:tabs>
          <w:tab w:val="left" w:pos="1523"/>
          <w:tab w:val="left" w:pos="4382"/>
          <w:tab w:val="left" w:pos="9119"/>
        </w:tabs>
        <w:spacing w:before="84"/>
        <w:ind w:left="384"/>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 xml:space="preserve"> (项目名称)，已接受</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w:t>
      </w:r>
      <w:r>
        <w:rPr>
          <w:rFonts w:hint="eastAsia" w:ascii="宋体" w:hAnsi="宋体" w:eastAsia="宋体" w:cs="宋体"/>
          <w:highlight w:val="none"/>
        </w:rPr>
        <w:t>承包人名称，以下简称“承包人”)对该项目</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p>
    <w:p w14:paraId="07F3254C">
      <w:pPr>
        <w:pStyle w:val="10"/>
        <w:tabs>
          <w:tab w:val="left" w:pos="2303"/>
        </w:tabs>
        <w:spacing w:before="84"/>
        <w:ind w:left="384"/>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标段施工的投标。发包人和承包人共同达成如下协议：</w:t>
      </w:r>
    </w:p>
    <w:p w14:paraId="2E3538B8">
      <w:pPr>
        <w:pStyle w:val="29"/>
        <w:numPr>
          <w:ilvl w:val="0"/>
          <w:numId w:val="40"/>
        </w:numPr>
        <w:tabs>
          <w:tab w:val="left" w:pos="1045"/>
          <w:tab w:val="left" w:pos="1343"/>
          <w:tab w:val="left" w:pos="1763"/>
          <w:tab w:val="left" w:pos="2063"/>
          <w:tab w:val="left" w:pos="2776"/>
          <w:tab w:val="left" w:pos="2843"/>
          <w:tab w:val="left" w:pos="3196"/>
          <w:tab w:val="left" w:pos="3916"/>
          <w:tab w:val="left" w:pos="4211"/>
          <w:tab w:val="left" w:pos="4288"/>
          <w:tab w:val="left" w:pos="4871"/>
          <w:tab w:val="left" w:pos="5171"/>
          <w:tab w:val="left" w:pos="5591"/>
          <w:tab w:val="left" w:pos="5787"/>
          <w:tab w:val="left" w:pos="6752"/>
          <w:tab w:val="left" w:pos="6847"/>
          <w:tab w:val="left" w:pos="8341"/>
          <w:tab w:val="left" w:pos="8939"/>
        </w:tabs>
        <w:spacing w:before="86" w:line="304" w:lineRule="auto"/>
        <w:ind w:right="346" w:firstLine="480"/>
        <w:rPr>
          <w:rFonts w:hint="eastAsia" w:ascii="宋体" w:hAnsi="宋体" w:eastAsia="宋体" w:cs="宋体"/>
          <w:sz w:val="24"/>
          <w:highlight w:val="none"/>
        </w:rPr>
      </w:pPr>
      <w:r>
        <w:rPr>
          <w:rFonts w:hint="eastAsia" w:ascii="宋体" w:hAnsi="宋体" w:eastAsia="宋体" w:cs="宋体"/>
          <w:sz w:val="24"/>
          <w:highlight w:val="none"/>
        </w:rPr>
        <w:t>第</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标段由</w:t>
      </w:r>
      <w:r>
        <w:rPr>
          <w:rFonts w:hint="eastAsia" w:ascii="宋体" w:hAnsi="宋体" w:eastAsia="宋体" w:cs="宋体"/>
          <w:spacing w:val="-60"/>
          <w:sz w:val="24"/>
          <w:highlight w:val="none"/>
        </w:rPr>
        <w:t xml:space="preserve"> </w:t>
      </w:r>
      <w:r>
        <w:rPr>
          <w:rFonts w:hint="eastAsia" w:ascii="宋体" w:hAnsi="宋体" w:eastAsia="宋体" w:cs="宋体"/>
          <w:spacing w:val="-2"/>
          <w:sz w:val="24"/>
          <w:highlight w:val="none"/>
        </w:rPr>
        <w:t>K</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pacing w:val="-1"/>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至</w:t>
      </w:r>
      <w:r>
        <w:rPr>
          <w:rFonts w:hint="eastAsia" w:ascii="宋体" w:hAnsi="宋体" w:eastAsia="宋体" w:cs="宋体"/>
          <w:spacing w:val="-60"/>
          <w:sz w:val="24"/>
          <w:highlight w:val="none"/>
        </w:rPr>
        <w:t xml:space="preserve"> </w:t>
      </w:r>
      <w:r>
        <w:rPr>
          <w:rFonts w:hint="eastAsia" w:ascii="宋体" w:hAnsi="宋体" w:eastAsia="宋体" w:cs="宋体"/>
          <w:spacing w:val="1"/>
          <w:sz w:val="24"/>
          <w:highlight w:val="none"/>
        </w:rPr>
        <w:t>K</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pacing w:val="-99"/>
          <w:sz w:val="24"/>
          <w:highlight w:val="none"/>
        </w:rPr>
        <w:t>，</w:t>
      </w:r>
      <w:r>
        <w:rPr>
          <w:rFonts w:hint="eastAsia" w:ascii="宋体" w:hAnsi="宋体" w:eastAsia="宋体" w:cs="宋体"/>
          <w:sz w:val="24"/>
          <w:highlight w:val="none"/>
        </w:rPr>
        <w:t>长</w:t>
      </w:r>
      <w:r>
        <w:rPr>
          <w:rFonts w:hint="eastAsia" w:ascii="宋体" w:hAnsi="宋体" w:eastAsia="宋体" w:cs="宋体"/>
          <w:spacing w:val="-1"/>
          <w:sz w:val="24"/>
          <w:highlight w:val="none"/>
        </w:rPr>
        <w:t>约</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 xml:space="preserve"> km</w:t>
      </w:r>
      <w:r>
        <w:rPr>
          <w:rFonts w:hint="eastAsia" w:ascii="宋体" w:hAnsi="宋体" w:eastAsia="宋体" w:cs="宋体"/>
          <w:spacing w:val="-101"/>
          <w:sz w:val="24"/>
          <w:highlight w:val="none"/>
        </w:rPr>
        <w:t>，</w:t>
      </w:r>
      <w:r>
        <w:rPr>
          <w:rFonts w:hint="eastAsia" w:ascii="宋体" w:hAnsi="宋体" w:eastAsia="宋体" w:cs="宋体"/>
          <w:sz w:val="24"/>
          <w:highlight w:val="none"/>
        </w:rPr>
        <w:t>公路等级为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pacing w:val="-18"/>
          <w:sz w:val="24"/>
          <w:highlight w:val="none"/>
        </w:rPr>
        <w:t>，</w:t>
      </w:r>
      <w:r>
        <w:rPr>
          <w:rFonts w:hint="eastAsia" w:ascii="宋体" w:hAnsi="宋体" w:eastAsia="宋体" w:cs="宋体"/>
          <w:sz w:val="24"/>
          <w:highlight w:val="none"/>
        </w:rPr>
        <w:t>设计时速为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pacing w:val="-8"/>
          <w:sz w:val="24"/>
          <w:highlight w:val="none"/>
        </w:rPr>
        <w:t>，</w:t>
      </w:r>
      <w:r>
        <w:rPr>
          <w:rFonts w:hint="eastAsia" w:ascii="宋体" w:hAnsi="宋体" w:eastAsia="宋体" w:cs="宋体"/>
          <w:spacing w:val="-8"/>
          <w:sz w:val="24"/>
          <w:highlight w:val="none"/>
          <w:u w:val="single"/>
        </w:rPr>
        <w:t xml:space="preserve"> </w:t>
      </w:r>
      <w:r>
        <w:rPr>
          <w:rFonts w:hint="eastAsia" w:ascii="宋体" w:hAnsi="宋体" w:eastAsia="宋体" w:cs="宋体"/>
          <w:spacing w:val="-8"/>
          <w:sz w:val="24"/>
          <w:highlight w:val="none"/>
          <w:u w:val="single"/>
        </w:rPr>
        <w:tab/>
      </w:r>
      <w:r>
        <w:rPr>
          <w:rFonts w:hint="eastAsia" w:ascii="宋体" w:hAnsi="宋体" w:eastAsia="宋体" w:cs="宋体"/>
          <w:sz w:val="24"/>
          <w:highlight w:val="none"/>
        </w:rPr>
        <w:t>路面</w:t>
      </w:r>
      <w:r>
        <w:rPr>
          <w:rFonts w:hint="eastAsia" w:ascii="宋体" w:hAnsi="宋体" w:eastAsia="宋体" w:cs="宋体"/>
          <w:spacing w:val="-5"/>
          <w:sz w:val="24"/>
          <w:highlight w:val="none"/>
        </w:rPr>
        <w:t>，</w:t>
      </w:r>
      <w:r>
        <w:rPr>
          <w:rFonts w:hint="eastAsia" w:ascii="宋体" w:hAnsi="宋体" w:eastAsia="宋体" w:cs="宋体"/>
          <w:sz w:val="24"/>
          <w:highlight w:val="none"/>
        </w:rPr>
        <w:t>有</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rPr>
        <w:t>立交</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rPr>
        <w:t>处</w:t>
      </w:r>
      <w:r>
        <w:rPr>
          <w:rFonts w:hint="eastAsia" w:ascii="宋体" w:hAnsi="宋体" w:eastAsia="宋体" w:cs="宋体"/>
          <w:spacing w:val="-5"/>
          <w:sz w:val="24"/>
          <w:highlight w:val="none"/>
        </w:rPr>
        <w:t>；</w:t>
      </w:r>
      <w:r>
        <w:rPr>
          <w:rFonts w:hint="eastAsia" w:ascii="宋体" w:hAnsi="宋体" w:eastAsia="宋体" w:cs="宋体"/>
          <w:sz w:val="24"/>
          <w:highlight w:val="none"/>
        </w:rPr>
        <w:t>特大桥</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rPr>
        <w:t>座</w:t>
      </w:r>
      <w:r>
        <w:rPr>
          <w:rFonts w:hint="eastAsia" w:ascii="宋体" w:hAnsi="宋体" w:eastAsia="宋体" w:cs="宋体"/>
          <w:spacing w:val="-8"/>
          <w:sz w:val="24"/>
          <w:highlight w:val="none"/>
        </w:rPr>
        <w:t>，</w:t>
      </w:r>
      <w:r>
        <w:rPr>
          <w:rFonts w:hint="eastAsia" w:ascii="宋体" w:hAnsi="宋体" w:eastAsia="宋体" w:cs="宋体"/>
          <w:sz w:val="24"/>
          <w:highlight w:val="none"/>
        </w:rPr>
        <w:t>计长</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pacing w:val="-4"/>
          <w:sz w:val="24"/>
          <w:highlight w:val="none"/>
        </w:rPr>
        <w:t>m；</w:t>
      </w:r>
      <w:r>
        <w:rPr>
          <w:rFonts w:hint="eastAsia" w:ascii="宋体" w:hAnsi="宋体" w:eastAsia="宋体" w:cs="宋体"/>
          <w:sz w:val="24"/>
          <w:highlight w:val="none"/>
        </w:rPr>
        <w:t>大中桥</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座，计长</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rPr>
        <w:t>m；隧道</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rPr>
        <w:t>座，计长</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rPr>
        <w:t>m 以及其他构造物工程等。</w:t>
      </w:r>
    </w:p>
    <w:p w14:paraId="301DAB43">
      <w:pPr>
        <w:pStyle w:val="29"/>
        <w:numPr>
          <w:ilvl w:val="0"/>
          <w:numId w:val="40"/>
        </w:numPr>
        <w:tabs>
          <w:tab w:val="left" w:pos="1164"/>
        </w:tabs>
        <w:spacing w:before="4"/>
        <w:ind w:left="1164" w:hanging="300"/>
        <w:rPr>
          <w:rFonts w:hint="eastAsia" w:ascii="宋体" w:hAnsi="宋体" w:eastAsia="宋体" w:cs="宋体"/>
          <w:sz w:val="24"/>
          <w:highlight w:val="none"/>
        </w:rPr>
      </w:pPr>
      <w:r>
        <w:rPr>
          <w:rFonts w:hint="eastAsia" w:ascii="宋体" w:hAnsi="宋体" w:eastAsia="宋体" w:cs="宋体"/>
          <w:sz w:val="24"/>
          <w:highlight w:val="none"/>
        </w:rPr>
        <w:t>下列文件应视为构成合同文件的组成部分：</w:t>
      </w:r>
    </w:p>
    <w:p w14:paraId="6A99B532">
      <w:pPr>
        <w:pStyle w:val="29"/>
        <w:numPr>
          <w:ilvl w:val="0"/>
          <w:numId w:val="41"/>
        </w:numPr>
        <w:tabs>
          <w:tab w:val="left" w:pos="1465"/>
        </w:tabs>
        <w:spacing w:before="101" w:line="312" w:lineRule="auto"/>
        <w:ind w:right="466" w:firstLine="480"/>
        <w:rPr>
          <w:rFonts w:hint="eastAsia" w:ascii="宋体" w:hAnsi="宋体" w:eastAsia="宋体" w:cs="宋体"/>
          <w:sz w:val="24"/>
          <w:highlight w:val="none"/>
        </w:rPr>
      </w:pPr>
      <w:r>
        <w:rPr>
          <w:rFonts w:hint="eastAsia" w:ascii="宋体" w:hAnsi="宋体" w:eastAsia="宋体" w:cs="宋体"/>
          <w:spacing w:val="-4"/>
          <w:sz w:val="24"/>
          <w:highlight w:val="none"/>
        </w:rPr>
        <w:t>合同协议书及各种合同附件</w:t>
      </w:r>
      <w:r>
        <w:rPr>
          <w:rFonts w:hint="eastAsia" w:ascii="宋体" w:hAnsi="宋体" w:eastAsia="宋体" w:cs="宋体"/>
          <w:sz w:val="24"/>
          <w:highlight w:val="none"/>
        </w:rPr>
        <w:t>（含评标期间和合同谈判过程中的澄清文件</w:t>
      </w:r>
      <w:r>
        <w:rPr>
          <w:rFonts w:hint="eastAsia" w:ascii="宋体" w:hAnsi="宋体" w:eastAsia="宋体" w:cs="宋体"/>
          <w:spacing w:val="-5"/>
          <w:sz w:val="24"/>
          <w:highlight w:val="none"/>
        </w:rPr>
        <w:t>和补充资料</w:t>
      </w:r>
      <w:r>
        <w:rPr>
          <w:rFonts w:hint="eastAsia" w:ascii="宋体" w:hAnsi="宋体" w:eastAsia="宋体" w:cs="宋体"/>
          <w:sz w:val="24"/>
          <w:highlight w:val="none"/>
        </w:rPr>
        <w:t>）；</w:t>
      </w:r>
    </w:p>
    <w:p w14:paraId="4D7DA0D9">
      <w:pPr>
        <w:pStyle w:val="29"/>
        <w:numPr>
          <w:ilvl w:val="0"/>
          <w:numId w:val="41"/>
        </w:numPr>
        <w:tabs>
          <w:tab w:val="left" w:pos="1465"/>
        </w:tabs>
        <w:spacing w:line="307" w:lineRule="exact"/>
        <w:ind w:left="1465"/>
        <w:rPr>
          <w:rFonts w:hint="eastAsia" w:ascii="宋体" w:hAnsi="宋体" w:eastAsia="宋体" w:cs="宋体"/>
          <w:sz w:val="24"/>
          <w:highlight w:val="none"/>
        </w:rPr>
      </w:pPr>
      <w:r>
        <w:rPr>
          <w:rFonts w:hint="eastAsia" w:ascii="宋体" w:hAnsi="宋体" w:eastAsia="宋体" w:cs="宋体"/>
          <w:sz w:val="24"/>
          <w:highlight w:val="none"/>
        </w:rPr>
        <w:t>中标通知书；</w:t>
      </w:r>
    </w:p>
    <w:p w14:paraId="452EB4DF">
      <w:pPr>
        <w:pStyle w:val="29"/>
        <w:numPr>
          <w:ilvl w:val="0"/>
          <w:numId w:val="41"/>
        </w:numPr>
        <w:tabs>
          <w:tab w:val="left" w:pos="1465"/>
        </w:tabs>
        <w:spacing w:before="93"/>
        <w:ind w:left="1465"/>
        <w:rPr>
          <w:rFonts w:hint="eastAsia" w:ascii="宋体" w:hAnsi="宋体" w:eastAsia="宋体" w:cs="宋体"/>
          <w:sz w:val="24"/>
          <w:highlight w:val="none"/>
        </w:rPr>
      </w:pPr>
      <w:r>
        <w:rPr>
          <w:rFonts w:hint="eastAsia" w:ascii="宋体" w:hAnsi="宋体" w:eastAsia="宋体" w:cs="宋体"/>
          <w:sz w:val="24"/>
          <w:highlight w:val="none"/>
        </w:rPr>
        <w:t>投标函及投标函附录；</w:t>
      </w:r>
    </w:p>
    <w:p w14:paraId="6DCDC1BB">
      <w:pPr>
        <w:pStyle w:val="29"/>
        <w:numPr>
          <w:ilvl w:val="0"/>
          <w:numId w:val="41"/>
        </w:numPr>
        <w:tabs>
          <w:tab w:val="left" w:pos="1465"/>
        </w:tabs>
        <w:spacing w:before="93"/>
        <w:ind w:left="1465"/>
        <w:rPr>
          <w:rFonts w:hint="eastAsia" w:ascii="宋体" w:hAnsi="宋体" w:eastAsia="宋体" w:cs="宋体"/>
          <w:sz w:val="24"/>
          <w:highlight w:val="none"/>
        </w:rPr>
      </w:pPr>
      <w:r>
        <w:rPr>
          <w:rFonts w:hint="eastAsia" w:ascii="宋体" w:hAnsi="宋体" w:eastAsia="宋体" w:cs="宋体"/>
          <w:sz w:val="24"/>
          <w:highlight w:val="none"/>
        </w:rPr>
        <w:t>专用合同条款；</w:t>
      </w:r>
    </w:p>
    <w:p w14:paraId="6BDA42F5">
      <w:pPr>
        <w:pStyle w:val="29"/>
        <w:numPr>
          <w:ilvl w:val="0"/>
          <w:numId w:val="41"/>
        </w:numPr>
        <w:tabs>
          <w:tab w:val="left" w:pos="1465"/>
        </w:tabs>
        <w:spacing w:before="91"/>
        <w:ind w:left="1465"/>
        <w:rPr>
          <w:rFonts w:hint="eastAsia" w:ascii="宋体" w:hAnsi="宋体" w:eastAsia="宋体" w:cs="宋体"/>
          <w:sz w:val="24"/>
          <w:highlight w:val="none"/>
        </w:rPr>
      </w:pPr>
      <w:r>
        <w:rPr>
          <w:rFonts w:hint="eastAsia" w:ascii="宋体" w:hAnsi="宋体" w:eastAsia="宋体" w:cs="宋体"/>
          <w:sz w:val="24"/>
          <w:highlight w:val="none"/>
        </w:rPr>
        <w:t>通用合同条款；</w:t>
      </w:r>
    </w:p>
    <w:p w14:paraId="3F547CAF">
      <w:pPr>
        <w:pStyle w:val="29"/>
        <w:numPr>
          <w:ilvl w:val="0"/>
          <w:numId w:val="41"/>
        </w:numPr>
        <w:tabs>
          <w:tab w:val="left" w:pos="1465"/>
        </w:tabs>
        <w:spacing w:before="93"/>
        <w:ind w:left="1465"/>
        <w:rPr>
          <w:rFonts w:hint="eastAsia" w:ascii="宋体" w:hAnsi="宋体" w:eastAsia="宋体" w:cs="宋体"/>
          <w:sz w:val="24"/>
          <w:highlight w:val="none"/>
        </w:rPr>
      </w:pPr>
      <w:r>
        <w:rPr>
          <w:rFonts w:hint="eastAsia" w:ascii="宋体" w:hAnsi="宋体" w:eastAsia="宋体" w:cs="宋体"/>
          <w:sz w:val="24"/>
          <w:highlight w:val="none"/>
        </w:rPr>
        <w:t>工程量清单计量规则；</w:t>
      </w:r>
    </w:p>
    <w:p w14:paraId="46456B4B">
      <w:pPr>
        <w:pStyle w:val="29"/>
        <w:numPr>
          <w:ilvl w:val="0"/>
          <w:numId w:val="41"/>
        </w:numPr>
        <w:tabs>
          <w:tab w:val="left" w:pos="1465"/>
        </w:tabs>
        <w:spacing w:before="94"/>
        <w:ind w:left="1465"/>
        <w:rPr>
          <w:rFonts w:hint="eastAsia" w:ascii="宋体" w:hAnsi="宋体" w:eastAsia="宋体" w:cs="宋体"/>
          <w:sz w:val="24"/>
          <w:highlight w:val="none"/>
        </w:rPr>
      </w:pPr>
      <w:r>
        <w:rPr>
          <w:rFonts w:hint="eastAsia" w:ascii="宋体" w:hAnsi="宋体" w:eastAsia="宋体" w:cs="宋体"/>
          <w:sz w:val="24"/>
          <w:highlight w:val="none"/>
        </w:rPr>
        <w:t>技术规范；</w:t>
      </w:r>
    </w:p>
    <w:p w14:paraId="7BD6E22B">
      <w:pPr>
        <w:pStyle w:val="29"/>
        <w:numPr>
          <w:ilvl w:val="0"/>
          <w:numId w:val="41"/>
        </w:numPr>
        <w:tabs>
          <w:tab w:val="left" w:pos="1465"/>
        </w:tabs>
        <w:spacing w:before="91"/>
        <w:ind w:left="1465"/>
        <w:rPr>
          <w:rFonts w:hint="eastAsia" w:ascii="宋体" w:hAnsi="宋体" w:eastAsia="宋体" w:cs="宋体"/>
          <w:sz w:val="24"/>
          <w:highlight w:val="none"/>
        </w:rPr>
      </w:pPr>
      <w:r>
        <w:rPr>
          <w:rFonts w:hint="eastAsia" w:ascii="宋体" w:hAnsi="宋体" w:eastAsia="宋体" w:cs="宋体"/>
          <w:sz w:val="24"/>
          <w:highlight w:val="none"/>
        </w:rPr>
        <w:t>图纸；</w:t>
      </w:r>
    </w:p>
    <w:p w14:paraId="5284EE14">
      <w:pPr>
        <w:pStyle w:val="29"/>
        <w:numPr>
          <w:ilvl w:val="0"/>
          <w:numId w:val="41"/>
        </w:numPr>
        <w:tabs>
          <w:tab w:val="left" w:pos="1465"/>
        </w:tabs>
        <w:spacing w:before="93"/>
        <w:ind w:left="1465"/>
        <w:rPr>
          <w:rFonts w:hint="eastAsia" w:ascii="宋体" w:hAnsi="宋体" w:eastAsia="宋体" w:cs="宋体"/>
          <w:sz w:val="24"/>
          <w:highlight w:val="none"/>
        </w:rPr>
      </w:pPr>
      <w:r>
        <w:rPr>
          <w:rFonts w:hint="eastAsia" w:ascii="宋体" w:hAnsi="宋体" w:eastAsia="宋体" w:cs="宋体"/>
          <w:sz w:val="24"/>
          <w:highlight w:val="none"/>
        </w:rPr>
        <w:t>已标价工程量清单；</w:t>
      </w:r>
    </w:p>
    <w:p w14:paraId="12674365">
      <w:pPr>
        <w:pStyle w:val="29"/>
        <w:numPr>
          <w:ilvl w:val="0"/>
          <w:numId w:val="41"/>
        </w:numPr>
        <w:tabs>
          <w:tab w:val="left" w:pos="1585"/>
        </w:tabs>
        <w:spacing w:before="93"/>
        <w:ind w:left="1585" w:hanging="721"/>
        <w:rPr>
          <w:rFonts w:hint="eastAsia" w:ascii="宋体" w:hAnsi="宋体" w:eastAsia="宋体" w:cs="宋体"/>
          <w:sz w:val="24"/>
          <w:highlight w:val="none"/>
        </w:rPr>
      </w:pPr>
      <w:r>
        <w:rPr>
          <w:rFonts w:hint="eastAsia" w:ascii="宋体" w:hAnsi="宋体" w:eastAsia="宋体" w:cs="宋体"/>
          <w:sz w:val="24"/>
          <w:highlight w:val="none"/>
        </w:rPr>
        <w:t>承包人有关人员、设备投入的承诺及投标文件中的施工组织设计；</w:t>
      </w:r>
    </w:p>
    <w:p w14:paraId="3EA99562">
      <w:pPr>
        <w:pStyle w:val="29"/>
        <w:numPr>
          <w:ilvl w:val="0"/>
          <w:numId w:val="41"/>
        </w:numPr>
        <w:tabs>
          <w:tab w:val="left" w:pos="1585"/>
        </w:tabs>
        <w:spacing w:before="91"/>
        <w:ind w:left="1585" w:hanging="721"/>
        <w:rPr>
          <w:rFonts w:hint="eastAsia" w:ascii="宋体" w:hAnsi="宋体" w:eastAsia="宋体" w:cs="宋体"/>
          <w:sz w:val="24"/>
          <w:highlight w:val="none"/>
        </w:rPr>
      </w:pPr>
      <w:r>
        <w:rPr>
          <w:rFonts w:hint="eastAsia" w:ascii="宋体" w:hAnsi="宋体" w:eastAsia="宋体" w:cs="宋体"/>
          <w:sz w:val="24"/>
          <w:highlight w:val="none"/>
        </w:rPr>
        <w:t>其他合同文件。</w:t>
      </w:r>
    </w:p>
    <w:p w14:paraId="52DD6319">
      <w:pPr>
        <w:pStyle w:val="10"/>
        <w:spacing w:before="3"/>
        <w:rPr>
          <w:rFonts w:hint="eastAsia" w:ascii="宋体" w:hAnsi="宋体" w:eastAsia="宋体" w:cs="宋体"/>
          <w:sz w:val="37"/>
          <w:highlight w:val="none"/>
        </w:rPr>
      </w:pPr>
    </w:p>
    <w:p w14:paraId="47B2CF1A">
      <w:pPr>
        <w:pStyle w:val="29"/>
        <w:numPr>
          <w:ilvl w:val="0"/>
          <w:numId w:val="40"/>
        </w:numPr>
        <w:tabs>
          <w:tab w:val="left" w:pos="1164"/>
        </w:tabs>
        <w:spacing w:line="304" w:lineRule="auto"/>
        <w:ind w:right="466" w:firstLine="480"/>
        <w:rPr>
          <w:rFonts w:hint="eastAsia" w:ascii="宋体" w:hAnsi="宋体" w:eastAsia="宋体" w:cs="宋体"/>
          <w:sz w:val="24"/>
          <w:highlight w:val="none"/>
        </w:rPr>
      </w:pPr>
      <w:r>
        <w:rPr>
          <w:rFonts w:hint="eastAsia" w:ascii="宋体" w:hAnsi="宋体" w:eastAsia="宋体" w:cs="宋体"/>
          <w:spacing w:val="-3"/>
          <w:sz w:val="24"/>
          <w:highlight w:val="none"/>
        </w:rPr>
        <w:t>上述文件互相补充和解释，如有不明确或不一致之处，以合同约定次序在先</w:t>
      </w:r>
      <w:r>
        <w:rPr>
          <w:rFonts w:hint="eastAsia" w:ascii="宋体" w:hAnsi="宋体" w:eastAsia="宋体" w:cs="宋体"/>
          <w:sz w:val="24"/>
          <w:highlight w:val="none"/>
        </w:rPr>
        <w:t>者为准。</w:t>
      </w:r>
    </w:p>
    <w:p w14:paraId="43DC9C2C">
      <w:pPr>
        <w:pStyle w:val="29"/>
        <w:numPr>
          <w:ilvl w:val="0"/>
          <w:numId w:val="40"/>
        </w:numPr>
        <w:tabs>
          <w:tab w:val="left" w:pos="1164"/>
        </w:tabs>
        <w:spacing w:before="2"/>
        <w:ind w:left="1164" w:hanging="300"/>
        <w:rPr>
          <w:rFonts w:hint="eastAsia" w:ascii="宋体" w:hAnsi="宋体" w:eastAsia="宋体" w:cs="宋体"/>
          <w:sz w:val="24"/>
          <w:highlight w:val="none"/>
        </w:rPr>
      </w:pPr>
      <w:r>
        <w:rPr>
          <w:rFonts w:hint="eastAsia" w:ascii="宋体" w:hAnsi="宋体" w:eastAsia="宋体" w:cs="宋体"/>
          <w:spacing w:val="-1"/>
          <w:sz w:val="24"/>
          <w:highlight w:val="none"/>
        </w:rPr>
        <w:t>根据工程量清单所列的预计数量和单价或总额价计算的签约合同价：人民币</w:t>
      </w:r>
    </w:p>
    <w:p w14:paraId="2E8FC3D6">
      <w:pPr>
        <w:pStyle w:val="10"/>
        <w:tabs>
          <w:tab w:val="left" w:pos="2462"/>
          <w:tab w:val="left" w:pos="4463"/>
        </w:tabs>
        <w:spacing w:before="86"/>
        <w:ind w:left="384"/>
        <w:rPr>
          <w:rFonts w:hint="eastAsia" w:ascii="宋体" w:hAnsi="宋体" w:eastAsia="宋体" w:cs="宋体"/>
          <w:highlight w:val="none"/>
        </w:rPr>
      </w:pPr>
      <w:r>
        <w:rPr>
          <w:rFonts w:hint="eastAsia" w:ascii="宋体" w:hAnsi="宋体" w:eastAsia="宋体" w:cs="宋体"/>
          <w:highlight w:val="none"/>
        </w:rPr>
        <w:t>(大写)</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元(￥</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w:t>
      </w:r>
    </w:p>
    <w:p w14:paraId="513369D8">
      <w:pPr>
        <w:pStyle w:val="29"/>
        <w:numPr>
          <w:ilvl w:val="0"/>
          <w:numId w:val="40"/>
        </w:numPr>
        <w:tabs>
          <w:tab w:val="left" w:pos="1164"/>
          <w:tab w:val="left" w:pos="4523"/>
          <w:tab w:val="left" w:pos="8123"/>
        </w:tabs>
        <w:spacing w:before="84"/>
        <w:ind w:left="1164" w:hanging="300"/>
        <w:rPr>
          <w:rFonts w:hint="eastAsia" w:ascii="宋体" w:hAnsi="宋体" w:eastAsia="宋体" w:cs="宋体"/>
          <w:sz w:val="24"/>
          <w:highlight w:val="none"/>
        </w:rPr>
      </w:pPr>
      <w:r>
        <w:rPr>
          <w:rFonts w:hint="eastAsia" w:ascii="宋体" w:hAnsi="宋体" w:eastAsia="宋体" w:cs="宋体"/>
          <w:sz w:val="24"/>
          <w:highlight w:val="none"/>
        </w:rPr>
        <w:t>承包人项目经理：</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。承包人项目总工：</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w:t>
      </w:r>
    </w:p>
    <w:p w14:paraId="22B6D7B7">
      <w:pPr>
        <w:pStyle w:val="29"/>
        <w:numPr>
          <w:ilvl w:val="0"/>
          <w:numId w:val="40"/>
        </w:numPr>
        <w:tabs>
          <w:tab w:val="left" w:pos="1045"/>
          <w:tab w:val="left" w:pos="4403"/>
          <w:tab w:val="left" w:pos="8723"/>
        </w:tabs>
        <w:spacing w:before="83"/>
        <w:ind w:left="1045"/>
        <w:rPr>
          <w:rFonts w:hint="eastAsia" w:ascii="宋体" w:hAnsi="宋体" w:eastAsia="宋体" w:cs="宋体"/>
          <w:sz w:val="24"/>
          <w:highlight w:val="none"/>
        </w:rPr>
      </w:pPr>
      <w:r>
        <w:rPr>
          <w:rFonts w:hint="eastAsia" w:ascii="宋体" w:hAnsi="宋体" w:eastAsia="宋体" w:cs="宋体"/>
          <w:sz w:val="24"/>
          <w:highlight w:val="none"/>
        </w:rPr>
        <w:t>工程质量符合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标准。工程安全目标：</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w:t>
      </w:r>
    </w:p>
    <w:p w14:paraId="27F2A7FA">
      <w:pPr>
        <w:pStyle w:val="29"/>
        <w:numPr>
          <w:ilvl w:val="0"/>
          <w:numId w:val="40"/>
        </w:numPr>
        <w:tabs>
          <w:tab w:val="left" w:pos="1045"/>
        </w:tabs>
        <w:spacing w:before="86"/>
        <w:ind w:left="1045"/>
        <w:rPr>
          <w:rFonts w:hint="eastAsia" w:ascii="宋体" w:hAnsi="宋体" w:eastAsia="宋体" w:cs="宋体"/>
          <w:sz w:val="24"/>
          <w:highlight w:val="none"/>
        </w:rPr>
      </w:pPr>
      <w:r>
        <w:rPr>
          <w:rFonts w:hint="eastAsia" w:ascii="宋体" w:hAnsi="宋体" w:eastAsia="宋体" w:cs="宋体"/>
          <w:sz w:val="24"/>
          <w:highlight w:val="none"/>
        </w:rPr>
        <w:t>承包人承诺按合同约定承担工程的实施、完成及缺陷修复。</w:t>
      </w:r>
    </w:p>
    <w:p w14:paraId="35774596">
      <w:pPr>
        <w:pStyle w:val="29"/>
        <w:numPr>
          <w:ilvl w:val="0"/>
          <w:numId w:val="40"/>
        </w:numPr>
        <w:tabs>
          <w:tab w:val="left" w:pos="1045"/>
        </w:tabs>
        <w:spacing w:before="84"/>
        <w:ind w:left="1045"/>
        <w:rPr>
          <w:rFonts w:hint="eastAsia" w:ascii="宋体" w:hAnsi="宋体" w:eastAsia="宋体" w:cs="宋体"/>
          <w:sz w:val="24"/>
          <w:highlight w:val="none"/>
        </w:rPr>
      </w:pPr>
      <w:r>
        <w:rPr>
          <w:rFonts w:hint="eastAsia" w:ascii="宋体" w:hAnsi="宋体" w:eastAsia="宋体" w:cs="宋体"/>
          <w:sz w:val="24"/>
          <w:highlight w:val="none"/>
        </w:rPr>
        <w:t>发包人承诺按合同约定的条件、时间和方式向承包人支付合同价款。</w:t>
      </w:r>
    </w:p>
    <w:p w14:paraId="392A4BAA">
      <w:pPr>
        <w:pStyle w:val="29"/>
        <w:numPr>
          <w:ilvl w:val="0"/>
          <w:numId w:val="40"/>
        </w:numPr>
        <w:tabs>
          <w:tab w:val="left" w:pos="1045"/>
          <w:tab w:val="left" w:pos="5603"/>
        </w:tabs>
        <w:spacing w:before="84"/>
        <w:ind w:left="1045"/>
        <w:rPr>
          <w:rFonts w:hint="eastAsia" w:ascii="宋体" w:hAnsi="宋体" w:eastAsia="宋体" w:cs="宋体"/>
          <w:sz w:val="24"/>
          <w:highlight w:val="none"/>
        </w:rPr>
      </w:pPr>
      <w:r>
        <w:rPr>
          <w:rFonts w:hint="eastAsia" w:ascii="宋体" w:hAnsi="宋体" w:eastAsia="宋体" w:cs="宋体"/>
          <w:sz w:val="24"/>
          <w:highlight w:val="none"/>
        </w:rPr>
        <w:t>承包人应按照监理人指示开工，工期为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日历天。</w:t>
      </w:r>
    </w:p>
    <w:p w14:paraId="71EFD691">
      <w:pPr>
        <w:rPr>
          <w:rFonts w:hint="eastAsia" w:ascii="宋体" w:hAnsi="宋体" w:eastAsia="宋体" w:cs="宋体"/>
          <w:sz w:val="24"/>
          <w:highlight w:val="none"/>
        </w:rPr>
        <w:sectPr>
          <w:pgSz w:w="11910" w:h="16840"/>
          <w:pgMar w:top="1360" w:right="1120" w:bottom="1080" w:left="1260" w:header="882" w:footer="880" w:gutter="0"/>
          <w:cols w:space="720" w:num="1"/>
        </w:sectPr>
      </w:pPr>
    </w:p>
    <w:p w14:paraId="18665389">
      <w:pPr>
        <w:pStyle w:val="10"/>
        <w:spacing w:before="5"/>
        <w:rPr>
          <w:rFonts w:hint="eastAsia" w:ascii="宋体" w:hAnsi="宋体" w:eastAsia="宋体" w:cs="宋体"/>
          <w:sz w:val="17"/>
          <w:highlight w:val="none"/>
        </w:rPr>
      </w:pPr>
    </w:p>
    <w:p w14:paraId="6BE5FBF8">
      <w:pPr>
        <w:pStyle w:val="29"/>
        <w:numPr>
          <w:ilvl w:val="0"/>
          <w:numId w:val="40"/>
        </w:numPr>
        <w:tabs>
          <w:tab w:val="left" w:pos="1165"/>
        </w:tabs>
        <w:spacing w:before="74" w:line="307" w:lineRule="auto"/>
        <w:ind w:right="466" w:firstLine="480"/>
        <w:jc w:val="both"/>
        <w:rPr>
          <w:rFonts w:hint="eastAsia" w:ascii="宋体" w:hAnsi="宋体" w:eastAsia="宋体" w:cs="宋体"/>
          <w:sz w:val="24"/>
          <w:highlight w:val="none"/>
        </w:rPr>
      </w:pPr>
      <w:r>
        <w:rPr>
          <w:rFonts w:hint="eastAsia" w:ascii="宋体" w:hAnsi="宋体" w:eastAsia="宋体" w:cs="宋体"/>
          <w:spacing w:val="-3"/>
          <w:sz w:val="24"/>
          <w:highlight w:val="none"/>
        </w:rPr>
        <w:t>本协议书在承包人提供履约保证金后，由双方法定代表人或其委托代理人签</w:t>
      </w:r>
      <w:r>
        <w:rPr>
          <w:rFonts w:hint="eastAsia" w:ascii="宋体" w:hAnsi="宋体" w:eastAsia="宋体" w:cs="宋体"/>
          <w:spacing w:val="-1"/>
          <w:sz w:val="24"/>
          <w:highlight w:val="none"/>
        </w:rPr>
        <w:t>署并加盖单位章后生效。全部工程完工后经交工验收合格、缺陷责任期满签发缺陷</w:t>
      </w:r>
      <w:r>
        <w:rPr>
          <w:rFonts w:hint="eastAsia" w:ascii="宋体" w:hAnsi="宋体" w:eastAsia="宋体" w:cs="宋体"/>
          <w:sz w:val="24"/>
          <w:highlight w:val="none"/>
        </w:rPr>
        <w:t>责任终止证书后失效。</w:t>
      </w:r>
    </w:p>
    <w:p w14:paraId="1D8CDA53">
      <w:pPr>
        <w:pStyle w:val="29"/>
        <w:numPr>
          <w:ilvl w:val="0"/>
          <w:numId w:val="40"/>
        </w:numPr>
        <w:tabs>
          <w:tab w:val="left" w:pos="1165"/>
        </w:tabs>
        <w:spacing w:line="304" w:lineRule="auto"/>
        <w:ind w:right="466" w:firstLine="480"/>
        <w:jc w:val="both"/>
        <w:rPr>
          <w:rFonts w:hint="eastAsia" w:ascii="宋体" w:hAnsi="宋体" w:eastAsia="宋体" w:cs="宋体"/>
          <w:sz w:val="24"/>
          <w:highlight w:val="none"/>
        </w:rPr>
      </w:pPr>
      <w:r>
        <w:rPr>
          <w:rFonts w:hint="eastAsia" w:ascii="宋体" w:hAnsi="宋体" w:eastAsia="宋体" w:cs="宋体"/>
          <w:spacing w:val="-1"/>
          <w:sz w:val="24"/>
          <w:highlight w:val="none"/>
        </w:rPr>
        <w:t>本协议书正本二份、副本</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 xml:space="preserve"> 份，合同双方各执正本一份，副本</w:t>
      </w:r>
      <w:r>
        <w:rPr>
          <w:rFonts w:hint="eastAsia" w:ascii="宋体" w:hAnsi="宋体" w:eastAsia="宋体" w:cs="宋体"/>
          <w:sz w:val="24"/>
          <w:highlight w:val="none"/>
          <w:u w:val="single"/>
        </w:rPr>
        <w:t xml:space="preserve">  </w:t>
      </w:r>
      <w:r>
        <w:rPr>
          <w:rFonts w:hint="eastAsia" w:ascii="宋体" w:hAnsi="宋体" w:eastAsia="宋体" w:cs="宋体"/>
          <w:spacing w:val="23"/>
          <w:sz w:val="24"/>
          <w:highlight w:val="none"/>
        </w:rPr>
        <w:t xml:space="preserve"> 份，当</w:t>
      </w:r>
      <w:r>
        <w:rPr>
          <w:rFonts w:hint="eastAsia" w:ascii="宋体" w:hAnsi="宋体" w:eastAsia="宋体" w:cs="宋体"/>
          <w:sz w:val="24"/>
          <w:highlight w:val="none"/>
        </w:rPr>
        <w:t>正本与副本的内容不一致时，以正本为准。</w:t>
      </w:r>
    </w:p>
    <w:p w14:paraId="5C8B96D4">
      <w:pPr>
        <w:pStyle w:val="29"/>
        <w:numPr>
          <w:ilvl w:val="0"/>
          <w:numId w:val="40"/>
        </w:numPr>
        <w:tabs>
          <w:tab w:val="left" w:pos="1165"/>
        </w:tabs>
        <w:ind w:left="1165" w:hanging="301"/>
        <w:rPr>
          <w:rFonts w:hint="eastAsia" w:ascii="宋体" w:hAnsi="宋体" w:eastAsia="宋体" w:cs="宋体"/>
          <w:sz w:val="24"/>
          <w:highlight w:val="none"/>
        </w:rPr>
      </w:pPr>
      <w:r>
        <w:rPr>
          <w:rFonts w:hint="eastAsia" w:ascii="宋体" w:hAnsi="宋体" w:eastAsia="宋体" w:cs="宋体"/>
          <w:sz w:val="24"/>
          <w:highlight w:val="none"/>
        </w:rPr>
        <w:t>合同未尽事宜，双方另行签订补充协议。补充协议是合同的组成部分。</w:t>
      </w:r>
    </w:p>
    <w:p w14:paraId="00E5D0D2">
      <w:pPr>
        <w:pStyle w:val="10"/>
        <w:rPr>
          <w:rFonts w:hint="eastAsia" w:ascii="宋体" w:hAnsi="宋体" w:eastAsia="宋体" w:cs="宋体"/>
          <w:sz w:val="37"/>
          <w:highlight w:val="none"/>
        </w:rPr>
      </w:pPr>
    </w:p>
    <w:p w14:paraId="061B4B0F">
      <w:pPr>
        <w:pStyle w:val="10"/>
        <w:tabs>
          <w:tab w:val="left" w:pos="3503"/>
          <w:tab w:val="left" w:pos="5063"/>
          <w:tab w:val="left" w:pos="5102"/>
          <w:tab w:val="left" w:pos="7742"/>
        </w:tabs>
        <w:spacing w:line="307" w:lineRule="auto"/>
        <w:ind w:left="864" w:right="661"/>
        <w:rPr>
          <w:rFonts w:hint="eastAsia" w:ascii="宋体" w:hAnsi="宋体" w:eastAsia="宋体" w:cs="宋体"/>
          <w:highlight w:val="none"/>
        </w:rPr>
      </w:pPr>
      <w:r>
        <w:rPr>
          <w:rFonts w:hint="eastAsia" w:ascii="宋体" w:hAnsi="宋体" w:eastAsia="宋体" w:cs="宋体"/>
          <w:highlight w:val="none"/>
        </w:rPr>
        <w:t>发包人：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(盖单位章)</w:t>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rPr>
        <w:t>承包人：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(盖单位章</w:t>
      </w:r>
      <w:r>
        <w:rPr>
          <w:rFonts w:hint="eastAsia" w:ascii="宋体" w:hAnsi="宋体" w:eastAsia="宋体" w:cs="宋体"/>
          <w:spacing w:val="-17"/>
          <w:highlight w:val="none"/>
        </w:rPr>
        <w:t xml:space="preserve">) </w:t>
      </w:r>
      <w:r>
        <w:rPr>
          <w:rFonts w:hint="eastAsia" w:ascii="宋体" w:hAnsi="宋体" w:eastAsia="宋体" w:cs="宋体"/>
          <w:highlight w:val="none"/>
        </w:rPr>
        <w:t>法定代表人</w:t>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rPr>
        <w:t>法定代表人</w:t>
      </w:r>
    </w:p>
    <w:p w14:paraId="63A31C7B">
      <w:pPr>
        <w:pStyle w:val="10"/>
        <w:tabs>
          <w:tab w:val="left" w:pos="3503"/>
          <w:tab w:val="left" w:pos="5102"/>
          <w:tab w:val="left" w:pos="7742"/>
        </w:tabs>
        <w:spacing w:line="305" w:lineRule="exact"/>
        <w:ind w:left="864"/>
        <w:rPr>
          <w:rFonts w:hint="eastAsia" w:ascii="宋体" w:hAnsi="宋体" w:eastAsia="宋体" w:cs="宋体"/>
          <w:highlight w:val="none"/>
        </w:rPr>
      </w:pPr>
      <w:r>
        <w:rPr>
          <w:rFonts w:hint="eastAsia" w:ascii="宋体" w:hAnsi="宋体" w:eastAsia="宋体" w:cs="宋体"/>
          <w:highlight w:val="none"/>
        </w:rPr>
        <w:t>或其委托代理人：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(签字)</w:t>
      </w:r>
      <w:r>
        <w:rPr>
          <w:rFonts w:hint="eastAsia" w:ascii="宋体" w:hAnsi="宋体" w:eastAsia="宋体" w:cs="宋体"/>
          <w:highlight w:val="none"/>
        </w:rPr>
        <w:tab/>
      </w:r>
      <w:r>
        <w:rPr>
          <w:rFonts w:hint="eastAsia" w:ascii="宋体" w:hAnsi="宋体" w:eastAsia="宋体" w:cs="宋体"/>
          <w:highlight w:val="none"/>
        </w:rPr>
        <w:t>或其委托代理人：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(签字)</w:t>
      </w:r>
    </w:p>
    <w:p w14:paraId="7187C69D">
      <w:pPr>
        <w:pStyle w:val="10"/>
        <w:rPr>
          <w:rFonts w:hint="eastAsia" w:ascii="宋体" w:hAnsi="宋体" w:eastAsia="宋体" w:cs="宋体"/>
          <w:sz w:val="20"/>
          <w:highlight w:val="none"/>
        </w:rPr>
      </w:pPr>
    </w:p>
    <w:p w14:paraId="06F8F477">
      <w:pPr>
        <w:pStyle w:val="10"/>
        <w:spacing w:before="8"/>
        <w:rPr>
          <w:rFonts w:hint="eastAsia" w:ascii="宋体" w:hAnsi="宋体" w:eastAsia="宋体" w:cs="宋体"/>
          <w:sz w:val="15"/>
          <w:highlight w:val="none"/>
        </w:rPr>
      </w:pPr>
    </w:p>
    <w:p w14:paraId="4262F896">
      <w:pPr>
        <w:pStyle w:val="10"/>
        <w:tabs>
          <w:tab w:val="left" w:pos="2543"/>
          <w:tab w:val="left" w:pos="3263"/>
          <w:tab w:val="left" w:pos="3983"/>
          <w:tab w:val="left" w:pos="6143"/>
          <w:tab w:val="left" w:pos="7103"/>
          <w:tab w:val="left" w:pos="7823"/>
          <w:tab w:val="left" w:pos="8543"/>
        </w:tabs>
        <w:spacing w:before="67"/>
        <w:ind w:left="1583"/>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655C87B6">
      <w:pPr>
        <w:rPr>
          <w:rFonts w:hint="eastAsia" w:ascii="宋体" w:hAnsi="宋体" w:eastAsia="宋体" w:cs="宋体"/>
          <w:highlight w:val="none"/>
        </w:rPr>
        <w:sectPr>
          <w:pgSz w:w="11910" w:h="16840"/>
          <w:pgMar w:top="1360" w:right="1120" w:bottom="1080" w:left="1260" w:header="882" w:footer="880" w:gutter="0"/>
          <w:cols w:space="720" w:num="1"/>
        </w:sectPr>
      </w:pPr>
    </w:p>
    <w:p w14:paraId="14318369">
      <w:pPr>
        <w:pStyle w:val="10"/>
        <w:spacing w:before="10"/>
        <w:rPr>
          <w:rFonts w:hint="eastAsia" w:ascii="宋体" w:hAnsi="宋体" w:eastAsia="宋体" w:cs="宋体"/>
          <w:sz w:val="17"/>
          <w:highlight w:val="none"/>
        </w:rPr>
      </w:pPr>
    </w:p>
    <w:p w14:paraId="2E850ADE">
      <w:pPr>
        <w:pStyle w:val="10"/>
        <w:spacing w:before="67"/>
        <w:ind w:left="583"/>
        <w:rPr>
          <w:rFonts w:hint="eastAsia" w:ascii="宋体" w:hAnsi="宋体" w:eastAsia="宋体" w:cs="宋体"/>
          <w:highlight w:val="none"/>
        </w:rPr>
      </w:pPr>
      <w:bookmarkStart w:id="79" w:name="附件二_廉政合同"/>
      <w:bookmarkEnd w:id="79"/>
    </w:p>
    <w:p w14:paraId="7E807776">
      <w:pPr>
        <w:pStyle w:val="10"/>
        <w:spacing w:before="67"/>
        <w:ind w:left="583"/>
        <w:rPr>
          <w:rFonts w:hint="eastAsia" w:ascii="宋体" w:hAnsi="宋体" w:eastAsia="宋体" w:cs="宋体"/>
          <w:highlight w:val="none"/>
        </w:rPr>
      </w:pPr>
    </w:p>
    <w:p w14:paraId="3C7CAB5C">
      <w:pPr>
        <w:pStyle w:val="10"/>
        <w:spacing w:before="67"/>
        <w:ind w:left="583"/>
        <w:rPr>
          <w:rFonts w:hint="eastAsia" w:ascii="宋体" w:hAnsi="宋体" w:eastAsia="宋体" w:cs="宋体"/>
          <w:highlight w:val="none"/>
        </w:rPr>
      </w:pPr>
    </w:p>
    <w:p w14:paraId="7A3A2607">
      <w:pPr>
        <w:pStyle w:val="28"/>
        <w:rPr>
          <w:rFonts w:hint="eastAsia" w:ascii="宋体" w:hAnsi="宋体" w:eastAsia="宋体" w:cs="宋体"/>
          <w:highlight w:val="none"/>
        </w:rPr>
      </w:pPr>
    </w:p>
    <w:p w14:paraId="7F341268">
      <w:pPr>
        <w:rPr>
          <w:rFonts w:hint="eastAsia" w:ascii="宋体" w:hAnsi="宋体" w:eastAsia="宋体" w:cs="宋体"/>
          <w:highlight w:val="none"/>
        </w:rPr>
      </w:pPr>
    </w:p>
    <w:p w14:paraId="5E0FABAD">
      <w:pPr>
        <w:pStyle w:val="5"/>
        <w:rPr>
          <w:rFonts w:hint="eastAsia" w:ascii="宋体" w:hAnsi="宋体" w:eastAsia="宋体" w:cs="宋体"/>
          <w:highlight w:val="none"/>
        </w:rPr>
      </w:pPr>
    </w:p>
    <w:p w14:paraId="1838D028">
      <w:pPr>
        <w:rPr>
          <w:rFonts w:hint="eastAsia" w:ascii="宋体" w:hAnsi="宋体" w:eastAsia="宋体" w:cs="宋体"/>
          <w:highlight w:val="none"/>
        </w:rPr>
      </w:pPr>
    </w:p>
    <w:p w14:paraId="183909DD">
      <w:pPr>
        <w:pStyle w:val="5"/>
        <w:rPr>
          <w:rFonts w:hint="eastAsia" w:ascii="宋体" w:hAnsi="宋体" w:eastAsia="宋体" w:cs="宋体"/>
          <w:highlight w:val="none"/>
        </w:rPr>
      </w:pPr>
    </w:p>
    <w:p w14:paraId="30D77B1D">
      <w:pPr>
        <w:pStyle w:val="10"/>
        <w:spacing w:before="67"/>
        <w:ind w:left="583"/>
        <w:rPr>
          <w:rFonts w:hint="eastAsia" w:ascii="宋体" w:hAnsi="宋体" w:eastAsia="宋体" w:cs="宋体"/>
          <w:highlight w:val="none"/>
        </w:rPr>
      </w:pPr>
    </w:p>
    <w:p w14:paraId="47957A45">
      <w:pPr>
        <w:pStyle w:val="10"/>
        <w:rPr>
          <w:rFonts w:hint="eastAsia" w:ascii="宋体" w:hAnsi="宋体" w:eastAsia="宋体" w:cs="宋体"/>
          <w:highlight w:val="none"/>
        </w:rPr>
      </w:pPr>
      <w:r>
        <w:rPr>
          <w:rFonts w:hint="eastAsia" w:ascii="宋体" w:hAnsi="宋体" w:eastAsia="宋体" w:cs="宋体"/>
          <w:highlight w:val="none"/>
        </w:rPr>
        <w:br w:type="column"/>
      </w:r>
    </w:p>
    <w:p w14:paraId="090F93C9">
      <w:pPr>
        <w:pStyle w:val="28"/>
        <w:rPr>
          <w:rFonts w:hint="eastAsia" w:ascii="宋体" w:hAnsi="宋体" w:eastAsia="宋体" w:cs="宋体"/>
          <w:highlight w:val="none"/>
        </w:rPr>
      </w:pPr>
    </w:p>
    <w:p w14:paraId="2F0A6001">
      <w:pPr>
        <w:rPr>
          <w:rFonts w:hint="eastAsia" w:ascii="宋体" w:hAnsi="宋体" w:eastAsia="宋体" w:cs="宋体"/>
          <w:highlight w:val="none"/>
        </w:rPr>
      </w:pPr>
    </w:p>
    <w:p w14:paraId="1FFC0CF9">
      <w:pPr>
        <w:pStyle w:val="5"/>
        <w:rPr>
          <w:rFonts w:hint="eastAsia" w:ascii="宋体" w:hAnsi="宋体" w:eastAsia="宋体" w:cs="宋体"/>
          <w:highlight w:val="none"/>
        </w:rPr>
      </w:pPr>
    </w:p>
    <w:p w14:paraId="29A62112">
      <w:pPr>
        <w:rPr>
          <w:rFonts w:hint="eastAsia" w:ascii="宋体" w:hAnsi="宋体" w:eastAsia="宋体" w:cs="宋体"/>
          <w:highlight w:val="none"/>
        </w:rPr>
      </w:pPr>
    </w:p>
    <w:p w14:paraId="48D909F1">
      <w:pPr>
        <w:pStyle w:val="5"/>
        <w:rPr>
          <w:rFonts w:hint="eastAsia" w:ascii="宋体" w:hAnsi="宋体" w:eastAsia="宋体" w:cs="宋体"/>
          <w:highlight w:val="none"/>
        </w:rPr>
      </w:pPr>
    </w:p>
    <w:p w14:paraId="55DD81AB">
      <w:pPr>
        <w:spacing w:before="1"/>
        <w:ind w:left="583"/>
        <w:rPr>
          <w:rFonts w:hint="eastAsia" w:ascii="宋体" w:hAnsi="宋体" w:eastAsia="宋体" w:cs="宋体"/>
          <w:sz w:val="28"/>
          <w:highlight w:val="none"/>
        </w:rPr>
      </w:pPr>
    </w:p>
    <w:p w14:paraId="208187DD">
      <w:pPr>
        <w:rPr>
          <w:rFonts w:hint="eastAsia" w:ascii="宋体" w:hAnsi="宋体" w:eastAsia="宋体" w:cs="宋体"/>
          <w:sz w:val="28"/>
          <w:highlight w:val="none"/>
        </w:rPr>
        <w:sectPr>
          <w:type w:val="continuous"/>
          <w:pgSz w:w="11910" w:h="16840"/>
          <w:pgMar w:top="1580" w:right="1120" w:bottom="280" w:left="1260" w:header="720" w:footer="720" w:gutter="0"/>
          <w:cols w:equalWidth="0" w:num="2">
            <w:col w:w="2424" w:space="1061"/>
            <w:col w:w="6045"/>
          </w:cols>
        </w:sectPr>
      </w:pPr>
    </w:p>
    <w:p w14:paraId="52FB1189">
      <w:pPr>
        <w:pStyle w:val="10"/>
        <w:tabs>
          <w:tab w:val="left" w:pos="2443"/>
          <w:tab w:val="left" w:pos="2783"/>
          <w:tab w:val="left" w:pos="7132"/>
          <w:tab w:val="left" w:pos="8095"/>
        </w:tabs>
        <w:spacing w:line="312" w:lineRule="auto"/>
        <w:ind w:left="384" w:right="346" w:firstLine="480"/>
        <w:rPr>
          <w:rFonts w:hint="eastAsia" w:ascii="宋体" w:hAnsi="宋体" w:eastAsia="宋体" w:cs="宋体"/>
          <w:highlight w:val="none"/>
        </w:rPr>
      </w:pPr>
      <w:r>
        <w:rPr>
          <w:rFonts w:hint="eastAsia" w:ascii="宋体" w:hAnsi="宋体" w:eastAsia="宋体" w:cs="宋体"/>
          <w:highlight w:val="none"/>
        </w:rPr>
        <w:t>附件二 廉政合同</w:t>
      </w:r>
    </w:p>
    <w:p w14:paraId="36F0341E">
      <w:pPr>
        <w:pStyle w:val="28"/>
        <w:jc w:val="center"/>
        <w:rPr>
          <w:rFonts w:hint="eastAsia" w:ascii="宋体" w:hAnsi="宋体" w:eastAsia="宋体" w:cs="宋体"/>
          <w:highlight w:val="none"/>
        </w:rPr>
      </w:pPr>
      <w:r>
        <w:rPr>
          <w:rFonts w:hint="eastAsia" w:ascii="宋体" w:hAnsi="宋体" w:eastAsia="宋体" w:cs="宋体"/>
          <w:sz w:val="28"/>
          <w:highlight w:val="none"/>
        </w:rPr>
        <w:t>廉 政 合 同</w:t>
      </w:r>
    </w:p>
    <w:p w14:paraId="03AA48BC">
      <w:pPr>
        <w:pStyle w:val="10"/>
        <w:tabs>
          <w:tab w:val="left" w:pos="2443"/>
          <w:tab w:val="left" w:pos="2783"/>
          <w:tab w:val="left" w:pos="7132"/>
          <w:tab w:val="left" w:pos="8095"/>
        </w:tabs>
        <w:spacing w:line="312" w:lineRule="auto"/>
        <w:ind w:left="384" w:right="346" w:firstLine="480"/>
        <w:rPr>
          <w:rFonts w:hint="eastAsia" w:ascii="宋体" w:hAnsi="宋体" w:eastAsia="宋体" w:cs="宋体"/>
          <w:highlight w:val="none"/>
        </w:rPr>
      </w:pPr>
      <w:r>
        <w:rPr>
          <w:rFonts w:hint="eastAsia" w:ascii="宋体" w:hAnsi="宋体" w:eastAsia="宋体" w:cs="宋体"/>
          <w:highlight w:val="none"/>
        </w:rPr>
        <w:t>根据《关于在交通基础设施建设中加强廉政建设的若干意见》以及有关工程建设</w:t>
      </w:r>
      <w:r>
        <w:rPr>
          <w:rFonts w:hint="eastAsia" w:ascii="宋体" w:hAnsi="宋体" w:eastAsia="宋体" w:cs="宋体"/>
          <w:spacing w:val="-29"/>
          <w:highlight w:val="none"/>
        </w:rPr>
        <w:t>、</w:t>
      </w:r>
      <w:r>
        <w:rPr>
          <w:rFonts w:hint="eastAsia" w:ascii="宋体" w:hAnsi="宋体" w:eastAsia="宋体" w:cs="宋体"/>
          <w:highlight w:val="none"/>
        </w:rPr>
        <w:t>廉政建设的规定</w:t>
      </w:r>
      <w:r>
        <w:rPr>
          <w:rFonts w:hint="eastAsia" w:ascii="宋体" w:hAnsi="宋体" w:eastAsia="宋体" w:cs="宋体"/>
          <w:spacing w:val="-29"/>
          <w:highlight w:val="none"/>
        </w:rPr>
        <w:t>，</w:t>
      </w:r>
      <w:r>
        <w:rPr>
          <w:rFonts w:hint="eastAsia" w:ascii="宋体" w:hAnsi="宋体" w:eastAsia="宋体" w:cs="宋体"/>
          <w:highlight w:val="none"/>
        </w:rPr>
        <w:t>为做好工程建设中的党风廉政建设</w:t>
      </w:r>
      <w:r>
        <w:rPr>
          <w:rFonts w:hint="eastAsia" w:ascii="宋体" w:hAnsi="宋体" w:eastAsia="宋体" w:cs="宋体"/>
          <w:spacing w:val="-29"/>
          <w:highlight w:val="none"/>
        </w:rPr>
        <w:t>，</w:t>
      </w:r>
      <w:r>
        <w:rPr>
          <w:rFonts w:hint="eastAsia" w:ascii="宋体" w:hAnsi="宋体" w:eastAsia="宋体" w:cs="宋体"/>
          <w:highlight w:val="none"/>
        </w:rPr>
        <w:t>保证工程建设高效优质</w:t>
      </w:r>
      <w:r>
        <w:rPr>
          <w:rFonts w:hint="eastAsia" w:ascii="宋体" w:hAnsi="宋体" w:eastAsia="宋体" w:cs="宋体"/>
          <w:spacing w:val="-18"/>
          <w:highlight w:val="none"/>
        </w:rPr>
        <w:t xml:space="preserve">， </w:t>
      </w:r>
      <w:r>
        <w:rPr>
          <w:rFonts w:hint="eastAsia" w:ascii="宋体" w:hAnsi="宋体" w:eastAsia="宋体" w:cs="宋体"/>
          <w:highlight w:val="none"/>
        </w:rPr>
        <w:t>保证建设资金的安全和有效使用以及投资效益，</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（项目名称）的项目法人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（项目法人名称，以下简称“发包人”）与该项目</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标段的施工单位</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（施工单位名称，以下简称“承包人”），特订立如下合同。</w:t>
      </w:r>
    </w:p>
    <w:p w14:paraId="15ABE830">
      <w:pPr>
        <w:pStyle w:val="29"/>
        <w:numPr>
          <w:ilvl w:val="0"/>
          <w:numId w:val="42"/>
        </w:numPr>
        <w:tabs>
          <w:tab w:val="left" w:pos="1164"/>
        </w:tabs>
        <w:spacing w:before="3"/>
        <w:rPr>
          <w:rFonts w:hint="eastAsia" w:ascii="宋体" w:hAnsi="宋体" w:eastAsia="宋体" w:cs="宋体"/>
          <w:sz w:val="24"/>
          <w:highlight w:val="none"/>
        </w:rPr>
      </w:pPr>
      <w:r>
        <w:rPr>
          <w:rFonts w:hint="eastAsia" w:ascii="宋体" w:hAnsi="宋体" w:eastAsia="宋体" w:cs="宋体"/>
          <w:sz w:val="24"/>
          <w:highlight w:val="none"/>
        </w:rPr>
        <w:t>发包人和承包人双方的权利和义务</w:t>
      </w:r>
    </w:p>
    <w:p w14:paraId="442FBA8F">
      <w:pPr>
        <w:pStyle w:val="29"/>
        <w:numPr>
          <w:ilvl w:val="0"/>
          <w:numId w:val="43"/>
        </w:numPr>
        <w:tabs>
          <w:tab w:val="left" w:pos="1465"/>
        </w:tabs>
        <w:spacing w:before="91"/>
        <w:rPr>
          <w:rFonts w:hint="eastAsia" w:ascii="宋体" w:hAnsi="宋体" w:eastAsia="宋体" w:cs="宋体"/>
          <w:sz w:val="24"/>
          <w:highlight w:val="none"/>
        </w:rPr>
      </w:pPr>
      <w:r>
        <w:rPr>
          <w:rFonts w:hint="eastAsia" w:ascii="宋体" w:hAnsi="宋体" w:eastAsia="宋体" w:cs="宋体"/>
          <w:sz w:val="24"/>
          <w:highlight w:val="none"/>
        </w:rPr>
        <w:t>严格遵守党的政策规定和国家有关法律法规及交通运输部的有关规定。</w:t>
      </w:r>
    </w:p>
    <w:p w14:paraId="50ED7D1B">
      <w:pPr>
        <w:pStyle w:val="29"/>
        <w:numPr>
          <w:ilvl w:val="0"/>
          <w:numId w:val="43"/>
        </w:numPr>
        <w:tabs>
          <w:tab w:val="left" w:pos="1465"/>
          <w:tab w:val="left" w:pos="3460"/>
          <w:tab w:val="left" w:pos="5481"/>
        </w:tabs>
        <w:spacing w:before="93" w:line="312" w:lineRule="auto"/>
        <w:ind w:left="384" w:right="466" w:firstLine="480"/>
        <w:rPr>
          <w:rFonts w:hint="eastAsia" w:ascii="宋体" w:hAnsi="宋体" w:eastAsia="宋体" w:cs="宋体"/>
          <w:sz w:val="24"/>
          <w:highlight w:val="none"/>
        </w:rPr>
      </w:pPr>
      <w:r>
        <w:rPr>
          <w:rFonts w:hint="eastAsia" w:ascii="宋体" w:hAnsi="宋体" w:eastAsia="宋体" w:cs="宋体"/>
          <w:sz w:val="24"/>
          <w:highlight w:val="none"/>
        </w:rPr>
        <w:t>严格执行</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（项目名称</w:t>
      </w:r>
      <w:r>
        <w:rPr>
          <w:rFonts w:hint="eastAsia" w:ascii="宋体" w:hAnsi="宋体" w:eastAsia="宋体" w:cs="宋体"/>
          <w:spacing w:val="-23"/>
          <w:sz w:val="24"/>
          <w:highlight w:val="none"/>
        </w:rPr>
        <w:t>）</w:t>
      </w:r>
      <w:r>
        <w:rPr>
          <w:rFonts w:hint="eastAsia" w:ascii="宋体" w:hAnsi="宋体" w:eastAsia="宋体" w:cs="宋体"/>
          <w:spacing w:val="-23"/>
          <w:sz w:val="24"/>
          <w:highlight w:val="none"/>
          <w:u w:val="single"/>
        </w:rPr>
        <w:t xml:space="preserve"> </w:t>
      </w:r>
      <w:r>
        <w:rPr>
          <w:rFonts w:hint="eastAsia" w:ascii="宋体" w:hAnsi="宋体" w:eastAsia="宋体" w:cs="宋体"/>
          <w:spacing w:val="-23"/>
          <w:sz w:val="24"/>
          <w:highlight w:val="none"/>
          <w:u w:val="single"/>
        </w:rPr>
        <w:tab/>
      </w:r>
      <w:r>
        <w:rPr>
          <w:rFonts w:hint="eastAsia" w:ascii="宋体" w:hAnsi="宋体" w:eastAsia="宋体" w:cs="宋体"/>
          <w:sz w:val="24"/>
          <w:highlight w:val="none"/>
        </w:rPr>
        <w:t>标段施工合同文件</w:t>
      </w:r>
      <w:r>
        <w:rPr>
          <w:rFonts w:hint="eastAsia" w:ascii="宋体" w:hAnsi="宋体" w:eastAsia="宋体" w:cs="宋体"/>
          <w:spacing w:val="-22"/>
          <w:sz w:val="24"/>
          <w:highlight w:val="none"/>
        </w:rPr>
        <w:t>，</w:t>
      </w:r>
      <w:r>
        <w:rPr>
          <w:rFonts w:hint="eastAsia" w:ascii="宋体" w:hAnsi="宋体" w:eastAsia="宋体" w:cs="宋体"/>
          <w:sz w:val="24"/>
          <w:highlight w:val="none"/>
        </w:rPr>
        <w:t>自觉按合同</w:t>
      </w:r>
      <w:r>
        <w:rPr>
          <w:rFonts w:hint="eastAsia" w:ascii="宋体" w:hAnsi="宋体" w:eastAsia="宋体" w:cs="宋体"/>
          <w:spacing w:val="-18"/>
          <w:sz w:val="24"/>
          <w:highlight w:val="none"/>
        </w:rPr>
        <w:t>办</w:t>
      </w:r>
      <w:r>
        <w:rPr>
          <w:rFonts w:hint="eastAsia" w:ascii="宋体" w:hAnsi="宋体" w:eastAsia="宋体" w:cs="宋体"/>
          <w:sz w:val="24"/>
          <w:highlight w:val="none"/>
        </w:rPr>
        <w:t>事。</w:t>
      </w:r>
    </w:p>
    <w:p w14:paraId="197C7A6C">
      <w:pPr>
        <w:pStyle w:val="29"/>
        <w:numPr>
          <w:ilvl w:val="0"/>
          <w:numId w:val="43"/>
        </w:numPr>
        <w:tabs>
          <w:tab w:val="left" w:pos="1465"/>
        </w:tabs>
        <w:spacing w:line="312" w:lineRule="auto"/>
        <w:ind w:left="384" w:right="466" w:firstLine="480"/>
        <w:jc w:val="both"/>
        <w:rPr>
          <w:rFonts w:hint="eastAsia" w:ascii="宋体" w:hAnsi="宋体" w:eastAsia="宋体" w:cs="宋体"/>
          <w:sz w:val="24"/>
          <w:highlight w:val="none"/>
        </w:rPr>
      </w:pPr>
      <w:r>
        <w:rPr>
          <w:rFonts w:hint="eastAsia" w:ascii="宋体" w:hAnsi="宋体" w:eastAsia="宋体" w:cs="宋体"/>
          <w:spacing w:val="-5"/>
          <w:sz w:val="24"/>
          <w:highlight w:val="none"/>
        </w:rPr>
        <w:t>双方的业务活动坚持公开、公正、诚信、透明的原则</w:t>
      </w:r>
      <w:r>
        <w:rPr>
          <w:rFonts w:hint="eastAsia" w:ascii="宋体" w:hAnsi="宋体" w:eastAsia="宋体" w:cs="宋体"/>
          <w:sz w:val="24"/>
          <w:highlight w:val="none"/>
        </w:rPr>
        <w:t>（</w:t>
      </w:r>
      <w:r>
        <w:rPr>
          <w:rFonts w:hint="eastAsia" w:ascii="宋体" w:hAnsi="宋体" w:eastAsia="宋体" w:cs="宋体"/>
          <w:spacing w:val="-3"/>
          <w:sz w:val="24"/>
          <w:highlight w:val="none"/>
        </w:rPr>
        <w:t>法律认定的商业秘</w:t>
      </w:r>
      <w:r>
        <w:rPr>
          <w:rFonts w:hint="eastAsia" w:ascii="宋体" w:hAnsi="宋体" w:eastAsia="宋体" w:cs="宋体"/>
          <w:sz w:val="24"/>
          <w:highlight w:val="none"/>
        </w:rPr>
        <w:t>密和合同文件另有规定除外）</w:t>
      </w:r>
      <w:r>
        <w:rPr>
          <w:rFonts w:hint="eastAsia" w:ascii="宋体" w:hAnsi="宋体" w:eastAsia="宋体" w:cs="宋体"/>
          <w:spacing w:val="-1"/>
          <w:sz w:val="24"/>
          <w:highlight w:val="none"/>
        </w:rPr>
        <w:t>，不得损害国家和集体利益，不得违反工程建设管理</w:t>
      </w:r>
      <w:r>
        <w:rPr>
          <w:rFonts w:hint="eastAsia" w:ascii="宋体" w:hAnsi="宋体" w:eastAsia="宋体" w:cs="宋体"/>
          <w:sz w:val="24"/>
          <w:highlight w:val="none"/>
        </w:rPr>
        <w:t>规章制度。</w:t>
      </w:r>
    </w:p>
    <w:p w14:paraId="540F4795">
      <w:pPr>
        <w:pStyle w:val="29"/>
        <w:numPr>
          <w:ilvl w:val="0"/>
          <w:numId w:val="43"/>
        </w:numPr>
        <w:tabs>
          <w:tab w:val="left" w:pos="1465"/>
        </w:tabs>
        <w:spacing w:line="312" w:lineRule="auto"/>
        <w:ind w:left="384" w:right="466" w:firstLine="480"/>
        <w:rPr>
          <w:rFonts w:hint="eastAsia" w:ascii="宋体" w:hAnsi="宋体" w:eastAsia="宋体" w:cs="宋体"/>
          <w:sz w:val="24"/>
          <w:highlight w:val="none"/>
        </w:rPr>
      </w:pPr>
      <w:r>
        <w:rPr>
          <w:rFonts w:hint="eastAsia" w:ascii="宋体" w:hAnsi="宋体" w:eastAsia="宋体" w:cs="宋体"/>
          <w:spacing w:val="-6"/>
          <w:sz w:val="24"/>
          <w:highlight w:val="none"/>
        </w:rPr>
        <w:t>建立健全廉政制度，开展廉政教育，设立廉政告示牌，公布举报电话，监</w:t>
      </w:r>
      <w:r>
        <w:rPr>
          <w:rFonts w:hint="eastAsia" w:ascii="宋体" w:hAnsi="宋体" w:eastAsia="宋体" w:cs="宋体"/>
          <w:sz w:val="24"/>
          <w:highlight w:val="none"/>
        </w:rPr>
        <w:t>督并认真查处违法违纪行为。</w:t>
      </w:r>
    </w:p>
    <w:p w14:paraId="23BFBE7B">
      <w:pPr>
        <w:pStyle w:val="29"/>
        <w:numPr>
          <w:ilvl w:val="0"/>
          <w:numId w:val="43"/>
        </w:numPr>
        <w:tabs>
          <w:tab w:val="left" w:pos="1465"/>
        </w:tabs>
        <w:spacing w:before="2" w:line="312" w:lineRule="auto"/>
        <w:ind w:left="384" w:right="466" w:firstLine="480"/>
        <w:rPr>
          <w:rFonts w:hint="eastAsia" w:ascii="宋体" w:hAnsi="宋体" w:eastAsia="宋体" w:cs="宋体"/>
          <w:sz w:val="24"/>
          <w:highlight w:val="none"/>
        </w:rPr>
      </w:pPr>
      <w:r>
        <w:rPr>
          <w:rFonts w:hint="eastAsia" w:ascii="宋体" w:hAnsi="宋体" w:eastAsia="宋体" w:cs="宋体"/>
          <w:spacing w:val="-2"/>
          <w:sz w:val="24"/>
          <w:highlight w:val="none"/>
        </w:rPr>
        <w:t>发现对方在业务活动中有违反廉政规定的行为，有及时提醒对方纠正的</w:t>
      </w:r>
      <w:r>
        <w:rPr>
          <w:rFonts w:hint="eastAsia" w:ascii="宋体" w:hAnsi="宋体" w:eastAsia="宋体" w:cs="宋体"/>
          <w:spacing w:val="-5"/>
          <w:sz w:val="24"/>
          <w:highlight w:val="none"/>
        </w:rPr>
        <w:t>权利和义务。</w:t>
      </w:r>
    </w:p>
    <w:p w14:paraId="16420151">
      <w:pPr>
        <w:pStyle w:val="29"/>
        <w:numPr>
          <w:ilvl w:val="0"/>
          <w:numId w:val="43"/>
        </w:numPr>
        <w:tabs>
          <w:tab w:val="left" w:pos="1465"/>
        </w:tabs>
        <w:spacing w:line="312" w:lineRule="auto"/>
        <w:ind w:left="384" w:right="466" w:firstLine="480"/>
        <w:rPr>
          <w:rFonts w:hint="eastAsia" w:ascii="宋体" w:hAnsi="宋体" w:eastAsia="宋体" w:cs="宋体"/>
          <w:sz w:val="24"/>
          <w:highlight w:val="none"/>
        </w:rPr>
      </w:pPr>
      <w:r>
        <w:rPr>
          <w:rFonts w:hint="eastAsia" w:ascii="宋体" w:hAnsi="宋体" w:eastAsia="宋体" w:cs="宋体"/>
          <w:spacing w:val="-3"/>
          <w:sz w:val="24"/>
          <w:highlight w:val="none"/>
        </w:rPr>
        <w:t>发现对方严重违反本合同义务条款的行为，有向其上级有关部门举报、</w:t>
      </w:r>
      <w:r>
        <w:rPr>
          <w:rFonts w:hint="eastAsia" w:ascii="宋体" w:hAnsi="宋体" w:eastAsia="宋体" w:cs="宋体"/>
          <w:spacing w:val="-5"/>
          <w:sz w:val="24"/>
          <w:highlight w:val="none"/>
        </w:rPr>
        <w:t>建议给予处理并要求告知处理结果的权利。</w:t>
      </w:r>
    </w:p>
    <w:p w14:paraId="2F6C5862">
      <w:pPr>
        <w:pStyle w:val="29"/>
        <w:numPr>
          <w:ilvl w:val="0"/>
          <w:numId w:val="42"/>
        </w:numPr>
        <w:tabs>
          <w:tab w:val="left" w:pos="1164"/>
        </w:tabs>
        <w:spacing w:line="307" w:lineRule="exact"/>
        <w:rPr>
          <w:rFonts w:hint="eastAsia" w:ascii="宋体" w:hAnsi="宋体" w:eastAsia="宋体" w:cs="宋体"/>
          <w:sz w:val="24"/>
          <w:highlight w:val="none"/>
        </w:rPr>
      </w:pPr>
      <w:r>
        <w:rPr>
          <w:rFonts w:hint="eastAsia" w:ascii="宋体" w:hAnsi="宋体" w:eastAsia="宋体" w:cs="宋体"/>
          <w:sz w:val="24"/>
          <w:highlight w:val="none"/>
        </w:rPr>
        <w:t>发包人的义务</w:t>
      </w:r>
    </w:p>
    <w:p w14:paraId="2BFCFF6C">
      <w:pPr>
        <w:pStyle w:val="29"/>
        <w:numPr>
          <w:ilvl w:val="0"/>
          <w:numId w:val="44"/>
        </w:numPr>
        <w:tabs>
          <w:tab w:val="left" w:pos="1465"/>
        </w:tabs>
        <w:spacing w:before="93" w:line="312" w:lineRule="auto"/>
        <w:ind w:right="346" w:firstLine="480"/>
        <w:rPr>
          <w:rFonts w:hint="eastAsia" w:ascii="宋体" w:hAnsi="宋体" w:eastAsia="宋体" w:cs="宋体"/>
          <w:sz w:val="24"/>
          <w:highlight w:val="none"/>
        </w:rPr>
      </w:pPr>
      <w:r>
        <w:rPr>
          <w:rFonts w:hint="eastAsia" w:ascii="宋体" w:hAnsi="宋体" w:eastAsia="宋体" w:cs="宋体"/>
          <w:spacing w:val="-5"/>
          <w:sz w:val="24"/>
          <w:highlight w:val="none"/>
        </w:rPr>
        <w:t>发包人及其工作人员不得索要或接受承包人的礼金、有价证券和贵重物品，不得让承包人报销任何应由发包人或发包人工作人员个人支付的费用等。</w:t>
      </w:r>
    </w:p>
    <w:p w14:paraId="1B529937">
      <w:pPr>
        <w:pStyle w:val="29"/>
        <w:numPr>
          <w:ilvl w:val="0"/>
          <w:numId w:val="44"/>
        </w:numPr>
        <w:tabs>
          <w:tab w:val="left" w:pos="1465"/>
        </w:tabs>
        <w:spacing w:line="312" w:lineRule="auto"/>
        <w:ind w:right="466" w:firstLine="480"/>
        <w:rPr>
          <w:rFonts w:hint="eastAsia" w:ascii="宋体" w:hAnsi="宋体" w:eastAsia="宋体" w:cs="宋体"/>
          <w:sz w:val="24"/>
          <w:highlight w:val="none"/>
        </w:rPr>
      </w:pPr>
      <w:r>
        <w:rPr>
          <w:rFonts w:hint="eastAsia" w:ascii="宋体" w:hAnsi="宋体" w:eastAsia="宋体" w:cs="宋体"/>
          <w:spacing w:val="-2"/>
          <w:sz w:val="24"/>
          <w:highlight w:val="none"/>
        </w:rPr>
        <w:t>发包人工作人员不得参加承包人安排的超标准宴请和娱乐活动；不得接</w:t>
      </w:r>
      <w:r>
        <w:rPr>
          <w:rFonts w:hint="eastAsia" w:ascii="宋体" w:hAnsi="宋体" w:eastAsia="宋体" w:cs="宋体"/>
          <w:spacing w:val="-5"/>
          <w:sz w:val="24"/>
          <w:highlight w:val="none"/>
        </w:rPr>
        <w:t>受承包人提供的通信工具、交通工具和高档办公用品等。</w:t>
      </w:r>
    </w:p>
    <w:p w14:paraId="00F69071">
      <w:pPr>
        <w:pStyle w:val="29"/>
        <w:numPr>
          <w:ilvl w:val="0"/>
          <w:numId w:val="44"/>
        </w:numPr>
        <w:tabs>
          <w:tab w:val="left" w:pos="1465"/>
        </w:tabs>
        <w:spacing w:before="2" w:line="312" w:lineRule="auto"/>
        <w:ind w:right="466" w:firstLine="480"/>
        <w:rPr>
          <w:rFonts w:hint="eastAsia" w:ascii="宋体" w:hAnsi="宋体" w:eastAsia="宋体" w:cs="宋体"/>
          <w:sz w:val="24"/>
          <w:highlight w:val="none"/>
        </w:rPr>
      </w:pPr>
      <w:r>
        <w:rPr>
          <w:rFonts w:hint="eastAsia" w:ascii="宋体" w:hAnsi="宋体" w:eastAsia="宋体" w:cs="宋体"/>
          <w:spacing w:val="-2"/>
          <w:sz w:val="24"/>
          <w:highlight w:val="none"/>
        </w:rPr>
        <w:t>发包人及其工作人员不得要求或者接受承包人为其住房装修、婚丧嫁娶</w:t>
      </w:r>
      <w:r>
        <w:rPr>
          <w:rFonts w:hint="eastAsia" w:ascii="宋体" w:hAnsi="宋体" w:eastAsia="宋体" w:cs="宋体"/>
          <w:spacing w:val="-5"/>
          <w:sz w:val="24"/>
          <w:highlight w:val="none"/>
        </w:rPr>
        <w:t>活动、配偶子女的工作安排以及出国出境、旅游等提供方便等。</w:t>
      </w:r>
    </w:p>
    <w:p w14:paraId="2EDD839B">
      <w:pPr>
        <w:pStyle w:val="29"/>
        <w:numPr>
          <w:ilvl w:val="0"/>
          <w:numId w:val="44"/>
        </w:numPr>
        <w:tabs>
          <w:tab w:val="left" w:pos="1465"/>
        </w:tabs>
        <w:spacing w:line="312" w:lineRule="auto"/>
        <w:ind w:right="466" w:firstLine="480"/>
        <w:rPr>
          <w:rFonts w:hint="eastAsia" w:ascii="宋体" w:hAnsi="宋体" w:eastAsia="宋体" w:cs="宋体"/>
          <w:sz w:val="24"/>
          <w:highlight w:val="none"/>
        </w:rPr>
      </w:pPr>
      <w:r>
        <w:rPr>
          <w:rFonts w:hint="eastAsia" w:ascii="宋体" w:hAnsi="宋体" w:eastAsia="宋体" w:cs="宋体"/>
          <w:spacing w:val="-4"/>
          <w:sz w:val="24"/>
          <w:highlight w:val="none"/>
        </w:rPr>
        <w:t>发包人工作人员及其配偶、子女不得从事与发包人工程有关的材料设备</w:t>
      </w:r>
      <w:r>
        <w:rPr>
          <w:rFonts w:hint="eastAsia" w:ascii="宋体" w:hAnsi="宋体" w:eastAsia="宋体" w:cs="宋体"/>
          <w:spacing w:val="-5"/>
          <w:sz w:val="24"/>
          <w:highlight w:val="none"/>
        </w:rPr>
        <w:t>供应、工程分包、劳务等经济活动等。</w:t>
      </w:r>
    </w:p>
    <w:p w14:paraId="73F62D5E">
      <w:pPr>
        <w:pStyle w:val="29"/>
        <w:numPr>
          <w:ilvl w:val="0"/>
          <w:numId w:val="44"/>
        </w:numPr>
        <w:tabs>
          <w:tab w:val="left" w:pos="1465"/>
        </w:tabs>
        <w:spacing w:line="312" w:lineRule="auto"/>
        <w:ind w:right="382" w:firstLine="480"/>
        <w:rPr>
          <w:rFonts w:hint="eastAsia" w:ascii="宋体" w:hAnsi="宋体" w:eastAsia="宋体" w:cs="宋体"/>
          <w:sz w:val="24"/>
          <w:highlight w:val="none"/>
        </w:rPr>
      </w:pPr>
      <w:r>
        <w:rPr>
          <w:rFonts w:hint="eastAsia" w:ascii="宋体" w:hAnsi="宋体" w:eastAsia="宋体" w:cs="宋体"/>
          <w:spacing w:val="-1"/>
          <w:sz w:val="24"/>
          <w:highlight w:val="none"/>
        </w:rPr>
        <w:t xml:space="preserve">发包人及其工作人员不得以任何理由向承包人推荐分包单位或推销材料， </w:t>
      </w:r>
      <w:r>
        <w:rPr>
          <w:rFonts w:hint="eastAsia" w:ascii="宋体" w:hAnsi="宋体" w:eastAsia="宋体" w:cs="宋体"/>
          <w:sz w:val="24"/>
          <w:highlight w:val="none"/>
        </w:rPr>
        <w:t>不得要求承包人购买合同规定外的材料和设备。</w:t>
      </w:r>
    </w:p>
    <w:p w14:paraId="22980F49">
      <w:pPr>
        <w:pStyle w:val="29"/>
        <w:numPr>
          <w:ilvl w:val="0"/>
          <w:numId w:val="44"/>
        </w:numPr>
        <w:tabs>
          <w:tab w:val="left" w:pos="1465"/>
        </w:tabs>
        <w:spacing w:before="2" w:line="312" w:lineRule="auto"/>
        <w:ind w:right="466" w:firstLine="480"/>
        <w:rPr>
          <w:rFonts w:hint="eastAsia" w:ascii="宋体" w:hAnsi="宋体" w:eastAsia="宋体" w:cs="宋体"/>
          <w:sz w:val="24"/>
          <w:highlight w:val="none"/>
        </w:rPr>
      </w:pPr>
      <w:r>
        <w:rPr>
          <w:rFonts w:hint="eastAsia" w:ascii="宋体" w:hAnsi="宋体" w:eastAsia="宋体" w:cs="宋体"/>
          <w:spacing w:val="-5"/>
          <w:sz w:val="24"/>
          <w:highlight w:val="none"/>
        </w:rPr>
        <w:t>发包人工作人员要秉公办事，不准营私舞弊，不准利用职权从事各种个人有偿中介活动和安排个人施工队伍。</w:t>
      </w:r>
    </w:p>
    <w:p w14:paraId="031C1CA9">
      <w:pPr>
        <w:pStyle w:val="29"/>
        <w:numPr>
          <w:ilvl w:val="0"/>
          <w:numId w:val="42"/>
        </w:numPr>
        <w:tabs>
          <w:tab w:val="left" w:pos="1164"/>
        </w:tabs>
        <w:spacing w:before="74"/>
        <w:rPr>
          <w:rFonts w:hint="eastAsia" w:ascii="宋体" w:hAnsi="宋体" w:eastAsia="宋体" w:cs="宋体"/>
          <w:sz w:val="24"/>
          <w:highlight w:val="none"/>
        </w:rPr>
      </w:pPr>
      <w:r>
        <w:rPr>
          <w:rFonts w:hint="eastAsia" w:ascii="宋体" w:hAnsi="宋体" w:eastAsia="宋体" w:cs="宋体"/>
          <w:sz w:val="24"/>
          <w:highlight w:val="none"/>
        </w:rPr>
        <w:t>承包人的义务</w:t>
      </w:r>
    </w:p>
    <w:p w14:paraId="3B08525E">
      <w:pPr>
        <w:pStyle w:val="29"/>
        <w:numPr>
          <w:ilvl w:val="0"/>
          <w:numId w:val="45"/>
        </w:numPr>
        <w:tabs>
          <w:tab w:val="left" w:pos="1465"/>
        </w:tabs>
        <w:spacing w:before="93" w:line="312" w:lineRule="auto"/>
        <w:ind w:right="346" w:firstLine="480"/>
        <w:rPr>
          <w:rFonts w:hint="eastAsia" w:ascii="宋体" w:hAnsi="宋体" w:eastAsia="宋体" w:cs="宋体"/>
          <w:sz w:val="24"/>
          <w:highlight w:val="none"/>
        </w:rPr>
      </w:pPr>
      <w:r>
        <w:rPr>
          <w:rFonts w:hint="eastAsia" w:ascii="宋体" w:hAnsi="宋体" w:eastAsia="宋体" w:cs="宋体"/>
          <w:spacing w:val="-4"/>
          <w:sz w:val="24"/>
          <w:highlight w:val="none"/>
        </w:rPr>
        <w:t>承包人不得以任何理由向发包人及其工作人员行贿或馈赠礼金、有价证券</w:t>
      </w:r>
      <w:r>
        <w:rPr>
          <w:rFonts w:hint="eastAsia" w:ascii="宋体" w:hAnsi="宋体" w:eastAsia="宋体" w:cs="宋体"/>
          <w:spacing w:val="-5"/>
          <w:sz w:val="24"/>
          <w:highlight w:val="none"/>
        </w:rPr>
        <w:t>、贵重礼品。</w:t>
      </w:r>
    </w:p>
    <w:p w14:paraId="58750CFB">
      <w:pPr>
        <w:pStyle w:val="29"/>
        <w:numPr>
          <w:ilvl w:val="0"/>
          <w:numId w:val="45"/>
        </w:numPr>
        <w:tabs>
          <w:tab w:val="left" w:pos="1465"/>
        </w:tabs>
        <w:spacing w:line="312" w:lineRule="auto"/>
        <w:ind w:right="466" w:firstLine="480"/>
        <w:rPr>
          <w:rFonts w:hint="eastAsia" w:ascii="宋体" w:hAnsi="宋体" w:eastAsia="宋体" w:cs="宋体"/>
          <w:sz w:val="24"/>
          <w:highlight w:val="none"/>
        </w:rPr>
      </w:pPr>
      <w:r>
        <w:rPr>
          <w:rFonts w:hint="eastAsia" w:ascii="宋体" w:hAnsi="宋体" w:eastAsia="宋体" w:cs="宋体"/>
          <w:sz w:val="24"/>
          <w:highlight w:val="none"/>
        </w:rPr>
        <w:t>承包人不得以任何名义为发包人及其工作人员报销应由发包人单位或个</w:t>
      </w:r>
      <w:r>
        <w:rPr>
          <w:rFonts w:hint="eastAsia" w:ascii="宋体" w:hAnsi="宋体" w:eastAsia="宋体" w:cs="宋体"/>
          <w:spacing w:val="-5"/>
          <w:sz w:val="24"/>
          <w:highlight w:val="none"/>
        </w:rPr>
        <w:t>人支付的任何费用。</w:t>
      </w:r>
    </w:p>
    <w:p w14:paraId="7C11D2CC">
      <w:pPr>
        <w:pStyle w:val="29"/>
        <w:numPr>
          <w:ilvl w:val="0"/>
          <w:numId w:val="45"/>
        </w:numPr>
        <w:tabs>
          <w:tab w:val="left" w:pos="1465"/>
        </w:tabs>
        <w:spacing w:line="307" w:lineRule="exact"/>
        <w:ind w:left="1465"/>
        <w:rPr>
          <w:rFonts w:hint="eastAsia" w:ascii="宋体" w:hAnsi="宋体" w:eastAsia="宋体" w:cs="宋体"/>
          <w:sz w:val="24"/>
          <w:highlight w:val="none"/>
        </w:rPr>
      </w:pPr>
      <w:r>
        <w:rPr>
          <w:rFonts w:hint="eastAsia" w:ascii="宋体" w:hAnsi="宋体" w:eastAsia="宋体" w:cs="宋体"/>
          <w:sz w:val="24"/>
          <w:highlight w:val="none"/>
        </w:rPr>
        <w:t>承包人不得以任何理由安排发包人工作人员参加超标准宴请及娱乐活动。</w:t>
      </w:r>
    </w:p>
    <w:p w14:paraId="0E331F9E">
      <w:pPr>
        <w:pStyle w:val="29"/>
        <w:numPr>
          <w:ilvl w:val="0"/>
          <w:numId w:val="45"/>
        </w:numPr>
        <w:tabs>
          <w:tab w:val="left" w:pos="1465"/>
        </w:tabs>
        <w:spacing w:before="93" w:line="312" w:lineRule="auto"/>
        <w:ind w:right="466" w:firstLine="480"/>
        <w:rPr>
          <w:rFonts w:hint="eastAsia" w:ascii="宋体" w:hAnsi="宋体" w:eastAsia="宋体" w:cs="宋体"/>
          <w:sz w:val="24"/>
          <w:highlight w:val="none"/>
        </w:rPr>
      </w:pPr>
      <w:r>
        <w:rPr>
          <w:rFonts w:hint="eastAsia" w:ascii="宋体" w:hAnsi="宋体" w:eastAsia="宋体" w:cs="宋体"/>
          <w:spacing w:val="-2"/>
          <w:sz w:val="24"/>
          <w:highlight w:val="none"/>
        </w:rPr>
        <w:t>承包人不得为发包人单位和个人购置或提供通信工具、交通工具和高档</w:t>
      </w:r>
      <w:r>
        <w:rPr>
          <w:rFonts w:hint="eastAsia" w:ascii="宋体" w:hAnsi="宋体" w:eastAsia="宋体" w:cs="宋体"/>
          <w:spacing w:val="-5"/>
          <w:sz w:val="24"/>
          <w:highlight w:val="none"/>
        </w:rPr>
        <w:t>办公用品等。</w:t>
      </w:r>
    </w:p>
    <w:p w14:paraId="426717F1">
      <w:pPr>
        <w:pStyle w:val="29"/>
        <w:numPr>
          <w:ilvl w:val="0"/>
          <w:numId w:val="42"/>
        </w:numPr>
        <w:tabs>
          <w:tab w:val="left" w:pos="1164"/>
        </w:tabs>
        <w:spacing w:line="307" w:lineRule="exact"/>
        <w:rPr>
          <w:rFonts w:hint="eastAsia" w:ascii="宋体" w:hAnsi="宋体" w:eastAsia="宋体" w:cs="宋体"/>
          <w:sz w:val="24"/>
          <w:highlight w:val="none"/>
        </w:rPr>
      </w:pPr>
      <w:r>
        <w:rPr>
          <w:rFonts w:hint="eastAsia" w:ascii="宋体" w:hAnsi="宋体" w:eastAsia="宋体" w:cs="宋体"/>
          <w:sz w:val="24"/>
          <w:highlight w:val="none"/>
        </w:rPr>
        <w:t>违约责任</w:t>
      </w:r>
    </w:p>
    <w:p w14:paraId="3E8A6F60">
      <w:pPr>
        <w:pStyle w:val="29"/>
        <w:numPr>
          <w:ilvl w:val="0"/>
          <w:numId w:val="46"/>
        </w:numPr>
        <w:tabs>
          <w:tab w:val="left" w:pos="1468"/>
        </w:tabs>
        <w:spacing w:before="94" w:line="312" w:lineRule="auto"/>
        <w:ind w:right="465" w:firstLine="480"/>
        <w:jc w:val="both"/>
        <w:rPr>
          <w:rFonts w:hint="eastAsia" w:ascii="宋体" w:hAnsi="宋体" w:eastAsia="宋体" w:cs="宋体"/>
          <w:sz w:val="24"/>
          <w:highlight w:val="none"/>
        </w:rPr>
      </w:pPr>
      <w:r>
        <w:rPr>
          <w:rFonts w:hint="eastAsia" w:ascii="宋体" w:hAnsi="宋体" w:eastAsia="宋体" w:cs="宋体"/>
          <w:spacing w:val="-4"/>
          <w:sz w:val="24"/>
          <w:highlight w:val="none"/>
        </w:rPr>
        <w:t xml:space="preserve">发包人及其工作人员违反本合同第 </w:t>
      </w:r>
      <w:r>
        <w:rPr>
          <w:rFonts w:hint="eastAsia" w:ascii="宋体" w:hAnsi="宋体" w:eastAsia="宋体" w:cs="宋体"/>
          <w:sz w:val="24"/>
          <w:highlight w:val="none"/>
        </w:rPr>
        <w:t>1、2</w:t>
      </w:r>
      <w:r>
        <w:rPr>
          <w:rFonts w:hint="eastAsia" w:ascii="宋体" w:hAnsi="宋体" w:eastAsia="宋体" w:cs="宋体"/>
          <w:spacing w:val="14"/>
          <w:sz w:val="24"/>
          <w:highlight w:val="none"/>
        </w:rPr>
        <w:t xml:space="preserve"> </w:t>
      </w:r>
      <w:r>
        <w:rPr>
          <w:rFonts w:hint="eastAsia" w:ascii="宋体" w:hAnsi="宋体" w:eastAsia="宋体" w:cs="宋体"/>
          <w:spacing w:val="-1"/>
          <w:sz w:val="24"/>
          <w:highlight w:val="none"/>
        </w:rPr>
        <w:t>条，按管理权限，依据有关规定给予党纪、政纪或组织处理；涉嫌犯罪的，移交司法机关追究刑事责任；给承包人</w:t>
      </w:r>
      <w:r>
        <w:rPr>
          <w:rFonts w:hint="eastAsia" w:ascii="宋体" w:hAnsi="宋体" w:eastAsia="宋体" w:cs="宋体"/>
          <w:sz w:val="24"/>
          <w:highlight w:val="none"/>
        </w:rPr>
        <w:t>单位造成经济损失的，应予以赔偿。</w:t>
      </w:r>
    </w:p>
    <w:p w14:paraId="38CF01F7">
      <w:pPr>
        <w:pStyle w:val="29"/>
        <w:numPr>
          <w:ilvl w:val="0"/>
          <w:numId w:val="46"/>
        </w:numPr>
        <w:tabs>
          <w:tab w:val="left" w:pos="1468"/>
        </w:tabs>
        <w:spacing w:line="312" w:lineRule="auto"/>
        <w:ind w:right="465" w:firstLine="480"/>
        <w:jc w:val="both"/>
        <w:rPr>
          <w:rFonts w:hint="eastAsia" w:ascii="宋体" w:hAnsi="宋体" w:eastAsia="宋体" w:cs="宋体"/>
          <w:sz w:val="24"/>
          <w:highlight w:val="none"/>
        </w:rPr>
      </w:pPr>
      <w:r>
        <w:rPr>
          <w:rFonts w:hint="eastAsia" w:ascii="宋体" w:hAnsi="宋体" w:eastAsia="宋体" w:cs="宋体"/>
          <w:spacing w:val="-4"/>
          <w:sz w:val="24"/>
          <w:highlight w:val="none"/>
        </w:rPr>
        <w:t xml:space="preserve">承包人及其工作人员违反本合同第 </w:t>
      </w:r>
      <w:r>
        <w:rPr>
          <w:rFonts w:hint="eastAsia" w:ascii="宋体" w:hAnsi="宋体" w:eastAsia="宋体" w:cs="宋体"/>
          <w:sz w:val="24"/>
          <w:highlight w:val="none"/>
        </w:rPr>
        <w:t>1、3</w:t>
      </w:r>
      <w:r>
        <w:rPr>
          <w:rFonts w:hint="eastAsia" w:ascii="宋体" w:hAnsi="宋体" w:eastAsia="宋体" w:cs="宋体"/>
          <w:spacing w:val="14"/>
          <w:sz w:val="24"/>
          <w:highlight w:val="none"/>
        </w:rPr>
        <w:t xml:space="preserve"> </w:t>
      </w:r>
      <w:r>
        <w:rPr>
          <w:rFonts w:hint="eastAsia" w:ascii="宋体" w:hAnsi="宋体" w:eastAsia="宋体" w:cs="宋体"/>
          <w:spacing w:val="-1"/>
          <w:sz w:val="24"/>
          <w:highlight w:val="none"/>
        </w:rPr>
        <w:t>条，按管理权限，依据有关规定给予党纪、政纪或组织处理；给发包人单位造成经济损失的，应予以赔偿；情节严重的，发包人建议交通运输主管部门给予承包人一至三年内不得进入其主管的公路</w:t>
      </w:r>
      <w:r>
        <w:rPr>
          <w:rFonts w:hint="eastAsia" w:ascii="宋体" w:hAnsi="宋体" w:eastAsia="宋体" w:cs="宋体"/>
          <w:sz w:val="24"/>
          <w:highlight w:val="none"/>
        </w:rPr>
        <w:t>建设市场的处罚。</w:t>
      </w:r>
    </w:p>
    <w:p w14:paraId="7F09A6F5">
      <w:pPr>
        <w:pStyle w:val="29"/>
        <w:numPr>
          <w:ilvl w:val="0"/>
          <w:numId w:val="42"/>
        </w:numPr>
        <w:tabs>
          <w:tab w:val="left" w:pos="1164"/>
        </w:tabs>
        <w:spacing w:before="2" w:line="312" w:lineRule="auto"/>
        <w:ind w:left="384" w:right="466" w:firstLine="480"/>
        <w:jc w:val="both"/>
        <w:rPr>
          <w:rFonts w:hint="eastAsia" w:ascii="宋体" w:hAnsi="宋体" w:eastAsia="宋体" w:cs="宋体"/>
          <w:sz w:val="24"/>
          <w:highlight w:val="none"/>
        </w:rPr>
      </w:pPr>
      <w:r>
        <w:rPr>
          <w:rFonts w:hint="eastAsia" w:ascii="宋体" w:hAnsi="宋体" w:eastAsia="宋体" w:cs="宋体"/>
          <w:spacing w:val="-5"/>
          <w:sz w:val="24"/>
          <w:highlight w:val="none"/>
        </w:rPr>
        <w:t>双方约定：本合同由双方或双方上级单位的纪检监察部门负责监督执行。由</w:t>
      </w:r>
      <w:r>
        <w:rPr>
          <w:rFonts w:hint="eastAsia" w:ascii="宋体" w:hAnsi="宋体" w:eastAsia="宋体" w:cs="宋体"/>
          <w:spacing w:val="-1"/>
          <w:sz w:val="24"/>
          <w:highlight w:val="none"/>
        </w:rPr>
        <w:t>发包人或发包人上级单位的纪检监察部门约请承包人或承包人上级单位纪检监察部</w:t>
      </w:r>
      <w:r>
        <w:rPr>
          <w:rFonts w:hint="eastAsia" w:ascii="宋体" w:hAnsi="宋体" w:eastAsia="宋体" w:cs="宋体"/>
          <w:sz w:val="24"/>
          <w:highlight w:val="none"/>
        </w:rPr>
        <w:t>门对本合同执行情况进行检查，提出在本合同规定范围内的裁定意见。</w:t>
      </w:r>
    </w:p>
    <w:p w14:paraId="169CA6EF">
      <w:pPr>
        <w:pStyle w:val="29"/>
        <w:numPr>
          <w:ilvl w:val="0"/>
          <w:numId w:val="42"/>
        </w:numPr>
        <w:tabs>
          <w:tab w:val="left" w:pos="1164"/>
        </w:tabs>
        <w:spacing w:before="1"/>
        <w:jc w:val="both"/>
        <w:rPr>
          <w:rFonts w:hint="eastAsia" w:ascii="宋体" w:hAnsi="宋体" w:eastAsia="宋体" w:cs="宋体"/>
          <w:sz w:val="24"/>
          <w:highlight w:val="none"/>
        </w:rPr>
      </w:pPr>
      <w:r>
        <w:rPr>
          <w:rFonts w:hint="eastAsia" w:ascii="宋体" w:hAnsi="宋体" w:eastAsia="宋体" w:cs="宋体"/>
          <w:sz w:val="24"/>
          <w:highlight w:val="none"/>
        </w:rPr>
        <w:t>本合同有效期为发包人和承包人签署之日起至该工程项目竣工验收后止。</w:t>
      </w:r>
    </w:p>
    <w:p w14:paraId="557ABF3B">
      <w:pPr>
        <w:pStyle w:val="29"/>
        <w:numPr>
          <w:ilvl w:val="0"/>
          <w:numId w:val="42"/>
        </w:numPr>
        <w:tabs>
          <w:tab w:val="left" w:pos="1164"/>
          <w:tab w:val="left" w:pos="3436"/>
        </w:tabs>
        <w:spacing w:before="91" w:line="312" w:lineRule="auto"/>
        <w:ind w:left="384" w:right="466" w:firstLine="480"/>
        <w:jc w:val="both"/>
        <w:rPr>
          <w:rFonts w:hint="eastAsia" w:ascii="宋体" w:hAnsi="宋体" w:eastAsia="宋体" w:cs="宋体"/>
          <w:sz w:val="24"/>
          <w:highlight w:val="none"/>
        </w:rPr>
      </w:pPr>
      <w:r>
        <w:rPr>
          <w:rFonts w:hint="eastAsia" w:ascii="宋体" w:hAnsi="宋体" w:eastAsia="宋体" w:cs="宋体"/>
          <w:sz w:val="24"/>
          <w:highlight w:val="none"/>
        </w:rPr>
        <w:t>本合同作为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（项目名称</w:t>
      </w:r>
      <w:r>
        <w:rPr>
          <w:rFonts w:hint="eastAsia" w:ascii="宋体" w:hAnsi="宋体" w:eastAsia="宋体" w:cs="宋体"/>
          <w:spacing w:val="-10"/>
          <w:sz w:val="24"/>
          <w:highlight w:val="none"/>
        </w:rPr>
        <w:t>）</w:t>
      </w:r>
      <w:r>
        <w:rPr>
          <w:rFonts w:hint="eastAsia" w:ascii="宋体" w:hAnsi="宋体" w:eastAsia="宋体" w:cs="宋体"/>
          <w:spacing w:val="-10"/>
          <w:sz w:val="24"/>
          <w:highlight w:val="none"/>
          <w:u w:val="single"/>
        </w:rPr>
        <w:t xml:space="preserve">   </w:t>
      </w:r>
      <w:r>
        <w:rPr>
          <w:rFonts w:hint="eastAsia" w:ascii="宋体" w:hAnsi="宋体" w:eastAsia="宋体" w:cs="宋体"/>
          <w:spacing w:val="41"/>
          <w:sz w:val="24"/>
          <w:highlight w:val="none"/>
        </w:rPr>
        <w:t xml:space="preserve"> </w:t>
      </w:r>
      <w:r>
        <w:rPr>
          <w:rFonts w:hint="eastAsia" w:ascii="宋体" w:hAnsi="宋体" w:eastAsia="宋体" w:cs="宋体"/>
          <w:sz w:val="24"/>
          <w:highlight w:val="none"/>
        </w:rPr>
        <w:t>标段施工合同的附件</w:t>
      </w:r>
      <w:r>
        <w:rPr>
          <w:rFonts w:hint="eastAsia" w:ascii="宋体" w:hAnsi="宋体" w:eastAsia="宋体" w:cs="宋体"/>
          <w:spacing w:val="-10"/>
          <w:sz w:val="24"/>
          <w:highlight w:val="none"/>
        </w:rPr>
        <w:t>，</w:t>
      </w:r>
      <w:r>
        <w:rPr>
          <w:rFonts w:hint="eastAsia" w:ascii="宋体" w:hAnsi="宋体" w:eastAsia="宋体" w:cs="宋体"/>
          <w:sz w:val="24"/>
          <w:highlight w:val="none"/>
        </w:rPr>
        <w:t>与工程施</w:t>
      </w:r>
      <w:r>
        <w:rPr>
          <w:rFonts w:hint="eastAsia" w:ascii="宋体" w:hAnsi="宋体" w:eastAsia="宋体" w:cs="宋体"/>
          <w:spacing w:val="-17"/>
          <w:sz w:val="24"/>
          <w:highlight w:val="none"/>
        </w:rPr>
        <w:t>工</w:t>
      </w:r>
      <w:r>
        <w:rPr>
          <w:rFonts w:hint="eastAsia" w:ascii="宋体" w:hAnsi="宋体" w:eastAsia="宋体" w:cs="宋体"/>
          <w:sz w:val="24"/>
          <w:highlight w:val="none"/>
        </w:rPr>
        <w:t>合同具有同等的法律效力，经合同双方签署后立即生效。</w:t>
      </w:r>
    </w:p>
    <w:p w14:paraId="637AC0BC">
      <w:pPr>
        <w:pStyle w:val="29"/>
        <w:numPr>
          <w:ilvl w:val="0"/>
          <w:numId w:val="42"/>
        </w:numPr>
        <w:tabs>
          <w:tab w:val="left" w:pos="1164"/>
        </w:tabs>
        <w:spacing w:before="2" w:line="312" w:lineRule="auto"/>
        <w:ind w:left="384" w:right="466" w:firstLine="480"/>
        <w:jc w:val="both"/>
        <w:rPr>
          <w:rFonts w:hint="eastAsia" w:ascii="宋体" w:hAnsi="宋体" w:eastAsia="宋体" w:cs="宋体"/>
          <w:sz w:val="24"/>
          <w:highlight w:val="none"/>
        </w:rPr>
      </w:pPr>
      <w:r>
        <w:rPr>
          <w:rFonts w:hint="eastAsia" w:ascii="宋体" w:hAnsi="宋体" w:eastAsia="宋体" w:cs="宋体"/>
          <w:spacing w:val="-4"/>
          <w:sz w:val="24"/>
          <w:highlight w:val="none"/>
        </w:rPr>
        <w:t>本合同一式四份，由发包人和承包人各执一份，送交发包人和承包人的监督</w:t>
      </w:r>
      <w:r>
        <w:rPr>
          <w:rFonts w:hint="eastAsia" w:ascii="宋体" w:hAnsi="宋体" w:eastAsia="宋体" w:cs="宋体"/>
          <w:sz w:val="24"/>
          <w:highlight w:val="none"/>
        </w:rPr>
        <w:t>单位各一份。</w:t>
      </w:r>
    </w:p>
    <w:p w14:paraId="61784463">
      <w:pPr>
        <w:pStyle w:val="10"/>
        <w:spacing w:before="12"/>
        <w:rPr>
          <w:rFonts w:hint="eastAsia" w:ascii="宋体" w:hAnsi="宋体" w:eastAsia="宋体" w:cs="宋体"/>
          <w:sz w:val="32"/>
          <w:highlight w:val="none"/>
        </w:rPr>
      </w:pPr>
    </w:p>
    <w:p w14:paraId="259447A0">
      <w:pPr>
        <w:pStyle w:val="10"/>
        <w:tabs>
          <w:tab w:val="left" w:pos="3110"/>
          <w:tab w:val="left" w:pos="5133"/>
          <w:tab w:val="left" w:pos="7739"/>
          <w:tab w:val="left" w:pos="8219"/>
        </w:tabs>
        <w:spacing w:line="343" w:lineRule="auto"/>
        <w:ind w:left="384" w:right="346"/>
        <w:rPr>
          <w:rFonts w:hint="eastAsia" w:ascii="宋体" w:hAnsi="宋体" w:eastAsia="宋体" w:cs="宋体"/>
          <w:highlight w:val="none"/>
        </w:rPr>
      </w:pPr>
      <w:r>
        <w:rPr>
          <w:rFonts w:hint="eastAsia" w:ascii="宋体" w:hAnsi="宋体" w:eastAsia="宋体" w:cs="宋体"/>
          <w:highlight w:val="none"/>
        </w:rPr>
        <w:t>发包人</w:t>
      </w:r>
      <w:r>
        <w:rPr>
          <w:rFonts w:hint="eastAsia" w:ascii="宋体" w:hAnsi="宋体" w:eastAsia="宋体" w:cs="宋体"/>
          <w:spacing w:val="-17"/>
          <w:highlight w:val="none"/>
        </w:rPr>
        <w:t>：</w:t>
      </w:r>
      <w:r>
        <w:rPr>
          <w:rFonts w:hint="eastAsia" w:ascii="宋体" w:hAnsi="宋体" w:eastAsia="宋体" w:cs="宋体"/>
          <w:spacing w:val="-17"/>
          <w:highlight w:val="none"/>
          <w:u w:val="single"/>
        </w:rPr>
        <w:t xml:space="preserve"> </w:t>
      </w:r>
      <w:r>
        <w:rPr>
          <w:rFonts w:hint="eastAsia" w:ascii="宋体" w:hAnsi="宋体" w:eastAsia="宋体" w:cs="宋体"/>
          <w:spacing w:val="-17"/>
          <w:highlight w:val="none"/>
          <w:u w:val="single"/>
        </w:rPr>
        <w:tab/>
      </w:r>
      <w:r>
        <w:rPr>
          <w:rFonts w:hint="eastAsia" w:ascii="宋体" w:hAnsi="宋体" w:eastAsia="宋体" w:cs="宋体"/>
          <w:highlight w:val="none"/>
        </w:rPr>
        <w:t>（盖单位章）</w:t>
      </w:r>
      <w:r>
        <w:rPr>
          <w:rFonts w:hint="eastAsia" w:ascii="宋体" w:hAnsi="宋体" w:eastAsia="宋体" w:cs="宋体"/>
          <w:highlight w:val="none"/>
        </w:rPr>
        <w:tab/>
      </w:r>
      <w:r>
        <w:rPr>
          <w:rFonts w:hint="eastAsia" w:ascii="宋体" w:hAnsi="宋体" w:eastAsia="宋体" w:cs="宋体"/>
          <w:highlight w:val="none"/>
        </w:rPr>
        <w:t>承包人</w:t>
      </w:r>
      <w:r>
        <w:rPr>
          <w:rFonts w:hint="eastAsia" w:ascii="宋体" w:hAnsi="宋体" w:eastAsia="宋体" w:cs="宋体"/>
          <w:spacing w:val="-18"/>
          <w:highlight w:val="none"/>
        </w:rPr>
        <w:t>：</w:t>
      </w:r>
      <w:r>
        <w:rPr>
          <w:rFonts w:hint="eastAsia" w:ascii="宋体" w:hAnsi="宋体" w:eastAsia="宋体" w:cs="宋体"/>
          <w:spacing w:val="-18"/>
          <w:highlight w:val="none"/>
          <w:u w:val="single"/>
        </w:rPr>
        <w:t xml:space="preserve"> </w:t>
      </w:r>
      <w:r>
        <w:rPr>
          <w:rFonts w:hint="eastAsia" w:ascii="宋体" w:hAnsi="宋体" w:eastAsia="宋体" w:cs="宋体"/>
          <w:spacing w:val="-18"/>
          <w:highlight w:val="none"/>
          <w:u w:val="single"/>
        </w:rPr>
        <w:tab/>
      </w:r>
      <w:r>
        <w:rPr>
          <w:rFonts w:hint="eastAsia" w:ascii="宋体" w:hAnsi="宋体" w:eastAsia="宋体" w:cs="宋体"/>
          <w:highlight w:val="none"/>
        </w:rPr>
        <w:t>（盖单位章</w:t>
      </w:r>
      <w:r>
        <w:rPr>
          <w:rFonts w:hint="eastAsia" w:ascii="宋体" w:hAnsi="宋体" w:eastAsia="宋体" w:cs="宋体"/>
          <w:spacing w:val="-18"/>
          <w:highlight w:val="none"/>
        </w:rPr>
        <w:t xml:space="preserve">） </w:t>
      </w:r>
      <w:r>
        <w:rPr>
          <w:rFonts w:hint="eastAsia" w:ascii="宋体" w:hAnsi="宋体" w:eastAsia="宋体" w:cs="宋体"/>
          <w:highlight w:val="none"/>
        </w:rPr>
        <w:t>法定代表人或其委托代理人：</w:t>
      </w:r>
      <w:r>
        <w:rPr>
          <w:rFonts w:hint="eastAsia" w:ascii="宋体" w:hAnsi="宋体" w:eastAsia="宋体" w:cs="宋体"/>
          <w:spacing w:val="38"/>
          <w:highlight w:val="none"/>
        </w:rPr>
        <w:t xml:space="preserve"> </w:t>
      </w:r>
      <w:r>
        <w:rPr>
          <w:rFonts w:hint="eastAsia" w:ascii="宋体" w:hAnsi="宋体" w:eastAsia="宋体" w:cs="宋体"/>
          <w:highlight w:val="none"/>
          <w:u w:val="single"/>
        </w:rPr>
        <w:t>（</w:t>
      </w:r>
      <w:r>
        <w:rPr>
          <w:rFonts w:hint="eastAsia" w:ascii="宋体" w:hAnsi="宋体" w:eastAsia="宋体" w:cs="宋体"/>
          <w:highlight w:val="none"/>
        </w:rPr>
        <w:t>签字）</w:t>
      </w:r>
      <w:r>
        <w:rPr>
          <w:rFonts w:hint="eastAsia" w:ascii="宋体" w:hAnsi="宋体" w:eastAsia="宋体" w:cs="宋体"/>
          <w:spacing w:val="79"/>
          <w:highlight w:val="none"/>
        </w:rPr>
        <w:t xml:space="preserve"> </w:t>
      </w:r>
      <w:r>
        <w:rPr>
          <w:rFonts w:hint="eastAsia" w:ascii="宋体" w:hAnsi="宋体" w:eastAsia="宋体" w:cs="宋体"/>
          <w:highlight w:val="none"/>
        </w:rPr>
        <w:t>法定代表人或其委托代理人：</w:t>
      </w:r>
      <w:r>
        <w:rPr>
          <w:rFonts w:hint="eastAsia" w:ascii="宋体" w:hAnsi="宋体" w:eastAsia="宋体" w:cs="宋体"/>
          <w:highlight w:val="none"/>
        </w:rPr>
        <w:tab/>
      </w:r>
      <w:r>
        <w:rPr>
          <w:rFonts w:hint="eastAsia" w:ascii="宋体" w:hAnsi="宋体" w:eastAsia="宋体" w:cs="宋体"/>
          <w:highlight w:val="none"/>
        </w:rPr>
        <w:t>（签字</w:t>
      </w:r>
      <w:r>
        <w:rPr>
          <w:rFonts w:hint="eastAsia" w:ascii="宋体" w:hAnsi="宋体" w:eastAsia="宋体" w:cs="宋体"/>
          <w:spacing w:val="-18"/>
          <w:highlight w:val="none"/>
        </w:rPr>
        <w:t>）</w:t>
      </w:r>
    </w:p>
    <w:p w14:paraId="209475E1">
      <w:pPr>
        <w:pStyle w:val="10"/>
        <w:tabs>
          <w:tab w:val="left" w:pos="2303"/>
          <w:tab w:val="left" w:pos="3143"/>
          <w:tab w:val="left" w:pos="3983"/>
          <w:tab w:val="left" w:pos="4948"/>
          <w:tab w:val="left" w:pos="5903"/>
          <w:tab w:val="left" w:pos="6983"/>
          <w:tab w:val="left" w:pos="7823"/>
          <w:tab w:val="left" w:pos="8663"/>
        </w:tabs>
        <w:spacing w:before="1" w:line="669" w:lineRule="auto"/>
        <w:ind w:left="384" w:right="346" w:firstLine="840"/>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 发包人监督单位</w:t>
      </w:r>
      <w:r>
        <w:rPr>
          <w:rFonts w:hint="eastAsia" w:ascii="宋体" w:hAnsi="宋体" w:eastAsia="宋体" w:cs="宋体"/>
          <w:spacing w:val="-23"/>
          <w:highlight w:val="none"/>
        </w:rPr>
        <w:t>：</w:t>
      </w:r>
      <w:r>
        <w:rPr>
          <w:rFonts w:hint="eastAsia" w:ascii="宋体" w:hAnsi="宋体" w:eastAsia="宋体" w:cs="宋体"/>
          <w:spacing w:val="-23"/>
          <w:highlight w:val="none"/>
          <w:u w:val="single"/>
        </w:rPr>
        <w:t>（</w:t>
      </w:r>
      <w:r>
        <w:rPr>
          <w:rFonts w:hint="eastAsia" w:ascii="宋体" w:hAnsi="宋体" w:eastAsia="宋体" w:cs="宋体"/>
          <w:highlight w:val="none"/>
          <w:u w:val="single"/>
        </w:rPr>
        <w:t>全称</w:t>
      </w:r>
      <w:r>
        <w:rPr>
          <w:rFonts w:hint="eastAsia" w:ascii="宋体" w:hAnsi="宋体" w:eastAsia="宋体" w:cs="宋体"/>
          <w:spacing w:val="-23"/>
          <w:highlight w:val="none"/>
          <w:u w:val="single"/>
        </w:rPr>
        <w:t>）（</w:t>
      </w:r>
      <w:r>
        <w:rPr>
          <w:rFonts w:hint="eastAsia" w:ascii="宋体" w:hAnsi="宋体" w:eastAsia="宋体" w:cs="宋体"/>
          <w:highlight w:val="none"/>
          <w:u w:val="single"/>
        </w:rPr>
        <w:t>盖单位章）</w:t>
      </w:r>
      <w:r>
        <w:rPr>
          <w:rFonts w:hint="eastAsia" w:ascii="宋体" w:hAnsi="宋体" w:eastAsia="宋体" w:cs="宋体"/>
          <w:highlight w:val="none"/>
        </w:rPr>
        <w:tab/>
      </w:r>
      <w:r>
        <w:rPr>
          <w:rFonts w:hint="eastAsia" w:ascii="宋体" w:hAnsi="宋体" w:eastAsia="宋体" w:cs="宋体"/>
          <w:highlight w:val="none"/>
        </w:rPr>
        <w:t>承包人监督单位</w:t>
      </w:r>
      <w:r>
        <w:rPr>
          <w:rFonts w:hint="eastAsia" w:ascii="宋体" w:hAnsi="宋体" w:eastAsia="宋体" w:cs="宋体"/>
          <w:spacing w:val="-24"/>
          <w:highlight w:val="none"/>
        </w:rPr>
        <w:t>：</w:t>
      </w:r>
      <w:r>
        <w:rPr>
          <w:rFonts w:hint="eastAsia" w:ascii="宋体" w:hAnsi="宋体" w:eastAsia="宋体" w:cs="宋体"/>
          <w:spacing w:val="-24"/>
          <w:highlight w:val="none"/>
          <w:u w:val="single"/>
        </w:rPr>
        <w:t>（</w:t>
      </w:r>
      <w:r>
        <w:rPr>
          <w:rFonts w:hint="eastAsia" w:ascii="宋体" w:hAnsi="宋体" w:eastAsia="宋体" w:cs="宋体"/>
          <w:highlight w:val="none"/>
          <w:u w:val="single"/>
        </w:rPr>
        <w:t>全称</w:t>
      </w:r>
      <w:r>
        <w:rPr>
          <w:rFonts w:hint="eastAsia" w:ascii="宋体" w:hAnsi="宋体" w:eastAsia="宋体" w:cs="宋体"/>
          <w:spacing w:val="-22"/>
          <w:highlight w:val="none"/>
          <w:u w:val="single"/>
        </w:rPr>
        <w:t>）（</w:t>
      </w:r>
      <w:r>
        <w:rPr>
          <w:rFonts w:hint="eastAsia" w:ascii="宋体" w:hAnsi="宋体" w:eastAsia="宋体" w:cs="宋体"/>
          <w:highlight w:val="none"/>
          <w:u w:val="single"/>
        </w:rPr>
        <w:t>盖单位章</w:t>
      </w:r>
      <w:r>
        <w:rPr>
          <w:rFonts w:hint="eastAsia" w:ascii="宋体" w:hAnsi="宋体" w:eastAsia="宋体" w:cs="宋体"/>
          <w:spacing w:val="-16"/>
          <w:highlight w:val="none"/>
          <w:u w:val="single"/>
        </w:rPr>
        <w:t>）</w:t>
      </w:r>
    </w:p>
    <w:p w14:paraId="0F53B436">
      <w:pPr>
        <w:spacing w:line="669" w:lineRule="auto"/>
        <w:rPr>
          <w:rFonts w:hint="eastAsia" w:ascii="宋体" w:hAnsi="宋体" w:eastAsia="宋体" w:cs="宋体"/>
          <w:highlight w:val="none"/>
        </w:rPr>
        <w:sectPr>
          <w:pgSz w:w="11910" w:h="16840"/>
          <w:pgMar w:top="1360" w:right="1120" w:bottom="1080" w:left="1260" w:header="882" w:footer="880" w:gutter="0"/>
          <w:cols w:space="720" w:num="1"/>
        </w:sectPr>
      </w:pPr>
    </w:p>
    <w:p w14:paraId="13EB5C41">
      <w:pPr>
        <w:pStyle w:val="10"/>
        <w:spacing w:before="10"/>
        <w:rPr>
          <w:rFonts w:hint="eastAsia" w:ascii="宋体" w:hAnsi="宋体" w:eastAsia="宋体" w:cs="宋体"/>
          <w:sz w:val="17"/>
          <w:highlight w:val="none"/>
        </w:rPr>
      </w:pPr>
    </w:p>
    <w:p w14:paraId="3B77DD42">
      <w:pPr>
        <w:rPr>
          <w:rFonts w:hint="eastAsia" w:ascii="宋体" w:hAnsi="宋体" w:eastAsia="宋体" w:cs="宋体"/>
          <w:sz w:val="17"/>
          <w:highlight w:val="none"/>
        </w:rPr>
        <w:sectPr>
          <w:pgSz w:w="11910" w:h="16840"/>
          <w:pgMar w:top="1360" w:right="1120" w:bottom="1080" w:left="1260" w:header="882" w:footer="880" w:gutter="0"/>
          <w:cols w:space="720" w:num="1"/>
        </w:sectPr>
      </w:pPr>
    </w:p>
    <w:p w14:paraId="756BFEE0">
      <w:pPr>
        <w:pStyle w:val="10"/>
        <w:spacing w:before="67"/>
        <w:ind w:left="583"/>
        <w:rPr>
          <w:rFonts w:hint="eastAsia" w:ascii="宋体" w:hAnsi="宋体" w:eastAsia="宋体" w:cs="宋体"/>
          <w:highlight w:val="none"/>
        </w:rPr>
      </w:pPr>
      <w:bookmarkStart w:id="80" w:name="附件三_安全生产合同"/>
      <w:bookmarkEnd w:id="80"/>
      <w:r>
        <w:rPr>
          <w:rFonts w:hint="eastAsia" w:ascii="宋体" w:hAnsi="宋体" w:eastAsia="宋体" w:cs="宋体"/>
          <w:highlight w:val="none"/>
        </w:rPr>
        <w:t>附件三 安全生产合同</w:t>
      </w:r>
    </w:p>
    <w:p w14:paraId="7FC3B9F6">
      <w:pPr>
        <w:pStyle w:val="10"/>
        <w:spacing w:before="8"/>
        <w:rPr>
          <w:rFonts w:hint="eastAsia" w:ascii="宋体" w:hAnsi="宋体" w:eastAsia="宋体" w:cs="宋体"/>
          <w:sz w:val="31"/>
          <w:highlight w:val="none"/>
        </w:rPr>
      </w:pPr>
      <w:r>
        <w:rPr>
          <w:rFonts w:hint="eastAsia" w:ascii="宋体" w:hAnsi="宋体" w:eastAsia="宋体" w:cs="宋体"/>
          <w:highlight w:val="none"/>
        </w:rPr>
        <w:br w:type="column"/>
      </w:r>
    </w:p>
    <w:p w14:paraId="6C675111">
      <w:pPr>
        <w:spacing w:before="1"/>
        <w:ind w:left="583"/>
        <w:rPr>
          <w:rFonts w:hint="eastAsia" w:ascii="宋体" w:hAnsi="宋体" w:eastAsia="宋体" w:cs="宋体"/>
          <w:sz w:val="28"/>
          <w:highlight w:val="none"/>
        </w:rPr>
      </w:pPr>
      <w:r>
        <w:rPr>
          <w:rFonts w:hint="eastAsia" w:ascii="宋体" w:hAnsi="宋体" w:eastAsia="宋体" w:cs="宋体"/>
          <w:sz w:val="28"/>
          <w:highlight w:val="none"/>
        </w:rPr>
        <w:t>安全生产合同</w:t>
      </w:r>
    </w:p>
    <w:p w14:paraId="5D600E76">
      <w:pPr>
        <w:rPr>
          <w:rFonts w:hint="eastAsia" w:ascii="宋体" w:hAnsi="宋体" w:eastAsia="宋体" w:cs="宋体"/>
          <w:sz w:val="28"/>
          <w:highlight w:val="none"/>
        </w:rPr>
        <w:sectPr>
          <w:type w:val="continuous"/>
          <w:pgSz w:w="11910" w:h="16840"/>
          <w:pgMar w:top="1580" w:right="1120" w:bottom="280" w:left="1260" w:header="720" w:footer="720" w:gutter="0"/>
          <w:cols w:equalWidth="0" w:num="2">
            <w:col w:w="2904" w:space="509"/>
            <w:col w:w="6117"/>
          </w:cols>
        </w:sectPr>
      </w:pPr>
    </w:p>
    <w:p w14:paraId="7D7B9533">
      <w:pPr>
        <w:pStyle w:val="10"/>
        <w:rPr>
          <w:rFonts w:hint="eastAsia" w:ascii="宋体" w:hAnsi="宋体" w:eastAsia="宋体" w:cs="宋体"/>
          <w:sz w:val="20"/>
          <w:highlight w:val="none"/>
        </w:rPr>
      </w:pPr>
    </w:p>
    <w:p w14:paraId="72BE93D2">
      <w:pPr>
        <w:pStyle w:val="10"/>
        <w:tabs>
          <w:tab w:val="left" w:pos="2915"/>
          <w:tab w:val="left" w:pos="6086"/>
          <w:tab w:val="left" w:pos="8579"/>
        </w:tabs>
        <w:spacing w:before="214" w:line="304" w:lineRule="auto"/>
        <w:ind w:left="384" w:right="462" w:firstLine="480"/>
        <w:jc w:val="both"/>
        <w:rPr>
          <w:rFonts w:hint="eastAsia" w:ascii="宋体" w:hAnsi="宋体" w:eastAsia="宋体" w:cs="宋体"/>
          <w:highlight w:val="none"/>
        </w:rPr>
      </w:pPr>
      <w:r>
        <w:rPr>
          <w:rFonts w:hint="eastAsia" w:ascii="宋体" w:hAnsi="宋体" w:eastAsia="宋体" w:cs="宋体"/>
          <w:highlight w:val="none"/>
        </w:rPr>
        <w:t>为在</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（项目名称）</w:t>
      </w:r>
      <w:r>
        <w:rPr>
          <w:rFonts w:hint="eastAsia" w:ascii="宋体" w:hAnsi="宋体" w:eastAsia="宋体" w:cs="宋体"/>
          <w:highlight w:val="none"/>
          <w:u w:val="single"/>
        </w:rPr>
        <w:t xml:space="preserve">   </w:t>
      </w:r>
      <w:r>
        <w:rPr>
          <w:rFonts w:hint="eastAsia" w:ascii="宋体" w:hAnsi="宋体" w:eastAsia="宋体" w:cs="宋体"/>
          <w:spacing w:val="19"/>
          <w:highlight w:val="none"/>
          <w:u w:val="single"/>
        </w:rPr>
        <w:t xml:space="preserve"> </w:t>
      </w:r>
      <w:r>
        <w:rPr>
          <w:rFonts w:hint="eastAsia" w:ascii="宋体" w:hAnsi="宋体" w:eastAsia="宋体" w:cs="宋体"/>
          <w:highlight w:val="none"/>
        </w:rPr>
        <w:t>标段施工合同的实施过程中创造安全</w:t>
      </w:r>
      <w:r>
        <w:rPr>
          <w:rFonts w:hint="eastAsia" w:ascii="宋体" w:hAnsi="宋体" w:eastAsia="宋体" w:cs="宋体"/>
          <w:spacing w:val="-10"/>
          <w:highlight w:val="none"/>
        </w:rPr>
        <w:t>、</w:t>
      </w:r>
      <w:r>
        <w:rPr>
          <w:rFonts w:hint="eastAsia" w:ascii="宋体" w:hAnsi="宋体" w:eastAsia="宋体" w:cs="宋体"/>
          <w:highlight w:val="none"/>
        </w:rPr>
        <w:t>高效的施工环境</w:t>
      </w:r>
      <w:r>
        <w:rPr>
          <w:rFonts w:hint="eastAsia" w:ascii="宋体" w:hAnsi="宋体" w:eastAsia="宋体" w:cs="宋体"/>
          <w:spacing w:val="-29"/>
          <w:highlight w:val="none"/>
        </w:rPr>
        <w:t>，</w:t>
      </w:r>
      <w:r>
        <w:rPr>
          <w:rFonts w:hint="eastAsia" w:ascii="宋体" w:hAnsi="宋体" w:eastAsia="宋体" w:cs="宋体"/>
          <w:highlight w:val="none"/>
        </w:rPr>
        <w:t>切实搞好本项目的安全管理工作</w:t>
      </w:r>
      <w:r>
        <w:rPr>
          <w:rFonts w:hint="eastAsia" w:ascii="宋体" w:hAnsi="宋体" w:eastAsia="宋体" w:cs="宋体"/>
          <w:spacing w:val="-27"/>
          <w:highlight w:val="none"/>
        </w:rPr>
        <w:t>，</w:t>
      </w:r>
      <w:r>
        <w:rPr>
          <w:rFonts w:hint="eastAsia" w:ascii="宋体" w:hAnsi="宋体" w:eastAsia="宋体" w:cs="宋体"/>
          <w:highlight w:val="none"/>
        </w:rPr>
        <w:t>本项目发包人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w:t>
      </w:r>
      <w:r>
        <w:rPr>
          <w:rFonts w:hint="eastAsia" w:ascii="宋体" w:hAnsi="宋体" w:eastAsia="宋体" w:cs="宋体"/>
          <w:spacing w:val="-14"/>
          <w:highlight w:val="none"/>
        </w:rPr>
        <w:t>发</w:t>
      </w:r>
      <w:r>
        <w:rPr>
          <w:rFonts w:hint="eastAsia" w:ascii="宋体" w:hAnsi="宋体" w:eastAsia="宋体" w:cs="宋体"/>
          <w:highlight w:val="none"/>
        </w:rPr>
        <w:t>包人名称</w:t>
      </w:r>
      <w:r>
        <w:rPr>
          <w:rFonts w:hint="eastAsia" w:ascii="宋体" w:hAnsi="宋体" w:eastAsia="宋体" w:cs="宋体"/>
          <w:spacing w:val="-12"/>
          <w:highlight w:val="none"/>
        </w:rPr>
        <w:t>，</w:t>
      </w:r>
      <w:r>
        <w:rPr>
          <w:rFonts w:hint="eastAsia" w:ascii="宋体" w:hAnsi="宋体" w:eastAsia="宋体" w:cs="宋体"/>
          <w:highlight w:val="none"/>
        </w:rPr>
        <w:t>以下简称“发包人</w:t>
      </w:r>
      <w:r>
        <w:rPr>
          <w:rFonts w:hint="eastAsia" w:ascii="宋体" w:hAnsi="宋体" w:eastAsia="宋体" w:cs="宋体"/>
          <w:spacing w:val="-6"/>
          <w:highlight w:val="none"/>
        </w:rPr>
        <w:t>”）</w:t>
      </w:r>
      <w:r>
        <w:rPr>
          <w:rFonts w:hint="eastAsia" w:ascii="宋体" w:hAnsi="宋体" w:eastAsia="宋体" w:cs="宋体"/>
          <w:highlight w:val="none"/>
        </w:rPr>
        <w:t>与承包人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（承包人名称</w:t>
      </w:r>
      <w:r>
        <w:rPr>
          <w:rFonts w:hint="eastAsia" w:ascii="宋体" w:hAnsi="宋体" w:eastAsia="宋体" w:cs="宋体"/>
          <w:spacing w:val="-10"/>
          <w:highlight w:val="none"/>
        </w:rPr>
        <w:t>，</w:t>
      </w:r>
      <w:r>
        <w:rPr>
          <w:rFonts w:hint="eastAsia" w:ascii="宋体" w:hAnsi="宋体" w:eastAsia="宋体" w:cs="宋体"/>
          <w:highlight w:val="none"/>
        </w:rPr>
        <w:t>以下简称“</w:t>
      </w:r>
      <w:r>
        <w:rPr>
          <w:rFonts w:hint="eastAsia" w:ascii="宋体" w:hAnsi="宋体" w:eastAsia="宋体" w:cs="宋体"/>
          <w:spacing w:val="-17"/>
          <w:highlight w:val="none"/>
        </w:rPr>
        <w:t>承</w:t>
      </w:r>
      <w:r>
        <w:rPr>
          <w:rFonts w:hint="eastAsia" w:ascii="宋体" w:hAnsi="宋体" w:eastAsia="宋体" w:cs="宋体"/>
          <w:highlight w:val="none"/>
        </w:rPr>
        <w:t>包人”）特此签订安全生产合同。</w:t>
      </w:r>
    </w:p>
    <w:p w14:paraId="0FC92EC7">
      <w:pPr>
        <w:pStyle w:val="29"/>
        <w:numPr>
          <w:ilvl w:val="0"/>
          <w:numId w:val="47"/>
        </w:numPr>
        <w:tabs>
          <w:tab w:val="left" w:pos="1045"/>
        </w:tabs>
        <w:spacing w:line="305" w:lineRule="exact"/>
        <w:rPr>
          <w:rFonts w:hint="eastAsia" w:ascii="宋体" w:hAnsi="宋体" w:eastAsia="宋体" w:cs="宋体"/>
          <w:sz w:val="24"/>
          <w:highlight w:val="none"/>
        </w:rPr>
      </w:pPr>
      <w:r>
        <w:rPr>
          <w:rFonts w:hint="eastAsia" w:ascii="宋体" w:hAnsi="宋体" w:eastAsia="宋体" w:cs="宋体"/>
          <w:sz w:val="24"/>
          <w:highlight w:val="none"/>
        </w:rPr>
        <w:t>发包人职责</w:t>
      </w:r>
    </w:p>
    <w:p w14:paraId="432ADBA9">
      <w:pPr>
        <w:pStyle w:val="29"/>
        <w:numPr>
          <w:ilvl w:val="0"/>
          <w:numId w:val="48"/>
        </w:numPr>
        <w:tabs>
          <w:tab w:val="left" w:pos="1465"/>
        </w:tabs>
        <w:spacing w:before="84" w:line="302" w:lineRule="auto"/>
        <w:ind w:right="466" w:firstLine="480"/>
        <w:rPr>
          <w:rFonts w:hint="eastAsia" w:ascii="宋体" w:hAnsi="宋体" w:eastAsia="宋体" w:cs="宋体"/>
          <w:sz w:val="24"/>
          <w:highlight w:val="none"/>
        </w:rPr>
      </w:pPr>
      <w:r>
        <w:rPr>
          <w:rFonts w:hint="eastAsia" w:ascii="宋体" w:hAnsi="宋体" w:eastAsia="宋体" w:cs="宋体"/>
          <w:spacing w:val="-3"/>
          <w:sz w:val="24"/>
          <w:highlight w:val="none"/>
        </w:rPr>
        <w:t>严格遵守国家有关安全生产的法律法规，认真执行工程承包合同中的有</w:t>
      </w:r>
      <w:r>
        <w:rPr>
          <w:rFonts w:hint="eastAsia" w:ascii="宋体" w:hAnsi="宋体" w:eastAsia="宋体" w:cs="宋体"/>
          <w:spacing w:val="-5"/>
          <w:sz w:val="24"/>
          <w:highlight w:val="none"/>
        </w:rPr>
        <w:t>关安全要求。</w:t>
      </w:r>
    </w:p>
    <w:p w14:paraId="55308834">
      <w:pPr>
        <w:pStyle w:val="29"/>
        <w:numPr>
          <w:ilvl w:val="0"/>
          <w:numId w:val="48"/>
        </w:numPr>
        <w:tabs>
          <w:tab w:val="left" w:pos="1465"/>
        </w:tabs>
        <w:spacing w:before="5" w:line="302" w:lineRule="auto"/>
        <w:ind w:right="462" w:firstLine="480"/>
        <w:rPr>
          <w:rFonts w:hint="eastAsia" w:ascii="宋体" w:hAnsi="宋体" w:eastAsia="宋体" w:cs="宋体"/>
          <w:sz w:val="24"/>
          <w:highlight w:val="none"/>
        </w:rPr>
      </w:pPr>
      <w:r>
        <w:rPr>
          <w:rFonts w:hint="eastAsia" w:ascii="宋体" w:hAnsi="宋体" w:eastAsia="宋体" w:cs="宋体"/>
          <w:sz w:val="24"/>
          <w:highlight w:val="none"/>
        </w:rPr>
        <w:t>按照“</w:t>
      </w:r>
      <w:r>
        <w:rPr>
          <w:rFonts w:hint="eastAsia" w:ascii="宋体" w:hAnsi="宋体" w:eastAsia="宋体" w:cs="宋体"/>
          <w:spacing w:val="-3"/>
          <w:sz w:val="24"/>
          <w:highlight w:val="none"/>
        </w:rPr>
        <w:t>安全第一、预防为主、综合治理</w:t>
      </w:r>
      <w:r>
        <w:rPr>
          <w:rFonts w:hint="eastAsia" w:ascii="宋体" w:hAnsi="宋体" w:eastAsia="宋体" w:cs="宋体"/>
          <w:sz w:val="24"/>
          <w:highlight w:val="none"/>
        </w:rPr>
        <w:t>”和坚持“管生产必须管安全”</w:t>
      </w:r>
      <w:r>
        <w:rPr>
          <w:rFonts w:hint="eastAsia" w:ascii="宋体" w:hAnsi="宋体" w:eastAsia="宋体" w:cs="宋体"/>
          <w:spacing w:val="-6"/>
          <w:sz w:val="24"/>
          <w:highlight w:val="none"/>
        </w:rPr>
        <w:t>的原则</w:t>
      </w:r>
      <w:r>
        <w:rPr>
          <w:rFonts w:hint="eastAsia" w:ascii="宋体" w:hAnsi="宋体" w:eastAsia="宋体" w:cs="宋体"/>
          <w:sz w:val="24"/>
          <w:highlight w:val="none"/>
        </w:rPr>
        <w:t>进行安全生产管理，做到生产与安全工作同时计划、布置、检查、总结和评比。</w:t>
      </w:r>
    </w:p>
    <w:p w14:paraId="090A1B6F">
      <w:pPr>
        <w:pStyle w:val="29"/>
        <w:numPr>
          <w:ilvl w:val="0"/>
          <w:numId w:val="48"/>
        </w:numPr>
        <w:tabs>
          <w:tab w:val="left" w:pos="1465"/>
        </w:tabs>
        <w:spacing w:before="5" w:line="302" w:lineRule="auto"/>
        <w:ind w:right="462" w:firstLine="480"/>
        <w:rPr>
          <w:rFonts w:hint="eastAsia" w:ascii="宋体" w:hAnsi="宋体" w:eastAsia="宋体" w:cs="宋体"/>
          <w:sz w:val="24"/>
          <w:highlight w:val="none"/>
        </w:rPr>
      </w:pPr>
      <w:r>
        <w:rPr>
          <w:rFonts w:hint="eastAsia" w:ascii="宋体" w:hAnsi="宋体" w:eastAsia="宋体" w:cs="宋体"/>
          <w:sz w:val="24"/>
          <w:highlight w:val="none"/>
        </w:rPr>
        <w:t>重要的安全设施必须坚持与主体工程“三同时”</w:t>
      </w:r>
      <w:r>
        <w:rPr>
          <w:rFonts w:hint="eastAsia" w:ascii="宋体" w:hAnsi="宋体" w:eastAsia="宋体" w:cs="宋体"/>
          <w:spacing w:val="-8"/>
          <w:sz w:val="24"/>
          <w:highlight w:val="none"/>
        </w:rPr>
        <w:t>的原则，即：同时设计、审</w:t>
      </w:r>
      <w:r>
        <w:rPr>
          <w:rFonts w:hint="eastAsia" w:ascii="宋体" w:hAnsi="宋体" w:eastAsia="宋体" w:cs="宋体"/>
          <w:sz w:val="24"/>
          <w:highlight w:val="none"/>
        </w:rPr>
        <w:t>批，同时施工，同时验收，投入使用。</w:t>
      </w:r>
    </w:p>
    <w:p w14:paraId="26E9E22C">
      <w:pPr>
        <w:pStyle w:val="29"/>
        <w:numPr>
          <w:ilvl w:val="0"/>
          <w:numId w:val="48"/>
        </w:numPr>
        <w:tabs>
          <w:tab w:val="left" w:pos="1465"/>
        </w:tabs>
        <w:spacing w:before="5"/>
        <w:ind w:left="1465"/>
        <w:rPr>
          <w:rFonts w:hint="eastAsia" w:ascii="宋体" w:hAnsi="宋体" w:eastAsia="宋体" w:cs="宋体"/>
          <w:sz w:val="24"/>
          <w:highlight w:val="none"/>
        </w:rPr>
      </w:pPr>
      <w:r>
        <w:rPr>
          <w:rFonts w:hint="eastAsia" w:ascii="宋体" w:hAnsi="宋体" w:eastAsia="宋体" w:cs="宋体"/>
          <w:sz w:val="24"/>
          <w:highlight w:val="none"/>
        </w:rPr>
        <w:t>定期召开安全生产调度会，及时传达中央及地方有关安全生产的精神。</w:t>
      </w:r>
    </w:p>
    <w:p w14:paraId="34D4CA23">
      <w:pPr>
        <w:pStyle w:val="29"/>
        <w:numPr>
          <w:ilvl w:val="0"/>
          <w:numId w:val="48"/>
        </w:numPr>
        <w:tabs>
          <w:tab w:val="left" w:pos="1465"/>
        </w:tabs>
        <w:spacing w:before="81" w:line="304" w:lineRule="auto"/>
        <w:ind w:right="466" w:firstLine="480"/>
        <w:rPr>
          <w:rFonts w:hint="eastAsia" w:ascii="宋体" w:hAnsi="宋体" w:eastAsia="宋体" w:cs="宋体"/>
          <w:sz w:val="24"/>
          <w:highlight w:val="none"/>
        </w:rPr>
      </w:pPr>
      <w:r>
        <w:rPr>
          <w:rFonts w:hint="eastAsia" w:ascii="宋体" w:hAnsi="宋体" w:eastAsia="宋体" w:cs="宋体"/>
          <w:spacing w:val="-3"/>
          <w:sz w:val="24"/>
          <w:highlight w:val="none"/>
        </w:rPr>
        <w:t>组织对承包人施工现场进行安全生产检查，监督承包人及时处理发现的</w:t>
      </w:r>
      <w:r>
        <w:rPr>
          <w:rFonts w:hint="eastAsia" w:ascii="宋体" w:hAnsi="宋体" w:eastAsia="宋体" w:cs="宋体"/>
          <w:spacing w:val="-5"/>
          <w:sz w:val="24"/>
          <w:highlight w:val="none"/>
        </w:rPr>
        <w:t>各种安全隐患。</w:t>
      </w:r>
    </w:p>
    <w:p w14:paraId="146453A2">
      <w:pPr>
        <w:pStyle w:val="29"/>
        <w:numPr>
          <w:ilvl w:val="0"/>
          <w:numId w:val="47"/>
        </w:numPr>
        <w:tabs>
          <w:tab w:val="left" w:pos="1045"/>
        </w:tabs>
        <w:spacing w:line="306" w:lineRule="exact"/>
        <w:rPr>
          <w:rFonts w:hint="eastAsia" w:ascii="宋体" w:hAnsi="宋体" w:eastAsia="宋体" w:cs="宋体"/>
          <w:sz w:val="24"/>
          <w:highlight w:val="none"/>
        </w:rPr>
      </w:pPr>
      <w:r>
        <w:rPr>
          <w:rFonts w:hint="eastAsia" w:ascii="宋体" w:hAnsi="宋体" w:eastAsia="宋体" w:cs="宋体"/>
          <w:sz w:val="24"/>
          <w:highlight w:val="none"/>
        </w:rPr>
        <w:t>承包人职责</w:t>
      </w:r>
    </w:p>
    <w:p w14:paraId="7A490E1D">
      <w:pPr>
        <w:pStyle w:val="29"/>
        <w:numPr>
          <w:ilvl w:val="0"/>
          <w:numId w:val="49"/>
        </w:numPr>
        <w:tabs>
          <w:tab w:val="left" w:pos="1465"/>
        </w:tabs>
        <w:spacing w:before="84" w:line="304" w:lineRule="auto"/>
        <w:ind w:right="382" w:firstLine="480"/>
        <w:rPr>
          <w:rFonts w:hint="eastAsia" w:ascii="宋体" w:hAnsi="宋体" w:eastAsia="宋体" w:cs="宋体"/>
          <w:sz w:val="24"/>
          <w:highlight w:val="none"/>
        </w:rPr>
      </w:pPr>
      <w:r>
        <w:rPr>
          <w:rFonts w:hint="eastAsia" w:ascii="宋体" w:hAnsi="宋体" w:eastAsia="宋体" w:cs="宋体"/>
          <w:spacing w:val="-1"/>
          <w:sz w:val="24"/>
          <w:highlight w:val="none"/>
        </w:rPr>
        <w:t>严格遵守《中华人民共和国安全生产法》《建设工程安全生产管理条例》</w:t>
      </w:r>
      <w:r>
        <w:rPr>
          <w:rFonts w:hint="eastAsia" w:ascii="宋体" w:hAnsi="宋体" w:eastAsia="宋体" w:cs="宋体"/>
          <w:sz w:val="24"/>
          <w:highlight w:val="none"/>
        </w:rPr>
        <w:t>等国家有关安全生产的法律法规、《公路水运工程安全生产监督管理办法》和《公路工程施工安全技术规范》等有关安全生产的规定。认真执行工程承包合同中的有关安全要求。</w:t>
      </w:r>
    </w:p>
    <w:p w14:paraId="24F9CA6B">
      <w:pPr>
        <w:pStyle w:val="29"/>
        <w:numPr>
          <w:ilvl w:val="0"/>
          <w:numId w:val="49"/>
        </w:numPr>
        <w:tabs>
          <w:tab w:val="left" w:pos="1465"/>
        </w:tabs>
        <w:spacing w:line="304" w:lineRule="auto"/>
        <w:ind w:right="466" w:firstLine="480"/>
        <w:jc w:val="both"/>
        <w:rPr>
          <w:rFonts w:hint="eastAsia" w:ascii="宋体" w:hAnsi="宋体" w:eastAsia="宋体" w:cs="宋体"/>
          <w:sz w:val="24"/>
          <w:highlight w:val="none"/>
        </w:rPr>
      </w:pPr>
      <w:r>
        <w:rPr>
          <w:rFonts w:hint="eastAsia" w:ascii="宋体" w:hAnsi="宋体" w:eastAsia="宋体" w:cs="宋体"/>
          <w:sz w:val="24"/>
          <w:highlight w:val="none"/>
        </w:rPr>
        <w:t>坚持“</w:t>
      </w:r>
      <w:r>
        <w:rPr>
          <w:rFonts w:hint="eastAsia" w:ascii="宋体" w:hAnsi="宋体" w:eastAsia="宋体" w:cs="宋体"/>
          <w:spacing w:val="-3"/>
          <w:sz w:val="24"/>
          <w:highlight w:val="none"/>
        </w:rPr>
        <w:t>安全第一、预防为主、综合治理</w:t>
      </w:r>
      <w:r>
        <w:rPr>
          <w:rFonts w:hint="eastAsia" w:ascii="宋体" w:hAnsi="宋体" w:eastAsia="宋体" w:cs="宋体"/>
          <w:sz w:val="24"/>
          <w:highlight w:val="none"/>
        </w:rPr>
        <w:t>”和“管生产必须管安全”</w:t>
      </w:r>
      <w:r>
        <w:rPr>
          <w:rFonts w:hint="eastAsia" w:ascii="宋体" w:hAnsi="宋体" w:eastAsia="宋体" w:cs="宋体"/>
          <w:spacing w:val="-6"/>
          <w:sz w:val="24"/>
          <w:highlight w:val="none"/>
        </w:rPr>
        <w:t>的原则，加</w:t>
      </w:r>
      <w:r>
        <w:rPr>
          <w:rFonts w:hint="eastAsia" w:ascii="宋体" w:hAnsi="宋体" w:eastAsia="宋体" w:cs="宋体"/>
          <w:spacing w:val="-1"/>
          <w:sz w:val="24"/>
          <w:highlight w:val="none"/>
        </w:rPr>
        <w:t>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w:t>
      </w:r>
      <w:r>
        <w:rPr>
          <w:rFonts w:hint="eastAsia" w:ascii="宋体" w:hAnsi="宋体" w:eastAsia="宋体" w:cs="宋体"/>
          <w:sz w:val="24"/>
          <w:highlight w:val="none"/>
        </w:rPr>
        <w:t>守本合同的各项规定，做到生产与安全工作同时计划、布置、检查、总结和评比。</w:t>
      </w:r>
    </w:p>
    <w:p w14:paraId="1271E7EF">
      <w:pPr>
        <w:pStyle w:val="29"/>
        <w:numPr>
          <w:ilvl w:val="0"/>
          <w:numId w:val="49"/>
        </w:numPr>
        <w:tabs>
          <w:tab w:val="left" w:pos="1465"/>
        </w:tabs>
        <w:spacing w:line="304" w:lineRule="auto"/>
        <w:ind w:right="346" w:firstLine="480"/>
        <w:rPr>
          <w:rFonts w:hint="eastAsia" w:ascii="宋体" w:hAnsi="宋体" w:eastAsia="宋体" w:cs="宋体"/>
          <w:sz w:val="24"/>
          <w:highlight w:val="none"/>
        </w:rPr>
      </w:pPr>
      <w:r>
        <w:rPr>
          <w:rFonts w:hint="eastAsia" w:ascii="宋体" w:hAnsi="宋体" w:eastAsia="宋体" w:cs="宋体"/>
          <w:spacing w:val="-4"/>
          <w:sz w:val="24"/>
          <w:highlight w:val="none"/>
        </w:rPr>
        <w:t>建立健全安全生产责任制。从派往项目实施的项目经理到生产工人</w:t>
      </w:r>
      <w:r>
        <w:rPr>
          <w:rFonts w:hint="eastAsia" w:ascii="宋体" w:hAnsi="宋体" w:eastAsia="宋体" w:cs="宋体"/>
          <w:sz w:val="24"/>
          <w:highlight w:val="none"/>
        </w:rPr>
        <w:t>（包括临时雇请的民工</w:t>
      </w:r>
      <w:r>
        <w:rPr>
          <w:rFonts w:hint="eastAsia" w:ascii="宋体" w:hAnsi="宋体" w:eastAsia="宋体" w:cs="宋体"/>
          <w:spacing w:val="-29"/>
          <w:sz w:val="24"/>
          <w:highlight w:val="none"/>
        </w:rPr>
        <w:t>）</w:t>
      </w:r>
      <w:r>
        <w:rPr>
          <w:rFonts w:hint="eastAsia" w:ascii="宋体" w:hAnsi="宋体" w:eastAsia="宋体" w:cs="宋体"/>
          <w:spacing w:val="-5"/>
          <w:sz w:val="24"/>
          <w:highlight w:val="none"/>
        </w:rPr>
        <w:t>的安全生产管理系统必须做到纵向到底，一环不漏；各职能部门、</w:t>
      </w:r>
      <w:r>
        <w:rPr>
          <w:rFonts w:hint="eastAsia" w:ascii="宋体" w:hAnsi="宋体" w:eastAsia="宋体" w:cs="宋体"/>
          <w:sz w:val="24"/>
          <w:highlight w:val="none"/>
        </w:rPr>
        <w:t>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4D271AA9">
      <w:pPr>
        <w:spacing w:line="304" w:lineRule="auto"/>
        <w:rPr>
          <w:rFonts w:hint="eastAsia" w:ascii="宋体" w:hAnsi="宋体" w:eastAsia="宋体" w:cs="宋体"/>
          <w:sz w:val="24"/>
          <w:highlight w:val="none"/>
        </w:rPr>
        <w:sectPr>
          <w:type w:val="continuous"/>
          <w:pgSz w:w="11910" w:h="16840"/>
          <w:pgMar w:top="1580" w:right="1120" w:bottom="280" w:left="1260" w:header="720" w:footer="720" w:gutter="0"/>
          <w:cols w:space="720" w:num="1"/>
        </w:sectPr>
      </w:pPr>
    </w:p>
    <w:p w14:paraId="653B66D2">
      <w:pPr>
        <w:pStyle w:val="10"/>
        <w:spacing w:before="12"/>
        <w:rPr>
          <w:rFonts w:hint="eastAsia" w:ascii="宋体" w:hAnsi="宋体" w:eastAsia="宋体" w:cs="宋体"/>
          <w:sz w:val="17"/>
          <w:highlight w:val="none"/>
        </w:rPr>
      </w:pPr>
    </w:p>
    <w:p w14:paraId="20853C3D">
      <w:pPr>
        <w:pStyle w:val="29"/>
        <w:numPr>
          <w:ilvl w:val="0"/>
          <w:numId w:val="49"/>
        </w:numPr>
        <w:tabs>
          <w:tab w:val="left" w:pos="1465"/>
        </w:tabs>
        <w:spacing w:before="74" w:line="302" w:lineRule="auto"/>
        <w:ind w:right="466" w:firstLine="480"/>
        <w:rPr>
          <w:rFonts w:hint="eastAsia" w:ascii="宋体" w:hAnsi="宋体" w:eastAsia="宋体" w:cs="宋体"/>
          <w:sz w:val="24"/>
          <w:highlight w:val="none"/>
        </w:rPr>
      </w:pPr>
      <w:bookmarkStart w:id="81" w:name="附件四_其他管理和技术人员最低要求__"/>
      <w:bookmarkEnd w:id="81"/>
      <w:r>
        <w:rPr>
          <w:rFonts w:hint="eastAsia" w:ascii="宋体" w:hAnsi="宋体" w:eastAsia="宋体" w:cs="宋体"/>
          <w:spacing w:val="-2"/>
          <w:sz w:val="24"/>
          <w:highlight w:val="none"/>
        </w:rPr>
        <w:t>承包人在任何时候都应采取各种合理的预防措施，防止其员工发生任何</w:t>
      </w:r>
      <w:r>
        <w:rPr>
          <w:rFonts w:hint="eastAsia" w:ascii="宋体" w:hAnsi="宋体" w:eastAsia="宋体" w:cs="宋体"/>
          <w:spacing w:val="-5"/>
          <w:sz w:val="24"/>
          <w:highlight w:val="none"/>
        </w:rPr>
        <w:t>违法、违禁、暴力或妨碍治安的行为。</w:t>
      </w:r>
    </w:p>
    <w:p w14:paraId="356DACCC">
      <w:pPr>
        <w:pStyle w:val="29"/>
        <w:numPr>
          <w:ilvl w:val="0"/>
          <w:numId w:val="49"/>
        </w:numPr>
        <w:tabs>
          <w:tab w:val="left" w:pos="1465"/>
        </w:tabs>
        <w:spacing w:before="5" w:line="304" w:lineRule="auto"/>
        <w:ind w:right="466" w:firstLine="480"/>
        <w:jc w:val="both"/>
        <w:rPr>
          <w:rFonts w:hint="eastAsia" w:ascii="宋体" w:hAnsi="宋体" w:eastAsia="宋体" w:cs="宋体"/>
          <w:sz w:val="24"/>
          <w:highlight w:val="none"/>
        </w:rPr>
      </w:pPr>
      <w:r>
        <w:rPr>
          <w:rFonts w:hint="eastAsia" w:ascii="宋体" w:hAnsi="宋体" w:eastAsia="宋体" w:cs="宋体"/>
          <w:spacing w:val="-2"/>
          <w:sz w:val="24"/>
          <w:highlight w:val="none"/>
        </w:rPr>
        <w:t>承包人必须具有劳动安全管理部门颁发的安全生产考核合格证书，参加</w:t>
      </w:r>
      <w:r>
        <w:rPr>
          <w:rFonts w:hint="eastAsia" w:ascii="宋体" w:hAnsi="宋体" w:eastAsia="宋体" w:cs="宋体"/>
          <w:spacing w:val="-5"/>
          <w:sz w:val="24"/>
          <w:highlight w:val="none"/>
        </w:rPr>
        <w:t>施工的人员，必须接受安全技术教育，熟知和遵守本工种的各项安全技术操作规程</w:t>
      </w:r>
      <w:r>
        <w:rPr>
          <w:rFonts w:hint="eastAsia" w:ascii="宋体" w:hAnsi="宋体" w:eastAsia="宋体" w:cs="宋体"/>
          <w:spacing w:val="-4"/>
          <w:sz w:val="24"/>
          <w:highlight w:val="none"/>
        </w:rPr>
        <w:t>，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3B894545">
      <w:pPr>
        <w:pStyle w:val="29"/>
        <w:numPr>
          <w:ilvl w:val="0"/>
          <w:numId w:val="49"/>
        </w:numPr>
        <w:tabs>
          <w:tab w:val="left" w:pos="1465"/>
        </w:tabs>
        <w:spacing w:line="304" w:lineRule="auto"/>
        <w:ind w:right="346" w:firstLine="480"/>
        <w:rPr>
          <w:rFonts w:hint="eastAsia" w:ascii="宋体" w:hAnsi="宋体" w:eastAsia="宋体" w:cs="宋体"/>
          <w:sz w:val="24"/>
          <w:highlight w:val="none"/>
        </w:rPr>
      </w:pPr>
      <w:r>
        <w:rPr>
          <w:rFonts w:hint="eastAsia" w:ascii="宋体" w:hAnsi="宋体" w:eastAsia="宋体" w:cs="宋体"/>
          <w:spacing w:val="-6"/>
          <w:sz w:val="24"/>
          <w:highlight w:val="none"/>
        </w:rPr>
        <w:t>对于易燃易爆的材料除应专门妥善保管之外，还应配备有足够的消防设施</w:t>
      </w:r>
      <w:r>
        <w:rPr>
          <w:rFonts w:hint="eastAsia" w:ascii="宋体" w:hAnsi="宋体" w:eastAsia="宋体" w:cs="宋体"/>
          <w:spacing w:val="-5"/>
          <w:sz w:val="24"/>
          <w:highlight w:val="none"/>
        </w:rPr>
        <w:t>，所有施工人员都应熟悉消防设备的性能和使用方法；承包人不得将任何种类的爆炸物给予、易货或以其他方式转让给任何其他人，或允许、容忍上述同样行为。</w:t>
      </w:r>
    </w:p>
    <w:p w14:paraId="2686A01D">
      <w:pPr>
        <w:pStyle w:val="29"/>
        <w:numPr>
          <w:ilvl w:val="0"/>
          <w:numId w:val="49"/>
        </w:numPr>
        <w:tabs>
          <w:tab w:val="left" w:pos="1465"/>
        </w:tabs>
        <w:spacing w:line="304" w:lineRule="auto"/>
        <w:ind w:right="466" w:firstLine="480"/>
        <w:rPr>
          <w:rFonts w:hint="eastAsia" w:ascii="宋体" w:hAnsi="宋体" w:eastAsia="宋体" w:cs="宋体"/>
          <w:sz w:val="24"/>
          <w:highlight w:val="none"/>
        </w:rPr>
      </w:pPr>
      <w:r>
        <w:rPr>
          <w:rFonts w:hint="eastAsia" w:ascii="宋体" w:hAnsi="宋体" w:eastAsia="宋体" w:cs="宋体"/>
          <w:spacing w:val="-7"/>
          <w:sz w:val="24"/>
          <w:highlight w:val="none"/>
        </w:rPr>
        <w:t>操作人员上岗，必须按规定穿戴防护用品。施工负责人和安全检查员应</w:t>
      </w:r>
      <w:r>
        <w:rPr>
          <w:rFonts w:hint="eastAsia" w:ascii="宋体" w:hAnsi="宋体" w:eastAsia="宋体" w:cs="宋体"/>
          <w:spacing w:val="-5"/>
          <w:sz w:val="24"/>
          <w:highlight w:val="none"/>
        </w:rPr>
        <w:t>随时检查劳动防护用品的穿戴情况，不按规定穿戴防护用品的人员不得上岗。</w:t>
      </w:r>
    </w:p>
    <w:p w14:paraId="0DA158B5">
      <w:pPr>
        <w:pStyle w:val="29"/>
        <w:numPr>
          <w:ilvl w:val="0"/>
          <w:numId w:val="49"/>
        </w:numPr>
        <w:tabs>
          <w:tab w:val="left" w:pos="1465"/>
        </w:tabs>
        <w:spacing w:line="304" w:lineRule="auto"/>
        <w:ind w:right="466" w:firstLine="480"/>
        <w:rPr>
          <w:rFonts w:hint="eastAsia" w:ascii="宋体" w:hAnsi="宋体" w:eastAsia="宋体" w:cs="宋体"/>
          <w:sz w:val="24"/>
          <w:highlight w:val="none"/>
        </w:rPr>
      </w:pPr>
      <w:r>
        <w:rPr>
          <w:rFonts w:hint="eastAsia" w:ascii="宋体" w:hAnsi="宋体" w:eastAsia="宋体" w:cs="宋体"/>
          <w:spacing w:val="-2"/>
          <w:sz w:val="24"/>
          <w:highlight w:val="none"/>
        </w:rPr>
        <w:t>所有施工机具设备和高空作业的设备均应定期检查，并有安全员的签字</w:t>
      </w:r>
      <w:r>
        <w:rPr>
          <w:rFonts w:hint="eastAsia" w:ascii="宋体" w:hAnsi="宋体" w:eastAsia="宋体" w:cs="宋体"/>
          <w:spacing w:val="-5"/>
          <w:sz w:val="24"/>
          <w:highlight w:val="none"/>
        </w:rPr>
        <w:t>记录，保证其经常处于完好状态；不合格的机具、设备和劳动保护用品严禁使用。</w:t>
      </w:r>
    </w:p>
    <w:p w14:paraId="450869DC">
      <w:pPr>
        <w:pStyle w:val="29"/>
        <w:numPr>
          <w:ilvl w:val="0"/>
          <w:numId w:val="49"/>
        </w:numPr>
        <w:tabs>
          <w:tab w:val="left" w:pos="1465"/>
        </w:tabs>
        <w:spacing w:line="304" w:lineRule="auto"/>
        <w:ind w:right="466" w:firstLine="480"/>
        <w:rPr>
          <w:rFonts w:hint="eastAsia" w:ascii="宋体" w:hAnsi="宋体" w:eastAsia="宋体" w:cs="宋体"/>
          <w:sz w:val="24"/>
          <w:highlight w:val="none"/>
        </w:rPr>
      </w:pPr>
      <w:r>
        <w:rPr>
          <w:rFonts w:hint="eastAsia" w:ascii="宋体" w:hAnsi="宋体" w:eastAsia="宋体" w:cs="宋体"/>
          <w:spacing w:val="-7"/>
          <w:sz w:val="24"/>
          <w:highlight w:val="none"/>
        </w:rPr>
        <w:t>施工中采用新技术、新工艺、新设备、新材料时，必须制定相应的安全技</w:t>
      </w:r>
      <w:r>
        <w:rPr>
          <w:rFonts w:hint="eastAsia" w:ascii="宋体" w:hAnsi="宋体" w:eastAsia="宋体" w:cs="宋体"/>
          <w:sz w:val="24"/>
          <w:highlight w:val="none"/>
        </w:rPr>
        <w:t>术措施，施工现场必须具有相关的安全标志牌。</w:t>
      </w:r>
    </w:p>
    <w:p w14:paraId="304941AA">
      <w:pPr>
        <w:pStyle w:val="29"/>
        <w:numPr>
          <w:ilvl w:val="0"/>
          <w:numId w:val="49"/>
        </w:numPr>
        <w:tabs>
          <w:tab w:val="left" w:pos="1588"/>
        </w:tabs>
        <w:spacing w:line="304" w:lineRule="auto"/>
        <w:ind w:right="465" w:firstLine="480"/>
        <w:jc w:val="both"/>
        <w:rPr>
          <w:rFonts w:hint="eastAsia" w:ascii="宋体" w:hAnsi="宋体" w:eastAsia="宋体" w:cs="宋体"/>
          <w:sz w:val="24"/>
          <w:highlight w:val="none"/>
        </w:rPr>
      </w:pPr>
      <w:r>
        <w:rPr>
          <w:rFonts w:hint="eastAsia" w:ascii="宋体" w:hAnsi="宋体" w:eastAsia="宋体" w:cs="宋体"/>
          <w:spacing w:val="-1"/>
          <w:sz w:val="24"/>
          <w:highlight w:val="none"/>
        </w:rPr>
        <w:t>承包人必须按照本工程项目特点，组织制定本工程实施中的生产安全事故应急救援预案；如果发生安全事故，应按照《国务院关于特大安全事故行政责任</w:t>
      </w:r>
      <w:r>
        <w:rPr>
          <w:rFonts w:hint="eastAsia" w:ascii="宋体" w:hAnsi="宋体" w:eastAsia="宋体" w:cs="宋体"/>
          <w:sz w:val="24"/>
          <w:highlight w:val="none"/>
        </w:rPr>
        <w:t>追究的规定》以及其他有关规定，及时上报有关部门，并坚持“四不放过”的原则， 严肃处理相关责任人。</w:t>
      </w:r>
    </w:p>
    <w:p w14:paraId="43D3F20D">
      <w:pPr>
        <w:pStyle w:val="29"/>
        <w:numPr>
          <w:ilvl w:val="0"/>
          <w:numId w:val="49"/>
        </w:numPr>
        <w:tabs>
          <w:tab w:val="left" w:pos="1588"/>
        </w:tabs>
        <w:spacing w:line="304" w:lineRule="auto"/>
        <w:ind w:right="465" w:firstLine="480"/>
        <w:rPr>
          <w:rFonts w:hint="eastAsia" w:ascii="宋体" w:hAnsi="宋体" w:eastAsia="宋体" w:cs="宋体"/>
          <w:sz w:val="24"/>
          <w:highlight w:val="none"/>
        </w:rPr>
      </w:pPr>
      <w:r>
        <w:rPr>
          <w:rFonts w:hint="eastAsia" w:ascii="宋体" w:hAnsi="宋体" w:eastAsia="宋体" w:cs="宋体"/>
          <w:spacing w:val="-1"/>
          <w:sz w:val="24"/>
          <w:highlight w:val="none"/>
        </w:rPr>
        <w:t>安全生产费用按照《公路水运工程安全生产监督管理办法》的相关规定</w:t>
      </w:r>
      <w:r>
        <w:rPr>
          <w:rFonts w:hint="eastAsia" w:ascii="宋体" w:hAnsi="宋体" w:eastAsia="宋体" w:cs="宋体"/>
          <w:sz w:val="24"/>
          <w:highlight w:val="none"/>
        </w:rPr>
        <w:t>使用和管理。</w:t>
      </w:r>
    </w:p>
    <w:p w14:paraId="39730885">
      <w:pPr>
        <w:pStyle w:val="29"/>
        <w:numPr>
          <w:ilvl w:val="0"/>
          <w:numId w:val="47"/>
        </w:numPr>
        <w:tabs>
          <w:tab w:val="left" w:pos="1045"/>
        </w:tabs>
        <w:spacing w:line="306" w:lineRule="exact"/>
        <w:rPr>
          <w:rFonts w:hint="eastAsia" w:ascii="宋体" w:hAnsi="宋体" w:eastAsia="宋体" w:cs="宋体"/>
          <w:sz w:val="24"/>
          <w:highlight w:val="none"/>
        </w:rPr>
      </w:pPr>
      <w:r>
        <w:rPr>
          <w:rFonts w:hint="eastAsia" w:ascii="宋体" w:hAnsi="宋体" w:eastAsia="宋体" w:cs="宋体"/>
          <w:sz w:val="24"/>
          <w:highlight w:val="none"/>
        </w:rPr>
        <w:t>违约责任</w:t>
      </w:r>
    </w:p>
    <w:p w14:paraId="6BD35E02">
      <w:pPr>
        <w:pStyle w:val="10"/>
        <w:spacing w:before="73"/>
        <w:ind w:left="864"/>
        <w:rPr>
          <w:rFonts w:hint="eastAsia" w:ascii="宋体" w:hAnsi="宋体" w:eastAsia="宋体" w:cs="宋体"/>
          <w:highlight w:val="none"/>
        </w:rPr>
      </w:pPr>
      <w:r>
        <w:rPr>
          <w:rFonts w:hint="eastAsia" w:ascii="宋体" w:hAnsi="宋体" w:eastAsia="宋体" w:cs="宋体"/>
          <w:highlight w:val="none"/>
        </w:rPr>
        <w:t>如因发包人或承包人违约造成安全事故，将依法追究责任。</w:t>
      </w:r>
    </w:p>
    <w:p w14:paraId="1246D973">
      <w:pPr>
        <w:pStyle w:val="29"/>
        <w:numPr>
          <w:ilvl w:val="0"/>
          <w:numId w:val="47"/>
        </w:numPr>
        <w:tabs>
          <w:tab w:val="left" w:pos="1164"/>
        </w:tabs>
        <w:spacing w:before="81" w:line="304" w:lineRule="auto"/>
        <w:ind w:left="384" w:right="466" w:firstLine="480"/>
        <w:rPr>
          <w:rFonts w:hint="eastAsia" w:ascii="宋体" w:hAnsi="宋体" w:eastAsia="宋体" w:cs="宋体"/>
          <w:sz w:val="24"/>
          <w:highlight w:val="none"/>
        </w:rPr>
      </w:pPr>
      <w:r>
        <w:rPr>
          <w:rFonts w:hint="eastAsia" w:ascii="宋体" w:hAnsi="宋体" w:eastAsia="宋体" w:cs="宋体"/>
          <w:spacing w:val="-2"/>
          <w:sz w:val="24"/>
          <w:highlight w:val="none"/>
        </w:rPr>
        <w:t>本合同由双方法定代表人或其授权的代理人签署并加盖单位章后生效，全部</w:t>
      </w:r>
      <w:r>
        <w:rPr>
          <w:rFonts w:hint="eastAsia" w:ascii="宋体" w:hAnsi="宋体" w:eastAsia="宋体" w:cs="宋体"/>
          <w:sz w:val="24"/>
          <w:highlight w:val="none"/>
        </w:rPr>
        <w:t>工程竣工验收后失效。</w:t>
      </w:r>
    </w:p>
    <w:p w14:paraId="40051F9E">
      <w:pPr>
        <w:pStyle w:val="29"/>
        <w:numPr>
          <w:ilvl w:val="0"/>
          <w:numId w:val="47"/>
        </w:numPr>
        <w:tabs>
          <w:tab w:val="left" w:pos="1164"/>
          <w:tab w:val="left" w:pos="4036"/>
          <w:tab w:val="left" w:pos="8107"/>
        </w:tabs>
        <w:spacing w:line="304" w:lineRule="auto"/>
        <w:ind w:left="384" w:right="466" w:firstLine="480"/>
        <w:rPr>
          <w:rFonts w:hint="eastAsia" w:ascii="宋体" w:hAnsi="宋体" w:eastAsia="宋体" w:cs="宋体"/>
          <w:sz w:val="24"/>
          <w:highlight w:val="none"/>
        </w:rPr>
      </w:pPr>
      <w:r>
        <w:rPr>
          <w:rFonts w:hint="eastAsia" w:ascii="宋体" w:hAnsi="宋体" w:eastAsia="宋体" w:cs="宋体"/>
          <w:sz w:val="24"/>
          <w:highlight w:val="none"/>
        </w:rPr>
        <w:t>本合同正本二份</w:t>
      </w:r>
      <w:r>
        <w:rPr>
          <w:rFonts w:hint="eastAsia" w:ascii="宋体" w:hAnsi="宋体" w:eastAsia="宋体" w:cs="宋体"/>
          <w:spacing w:val="-8"/>
          <w:sz w:val="24"/>
          <w:highlight w:val="none"/>
        </w:rPr>
        <w:t>、</w:t>
      </w:r>
      <w:r>
        <w:rPr>
          <w:rFonts w:hint="eastAsia" w:ascii="宋体" w:hAnsi="宋体" w:eastAsia="宋体" w:cs="宋体"/>
          <w:sz w:val="24"/>
          <w:highlight w:val="none"/>
        </w:rPr>
        <w:t>副本</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份</w:t>
      </w:r>
      <w:r>
        <w:rPr>
          <w:rFonts w:hint="eastAsia" w:ascii="宋体" w:hAnsi="宋体" w:eastAsia="宋体" w:cs="宋体"/>
          <w:spacing w:val="-8"/>
          <w:sz w:val="24"/>
          <w:highlight w:val="none"/>
        </w:rPr>
        <w:t>，</w:t>
      </w:r>
      <w:r>
        <w:rPr>
          <w:rFonts w:hint="eastAsia" w:ascii="宋体" w:hAnsi="宋体" w:eastAsia="宋体" w:cs="宋体"/>
          <w:sz w:val="24"/>
          <w:highlight w:val="none"/>
        </w:rPr>
        <w:t>合同双方各执正本一份</w:t>
      </w:r>
      <w:r>
        <w:rPr>
          <w:rFonts w:hint="eastAsia" w:ascii="宋体" w:hAnsi="宋体" w:eastAsia="宋体" w:cs="宋体"/>
          <w:spacing w:val="-5"/>
          <w:sz w:val="24"/>
          <w:highlight w:val="none"/>
        </w:rPr>
        <w:t>，</w:t>
      </w:r>
      <w:r>
        <w:rPr>
          <w:rFonts w:hint="eastAsia" w:ascii="宋体" w:hAnsi="宋体" w:eastAsia="宋体" w:cs="宋体"/>
          <w:sz w:val="24"/>
          <w:highlight w:val="none"/>
        </w:rPr>
        <w:t>副本</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份</w:t>
      </w:r>
      <w:r>
        <w:rPr>
          <w:rFonts w:hint="eastAsia" w:ascii="宋体" w:hAnsi="宋体" w:eastAsia="宋体" w:cs="宋体"/>
          <w:spacing w:val="-8"/>
          <w:sz w:val="24"/>
          <w:highlight w:val="none"/>
        </w:rPr>
        <w:t>，</w:t>
      </w:r>
      <w:r>
        <w:rPr>
          <w:rFonts w:hint="eastAsia" w:ascii="宋体" w:hAnsi="宋体" w:eastAsia="宋体" w:cs="宋体"/>
          <w:sz w:val="24"/>
          <w:highlight w:val="none"/>
        </w:rPr>
        <w:t>当</w:t>
      </w:r>
      <w:r>
        <w:rPr>
          <w:rFonts w:hint="eastAsia" w:ascii="宋体" w:hAnsi="宋体" w:eastAsia="宋体" w:cs="宋体"/>
          <w:spacing w:val="-18"/>
          <w:sz w:val="24"/>
          <w:highlight w:val="none"/>
        </w:rPr>
        <w:t>正</w:t>
      </w:r>
      <w:r>
        <w:rPr>
          <w:rFonts w:hint="eastAsia" w:ascii="宋体" w:hAnsi="宋体" w:eastAsia="宋体" w:cs="宋体"/>
          <w:sz w:val="24"/>
          <w:highlight w:val="none"/>
        </w:rPr>
        <w:t>本与副本的内容不一致时，以正本为准。</w:t>
      </w:r>
    </w:p>
    <w:p w14:paraId="132FEA97">
      <w:pPr>
        <w:pStyle w:val="10"/>
        <w:rPr>
          <w:rFonts w:hint="eastAsia" w:ascii="宋体" w:hAnsi="宋体" w:eastAsia="宋体" w:cs="宋体"/>
          <w:highlight w:val="none"/>
        </w:rPr>
      </w:pPr>
    </w:p>
    <w:p w14:paraId="1DF80A67">
      <w:pPr>
        <w:pStyle w:val="10"/>
        <w:rPr>
          <w:rFonts w:hint="eastAsia" w:ascii="宋体" w:hAnsi="宋体" w:eastAsia="宋体" w:cs="宋体"/>
          <w:highlight w:val="none"/>
        </w:rPr>
      </w:pPr>
    </w:p>
    <w:p w14:paraId="43FBAF38">
      <w:pPr>
        <w:pStyle w:val="10"/>
        <w:spacing w:before="11"/>
        <w:rPr>
          <w:rFonts w:hint="eastAsia" w:ascii="宋体" w:hAnsi="宋体" w:eastAsia="宋体" w:cs="宋体"/>
          <w:sz w:val="16"/>
          <w:highlight w:val="none"/>
        </w:rPr>
      </w:pPr>
    </w:p>
    <w:p w14:paraId="092051EB">
      <w:pPr>
        <w:pStyle w:val="10"/>
        <w:tabs>
          <w:tab w:val="left" w:pos="3206"/>
          <w:tab w:val="left" w:pos="5236"/>
          <w:tab w:val="left" w:pos="7739"/>
        </w:tabs>
        <w:spacing w:line="343" w:lineRule="auto"/>
        <w:ind w:left="583" w:right="346"/>
        <w:rPr>
          <w:rFonts w:hint="eastAsia" w:ascii="宋体" w:hAnsi="宋体" w:eastAsia="宋体" w:cs="宋体"/>
          <w:highlight w:val="none"/>
        </w:rPr>
      </w:pPr>
      <w:r>
        <w:rPr>
          <w:rFonts w:hint="eastAsia" w:ascii="宋体" w:hAnsi="宋体" w:eastAsia="宋体" w:cs="宋体"/>
          <w:highlight w:val="none"/>
        </w:rPr>
        <w:t>发包人</w:t>
      </w:r>
      <w:r>
        <w:rPr>
          <w:rFonts w:hint="eastAsia" w:ascii="宋体" w:hAnsi="宋体" w:eastAsia="宋体" w:cs="宋体"/>
          <w:spacing w:val="-11"/>
          <w:highlight w:val="none"/>
        </w:rPr>
        <w:t>：</w:t>
      </w:r>
      <w:r>
        <w:rPr>
          <w:rFonts w:hint="eastAsia" w:ascii="宋体" w:hAnsi="宋体" w:eastAsia="宋体" w:cs="宋体"/>
          <w:spacing w:val="-11"/>
          <w:highlight w:val="none"/>
          <w:u w:val="single"/>
        </w:rPr>
        <w:t xml:space="preserve"> </w:t>
      </w:r>
      <w:r>
        <w:rPr>
          <w:rFonts w:hint="eastAsia" w:ascii="宋体" w:hAnsi="宋体" w:eastAsia="宋体" w:cs="宋体"/>
          <w:spacing w:val="-11"/>
          <w:highlight w:val="none"/>
          <w:u w:val="single"/>
        </w:rPr>
        <w:tab/>
      </w:r>
      <w:r>
        <w:rPr>
          <w:rFonts w:hint="eastAsia" w:ascii="宋体" w:hAnsi="宋体" w:eastAsia="宋体" w:cs="宋体"/>
          <w:spacing w:val="-3"/>
          <w:highlight w:val="none"/>
        </w:rPr>
        <w:t>（</w:t>
      </w:r>
      <w:r>
        <w:rPr>
          <w:rFonts w:hint="eastAsia" w:ascii="宋体" w:hAnsi="宋体" w:eastAsia="宋体" w:cs="宋体"/>
          <w:highlight w:val="none"/>
        </w:rPr>
        <w:t>盖单位章）</w:t>
      </w:r>
      <w:r>
        <w:rPr>
          <w:rFonts w:hint="eastAsia" w:ascii="宋体" w:hAnsi="宋体" w:eastAsia="宋体" w:cs="宋体"/>
          <w:highlight w:val="none"/>
        </w:rPr>
        <w:tab/>
      </w:r>
      <w:r>
        <w:rPr>
          <w:rFonts w:hint="eastAsia" w:ascii="宋体" w:hAnsi="宋体" w:eastAsia="宋体" w:cs="宋体"/>
          <w:highlight w:val="none"/>
        </w:rPr>
        <w:t>承包人</w:t>
      </w:r>
      <w:r>
        <w:rPr>
          <w:rFonts w:hint="eastAsia" w:ascii="宋体" w:hAnsi="宋体" w:eastAsia="宋体" w:cs="宋体"/>
          <w:spacing w:val="-10"/>
          <w:highlight w:val="none"/>
        </w:rPr>
        <w:t>：</w:t>
      </w:r>
      <w:r>
        <w:rPr>
          <w:rFonts w:hint="eastAsia" w:ascii="宋体" w:hAnsi="宋体" w:eastAsia="宋体" w:cs="宋体"/>
          <w:spacing w:val="-10"/>
          <w:highlight w:val="none"/>
          <w:u w:val="single"/>
        </w:rPr>
        <w:t xml:space="preserve"> </w:t>
      </w:r>
      <w:r>
        <w:rPr>
          <w:rFonts w:hint="eastAsia" w:ascii="宋体" w:hAnsi="宋体" w:eastAsia="宋体" w:cs="宋体"/>
          <w:spacing w:val="-10"/>
          <w:highlight w:val="none"/>
          <w:u w:val="single"/>
        </w:rPr>
        <w:tab/>
      </w:r>
      <w:r>
        <w:rPr>
          <w:rFonts w:hint="eastAsia" w:ascii="宋体" w:hAnsi="宋体" w:eastAsia="宋体" w:cs="宋体"/>
          <w:highlight w:val="none"/>
        </w:rPr>
        <w:t>（盖单位章</w:t>
      </w:r>
      <w:r>
        <w:rPr>
          <w:rFonts w:hint="eastAsia" w:ascii="宋体" w:hAnsi="宋体" w:eastAsia="宋体" w:cs="宋体"/>
          <w:spacing w:val="-18"/>
          <w:highlight w:val="none"/>
        </w:rPr>
        <w:t xml:space="preserve">） </w:t>
      </w:r>
      <w:r>
        <w:rPr>
          <w:rFonts w:hint="eastAsia" w:ascii="宋体" w:hAnsi="宋体" w:eastAsia="宋体" w:cs="宋体"/>
          <w:highlight w:val="none"/>
        </w:rPr>
        <w:t>法定代表人或其委托代理人</w:t>
      </w:r>
      <w:r>
        <w:rPr>
          <w:rFonts w:hint="eastAsia" w:ascii="宋体" w:hAnsi="宋体" w:eastAsia="宋体" w:cs="宋体"/>
          <w:spacing w:val="-28"/>
          <w:highlight w:val="none"/>
        </w:rPr>
        <w:t>：</w:t>
      </w:r>
      <w:r>
        <w:rPr>
          <w:rFonts w:hint="eastAsia" w:ascii="宋体" w:hAnsi="宋体" w:eastAsia="宋体" w:cs="宋体"/>
          <w:spacing w:val="-10"/>
          <w:highlight w:val="none"/>
          <w:u w:val="single"/>
        </w:rPr>
        <w:t xml:space="preserve"> </w:t>
      </w:r>
      <w:r>
        <w:rPr>
          <w:rFonts w:hint="eastAsia" w:ascii="宋体" w:hAnsi="宋体" w:eastAsia="宋体" w:cs="宋体"/>
          <w:spacing w:val="-3"/>
          <w:highlight w:val="none"/>
        </w:rPr>
        <w:t>（</w:t>
      </w:r>
      <w:r>
        <w:rPr>
          <w:rFonts w:hint="eastAsia" w:ascii="宋体" w:hAnsi="宋体" w:eastAsia="宋体" w:cs="宋体"/>
          <w:highlight w:val="none"/>
        </w:rPr>
        <w:t>签字）</w:t>
      </w:r>
      <w:r>
        <w:rPr>
          <w:rFonts w:hint="eastAsia" w:ascii="宋体" w:hAnsi="宋体" w:eastAsia="宋体" w:cs="宋体"/>
          <w:spacing w:val="-32"/>
          <w:highlight w:val="none"/>
        </w:rPr>
        <w:t xml:space="preserve"> </w:t>
      </w:r>
      <w:r>
        <w:rPr>
          <w:rFonts w:hint="eastAsia" w:ascii="宋体" w:hAnsi="宋体" w:eastAsia="宋体" w:cs="宋体"/>
          <w:highlight w:val="none"/>
        </w:rPr>
        <w:t>法定代表人或其委托代理人</w:t>
      </w:r>
      <w:r>
        <w:rPr>
          <w:rFonts w:hint="eastAsia" w:ascii="宋体" w:hAnsi="宋体" w:eastAsia="宋体" w:cs="宋体"/>
          <w:spacing w:val="-29"/>
          <w:highlight w:val="none"/>
        </w:rPr>
        <w:t>：</w:t>
      </w:r>
      <w:r>
        <w:rPr>
          <w:rFonts w:hint="eastAsia" w:ascii="宋体" w:hAnsi="宋体" w:eastAsia="宋体" w:cs="宋体"/>
          <w:spacing w:val="-7"/>
          <w:highlight w:val="none"/>
          <w:u w:val="single"/>
        </w:rPr>
        <w:t xml:space="preserve"> </w:t>
      </w:r>
      <w:r>
        <w:rPr>
          <w:rFonts w:hint="eastAsia" w:ascii="宋体" w:hAnsi="宋体" w:eastAsia="宋体" w:cs="宋体"/>
          <w:highlight w:val="none"/>
        </w:rPr>
        <w:t>（签字</w:t>
      </w:r>
      <w:r>
        <w:rPr>
          <w:rFonts w:hint="eastAsia" w:ascii="宋体" w:hAnsi="宋体" w:eastAsia="宋体" w:cs="宋体"/>
          <w:spacing w:val="-16"/>
          <w:highlight w:val="none"/>
        </w:rPr>
        <w:t>）</w:t>
      </w:r>
    </w:p>
    <w:p w14:paraId="6FE8BFF8">
      <w:pPr>
        <w:pStyle w:val="10"/>
        <w:tabs>
          <w:tab w:val="left" w:pos="2303"/>
          <w:tab w:val="left" w:pos="3143"/>
          <w:tab w:val="left" w:pos="3983"/>
          <w:tab w:val="left" w:pos="5903"/>
          <w:tab w:val="left" w:pos="6983"/>
          <w:tab w:val="left" w:pos="7823"/>
          <w:tab w:val="left" w:pos="8663"/>
        </w:tabs>
        <w:spacing w:before="1"/>
        <w:ind w:left="1224"/>
        <w:rPr>
          <w:rFonts w:hint="eastAsia" w:ascii="宋体" w:hAnsi="宋体" w:eastAsia="宋体" w:cs="宋体"/>
          <w:sz w:val="16"/>
          <w:highlight w:val="yellow"/>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10B771A8">
      <w:pPr>
        <w:pStyle w:val="10"/>
        <w:spacing w:before="85"/>
        <w:ind w:left="583"/>
        <w:rPr>
          <w:rFonts w:hint="eastAsia" w:ascii="宋体" w:hAnsi="宋体" w:eastAsia="宋体" w:cs="宋体"/>
          <w:highlight w:val="none"/>
        </w:rPr>
        <w:sectPr>
          <w:footerReference r:id="rId9" w:type="default"/>
          <w:pgSz w:w="11910" w:h="16840"/>
          <w:pgMar w:top="1360" w:right="1120" w:bottom="1080" w:left="1260" w:header="882" w:footer="845" w:gutter="0"/>
          <w:cols w:space="720" w:num="1"/>
        </w:sectPr>
      </w:pPr>
    </w:p>
    <w:p w14:paraId="3BB6C43B">
      <w:pPr>
        <w:pStyle w:val="10"/>
        <w:spacing w:before="85"/>
        <w:ind w:left="583"/>
        <w:rPr>
          <w:rFonts w:hint="eastAsia" w:ascii="宋体" w:hAnsi="宋体" w:eastAsia="宋体" w:cs="宋体"/>
          <w:strike w:val="0"/>
          <w:dstrike w:val="0"/>
          <w:sz w:val="12"/>
          <w:highlight w:val="none"/>
        </w:rPr>
      </w:pPr>
      <w:r>
        <w:rPr>
          <w:rFonts w:hint="eastAsia" w:ascii="宋体" w:hAnsi="宋体" w:eastAsia="宋体" w:cs="宋体"/>
          <w:strike w:val="0"/>
          <w:dstrike w:val="0"/>
          <w:highlight w:val="none"/>
        </w:rPr>
        <w:t xml:space="preserve">附件四 其他管理和技术人员最低要求 </w:t>
      </w:r>
    </w:p>
    <w:p w14:paraId="248D7867">
      <w:pPr>
        <w:pStyle w:val="10"/>
        <w:rPr>
          <w:rFonts w:hint="eastAsia" w:ascii="宋体" w:hAnsi="宋体" w:eastAsia="宋体" w:cs="宋体"/>
          <w:strike w:val="0"/>
          <w:dstrike w:val="0"/>
          <w:sz w:val="20"/>
          <w:highlight w:val="none"/>
        </w:rPr>
      </w:pPr>
    </w:p>
    <w:p w14:paraId="6236CD91">
      <w:pPr>
        <w:pStyle w:val="10"/>
        <w:spacing w:before="4"/>
        <w:rPr>
          <w:rFonts w:hint="eastAsia" w:ascii="宋体" w:hAnsi="宋体" w:eastAsia="宋体" w:cs="宋体"/>
          <w:strike w:val="0"/>
          <w:dstrike w:val="0"/>
          <w:sz w:val="11"/>
          <w:highlight w:val="none"/>
        </w:rPr>
      </w:pPr>
    </w:p>
    <w:tbl>
      <w:tblPr>
        <w:tblStyle w:val="24"/>
        <w:tblW w:w="8891" w:type="dxa"/>
        <w:tblInd w:w="2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8"/>
        <w:gridCol w:w="2161"/>
        <w:gridCol w:w="4282"/>
      </w:tblGrid>
      <w:tr w14:paraId="43746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2448" w:type="dxa"/>
          </w:tcPr>
          <w:p w14:paraId="3AEDE1E1">
            <w:pPr>
              <w:pStyle w:val="30"/>
              <w:spacing w:before="8"/>
              <w:rPr>
                <w:rFonts w:hint="eastAsia" w:ascii="宋体" w:hAnsi="宋体" w:eastAsia="宋体" w:cs="宋体"/>
                <w:strike w:val="0"/>
                <w:dstrike w:val="0"/>
                <w:sz w:val="24"/>
                <w:highlight w:val="none"/>
              </w:rPr>
            </w:pPr>
          </w:p>
          <w:p w14:paraId="2D4A3A07">
            <w:pPr>
              <w:pStyle w:val="30"/>
              <w:tabs>
                <w:tab w:val="left" w:pos="489"/>
              </w:tabs>
              <w:ind w:left="9"/>
              <w:jc w:val="center"/>
              <w:rPr>
                <w:rFonts w:hint="eastAsia" w:ascii="宋体" w:hAnsi="宋体" w:eastAsia="宋体" w:cs="宋体"/>
                <w:strike w:val="0"/>
                <w:dstrike w:val="0"/>
                <w:sz w:val="24"/>
                <w:highlight w:val="none"/>
              </w:rPr>
            </w:pPr>
            <w:r>
              <w:rPr>
                <w:rFonts w:hint="eastAsia" w:ascii="宋体" w:hAnsi="宋体" w:eastAsia="宋体" w:cs="宋体"/>
                <w:strike w:val="0"/>
                <w:dstrike w:val="0"/>
                <w:sz w:val="24"/>
                <w:highlight w:val="none"/>
              </w:rPr>
              <w:t>人</w:t>
            </w:r>
            <w:r>
              <w:rPr>
                <w:rFonts w:hint="eastAsia" w:ascii="宋体" w:hAnsi="宋体" w:eastAsia="宋体" w:cs="宋体"/>
                <w:strike w:val="0"/>
                <w:dstrike w:val="0"/>
                <w:sz w:val="24"/>
                <w:highlight w:val="none"/>
              </w:rPr>
              <w:tab/>
            </w:r>
            <w:r>
              <w:rPr>
                <w:rFonts w:hint="eastAsia" w:ascii="宋体" w:hAnsi="宋体" w:eastAsia="宋体" w:cs="宋体"/>
                <w:strike w:val="0"/>
                <w:dstrike w:val="0"/>
                <w:sz w:val="24"/>
                <w:highlight w:val="none"/>
              </w:rPr>
              <w:t>员</w:t>
            </w:r>
          </w:p>
        </w:tc>
        <w:tc>
          <w:tcPr>
            <w:tcW w:w="2161" w:type="dxa"/>
          </w:tcPr>
          <w:p w14:paraId="004B224A">
            <w:pPr>
              <w:pStyle w:val="30"/>
              <w:spacing w:before="8"/>
              <w:rPr>
                <w:rFonts w:hint="eastAsia" w:ascii="宋体" w:hAnsi="宋体" w:eastAsia="宋体" w:cs="宋体"/>
                <w:strike w:val="0"/>
                <w:dstrike w:val="0"/>
                <w:sz w:val="24"/>
                <w:highlight w:val="none"/>
              </w:rPr>
            </w:pPr>
          </w:p>
          <w:p w14:paraId="0E8F944B">
            <w:pPr>
              <w:pStyle w:val="30"/>
              <w:tabs>
                <w:tab w:val="left" w:pos="1199"/>
              </w:tabs>
              <w:ind w:left="719"/>
              <w:rPr>
                <w:rFonts w:hint="eastAsia" w:ascii="宋体" w:hAnsi="宋体" w:eastAsia="宋体" w:cs="宋体"/>
                <w:strike w:val="0"/>
                <w:dstrike w:val="0"/>
                <w:sz w:val="24"/>
                <w:highlight w:val="none"/>
              </w:rPr>
            </w:pPr>
            <w:r>
              <w:rPr>
                <w:rFonts w:hint="eastAsia" w:ascii="宋体" w:hAnsi="宋体" w:eastAsia="宋体" w:cs="宋体"/>
                <w:strike w:val="0"/>
                <w:dstrike w:val="0"/>
                <w:sz w:val="24"/>
                <w:highlight w:val="none"/>
              </w:rPr>
              <w:t>数</w:t>
            </w:r>
            <w:r>
              <w:rPr>
                <w:rFonts w:hint="eastAsia" w:ascii="宋体" w:hAnsi="宋体" w:eastAsia="宋体" w:cs="宋体"/>
                <w:strike w:val="0"/>
                <w:dstrike w:val="0"/>
                <w:sz w:val="24"/>
                <w:highlight w:val="none"/>
              </w:rPr>
              <w:tab/>
            </w:r>
            <w:r>
              <w:rPr>
                <w:rFonts w:hint="eastAsia" w:ascii="宋体" w:hAnsi="宋体" w:eastAsia="宋体" w:cs="宋体"/>
                <w:strike w:val="0"/>
                <w:dstrike w:val="0"/>
                <w:sz w:val="24"/>
                <w:highlight w:val="none"/>
              </w:rPr>
              <w:t>量</w:t>
            </w:r>
          </w:p>
        </w:tc>
        <w:tc>
          <w:tcPr>
            <w:tcW w:w="4282" w:type="dxa"/>
          </w:tcPr>
          <w:p w14:paraId="4F1C6B5A">
            <w:pPr>
              <w:pStyle w:val="30"/>
              <w:spacing w:before="8"/>
              <w:rPr>
                <w:rFonts w:hint="eastAsia" w:ascii="宋体" w:hAnsi="宋体" w:eastAsia="宋体" w:cs="宋体"/>
                <w:strike w:val="0"/>
                <w:dstrike w:val="0"/>
                <w:sz w:val="24"/>
                <w:highlight w:val="none"/>
              </w:rPr>
            </w:pPr>
          </w:p>
          <w:p w14:paraId="0F435C1C">
            <w:pPr>
              <w:pStyle w:val="30"/>
              <w:ind w:left="1459" w:right="1452"/>
              <w:jc w:val="center"/>
              <w:rPr>
                <w:rFonts w:hint="eastAsia" w:ascii="宋体" w:hAnsi="宋体" w:eastAsia="宋体" w:cs="宋体"/>
                <w:strike w:val="0"/>
                <w:dstrike w:val="0"/>
                <w:sz w:val="24"/>
                <w:highlight w:val="none"/>
              </w:rPr>
            </w:pPr>
            <w:r>
              <w:rPr>
                <w:rFonts w:hint="eastAsia" w:ascii="宋体" w:hAnsi="宋体" w:eastAsia="宋体" w:cs="宋体"/>
                <w:strike w:val="0"/>
                <w:dstrike w:val="0"/>
                <w:sz w:val="24"/>
                <w:highlight w:val="none"/>
              </w:rPr>
              <w:t>资 格 要 求</w:t>
            </w:r>
          </w:p>
        </w:tc>
      </w:tr>
      <w:tr w14:paraId="4C5CE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2448" w:type="dxa"/>
            <w:vAlign w:val="center"/>
          </w:tcPr>
          <w:p w14:paraId="440C162A">
            <w:pPr>
              <w:pStyle w:val="30"/>
              <w:spacing w:before="8"/>
              <w:jc w:val="center"/>
              <w:rPr>
                <w:rFonts w:hint="eastAsia" w:ascii="宋体" w:hAnsi="宋体" w:eastAsia="宋体" w:cs="宋体"/>
                <w:strike w:val="0"/>
                <w:dstrike w:val="0"/>
                <w:sz w:val="24"/>
                <w:szCs w:val="24"/>
                <w:highlight w:val="none"/>
                <w:lang w:val="en-US"/>
              </w:rPr>
            </w:pPr>
            <w:r>
              <w:rPr>
                <w:rFonts w:hint="eastAsia" w:ascii="宋体" w:hAnsi="宋体" w:eastAsia="宋体" w:cs="宋体"/>
                <w:strike w:val="0"/>
                <w:dstrike w:val="0"/>
                <w:sz w:val="24"/>
                <w:szCs w:val="24"/>
                <w:highlight w:val="none"/>
              </w:rPr>
              <w:t>项目总工（技术负责人）</w:t>
            </w:r>
          </w:p>
        </w:tc>
        <w:tc>
          <w:tcPr>
            <w:tcW w:w="2161" w:type="dxa"/>
            <w:vAlign w:val="center"/>
          </w:tcPr>
          <w:p w14:paraId="360A713A">
            <w:pPr>
              <w:pStyle w:val="30"/>
              <w:spacing w:before="8"/>
              <w:jc w:val="center"/>
              <w:rPr>
                <w:rFonts w:hint="eastAsia" w:ascii="宋体" w:hAnsi="宋体" w:eastAsia="宋体" w:cs="宋体"/>
                <w:strike w:val="0"/>
                <w:dstrike w:val="0"/>
                <w:sz w:val="24"/>
                <w:szCs w:val="24"/>
                <w:highlight w:val="none"/>
                <w:lang w:val="en-US"/>
              </w:rPr>
            </w:pPr>
            <w:r>
              <w:rPr>
                <w:rFonts w:hint="eastAsia" w:ascii="宋体" w:hAnsi="宋体" w:eastAsia="宋体" w:cs="宋体"/>
                <w:strike w:val="0"/>
                <w:dstrike w:val="0"/>
                <w:sz w:val="24"/>
                <w:szCs w:val="24"/>
                <w:highlight w:val="none"/>
                <w:lang w:val="en-US"/>
              </w:rPr>
              <w:t>1</w:t>
            </w:r>
          </w:p>
        </w:tc>
        <w:tc>
          <w:tcPr>
            <w:tcW w:w="4282" w:type="dxa"/>
            <w:vAlign w:val="center"/>
          </w:tcPr>
          <w:p w14:paraId="54E3F687">
            <w:pPr>
              <w:pStyle w:val="30"/>
              <w:tabs>
                <w:tab w:val="left" w:pos="537"/>
              </w:tabs>
              <w:spacing w:before="88" w:line="300" w:lineRule="exact"/>
              <w:ind w:right="99"/>
              <w:jc w:val="both"/>
              <w:rPr>
                <w:rFonts w:hint="eastAsia" w:ascii="宋体" w:hAnsi="宋体" w:eastAsia="宋体" w:cs="宋体"/>
                <w:strike w:val="0"/>
                <w:dstrike w:val="0"/>
                <w:sz w:val="24"/>
                <w:szCs w:val="24"/>
                <w:highlight w:val="none"/>
              </w:rPr>
            </w:pPr>
            <w:r>
              <w:rPr>
                <w:rFonts w:hint="eastAsia" w:ascii="宋体" w:hAnsi="宋体" w:eastAsia="宋体" w:cs="宋体"/>
                <w:strike w:val="0"/>
                <w:dstrike w:val="0"/>
                <w:sz w:val="24"/>
                <w:szCs w:val="24"/>
                <w:highlight w:val="none"/>
              </w:rPr>
              <w:t>公路工程相关专业工程师及以上职称；持有有效的安全生产考核合格证书(B 类)；</w:t>
            </w:r>
          </w:p>
        </w:tc>
      </w:tr>
      <w:tr w14:paraId="6060E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2448" w:type="dxa"/>
            <w:vAlign w:val="center"/>
          </w:tcPr>
          <w:p w14:paraId="6E58C874">
            <w:pPr>
              <w:pStyle w:val="30"/>
              <w:spacing w:before="8"/>
              <w:jc w:val="center"/>
              <w:rPr>
                <w:rFonts w:hint="eastAsia" w:ascii="宋体" w:hAnsi="宋体" w:eastAsia="宋体" w:cs="宋体"/>
                <w:strike w:val="0"/>
                <w:dstrike w:val="0"/>
                <w:sz w:val="24"/>
                <w:szCs w:val="24"/>
                <w:highlight w:val="none"/>
              </w:rPr>
            </w:pPr>
            <w:r>
              <w:rPr>
                <w:rFonts w:hint="eastAsia" w:ascii="宋体" w:hAnsi="宋体" w:eastAsia="宋体" w:cs="宋体"/>
                <w:strike w:val="0"/>
                <w:dstrike w:val="0"/>
                <w:sz w:val="24"/>
                <w:szCs w:val="24"/>
                <w:highlight w:val="none"/>
              </w:rPr>
              <w:t>试验工程师</w:t>
            </w:r>
          </w:p>
        </w:tc>
        <w:tc>
          <w:tcPr>
            <w:tcW w:w="2161" w:type="dxa"/>
            <w:vAlign w:val="center"/>
          </w:tcPr>
          <w:p w14:paraId="3EB12376">
            <w:pPr>
              <w:pStyle w:val="30"/>
              <w:spacing w:before="8"/>
              <w:jc w:val="center"/>
              <w:rPr>
                <w:rFonts w:hint="eastAsia" w:ascii="宋体" w:hAnsi="宋体" w:eastAsia="宋体" w:cs="宋体"/>
                <w:strike w:val="0"/>
                <w:dstrike w:val="0"/>
                <w:sz w:val="24"/>
                <w:szCs w:val="24"/>
                <w:highlight w:val="none"/>
              </w:rPr>
            </w:pPr>
            <w:r>
              <w:rPr>
                <w:rFonts w:hint="eastAsia" w:ascii="宋体" w:hAnsi="宋体" w:eastAsia="宋体" w:cs="宋体"/>
                <w:strike w:val="0"/>
                <w:dstrike w:val="0"/>
                <w:sz w:val="24"/>
                <w:szCs w:val="24"/>
                <w:highlight w:val="none"/>
              </w:rPr>
              <w:t>1</w:t>
            </w:r>
          </w:p>
        </w:tc>
        <w:tc>
          <w:tcPr>
            <w:tcW w:w="4282" w:type="dxa"/>
            <w:vAlign w:val="center"/>
          </w:tcPr>
          <w:p w14:paraId="3E6D3420">
            <w:pPr>
              <w:pStyle w:val="30"/>
              <w:spacing w:before="8"/>
              <w:jc w:val="both"/>
              <w:rPr>
                <w:rFonts w:hint="eastAsia" w:ascii="宋体" w:hAnsi="宋体" w:eastAsia="宋体" w:cs="宋体"/>
                <w:strike w:val="0"/>
                <w:dstrike w:val="0"/>
                <w:sz w:val="24"/>
                <w:szCs w:val="24"/>
                <w:highlight w:val="none"/>
              </w:rPr>
            </w:pPr>
            <w:r>
              <w:rPr>
                <w:rFonts w:hint="eastAsia" w:ascii="宋体" w:hAnsi="宋体" w:eastAsia="宋体" w:cs="宋体"/>
                <w:strike w:val="0"/>
                <w:dstrike w:val="0"/>
                <w:sz w:val="24"/>
                <w:szCs w:val="24"/>
                <w:highlight w:val="none"/>
              </w:rPr>
              <w:t>公路工程及公路相关专业初级及以上职称，持有路桥工程专业试验员资格证书</w:t>
            </w:r>
          </w:p>
        </w:tc>
      </w:tr>
      <w:tr w14:paraId="66C12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8" w:type="dxa"/>
            <w:vAlign w:val="center"/>
          </w:tcPr>
          <w:p w14:paraId="44E436FE">
            <w:pPr>
              <w:pStyle w:val="30"/>
              <w:spacing w:before="8"/>
              <w:jc w:val="center"/>
              <w:rPr>
                <w:rFonts w:hint="eastAsia" w:ascii="宋体" w:hAnsi="宋体" w:eastAsia="宋体" w:cs="宋体"/>
                <w:strike w:val="0"/>
                <w:dstrike w:val="0"/>
                <w:sz w:val="24"/>
                <w:szCs w:val="24"/>
                <w:highlight w:val="none"/>
              </w:rPr>
            </w:pPr>
            <w:r>
              <w:rPr>
                <w:rFonts w:hint="eastAsia" w:ascii="宋体" w:hAnsi="宋体" w:eastAsia="宋体" w:cs="宋体"/>
                <w:strike w:val="0"/>
                <w:dstrike w:val="0"/>
                <w:sz w:val="24"/>
                <w:szCs w:val="24"/>
                <w:highlight w:val="none"/>
              </w:rPr>
              <w:t>安全员</w:t>
            </w:r>
          </w:p>
        </w:tc>
        <w:tc>
          <w:tcPr>
            <w:tcW w:w="2161" w:type="dxa"/>
            <w:vAlign w:val="center"/>
          </w:tcPr>
          <w:p w14:paraId="53420CCA">
            <w:pPr>
              <w:pStyle w:val="30"/>
              <w:spacing w:before="8"/>
              <w:jc w:val="center"/>
              <w:rPr>
                <w:rFonts w:hint="eastAsia" w:ascii="宋体" w:hAnsi="宋体" w:eastAsia="宋体" w:cs="宋体"/>
                <w:strike w:val="0"/>
                <w:dstrike w:val="0"/>
                <w:sz w:val="24"/>
                <w:szCs w:val="24"/>
                <w:highlight w:val="none"/>
              </w:rPr>
            </w:pPr>
            <w:r>
              <w:rPr>
                <w:rFonts w:hint="eastAsia" w:ascii="宋体" w:hAnsi="宋体" w:eastAsia="宋体" w:cs="宋体"/>
                <w:strike w:val="0"/>
                <w:dstrike w:val="0"/>
                <w:sz w:val="24"/>
                <w:szCs w:val="24"/>
                <w:highlight w:val="none"/>
              </w:rPr>
              <w:t>1</w:t>
            </w:r>
          </w:p>
        </w:tc>
        <w:tc>
          <w:tcPr>
            <w:tcW w:w="4282" w:type="dxa"/>
            <w:vAlign w:val="center"/>
          </w:tcPr>
          <w:p w14:paraId="72241F6B">
            <w:pPr>
              <w:pStyle w:val="30"/>
              <w:spacing w:before="8"/>
              <w:jc w:val="both"/>
              <w:rPr>
                <w:rFonts w:hint="eastAsia" w:ascii="宋体" w:hAnsi="宋体" w:eastAsia="宋体" w:cs="宋体"/>
                <w:strike w:val="0"/>
                <w:dstrike w:val="0"/>
                <w:sz w:val="24"/>
                <w:szCs w:val="24"/>
                <w:highlight w:val="none"/>
              </w:rPr>
            </w:pPr>
            <w:r>
              <w:rPr>
                <w:rFonts w:hint="eastAsia" w:ascii="宋体" w:hAnsi="宋体" w:eastAsia="宋体" w:cs="宋体"/>
                <w:strike w:val="0"/>
                <w:dstrike w:val="0"/>
                <w:sz w:val="24"/>
                <w:szCs w:val="24"/>
                <w:highlight w:val="none"/>
              </w:rPr>
              <w:t>安全员C证</w:t>
            </w:r>
          </w:p>
        </w:tc>
      </w:tr>
      <w:tr w14:paraId="102E2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8" w:type="dxa"/>
          </w:tcPr>
          <w:p w14:paraId="4A6FDA2C">
            <w:pPr>
              <w:pStyle w:val="30"/>
              <w:rPr>
                <w:rFonts w:hint="eastAsia" w:ascii="宋体" w:hAnsi="宋体" w:eastAsia="宋体" w:cs="宋体"/>
                <w:strike w:val="0"/>
                <w:dstrike w:val="0"/>
                <w:sz w:val="18"/>
                <w:highlight w:val="none"/>
              </w:rPr>
            </w:pPr>
          </w:p>
        </w:tc>
        <w:tc>
          <w:tcPr>
            <w:tcW w:w="2161" w:type="dxa"/>
          </w:tcPr>
          <w:p w14:paraId="2F7FF063">
            <w:pPr>
              <w:pStyle w:val="30"/>
              <w:rPr>
                <w:rFonts w:hint="eastAsia" w:ascii="宋体" w:hAnsi="宋体" w:eastAsia="宋体" w:cs="宋体"/>
                <w:strike w:val="0"/>
                <w:dstrike w:val="0"/>
                <w:sz w:val="18"/>
                <w:highlight w:val="none"/>
              </w:rPr>
            </w:pPr>
          </w:p>
        </w:tc>
        <w:tc>
          <w:tcPr>
            <w:tcW w:w="4282" w:type="dxa"/>
          </w:tcPr>
          <w:p w14:paraId="01383CA1">
            <w:pPr>
              <w:pStyle w:val="30"/>
              <w:rPr>
                <w:rFonts w:hint="eastAsia" w:ascii="宋体" w:hAnsi="宋体" w:eastAsia="宋体" w:cs="宋体"/>
                <w:strike w:val="0"/>
                <w:dstrike w:val="0"/>
                <w:sz w:val="18"/>
                <w:highlight w:val="none"/>
              </w:rPr>
            </w:pPr>
          </w:p>
        </w:tc>
      </w:tr>
      <w:tr w14:paraId="030F2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8" w:type="dxa"/>
          </w:tcPr>
          <w:p w14:paraId="694F4AF8">
            <w:pPr>
              <w:pStyle w:val="30"/>
              <w:rPr>
                <w:rFonts w:hint="eastAsia" w:ascii="宋体" w:hAnsi="宋体" w:eastAsia="宋体" w:cs="宋体"/>
                <w:strike w:val="0"/>
                <w:dstrike w:val="0"/>
                <w:sz w:val="18"/>
                <w:highlight w:val="none"/>
              </w:rPr>
            </w:pPr>
          </w:p>
        </w:tc>
        <w:tc>
          <w:tcPr>
            <w:tcW w:w="2161" w:type="dxa"/>
          </w:tcPr>
          <w:p w14:paraId="51BFBDAE">
            <w:pPr>
              <w:pStyle w:val="30"/>
              <w:rPr>
                <w:rFonts w:hint="eastAsia" w:ascii="宋体" w:hAnsi="宋体" w:eastAsia="宋体" w:cs="宋体"/>
                <w:strike w:val="0"/>
                <w:dstrike w:val="0"/>
                <w:sz w:val="18"/>
                <w:highlight w:val="none"/>
              </w:rPr>
            </w:pPr>
          </w:p>
        </w:tc>
        <w:tc>
          <w:tcPr>
            <w:tcW w:w="4282" w:type="dxa"/>
          </w:tcPr>
          <w:p w14:paraId="05AB5ABD">
            <w:pPr>
              <w:pStyle w:val="30"/>
              <w:rPr>
                <w:rFonts w:hint="eastAsia" w:ascii="宋体" w:hAnsi="宋体" w:eastAsia="宋体" w:cs="宋体"/>
                <w:strike w:val="0"/>
                <w:dstrike w:val="0"/>
                <w:sz w:val="18"/>
                <w:highlight w:val="none"/>
              </w:rPr>
            </w:pPr>
          </w:p>
        </w:tc>
      </w:tr>
      <w:tr w14:paraId="42DD1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8" w:type="dxa"/>
          </w:tcPr>
          <w:p w14:paraId="7A445FB2">
            <w:pPr>
              <w:pStyle w:val="30"/>
              <w:rPr>
                <w:rFonts w:hint="eastAsia" w:ascii="宋体" w:hAnsi="宋体" w:eastAsia="宋体" w:cs="宋体"/>
                <w:strike w:val="0"/>
                <w:dstrike w:val="0"/>
                <w:sz w:val="18"/>
                <w:highlight w:val="none"/>
              </w:rPr>
            </w:pPr>
          </w:p>
        </w:tc>
        <w:tc>
          <w:tcPr>
            <w:tcW w:w="2161" w:type="dxa"/>
          </w:tcPr>
          <w:p w14:paraId="13777A73">
            <w:pPr>
              <w:pStyle w:val="30"/>
              <w:rPr>
                <w:rFonts w:hint="eastAsia" w:ascii="宋体" w:hAnsi="宋体" w:eastAsia="宋体" w:cs="宋体"/>
                <w:strike w:val="0"/>
                <w:dstrike w:val="0"/>
                <w:sz w:val="18"/>
                <w:highlight w:val="none"/>
              </w:rPr>
            </w:pPr>
          </w:p>
        </w:tc>
        <w:tc>
          <w:tcPr>
            <w:tcW w:w="4282" w:type="dxa"/>
          </w:tcPr>
          <w:p w14:paraId="5BB8C1C1">
            <w:pPr>
              <w:pStyle w:val="30"/>
              <w:rPr>
                <w:rFonts w:hint="eastAsia" w:ascii="宋体" w:hAnsi="宋体" w:eastAsia="宋体" w:cs="宋体"/>
                <w:strike w:val="0"/>
                <w:dstrike w:val="0"/>
                <w:sz w:val="18"/>
                <w:highlight w:val="none"/>
              </w:rPr>
            </w:pPr>
          </w:p>
        </w:tc>
      </w:tr>
      <w:tr w14:paraId="66BD7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8" w:type="dxa"/>
          </w:tcPr>
          <w:p w14:paraId="2BF28495">
            <w:pPr>
              <w:pStyle w:val="30"/>
              <w:rPr>
                <w:rFonts w:hint="eastAsia" w:ascii="宋体" w:hAnsi="宋体" w:eastAsia="宋体" w:cs="宋体"/>
                <w:strike w:val="0"/>
                <w:dstrike w:val="0"/>
                <w:sz w:val="18"/>
                <w:highlight w:val="none"/>
              </w:rPr>
            </w:pPr>
          </w:p>
        </w:tc>
        <w:tc>
          <w:tcPr>
            <w:tcW w:w="2161" w:type="dxa"/>
          </w:tcPr>
          <w:p w14:paraId="2A922906">
            <w:pPr>
              <w:pStyle w:val="30"/>
              <w:rPr>
                <w:rFonts w:hint="eastAsia" w:ascii="宋体" w:hAnsi="宋体" w:eastAsia="宋体" w:cs="宋体"/>
                <w:strike w:val="0"/>
                <w:dstrike w:val="0"/>
                <w:sz w:val="18"/>
                <w:highlight w:val="none"/>
              </w:rPr>
            </w:pPr>
          </w:p>
        </w:tc>
        <w:tc>
          <w:tcPr>
            <w:tcW w:w="4282" w:type="dxa"/>
          </w:tcPr>
          <w:p w14:paraId="6EDD723D">
            <w:pPr>
              <w:pStyle w:val="30"/>
              <w:rPr>
                <w:rFonts w:hint="eastAsia" w:ascii="宋体" w:hAnsi="宋体" w:eastAsia="宋体" w:cs="宋体"/>
                <w:strike w:val="0"/>
                <w:dstrike w:val="0"/>
                <w:sz w:val="18"/>
                <w:highlight w:val="none"/>
              </w:rPr>
            </w:pPr>
          </w:p>
        </w:tc>
      </w:tr>
      <w:tr w14:paraId="48D2C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8" w:type="dxa"/>
          </w:tcPr>
          <w:p w14:paraId="24548FB9">
            <w:pPr>
              <w:pStyle w:val="30"/>
              <w:rPr>
                <w:rFonts w:hint="eastAsia" w:ascii="宋体" w:hAnsi="宋体" w:eastAsia="宋体" w:cs="宋体"/>
                <w:strike w:val="0"/>
                <w:dstrike w:val="0"/>
                <w:sz w:val="18"/>
                <w:highlight w:val="none"/>
              </w:rPr>
            </w:pPr>
          </w:p>
        </w:tc>
        <w:tc>
          <w:tcPr>
            <w:tcW w:w="2161" w:type="dxa"/>
          </w:tcPr>
          <w:p w14:paraId="5812B9AD">
            <w:pPr>
              <w:pStyle w:val="30"/>
              <w:rPr>
                <w:rFonts w:hint="eastAsia" w:ascii="宋体" w:hAnsi="宋体" w:eastAsia="宋体" w:cs="宋体"/>
                <w:strike w:val="0"/>
                <w:dstrike w:val="0"/>
                <w:sz w:val="18"/>
                <w:highlight w:val="none"/>
              </w:rPr>
            </w:pPr>
          </w:p>
        </w:tc>
        <w:tc>
          <w:tcPr>
            <w:tcW w:w="4282" w:type="dxa"/>
          </w:tcPr>
          <w:p w14:paraId="1FA8A9AA">
            <w:pPr>
              <w:pStyle w:val="30"/>
              <w:rPr>
                <w:rFonts w:hint="eastAsia" w:ascii="宋体" w:hAnsi="宋体" w:eastAsia="宋体" w:cs="宋体"/>
                <w:strike w:val="0"/>
                <w:dstrike w:val="0"/>
                <w:sz w:val="18"/>
                <w:highlight w:val="none"/>
              </w:rPr>
            </w:pPr>
          </w:p>
        </w:tc>
      </w:tr>
      <w:tr w14:paraId="7545E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8" w:type="dxa"/>
          </w:tcPr>
          <w:p w14:paraId="1025FBEA">
            <w:pPr>
              <w:pStyle w:val="30"/>
              <w:rPr>
                <w:rFonts w:hint="eastAsia" w:ascii="宋体" w:hAnsi="宋体" w:eastAsia="宋体" w:cs="宋体"/>
                <w:strike w:val="0"/>
                <w:dstrike w:val="0"/>
                <w:sz w:val="18"/>
                <w:highlight w:val="none"/>
              </w:rPr>
            </w:pPr>
          </w:p>
        </w:tc>
        <w:tc>
          <w:tcPr>
            <w:tcW w:w="2161" w:type="dxa"/>
          </w:tcPr>
          <w:p w14:paraId="10CB4687">
            <w:pPr>
              <w:pStyle w:val="30"/>
              <w:rPr>
                <w:rFonts w:hint="eastAsia" w:ascii="宋体" w:hAnsi="宋体" w:eastAsia="宋体" w:cs="宋体"/>
                <w:strike w:val="0"/>
                <w:dstrike w:val="0"/>
                <w:sz w:val="18"/>
                <w:highlight w:val="none"/>
              </w:rPr>
            </w:pPr>
          </w:p>
        </w:tc>
        <w:tc>
          <w:tcPr>
            <w:tcW w:w="4282" w:type="dxa"/>
          </w:tcPr>
          <w:p w14:paraId="6E4F31A4">
            <w:pPr>
              <w:pStyle w:val="30"/>
              <w:rPr>
                <w:rFonts w:hint="eastAsia" w:ascii="宋体" w:hAnsi="宋体" w:eastAsia="宋体" w:cs="宋体"/>
                <w:strike w:val="0"/>
                <w:dstrike w:val="0"/>
                <w:sz w:val="18"/>
                <w:highlight w:val="none"/>
              </w:rPr>
            </w:pPr>
          </w:p>
        </w:tc>
      </w:tr>
    </w:tbl>
    <w:p w14:paraId="4D096B77">
      <w:pPr>
        <w:pStyle w:val="31"/>
        <w:ind w:firstLine="0" w:firstLineChars="0"/>
        <w:rPr>
          <w:rFonts w:hint="eastAsia" w:ascii="宋体" w:hAnsi="宋体" w:eastAsia="宋体" w:cs="宋体"/>
          <w:strike w:val="0"/>
          <w:dstrike w:val="0"/>
          <w:highlight w:val="none"/>
        </w:rPr>
      </w:pPr>
    </w:p>
    <w:p w14:paraId="01282147">
      <w:pPr>
        <w:pStyle w:val="31"/>
        <w:ind w:firstLine="0" w:firstLineChars="0"/>
        <w:rPr>
          <w:rFonts w:hint="eastAsia" w:ascii="宋体" w:hAnsi="宋体" w:eastAsia="宋体" w:cs="宋体"/>
          <w:strike w:val="0"/>
          <w:dstrike w:val="0"/>
          <w:highlight w:val="none"/>
        </w:rPr>
      </w:pPr>
      <w:r>
        <w:rPr>
          <w:rFonts w:hint="eastAsia" w:ascii="宋体" w:hAnsi="宋体" w:eastAsia="宋体" w:cs="宋体"/>
          <w:strike w:val="0"/>
          <w:dstrike w:val="0"/>
          <w:highlight w:val="none"/>
        </w:rPr>
        <w:t>注：1、以上所列人员须为投标人的本单位人员，需提供人员职称证书、相关专业毕业证书的扫描件。</w:t>
      </w:r>
    </w:p>
    <w:p w14:paraId="7673E318">
      <w:pPr>
        <w:pStyle w:val="31"/>
        <w:rPr>
          <w:rFonts w:hint="eastAsia" w:ascii="宋体" w:hAnsi="宋体" w:eastAsia="宋体" w:cs="宋体"/>
          <w:strike w:val="0"/>
          <w:dstrike w:val="0"/>
          <w:highlight w:val="none"/>
        </w:rPr>
      </w:pPr>
      <w:r>
        <w:rPr>
          <w:rFonts w:hint="eastAsia" w:ascii="宋体" w:hAnsi="宋体" w:eastAsia="宋体" w:cs="宋体"/>
          <w:strike w:val="0"/>
          <w:dstrike w:val="0"/>
          <w:highlight w:val="none"/>
        </w:rPr>
        <w:t>2、试验工程师需提供毕业证书、职称证书、路桥工程专业试业员资格证书扫描件。</w:t>
      </w:r>
    </w:p>
    <w:p w14:paraId="33D0C975">
      <w:pPr>
        <w:pStyle w:val="31"/>
        <w:rPr>
          <w:rFonts w:hint="eastAsia" w:ascii="宋体" w:hAnsi="宋体" w:eastAsia="宋体" w:cs="宋体"/>
          <w:strike w:val="0"/>
          <w:dstrike w:val="0"/>
          <w:highlight w:val="yellow"/>
        </w:rPr>
      </w:pPr>
      <w:r>
        <w:rPr>
          <w:rFonts w:hint="eastAsia" w:ascii="宋体" w:hAnsi="宋体" w:eastAsia="宋体" w:cs="宋体"/>
          <w:strike w:val="0"/>
          <w:dstrike w:val="0"/>
          <w:highlight w:val="none"/>
        </w:rPr>
        <w:t>3、安全员须提供安全员C类及以上证书扫描件，且在有效期内。</w:t>
      </w:r>
    </w:p>
    <w:p w14:paraId="52DD1F20">
      <w:pPr>
        <w:pStyle w:val="10"/>
        <w:spacing w:before="85"/>
        <w:rPr>
          <w:rFonts w:hint="eastAsia" w:ascii="宋体" w:hAnsi="宋体" w:eastAsia="宋体" w:cs="宋体"/>
          <w:highlight w:val="none"/>
        </w:rPr>
        <w:sectPr>
          <w:pgSz w:w="11910" w:h="16840"/>
          <w:pgMar w:top="1360" w:right="1120" w:bottom="1080" w:left="1260" w:header="882" w:footer="845" w:gutter="0"/>
          <w:cols w:space="720" w:num="1"/>
        </w:sectPr>
      </w:pPr>
    </w:p>
    <w:p w14:paraId="4FC6ACD3">
      <w:pPr>
        <w:pStyle w:val="10"/>
        <w:spacing w:before="85"/>
        <w:ind w:left="583"/>
        <w:rPr>
          <w:rFonts w:hint="eastAsia" w:ascii="宋体" w:hAnsi="宋体" w:eastAsia="宋体" w:cs="宋体"/>
          <w:sz w:val="12"/>
          <w:highlight w:val="none"/>
        </w:rPr>
      </w:pPr>
      <w:r>
        <w:rPr>
          <w:rFonts w:hint="eastAsia" w:ascii="宋体" w:hAnsi="宋体" w:eastAsia="宋体" w:cs="宋体"/>
          <w:highlight w:val="none"/>
        </w:rPr>
        <w:t>附件五 主要机械设备和试验检测设备最低要求</w:t>
      </w:r>
    </w:p>
    <w:p w14:paraId="11B00B20">
      <w:pPr>
        <w:pStyle w:val="10"/>
        <w:rPr>
          <w:rFonts w:hint="eastAsia" w:ascii="宋体" w:hAnsi="宋体" w:eastAsia="宋体" w:cs="宋体"/>
          <w:sz w:val="20"/>
          <w:highlight w:val="none"/>
        </w:rPr>
      </w:pPr>
    </w:p>
    <w:p w14:paraId="5A5A723A">
      <w:pPr>
        <w:pStyle w:val="10"/>
        <w:spacing w:before="4"/>
        <w:rPr>
          <w:rFonts w:hint="eastAsia" w:ascii="宋体" w:hAnsi="宋体" w:eastAsia="宋体" w:cs="宋体"/>
          <w:sz w:val="11"/>
          <w:highlight w:val="none"/>
        </w:rPr>
      </w:pPr>
    </w:p>
    <w:tbl>
      <w:tblPr>
        <w:tblStyle w:val="24"/>
        <w:tblW w:w="8557" w:type="dxa"/>
        <w:tblInd w:w="4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2"/>
        <w:gridCol w:w="2745"/>
        <w:gridCol w:w="1386"/>
        <w:gridCol w:w="2194"/>
      </w:tblGrid>
      <w:tr w14:paraId="3D0EC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14:paraId="7CED03F3">
            <w:pPr>
              <w:pStyle w:val="30"/>
              <w:spacing w:before="203"/>
              <w:ind w:left="636"/>
              <w:rPr>
                <w:rFonts w:hint="eastAsia" w:ascii="宋体" w:hAnsi="宋体" w:eastAsia="宋体" w:cs="宋体"/>
                <w:sz w:val="24"/>
                <w:highlight w:val="none"/>
              </w:rPr>
            </w:pPr>
            <w:r>
              <w:rPr>
                <w:rFonts w:hint="eastAsia" w:ascii="宋体" w:hAnsi="宋体" w:eastAsia="宋体" w:cs="宋体"/>
                <w:sz w:val="24"/>
                <w:highlight w:val="none"/>
              </w:rPr>
              <w:t>设备名称</w:t>
            </w:r>
          </w:p>
        </w:tc>
        <w:tc>
          <w:tcPr>
            <w:tcW w:w="2745" w:type="dxa"/>
          </w:tcPr>
          <w:p w14:paraId="66B4C749">
            <w:pPr>
              <w:pStyle w:val="30"/>
              <w:spacing w:before="203"/>
              <w:ind w:left="411"/>
              <w:rPr>
                <w:rFonts w:hint="eastAsia" w:ascii="宋体" w:hAnsi="宋体" w:eastAsia="宋体" w:cs="宋体"/>
                <w:sz w:val="24"/>
                <w:highlight w:val="none"/>
              </w:rPr>
            </w:pPr>
            <w:r>
              <w:rPr>
                <w:rFonts w:hint="eastAsia" w:ascii="宋体" w:hAnsi="宋体" w:eastAsia="宋体" w:cs="宋体"/>
                <w:sz w:val="24"/>
                <w:highlight w:val="none"/>
              </w:rPr>
              <w:t>规格、功率及容量</w:t>
            </w:r>
          </w:p>
        </w:tc>
        <w:tc>
          <w:tcPr>
            <w:tcW w:w="1386" w:type="dxa"/>
          </w:tcPr>
          <w:p w14:paraId="398BE006">
            <w:pPr>
              <w:pStyle w:val="30"/>
              <w:spacing w:before="203"/>
              <w:ind w:left="452"/>
              <w:rPr>
                <w:rFonts w:hint="eastAsia" w:ascii="宋体" w:hAnsi="宋体" w:eastAsia="宋体" w:cs="宋体"/>
                <w:sz w:val="24"/>
                <w:highlight w:val="none"/>
              </w:rPr>
            </w:pPr>
            <w:r>
              <w:rPr>
                <w:rFonts w:hint="eastAsia" w:ascii="宋体" w:hAnsi="宋体" w:eastAsia="宋体" w:cs="宋体"/>
                <w:sz w:val="24"/>
                <w:highlight w:val="none"/>
              </w:rPr>
              <w:t>单位</w:t>
            </w:r>
          </w:p>
        </w:tc>
        <w:tc>
          <w:tcPr>
            <w:tcW w:w="2194" w:type="dxa"/>
          </w:tcPr>
          <w:p w14:paraId="7F24CD22">
            <w:pPr>
              <w:pStyle w:val="30"/>
              <w:spacing w:before="203"/>
              <w:ind w:left="376"/>
              <w:rPr>
                <w:rFonts w:hint="eastAsia" w:ascii="宋体" w:hAnsi="宋体" w:eastAsia="宋体" w:cs="宋体"/>
                <w:sz w:val="24"/>
                <w:highlight w:val="none"/>
              </w:rPr>
            </w:pPr>
            <w:r>
              <w:rPr>
                <w:rFonts w:hint="eastAsia" w:ascii="宋体" w:hAnsi="宋体" w:eastAsia="宋体" w:cs="宋体"/>
                <w:sz w:val="24"/>
                <w:highlight w:val="none"/>
              </w:rPr>
              <w:t>最低数量要求</w:t>
            </w:r>
          </w:p>
        </w:tc>
      </w:tr>
      <w:tr w14:paraId="69779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14:paraId="02DDCB55">
            <w:pPr>
              <w:pStyle w:val="30"/>
              <w:rPr>
                <w:rFonts w:hint="eastAsia" w:ascii="宋体" w:hAnsi="宋体" w:eastAsia="宋体" w:cs="宋体"/>
                <w:sz w:val="18"/>
                <w:highlight w:val="none"/>
              </w:rPr>
            </w:pPr>
          </w:p>
        </w:tc>
        <w:tc>
          <w:tcPr>
            <w:tcW w:w="2745" w:type="dxa"/>
          </w:tcPr>
          <w:p w14:paraId="7E9AE9D8">
            <w:pPr>
              <w:pStyle w:val="30"/>
              <w:rPr>
                <w:rFonts w:hint="eastAsia" w:ascii="宋体" w:hAnsi="宋体" w:eastAsia="宋体" w:cs="宋体"/>
                <w:sz w:val="18"/>
                <w:highlight w:val="none"/>
              </w:rPr>
            </w:pPr>
          </w:p>
        </w:tc>
        <w:tc>
          <w:tcPr>
            <w:tcW w:w="1386" w:type="dxa"/>
          </w:tcPr>
          <w:p w14:paraId="7530BBF6">
            <w:pPr>
              <w:pStyle w:val="30"/>
              <w:rPr>
                <w:rFonts w:hint="eastAsia" w:ascii="宋体" w:hAnsi="宋体" w:eastAsia="宋体" w:cs="宋体"/>
                <w:sz w:val="18"/>
                <w:highlight w:val="none"/>
              </w:rPr>
            </w:pPr>
          </w:p>
        </w:tc>
        <w:tc>
          <w:tcPr>
            <w:tcW w:w="2194" w:type="dxa"/>
          </w:tcPr>
          <w:p w14:paraId="3EAF1D2A">
            <w:pPr>
              <w:pStyle w:val="30"/>
              <w:rPr>
                <w:rFonts w:hint="eastAsia" w:ascii="宋体" w:hAnsi="宋体" w:eastAsia="宋体" w:cs="宋体"/>
                <w:sz w:val="18"/>
                <w:highlight w:val="none"/>
              </w:rPr>
            </w:pPr>
          </w:p>
        </w:tc>
      </w:tr>
      <w:tr w14:paraId="5E019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14:paraId="093451F5">
            <w:pPr>
              <w:pStyle w:val="30"/>
              <w:rPr>
                <w:rFonts w:hint="eastAsia" w:ascii="宋体" w:hAnsi="宋体" w:eastAsia="宋体" w:cs="宋体"/>
                <w:sz w:val="18"/>
                <w:highlight w:val="none"/>
              </w:rPr>
            </w:pPr>
          </w:p>
        </w:tc>
        <w:tc>
          <w:tcPr>
            <w:tcW w:w="2745" w:type="dxa"/>
          </w:tcPr>
          <w:p w14:paraId="0C872A10">
            <w:pPr>
              <w:pStyle w:val="30"/>
              <w:rPr>
                <w:rFonts w:hint="eastAsia" w:ascii="宋体" w:hAnsi="宋体" w:eastAsia="宋体" w:cs="宋体"/>
                <w:sz w:val="18"/>
                <w:highlight w:val="none"/>
              </w:rPr>
            </w:pPr>
          </w:p>
        </w:tc>
        <w:tc>
          <w:tcPr>
            <w:tcW w:w="1386" w:type="dxa"/>
          </w:tcPr>
          <w:p w14:paraId="71B96CD1">
            <w:pPr>
              <w:pStyle w:val="30"/>
              <w:rPr>
                <w:rFonts w:hint="eastAsia" w:ascii="宋体" w:hAnsi="宋体" w:eastAsia="宋体" w:cs="宋体"/>
                <w:sz w:val="18"/>
                <w:highlight w:val="none"/>
              </w:rPr>
            </w:pPr>
          </w:p>
        </w:tc>
        <w:tc>
          <w:tcPr>
            <w:tcW w:w="2194" w:type="dxa"/>
          </w:tcPr>
          <w:p w14:paraId="0A798F3C">
            <w:pPr>
              <w:pStyle w:val="30"/>
              <w:rPr>
                <w:rFonts w:hint="eastAsia" w:ascii="宋体" w:hAnsi="宋体" w:eastAsia="宋体" w:cs="宋体"/>
                <w:sz w:val="18"/>
                <w:highlight w:val="none"/>
              </w:rPr>
            </w:pPr>
          </w:p>
        </w:tc>
      </w:tr>
      <w:tr w14:paraId="1DD7F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14:paraId="6032B7BF">
            <w:pPr>
              <w:pStyle w:val="30"/>
              <w:rPr>
                <w:rFonts w:hint="eastAsia" w:ascii="宋体" w:hAnsi="宋体" w:eastAsia="宋体" w:cs="宋体"/>
                <w:sz w:val="18"/>
                <w:highlight w:val="none"/>
              </w:rPr>
            </w:pPr>
          </w:p>
        </w:tc>
        <w:tc>
          <w:tcPr>
            <w:tcW w:w="2745" w:type="dxa"/>
          </w:tcPr>
          <w:p w14:paraId="68D1356C">
            <w:pPr>
              <w:pStyle w:val="30"/>
              <w:rPr>
                <w:rFonts w:hint="eastAsia" w:ascii="宋体" w:hAnsi="宋体" w:eastAsia="宋体" w:cs="宋体"/>
                <w:sz w:val="18"/>
                <w:highlight w:val="none"/>
              </w:rPr>
            </w:pPr>
          </w:p>
        </w:tc>
        <w:tc>
          <w:tcPr>
            <w:tcW w:w="1386" w:type="dxa"/>
          </w:tcPr>
          <w:p w14:paraId="4B655678">
            <w:pPr>
              <w:pStyle w:val="30"/>
              <w:rPr>
                <w:rFonts w:hint="eastAsia" w:ascii="宋体" w:hAnsi="宋体" w:eastAsia="宋体" w:cs="宋体"/>
                <w:sz w:val="18"/>
                <w:highlight w:val="none"/>
              </w:rPr>
            </w:pPr>
          </w:p>
        </w:tc>
        <w:tc>
          <w:tcPr>
            <w:tcW w:w="2194" w:type="dxa"/>
          </w:tcPr>
          <w:p w14:paraId="515C99D8">
            <w:pPr>
              <w:pStyle w:val="30"/>
              <w:rPr>
                <w:rFonts w:hint="eastAsia" w:ascii="宋体" w:hAnsi="宋体" w:eastAsia="宋体" w:cs="宋体"/>
                <w:sz w:val="18"/>
                <w:highlight w:val="none"/>
              </w:rPr>
            </w:pPr>
          </w:p>
        </w:tc>
      </w:tr>
      <w:tr w14:paraId="16758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14:paraId="5BB35D4B">
            <w:pPr>
              <w:pStyle w:val="30"/>
              <w:rPr>
                <w:rFonts w:hint="eastAsia" w:ascii="宋体" w:hAnsi="宋体" w:eastAsia="宋体" w:cs="宋体"/>
                <w:sz w:val="18"/>
                <w:highlight w:val="none"/>
              </w:rPr>
            </w:pPr>
          </w:p>
        </w:tc>
        <w:tc>
          <w:tcPr>
            <w:tcW w:w="2745" w:type="dxa"/>
          </w:tcPr>
          <w:p w14:paraId="73702A03">
            <w:pPr>
              <w:pStyle w:val="30"/>
              <w:rPr>
                <w:rFonts w:hint="eastAsia" w:ascii="宋体" w:hAnsi="宋体" w:eastAsia="宋体" w:cs="宋体"/>
                <w:sz w:val="18"/>
                <w:highlight w:val="none"/>
              </w:rPr>
            </w:pPr>
          </w:p>
        </w:tc>
        <w:tc>
          <w:tcPr>
            <w:tcW w:w="1386" w:type="dxa"/>
          </w:tcPr>
          <w:p w14:paraId="4DBB84E1">
            <w:pPr>
              <w:pStyle w:val="30"/>
              <w:rPr>
                <w:rFonts w:hint="eastAsia" w:ascii="宋体" w:hAnsi="宋体" w:eastAsia="宋体" w:cs="宋体"/>
                <w:sz w:val="18"/>
                <w:highlight w:val="none"/>
              </w:rPr>
            </w:pPr>
          </w:p>
        </w:tc>
        <w:tc>
          <w:tcPr>
            <w:tcW w:w="2194" w:type="dxa"/>
          </w:tcPr>
          <w:p w14:paraId="68155930">
            <w:pPr>
              <w:pStyle w:val="30"/>
              <w:rPr>
                <w:rFonts w:hint="eastAsia" w:ascii="宋体" w:hAnsi="宋体" w:eastAsia="宋体" w:cs="宋体"/>
                <w:sz w:val="18"/>
                <w:highlight w:val="none"/>
              </w:rPr>
            </w:pPr>
          </w:p>
        </w:tc>
      </w:tr>
      <w:tr w14:paraId="49D9E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14:paraId="07929AD6">
            <w:pPr>
              <w:pStyle w:val="30"/>
              <w:rPr>
                <w:rFonts w:hint="eastAsia" w:ascii="宋体" w:hAnsi="宋体" w:eastAsia="宋体" w:cs="宋体"/>
                <w:sz w:val="18"/>
                <w:highlight w:val="none"/>
              </w:rPr>
            </w:pPr>
          </w:p>
        </w:tc>
        <w:tc>
          <w:tcPr>
            <w:tcW w:w="2745" w:type="dxa"/>
          </w:tcPr>
          <w:p w14:paraId="097A150E">
            <w:pPr>
              <w:pStyle w:val="30"/>
              <w:rPr>
                <w:rFonts w:hint="eastAsia" w:ascii="宋体" w:hAnsi="宋体" w:eastAsia="宋体" w:cs="宋体"/>
                <w:sz w:val="18"/>
                <w:highlight w:val="none"/>
              </w:rPr>
            </w:pPr>
          </w:p>
        </w:tc>
        <w:tc>
          <w:tcPr>
            <w:tcW w:w="1386" w:type="dxa"/>
          </w:tcPr>
          <w:p w14:paraId="02AE1078">
            <w:pPr>
              <w:pStyle w:val="30"/>
              <w:rPr>
                <w:rFonts w:hint="eastAsia" w:ascii="宋体" w:hAnsi="宋体" w:eastAsia="宋体" w:cs="宋体"/>
                <w:sz w:val="18"/>
                <w:highlight w:val="none"/>
              </w:rPr>
            </w:pPr>
          </w:p>
        </w:tc>
        <w:tc>
          <w:tcPr>
            <w:tcW w:w="2194" w:type="dxa"/>
          </w:tcPr>
          <w:p w14:paraId="7551F475">
            <w:pPr>
              <w:pStyle w:val="30"/>
              <w:rPr>
                <w:rFonts w:hint="eastAsia" w:ascii="宋体" w:hAnsi="宋体" w:eastAsia="宋体" w:cs="宋体"/>
                <w:sz w:val="18"/>
                <w:highlight w:val="none"/>
              </w:rPr>
            </w:pPr>
          </w:p>
        </w:tc>
      </w:tr>
      <w:tr w14:paraId="50248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14:paraId="1F55216A">
            <w:pPr>
              <w:pStyle w:val="30"/>
              <w:rPr>
                <w:rFonts w:hint="eastAsia" w:ascii="宋体" w:hAnsi="宋体" w:eastAsia="宋体" w:cs="宋体"/>
                <w:sz w:val="18"/>
                <w:highlight w:val="none"/>
              </w:rPr>
            </w:pPr>
          </w:p>
        </w:tc>
        <w:tc>
          <w:tcPr>
            <w:tcW w:w="2745" w:type="dxa"/>
          </w:tcPr>
          <w:p w14:paraId="18E4411F">
            <w:pPr>
              <w:pStyle w:val="30"/>
              <w:rPr>
                <w:rFonts w:hint="eastAsia" w:ascii="宋体" w:hAnsi="宋体" w:eastAsia="宋体" w:cs="宋体"/>
                <w:sz w:val="18"/>
                <w:highlight w:val="none"/>
              </w:rPr>
            </w:pPr>
          </w:p>
        </w:tc>
        <w:tc>
          <w:tcPr>
            <w:tcW w:w="1386" w:type="dxa"/>
          </w:tcPr>
          <w:p w14:paraId="00BE939A">
            <w:pPr>
              <w:pStyle w:val="30"/>
              <w:rPr>
                <w:rFonts w:hint="eastAsia" w:ascii="宋体" w:hAnsi="宋体" w:eastAsia="宋体" w:cs="宋体"/>
                <w:sz w:val="18"/>
                <w:highlight w:val="none"/>
              </w:rPr>
            </w:pPr>
          </w:p>
        </w:tc>
        <w:tc>
          <w:tcPr>
            <w:tcW w:w="2194" w:type="dxa"/>
          </w:tcPr>
          <w:p w14:paraId="272F6E90">
            <w:pPr>
              <w:pStyle w:val="30"/>
              <w:rPr>
                <w:rFonts w:hint="eastAsia" w:ascii="宋体" w:hAnsi="宋体" w:eastAsia="宋体" w:cs="宋体"/>
                <w:sz w:val="18"/>
                <w:highlight w:val="none"/>
              </w:rPr>
            </w:pPr>
          </w:p>
        </w:tc>
      </w:tr>
      <w:tr w14:paraId="2CD22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14:paraId="7F26415A">
            <w:pPr>
              <w:pStyle w:val="30"/>
              <w:rPr>
                <w:rFonts w:hint="eastAsia" w:ascii="宋体" w:hAnsi="宋体" w:eastAsia="宋体" w:cs="宋体"/>
                <w:sz w:val="18"/>
                <w:highlight w:val="none"/>
              </w:rPr>
            </w:pPr>
          </w:p>
        </w:tc>
        <w:tc>
          <w:tcPr>
            <w:tcW w:w="2745" w:type="dxa"/>
          </w:tcPr>
          <w:p w14:paraId="5B905B1B">
            <w:pPr>
              <w:pStyle w:val="30"/>
              <w:rPr>
                <w:rFonts w:hint="eastAsia" w:ascii="宋体" w:hAnsi="宋体" w:eastAsia="宋体" w:cs="宋体"/>
                <w:sz w:val="18"/>
                <w:highlight w:val="none"/>
              </w:rPr>
            </w:pPr>
          </w:p>
        </w:tc>
        <w:tc>
          <w:tcPr>
            <w:tcW w:w="1386" w:type="dxa"/>
          </w:tcPr>
          <w:p w14:paraId="2528C68A">
            <w:pPr>
              <w:pStyle w:val="30"/>
              <w:rPr>
                <w:rFonts w:hint="eastAsia" w:ascii="宋体" w:hAnsi="宋体" w:eastAsia="宋体" w:cs="宋体"/>
                <w:sz w:val="18"/>
                <w:highlight w:val="none"/>
              </w:rPr>
            </w:pPr>
          </w:p>
        </w:tc>
        <w:tc>
          <w:tcPr>
            <w:tcW w:w="2194" w:type="dxa"/>
          </w:tcPr>
          <w:p w14:paraId="719659FF">
            <w:pPr>
              <w:pStyle w:val="30"/>
              <w:rPr>
                <w:rFonts w:hint="eastAsia" w:ascii="宋体" w:hAnsi="宋体" w:eastAsia="宋体" w:cs="宋体"/>
                <w:sz w:val="18"/>
                <w:highlight w:val="none"/>
              </w:rPr>
            </w:pPr>
          </w:p>
        </w:tc>
      </w:tr>
      <w:tr w14:paraId="6C798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14:paraId="28700C5E">
            <w:pPr>
              <w:pStyle w:val="30"/>
              <w:rPr>
                <w:rFonts w:hint="eastAsia" w:ascii="宋体" w:hAnsi="宋体" w:eastAsia="宋体" w:cs="宋体"/>
                <w:sz w:val="18"/>
                <w:highlight w:val="none"/>
              </w:rPr>
            </w:pPr>
          </w:p>
        </w:tc>
        <w:tc>
          <w:tcPr>
            <w:tcW w:w="2745" w:type="dxa"/>
          </w:tcPr>
          <w:p w14:paraId="2964849A">
            <w:pPr>
              <w:pStyle w:val="30"/>
              <w:rPr>
                <w:rFonts w:hint="eastAsia" w:ascii="宋体" w:hAnsi="宋体" w:eastAsia="宋体" w:cs="宋体"/>
                <w:sz w:val="18"/>
                <w:highlight w:val="none"/>
              </w:rPr>
            </w:pPr>
          </w:p>
        </w:tc>
        <w:tc>
          <w:tcPr>
            <w:tcW w:w="1386" w:type="dxa"/>
          </w:tcPr>
          <w:p w14:paraId="62A0ADB3">
            <w:pPr>
              <w:pStyle w:val="30"/>
              <w:rPr>
                <w:rFonts w:hint="eastAsia" w:ascii="宋体" w:hAnsi="宋体" w:eastAsia="宋体" w:cs="宋体"/>
                <w:sz w:val="18"/>
                <w:highlight w:val="none"/>
              </w:rPr>
            </w:pPr>
          </w:p>
        </w:tc>
        <w:tc>
          <w:tcPr>
            <w:tcW w:w="2194" w:type="dxa"/>
          </w:tcPr>
          <w:p w14:paraId="0A46DF03">
            <w:pPr>
              <w:pStyle w:val="30"/>
              <w:rPr>
                <w:rFonts w:hint="eastAsia" w:ascii="宋体" w:hAnsi="宋体" w:eastAsia="宋体" w:cs="宋体"/>
                <w:sz w:val="18"/>
                <w:highlight w:val="none"/>
              </w:rPr>
            </w:pPr>
          </w:p>
        </w:tc>
      </w:tr>
      <w:tr w14:paraId="2C1DF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14:paraId="39E1B32D">
            <w:pPr>
              <w:pStyle w:val="30"/>
              <w:rPr>
                <w:rFonts w:hint="eastAsia" w:ascii="宋体" w:hAnsi="宋体" w:eastAsia="宋体" w:cs="宋体"/>
                <w:sz w:val="18"/>
                <w:highlight w:val="none"/>
              </w:rPr>
            </w:pPr>
          </w:p>
        </w:tc>
        <w:tc>
          <w:tcPr>
            <w:tcW w:w="2745" w:type="dxa"/>
          </w:tcPr>
          <w:p w14:paraId="6CB1ED6E">
            <w:pPr>
              <w:pStyle w:val="30"/>
              <w:rPr>
                <w:rFonts w:hint="eastAsia" w:ascii="宋体" w:hAnsi="宋体" w:eastAsia="宋体" w:cs="宋体"/>
                <w:sz w:val="18"/>
                <w:highlight w:val="none"/>
              </w:rPr>
            </w:pPr>
          </w:p>
        </w:tc>
        <w:tc>
          <w:tcPr>
            <w:tcW w:w="1386" w:type="dxa"/>
          </w:tcPr>
          <w:p w14:paraId="30B318D5">
            <w:pPr>
              <w:pStyle w:val="30"/>
              <w:rPr>
                <w:rFonts w:hint="eastAsia" w:ascii="宋体" w:hAnsi="宋体" w:eastAsia="宋体" w:cs="宋体"/>
                <w:sz w:val="18"/>
                <w:highlight w:val="none"/>
              </w:rPr>
            </w:pPr>
          </w:p>
        </w:tc>
        <w:tc>
          <w:tcPr>
            <w:tcW w:w="2194" w:type="dxa"/>
          </w:tcPr>
          <w:p w14:paraId="125A52E6">
            <w:pPr>
              <w:pStyle w:val="30"/>
              <w:rPr>
                <w:rFonts w:hint="eastAsia" w:ascii="宋体" w:hAnsi="宋体" w:eastAsia="宋体" w:cs="宋体"/>
                <w:sz w:val="18"/>
                <w:highlight w:val="none"/>
              </w:rPr>
            </w:pPr>
          </w:p>
        </w:tc>
      </w:tr>
      <w:tr w14:paraId="48E16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14:paraId="7D159DFF">
            <w:pPr>
              <w:pStyle w:val="30"/>
              <w:rPr>
                <w:rFonts w:hint="eastAsia" w:ascii="宋体" w:hAnsi="宋体" w:eastAsia="宋体" w:cs="宋体"/>
                <w:sz w:val="18"/>
                <w:highlight w:val="none"/>
              </w:rPr>
            </w:pPr>
          </w:p>
        </w:tc>
        <w:tc>
          <w:tcPr>
            <w:tcW w:w="2745" w:type="dxa"/>
          </w:tcPr>
          <w:p w14:paraId="0BBE516B">
            <w:pPr>
              <w:pStyle w:val="30"/>
              <w:rPr>
                <w:rFonts w:hint="eastAsia" w:ascii="宋体" w:hAnsi="宋体" w:eastAsia="宋体" w:cs="宋体"/>
                <w:sz w:val="18"/>
                <w:highlight w:val="none"/>
              </w:rPr>
            </w:pPr>
          </w:p>
        </w:tc>
        <w:tc>
          <w:tcPr>
            <w:tcW w:w="1386" w:type="dxa"/>
          </w:tcPr>
          <w:p w14:paraId="2CA983B8">
            <w:pPr>
              <w:pStyle w:val="30"/>
              <w:rPr>
                <w:rFonts w:hint="eastAsia" w:ascii="宋体" w:hAnsi="宋体" w:eastAsia="宋体" w:cs="宋体"/>
                <w:sz w:val="18"/>
                <w:highlight w:val="none"/>
              </w:rPr>
            </w:pPr>
          </w:p>
        </w:tc>
        <w:tc>
          <w:tcPr>
            <w:tcW w:w="2194" w:type="dxa"/>
          </w:tcPr>
          <w:p w14:paraId="7E9B9EB1">
            <w:pPr>
              <w:pStyle w:val="30"/>
              <w:rPr>
                <w:rFonts w:hint="eastAsia" w:ascii="宋体" w:hAnsi="宋体" w:eastAsia="宋体" w:cs="宋体"/>
                <w:sz w:val="18"/>
                <w:highlight w:val="none"/>
              </w:rPr>
            </w:pPr>
          </w:p>
        </w:tc>
      </w:tr>
      <w:tr w14:paraId="044E5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14:paraId="24332C07">
            <w:pPr>
              <w:pStyle w:val="30"/>
              <w:rPr>
                <w:rFonts w:hint="eastAsia" w:ascii="宋体" w:hAnsi="宋体" w:eastAsia="宋体" w:cs="宋体"/>
                <w:sz w:val="18"/>
                <w:highlight w:val="none"/>
              </w:rPr>
            </w:pPr>
          </w:p>
        </w:tc>
        <w:tc>
          <w:tcPr>
            <w:tcW w:w="2745" w:type="dxa"/>
          </w:tcPr>
          <w:p w14:paraId="492070DB">
            <w:pPr>
              <w:pStyle w:val="30"/>
              <w:rPr>
                <w:rFonts w:hint="eastAsia" w:ascii="宋体" w:hAnsi="宋体" w:eastAsia="宋体" w:cs="宋体"/>
                <w:sz w:val="18"/>
                <w:highlight w:val="none"/>
              </w:rPr>
            </w:pPr>
          </w:p>
        </w:tc>
        <w:tc>
          <w:tcPr>
            <w:tcW w:w="1386" w:type="dxa"/>
          </w:tcPr>
          <w:p w14:paraId="2F1CBDE8">
            <w:pPr>
              <w:pStyle w:val="30"/>
              <w:rPr>
                <w:rFonts w:hint="eastAsia" w:ascii="宋体" w:hAnsi="宋体" w:eastAsia="宋体" w:cs="宋体"/>
                <w:sz w:val="18"/>
                <w:highlight w:val="none"/>
              </w:rPr>
            </w:pPr>
          </w:p>
        </w:tc>
        <w:tc>
          <w:tcPr>
            <w:tcW w:w="2194" w:type="dxa"/>
          </w:tcPr>
          <w:p w14:paraId="1061AB5B">
            <w:pPr>
              <w:pStyle w:val="30"/>
              <w:rPr>
                <w:rFonts w:hint="eastAsia" w:ascii="宋体" w:hAnsi="宋体" w:eastAsia="宋体" w:cs="宋体"/>
                <w:sz w:val="18"/>
                <w:highlight w:val="none"/>
              </w:rPr>
            </w:pPr>
          </w:p>
        </w:tc>
      </w:tr>
      <w:tr w14:paraId="1BA85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14:paraId="44DEBD97">
            <w:pPr>
              <w:pStyle w:val="30"/>
              <w:rPr>
                <w:rFonts w:hint="eastAsia" w:ascii="宋体" w:hAnsi="宋体" w:eastAsia="宋体" w:cs="宋体"/>
                <w:sz w:val="18"/>
                <w:highlight w:val="none"/>
              </w:rPr>
            </w:pPr>
          </w:p>
        </w:tc>
        <w:tc>
          <w:tcPr>
            <w:tcW w:w="2745" w:type="dxa"/>
          </w:tcPr>
          <w:p w14:paraId="7CE87FF5">
            <w:pPr>
              <w:pStyle w:val="30"/>
              <w:rPr>
                <w:rFonts w:hint="eastAsia" w:ascii="宋体" w:hAnsi="宋体" w:eastAsia="宋体" w:cs="宋体"/>
                <w:sz w:val="18"/>
                <w:highlight w:val="none"/>
              </w:rPr>
            </w:pPr>
          </w:p>
        </w:tc>
        <w:tc>
          <w:tcPr>
            <w:tcW w:w="1386" w:type="dxa"/>
          </w:tcPr>
          <w:p w14:paraId="5549F422">
            <w:pPr>
              <w:pStyle w:val="30"/>
              <w:rPr>
                <w:rFonts w:hint="eastAsia" w:ascii="宋体" w:hAnsi="宋体" w:eastAsia="宋体" w:cs="宋体"/>
                <w:sz w:val="18"/>
                <w:highlight w:val="none"/>
              </w:rPr>
            </w:pPr>
          </w:p>
        </w:tc>
        <w:tc>
          <w:tcPr>
            <w:tcW w:w="2194" w:type="dxa"/>
          </w:tcPr>
          <w:p w14:paraId="5475E295">
            <w:pPr>
              <w:pStyle w:val="30"/>
              <w:rPr>
                <w:rFonts w:hint="eastAsia" w:ascii="宋体" w:hAnsi="宋体" w:eastAsia="宋体" w:cs="宋体"/>
                <w:sz w:val="18"/>
                <w:highlight w:val="none"/>
              </w:rPr>
            </w:pPr>
          </w:p>
        </w:tc>
      </w:tr>
      <w:tr w14:paraId="0AD0A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14:paraId="36ABF7AA">
            <w:pPr>
              <w:pStyle w:val="30"/>
              <w:rPr>
                <w:rFonts w:hint="eastAsia" w:ascii="宋体" w:hAnsi="宋体" w:eastAsia="宋体" w:cs="宋体"/>
                <w:sz w:val="18"/>
                <w:highlight w:val="none"/>
              </w:rPr>
            </w:pPr>
          </w:p>
        </w:tc>
        <w:tc>
          <w:tcPr>
            <w:tcW w:w="2745" w:type="dxa"/>
          </w:tcPr>
          <w:p w14:paraId="6C106E69">
            <w:pPr>
              <w:pStyle w:val="30"/>
              <w:rPr>
                <w:rFonts w:hint="eastAsia" w:ascii="宋体" w:hAnsi="宋体" w:eastAsia="宋体" w:cs="宋体"/>
                <w:sz w:val="18"/>
                <w:highlight w:val="none"/>
              </w:rPr>
            </w:pPr>
          </w:p>
        </w:tc>
        <w:tc>
          <w:tcPr>
            <w:tcW w:w="1386" w:type="dxa"/>
          </w:tcPr>
          <w:p w14:paraId="5A458CCB">
            <w:pPr>
              <w:pStyle w:val="30"/>
              <w:rPr>
                <w:rFonts w:hint="eastAsia" w:ascii="宋体" w:hAnsi="宋体" w:eastAsia="宋体" w:cs="宋体"/>
                <w:sz w:val="18"/>
                <w:highlight w:val="none"/>
              </w:rPr>
            </w:pPr>
          </w:p>
        </w:tc>
        <w:tc>
          <w:tcPr>
            <w:tcW w:w="2194" w:type="dxa"/>
          </w:tcPr>
          <w:p w14:paraId="2262891E">
            <w:pPr>
              <w:pStyle w:val="30"/>
              <w:rPr>
                <w:rFonts w:hint="eastAsia" w:ascii="宋体" w:hAnsi="宋体" w:eastAsia="宋体" w:cs="宋体"/>
                <w:sz w:val="18"/>
                <w:highlight w:val="none"/>
              </w:rPr>
            </w:pPr>
          </w:p>
        </w:tc>
      </w:tr>
      <w:tr w14:paraId="7C4F5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14:paraId="3095020E">
            <w:pPr>
              <w:pStyle w:val="30"/>
              <w:rPr>
                <w:rFonts w:hint="eastAsia" w:ascii="宋体" w:hAnsi="宋体" w:eastAsia="宋体" w:cs="宋体"/>
                <w:sz w:val="18"/>
                <w:highlight w:val="none"/>
              </w:rPr>
            </w:pPr>
          </w:p>
        </w:tc>
        <w:tc>
          <w:tcPr>
            <w:tcW w:w="2745" w:type="dxa"/>
          </w:tcPr>
          <w:p w14:paraId="2A749498">
            <w:pPr>
              <w:pStyle w:val="30"/>
              <w:rPr>
                <w:rFonts w:hint="eastAsia" w:ascii="宋体" w:hAnsi="宋体" w:eastAsia="宋体" w:cs="宋体"/>
                <w:sz w:val="18"/>
                <w:highlight w:val="none"/>
              </w:rPr>
            </w:pPr>
          </w:p>
        </w:tc>
        <w:tc>
          <w:tcPr>
            <w:tcW w:w="1386" w:type="dxa"/>
          </w:tcPr>
          <w:p w14:paraId="702C915E">
            <w:pPr>
              <w:pStyle w:val="30"/>
              <w:rPr>
                <w:rFonts w:hint="eastAsia" w:ascii="宋体" w:hAnsi="宋体" w:eastAsia="宋体" w:cs="宋体"/>
                <w:sz w:val="18"/>
                <w:highlight w:val="none"/>
              </w:rPr>
            </w:pPr>
          </w:p>
        </w:tc>
        <w:tc>
          <w:tcPr>
            <w:tcW w:w="2194" w:type="dxa"/>
          </w:tcPr>
          <w:p w14:paraId="0D758077">
            <w:pPr>
              <w:pStyle w:val="30"/>
              <w:rPr>
                <w:rFonts w:hint="eastAsia" w:ascii="宋体" w:hAnsi="宋体" w:eastAsia="宋体" w:cs="宋体"/>
                <w:sz w:val="18"/>
                <w:highlight w:val="none"/>
              </w:rPr>
            </w:pPr>
          </w:p>
        </w:tc>
      </w:tr>
      <w:tr w14:paraId="0BA90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14:paraId="21195BD8">
            <w:pPr>
              <w:pStyle w:val="30"/>
              <w:rPr>
                <w:rFonts w:hint="eastAsia" w:ascii="宋体" w:hAnsi="宋体" w:eastAsia="宋体" w:cs="宋体"/>
                <w:sz w:val="18"/>
                <w:highlight w:val="none"/>
              </w:rPr>
            </w:pPr>
          </w:p>
        </w:tc>
        <w:tc>
          <w:tcPr>
            <w:tcW w:w="2745" w:type="dxa"/>
          </w:tcPr>
          <w:p w14:paraId="7A54A1E2">
            <w:pPr>
              <w:pStyle w:val="30"/>
              <w:rPr>
                <w:rFonts w:hint="eastAsia" w:ascii="宋体" w:hAnsi="宋体" w:eastAsia="宋体" w:cs="宋体"/>
                <w:sz w:val="18"/>
                <w:highlight w:val="none"/>
              </w:rPr>
            </w:pPr>
          </w:p>
        </w:tc>
        <w:tc>
          <w:tcPr>
            <w:tcW w:w="1386" w:type="dxa"/>
          </w:tcPr>
          <w:p w14:paraId="2918A406">
            <w:pPr>
              <w:pStyle w:val="30"/>
              <w:rPr>
                <w:rFonts w:hint="eastAsia" w:ascii="宋体" w:hAnsi="宋体" w:eastAsia="宋体" w:cs="宋体"/>
                <w:sz w:val="18"/>
                <w:highlight w:val="none"/>
              </w:rPr>
            </w:pPr>
          </w:p>
        </w:tc>
        <w:tc>
          <w:tcPr>
            <w:tcW w:w="2194" w:type="dxa"/>
          </w:tcPr>
          <w:p w14:paraId="6F34DA1E">
            <w:pPr>
              <w:pStyle w:val="30"/>
              <w:rPr>
                <w:rFonts w:hint="eastAsia" w:ascii="宋体" w:hAnsi="宋体" w:eastAsia="宋体" w:cs="宋体"/>
                <w:sz w:val="18"/>
                <w:highlight w:val="none"/>
              </w:rPr>
            </w:pPr>
          </w:p>
        </w:tc>
      </w:tr>
    </w:tbl>
    <w:p w14:paraId="266CB6E1">
      <w:pPr>
        <w:pStyle w:val="10"/>
        <w:rPr>
          <w:rFonts w:hint="eastAsia" w:ascii="宋体" w:hAnsi="宋体" w:eastAsia="宋体" w:cs="宋体"/>
          <w:sz w:val="20"/>
          <w:highlight w:val="none"/>
        </w:rPr>
      </w:pPr>
    </w:p>
    <w:p w14:paraId="45982BDA">
      <w:pPr>
        <w:pStyle w:val="10"/>
        <w:rPr>
          <w:rFonts w:hint="eastAsia" w:ascii="宋体" w:hAnsi="宋体" w:eastAsia="宋体" w:cs="宋体"/>
          <w:sz w:val="20"/>
          <w:highlight w:val="none"/>
        </w:rPr>
      </w:pPr>
    </w:p>
    <w:p w14:paraId="053D1243">
      <w:pPr>
        <w:pStyle w:val="10"/>
        <w:rPr>
          <w:rFonts w:hint="eastAsia" w:ascii="宋体" w:hAnsi="宋体" w:eastAsia="宋体" w:cs="宋体"/>
          <w:sz w:val="20"/>
          <w:highlight w:val="none"/>
        </w:rPr>
      </w:pPr>
    </w:p>
    <w:p w14:paraId="284A3921">
      <w:pPr>
        <w:pStyle w:val="10"/>
        <w:spacing w:before="12"/>
        <w:rPr>
          <w:rFonts w:hint="eastAsia" w:ascii="宋体" w:hAnsi="宋体" w:eastAsia="宋体" w:cs="宋体"/>
          <w:sz w:val="22"/>
          <w:highlight w:val="none"/>
        </w:rPr>
      </w:pPr>
    </w:p>
    <w:p w14:paraId="18FCE678">
      <w:pPr>
        <w:pStyle w:val="10"/>
        <w:spacing w:before="10"/>
        <w:rPr>
          <w:rFonts w:hint="eastAsia" w:ascii="宋体" w:hAnsi="宋体" w:eastAsia="宋体" w:cs="宋体"/>
          <w:sz w:val="17"/>
          <w:highlight w:val="none"/>
        </w:rPr>
      </w:pPr>
    </w:p>
    <w:p w14:paraId="16247521">
      <w:pPr>
        <w:rPr>
          <w:rFonts w:hint="eastAsia" w:ascii="宋体" w:hAnsi="宋体" w:eastAsia="宋体" w:cs="宋体"/>
          <w:sz w:val="17"/>
          <w:highlight w:val="none"/>
        </w:rPr>
        <w:sectPr>
          <w:pgSz w:w="11910" w:h="16840"/>
          <w:pgMar w:top="1360" w:right="1120" w:bottom="1080" w:left="1260" w:header="882" w:footer="845" w:gutter="0"/>
          <w:cols w:space="720" w:num="1"/>
        </w:sectPr>
      </w:pPr>
    </w:p>
    <w:p w14:paraId="1985A565">
      <w:pPr>
        <w:pStyle w:val="10"/>
        <w:spacing w:before="67"/>
        <w:ind w:left="583"/>
        <w:rPr>
          <w:rFonts w:hint="eastAsia" w:ascii="宋体" w:hAnsi="宋体" w:eastAsia="宋体" w:cs="宋体"/>
          <w:highlight w:val="none"/>
        </w:rPr>
      </w:pPr>
      <w:bookmarkStart w:id="82" w:name="附件六_项目经理委任书"/>
      <w:bookmarkEnd w:id="82"/>
    </w:p>
    <w:p w14:paraId="4DEB626B">
      <w:pPr>
        <w:pStyle w:val="10"/>
        <w:spacing w:before="67"/>
        <w:ind w:left="583"/>
        <w:rPr>
          <w:rFonts w:hint="eastAsia" w:ascii="宋体" w:hAnsi="宋体" w:eastAsia="宋体" w:cs="宋体"/>
          <w:highlight w:val="none"/>
        </w:rPr>
      </w:pPr>
    </w:p>
    <w:p w14:paraId="54F4F068">
      <w:pPr>
        <w:pStyle w:val="10"/>
        <w:spacing w:before="67"/>
        <w:ind w:left="583"/>
        <w:rPr>
          <w:rFonts w:hint="eastAsia" w:ascii="宋体" w:hAnsi="宋体" w:eastAsia="宋体" w:cs="宋体"/>
          <w:highlight w:val="none"/>
        </w:rPr>
      </w:pPr>
    </w:p>
    <w:p w14:paraId="6B59BB79">
      <w:pPr>
        <w:pStyle w:val="10"/>
        <w:spacing w:before="67"/>
        <w:ind w:left="583"/>
        <w:rPr>
          <w:rFonts w:hint="eastAsia" w:ascii="宋体" w:hAnsi="宋体" w:eastAsia="宋体" w:cs="宋体"/>
          <w:highlight w:val="none"/>
        </w:rPr>
      </w:pPr>
    </w:p>
    <w:p w14:paraId="64C2FFBB">
      <w:pPr>
        <w:pStyle w:val="10"/>
        <w:spacing w:before="67"/>
        <w:ind w:left="583"/>
        <w:rPr>
          <w:rFonts w:hint="eastAsia" w:ascii="宋体" w:hAnsi="宋体" w:eastAsia="宋体" w:cs="宋体"/>
          <w:highlight w:val="none"/>
        </w:rPr>
      </w:pPr>
    </w:p>
    <w:p w14:paraId="3844EFBC">
      <w:pPr>
        <w:pStyle w:val="10"/>
        <w:spacing w:before="67"/>
        <w:ind w:left="583"/>
        <w:rPr>
          <w:rFonts w:hint="eastAsia" w:ascii="宋体" w:hAnsi="宋体" w:eastAsia="宋体" w:cs="宋体"/>
          <w:highlight w:val="none"/>
        </w:rPr>
      </w:pPr>
    </w:p>
    <w:p w14:paraId="390ED3E1">
      <w:pPr>
        <w:pStyle w:val="10"/>
        <w:spacing w:before="67"/>
        <w:ind w:left="583"/>
        <w:rPr>
          <w:rFonts w:hint="eastAsia" w:ascii="宋体" w:hAnsi="宋体" w:eastAsia="宋体" w:cs="宋体"/>
          <w:highlight w:val="none"/>
        </w:rPr>
      </w:pPr>
    </w:p>
    <w:p w14:paraId="788E9D3C">
      <w:pPr>
        <w:pStyle w:val="10"/>
        <w:spacing w:before="67"/>
        <w:ind w:left="583"/>
        <w:rPr>
          <w:rFonts w:hint="eastAsia" w:ascii="宋体" w:hAnsi="宋体" w:eastAsia="宋体" w:cs="宋体"/>
          <w:highlight w:val="none"/>
        </w:rPr>
      </w:pPr>
    </w:p>
    <w:p w14:paraId="46682D22">
      <w:pPr>
        <w:pStyle w:val="10"/>
        <w:spacing w:before="67"/>
        <w:ind w:left="583"/>
        <w:rPr>
          <w:rFonts w:hint="eastAsia" w:ascii="宋体" w:hAnsi="宋体" w:eastAsia="宋体" w:cs="宋体"/>
          <w:highlight w:val="none"/>
        </w:rPr>
      </w:pPr>
    </w:p>
    <w:p w14:paraId="73831245">
      <w:pPr>
        <w:pStyle w:val="28"/>
        <w:rPr>
          <w:rFonts w:hint="eastAsia" w:ascii="宋体" w:hAnsi="宋体" w:eastAsia="宋体" w:cs="宋体"/>
          <w:highlight w:val="none"/>
        </w:rPr>
      </w:pPr>
    </w:p>
    <w:p w14:paraId="667A62AE">
      <w:pPr>
        <w:pStyle w:val="10"/>
        <w:spacing w:before="67"/>
        <w:ind w:left="583"/>
        <w:rPr>
          <w:rFonts w:hint="eastAsia" w:ascii="宋体" w:hAnsi="宋体" w:eastAsia="宋体" w:cs="宋体"/>
          <w:highlight w:val="none"/>
        </w:rPr>
      </w:pPr>
    </w:p>
    <w:p w14:paraId="0E2DF7B8">
      <w:pPr>
        <w:pStyle w:val="10"/>
        <w:spacing w:before="67"/>
        <w:ind w:left="583"/>
        <w:rPr>
          <w:rFonts w:hint="eastAsia" w:ascii="宋体" w:hAnsi="宋体" w:eastAsia="宋体" w:cs="宋体"/>
          <w:highlight w:val="none"/>
        </w:rPr>
      </w:pPr>
      <w:r>
        <w:rPr>
          <w:rFonts w:hint="eastAsia" w:ascii="宋体" w:hAnsi="宋体" w:eastAsia="宋体" w:cs="宋体"/>
          <w:highlight w:val="none"/>
        </w:rPr>
        <w:t>附件六 项目经理委任书</w:t>
      </w:r>
    </w:p>
    <w:p w14:paraId="4EC32780">
      <w:pPr>
        <w:pStyle w:val="10"/>
        <w:spacing w:before="5"/>
        <w:rPr>
          <w:rFonts w:hint="eastAsia" w:ascii="宋体" w:hAnsi="宋体" w:eastAsia="宋体" w:cs="宋体"/>
          <w:sz w:val="32"/>
          <w:highlight w:val="none"/>
        </w:rPr>
      </w:pPr>
      <w:r>
        <w:rPr>
          <w:rFonts w:hint="eastAsia" w:ascii="宋体" w:hAnsi="宋体" w:eastAsia="宋体" w:cs="宋体"/>
          <w:highlight w:val="none"/>
        </w:rPr>
        <w:br w:type="column"/>
      </w:r>
    </w:p>
    <w:p w14:paraId="194EEDBE">
      <w:pPr>
        <w:ind w:left="583"/>
        <w:rPr>
          <w:rFonts w:hint="eastAsia" w:ascii="宋体" w:hAnsi="宋体" w:eastAsia="宋体" w:cs="宋体"/>
          <w:sz w:val="28"/>
          <w:highlight w:val="none"/>
          <w:u w:val="single"/>
        </w:rPr>
      </w:pPr>
    </w:p>
    <w:p w14:paraId="4E5181B5">
      <w:pPr>
        <w:ind w:left="583"/>
        <w:rPr>
          <w:rFonts w:hint="eastAsia" w:ascii="宋体" w:hAnsi="宋体" w:eastAsia="宋体" w:cs="宋体"/>
          <w:sz w:val="28"/>
          <w:highlight w:val="none"/>
        </w:rPr>
      </w:pPr>
      <w:r>
        <w:rPr>
          <w:rFonts w:hint="eastAsia" w:ascii="宋体" w:hAnsi="宋体" w:eastAsia="宋体" w:cs="宋体"/>
          <w:sz w:val="28"/>
          <w:highlight w:val="none"/>
          <w:u w:val="single"/>
        </w:rPr>
        <w:t>（承包人全称）</w:t>
      </w:r>
    </w:p>
    <w:p w14:paraId="49A57434">
      <w:pPr>
        <w:rPr>
          <w:rFonts w:hint="eastAsia" w:ascii="宋体" w:hAnsi="宋体" w:eastAsia="宋体" w:cs="宋体"/>
          <w:sz w:val="28"/>
          <w:highlight w:val="none"/>
        </w:rPr>
        <w:sectPr>
          <w:type w:val="continuous"/>
          <w:pgSz w:w="11910" w:h="16840"/>
          <w:pgMar w:top="1580" w:right="1120" w:bottom="280" w:left="1260" w:header="720" w:footer="720" w:gutter="0"/>
          <w:cols w:equalWidth="0" w:num="2">
            <w:col w:w="3144" w:space="130"/>
            <w:col w:w="6256"/>
          </w:cols>
        </w:sectPr>
      </w:pPr>
    </w:p>
    <w:p w14:paraId="4CD82A59">
      <w:pPr>
        <w:spacing w:before="42"/>
        <w:ind w:left="147"/>
        <w:jc w:val="center"/>
        <w:rPr>
          <w:rFonts w:hint="eastAsia" w:ascii="宋体" w:hAnsi="宋体" w:eastAsia="宋体" w:cs="宋体"/>
          <w:sz w:val="28"/>
          <w:highlight w:val="none"/>
        </w:rPr>
      </w:pPr>
      <w:r>
        <w:rPr>
          <w:rFonts w:hint="eastAsia" w:ascii="宋体" w:hAnsi="宋体" w:eastAsia="宋体" w:cs="宋体"/>
          <w:sz w:val="28"/>
          <w:highlight w:val="none"/>
          <w:u w:val="single"/>
        </w:rPr>
        <w:t xml:space="preserve">（合同工程名称） </w:t>
      </w:r>
      <w:r>
        <w:rPr>
          <w:rFonts w:hint="eastAsia" w:ascii="宋体" w:hAnsi="宋体" w:eastAsia="宋体" w:cs="宋体"/>
          <w:sz w:val="28"/>
          <w:highlight w:val="none"/>
        </w:rPr>
        <w:t>项目经理委任书</w:t>
      </w:r>
    </w:p>
    <w:p w14:paraId="211F6468">
      <w:pPr>
        <w:pStyle w:val="10"/>
        <w:rPr>
          <w:rFonts w:hint="eastAsia" w:ascii="宋体" w:hAnsi="宋体" w:eastAsia="宋体" w:cs="宋体"/>
          <w:sz w:val="28"/>
          <w:highlight w:val="none"/>
        </w:rPr>
      </w:pPr>
    </w:p>
    <w:p w14:paraId="40E9F2FA">
      <w:pPr>
        <w:pStyle w:val="10"/>
        <w:spacing w:before="7"/>
        <w:rPr>
          <w:rFonts w:hint="eastAsia" w:ascii="宋体" w:hAnsi="宋体" w:eastAsia="宋体" w:cs="宋体"/>
          <w:sz w:val="41"/>
          <w:highlight w:val="none"/>
        </w:rPr>
      </w:pPr>
    </w:p>
    <w:p w14:paraId="15A14531">
      <w:pPr>
        <w:pStyle w:val="10"/>
        <w:ind w:left="583"/>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（发包人全称）</w:t>
      </w:r>
    </w:p>
    <w:p w14:paraId="20B87743">
      <w:pPr>
        <w:pStyle w:val="10"/>
        <w:spacing w:before="93" w:line="312" w:lineRule="auto"/>
        <w:ind w:left="384" w:right="382" w:firstLine="616"/>
        <w:jc w:val="both"/>
        <w:rPr>
          <w:rFonts w:hint="eastAsia" w:ascii="宋体" w:hAnsi="宋体" w:eastAsia="宋体" w:cs="宋体"/>
          <w:highlight w:val="none"/>
        </w:rPr>
      </w:pPr>
      <w:r>
        <w:rPr>
          <w:rFonts w:hint="eastAsia" w:ascii="宋体" w:hAnsi="宋体" w:eastAsia="宋体" w:cs="宋体"/>
          <w:highlight w:val="none"/>
          <w:u w:val="single"/>
        </w:rPr>
        <w:t xml:space="preserve">    （承包人全称）</w:t>
      </w:r>
      <w:r>
        <w:rPr>
          <w:rFonts w:hint="eastAsia" w:ascii="宋体" w:hAnsi="宋体" w:eastAsia="宋体" w:cs="宋体"/>
          <w:spacing w:val="-5"/>
          <w:highlight w:val="none"/>
        </w:rPr>
        <w:t xml:space="preserve"> 法定代表人</w:t>
      </w:r>
      <w:r>
        <w:rPr>
          <w:rFonts w:hint="eastAsia" w:ascii="宋体" w:hAnsi="宋体" w:eastAsia="宋体" w:cs="宋体"/>
          <w:spacing w:val="-5"/>
          <w:highlight w:val="none"/>
          <w:u w:val="single"/>
        </w:rPr>
        <w:t xml:space="preserve"> </w:t>
      </w:r>
      <w:r>
        <w:rPr>
          <w:rFonts w:hint="eastAsia" w:ascii="宋体" w:hAnsi="宋体" w:eastAsia="宋体" w:cs="宋体"/>
          <w:highlight w:val="none"/>
          <w:u w:val="single"/>
        </w:rPr>
        <w:t>（</w:t>
      </w:r>
      <w:r>
        <w:rPr>
          <w:rFonts w:hint="eastAsia" w:ascii="宋体" w:hAnsi="宋体" w:eastAsia="宋体" w:cs="宋体"/>
          <w:spacing w:val="-4"/>
          <w:highlight w:val="none"/>
          <w:u w:val="single"/>
        </w:rPr>
        <w:t>职务、姓名</w:t>
      </w:r>
      <w:r>
        <w:rPr>
          <w:rFonts w:hint="eastAsia" w:ascii="宋体" w:hAnsi="宋体" w:eastAsia="宋体" w:cs="宋体"/>
          <w:highlight w:val="none"/>
          <w:u w:val="single"/>
        </w:rPr>
        <w:t>）</w:t>
      </w:r>
      <w:r>
        <w:rPr>
          <w:rFonts w:hint="eastAsia" w:ascii="宋体" w:hAnsi="宋体" w:eastAsia="宋体" w:cs="宋体"/>
          <w:spacing w:val="-4"/>
          <w:highlight w:val="none"/>
        </w:rPr>
        <w:t xml:space="preserve"> 代表本单位委任</w:t>
      </w:r>
      <w:r>
        <w:rPr>
          <w:rFonts w:hint="eastAsia" w:ascii="宋体" w:hAnsi="宋体" w:eastAsia="宋体" w:cs="宋体"/>
          <w:spacing w:val="-4"/>
          <w:highlight w:val="none"/>
          <w:u w:val="single"/>
        </w:rPr>
        <w:t xml:space="preserve"> </w:t>
      </w:r>
      <w:r>
        <w:rPr>
          <w:rFonts w:hint="eastAsia" w:ascii="宋体" w:hAnsi="宋体" w:eastAsia="宋体" w:cs="宋体"/>
          <w:highlight w:val="none"/>
          <w:u w:val="single"/>
        </w:rPr>
        <w:t>（</w:t>
      </w:r>
      <w:r>
        <w:rPr>
          <w:rFonts w:hint="eastAsia" w:ascii="宋体" w:hAnsi="宋体" w:eastAsia="宋体" w:cs="宋体"/>
          <w:spacing w:val="-5"/>
          <w:highlight w:val="none"/>
          <w:u w:val="single"/>
        </w:rPr>
        <w:t>职务、姓</w:t>
      </w:r>
      <w:r>
        <w:rPr>
          <w:rFonts w:hint="eastAsia" w:ascii="宋体" w:hAnsi="宋体" w:eastAsia="宋体" w:cs="宋体"/>
          <w:spacing w:val="-172"/>
          <w:highlight w:val="none"/>
          <w:u w:val="single"/>
        </w:rPr>
        <w:t>名</w:t>
      </w:r>
      <w:r>
        <w:rPr>
          <w:rFonts w:hint="eastAsia" w:ascii="宋体" w:hAnsi="宋体" w:eastAsia="宋体" w:cs="宋体"/>
          <w:spacing w:val="-220"/>
          <w:highlight w:val="none"/>
          <w:u w:val="single"/>
        </w:rPr>
        <w:t>）</w:t>
      </w:r>
      <w:r>
        <w:rPr>
          <w:rFonts w:hint="eastAsia" w:ascii="宋体" w:hAnsi="宋体" w:eastAsia="宋体" w:cs="宋体"/>
          <w:spacing w:val="-118"/>
          <w:highlight w:val="none"/>
        </w:rPr>
        <w:t xml:space="preserve"> </w:t>
      </w:r>
      <w:r>
        <w:rPr>
          <w:rFonts w:hint="eastAsia" w:ascii="宋体" w:hAnsi="宋体" w:eastAsia="宋体" w:cs="宋体"/>
          <w:spacing w:val="-15"/>
          <w:highlight w:val="none"/>
        </w:rPr>
        <w:t>为</w:t>
      </w:r>
      <w:r>
        <w:rPr>
          <w:rFonts w:hint="eastAsia" w:ascii="宋体" w:hAnsi="宋体" w:eastAsia="宋体" w:cs="宋体"/>
          <w:highlight w:val="none"/>
          <w:u w:val="single"/>
        </w:rPr>
        <w:t>（合同工程名称</w:t>
      </w:r>
      <w:r>
        <w:rPr>
          <w:rFonts w:hint="eastAsia" w:ascii="宋体" w:hAnsi="宋体" w:eastAsia="宋体" w:cs="宋体"/>
          <w:spacing w:val="-15"/>
          <w:highlight w:val="none"/>
          <w:u w:val="single"/>
        </w:rPr>
        <w:t>）</w:t>
      </w:r>
      <w:r>
        <w:rPr>
          <w:rFonts w:hint="eastAsia" w:ascii="宋体" w:hAnsi="宋体" w:eastAsia="宋体" w:cs="宋体"/>
          <w:spacing w:val="-5"/>
          <w:highlight w:val="none"/>
        </w:rPr>
        <w:t>的项目经理。凡本合同执行中的有关技术、工程进度、现场管理、质量检验、结算与支付等方面工作，由</w:t>
      </w:r>
      <w:r>
        <w:rPr>
          <w:rFonts w:hint="eastAsia" w:ascii="宋体" w:hAnsi="宋体" w:eastAsia="宋体" w:cs="宋体"/>
          <w:spacing w:val="-5"/>
          <w:highlight w:val="none"/>
          <w:u w:val="single"/>
        </w:rPr>
        <w:t xml:space="preserve"> （姓名） </w:t>
      </w:r>
      <w:r>
        <w:rPr>
          <w:rFonts w:hint="eastAsia" w:ascii="宋体" w:hAnsi="宋体" w:eastAsia="宋体" w:cs="宋体"/>
          <w:spacing w:val="-5"/>
          <w:highlight w:val="none"/>
        </w:rPr>
        <w:t>代表本单位全面负责。</w:t>
      </w:r>
    </w:p>
    <w:p w14:paraId="79092DA2">
      <w:pPr>
        <w:pStyle w:val="10"/>
        <w:spacing w:before="2"/>
        <w:rPr>
          <w:rFonts w:hint="eastAsia" w:ascii="宋体" w:hAnsi="宋体" w:eastAsia="宋体" w:cs="宋体"/>
          <w:sz w:val="31"/>
          <w:highlight w:val="none"/>
        </w:rPr>
      </w:pPr>
    </w:p>
    <w:p w14:paraId="2C82653C">
      <w:pPr>
        <w:pStyle w:val="10"/>
        <w:tabs>
          <w:tab w:val="left" w:pos="7267"/>
          <w:tab w:val="left" w:pos="7739"/>
          <w:tab w:val="left" w:pos="9059"/>
        </w:tabs>
        <w:spacing w:line="312" w:lineRule="auto"/>
        <w:ind w:left="4987" w:right="346" w:hanging="564"/>
        <w:rPr>
          <w:rFonts w:hint="eastAsia" w:ascii="宋体" w:hAnsi="宋体" w:eastAsia="宋体" w:cs="宋体"/>
          <w:highlight w:val="none"/>
        </w:rPr>
      </w:pPr>
      <w:r>
        <w:rPr>
          <w:rFonts w:hint="eastAsia" w:ascii="宋体" w:hAnsi="宋体" w:eastAsia="宋体" w:cs="宋体"/>
          <w:highlight w:val="none"/>
        </w:rPr>
        <w:t>承包人：</w:t>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u w:val="single"/>
        </w:rPr>
        <w:t>（</w:t>
      </w:r>
      <w:r>
        <w:rPr>
          <w:rFonts w:hint="eastAsia" w:ascii="宋体" w:hAnsi="宋体" w:eastAsia="宋体" w:cs="宋体"/>
          <w:highlight w:val="none"/>
        </w:rPr>
        <w:t>盖单位章</w:t>
      </w:r>
      <w:r>
        <w:rPr>
          <w:rFonts w:hint="eastAsia" w:ascii="宋体" w:hAnsi="宋体" w:eastAsia="宋体" w:cs="宋体"/>
          <w:spacing w:val="-18"/>
          <w:highlight w:val="none"/>
        </w:rPr>
        <w:t xml:space="preserve">） </w:t>
      </w:r>
      <w:r>
        <w:rPr>
          <w:rFonts w:hint="eastAsia" w:ascii="宋体" w:hAnsi="宋体" w:eastAsia="宋体" w:cs="宋体"/>
          <w:highlight w:val="none"/>
        </w:rPr>
        <w:t>法定代表人：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（职务）</w:t>
      </w:r>
      <w:r>
        <w:rPr>
          <w:rFonts w:hint="eastAsia" w:ascii="宋体" w:hAnsi="宋体" w:eastAsia="宋体" w:cs="宋体"/>
          <w:highlight w:val="none"/>
          <w:u w:val="single"/>
        </w:rPr>
        <w:tab/>
      </w:r>
    </w:p>
    <w:p w14:paraId="07F3B88A">
      <w:pPr>
        <w:pStyle w:val="10"/>
        <w:tabs>
          <w:tab w:val="left" w:pos="7543"/>
          <w:tab w:val="left" w:pos="9059"/>
        </w:tabs>
        <w:spacing w:before="3"/>
        <w:ind w:left="6703"/>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（姓名）</w:t>
      </w:r>
      <w:r>
        <w:rPr>
          <w:rFonts w:hint="eastAsia" w:ascii="宋体" w:hAnsi="宋体" w:eastAsia="宋体" w:cs="宋体"/>
          <w:highlight w:val="none"/>
          <w:u w:val="single"/>
        </w:rPr>
        <w:tab/>
      </w:r>
    </w:p>
    <w:p w14:paraId="52834630">
      <w:pPr>
        <w:pStyle w:val="10"/>
        <w:tabs>
          <w:tab w:val="left" w:pos="7543"/>
          <w:tab w:val="left" w:pos="9059"/>
        </w:tabs>
        <w:spacing w:before="90"/>
        <w:ind w:left="6703"/>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（签字）</w:t>
      </w:r>
      <w:r>
        <w:rPr>
          <w:rFonts w:hint="eastAsia" w:ascii="宋体" w:hAnsi="宋体" w:eastAsia="宋体" w:cs="宋体"/>
          <w:highlight w:val="none"/>
          <w:u w:val="single"/>
        </w:rPr>
        <w:tab/>
      </w:r>
    </w:p>
    <w:p w14:paraId="27F109CE">
      <w:pPr>
        <w:pStyle w:val="10"/>
        <w:tabs>
          <w:tab w:val="left" w:pos="7063"/>
          <w:tab w:val="left" w:pos="7903"/>
          <w:tab w:val="left" w:pos="8743"/>
        </w:tabs>
        <w:spacing w:before="94"/>
        <w:ind w:left="6223"/>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5F8D3B7D">
      <w:pPr>
        <w:pStyle w:val="10"/>
        <w:rPr>
          <w:rFonts w:hint="eastAsia" w:ascii="宋体" w:hAnsi="宋体" w:eastAsia="宋体" w:cs="宋体"/>
          <w:sz w:val="20"/>
          <w:highlight w:val="none"/>
        </w:rPr>
      </w:pPr>
    </w:p>
    <w:p w14:paraId="58A5076B">
      <w:pPr>
        <w:pStyle w:val="10"/>
        <w:rPr>
          <w:rFonts w:hint="eastAsia" w:ascii="宋体" w:hAnsi="宋体" w:eastAsia="宋体" w:cs="宋体"/>
          <w:sz w:val="20"/>
          <w:highlight w:val="none"/>
        </w:rPr>
      </w:pPr>
    </w:p>
    <w:p w14:paraId="76116908">
      <w:pPr>
        <w:pStyle w:val="10"/>
        <w:rPr>
          <w:rFonts w:hint="eastAsia" w:ascii="宋体" w:hAnsi="宋体" w:eastAsia="宋体" w:cs="宋体"/>
          <w:sz w:val="21"/>
          <w:highlight w:val="none"/>
        </w:rPr>
      </w:pPr>
      <w:r>
        <w:rPr>
          <w:rFonts w:hint="eastAsia" w:ascii="宋体" w:hAnsi="宋体" w:eastAsia="宋体" w:cs="宋体"/>
          <w:highlight w:val="none"/>
        </w:rPr>
        <mc:AlternateContent>
          <mc:Choice Requires="wps">
            <w:drawing>
              <wp:anchor distT="0" distB="0" distL="114300" distR="114300" simplePos="0" relativeHeight="251663360" behindDoc="1" locked="0" layoutInCell="1" allowOverlap="1">
                <wp:simplePos x="0" y="0"/>
                <wp:positionH relativeFrom="page">
                  <wp:posOffset>1043305</wp:posOffset>
                </wp:positionH>
                <wp:positionV relativeFrom="paragraph">
                  <wp:posOffset>200660</wp:posOffset>
                </wp:positionV>
                <wp:extent cx="5508625" cy="0"/>
                <wp:effectExtent l="0" t="0" r="0" b="0"/>
                <wp:wrapTopAndBottom/>
                <wp:docPr id="18" name="直线 35"/>
                <wp:cNvGraphicFramePr/>
                <a:graphic xmlns:a="http://schemas.openxmlformats.org/drawingml/2006/main">
                  <a:graphicData uri="http://schemas.microsoft.com/office/word/2010/wordprocessingShape">
                    <wps:wsp>
                      <wps:cNvCnPr/>
                      <wps:spPr>
                        <a:xfrm>
                          <a:off x="0" y="0"/>
                          <a:ext cx="550862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35" o:spid="_x0000_s1026" o:spt="20" style="position:absolute;left:0pt;margin-left:82.15pt;margin-top:15.8pt;height:0pt;width:433.75pt;mso-position-horizontal-relative:page;mso-wrap-distance-bottom:0pt;mso-wrap-distance-top:0pt;z-index:-251653120;mso-width-relative:page;mso-height-relative:page;" filled="f" stroked="t" coordsize="21600,21600" o:gfxdata="UEsDBAoAAAAAAIdO4kAAAAAAAAAAAAAAAAAEAAAAZHJzL1BLAwQUAAAACACHTuJAp6ESndUAAAAK&#10;AQAADwAAAGRycy9kb3ducmV2LnhtbE2PwU7DMBBE70j8g7WVuFE7BAUU4vRQhQviAIEPcOMlsRqv&#10;o9htSr+erTjAcWafZmeqzcmP4ohzdIE0ZGsFAqkL1lGv4fPj+fYRREyGrBkDoYZvjLCpr68qU9qw&#10;0Dse29QLDqFYGg1DSlMpZewG9Cauw4TEt68we5NYzr20s1k43I/yTqlCeuOIPwxmwu2A3b49eA3t&#10;2+tSvJzPS/PQOhNTckPTbLW+WWXqCUTCU/qD4VKfq0PNnXbhQDaKkXVxnzOqIc8KEBdA5RmP2f06&#10;sq7k/wn1D1BLAwQUAAAACACHTuJAKAG2buIBAADRAwAADgAAAGRycy9lMm9Eb2MueG1srVPNjtMw&#10;EL4j8Q6W7zRp2a6WqOketiwXBJWAB5jaTmLJf/J4m/ZZeA1OXHicfQ3GTrcLy6UHcnDG9sw3830z&#10;Xt0erGF7FVF71/L5rOZMOeGldn3Lv329f3PDGSZwEox3quVHhfx2/frVagyNWvjBG6kiIxCHzRha&#10;PqQUmqpCMSgLOPNBObrsfLSQaBv7SkYYCd2aalHX19XoowzRC4VIp5vpkp8Q4yWAvuu0UBsvHqxy&#10;aUKNykAiSjjogHxdqu06JdLnrkOVmGk5MU1lpSRk7/JarVfQ9BHCoMWpBLikhBecLGhHSc9QG0jA&#10;HqL+B8pqET36Ls2Et9VEpChCLOb1C22+DBBU4UJSYziLjv8PVnzabyPTkiaB+u7AUscfv/94/PmL&#10;vV1mdcaADTnduW087TBsY6Z66KLNfyLBDkXR41lRdUhM0OFyWd9cL5aciae76jkwREwflLcsGy03&#10;2mWy0MD+IyZKRq5PLvnYODa2/N386orggCavo46TaQNVj64vseiNlvfamByBsd/dmcj2kLtfvkyJ&#10;cP9yy0k2gMPkV66muRgUyPdOsnQMJIuj58BzCVZJzoyi15MtAoQmgTaXeFJq46iCrOqkY7Z2Xh6L&#10;vOWcOl1qPE1lHqU/9yX6+SW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noRKd1QAAAAoBAAAP&#10;AAAAAAAAAAEAIAAAACIAAABkcnMvZG93bnJldi54bWxQSwECFAAUAAAACACHTuJAKAG2buIBAADR&#10;AwAADgAAAAAAAAABACAAAAAkAQAAZHJzL2Uyb0RvYy54bWxQSwUGAAAAAAYABgBZAQAAeAUAAAAA&#10;">
                <v:fill on="f" focussize="0,0"/>
                <v:stroke weight="0.72pt" color="#000000" joinstyle="round"/>
                <v:imagedata o:title=""/>
                <o:lock v:ext="edit" aspectratio="f"/>
                <w10:wrap type="topAndBottom"/>
              </v:line>
            </w:pict>
          </mc:Fallback>
        </mc:AlternateContent>
      </w:r>
    </w:p>
    <w:p w14:paraId="27D93F12">
      <w:pPr>
        <w:pStyle w:val="10"/>
        <w:rPr>
          <w:rFonts w:hint="eastAsia" w:ascii="宋体" w:hAnsi="宋体" w:eastAsia="宋体" w:cs="宋体"/>
          <w:sz w:val="20"/>
          <w:highlight w:val="none"/>
        </w:rPr>
      </w:pPr>
    </w:p>
    <w:p w14:paraId="6689892C">
      <w:pPr>
        <w:pStyle w:val="10"/>
        <w:tabs>
          <w:tab w:val="left" w:pos="2982"/>
        </w:tabs>
        <w:spacing w:before="204"/>
        <w:ind w:left="583"/>
        <w:rPr>
          <w:rFonts w:hint="eastAsia" w:ascii="宋体" w:hAnsi="宋体" w:eastAsia="宋体" w:cs="宋体"/>
          <w:highlight w:val="none"/>
        </w:rPr>
      </w:pPr>
      <w:r>
        <w:rPr>
          <w:rFonts w:hint="eastAsia" w:ascii="宋体" w:hAnsi="宋体" w:eastAsia="宋体" w:cs="宋体"/>
          <w:highlight w:val="none"/>
        </w:rPr>
        <w:t>抄送：</w:t>
      </w:r>
      <w:r>
        <w:rPr>
          <w:rFonts w:hint="eastAsia" w:ascii="宋体" w:hAnsi="宋体" w:eastAsia="宋体" w:cs="宋体"/>
          <w:spacing w:val="119"/>
          <w:highlight w:val="none"/>
          <w:u w:val="single"/>
        </w:rPr>
        <w:t xml:space="preserve"> </w:t>
      </w:r>
      <w:r>
        <w:rPr>
          <w:rFonts w:hint="eastAsia" w:ascii="宋体" w:hAnsi="宋体" w:eastAsia="宋体" w:cs="宋体"/>
          <w:highlight w:val="none"/>
          <w:u w:val="single"/>
        </w:rPr>
        <w:t>（监理人）</w:t>
      </w:r>
      <w:r>
        <w:rPr>
          <w:rFonts w:hint="eastAsia" w:ascii="宋体" w:hAnsi="宋体" w:eastAsia="宋体" w:cs="宋体"/>
          <w:highlight w:val="none"/>
          <w:u w:val="single"/>
        </w:rPr>
        <w:tab/>
      </w:r>
    </w:p>
    <w:p w14:paraId="6A534B88">
      <w:pPr>
        <w:rPr>
          <w:rFonts w:hint="eastAsia" w:ascii="宋体" w:hAnsi="宋体" w:eastAsia="宋体" w:cs="宋体"/>
          <w:highlight w:val="none"/>
        </w:rPr>
        <w:sectPr>
          <w:type w:val="continuous"/>
          <w:pgSz w:w="11910" w:h="16840"/>
          <w:pgMar w:top="1580" w:right="1120" w:bottom="280" w:left="1260" w:header="720" w:footer="720" w:gutter="0"/>
          <w:cols w:space="720" w:num="1"/>
        </w:sectPr>
      </w:pPr>
    </w:p>
    <w:p w14:paraId="49D0CEA7">
      <w:pPr>
        <w:pStyle w:val="10"/>
        <w:spacing w:before="4"/>
        <w:rPr>
          <w:rFonts w:hint="eastAsia" w:ascii="宋体" w:hAnsi="宋体" w:eastAsia="宋体" w:cs="宋体"/>
          <w:sz w:val="19"/>
          <w:highlight w:val="none"/>
        </w:rPr>
      </w:pPr>
    </w:p>
    <w:p w14:paraId="27A79C75">
      <w:pPr>
        <w:pStyle w:val="10"/>
        <w:spacing w:before="66"/>
        <w:ind w:left="384"/>
        <w:rPr>
          <w:rFonts w:hint="eastAsia" w:ascii="宋体" w:hAnsi="宋体" w:eastAsia="宋体" w:cs="宋体"/>
          <w:highlight w:val="none"/>
        </w:rPr>
      </w:pPr>
      <w:r>
        <w:rPr>
          <w:rFonts w:hint="eastAsia" w:ascii="宋体" w:hAnsi="宋体" w:eastAsia="宋体" w:cs="宋体"/>
          <w:highlight w:val="none"/>
        </w:rPr>
        <w:t>附件七 履约保证金格式</w:t>
      </w:r>
    </w:p>
    <w:p w14:paraId="0A80F889">
      <w:pPr>
        <w:pStyle w:val="10"/>
        <w:spacing w:before="93"/>
        <w:ind w:left="583"/>
        <w:rPr>
          <w:rFonts w:hint="eastAsia" w:ascii="宋体" w:hAnsi="宋体" w:eastAsia="宋体" w:cs="宋体"/>
          <w:highlight w:val="none"/>
        </w:rPr>
      </w:pPr>
      <w:r>
        <w:rPr>
          <w:rFonts w:hint="eastAsia" w:ascii="宋体" w:hAnsi="宋体" w:eastAsia="宋体" w:cs="宋体"/>
          <w:highlight w:val="none"/>
        </w:rPr>
        <w:t>如采用银行保函，格式如下。</w:t>
      </w:r>
    </w:p>
    <w:p w14:paraId="0304EEA0">
      <w:pPr>
        <w:pStyle w:val="10"/>
        <w:spacing w:before="9"/>
        <w:rPr>
          <w:rFonts w:hint="eastAsia" w:ascii="宋体" w:hAnsi="宋体" w:eastAsia="宋体" w:cs="宋体"/>
          <w:sz w:val="29"/>
          <w:highlight w:val="none"/>
        </w:rPr>
      </w:pPr>
    </w:p>
    <w:p w14:paraId="783E1CC6">
      <w:pPr>
        <w:spacing w:before="62"/>
        <w:ind w:left="149"/>
        <w:jc w:val="center"/>
        <w:rPr>
          <w:rFonts w:hint="eastAsia" w:ascii="宋体" w:hAnsi="宋体" w:eastAsia="宋体" w:cs="宋体"/>
          <w:sz w:val="28"/>
          <w:highlight w:val="none"/>
        </w:rPr>
      </w:pPr>
      <w:r>
        <w:rPr>
          <w:rFonts w:hint="eastAsia" w:ascii="宋体" w:hAnsi="宋体" w:eastAsia="宋体" w:cs="宋体"/>
          <w:sz w:val="28"/>
          <w:highlight w:val="none"/>
        </w:rPr>
        <w:t>履约保证金</w:t>
      </w:r>
    </w:p>
    <w:p w14:paraId="417CA0A6">
      <w:pPr>
        <w:pStyle w:val="10"/>
        <w:rPr>
          <w:rFonts w:hint="eastAsia" w:ascii="宋体" w:hAnsi="宋体" w:eastAsia="宋体" w:cs="宋体"/>
          <w:sz w:val="20"/>
          <w:highlight w:val="none"/>
        </w:rPr>
      </w:pPr>
    </w:p>
    <w:p w14:paraId="2F318F0E">
      <w:pPr>
        <w:pStyle w:val="10"/>
        <w:spacing w:before="3"/>
        <w:rPr>
          <w:rFonts w:hint="eastAsia" w:ascii="宋体" w:hAnsi="宋体" w:eastAsia="宋体" w:cs="宋体"/>
          <w:sz w:val="18"/>
          <w:highlight w:val="none"/>
        </w:rPr>
      </w:pPr>
    </w:p>
    <w:p w14:paraId="57CD6B0E">
      <w:pPr>
        <w:pStyle w:val="10"/>
        <w:tabs>
          <w:tab w:val="left" w:pos="3143"/>
        </w:tabs>
        <w:ind w:left="703"/>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（发包人名称）：</w:t>
      </w:r>
    </w:p>
    <w:p w14:paraId="357CA2CB">
      <w:pPr>
        <w:pStyle w:val="10"/>
        <w:spacing w:before="7"/>
        <w:rPr>
          <w:rFonts w:hint="eastAsia" w:ascii="宋体" w:hAnsi="宋体" w:eastAsia="宋体" w:cs="宋体"/>
          <w:sz w:val="38"/>
          <w:highlight w:val="none"/>
        </w:rPr>
      </w:pPr>
    </w:p>
    <w:p w14:paraId="4F0C7FF6">
      <w:pPr>
        <w:pStyle w:val="10"/>
        <w:tabs>
          <w:tab w:val="left" w:pos="2073"/>
          <w:tab w:val="left" w:pos="3371"/>
          <w:tab w:val="left" w:pos="8095"/>
          <w:tab w:val="left" w:pos="8582"/>
        </w:tabs>
        <w:spacing w:line="312" w:lineRule="auto"/>
        <w:ind w:left="384" w:right="462" w:firstLine="600"/>
        <w:jc w:val="both"/>
        <w:rPr>
          <w:rFonts w:hint="eastAsia" w:ascii="宋体" w:hAnsi="宋体" w:eastAsia="宋体" w:cs="宋体"/>
          <w:highlight w:val="none"/>
        </w:rPr>
      </w:pPr>
      <w:r>
        <w:rPr>
          <w:rFonts w:hint="eastAsia" w:ascii="宋体" w:hAnsi="宋体" w:eastAsia="宋体" w:cs="宋体"/>
          <w:highlight w:val="none"/>
        </w:rPr>
        <w:t>鉴于</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spacing w:val="-3"/>
          <w:highlight w:val="none"/>
        </w:rPr>
        <w:t>（</w:t>
      </w:r>
      <w:r>
        <w:rPr>
          <w:rFonts w:hint="eastAsia" w:ascii="宋体" w:hAnsi="宋体" w:eastAsia="宋体" w:cs="宋体"/>
          <w:highlight w:val="none"/>
        </w:rPr>
        <w:t>发包人名称</w:t>
      </w:r>
      <w:r>
        <w:rPr>
          <w:rFonts w:hint="eastAsia" w:ascii="宋体" w:hAnsi="宋体" w:eastAsia="宋体" w:cs="宋体"/>
          <w:spacing w:val="-17"/>
          <w:highlight w:val="none"/>
        </w:rPr>
        <w:t>，</w:t>
      </w:r>
      <w:r>
        <w:rPr>
          <w:rFonts w:hint="eastAsia" w:ascii="宋体" w:hAnsi="宋体" w:eastAsia="宋体" w:cs="宋体"/>
          <w:highlight w:val="none"/>
        </w:rPr>
        <w:t>以下简称“发包人</w:t>
      </w:r>
      <w:r>
        <w:rPr>
          <w:rFonts w:hint="eastAsia" w:ascii="宋体" w:hAnsi="宋体" w:eastAsia="宋体" w:cs="宋体"/>
          <w:spacing w:val="-8"/>
          <w:highlight w:val="none"/>
        </w:rPr>
        <w:t>”）</w:t>
      </w:r>
      <w:r>
        <w:rPr>
          <w:rFonts w:hint="eastAsia" w:ascii="宋体" w:hAnsi="宋体" w:eastAsia="宋体" w:cs="宋体"/>
          <w:highlight w:val="none"/>
        </w:rPr>
        <w:t>接受</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w:t>
      </w:r>
      <w:r>
        <w:rPr>
          <w:rFonts w:hint="eastAsia" w:ascii="宋体" w:hAnsi="宋体" w:eastAsia="宋体" w:cs="宋体"/>
          <w:spacing w:val="-17"/>
          <w:highlight w:val="none"/>
        </w:rPr>
        <w:t>承</w:t>
      </w:r>
      <w:r>
        <w:rPr>
          <w:rFonts w:hint="eastAsia" w:ascii="宋体" w:hAnsi="宋体" w:eastAsia="宋体" w:cs="宋体"/>
          <w:highlight w:val="none"/>
        </w:rPr>
        <w:t>包人名称，以下简称“承包人”）于</w:t>
      </w:r>
      <w:r>
        <w:rPr>
          <w:rFonts w:hint="eastAsia" w:ascii="宋体" w:hAnsi="宋体" w:eastAsia="宋体" w:cs="宋体"/>
          <w:highlight w:val="none"/>
          <w:u w:val="single"/>
        </w:rPr>
        <w:t xml:space="preserve">    </w:t>
      </w:r>
      <w:r>
        <w:rPr>
          <w:rFonts w:hint="eastAsia" w:ascii="宋体" w:hAnsi="宋体" w:eastAsia="宋体" w:cs="宋体"/>
          <w:spacing w:val="14"/>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spacing w:val="12"/>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spacing w:val="10"/>
          <w:highlight w:val="none"/>
          <w:u w:val="single"/>
        </w:rPr>
        <w:t xml:space="preserve"> </w:t>
      </w:r>
      <w:r>
        <w:rPr>
          <w:rFonts w:hint="eastAsia" w:ascii="宋体" w:hAnsi="宋体" w:eastAsia="宋体" w:cs="宋体"/>
          <w:highlight w:val="none"/>
        </w:rPr>
        <w:t>日参加</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（项目</w:t>
      </w:r>
      <w:r>
        <w:rPr>
          <w:rFonts w:hint="eastAsia" w:ascii="宋体" w:hAnsi="宋体" w:eastAsia="宋体" w:cs="宋体"/>
          <w:spacing w:val="-14"/>
          <w:highlight w:val="none"/>
        </w:rPr>
        <w:t>名</w:t>
      </w:r>
      <w:r>
        <w:rPr>
          <w:rFonts w:hint="eastAsia" w:ascii="宋体" w:hAnsi="宋体" w:eastAsia="宋体" w:cs="宋体"/>
          <w:highlight w:val="none"/>
        </w:rPr>
        <w:t>称）</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标段施工的投标。我方愿意无条件地、不可撤销地就承包人履行与你方订立的合同，向你方提供担保。</w:t>
      </w:r>
    </w:p>
    <w:p w14:paraId="4A9E7042">
      <w:pPr>
        <w:pStyle w:val="29"/>
        <w:numPr>
          <w:ilvl w:val="0"/>
          <w:numId w:val="50"/>
        </w:numPr>
        <w:tabs>
          <w:tab w:val="left" w:pos="1164"/>
          <w:tab w:val="left" w:pos="5783"/>
          <w:tab w:val="left" w:pos="8003"/>
        </w:tabs>
        <w:spacing w:line="307" w:lineRule="exact"/>
        <w:jc w:val="both"/>
        <w:rPr>
          <w:rFonts w:hint="eastAsia" w:ascii="宋体" w:hAnsi="宋体" w:eastAsia="宋体" w:cs="宋体"/>
          <w:sz w:val="24"/>
          <w:highlight w:val="none"/>
        </w:rPr>
      </w:pPr>
      <w:r>
        <w:rPr>
          <w:rFonts w:hint="eastAsia" w:ascii="宋体" w:hAnsi="宋体" w:eastAsia="宋体" w:cs="宋体"/>
          <w:sz w:val="24"/>
          <w:highlight w:val="none"/>
        </w:rPr>
        <w:t>担保金额人民币（大写）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元（¥</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w:t>
      </w:r>
    </w:p>
    <w:p w14:paraId="1B92ACAD">
      <w:pPr>
        <w:pStyle w:val="29"/>
        <w:numPr>
          <w:ilvl w:val="0"/>
          <w:numId w:val="50"/>
        </w:numPr>
        <w:tabs>
          <w:tab w:val="left" w:pos="1169"/>
        </w:tabs>
        <w:spacing w:before="94" w:line="312" w:lineRule="auto"/>
        <w:ind w:left="384" w:right="467" w:firstLine="480"/>
        <w:jc w:val="both"/>
        <w:rPr>
          <w:rFonts w:hint="eastAsia" w:ascii="宋体" w:hAnsi="宋体" w:eastAsia="宋体" w:cs="宋体"/>
          <w:sz w:val="10"/>
          <w:highlight w:val="none"/>
        </w:rPr>
      </w:pPr>
      <w:r>
        <w:rPr>
          <w:rFonts w:hint="eastAsia" w:ascii="宋体" w:hAnsi="宋体" w:eastAsia="宋体" w:cs="宋体"/>
          <w:spacing w:val="3"/>
          <w:sz w:val="24"/>
          <w:highlight w:val="none"/>
        </w:rPr>
        <w:t>担保有效期自发包人与承包人签订的合同生效之日起至发包人签发交工验收证书之日止。</w:t>
      </w:r>
    </w:p>
    <w:p w14:paraId="66BB9EC4">
      <w:pPr>
        <w:pStyle w:val="29"/>
        <w:numPr>
          <w:ilvl w:val="0"/>
          <w:numId w:val="50"/>
        </w:numPr>
        <w:tabs>
          <w:tab w:val="left" w:pos="1164"/>
        </w:tabs>
        <w:spacing w:line="312" w:lineRule="auto"/>
        <w:ind w:left="384" w:right="442" w:firstLine="480"/>
        <w:jc w:val="both"/>
        <w:rPr>
          <w:rFonts w:hint="eastAsia" w:ascii="宋体" w:hAnsi="宋体" w:eastAsia="宋体" w:cs="宋体"/>
          <w:sz w:val="24"/>
          <w:highlight w:val="none"/>
        </w:rPr>
      </w:pPr>
      <w:r>
        <w:rPr>
          <w:rFonts w:hint="eastAsia" w:ascii="宋体" w:hAnsi="宋体" w:eastAsia="宋体" w:cs="宋体"/>
          <w:spacing w:val="-1"/>
          <w:sz w:val="24"/>
          <w:highlight w:val="none"/>
        </w:rPr>
        <w:t xml:space="preserve">在本担保有效期内，因承包人违反合同约定的义务给你方造成经济损失时， </w:t>
      </w:r>
      <w:r>
        <w:rPr>
          <w:rFonts w:hint="eastAsia" w:ascii="宋体" w:hAnsi="宋体" w:eastAsia="宋体" w:cs="宋体"/>
          <w:spacing w:val="-2"/>
          <w:sz w:val="24"/>
          <w:highlight w:val="none"/>
        </w:rPr>
        <w:t xml:space="preserve">我方在收到你方以书面形式提出的在担保金额内的赔偿要求后，在 </w:t>
      </w:r>
      <w:r>
        <w:rPr>
          <w:rFonts w:hint="eastAsia" w:ascii="宋体" w:hAnsi="宋体" w:eastAsia="宋体" w:cs="宋体"/>
          <w:sz w:val="24"/>
          <w:highlight w:val="none"/>
        </w:rPr>
        <w:t>7</w:t>
      </w:r>
      <w:r>
        <w:rPr>
          <w:rFonts w:hint="eastAsia" w:ascii="宋体" w:hAnsi="宋体" w:eastAsia="宋体" w:cs="宋体"/>
          <w:spacing w:val="11"/>
          <w:sz w:val="24"/>
          <w:highlight w:val="none"/>
        </w:rPr>
        <w:t xml:space="preserve"> </w:t>
      </w:r>
      <w:r>
        <w:rPr>
          <w:rFonts w:hint="eastAsia" w:ascii="宋体" w:hAnsi="宋体" w:eastAsia="宋体" w:cs="宋体"/>
          <w:sz w:val="24"/>
          <w:highlight w:val="none"/>
        </w:rPr>
        <w:t>日内无条件支付，无须你方出具证明或陈述理由。</w:t>
      </w:r>
    </w:p>
    <w:p w14:paraId="135A3F21">
      <w:pPr>
        <w:pStyle w:val="29"/>
        <w:numPr>
          <w:ilvl w:val="0"/>
          <w:numId w:val="50"/>
        </w:numPr>
        <w:tabs>
          <w:tab w:val="left" w:pos="1164"/>
        </w:tabs>
        <w:spacing w:line="312" w:lineRule="auto"/>
        <w:ind w:left="384" w:right="346" w:firstLine="480"/>
        <w:jc w:val="both"/>
        <w:rPr>
          <w:rFonts w:hint="eastAsia" w:ascii="宋体" w:hAnsi="宋体" w:eastAsia="宋体" w:cs="宋体"/>
          <w:sz w:val="24"/>
          <w:highlight w:val="none"/>
        </w:rPr>
      </w:pPr>
      <w:r>
        <w:rPr>
          <w:rFonts w:hint="eastAsia" w:ascii="宋体" w:hAnsi="宋体" w:eastAsia="宋体" w:cs="宋体"/>
          <w:spacing w:val="-5"/>
          <w:sz w:val="24"/>
          <w:highlight w:val="none"/>
        </w:rPr>
        <w:t xml:space="preserve">发包人和承包人按合同条款第 </w:t>
      </w:r>
      <w:r>
        <w:rPr>
          <w:rFonts w:hint="eastAsia" w:ascii="宋体" w:hAnsi="宋体" w:eastAsia="宋体" w:cs="宋体"/>
          <w:sz w:val="24"/>
          <w:highlight w:val="none"/>
        </w:rPr>
        <w:t xml:space="preserve">20 </w:t>
      </w:r>
      <w:r>
        <w:rPr>
          <w:rFonts w:hint="eastAsia" w:ascii="宋体" w:hAnsi="宋体" w:eastAsia="宋体" w:cs="宋体"/>
          <w:spacing w:val="-5"/>
          <w:sz w:val="24"/>
          <w:highlight w:val="none"/>
        </w:rPr>
        <w:t xml:space="preserve">条变更合同时，无论我方是否收到该变更， </w:t>
      </w:r>
      <w:r>
        <w:rPr>
          <w:rFonts w:hint="eastAsia" w:ascii="宋体" w:hAnsi="宋体" w:eastAsia="宋体" w:cs="宋体"/>
          <w:sz w:val="24"/>
          <w:highlight w:val="none"/>
        </w:rPr>
        <w:t>我方承担本担保规定的义务不变。</w:t>
      </w:r>
    </w:p>
    <w:p w14:paraId="3D53B764">
      <w:pPr>
        <w:pStyle w:val="10"/>
        <w:rPr>
          <w:rFonts w:hint="eastAsia" w:ascii="宋体" w:hAnsi="宋体" w:eastAsia="宋体" w:cs="宋体"/>
          <w:highlight w:val="none"/>
        </w:rPr>
      </w:pPr>
    </w:p>
    <w:p w14:paraId="6FCAC8E5">
      <w:pPr>
        <w:pStyle w:val="10"/>
        <w:rPr>
          <w:rFonts w:hint="eastAsia" w:ascii="宋体" w:hAnsi="宋体" w:eastAsia="宋体" w:cs="宋体"/>
          <w:highlight w:val="none"/>
        </w:rPr>
      </w:pPr>
    </w:p>
    <w:p w14:paraId="6A9CC819">
      <w:pPr>
        <w:pStyle w:val="10"/>
        <w:tabs>
          <w:tab w:val="left" w:pos="7739"/>
          <w:tab w:val="left" w:pos="8843"/>
        </w:tabs>
        <w:spacing w:before="186" w:line="312" w:lineRule="auto"/>
        <w:ind w:left="3880" w:right="346"/>
        <w:jc w:val="both"/>
        <w:rPr>
          <w:rFonts w:hint="eastAsia" w:ascii="宋体" w:hAnsi="宋体" w:eastAsia="宋体" w:cs="宋体"/>
          <w:highlight w:val="none"/>
        </w:rPr>
      </w:pPr>
      <w:r>
        <w:rPr>
          <w:rFonts w:hint="eastAsia" w:ascii="宋体" w:hAnsi="宋体" w:eastAsia="宋体" w:cs="宋体"/>
          <w:highlight w:val="none"/>
        </w:rPr>
        <w:t>担保人名称：</w:t>
      </w:r>
      <w:r>
        <w:rPr>
          <w:rFonts w:hint="eastAsia" w:ascii="宋体" w:hAnsi="宋体" w:eastAsia="宋体" w:cs="宋体"/>
          <w:highlight w:val="none"/>
        </w:rPr>
        <w:tab/>
      </w:r>
      <w:r>
        <w:rPr>
          <w:rFonts w:hint="eastAsia" w:ascii="宋体" w:hAnsi="宋体" w:eastAsia="宋体" w:cs="宋体"/>
          <w:highlight w:val="none"/>
          <w:u w:val="single"/>
        </w:rPr>
        <w:t>（</w:t>
      </w:r>
      <w:r>
        <w:rPr>
          <w:rFonts w:hint="eastAsia" w:ascii="宋体" w:hAnsi="宋体" w:eastAsia="宋体" w:cs="宋体"/>
          <w:highlight w:val="none"/>
        </w:rPr>
        <w:t>盖单位章</w:t>
      </w:r>
      <w:r>
        <w:rPr>
          <w:rFonts w:hint="eastAsia" w:ascii="宋体" w:hAnsi="宋体" w:eastAsia="宋体" w:cs="宋体"/>
          <w:spacing w:val="-18"/>
          <w:highlight w:val="none"/>
        </w:rPr>
        <w:t xml:space="preserve">） </w:t>
      </w:r>
      <w:r>
        <w:rPr>
          <w:rFonts w:hint="eastAsia" w:ascii="宋体" w:hAnsi="宋体" w:eastAsia="宋体" w:cs="宋体"/>
          <w:highlight w:val="none"/>
        </w:rPr>
        <w:t xml:space="preserve">法定代表人或其委托代理人：       </w:t>
      </w:r>
      <w:r>
        <w:rPr>
          <w:rFonts w:hint="eastAsia" w:ascii="宋体" w:hAnsi="宋体" w:eastAsia="宋体" w:cs="宋体"/>
          <w:spacing w:val="19"/>
          <w:highlight w:val="none"/>
        </w:rPr>
        <w:t xml:space="preserve"> </w:t>
      </w:r>
      <w:r>
        <w:rPr>
          <w:rFonts w:hint="eastAsia" w:ascii="宋体" w:hAnsi="宋体" w:eastAsia="宋体" w:cs="宋体"/>
          <w:highlight w:val="none"/>
          <w:u w:val="single"/>
        </w:rPr>
        <w:t>（</w:t>
      </w:r>
      <w:r>
        <w:rPr>
          <w:rFonts w:hint="eastAsia" w:ascii="宋体" w:hAnsi="宋体" w:eastAsia="宋体" w:cs="宋体"/>
          <w:highlight w:val="none"/>
        </w:rPr>
        <w:t>签字</w:t>
      </w:r>
      <w:r>
        <w:rPr>
          <w:rFonts w:hint="eastAsia" w:ascii="宋体" w:hAnsi="宋体" w:eastAsia="宋体" w:cs="宋体"/>
          <w:spacing w:val="-18"/>
          <w:highlight w:val="none"/>
        </w:rPr>
        <w:t xml:space="preserve">） </w:t>
      </w:r>
      <w:r>
        <w:rPr>
          <w:rFonts w:hint="eastAsia" w:ascii="宋体" w:hAnsi="宋体" w:eastAsia="宋体" w:cs="宋体"/>
          <w:highlight w:val="none"/>
        </w:rPr>
        <w:t xml:space="preserve">地 </w:t>
      </w:r>
      <w:r>
        <w:rPr>
          <w:rFonts w:hint="eastAsia" w:ascii="宋体" w:hAnsi="宋体" w:eastAsia="宋体" w:cs="宋体"/>
          <w:spacing w:val="119"/>
          <w:highlight w:val="none"/>
        </w:rPr>
        <w:t xml:space="preserve"> </w:t>
      </w:r>
      <w:r>
        <w:rPr>
          <w:rFonts w:hint="eastAsia" w:ascii="宋体" w:hAnsi="宋体" w:eastAsia="宋体" w:cs="宋体"/>
          <w:highlight w:val="none"/>
        </w:rPr>
        <w:t>址 ：</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p>
    <w:p w14:paraId="202512AD">
      <w:pPr>
        <w:pStyle w:val="10"/>
        <w:tabs>
          <w:tab w:val="left" w:pos="4600"/>
          <w:tab w:val="left" w:pos="8843"/>
          <w:tab w:val="left" w:pos="8979"/>
        </w:tabs>
        <w:spacing w:before="1" w:line="312" w:lineRule="auto"/>
        <w:ind w:left="3880" w:right="545"/>
        <w:rPr>
          <w:rFonts w:hint="eastAsia" w:ascii="宋体" w:hAnsi="宋体" w:eastAsia="宋体" w:cs="宋体"/>
          <w:highlight w:val="none"/>
        </w:rPr>
      </w:pPr>
      <w:r>
        <w:rPr>
          <w:rFonts w:hint="eastAsia" w:ascii="宋体" w:hAnsi="宋体" w:eastAsia="宋体" w:cs="宋体"/>
          <w:spacing w:val="-1"/>
          <w:highlight w:val="none"/>
        </w:rPr>
        <w:t>邮</w:t>
      </w:r>
      <w:r>
        <w:rPr>
          <w:rFonts w:hint="eastAsia" w:ascii="宋体" w:hAnsi="宋体" w:eastAsia="宋体" w:cs="宋体"/>
          <w:highlight w:val="none"/>
        </w:rPr>
        <w:t>政编码：</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spacing w:val="-1"/>
          <w:highlight w:val="none"/>
        </w:rPr>
        <w:t>话</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传</w:t>
      </w:r>
      <w:r>
        <w:rPr>
          <w:rFonts w:hint="eastAsia" w:ascii="宋体" w:hAnsi="宋体" w:eastAsia="宋体" w:cs="宋体"/>
          <w:highlight w:val="none"/>
        </w:rPr>
        <w:tab/>
      </w:r>
      <w:r>
        <w:rPr>
          <w:rFonts w:hint="eastAsia" w:ascii="宋体" w:hAnsi="宋体" w:eastAsia="宋体" w:cs="宋体"/>
          <w:spacing w:val="-1"/>
          <w:highlight w:val="none"/>
        </w:rPr>
        <w:t>真</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p>
    <w:p w14:paraId="2AFC60CA">
      <w:pPr>
        <w:pStyle w:val="10"/>
        <w:tabs>
          <w:tab w:val="left" w:pos="5499"/>
          <w:tab w:val="left" w:pos="6520"/>
          <w:tab w:val="left" w:pos="7480"/>
        </w:tabs>
        <w:spacing w:before="1"/>
        <w:ind w:left="4600"/>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4F09A6B2">
      <w:pPr>
        <w:pStyle w:val="10"/>
        <w:rPr>
          <w:rFonts w:hint="eastAsia" w:ascii="宋体" w:hAnsi="宋体" w:eastAsia="宋体" w:cs="宋体"/>
          <w:sz w:val="20"/>
          <w:highlight w:val="none"/>
        </w:rPr>
      </w:pPr>
    </w:p>
    <w:p w14:paraId="4DE3A9C8">
      <w:pPr>
        <w:pStyle w:val="10"/>
        <w:rPr>
          <w:rFonts w:hint="eastAsia" w:ascii="宋体" w:hAnsi="宋体" w:eastAsia="宋体" w:cs="宋体"/>
          <w:sz w:val="20"/>
          <w:highlight w:val="none"/>
        </w:rPr>
      </w:pPr>
    </w:p>
    <w:p w14:paraId="0C706298">
      <w:pPr>
        <w:pStyle w:val="10"/>
        <w:rPr>
          <w:rFonts w:hint="eastAsia" w:ascii="宋体" w:hAnsi="宋体" w:eastAsia="宋体" w:cs="宋体"/>
          <w:sz w:val="20"/>
          <w:highlight w:val="none"/>
        </w:rPr>
      </w:pPr>
    </w:p>
    <w:p w14:paraId="08361E61">
      <w:pPr>
        <w:pStyle w:val="10"/>
        <w:spacing w:before="8"/>
        <w:rPr>
          <w:rFonts w:hint="eastAsia" w:ascii="宋体" w:hAnsi="宋体" w:eastAsia="宋体" w:cs="宋体"/>
          <w:sz w:val="22"/>
          <w:highlight w:val="none"/>
        </w:rPr>
      </w:pPr>
    </w:p>
    <w:p w14:paraId="7BA7C52F">
      <w:pPr>
        <w:pStyle w:val="10"/>
        <w:spacing w:before="9"/>
        <w:rPr>
          <w:rFonts w:hint="eastAsia" w:ascii="宋体" w:hAnsi="宋体" w:eastAsia="宋体" w:cs="宋体"/>
          <w:sz w:val="8"/>
          <w:highlight w:val="none"/>
        </w:rPr>
      </w:pPr>
    </w:p>
    <w:p w14:paraId="4D3F5100">
      <w:pPr>
        <w:pStyle w:val="10"/>
        <w:spacing w:before="10"/>
        <w:rPr>
          <w:rFonts w:hint="eastAsia" w:ascii="宋体" w:hAnsi="宋体" w:eastAsia="宋体" w:cs="宋体"/>
          <w:sz w:val="17"/>
          <w:highlight w:val="none"/>
        </w:rPr>
      </w:pPr>
      <w:bookmarkStart w:id="83" w:name="附件八_工程资金监管协议格式"/>
      <w:bookmarkEnd w:id="83"/>
    </w:p>
    <w:p w14:paraId="0A46FE61">
      <w:pPr>
        <w:pStyle w:val="28"/>
        <w:rPr>
          <w:rFonts w:hint="eastAsia" w:ascii="宋体" w:hAnsi="宋体" w:eastAsia="宋体" w:cs="宋体"/>
          <w:sz w:val="17"/>
          <w:highlight w:val="none"/>
        </w:rPr>
      </w:pPr>
    </w:p>
    <w:p w14:paraId="64FB20C2">
      <w:pPr>
        <w:rPr>
          <w:rFonts w:hint="eastAsia" w:ascii="宋体" w:hAnsi="宋体" w:eastAsia="宋体" w:cs="宋体"/>
          <w:sz w:val="17"/>
          <w:highlight w:val="none"/>
        </w:rPr>
      </w:pPr>
    </w:p>
    <w:p w14:paraId="6135603A">
      <w:pPr>
        <w:pStyle w:val="23"/>
        <w:ind w:firstLine="340"/>
        <w:rPr>
          <w:rFonts w:hint="eastAsia" w:ascii="宋体" w:hAnsi="宋体" w:eastAsia="宋体" w:cs="宋体"/>
          <w:sz w:val="17"/>
          <w:highlight w:val="none"/>
        </w:rPr>
      </w:pPr>
    </w:p>
    <w:p w14:paraId="4A7EBB26">
      <w:pPr>
        <w:pStyle w:val="23"/>
        <w:ind w:firstLine="340"/>
        <w:rPr>
          <w:rFonts w:hint="eastAsia" w:ascii="宋体" w:hAnsi="宋体" w:eastAsia="宋体" w:cs="宋体"/>
          <w:sz w:val="17"/>
          <w:highlight w:val="none"/>
        </w:rPr>
      </w:pPr>
    </w:p>
    <w:p w14:paraId="22366D04">
      <w:pPr>
        <w:pStyle w:val="10"/>
        <w:spacing w:before="67"/>
        <w:ind w:left="583"/>
        <w:rPr>
          <w:rFonts w:hint="eastAsia" w:ascii="宋体" w:hAnsi="宋体" w:eastAsia="宋体" w:cs="宋体"/>
          <w:highlight w:val="none"/>
        </w:rPr>
      </w:pPr>
      <w:r>
        <w:rPr>
          <w:rFonts w:hint="eastAsia" w:ascii="宋体" w:hAnsi="宋体" w:eastAsia="宋体" w:cs="宋体"/>
          <w:highlight w:val="none"/>
        </w:rPr>
        <w:t>附件八 工程资金监管协议格式</w:t>
      </w:r>
    </w:p>
    <w:p w14:paraId="408A456F">
      <w:pPr>
        <w:pStyle w:val="10"/>
        <w:spacing w:before="71" w:line="295" w:lineRule="auto"/>
        <w:ind w:left="384" w:right="346" w:firstLine="480"/>
        <w:rPr>
          <w:rFonts w:hint="eastAsia" w:ascii="宋体" w:hAnsi="宋体" w:eastAsia="宋体" w:cs="宋体"/>
          <w:highlight w:val="none"/>
        </w:rPr>
      </w:pPr>
      <w:r>
        <w:rPr>
          <w:rFonts w:hint="eastAsia" w:ascii="宋体" w:hAnsi="宋体" w:eastAsia="宋体" w:cs="宋体"/>
          <w:highlight w:val="none"/>
        </w:rPr>
        <w:t>（发包人与承包人签订合同协议书时应与发包人指定的银行签署工程资金监管</w:t>
      </w:r>
      <w:r>
        <w:rPr>
          <w:rFonts w:hint="eastAsia" w:ascii="宋体" w:hAnsi="宋体" w:eastAsia="宋体" w:cs="宋体"/>
          <w:spacing w:val="-10"/>
          <w:highlight w:val="none"/>
        </w:rPr>
        <w:t>协议，工程资金监管协议内容在保证本项目资金有效监管的前提下由三方共同商定</w:t>
      </w:r>
      <w:r>
        <w:rPr>
          <w:rFonts w:hint="eastAsia" w:ascii="宋体" w:hAnsi="宋体" w:eastAsia="宋体" w:cs="宋体"/>
          <w:spacing w:val="-19"/>
          <w:highlight w:val="none"/>
        </w:rPr>
        <w:t>）</w:t>
      </w:r>
    </w:p>
    <w:p w14:paraId="10072B5E">
      <w:pPr>
        <w:pStyle w:val="10"/>
        <w:spacing w:before="1"/>
        <w:rPr>
          <w:rFonts w:hint="eastAsia" w:ascii="宋体" w:hAnsi="宋体" w:eastAsia="宋体" w:cs="宋体"/>
          <w:sz w:val="26"/>
          <w:highlight w:val="none"/>
        </w:rPr>
      </w:pPr>
    </w:p>
    <w:p w14:paraId="41054C37">
      <w:pPr>
        <w:ind w:left="149"/>
        <w:jc w:val="center"/>
        <w:rPr>
          <w:rFonts w:hint="eastAsia" w:ascii="宋体" w:hAnsi="宋体" w:eastAsia="宋体" w:cs="宋体"/>
          <w:sz w:val="28"/>
          <w:highlight w:val="none"/>
        </w:rPr>
      </w:pPr>
      <w:r>
        <w:rPr>
          <w:rFonts w:hint="eastAsia" w:ascii="宋体" w:hAnsi="宋体" w:eastAsia="宋体" w:cs="宋体"/>
          <w:sz w:val="28"/>
          <w:highlight w:val="none"/>
        </w:rPr>
        <w:t>工程资金监管协议</w:t>
      </w:r>
    </w:p>
    <w:p w14:paraId="57099845">
      <w:pPr>
        <w:pStyle w:val="10"/>
        <w:spacing w:before="3"/>
        <w:rPr>
          <w:rFonts w:hint="eastAsia" w:ascii="宋体" w:hAnsi="宋体" w:eastAsia="宋体" w:cs="宋体"/>
          <w:sz w:val="35"/>
          <w:highlight w:val="none"/>
        </w:rPr>
      </w:pPr>
    </w:p>
    <w:p w14:paraId="199D8D12">
      <w:pPr>
        <w:pStyle w:val="10"/>
        <w:tabs>
          <w:tab w:val="left" w:pos="3463"/>
        </w:tabs>
        <w:spacing w:line="296" w:lineRule="auto"/>
        <w:ind w:left="584"/>
        <w:jc w:val="both"/>
        <w:rPr>
          <w:rFonts w:hint="eastAsia" w:ascii="宋体" w:hAnsi="宋体" w:eastAsia="宋体" w:cs="宋体"/>
          <w:spacing w:val="-9"/>
          <w:highlight w:val="none"/>
        </w:rPr>
      </w:pPr>
      <w:r>
        <w:rPr>
          <w:rFonts w:hint="eastAsia" w:ascii="宋体" w:hAnsi="宋体" w:eastAsia="宋体" w:cs="宋体"/>
          <w:highlight w:val="none"/>
        </w:rPr>
        <w:t>发包人：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（以下简称“甲方</w:t>
      </w:r>
      <w:r>
        <w:rPr>
          <w:rFonts w:hint="eastAsia" w:ascii="宋体" w:hAnsi="宋体" w:eastAsia="宋体" w:cs="宋体"/>
          <w:spacing w:val="-9"/>
          <w:highlight w:val="none"/>
        </w:rPr>
        <w:t>”）</w:t>
      </w:r>
    </w:p>
    <w:p w14:paraId="047700D2">
      <w:pPr>
        <w:pStyle w:val="10"/>
        <w:tabs>
          <w:tab w:val="left" w:pos="3463"/>
        </w:tabs>
        <w:spacing w:line="296" w:lineRule="auto"/>
        <w:ind w:left="584"/>
        <w:jc w:val="both"/>
        <w:rPr>
          <w:rFonts w:hint="eastAsia" w:ascii="宋体" w:hAnsi="宋体" w:eastAsia="宋体" w:cs="宋体"/>
          <w:spacing w:val="-9"/>
          <w:highlight w:val="none"/>
        </w:rPr>
      </w:pPr>
      <w:r>
        <w:rPr>
          <w:rFonts w:hint="eastAsia" w:ascii="宋体" w:hAnsi="宋体" w:eastAsia="宋体" w:cs="宋体"/>
          <w:highlight w:val="none"/>
        </w:rPr>
        <w:t>承包人：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（以下简称“乙方</w:t>
      </w:r>
      <w:r>
        <w:rPr>
          <w:rFonts w:hint="eastAsia" w:ascii="宋体" w:hAnsi="宋体" w:eastAsia="宋体" w:cs="宋体"/>
          <w:spacing w:val="-9"/>
          <w:highlight w:val="none"/>
        </w:rPr>
        <w:t xml:space="preserve">”） </w:t>
      </w:r>
    </w:p>
    <w:p w14:paraId="3295BA98">
      <w:pPr>
        <w:pStyle w:val="10"/>
        <w:tabs>
          <w:tab w:val="left" w:pos="3463"/>
        </w:tabs>
        <w:spacing w:line="296" w:lineRule="auto"/>
        <w:ind w:left="584"/>
        <w:jc w:val="both"/>
        <w:rPr>
          <w:rFonts w:hint="eastAsia" w:ascii="宋体" w:hAnsi="宋体" w:eastAsia="宋体" w:cs="宋体"/>
          <w:highlight w:val="none"/>
        </w:rPr>
      </w:pPr>
      <w:r>
        <w:rPr>
          <w:rFonts w:hint="eastAsia" w:ascii="宋体" w:hAnsi="宋体" w:eastAsia="宋体" w:cs="宋体"/>
          <w:highlight w:val="none"/>
        </w:rPr>
        <w:t>经办银行：</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（以下简称“丙方</w:t>
      </w:r>
      <w:r>
        <w:rPr>
          <w:rFonts w:hint="eastAsia" w:ascii="宋体" w:hAnsi="宋体" w:eastAsia="宋体" w:cs="宋体"/>
          <w:spacing w:val="-9"/>
          <w:highlight w:val="none"/>
        </w:rPr>
        <w:t>”）</w:t>
      </w:r>
    </w:p>
    <w:p w14:paraId="0BEF4635">
      <w:pPr>
        <w:pStyle w:val="10"/>
        <w:rPr>
          <w:rFonts w:hint="eastAsia" w:ascii="宋体" w:hAnsi="宋体" w:eastAsia="宋体" w:cs="宋体"/>
          <w:sz w:val="30"/>
          <w:highlight w:val="none"/>
        </w:rPr>
      </w:pPr>
    </w:p>
    <w:p w14:paraId="2BBCD9B9">
      <w:pPr>
        <w:pStyle w:val="10"/>
        <w:tabs>
          <w:tab w:val="left" w:pos="2795"/>
          <w:tab w:val="left" w:pos="7739"/>
        </w:tabs>
        <w:spacing w:line="297" w:lineRule="auto"/>
        <w:ind w:left="384" w:right="346" w:firstLine="480"/>
        <w:rPr>
          <w:rFonts w:hint="eastAsia" w:ascii="宋体" w:hAnsi="宋体" w:eastAsia="宋体" w:cs="宋体"/>
          <w:highlight w:val="none"/>
        </w:rPr>
      </w:pPr>
      <w:r>
        <w:rPr>
          <w:rFonts w:hint="eastAsia" w:ascii="宋体" w:hAnsi="宋体" w:eastAsia="宋体" w:cs="宋体"/>
          <w:highlight w:val="none"/>
        </w:rPr>
        <w:t>为了促进</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（项目名称）的顺利实施，管好用好建设资金，确保工程资金专款专用</w:t>
      </w:r>
      <w:r>
        <w:rPr>
          <w:rFonts w:hint="eastAsia" w:ascii="宋体" w:hAnsi="宋体" w:eastAsia="宋体" w:cs="宋体"/>
          <w:spacing w:val="-70"/>
          <w:highlight w:val="none"/>
        </w:rPr>
        <w:t>，</w:t>
      </w:r>
      <w:r>
        <w:rPr>
          <w:rFonts w:hint="eastAsia" w:ascii="宋体" w:hAnsi="宋体" w:eastAsia="宋体" w:cs="宋体"/>
          <w:highlight w:val="none"/>
        </w:rPr>
        <w:t>同时为承包人提供便捷有效的银行业务服务</w:t>
      </w:r>
      <w:r>
        <w:rPr>
          <w:rFonts w:hint="eastAsia" w:ascii="宋体" w:hAnsi="宋体" w:eastAsia="宋体" w:cs="宋体"/>
          <w:spacing w:val="-70"/>
          <w:highlight w:val="none"/>
        </w:rPr>
        <w:t>，</w:t>
      </w:r>
      <w:r>
        <w:rPr>
          <w:rFonts w:hint="eastAsia" w:ascii="宋体" w:hAnsi="宋体" w:eastAsia="宋体" w:cs="宋体"/>
          <w:highlight w:val="none"/>
        </w:rPr>
        <w:t>根据</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w:t>
      </w:r>
      <w:r>
        <w:rPr>
          <w:rFonts w:hint="eastAsia" w:ascii="宋体" w:hAnsi="宋体" w:eastAsia="宋体" w:cs="宋体"/>
          <w:highlight w:val="none"/>
        </w:rPr>
        <w:t>项目名称</w:t>
      </w:r>
      <w:r>
        <w:rPr>
          <w:rFonts w:hint="eastAsia" w:ascii="宋体" w:hAnsi="宋体" w:eastAsia="宋体" w:cs="宋体"/>
          <w:spacing w:val="-18"/>
          <w:highlight w:val="none"/>
        </w:rPr>
        <w:t xml:space="preserve">） </w:t>
      </w:r>
      <w:r>
        <w:rPr>
          <w:rFonts w:hint="eastAsia" w:ascii="宋体" w:hAnsi="宋体" w:eastAsia="宋体" w:cs="宋体"/>
          <w:highlight w:val="none"/>
        </w:rPr>
        <w:t>合同条款有关规定，经甲、乙、丙三方协商，达成协议如下：</w:t>
      </w:r>
    </w:p>
    <w:p w14:paraId="7864A1B6">
      <w:pPr>
        <w:pStyle w:val="29"/>
        <w:numPr>
          <w:ilvl w:val="0"/>
          <w:numId w:val="51"/>
        </w:numPr>
        <w:tabs>
          <w:tab w:val="left" w:pos="1164"/>
        </w:tabs>
        <w:spacing w:line="304" w:lineRule="exact"/>
        <w:rPr>
          <w:rFonts w:hint="eastAsia" w:ascii="宋体" w:hAnsi="宋体" w:eastAsia="宋体" w:cs="宋体"/>
          <w:sz w:val="24"/>
          <w:highlight w:val="none"/>
        </w:rPr>
      </w:pPr>
      <w:r>
        <w:rPr>
          <w:rFonts w:hint="eastAsia" w:ascii="宋体" w:hAnsi="宋体" w:eastAsia="宋体" w:cs="宋体"/>
          <w:sz w:val="24"/>
          <w:highlight w:val="none"/>
        </w:rPr>
        <w:t>资金管理的内容</w:t>
      </w:r>
    </w:p>
    <w:p w14:paraId="480B9861">
      <w:pPr>
        <w:pStyle w:val="29"/>
        <w:numPr>
          <w:ilvl w:val="0"/>
          <w:numId w:val="52"/>
        </w:numPr>
        <w:tabs>
          <w:tab w:val="left" w:pos="1465"/>
          <w:tab w:val="left" w:pos="3568"/>
        </w:tabs>
        <w:spacing w:before="72" w:line="297" w:lineRule="auto"/>
        <w:ind w:right="466" w:firstLine="480"/>
        <w:rPr>
          <w:rFonts w:hint="eastAsia" w:ascii="宋体" w:hAnsi="宋体" w:eastAsia="宋体" w:cs="宋体"/>
          <w:sz w:val="24"/>
          <w:highlight w:val="none"/>
        </w:rPr>
      </w:pPr>
      <w:r>
        <w:rPr>
          <w:rFonts w:hint="eastAsia" w:ascii="宋体" w:hAnsi="宋体" w:eastAsia="宋体" w:cs="宋体"/>
          <w:sz w:val="24"/>
          <w:highlight w:val="none"/>
        </w:rPr>
        <w:t>乙方为完成</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（项目名称</w:t>
      </w:r>
      <w:r>
        <w:rPr>
          <w:rFonts w:hint="eastAsia" w:ascii="宋体" w:hAnsi="宋体" w:eastAsia="宋体" w:cs="宋体"/>
          <w:spacing w:val="-29"/>
          <w:sz w:val="24"/>
          <w:highlight w:val="none"/>
        </w:rPr>
        <w:t>）</w:t>
      </w:r>
      <w:r>
        <w:rPr>
          <w:rFonts w:hint="eastAsia" w:ascii="宋体" w:hAnsi="宋体" w:eastAsia="宋体" w:cs="宋体"/>
          <w:sz w:val="24"/>
          <w:highlight w:val="none"/>
        </w:rPr>
        <w:t>工程成立的项目经理部在丙方开设基</w:t>
      </w:r>
      <w:r>
        <w:rPr>
          <w:rFonts w:hint="eastAsia" w:ascii="宋体" w:hAnsi="宋体" w:eastAsia="宋体" w:cs="宋体"/>
          <w:spacing w:val="-18"/>
          <w:sz w:val="24"/>
          <w:highlight w:val="none"/>
        </w:rPr>
        <w:t>本</w:t>
      </w:r>
      <w:r>
        <w:rPr>
          <w:rFonts w:hint="eastAsia" w:ascii="宋体" w:hAnsi="宋体" w:eastAsia="宋体" w:cs="宋体"/>
          <w:sz w:val="24"/>
          <w:highlight w:val="none"/>
        </w:rPr>
        <w:t>结算户；</w:t>
      </w:r>
    </w:p>
    <w:p w14:paraId="1367A630">
      <w:pPr>
        <w:pStyle w:val="29"/>
        <w:numPr>
          <w:ilvl w:val="0"/>
          <w:numId w:val="52"/>
        </w:numPr>
        <w:tabs>
          <w:tab w:val="left" w:pos="1465"/>
        </w:tabs>
        <w:spacing w:line="306" w:lineRule="exact"/>
        <w:ind w:left="1465"/>
        <w:rPr>
          <w:rFonts w:hint="eastAsia" w:ascii="宋体" w:hAnsi="宋体" w:eastAsia="宋体" w:cs="宋体"/>
          <w:sz w:val="24"/>
          <w:highlight w:val="none"/>
        </w:rPr>
      </w:pPr>
      <w:r>
        <w:rPr>
          <w:rFonts w:hint="eastAsia" w:ascii="宋体" w:hAnsi="宋体" w:eastAsia="宋体" w:cs="宋体"/>
          <w:sz w:val="24"/>
          <w:highlight w:val="none"/>
        </w:rPr>
        <w:t>甲方应按合同规定将工程款汇入乙方在丙方开设的账户；</w:t>
      </w:r>
    </w:p>
    <w:p w14:paraId="5F22EFC5">
      <w:pPr>
        <w:pStyle w:val="29"/>
        <w:numPr>
          <w:ilvl w:val="0"/>
          <w:numId w:val="52"/>
        </w:numPr>
        <w:tabs>
          <w:tab w:val="left" w:pos="1465"/>
          <w:tab w:val="left" w:pos="7223"/>
        </w:tabs>
        <w:spacing w:before="72"/>
        <w:ind w:left="1465"/>
        <w:rPr>
          <w:rFonts w:hint="eastAsia" w:ascii="宋体" w:hAnsi="宋体" w:eastAsia="宋体" w:cs="宋体"/>
          <w:sz w:val="24"/>
          <w:highlight w:val="none"/>
        </w:rPr>
      </w:pPr>
      <w:r>
        <w:rPr>
          <w:rFonts w:hint="eastAsia" w:ascii="宋体" w:hAnsi="宋体" w:eastAsia="宋体" w:cs="宋体"/>
          <w:sz w:val="24"/>
          <w:highlight w:val="none"/>
        </w:rPr>
        <w:t>乙方应将流动资金及甲方所拨付资金专项用于</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（项目名称）；</w:t>
      </w:r>
    </w:p>
    <w:p w14:paraId="104F624B">
      <w:pPr>
        <w:pStyle w:val="29"/>
        <w:numPr>
          <w:ilvl w:val="0"/>
          <w:numId w:val="52"/>
        </w:numPr>
        <w:tabs>
          <w:tab w:val="left" w:pos="1465"/>
        </w:tabs>
        <w:spacing w:before="74" w:line="295" w:lineRule="auto"/>
        <w:ind w:right="466" w:firstLine="480"/>
        <w:rPr>
          <w:rFonts w:hint="eastAsia" w:ascii="宋体" w:hAnsi="宋体" w:eastAsia="宋体" w:cs="宋体"/>
          <w:sz w:val="24"/>
          <w:highlight w:val="none"/>
        </w:rPr>
      </w:pPr>
      <w:r>
        <w:rPr>
          <w:rFonts w:hint="eastAsia" w:ascii="宋体" w:hAnsi="宋体" w:eastAsia="宋体" w:cs="宋体"/>
          <w:spacing w:val="-3"/>
          <w:sz w:val="24"/>
          <w:highlight w:val="none"/>
        </w:rPr>
        <w:t>丙方应为乙方提供便捷有效的银行业务服务，并接受甲方委托对乙方在</w:t>
      </w:r>
      <w:r>
        <w:rPr>
          <w:rFonts w:hint="eastAsia" w:ascii="宋体" w:hAnsi="宋体" w:eastAsia="宋体" w:cs="宋体"/>
          <w:spacing w:val="-5"/>
          <w:sz w:val="24"/>
          <w:highlight w:val="none"/>
        </w:rPr>
        <w:t>丙方开设的基本结算户资金使用情况进行监督。</w:t>
      </w:r>
    </w:p>
    <w:p w14:paraId="1F86747F">
      <w:pPr>
        <w:pStyle w:val="29"/>
        <w:numPr>
          <w:ilvl w:val="0"/>
          <w:numId w:val="51"/>
        </w:numPr>
        <w:tabs>
          <w:tab w:val="left" w:pos="1164"/>
        </w:tabs>
        <w:spacing w:before="2"/>
        <w:rPr>
          <w:rFonts w:hint="eastAsia" w:ascii="宋体" w:hAnsi="宋体" w:eastAsia="宋体" w:cs="宋体"/>
          <w:sz w:val="24"/>
          <w:highlight w:val="none"/>
        </w:rPr>
      </w:pPr>
      <w:r>
        <w:rPr>
          <w:rFonts w:hint="eastAsia" w:ascii="宋体" w:hAnsi="宋体" w:eastAsia="宋体" w:cs="宋体"/>
          <w:sz w:val="24"/>
          <w:highlight w:val="none"/>
        </w:rPr>
        <w:t>甲方的权责</w:t>
      </w:r>
    </w:p>
    <w:p w14:paraId="6CFAB1B5">
      <w:pPr>
        <w:pStyle w:val="29"/>
        <w:numPr>
          <w:ilvl w:val="0"/>
          <w:numId w:val="53"/>
        </w:numPr>
        <w:tabs>
          <w:tab w:val="left" w:pos="1465"/>
          <w:tab w:val="left" w:pos="2860"/>
        </w:tabs>
        <w:spacing w:before="74" w:line="295" w:lineRule="auto"/>
        <w:ind w:right="466" w:firstLine="480"/>
        <w:rPr>
          <w:rFonts w:hint="eastAsia" w:ascii="宋体" w:hAnsi="宋体" w:eastAsia="宋体" w:cs="宋体"/>
          <w:sz w:val="24"/>
          <w:highlight w:val="none"/>
        </w:rPr>
      </w:pPr>
      <w:r>
        <w:rPr>
          <w:rFonts w:hint="eastAsia" w:ascii="宋体" w:hAnsi="宋体" w:eastAsia="宋体" w:cs="宋体"/>
          <w:sz w:val="24"/>
          <w:highlight w:val="none"/>
        </w:rPr>
        <w:t>按照</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（项目名称</w:t>
      </w:r>
      <w:r>
        <w:rPr>
          <w:rFonts w:hint="eastAsia" w:ascii="宋体" w:hAnsi="宋体" w:eastAsia="宋体" w:cs="宋体"/>
          <w:spacing w:val="-20"/>
          <w:sz w:val="24"/>
          <w:highlight w:val="none"/>
        </w:rPr>
        <w:t>）</w:t>
      </w:r>
      <w:r>
        <w:rPr>
          <w:rFonts w:hint="eastAsia" w:ascii="宋体" w:hAnsi="宋体" w:eastAsia="宋体" w:cs="宋体"/>
          <w:sz w:val="24"/>
          <w:highlight w:val="none"/>
        </w:rPr>
        <w:t>合同有关条款规定的时间和方式</w:t>
      </w:r>
      <w:r>
        <w:rPr>
          <w:rFonts w:hint="eastAsia" w:ascii="宋体" w:hAnsi="宋体" w:eastAsia="宋体" w:cs="宋体"/>
          <w:spacing w:val="-22"/>
          <w:sz w:val="24"/>
          <w:highlight w:val="none"/>
        </w:rPr>
        <w:t>，</w:t>
      </w:r>
      <w:r>
        <w:rPr>
          <w:rFonts w:hint="eastAsia" w:ascii="宋体" w:hAnsi="宋体" w:eastAsia="宋体" w:cs="宋体"/>
          <w:sz w:val="24"/>
          <w:highlight w:val="none"/>
        </w:rPr>
        <w:t>向乙方支</w:t>
      </w:r>
      <w:r>
        <w:rPr>
          <w:rFonts w:hint="eastAsia" w:ascii="宋体" w:hAnsi="宋体" w:eastAsia="宋体" w:cs="宋体"/>
          <w:spacing w:val="-17"/>
          <w:sz w:val="24"/>
          <w:highlight w:val="none"/>
        </w:rPr>
        <w:t>付</w:t>
      </w:r>
      <w:r>
        <w:rPr>
          <w:rFonts w:hint="eastAsia" w:ascii="宋体" w:hAnsi="宋体" w:eastAsia="宋体" w:cs="宋体"/>
          <w:sz w:val="24"/>
          <w:highlight w:val="none"/>
        </w:rPr>
        <w:t>工程款；</w:t>
      </w:r>
    </w:p>
    <w:p w14:paraId="015B87CA">
      <w:pPr>
        <w:pStyle w:val="29"/>
        <w:numPr>
          <w:ilvl w:val="0"/>
          <w:numId w:val="53"/>
        </w:numPr>
        <w:tabs>
          <w:tab w:val="left" w:pos="1465"/>
        </w:tabs>
        <w:spacing w:before="2" w:line="297" w:lineRule="auto"/>
        <w:ind w:right="466" w:firstLine="480"/>
        <w:rPr>
          <w:rFonts w:hint="eastAsia" w:ascii="宋体" w:hAnsi="宋体" w:eastAsia="宋体" w:cs="宋体"/>
          <w:sz w:val="24"/>
          <w:highlight w:val="none"/>
        </w:rPr>
      </w:pPr>
      <w:r>
        <w:rPr>
          <w:rFonts w:hint="eastAsia" w:ascii="宋体" w:hAnsi="宋体" w:eastAsia="宋体" w:cs="宋体"/>
          <w:spacing w:val="-6"/>
          <w:sz w:val="24"/>
          <w:highlight w:val="none"/>
        </w:rPr>
        <w:t>在发现乙方将本项目资金挪用、转移时，甲方有权中止工程支付，直至乙</w:t>
      </w:r>
      <w:r>
        <w:rPr>
          <w:rFonts w:hint="eastAsia" w:ascii="宋体" w:hAnsi="宋体" w:eastAsia="宋体" w:cs="宋体"/>
          <w:sz w:val="24"/>
          <w:highlight w:val="none"/>
        </w:rPr>
        <w:t>方改正为止；</w:t>
      </w:r>
    </w:p>
    <w:p w14:paraId="11D3E727">
      <w:pPr>
        <w:pStyle w:val="29"/>
        <w:numPr>
          <w:ilvl w:val="0"/>
          <w:numId w:val="53"/>
        </w:numPr>
        <w:tabs>
          <w:tab w:val="left" w:pos="1465"/>
        </w:tabs>
        <w:spacing w:line="295" w:lineRule="auto"/>
        <w:ind w:right="466" w:firstLine="480"/>
        <w:rPr>
          <w:rFonts w:hint="eastAsia" w:ascii="宋体" w:hAnsi="宋体" w:eastAsia="宋体" w:cs="宋体"/>
          <w:sz w:val="24"/>
          <w:highlight w:val="none"/>
        </w:rPr>
      </w:pPr>
      <w:r>
        <w:rPr>
          <w:rFonts w:hint="eastAsia" w:ascii="宋体" w:hAnsi="宋体" w:eastAsia="宋体" w:cs="宋体"/>
          <w:spacing w:val="-3"/>
          <w:sz w:val="24"/>
          <w:highlight w:val="none"/>
        </w:rPr>
        <w:t xml:space="preserve">不定期审查丙方对乙方的资金使用监督情况，如丙方不能履行其责任， </w:t>
      </w:r>
      <w:r>
        <w:rPr>
          <w:rFonts w:hint="eastAsia" w:ascii="宋体" w:hAnsi="宋体" w:eastAsia="宋体" w:cs="宋体"/>
          <w:spacing w:val="-5"/>
          <w:sz w:val="24"/>
          <w:highlight w:val="none"/>
        </w:rPr>
        <w:t>甲方有权随时终止本协议；</w:t>
      </w:r>
    </w:p>
    <w:p w14:paraId="5C2F654D">
      <w:pPr>
        <w:pStyle w:val="29"/>
        <w:numPr>
          <w:ilvl w:val="0"/>
          <w:numId w:val="53"/>
        </w:numPr>
        <w:tabs>
          <w:tab w:val="left" w:pos="1465"/>
        </w:tabs>
        <w:spacing w:before="2"/>
        <w:ind w:left="1465"/>
        <w:rPr>
          <w:rFonts w:hint="eastAsia" w:ascii="宋体" w:hAnsi="宋体" w:eastAsia="宋体" w:cs="宋体"/>
          <w:sz w:val="24"/>
          <w:highlight w:val="none"/>
        </w:rPr>
      </w:pPr>
      <w:r>
        <w:rPr>
          <w:rFonts w:hint="eastAsia" w:ascii="宋体" w:hAnsi="宋体" w:eastAsia="宋体" w:cs="宋体"/>
          <w:sz w:val="24"/>
          <w:highlight w:val="none"/>
        </w:rPr>
        <w:t>在乙、丙双方发生争议时，甲方应负责协调、解决。</w:t>
      </w:r>
    </w:p>
    <w:p w14:paraId="6E273180">
      <w:pPr>
        <w:pStyle w:val="29"/>
        <w:numPr>
          <w:ilvl w:val="0"/>
          <w:numId w:val="51"/>
        </w:numPr>
        <w:tabs>
          <w:tab w:val="left" w:pos="1164"/>
        </w:tabs>
        <w:spacing w:before="72"/>
        <w:rPr>
          <w:rFonts w:hint="eastAsia" w:ascii="宋体" w:hAnsi="宋体" w:eastAsia="宋体" w:cs="宋体"/>
          <w:sz w:val="24"/>
          <w:highlight w:val="none"/>
        </w:rPr>
      </w:pPr>
      <w:r>
        <w:rPr>
          <w:rFonts w:hint="eastAsia" w:ascii="宋体" w:hAnsi="宋体" w:eastAsia="宋体" w:cs="宋体"/>
          <w:sz w:val="24"/>
          <w:highlight w:val="none"/>
        </w:rPr>
        <w:t>乙方的权责</w:t>
      </w:r>
    </w:p>
    <w:p w14:paraId="12C14CCE">
      <w:pPr>
        <w:pStyle w:val="29"/>
        <w:numPr>
          <w:ilvl w:val="0"/>
          <w:numId w:val="54"/>
        </w:numPr>
        <w:tabs>
          <w:tab w:val="left" w:pos="1465"/>
        </w:tabs>
        <w:spacing w:before="72"/>
        <w:rPr>
          <w:rFonts w:hint="eastAsia" w:ascii="宋体" w:hAnsi="宋体" w:eastAsia="宋体" w:cs="宋体"/>
          <w:sz w:val="24"/>
          <w:highlight w:val="none"/>
        </w:rPr>
      </w:pPr>
      <w:r>
        <w:rPr>
          <w:rFonts w:hint="eastAsia" w:ascii="宋体" w:hAnsi="宋体" w:eastAsia="宋体" w:cs="宋体"/>
          <w:sz w:val="24"/>
          <w:highlight w:val="none"/>
        </w:rPr>
        <w:t>项目经理部成立以后，乙方应尽快在丙方开设基本结算户；</w:t>
      </w:r>
    </w:p>
    <w:p w14:paraId="3E3E39BD">
      <w:pPr>
        <w:pStyle w:val="29"/>
        <w:numPr>
          <w:ilvl w:val="0"/>
          <w:numId w:val="54"/>
        </w:numPr>
        <w:tabs>
          <w:tab w:val="left" w:pos="1465"/>
        </w:tabs>
        <w:spacing w:before="74" w:line="295" w:lineRule="auto"/>
        <w:ind w:left="384" w:right="466" w:firstLine="480"/>
        <w:rPr>
          <w:rFonts w:hint="eastAsia" w:ascii="宋体" w:hAnsi="宋体" w:eastAsia="宋体" w:cs="宋体"/>
          <w:sz w:val="24"/>
          <w:highlight w:val="none"/>
        </w:rPr>
      </w:pPr>
      <w:r>
        <w:rPr>
          <w:rFonts w:hint="eastAsia" w:ascii="宋体" w:hAnsi="宋体" w:eastAsia="宋体" w:cs="宋体"/>
          <w:spacing w:val="-6"/>
          <w:sz w:val="24"/>
          <w:highlight w:val="none"/>
        </w:rPr>
        <w:t>确保本项目资金专款专用，不发生挪用、转移资金的现象；保证不通过权</w:t>
      </w:r>
      <w:r>
        <w:rPr>
          <w:rFonts w:hint="eastAsia" w:ascii="宋体" w:hAnsi="宋体" w:eastAsia="宋体" w:cs="宋体"/>
          <w:sz w:val="24"/>
          <w:highlight w:val="none"/>
        </w:rPr>
        <w:t>益转让、抵押、担保承担债务等任何其他方式使用基本结算户的资金；</w:t>
      </w:r>
    </w:p>
    <w:p w14:paraId="2BA477BC">
      <w:pPr>
        <w:pStyle w:val="29"/>
        <w:numPr>
          <w:ilvl w:val="0"/>
          <w:numId w:val="54"/>
        </w:numPr>
        <w:tabs>
          <w:tab w:val="left" w:pos="1465"/>
        </w:tabs>
        <w:spacing w:before="2" w:line="297" w:lineRule="auto"/>
        <w:ind w:left="384" w:right="346" w:firstLine="480"/>
        <w:jc w:val="both"/>
        <w:rPr>
          <w:rFonts w:hint="eastAsia" w:ascii="宋体" w:hAnsi="宋体" w:eastAsia="宋体" w:cs="宋体"/>
          <w:sz w:val="24"/>
          <w:highlight w:val="none"/>
        </w:rPr>
      </w:pPr>
      <w:r>
        <w:rPr>
          <w:rFonts w:hint="eastAsia" w:ascii="宋体" w:hAnsi="宋体" w:eastAsia="宋体" w:cs="宋体"/>
          <w:spacing w:val="-5"/>
          <w:sz w:val="24"/>
          <w:highlight w:val="none"/>
        </w:rPr>
        <w:t>办理材料、设备等采购业务金额在</w:t>
      </w:r>
      <w:r>
        <w:rPr>
          <w:rFonts w:hint="eastAsia" w:ascii="宋体" w:hAnsi="宋体" w:eastAsia="宋体" w:cs="宋体"/>
          <w:spacing w:val="-6"/>
          <w:sz w:val="24"/>
          <w:highlight w:val="none"/>
        </w:rPr>
        <w:t xml:space="preserve"> 万元以上的，应出示购货合同、协议和发票；在办理总额超过</w:t>
      </w:r>
      <w:r>
        <w:rPr>
          <w:rFonts w:hint="eastAsia" w:ascii="宋体" w:hAnsi="宋体" w:eastAsia="宋体" w:cs="宋体"/>
          <w:spacing w:val="-6"/>
          <w:sz w:val="24"/>
          <w:highlight w:val="none"/>
          <w:u w:val="single"/>
        </w:rPr>
        <w:t xml:space="preserve"> </w:t>
      </w:r>
      <w:r>
        <w:rPr>
          <w:rFonts w:hint="eastAsia" w:ascii="宋体" w:hAnsi="宋体" w:eastAsia="宋体" w:cs="宋体"/>
          <w:sz w:val="24"/>
          <w:highlight w:val="none"/>
        </w:rPr>
        <w:t xml:space="preserve"> 万元以上的采购业务时，应将合同、协议和发票复印件</w:t>
      </w:r>
      <w:r>
        <w:rPr>
          <w:rFonts w:hint="eastAsia" w:ascii="宋体" w:hAnsi="宋体" w:eastAsia="宋体" w:cs="宋体"/>
          <w:spacing w:val="-9"/>
          <w:sz w:val="24"/>
          <w:highlight w:val="none"/>
        </w:rPr>
        <w:t>送丙方备案；购买应急材料、设备时可先办理支付手续，但事后必须补备有关资料；</w:t>
      </w:r>
    </w:p>
    <w:p w14:paraId="42A3A8AA">
      <w:pPr>
        <w:spacing w:line="297" w:lineRule="auto"/>
        <w:jc w:val="both"/>
        <w:rPr>
          <w:rFonts w:hint="eastAsia" w:ascii="宋体" w:hAnsi="宋体" w:eastAsia="宋体" w:cs="宋体"/>
          <w:sz w:val="24"/>
          <w:highlight w:val="none"/>
        </w:rPr>
        <w:sectPr>
          <w:pgSz w:w="11910" w:h="16840"/>
          <w:pgMar w:top="1360" w:right="1120" w:bottom="1080" w:left="1260" w:header="882" w:footer="845" w:gutter="0"/>
          <w:cols w:space="720" w:num="1"/>
        </w:sectPr>
      </w:pPr>
    </w:p>
    <w:p w14:paraId="008AEBD9">
      <w:pPr>
        <w:pStyle w:val="10"/>
        <w:rPr>
          <w:rFonts w:hint="eastAsia" w:ascii="宋体" w:hAnsi="宋体" w:eastAsia="宋体" w:cs="宋体"/>
          <w:sz w:val="17"/>
          <w:highlight w:val="none"/>
        </w:rPr>
      </w:pPr>
    </w:p>
    <w:p w14:paraId="409EEC47">
      <w:pPr>
        <w:pStyle w:val="29"/>
        <w:numPr>
          <w:ilvl w:val="0"/>
          <w:numId w:val="54"/>
        </w:numPr>
        <w:tabs>
          <w:tab w:val="left" w:pos="1465"/>
        </w:tabs>
        <w:spacing w:before="77" w:line="295" w:lineRule="auto"/>
        <w:ind w:left="384" w:right="466" w:firstLine="480"/>
        <w:rPr>
          <w:rFonts w:hint="eastAsia" w:ascii="宋体" w:hAnsi="宋体" w:eastAsia="宋体" w:cs="宋体"/>
          <w:sz w:val="24"/>
          <w:highlight w:val="none"/>
        </w:rPr>
      </w:pPr>
      <w:r>
        <w:rPr>
          <w:rFonts w:hint="eastAsia" w:ascii="宋体" w:hAnsi="宋体" w:eastAsia="宋体" w:cs="宋体"/>
          <w:spacing w:val="-3"/>
          <w:sz w:val="24"/>
          <w:highlight w:val="none"/>
        </w:rPr>
        <w:t>用银行转账支票办理支付款项时，必须将转账支票送交丙方，由丙方负</w:t>
      </w:r>
      <w:r>
        <w:rPr>
          <w:rFonts w:hint="eastAsia" w:ascii="宋体" w:hAnsi="宋体" w:eastAsia="宋体" w:cs="宋体"/>
          <w:spacing w:val="-5"/>
          <w:sz w:val="24"/>
          <w:highlight w:val="none"/>
        </w:rPr>
        <w:t>责办理支票转付手续；</w:t>
      </w:r>
    </w:p>
    <w:p w14:paraId="15AAFA1A">
      <w:pPr>
        <w:pStyle w:val="29"/>
        <w:numPr>
          <w:ilvl w:val="0"/>
          <w:numId w:val="54"/>
        </w:numPr>
        <w:tabs>
          <w:tab w:val="left" w:pos="1465"/>
        </w:tabs>
        <w:spacing w:before="2"/>
        <w:rPr>
          <w:rFonts w:hint="eastAsia" w:ascii="宋体" w:hAnsi="宋体" w:eastAsia="宋体" w:cs="宋体"/>
          <w:sz w:val="24"/>
          <w:highlight w:val="none"/>
        </w:rPr>
      </w:pPr>
      <w:r>
        <w:rPr>
          <w:rFonts w:hint="eastAsia" w:ascii="宋体" w:hAnsi="宋体" w:eastAsia="宋体" w:cs="宋体"/>
          <w:sz w:val="24"/>
          <w:highlight w:val="none"/>
        </w:rPr>
        <w:t>向分包单位支付工程进度款时，应附甲方批准分包的文件；</w:t>
      </w:r>
    </w:p>
    <w:p w14:paraId="15F83ED8">
      <w:pPr>
        <w:pStyle w:val="29"/>
        <w:numPr>
          <w:ilvl w:val="0"/>
          <w:numId w:val="54"/>
        </w:numPr>
        <w:tabs>
          <w:tab w:val="left" w:pos="1465"/>
        </w:tabs>
        <w:spacing w:before="74" w:line="295" w:lineRule="auto"/>
        <w:ind w:left="384" w:right="466" w:firstLine="480"/>
        <w:rPr>
          <w:rFonts w:hint="eastAsia" w:ascii="宋体" w:hAnsi="宋体" w:eastAsia="宋体" w:cs="宋体"/>
          <w:sz w:val="24"/>
          <w:highlight w:val="none"/>
        </w:rPr>
      </w:pPr>
      <w:r>
        <w:rPr>
          <w:rFonts w:hint="eastAsia" w:ascii="宋体" w:hAnsi="宋体" w:eastAsia="宋体" w:cs="宋体"/>
          <w:spacing w:val="-4"/>
          <w:sz w:val="24"/>
          <w:highlight w:val="none"/>
        </w:rPr>
        <w:t>向上级单位缴纳管理费、机械设备及周转材料租赁摊销费等款项时，应</w:t>
      </w:r>
      <w:r>
        <w:rPr>
          <w:rFonts w:hint="eastAsia" w:ascii="宋体" w:hAnsi="宋体" w:eastAsia="宋体" w:cs="宋体"/>
          <w:spacing w:val="-5"/>
          <w:sz w:val="24"/>
          <w:highlight w:val="none"/>
        </w:rPr>
        <w:t>附上级单位出具的转账通知等有关资料，以确保资金专款专用。</w:t>
      </w:r>
    </w:p>
    <w:p w14:paraId="01A5CCEA">
      <w:pPr>
        <w:pStyle w:val="29"/>
        <w:numPr>
          <w:ilvl w:val="0"/>
          <w:numId w:val="51"/>
        </w:numPr>
        <w:tabs>
          <w:tab w:val="left" w:pos="1164"/>
        </w:tabs>
        <w:spacing w:before="2"/>
        <w:rPr>
          <w:rFonts w:hint="eastAsia" w:ascii="宋体" w:hAnsi="宋体" w:eastAsia="宋体" w:cs="宋体"/>
          <w:sz w:val="24"/>
          <w:highlight w:val="none"/>
        </w:rPr>
      </w:pPr>
      <w:r>
        <w:rPr>
          <w:rFonts w:hint="eastAsia" w:ascii="宋体" w:hAnsi="宋体" w:eastAsia="宋体" w:cs="宋体"/>
          <w:sz w:val="24"/>
          <w:highlight w:val="none"/>
        </w:rPr>
        <w:t>丙方的权责</w:t>
      </w:r>
    </w:p>
    <w:p w14:paraId="4ED8DE4F">
      <w:pPr>
        <w:pStyle w:val="29"/>
        <w:numPr>
          <w:ilvl w:val="0"/>
          <w:numId w:val="55"/>
        </w:numPr>
        <w:tabs>
          <w:tab w:val="left" w:pos="1465"/>
          <w:tab w:val="left" w:pos="2870"/>
        </w:tabs>
        <w:spacing w:before="74" w:line="295" w:lineRule="auto"/>
        <w:ind w:right="466" w:firstLine="480"/>
        <w:rPr>
          <w:rFonts w:hint="eastAsia" w:ascii="宋体" w:hAnsi="宋体" w:eastAsia="宋体" w:cs="宋体"/>
          <w:sz w:val="24"/>
          <w:highlight w:val="none"/>
        </w:rPr>
      </w:pPr>
      <w:r>
        <w:rPr>
          <w:rFonts w:hint="eastAsia" w:ascii="宋体" w:hAnsi="宋体" w:eastAsia="宋体" w:cs="宋体"/>
          <w:sz w:val="24"/>
          <w:highlight w:val="none"/>
        </w:rPr>
        <w:t>成立</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（项目名称</w:t>
      </w:r>
      <w:r>
        <w:rPr>
          <w:rFonts w:hint="eastAsia" w:ascii="宋体" w:hAnsi="宋体" w:eastAsia="宋体" w:cs="宋体"/>
          <w:spacing w:val="-17"/>
          <w:sz w:val="24"/>
          <w:highlight w:val="none"/>
        </w:rPr>
        <w:t>）</w:t>
      </w:r>
      <w:r>
        <w:rPr>
          <w:rFonts w:hint="eastAsia" w:ascii="宋体" w:hAnsi="宋体" w:eastAsia="宋体" w:cs="宋体"/>
          <w:sz w:val="24"/>
          <w:highlight w:val="none"/>
        </w:rPr>
        <w:t>工程资金管理服务小组</w:t>
      </w:r>
      <w:r>
        <w:rPr>
          <w:rFonts w:hint="eastAsia" w:ascii="宋体" w:hAnsi="宋体" w:eastAsia="宋体" w:cs="宋体"/>
          <w:spacing w:val="-17"/>
          <w:sz w:val="24"/>
          <w:highlight w:val="none"/>
        </w:rPr>
        <w:t>，</w:t>
      </w:r>
      <w:r>
        <w:rPr>
          <w:rFonts w:hint="eastAsia" w:ascii="宋体" w:hAnsi="宋体" w:eastAsia="宋体" w:cs="宋体"/>
          <w:sz w:val="24"/>
          <w:highlight w:val="none"/>
        </w:rPr>
        <w:t>明确业务流程</w:t>
      </w:r>
      <w:r>
        <w:rPr>
          <w:rFonts w:hint="eastAsia" w:ascii="宋体" w:hAnsi="宋体" w:eastAsia="宋体" w:cs="宋体"/>
          <w:spacing w:val="-17"/>
          <w:sz w:val="24"/>
          <w:highlight w:val="none"/>
        </w:rPr>
        <w:t>，</w:t>
      </w:r>
      <w:r>
        <w:rPr>
          <w:rFonts w:hint="eastAsia" w:ascii="宋体" w:hAnsi="宋体" w:eastAsia="宋体" w:cs="宋体"/>
          <w:sz w:val="24"/>
          <w:highlight w:val="none"/>
        </w:rPr>
        <w:t>提</w:t>
      </w:r>
      <w:r>
        <w:rPr>
          <w:rFonts w:hint="eastAsia" w:ascii="宋体" w:hAnsi="宋体" w:eastAsia="宋体" w:cs="宋体"/>
          <w:spacing w:val="-18"/>
          <w:sz w:val="24"/>
          <w:highlight w:val="none"/>
        </w:rPr>
        <w:t>高</w:t>
      </w:r>
      <w:r>
        <w:rPr>
          <w:rFonts w:hint="eastAsia" w:ascii="宋体" w:hAnsi="宋体" w:eastAsia="宋体" w:cs="宋体"/>
          <w:sz w:val="24"/>
          <w:highlight w:val="none"/>
        </w:rPr>
        <w:t>工作效率，杜绝“压票”现象；</w:t>
      </w:r>
    </w:p>
    <w:p w14:paraId="01B22F0C">
      <w:pPr>
        <w:pStyle w:val="29"/>
        <w:numPr>
          <w:ilvl w:val="0"/>
          <w:numId w:val="55"/>
        </w:numPr>
        <w:tabs>
          <w:tab w:val="left" w:pos="1465"/>
        </w:tabs>
        <w:spacing w:before="2" w:line="297" w:lineRule="auto"/>
        <w:ind w:right="462" w:firstLine="480"/>
        <w:rPr>
          <w:rFonts w:hint="eastAsia" w:ascii="宋体" w:hAnsi="宋体" w:eastAsia="宋体" w:cs="宋体"/>
          <w:sz w:val="24"/>
          <w:highlight w:val="none"/>
        </w:rPr>
      </w:pPr>
      <w:r>
        <w:rPr>
          <w:rFonts w:hint="eastAsia" w:ascii="宋体" w:hAnsi="宋体" w:eastAsia="宋体" w:cs="宋体"/>
          <w:spacing w:val="-31"/>
          <w:sz w:val="24"/>
          <w:highlight w:val="none"/>
        </w:rPr>
        <w:t>根据乙方提供的购货合同、协议和发票，检查其所购材料、设备是否用于</w:t>
      </w:r>
      <w:r>
        <w:rPr>
          <w:rFonts w:hint="eastAsia" w:ascii="宋体" w:hAnsi="宋体" w:eastAsia="宋体" w:cs="宋体"/>
          <w:spacing w:val="8"/>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pacing w:val="-4"/>
          <w:sz w:val="24"/>
          <w:highlight w:val="none"/>
        </w:rPr>
        <w:t>项目名称</w:t>
      </w:r>
      <w:r>
        <w:rPr>
          <w:rFonts w:hint="eastAsia" w:ascii="宋体" w:hAnsi="宋体" w:eastAsia="宋体" w:cs="宋体"/>
          <w:sz w:val="24"/>
          <w:highlight w:val="none"/>
        </w:rPr>
        <w:t>）工程建设，对本标段以外的购货款项，有权拒绝办理，并及时报告甲方；</w:t>
      </w:r>
    </w:p>
    <w:p w14:paraId="653315B9">
      <w:pPr>
        <w:pStyle w:val="29"/>
        <w:numPr>
          <w:ilvl w:val="0"/>
          <w:numId w:val="55"/>
        </w:numPr>
        <w:tabs>
          <w:tab w:val="left" w:pos="1465"/>
        </w:tabs>
        <w:spacing w:line="295" w:lineRule="auto"/>
        <w:ind w:right="466" w:firstLine="480"/>
        <w:rPr>
          <w:rFonts w:hint="eastAsia" w:ascii="宋体" w:hAnsi="宋体" w:eastAsia="宋体" w:cs="宋体"/>
          <w:sz w:val="24"/>
          <w:highlight w:val="none"/>
        </w:rPr>
      </w:pPr>
      <w:r>
        <w:rPr>
          <w:rFonts w:hint="eastAsia" w:ascii="宋体" w:hAnsi="宋体" w:eastAsia="宋体" w:cs="宋体"/>
          <w:spacing w:val="-3"/>
          <w:sz w:val="24"/>
          <w:highlight w:val="none"/>
        </w:rPr>
        <w:t>根据乙方与分包单位签订的合同及支付文件，检查其支付款项是否符合</w:t>
      </w:r>
      <w:r>
        <w:rPr>
          <w:rFonts w:hint="eastAsia" w:ascii="宋体" w:hAnsi="宋体" w:eastAsia="宋体" w:cs="宋体"/>
          <w:spacing w:val="-5"/>
          <w:sz w:val="24"/>
          <w:highlight w:val="none"/>
        </w:rPr>
        <w:t>有关条件，向分包单位以外单位的支付有权拒绝办理，并及时报告甲方；</w:t>
      </w:r>
    </w:p>
    <w:p w14:paraId="4849B7CA">
      <w:pPr>
        <w:pStyle w:val="29"/>
        <w:numPr>
          <w:ilvl w:val="0"/>
          <w:numId w:val="55"/>
        </w:numPr>
        <w:tabs>
          <w:tab w:val="left" w:pos="1465"/>
        </w:tabs>
        <w:spacing w:before="2" w:line="295" w:lineRule="auto"/>
        <w:ind w:right="346" w:firstLine="480"/>
        <w:rPr>
          <w:rFonts w:hint="eastAsia" w:ascii="宋体" w:hAnsi="宋体" w:eastAsia="宋体" w:cs="宋体"/>
          <w:sz w:val="24"/>
          <w:highlight w:val="none"/>
        </w:rPr>
      </w:pPr>
      <w:r>
        <w:rPr>
          <w:rFonts w:hint="eastAsia" w:ascii="宋体" w:hAnsi="宋体" w:eastAsia="宋体" w:cs="宋体"/>
          <w:spacing w:val="-3"/>
          <w:sz w:val="24"/>
          <w:highlight w:val="none"/>
        </w:rPr>
        <w:t>根据乙方提供的上级单位出具的转账通知等有关资料，办理管理费、机械</w:t>
      </w:r>
      <w:r>
        <w:rPr>
          <w:rFonts w:hint="eastAsia" w:ascii="宋体" w:hAnsi="宋体" w:eastAsia="宋体" w:cs="宋体"/>
          <w:spacing w:val="-9"/>
          <w:sz w:val="24"/>
          <w:highlight w:val="none"/>
        </w:rPr>
        <w:t xml:space="preserve">设备及周转材料租赁摊销费等款项的支付；对超出转账通知等有关资料以外的支付， </w:t>
      </w:r>
      <w:r>
        <w:rPr>
          <w:rFonts w:hint="eastAsia" w:ascii="宋体" w:hAnsi="宋体" w:eastAsia="宋体" w:cs="宋体"/>
          <w:sz w:val="24"/>
          <w:highlight w:val="none"/>
        </w:rPr>
        <w:t>有权拒绝办理，并及时报告甲方；</w:t>
      </w:r>
    </w:p>
    <w:p w14:paraId="79D9D2C1">
      <w:pPr>
        <w:pStyle w:val="29"/>
        <w:numPr>
          <w:ilvl w:val="0"/>
          <w:numId w:val="55"/>
        </w:numPr>
        <w:tabs>
          <w:tab w:val="left" w:pos="1465"/>
        </w:tabs>
        <w:spacing w:before="5" w:line="295" w:lineRule="auto"/>
        <w:ind w:right="466" w:firstLine="480"/>
        <w:rPr>
          <w:rFonts w:hint="eastAsia" w:ascii="宋体" w:hAnsi="宋体" w:eastAsia="宋体" w:cs="宋体"/>
          <w:sz w:val="24"/>
          <w:highlight w:val="none"/>
        </w:rPr>
      </w:pPr>
      <w:r>
        <w:rPr>
          <w:rFonts w:hint="eastAsia" w:ascii="宋体" w:hAnsi="宋体" w:eastAsia="宋体" w:cs="宋体"/>
          <w:spacing w:val="-4"/>
          <w:sz w:val="24"/>
          <w:highlight w:val="none"/>
        </w:rPr>
        <w:t>定期将乙方前一个周期的支付情况，整理后书面报送甲方；乙方复印备</w:t>
      </w:r>
      <w:r>
        <w:rPr>
          <w:rFonts w:hint="eastAsia" w:ascii="宋体" w:hAnsi="宋体" w:eastAsia="宋体" w:cs="宋体"/>
          <w:spacing w:val="-5"/>
          <w:sz w:val="24"/>
          <w:highlight w:val="none"/>
        </w:rPr>
        <w:t>案的材料一并送甲方。</w:t>
      </w:r>
    </w:p>
    <w:p w14:paraId="772B9704">
      <w:pPr>
        <w:pStyle w:val="29"/>
        <w:numPr>
          <w:ilvl w:val="0"/>
          <w:numId w:val="51"/>
        </w:numPr>
        <w:tabs>
          <w:tab w:val="left" w:pos="1164"/>
        </w:tabs>
        <w:spacing w:before="2" w:line="297" w:lineRule="auto"/>
        <w:ind w:left="384" w:right="466" w:firstLine="480"/>
        <w:rPr>
          <w:rFonts w:hint="eastAsia" w:ascii="宋体" w:hAnsi="宋体" w:eastAsia="宋体" w:cs="宋体"/>
          <w:sz w:val="24"/>
          <w:highlight w:val="none"/>
        </w:rPr>
      </w:pPr>
      <w:r>
        <w:rPr>
          <w:rFonts w:hint="eastAsia" w:ascii="宋体" w:hAnsi="宋体" w:eastAsia="宋体" w:cs="宋体"/>
          <w:spacing w:val="-6"/>
          <w:sz w:val="24"/>
          <w:highlight w:val="none"/>
        </w:rPr>
        <w:t>甲、乙、丙三方都应履行保密责任，不得将其他两方的业务情况透露给三方</w:t>
      </w:r>
      <w:r>
        <w:rPr>
          <w:rFonts w:hint="eastAsia" w:ascii="宋体" w:hAnsi="宋体" w:eastAsia="宋体" w:cs="宋体"/>
          <w:sz w:val="24"/>
          <w:highlight w:val="none"/>
        </w:rPr>
        <w:t>以外的其他单位或个人。</w:t>
      </w:r>
    </w:p>
    <w:p w14:paraId="3462C349">
      <w:pPr>
        <w:pStyle w:val="29"/>
        <w:numPr>
          <w:ilvl w:val="0"/>
          <w:numId w:val="51"/>
        </w:numPr>
        <w:tabs>
          <w:tab w:val="left" w:pos="1164"/>
        </w:tabs>
        <w:spacing w:line="295" w:lineRule="auto"/>
        <w:ind w:left="384" w:right="466" w:firstLine="480"/>
        <w:rPr>
          <w:rFonts w:hint="eastAsia" w:ascii="宋体" w:hAnsi="宋体" w:eastAsia="宋体" w:cs="宋体"/>
          <w:sz w:val="24"/>
          <w:highlight w:val="none"/>
        </w:rPr>
      </w:pPr>
      <w:r>
        <w:rPr>
          <w:rFonts w:hint="eastAsia" w:ascii="宋体" w:hAnsi="宋体" w:eastAsia="宋体" w:cs="宋体"/>
          <w:spacing w:val="-3"/>
          <w:sz w:val="24"/>
          <w:highlight w:val="none"/>
        </w:rPr>
        <w:t>本协议有效期自乙方在丙方开户起，至工程交工验收甲方向乙方颁发交工验</w:t>
      </w:r>
      <w:r>
        <w:rPr>
          <w:rFonts w:hint="eastAsia" w:ascii="宋体" w:hAnsi="宋体" w:eastAsia="宋体" w:cs="宋体"/>
          <w:sz w:val="24"/>
          <w:highlight w:val="none"/>
        </w:rPr>
        <w:t>收证书后结束。</w:t>
      </w:r>
    </w:p>
    <w:p w14:paraId="4050AE4D">
      <w:pPr>
        <w:pStyle w:val="29"/>
        <w:numPr>
          <w:ilvl w:val="0"/>
          <w:numId w:val="51"/>
        </w:numPr>
        <w:tabs>
          <w:tab w:val="left" w:pos="1164"/>
        </w:tabs>
        <w:spacing w:before="3"/>
        <w:rPr>
          <w:rFonts w:hint="eastAsia" w:ascii="宋体" w:hAnsi="宋体" w:eastAsia="宋体" w:cs="宋体"/>
          <w:sz w:val="24"/>
          <w:highlight w:val="none"/>
        </w:rPr>
      </w:pPr>
      <w:r>
        <w:rPr>
          <w:rFonts w:hint="eastAsia" w:ascii="宋体" w:hAnsi="宋体" w:eastAsia="宋体" w:cs="宋体"/>
          <w:sz w:val="24"/>
          <w:highlight w:val="none"/>
        </w:rPr>
        <w:t>本协议未尽事宜，由甲方牵头，三方协商解决。</w:t>
      </w:r>
    </w:p>
    <w:p w14:paraId="4B31EC6F">
      <w:pPr>
        <w:pStyle w:val="29"/>
        <w:numPr>
          <w:ilvl w:val="0"/>
          <w:numId w:val="51"/>
        </w:numPr>
        <w:tabs>
          <w:tab w:val="left" w:pos="1164"/>
        </w:tabs>
        <w:spacing w:before="72" w:line="295" w:lineRule="auto"/>
        <w:ind w:left="384" w:right="466" w:firstLine="480"/>
        <w:rPr>
          <w:rFonts w:hint="eastAsia" w:ascii="宋体" w:hAnsi="宋体" w:eastAsia="宋体" w:cs="宋体"/>
          <w:sz w:val="24"/>
          <w:highlight w:val="none"/>
        </w:rPr>
      </w:pPr>
      <w:r>
        <w:rPr>
          <w:rFonts w:hint="eastAsia" w:ascii="宋体" w:hAnsi="宋体" w:eastAsia="宋体" w:cs="宋体"/>
          <w:spacing w:val="-1"/>
          <w:sz w:val="24"/>
          <w:highlight w:val="none"/>
        </w:rPr>
        <w:t>本协议正本三份、副本</w:t>
      </w:r>
      <w:r>
        <w:rPr>
          <w:rFonts w:hint="eastAsia" w:ascii="宋体" w:hAnsi="宋体" w:eastAsia="宋体" w:cs="宋体"/>
          <w:spacing w:val="3"/>
          <w:sz w:val="24"/>
          <w:highlight w:val="none"/>
        </w:rPr>
        <w:t xml:space="preserve"> 份。合同三方各执正本一份、副本</w:t>
      </w:r>
      <w:r>
        <w:rPr>
          <w:rFonts w:hint="eastAsia" w:ascii="宋体" w:hAnsi="宋体" w:eastAsia="宋体" w:cs="宋体"/>
          <w:spacing w:val="12"/>
          <w:sz w:val="24"/>
          <w:highlight w:val="none"/>
        </w:rPr>
        <w:t xml:space="preserve"> 份，当正本与</w:t>
      </w:r>
      <w:r>
        <w:rPr>
          <w:rFonts w:hint="eastAsia" w:ascii="宋体" w:hAnsi="宋体" w:eastAsia="宋体" w:cs="宋体"/>
          <w:sz w:val="24"/>
          <w:highlight w:val="none"/>
        </w:rPr>
        <w:t>副本内容不一致时，以正本为准。</w:t>
      </w:r>
    </w:p>
    <w:p w14:paraId="47164790">
      <w:pPr>
        <w:pStyle w:val="10"/>
        <w:spacing w:before="9"/>
        <w:rPr>
          <w:rFonts w:hint="eastAsia" w:ascii="宋体" w:hAnsi="宋体" w:eastAsia="宋体" w:cs="宋体"/>
          <w:sz w:val="23"/>
          <w:highlight w:val="none"/>
        </w:rPr>
      </w:pPr>
    </w:p>
    <w:p w14:paraId="1E477F28">
      <w:pPr>
        <w:pStyle w:val="10"/>
        <w:tabs>
          <w:tab w:val="left" w:pos="4663"/>
          <w:tab w:val="left" w:pos="5143"/>
        </w:tabs>
        <w:spacing w:line="264" w:lineRule="auto"/>
        <w:ind w:left="583" w:right="3421"/>
        <w:rPr>
          <w:rFonts w:hint="eastAsia" w:ascii="宋体" w:hAnsi="宋体" w:eastAsia="宋体" w:cs="宋体"/>
          <w:highlight w:val="none"/>
        </w:rPr>
      </w:pPr>
      <w:r>
        <w:rPr>
          <w:rFonts w:hint="eastAsia" w:ascii="宋体" w:hAnsi="宋体" w:eastAsia="宋体" w:cs="宋体"/>
          <w:highlight w:val="none"/>
        </w:rPr>
        <w:t>发包人：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（盖单位章</w:t>
      </w:r>
      <w:r>
        <w:rPr>
          <w:rFonts w:hint="eastAsia" w:ascii="宋体" w:hAnsi="宋体" w:eastAsia="宋体" w:cs="宋体"/>
          <w:spacing w:val="-17"/>
          <w:highlight w:val="none"/>
        </w:rPr>
        <w:t xml:space="preserve">） </w:t>
      </w:r>
      <w:r>
        <w:rPr>
          <w:rFonts w:hint="eastAsia" w:ascii="宋体" w:hAnsi="宋体" w:eastAsia="宋体" w:cs="宋体"/>
          <w:highlight w:val="none"/>
        </w:rPr>
        <w:t>法定代表人或其委托代理人：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（签字</w:t>
      </w:r>
      <w:r>
        <w:rPr>
          <w:rFonts w:hint="eastAsia" w:ascii="宋体" w:hAnsi="宋体" w:eastAsia="宋体" w:cs="宋体"/>
          <w:spacing w:val="-17"/>
          <w:highlight w:val="none"/>
        </w:rPr>
        <w:t>）</w:t>
      </w:r>
    </w:p>
    <w:p w14:paraId="5EC5DE0D">
      <w:pPr>
        <w:pStyle w:val="10"/>
        <w:tabs>
          <w:tab w:val="left" w:pos="3623"/>
          <w:tab w:val="left" w:pos="4703"/>
          <w:tab w:val="left" w:pos="5603"/>
        </w:tabs>
        <w:spacing w:before="3"/>
        <w:ind w:left="2543"/>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2080E73E">
      <w:pPr>
        <w:pStyle w:val="10"/>
        <w:rPr>
          <w:rFonts w:hint="eastAsia" w:ascii="宋体" w:hAnsi="宋体" w:eastAsia="宋体" w:cs="宋体"/>
          <w:sz w:val="29"/>
          <w:highlight w:val="none"/>
        </w:rPr>
      </w:pPr>
    </w:p>
    <w:p w14:paraId="521BAB3B">
      <w:pPr>
        <w:pStyle w:val="10"/>
        <w:tabs>
          <w:tab w:val="left" w:pos="4663"/>
          <w:tab w:val="left" w:pos="5143"/>
        </w:tabs>
        <w:spacing w:line="266" w:lineRule="auto"/>
        <w:ind w:left="583" w:right="3421"/>
        <w:rPr>
          <w:rFonts w:hint="eastAsia" w:ascii="宋体" w:hAnsi="宋体" w:eastAsia="宋体" w:cs="宋体"/>
          <w:highlight w:val="none"/>
        </w:rPr>
      </w:pPr>
      <w:r>
        <w:rPr>
          <w:rFonts w:hint="eastAsia" w:ascii="宋体" w:hAnsi="宋体" w:eastAsia="宋体" w:cs="宋体"/>
          <w:highlight w:val="none"/>
        </w:rPr>
        <w:t>承包人：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（盖单位章</w:t>
      </w:r>
      <w:r>
        <w:rPr>
          <w:rFonts w:hint="eastAsia" w:ascii="宋体" w:hAnsi="宋体" w:eastAsia="宋体" w:cs="宋体"/>
          <w:spacing w:val="-17"/>
          <w:highlight w:val="none"/>
        </w:rPr>
        <w:t xml:space="preserve">） </w:t>
      </w:r>
      <w:r>
        <w:rPr>
          <w:rFonts w:hint="eastAsia" w:ascii="宋体" w:hAnsi="宋体" w:eastAsia="宋体" w:cs="宋体"/>
          <w:highlight w:val="none"/>
        </w:rPr>
        <w:t>法定代表人或其委托代理人：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（签字</w:t>
      </w:r>
      <w:r>
        <w:rPr>
          <w:rFonts w:hint="eastAsia" w:ascii="宋体" w:hAnsi="宋体" w:eastAsia="宋体" w:cs="宋体"/>
          <w:spacing w:val="-17"/>
          <w:highlight w:val="none"/>
        </w:rPr>
        <w:t>）</w:t>
      </w:r>
    </w:p>
    <w:p w14:paraId="69D18475">
      <w:pPr>
        <w:pStyle w:val="10"/>
        <w:tabs>
          <w:tab w:val="left" w:pos="3623"/>
          <w:tab w:val="left" w:pos="4703"/>
          <w:tab w:val="left" w:pos="5603"/>
        </w:tabs>
        <w:spacing w:line="306" w:lineRule="exact"/>
        <w:ind w:left="2543"/>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72B28199">
      <w:pPr>
        <w:pStyle w:val="10"/>
        <w:rPr>
          <w:rFonts w:hint="eastAsia" w:ascii="宋体" w:hAnsi="宋体" w:eastAsia="宋体" w:cs="宋体"/>
          <w:sz w:val="29"/>
          <w:highlight w:val="none"/>
        </w:rPr>
      </w:pPr>
    </w:p>
    <w:p w14:paraId="32F580A5">
      <w:pPr>
        <w:pStyle w:val="10"/>
        <w:tabs>
          <w:tab w:val="left" w:pos="4663"/>
          <w:tab w:val="left" w:pos="5143"/>
        </w:tabs>
        <w:spacing w:line="266" w:lineRule="auto"/>
        <w:ind w:left="583" w:right="3421"/>
        <w:rPr>
          <w:rFonts w:hint="eastAsia" w:ascii="宋体" w:hAnsi="宋体" w:eastAsia="宋体" w:cs="宋体"/>
          <w:highlight w:val="none"/>
        </w:rPr>
      </w:pPr>
      <w:r>
        <w:rPr>
          <w:rFonts w:hint="eastAsia" w:ascii="宋体" w:hAnsi="宋体" w:eastAsia="宋体" w:cs="宋体"/>
          <w:highlight w:val="none"/>
        </w:rPr>
        <w:t>经办银行：</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（盖单位章</w:t>
      </w:r>
      <w:r>
        <w:rPr>
          <w:rFonts w:hint="eastAsia" w:ascii="宋体" w:hAnsi="宋体" w:eastAsia="宋体" w:cs="宋体"/>
          <w:spacing w:val="-17"/>
          <w:highlight w:val="none"/>
        </w:rPr>
        <w:t xml:space="preserve">） </w:t>
      </w:r>
      <w:r>
        <w:rPr>
          <w:rFonts w:hint="eastAsia" w:ascii="宋体" w:hAnsi="宋体" w:eastAsia="宋体" w:cs="宋体"/>
          <w:highlight w:val="none"/>
        </w:rPr>
        <w:t>法定代表人或其委托代理人：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（签字</w:t>
      </w:r>
      <w:r>
        <w:rPr>
          <w:rFonts w:hint="eastAsia" w:ascii="宋体" w:hAnsi="宋体" w:eastAsia="宋体" w:cs="宋体"/>
          <w:spacing w:val="-17"/>
          <w:highlight w:val="none"/>
        </w:rPr>
        <w:t>）</w:t>
      </w:r>
    </w:p>
    <w:p w14:paraId="181EE4DB">
      <w:pPr>
        <w:pStyle w:val="10"/>
        <w:tabs>
          <w:tab w:val="left" w:pos="3623"/>
          <w:tab w:val="left" w:pos="4703"/>
          <w:tab w:val="left" w:pos="5603"/>
        </w:tabs>
        <w:spacing w:line="304" w:lineRule="exact"/>
        <w:ind w:left="2543"/>
        <w:rPr>
          <w:rFonts w:hint="eastAsia" w:ascii="宋体" w:hAnsi="宋体" w:eastAsia="宋体" w:cs="宋体"/>
          <w:highlight w:val="none"/>
        </w:rPr>
        <w:sectPr>
          <w:pgSz w:w="11910" w:h="16840"/>
          <w:pgMar w:top="1360" w:right="1120" w:bottom="1080" w:left="1260" w:header="882" w:footer="845" w:gutter="0"/>
          <w:cols w:space="720" w:num="1"/>
        </w:sect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3B3BCD33">
      <w:pPr>
        <w:pStyle w:val="10"/>
        <w:rPr>
          <w:rFonts w:hint="eastAsia" w:ascii="宋体" w:hAnsi="宋体" w:eastAsia="宋体" w:cs="宋体"/>
          <w:sz w:val="20"/>
          <w:highlight w:val="none"/>
        </w:rPr>
      </w:pPr>
      <w:bookmarkStart w:id="84" w:name="_TOC_250024"/>
      <w:bookmarkEnd w:id="84"/>
    </w:p>
    <w:p w14:paraId="74B83E62">
      <w:pPr>
        <w:pStyle w:val="10"/>
        <w:spacing w:before="7"/>
        <w:rPr>
          <w:rFonts w:hint="eastAsia" w:ascii="宋体" w:hAnsi="宋体" w:eastAsia="宋体" w:cs="宋体"/>
          <w:sz w:val="18"/>
          <w:highlight w:val="none"/>
        </w:rPr>
      </w:pPr>
    </w:p>
    <w:p w14:paraId="4B1EC1B4">
      <w:pPr>
        <w:pStyle w:val="8"/>
        <w:tabs>
          <w:tab w:val="left" w:pos="1594"/>
        </w:tabs>
        <w:spacing w:before="50"/>
        <w:ind w:left="154"/>
        <w:rPr>
          <w:rFonts w:hint="eastAsia" w:ascii="宋体" w:hAnsi="宋体" w:eastAsia="宋体" w:cs="宋体"/>
          <w:b/>
          <w:bCs/>
          <w:sz w:val="30"/>
          <w:szCs w:val="30"/>
          <w:highlight w:val="none"/>
        </w:rPr>
      </w:pPr>
      <w:bookmarkStart w:id="85" w:name="第五章__工程量清单"/>
      <w:bookmarkEnd w:id="85"/>
      <w:r>
        <w:rPr>
          <w:rFonts w:hint="eastAsia" w:ascii="宋体" w:hAnsi="宋体" w:eastAsia="宋体" w:cs="宋体"/>
          <w:b/>
          <w:bCs/>
          <w:sz w:val="30"/>
          <w:szCs w:val="30"/>
          <w:highlight w:val="none"/>
        </w:rPr>
        <w:t>第三章</w:t>
      </w:r>
      <w:r>
        <w:rPr>
          <w:rFonts w:hint="eastAsia" w:ascii="宋体" w:hAnsi="宋体" w:eastAsia="宋体" w:cs="宋体"/>
          <w:b/>
          <w:bCs/>
          <w:sz w:val="30"/>
          <w:szCs w:val="30"/>
          <w:highlight w:val="none"/>
          <w:lang w:val="en-US"/>
        </w:rPr>
        <w:t xml:space="preserve">  </w:t>
      </w:r>
      <w:r>
        <w:rPr>
          <w:rFonts w:hint="eastAsia" w:ascii="宋体" w:hAnsi="宋体" w:eastAsia="宋体" w:cs="宋体"/>
          <w:b/>
          <w:bCs/>
          <w:sz w:val="30"/>
          <w:szCs w:val="30"/>
          <w:highlight w:val="none"/>
        </w:rPr>
        <w:t>工程量清单</w:t>
      </w:r>
    </w:p>
    <w:p w14:paraId="65BA14BB">
      <w:pPr>
        <w:pStyle w:val="10"/>
        <w:rPr>
          <w:rFonts w:hint="eastAsia" w:ascii="宋体" w:hAnsi="宋体" w:eastAsia="宋体" w:cs="宋体"/>
          <w:sz w:val="20"/>
          <w:highlight w:val="none"/>
        </w:rPr>
      </w:pPr>
    </w:p>
    <w:p w14:paraId="244C1ACA">
      <w:pPr>
        <w:pStyle w:val="10"/>
        <w:spacing w:before="11"/>
        <w:rPr>
          <w:rFonts w:hint="eastAsia" w:ascii="宋体" w:hAnsi="宋体" w:eastAsia="宋体" w:cs="宋体"/>
          <w:sz w:val="22"/>
          <w:highlight w:val="none"/>
        </w:rPr>
      </w:pPr>
    </w:p>
    <w:p w14:paraId="7B8291A0">
      <w:pPr>
        <w:pStyle w:val="29"/>
        <w:numPr>
          <w:ilvl w:val="0"/>
          <w:numId w:val="56"/>
        </w:numPr>
        <w:tabs>
          <w:tab w:val="left" w:pos="995"/>
        </w:tabs>
        <w:spacing w:before="74"/>
        <w:ind w:hanging="182"/>
        <w:jc w:val="left"/>
        <w:rPr>
          <w:rFonts w:hint="eastAsia" w:ascii="宋体" w:hAnsi="宋体" w:eastAsia="宋体" w:cs="宋体"/>
          <w:sz w:val="24"/>
          <w:highlight w:val="none"/>
        </w:rPr>
      </w:pPr>
      <w:r>
        <w:rPr>
          <w:rFonts w:hint="eastAsia" w:ascii="宋体" w:hAnsi="宋体" w:eastAsia="宋体" w:cs="宋体"/>
          <w:sz w:val="24"/>
          <w:highlight w:val="none"/>
        </w:rPr>
        <w:t>工程量清单说明</w:t>
      </w:r>
    </w:p>
    <w:p w14:paraId="55C3B9DC">
      <w:pPr>
        <w:pStyle w:val="10"/>
        <w:spacing w:before="7"/>
        <w:rPr>
          <w:rFonts w:hint="eastAsia" w:ascii="宋体" w:hAnsi="宋体" w:eastAsia="宋体" w:cs="宋体"/>
          <w:sz w:val="20"/>
          <w:highlight w:val="none"/>
        </w:rPr>
      </w:pPr>
    </w:p>
    <w:p w14:paraId="577BF22C">
      <w:pPr>
        <w:pStyle w:val="29"/>
        <w:numPr>
          <w:ilvl w:val="1"/>
          <w:numId w:val="57"/>
        </w:numPr>
        <w:tabs>
          <w:tab w:val="left" w:pos="1114"/>
        </w:tabs>
        <w:spacing w:before="1" w:line="304" w:lineRule="auto"/>
        <w:ind w:right="251" w:firstLine="480"/>
        <w:rPr>
          <w:rFonts w:hint="eastAsia" w:ascii="宋体" w:hAnsi="宋体" w:eastAsia="宋体" w:cs="宋体"/>
          <w:sz w:val="24"/>
          <w:highlight w:val="none"/>
        </w:rPr>
      </w:pPr>
      <w:r>
        <w:rPr>
          <w:rFonts w:hint="eastAsia" w:ascii="宋体" w:hAnsi="宋体" w:eastAsia="宋体" w:cs="宋体"/>
          <w:spacing w:val="-1"/>
          <w:sz w:val="24"/>
          <w:highlight w:val="none"/>
        </w:rPr>
        <w:t>本工程量清单是根据磋商文件中包括的有合同约束力的工程量清单计量规则、</w:t>
      </w:r>
      <w:r>
        <w:rPr>
          <w:rFonts w:hint="eastAsia" w:ascii="宋体" w:hAnsi="宋体" w:eastAsia="宋体" w:cs="宋体"/>
          <w:sz w:val="24"/>
          <w:highlight w:val="none"/>
        </w:rPr>
        <w:t>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6C71E63F">
      <w:pPr>
        <w:pStyle w:val="29"/>
        <w:numPr>
          <w:ilvl w:val="1"/>
          <w:numId w:val="57"/>
        </w:numPr>
        <w:tabs>
          <w:tab w:val="left" w:pos="1114"/>
        </w:tabs>
        <w:spacing w:before="5" w:line="304" w:lineRule="auto"/>
        <w:ind w:right="232" w:firstLine="480"/>
        <w:rPr>
          <w:rFonts w:hint="eastAsia" w:ascii="宋体" w:hAnsi="宋体" w:eastAsia="宋体" w:cs="宋体"/>
          <w:sz w:val="24"/>
          <w:highlight w:val="none"/>
        </w:rPr>
      </w:pPr>
      <w:r>
        <w:rPr>
          <w:rFonts w:hint="eastAsia" w:ascii="宋体" w:hAnsi="宋体" w:eastAsia="宋体" w:cs="宋体"/>
          <w:spacing w:val="-12"/>
          <w:sz w:val="24"/>
          <w:highlight w:val="none"/>
        </w:rPr>
        <w:t>本工程量清单应与磋商文件中的磋商须知、合同条款、工程量清单计量规则、</w:t>
      </w:r>
      <w:r>
        <w:rPr>
          <w:rFonts w:hint="eastAsia" w:ascii="宋体" w:hAnsi="宋体" w:eastAsia="宋体" w:cs="宋体"/>
          <w:sz w:val="24"/>
          <w:highlight w:val="none"/>
        </w:rPr>
        <w:t>技术规范及图纸等一起阅读和理解。</w:t>
      </w:r>
    </w:p>
    <w:p w14:paraId="1AE23D75">
      <w:pPr>
        <w:pStyle w:val="29"/>
        <w:numPr>
          <w:ilvl w:val="1"/>
          <w:numId w:val="57"/>
        </w:numPr>
        <w:tabs>
          <w:tab w:val="left" w:pos="1114"/>
        </w:tabs>
        <w:spacing w:before="3" w:line="304" w:lineRule="auto"/>
        <w:ind w:right="352" w:firstLine="480"/>
        <w:rPr>
          <w:rFonts w:hint="eastAsia" w:ascii="宋体" w:hAnsi="宋体" w:eastAsia="宋体" w:cs="宋体"/>
          <w:sz w:val="24"/>
          <w:highlight w:val="none"/>
        </w:rPr>
      </w:pPr>
      <w:r>
        <w:rPr>
          <w:rFonts w:hint="eastAsia" w:ascii="宋体" w:hAnsi="宋体" w:eastAsia="宋体" w:cs="宋体"/>
          <w:spacing w:val="-5"/>
          <w:sz w:val="24"/>
          <w:highlight w:val="none"/>
        </w:rPr>
        <w:t>本工程量清单中所列工程数量是估算的或设计的预计数量，仅作为投标报价的</w:t>
      </w:r>
      <w:r>
        <w:rPr>
          <w:rFonts w:hint="eastAsia" w:ascii="宋体" w:hAnsi="宋体" w:eastAsia="宋体" w:cs="宋体"/>
          <w:sz w:val="24"/>
          <w:highlight w:val="none"/>
        </w:rPr>
        <w:t>共同基础，不能作为最终结算与支付的依据。实际支付应按实际完成的工程量，由承包人按工程量清单计量规则规定的计量方法，以监理人认可的尺寸、断面计量，按本工程量清单的单价和总额价计算支付金额；或者根据具体情况，按合同条款的规定， 由监理人确定的单价或总额价计算支付额。</w:t>
      </w:r>
    </w:p>
    <w:p w14:paraId="6D885871">
      <w:pPr>
        <w:pStyle w:val="29"/>
        <w:numPr>
          <w:ilvl w:val="1"/>
          <w:numId w:val="57"/>
        </w:numPr>
        <w:tabs>
          <w:tab w:val="left" w:pos="1114"/>
        </w:tabs>
        <w:spacing w:before="6" w:line="307" w:lineRule="auto"/>
        <w:ind w:right="457" w:firstLine="480"/>
        <w:jc w:val="both"/>
        <w:rPr>
          <w:rFonts w:hint="eastAsia" w:ascii="宋体" w:hAnsi="宋体" w:eastAsia="宋体" w:cs="宋体"/>
          <w:sz w:val="24"/>
          <w:highlight w:val="none"/>
        </w:rPr>
      </w:pPr>
      <w:r>
        <w:rPr>
          <w:rFonts w:hint="eastAsia" w:ascii="宋体" w:hAnsi="宋体" w:eastAsia="宋体" w:cs="宋体"/>
          <w:sz w:val="24"/>
          <w:highlight w:val="none"/>
        </w:rPr>
        <w:t>工程量清单各章是与第六章“工程量清单计量规则”的章次编号相对应的，因此，工程量清单中各章的工程子目的范围与计量等应与“工程量清单计量规则”</w:t>
      </w:r>
      <w:r>
        <w:rPr>
          <w:rFonts w:hint="eastAsia" w:ascii="宋体" w:hAnsi="宋体" w:eastAsia="宋体" w:cs="宋体"/>
          <w:spacing w:val="-6"/>
          <w:sz w:val="24"/>
          <w:highlight w:val="none"/>
        </w:rPr>
        <w:t>相应章</w:t>
      </w:r>
      <w:r>
        <w:rPr>
          <w:rFonts w:hint="eastAsia" w:ascii="宋体" w:hAnsi="宋体" w:eastAsia="宋体" w:cs="宋体"/>
          <w:sz w:val="24"/>
          <w:highlight w:val="none"/>
        </w:rPr>
        <w:t>节的范围、计量与支付条款结合起来理解或解释。</w:t>
      </w:r>
    </w:p>
    <w:p w14:paraId="539963BC">
      <w:pPr>
        <w:pStyle w:val="29"/>
        <w:numPr>
          <w:ilvl w:val="1"/>
          <w:numId w:val="57"/>
        </w:numPr>
        <w:tabs>
          <w:tab w:val="left" w:pos="1114"/>
        </w:tabs>
        <w:spacing w:line="307" w:lineRule="auto"/>
        <w:ind w:right="352" w:firstLine="480"/>
        <w:jc w:val="both"/>
        <w:rPr>
          <w:rFonts w:hint="eastAsia" w:ascii="宋体" w:hAnsi="宋体" w:eastAsia="宋体" w:cs="宋体"/>
          <w:sz w:val="24"/>
          <w:highlight w:val="none"/>
        </w:rPr>
      </w:pPr>
      <w:r>
        <w:rPr>
          <w:rFonts w:hint="eastAsia" w:ascii="宋体" w:hAnsi="宋体" w:eastAsia="宋体" w:cs="宋体"/>
          <w:spacing w:val="-7"/>
          <w:sz w:val="24"/>
          <w:highlight w:val="none"/>
        </w:rPr>
        <w:t>对作业和材料的一般说明或规定，未重复写入工程量清单内，在给工程量清单</w:t>
      </w:r>
      <w:r>
        <w:rPr>
          <w:rFonts w:hint="eastAsia" w:ascii="宋体" w:hAnsi="宋体" w:eastAsia="宋体" w:cs="宋体"/>
          <w:sz w:val="24"/>
          <w:highlight w:val="none"/>
        </w:rPr>
        <w:t>各子目标价前，应参阅第五章“技术规范”的有关内容。</w:t>
      </w:r>
    </w:p>
    <w:p w14:paraId="15EEFC14">
      <w:pPr>
        <w:pStyle w:val="29"/>
        <w:numPr>
          <w:ilvl w:val="1"/>
          <w:numId w:val="57"/>
        </w:numPr>
        <w:tabs>
          <w:tab w:val="left" w:pos="1114"/>
        </w:tabs>
        <w:spacing w:line="304" w:lineRule="auto"/>
        <w:ind w:right="352" w:firstLine="480"/>
        <w:jc w:val="both"/>
        <w:rPr>
          <w:rFonts w:hint="eastAsia" w:ascii="宋体" w:hAnsi="宋体" w:eastAsia="宋体" w:cs="宋体"/>
          <w:sz w:val="24"/>
          <w:highlight w:val="none"/>
        </w:rPr>
      </w:pPr>
      <w:r>
        <w:rPr>
          <w:rFonts w:hint="eastAsia" w:ascii="宋体" w:hAnsi="宋体" w:eastAsia="宋体" w:cs="宋体"/>
          <w:spacing w:val="-7"/>
          <w:sz w:val="24"/>
          <w:highlight w:val="none"/>
        </w:rPr>
        <w:t>工程量清单中所列工程量的变动，丝毫不会降低或影响合同条款的效力，也不</w:t>
      </w:r>
      <w:r>
        <w:rPr>
          <w:rFonts w:hint="eastAsia" w:ascii="宋体" w:hAnsi="宋体" w:eastAsia="宋体" w:cs="宋体"/>
          <w:sz w:val="24"/>
          <w:highlight w:val="none"/>
        </w:rPr>
        <w:t>免除承包人按规定的标准进行施工和修复缺陷的责任。</w:t>
      </w:r>
    </w:p>
    <w:p w14:paraId="7953DFF6">
      <w:pPr>
        <w:pStyle w:val="29"/>
        <w:numPr>
          <w:ilvl w:val="1"/>
          <w:numId w:val="57"/>
        </w:numPr>
        <w:tabs>
          <w:tab w:val="left" w:pos="1114"/>
        </w:tabs>
        <w:spacing w:line="304" w:lineRule="auto"/>
        <w:ind w:right="232" w:firstLine="480"/>
        <w:jc w:val="both"/>
        <w:rPr>
          <w:rFonts w:hint="eastAsia" w:ascii="宋体" w:hAnsi="宋体" w:eastAsia="宋体" w:cs="宋体"/>
          <w:sz w:val="24"/>
          <w:highlight w:val="none"/>
        </w:rPr>
      </w:pPr>
      <w:r>
        <w:rPr>
          <w:rFonts w:hint="eastAsia" w:ascii="宋体" w:hAnsi="宋体" w:eastAsia="宋体" w:cs="宋体"/>
          <w:sz w:val="24"/>
          <w:highlight w:val="none"/>
        </w:rPr>
        <w:t>图纸中所列的工程数量表及数量汇总表仅是提供资料，不是工程量清单的外</w:t>
      </w:r>
      <w:r>
        <w:rPr>
          <w:rFonts w:hint="eastAsia" w:ascii="宋体" w:hAnsi="宋体" w:eastAsia="宋体" w:cs="宋体"/>
          <w:spacing w:val="-7"/>
          <w:sz w:val="24"/>
          <w:highlight w:val="none"/>
        </w:rPr>
        <w:t>延。当图纸与工程量清单所列数量不一致时，以工程量清单所列数量作为报价的依据。</w:t>
      </w:r>
    </w:p>
    <w:p w14:paraId="1CB99708">
      <w:pPr>
        <w:pStyle w:val="29"/>
        <w:numPr>
          <w:ilvl w:val="0"/>
          <w:numId w:val="56"/>
        </w:numPr>
        <w:tabs>
          <w:tab w:val="left" w:pos="875"/>
        </w:tabs>
        <w:spacing w:before="171"/>
        <w:ind w:left="874" w:hanging="182"/>
        <w:jc w:val="left"/>
        <w:rPr>
          <w:rFonts w:hint="eastAsia" w:ascii="宋体" w:hAnsi="宋体" w:eastAsia="宋体" w:cs="宋体"/>
          <w:sz w:val="24"/>
          <w:highlight w:val="none"/>
        </w:rPr>
      </w:pPr>
      <w:r>
        <w:rPr>
          <w:rFonts w:hint="eastAsia" w:ascii="宋体" w:hAnsi="宋体" w:eastAsia="宋体" w:cs="宋体"/>
          <w:sz w:val="24"/>
          <w:highlight w:val="none"/>
        </w:rPr>
        <w:t>投标报价说明</w:t>
      </w:r>
    </w:p>
    <w:p w14:paraId="2C994057">
      <w:pPr>
        <w:pStyle w:val="10"/>
        <w:spacing w:before="7"/>
        <w:rPr>
          <w:rFonts w:hint="eastAsia" w:ascii="宋体" w:hAnsi="宋体" w:eastAsia="宋体" w:cs="宋体"/>
          <w:sz w:val="20"/>
          <w:highlight w:val="none"/>
        </w:rPr>
      </w:pPr>
    </w:p>
    <w:p w14:paraId="5C4E2751">
      <w:pPr>
        <w:pStyle w:val="29"/>
        <w:numPr>
          <w:ilvl w:val="1"/>
          <w:numId w:val="56"/>
        </w:numPr>
        <w:tabs>
          <w:tab w:val="left" w:pos="1114"/>
        </w:tabs>
        <w:ind w:hanging="421"/>
        <w:rPr>
          <w:rFonts w:hint="eastAsia" w:ascii="宋体" w:hAnsi="宋体" w:eastAsia="宋体" w:cs="宋体"/>
          <w:sz w:val="24"/>
          <w:highlight w:val="none"/>
        </w:rPr>
      </w:pPr>
      <w:r>
        <w:rPr>
          <w:rFonts w:hint="eastAsia" w:ascii="宋体" w:hAnsi="宋体" w:eastAsia="宋体" w:cs="宋体"/>
          <w:sz w:val="24"/>
          <w:highlight w:val="none"/>
        </w:rPr>
        <w:t>工程量清单中的每一子目须填入单价或价格，且只允许有一个报价。</w:t>
      </w:r>
    </w:p>
    <w:p w14:paraId="4D846FE9">
      <w:pPr>
        <w:pStyle w:val="29"/>
        <w:numPr>
          <w:ilvl w:val="1"/>
          <w:numId w:val="56"/>
        </w:numPr>
        <w:tabs>
          <w:tab w:val="left" w:pos="1114"/>
        </w:tabs>
        <w:spacing w:before="84" w:line="304" w:lineRule="auto"/>
        <w:ind w:left="213" w:right="274" w:firstLine="480"/>
        <w:rPr>
          <w:rFonts w:hint="eastAsia" w:ascii="宋体" w:hAnsi="宋体" w:eastAsia="宋体" w:cs="宋体"/>
          <w:sz w:val="24"/>
          <w:highlight w:val="none"/>
        </w:rPr>
      </w:pPr>
      <w:r>
        <w:rPr>
          <w:rFonts w:hint="eastAsia" w:ascii="宋体" w:hAnsi="宋体" w:eastAsia="宋体" w:cs="宋体"/>
          <w:spacing w:val="-10"/>
          <w:sz w:val="24"/>
          <w:highlight w:val="none"/>
        </w:rPr>
        <w:t>除非合同另有规定，工程量清单中有标价的单价和总额价均已包括了为实施和完成合同工程所需的劳务、材料、机械、质检(自检)</w:t>
      </w:r>
      <w:r>
        <w:rPr>
          <w:rFonts w:hint="eastAsia" w:ascii="宋体" w:hAnsi="宋体" w:eastAsia="宋体" w:cs="宋体"/>
          <w:spacing w:val="-11"/>
          <w:sz w:val="24"/>
          <w:highlight w:val="none"/>
        </w:rPr>
        <w:t>、安装、缺陷修复、管理、保险、</w:t>
      </w:r>
      <w:r>
        <w:rPr>
          <w:rFonts w:hint="eastAsia" w:ascii="宋体" w:hAnsi="宋体" w:eastAsia="宋体" w:cs="宋体"/>
          <w:sz w:val="24"/>
          <w:highlight w:val="none"/>
        </w:rPr>
        <w:t>税费、利润等费用，以及合同明示或暗示的所有责任、义务和一般风险；还包括现场考察时对工程的理解与认识，以及材料采集供应、运输情况、地理环境、水文地质、工程地质、自然条件、社会情况等的影响与风险。</w:t>
      </w:r>
    </w:p>
    <w:p w14:paraId="3CE9F493">
      <w:pPr>
        <w:pStyle w:val="29"/>
        <w:numPr>
          <w:ilvl w:val="1"/>
          <w:numId w:val="56"/>
        </w:numPr>
        <w:tabs>
          <w:tab w:val="left" w:pos="1114"/>
        </w:tabs>
        <w:spacing w:before="8"/>
        <w:ind w:hanging="421"/>
        <w:rPr>
          <w:rFonts w:hint="eastAsia" w:ascii="宋体" w:hAnsi="宋体" w:eastAsia="宋体" w:cs="宋体"/>
          <w:sz w:val="24"/>
          <w:highlight w:val="none"/>
        </w:rPr>
      </w:pPr>
      <w:r>
        <w:rPr>
          <w:rFonts w:hint="eastAsia" w:ascii="宋体" w:hAnsi="宋体" w:eastAsia="宋体" w:cs="宋体"/>
          <w:sz w:val="24"/>
          <w:highlight w:val="none"/>
        </w:rPr>
        <w:t>所有保险及保险费，均隐含在其他工程报价中，不在报价中单列。</w:t>
      </w:r>
    </w:p>
    <w:p w14:paraId="0695B8CA">
      <w:pPr>
        <w:rPr>
          <w:rFonts w:hint="eastAsia" w:ascii="宋体" w:hAnsi="宋体" w:eastAsia="宋体" w:cs="宋体"/>
          <w:sz w:val="24"/>
          <w:highlight w:val="none"/>
        </w:rPr>
        <w:sectPr>
          <w:headerReference r:id="rId10" w:type="default"/>
          <w:pgSz w:w="11910" w:h="16840"/>
          <w:pgMar w:top="1360" w:right="1119" w:bottom="1040" w:left="1260" w:header="882" w:footer="845" w:gutter="0"/>
          <w:cols w:space="720" w:num="1"/>
        </w:sectPr>
      </w:pPr>
    </w:p>
    <w:p w14:paraId="50A6F69F">
      <w:pPr>
        <w:pStyle w:val="10"/>
        <w:spacing w:before="7"/>
        <w:rPr>
          <w:rFonts w:hint="eastAsia" w:ascii="宋体" w:hAnsi="宋体" w:eastAsia="宋体" w:cs="宋体"/>
          <w:sz w:val="8"/>
          <w:highlight w:val="none"/>
        </w:rPr>
      </w:pPr>
    </w:p>
    <w:p w14:paraId="31C24251">
      <w:pPr>
        <w:pStyle w:val="29"/>
        <w:numPr>
          <w:ilvl w:val="1"/>
          <w:numId w:val="56"/>
        </w:numPr>
        <w:tabs>
          <w:tab w:val="left" w:pos="1114"/>
        </w:tabs>
        <w:spacing w:before="76" w:line="304" w:lineRule="auto"/>
        <w:ind w:left="213" w:right="352" w:firstLine="480"/>
        <w:rPr>
          <w:rFonts w:hint="eastAsia" w:ascii="宋体" w:hAnsi="宋体" w:eastAsia="宋体" w:cs="宋体"/>
          <w:sz w:val="24"/>
          <w:highlight w:val="none"/>
        </w:rPr>
      </w:pPr>
      <w:r>
        <w:rPr>
          <w:rFonts w:hint="eastAsia" w:ascii="宋体" w:hAnsi="宋体" w:eastAsia="宋体" w:cs="宋体"/>
          <w:spacing w:val="-6"/>
          <w:sz w:val="24"/>
          <w:highlight w:val="none"/>
        </w:rPr>
        <w:t>工程量清单中投标供应商没有填入单价或价格的子目，其费用视为已分摊在工程量</w:t>
      </w:r>
      <w:r>
        <w:rPr>
          <w:rFonts w:hint="eastAsia" w:ascii="宋体" w:hAnsi="宋体" w:eastAsia="宋体" w:cs="宋体"/>
          <w:sz w:val="24"/>
          <w:highlight w:val="none"/>
        </w:rPr>
        <w:t>清单中其他相关子目的单价或价格之中。承包人必须按监理人指令完成工程量清单中未填入单价或价格的子目，但不能得到结算与支付。</w:t>
      </w:r>
    </w:p>
    <w:p w14:paraId="17431391">
      <w:pPr>
        <w:pStyle w:val="29"/>
        <w:numPr>
          <w:ilvl w:val="1"/>
          <w:numId w:val="56"/>
        </w:numPr>
        <w:tabs>
          <w:tab w:val="left" w:pos="1114"/>
        </w:tabs>
        <w:spacing w:line="297" w:lineRule="auto"/>
        <w:ind w:left="213" w:right="407" w:firstLine="480"/>
        <w:jc w:val="both"/>
        <w:rPr>
          <w:rFonts w:hint="eastAsia" w:ascii="宋体" w:hAnsi="宋体" w:eastAsia="宋体" w:cs="宋体"/>
          <w:sz w:val="24"/>
          <w:highlight w:val="none"/>
        </w:rPr>
      </w:pPr>
      <w:r>
        <w:rPr>
          <w:rFonts w:hint="eastAsia" w:ascii="宋体" w:hAnsi="宋体" w:eastAsia="宋体" w:cs="宋体"/>
          <w:spacing w:val="-13"/>
          <w:sz w:val="24"/>
          <w:highlight w:val="none"/>
        </w:rPr>
        <w:t>工程量清单中本合同工程的每一个细目，凡有工程数量者，都应填入单价，投标供应商亦应按要求填入总额价。符合合同条款规定的全部费用应认为已被计入有标价的工程量清单所列各子目之中，未列子目不予计量的工作，其费用应视为已分摊在本合同工程的有</w:t>
      </w:r>
      <w:r>
        <w:rPr>
          <w:rFonts w:hint="eastAsia" w:ascii="宋体" w:hAnsi="宋体" w:eastAsia="宋体" w:cs="宋体"/>
          <w:spacing w:val="-12"/>
          <w:sz w:val="24"/>
          <w:highlight w:val="none"/>
        </w:rPr>
        <w:t>关子目的单价或总额价之中。</w:t>
      </w:r>
    </w:p>
    <w:p w14:paraId="3144DAAA">
      <w:pPr>
        <w:pStyle w:val="29"/>
        <w:numPr>
          <w:ilvl w:val="1"/>
          <w:numId w:val="56"/>
        </w:numPr>
        <w:tabs>
          <w:tab w:val="left" w:pos="1114"/>
        </w:tabs>
        <w:spacing w:line="297" w:lineRule="auto"/>
        <w:ind w:left="213" w:right="352" w:firstLine="480"/>
        <w:jc w:val="both"/>
        <w:rPr>
          <w:rFonts w:hint="eastAsia" w:ascii="宋体" w:hAnsi="宋体" w:eastAsia="宋体" w:cs="宋体"/>
          <w:sz w:val="24"/>
          <w:highlight w:val="none"/>
        </w:rPr>
      </w:pPr>
      <w:r>
        <w:rPr>
          <w:rFonts w:hint="eastAsia" w:ascii="宋体" w:hAnsi="宋体" w:eastAsia="宋体" w:cs="宋体"/>
          <w:spacing w:val="-6"/>
          <w:sz w:val="24"/>
          <w:highlight w:val="none"/>
        </w:rPr>
        <w:t>承包人用于本合同工程的各类装备的提供、运输、维护、拆卸、拼装等支付的</w:t>
      </w:r>
      <w:r>
        <w:rPr>
          <w:rFonts w:hint="eastAsia" w:ascii="宋体" w:hAnsi="宋体" w:eastAsia="宋体" w:cs="宋体"/>
          <w:sz w:val="24"/>
          <w:highlight w:val="none"/>
        </w:rPr>
        <w:t>费用，已包括在工程量清单的单价与总额价之中。</w:t>
      </w:r>
    </w:p>
    <w:p w14:paraId="5183403A">
      <w:pPr>
        <w:pStyle w:val="29"/>
        <w:numPr>
          <w:ilvl w:val="1"/>
          <w:numId w:val="56"/>
        </w:numPr>
        <w:tabs>
          <w:tab w:val="left" w:pos="1114"/>
          <w:tab w:val="left" w:pos="7233"/>
        </w:tabs>
        <w:spacing w:line="297" w:lineRule="auto"/>
        <w:ind w:left="213" w:right="352" w:firstLine="480"/>
        <w:rPr>
          <w:rFonts w:hint="eastAsia" w:ascii="宋体" w:hAnsi="宋体" w:eastAsia="宋体" w:cs="宋体"/>
          <w:sz w:val="24"/>
          <w:highlight w:val="none"/>
        </w:rPr>
      </w:pPr>
      <w:r>
        <w:rPr>
          <w:rFonts w:hint="eastAsia" w:ascii="宋体" w:hAnsi="宋体" w:eastAsia="宋体" w:cs="宋体"/>
          <w:sz w:val="24"/>
          <w:highlight w:val="none"/>
        </w:rPr>
        <w:t>暂列金额</w:t>
      </w:r>
      <w:r>
        <w:rPr>
          <w:rFonts w:hint="eastAsia" w:cs="宋体"/>
          <w:sz w:val="24"/>
          <w:highlight w:val="none"/>
          <w:lang w:val="en-US" w:eastAsia="zh-CN"/>
        </w:rPr>
        <w:t>以</w:t>
      </w:r>
      <w:r>
        <w:rPr>
          <w:rFonts w:hint="eastAsia" w:ascii="宋体" w:hAnsi="宋体" w:eastAsia="宋体" w:cs="宋体"/>
          <w:sz w:val="24"/>
          <w:highlight w:val="none"/>
        </w:rPr>
        <w:t>工程量清单中标明的</w:t>
      </w:r>
      <w:r>
        <w:rPr>
          <w:rFonts w:hint="eastAsia" w:cs="宋体"/>
          <w:sz w:val="24"/>
          <w:highlight w:val="none"/>
          <w:lang w:val="en-US" w:eastAsia="zh-CN"/>
        </w:rPr>
        <w:t>为准</w:t>
      </w:r>
      <w:r>
        <w:rPr>
          <w:rFonts w:hint="eastAsia" w:ascii="宋体" w:hAnsi="宋体" w:eastAsia="宋体" w:cs="宋体"/>
          <w:spacing w:val="-60"/>
          <w:sz w:val="24"/>
          <w:highlight w:val="none"/>
        </w:rPr>
        <w:t>，</w:t>
      </w:r>
      <w:r>
        <w:rPr>
          <w:rFonts w:hint="eastAsia" w:ascii="宋体" w:hAnsi="宋体" w:eastAsia="宋体" w:cs="宋体"/>
          <w:sz w:val="24"/>
          <w:highlight w:val="none"/>
        </w:rPr>
        <w:t>用于工</w:t>
      </w:r>
      <w:r>
        <w:rPr>
          <w:rFonts w:hint="eastAsia" w:ascii="宋体" w:hAnsi="宋体" w:eastAsia="宋体" w:cs="宋体"/>
          <w:spacing w:val="-17"/>
          <w:sz w:val="24"/>
          <w:highlight w:val="none"/>
        </w:rPr>
        <w:t>程</w:t>
      </w:r>
      <w:r>
        <w:rPr>
          <w:rFonts w:hint="eastAsia" w:ascii="宋体" w:hAnsi="宋体" w:eastAsia="宋体" w:cs="宋体"/>
          <w:sz w:val="24"/>
          <w:highlight w:val="none"/>
        </w:rPr>
        <w:t>变更费，应由监理人按合同规定，结合工程具体情况，报经发包人批准后全部或部分的使用，或者不予动用。</w:t>
      </w:r>
    </w:p>
    <w:p w14:paraId="49B74440">
      <w:pPr>
        <w:pStyle w:val="29"/>
        <w:numPr>
          <w:ilvl w:val="1"/>
          <w:numId w:val="56"/>
        </w:numPr>
        <w:tabs>
          <w:tab w:val="left" w:pos="1114"/>
        </w:tabs>
        <w:spacing w:before="3"/>
        <w:ind w:hanging="421"/>
        <w:rPr>
          <w:rFonts w:hint="eastAsia" w:ascii="宋体" w:hAnsi="宋体" w:eastAsia="宋体" w:cs="宋体"/>
          <w:sz w:val="24"/>
          <w:highlight w:val="none"/>
        </w:rPr>
      </w:pPr>
      <w:r>
        <w:rPr>
          <w:rFonts w:hint="eastAsia" w:ascii="宋体" w:hAnsi="宋体" w:eastAsia="宋体" w:cs="宋体"/>
          <w:sz w:val="24"/>
          <w:highlight w:val="none"/>
        </w:rPr>
        <w:t>工程量清单中各项金额均以人民币（元） 结算。</w:t>
      </w:r>
    </w:p>
    <w:p w14:paraId="0080E7B1">
      <w:pPr>
        <w:pStyle w:val="10"/>
        <w:rPr>
          <w:rFonts w:hint="eastAsia" w:ascii="宋体" w:hAnsi="宋体" w:eastAsia="宋体" w:cs="宋体"/>
          <w:sz w:val="20"/>
          <w:highlight w:val="none"/>
        </w:rPr>
      </w:pPr>
    </w:p>
    <w:p w14:paraId="42E8DA58">
      <w:pPr>
        <w:pStyle w:val="10"/>
        <w:rPr>
          <w:rFonts w:hint="eastAsia" w:ascii="宋体" w:hAnsi="宋体" w:eastAsia="宋体" w:cs="宋体"/>
          <w:sz w:val="20"/>
          <w:highlight w:val="none"/>
        </w:rPr>
      </w:pPr>
    </w:p>
    <w:p w14:paraId="291FBB62">
      <w:pPr>
        <w:pStyle w:val="10"/>
        <w:rPr>
          <w:rFonts w:hint="eastAsia" w:ascii="宋体" w:hAnsi="宋体" w:eastAsia="宋体" w:cs="宋体"/>
          <w:sz w:val="20"/>
          <w:highlight w:val="none"/>
        </w:rPr>
      </w:pPr>
    </w:p>
    <w:p w14:paraId="005E0992">
      <w:pPr>
        <w:pStyle w:val="10"/>
        <w:rPr>
          <w:rFonts w:hint="eastAsia" w:ascii="宋体" w:hAnsi="宋体" w:eastAsia="宋体" w:cs="宋体"/>
          <w:sz w:val="20"/>
          <w:highlight w:val="none"/>
        </w:rPr>
      </w:pPr>
    </w:p>
    <w:p w14:paraId="006ECE2F">
      <w:pPr>
        <w:pStyle w:val="10"/>
        <w:rPr>
          <w:rFonts w:hint="eastAsia" w:ascii="宋体" w:hAnsi="宋体" w:eastAsia="宋体" w:cs="宋体"/>
          <w:sz w:val="20"/>
          <w:highlight w:val="none"/>
        </w:rPr>
      </w:pPr>
    </w:p>
    <w:p w14:paraId="0B0C72C6">
      <w:pPr>
        <w:pStyle w:val="10"/>
        <w:rPr>
          <w:rFonts w:hint="eastAsia" w:ascii="宋体" w:hAnsi="宋体" w:eastAsia="宋体" w:cs="宋体"/>
          <w:sz w:val="20"/>
          <w:highlight w:val="none"/>
        </w:rPr>
      </w:pPr>
    </w:p>
    <w:p w14:paraId="0CC75582">
      <w:pPr>
        <w:pStyle w:val="10"/>
        <w:rPr>
          <w:rFonts w:hint="eastAsia" w:ascii="宋体" w:hAnsi="宋体" w:eastAsia="宋体" w:cs="宋体"/>
          <w:sz w:val="20"/>
          <w:highlight w:val="none"/>
        </w:rPr>
      </w:pPr>
    </w:p>
    <w:p w14:paraId="663FF814">
      <w:pPr>
        <w:pStyle w:val="10"/>
        <w:rPr>
          <w:rFonts w:hint="eastAsia" w:ascii="宋体" w:hAnsi="宋体" w:eastAsia="宋体" w:cs="宋体"/>
          <w:sz w:val="20"/>
          <w:highlight w:val="none"/>
        </w:rPr>
      </w:pPr>
    </w:p>
    <w:p w14:paraId="569275B5">
      <w:pPr>
        <w:pStyle w:val="10"/>
        <w:rPr>
          <w:rFonts w:hint="eastAsia" w:ascii="宋体" w:hAnsi="宋体" w:eastAsia="宋体" w:cs="宋体"/>
          <w:sz w:val="20"/>
          <w:highlight w:val="none"/>
        </w:rPr>
      </w:pPr>
    </w:p>
    <w:p w14:paraId="623EAA1D">
      <w:pPr>
        <w:pStyle w:val="10"/>
        <w:rPr>
          <w:rFonts w:hint="eastAsia" w:ascii="宋体" w:hAnsi="宋体" w:eastAsia="宋体" w:cs="宋体"/>
          <w:sz w:val="20"/>
          <w:highlight w:val="none"/>
        </w:rPr>
      </w:pPr>
    </w:p>
    <w:p w14:paraId="043288D3">
      <w:pPr>
        <w:pStyle w:val="10"/>
        <w:rPr>
          <w:rFonts w:hint="eastAsia" w:ascii="宋体" w:hAnsi="宋体" w:eastAsia="宋体" w:cs="宋体"/>
          <w:sz w:val="20"/>
          <w:highlight w:val="none"/>
        </w:rPr>
      </w:pPr>
    </w:p>
    <w:p w14:paraId="69341D7B">
      <w:pPr>
        <w:pStyle w:val="10"/>
        <w:rPr>
          <w:rFonts w:hint="eastAsia" w:ascii="宋体" w:hAnsi="宋体" w:eastAsia="宋体" w:cs="宋体"/>
          <w:sz w:val="20"/>
          <w:highlight w:val="none"/>
        </w:rPr>
      </w:pPr>
    </w:p>
    <w:p w14:paraId="05F2CCC6">
      <w:pPr>
        <w:pStyle w:val="10"/>
        <w:rPr>
          <w:rFonts w:hint="eastAsia" w:ascii="宋体" w:hAnsi="宋体" w:eastAsia="宋体" w:cs="宋体"/>
          <w:sz w:val="20"/>
          <w:highlight w:val="none"/>
        </w:rPr>
      </w:pPr>
    </w:p>
    <w:p w14:paraId="1246100D">
      <w:pPr>
        <w:pStyle w:val="10"/>
        <w:rPr>
          <w:rFonts w:hint="eastAsia" w:ascii="宋体" w:hAnsi="宋体" w:eastAsia="宋体" w:cs="宋体"/>
          <w:sz w:val="20"/>
          <w:highlight w:val="none"/>
        </w:rPr>
      </w:pPr>
    </w:p>
    <w:p w14:paraId="40C0603A">
      <w:pPr>
        <w:pStyle w:val="10"/>
        <w:rPr>
          <w:rFonts w:hint="eastAsia" w:ascii="宋体" w:hAnsi="宋体" w:eastAsia="宋体" w:cs="宋体"/>
          <w:sz w:val="20"/>
          <w:highlight w:val="none"/>
        </w:rPr>
      </w:pPr>
    </w:p>
    <w:p w14:paraId="662C8B1A">
      <w:pPr>
        <w:pStyle w:val="10"/>
        <w:rPr>
          <w:rFonts w:hint="eastAsia" w:ascii="宋体" w:hAnsi="宋体" w:eastAsia="宋体" w:cs="宋体"/>
          <w:sz w:val="20"/>
          <w:highlight w:val="none"/>
        </w:rPr>
      </w:pPr>
    </w:p>
    <w:p w14:paraId="5E9049ED">
      <w:pPr>
        <w:pStyle w:val="10"/>
        <w:rPr>
          <w:rFonts w:hint="eastAsia" w:ascii="宋体" w:hAnsi="宋体" w:eastAsia="宋体" w:cs="宋体"/>
          <w:sz w:val="20"/>
          <w:highlight w:val="none"/>
        </w:rPr>
      </w:pPr>
    </w:p>
    <w:p w14:paraId="6F23C7CA">
      <w:pPr>
        <w:pStyle w:val="10"/>
        <w:rPr>
          <w:rFonts w:hint="eastAsia" w:ascii="宋体" w:hAnsi="宋体" w:eastAsia="宋体" w:cs="宋体"/>
          <w:sz w:val="20"/>
          <w:highlight w:val="none"/>
        </w:rPr>
      </w:pPr>
    </w:p>
    <w:p w14:paraId="0AAAE928">
      <w:pPr>
        <w:pStyle w:val="10"/>
        <w:rPr>
          <w:rFonts w:hint="eastAsia" w:ascii="宋体" w:hAnsi="宋体" w:eastAsia="宋体" w:cs="宋体"/>
          <w:sz w:val="20"/>
          <w:highlight w:val="none"/>
        </w:rPr>
      </w:pPr>
    </w:p>
    <w:p w14:paraId="3C92E9DD">
      <w:pPr>
        <w:pStyle w:val="10"/>
        <w:rPr>
          <w:rFonts w:hint="eastAsia" w:ascii="宋体" w:hAnsi="宋体" w:eastAsia="宋体" w:cs="宋体"/>
          <w:sz w:val="20"/>
          <w:highlight w:val="none"/>
        </w:rPr>
      </w:pPr>
    </w:p>
    <w:p w14:paraId="2A2E16F4">
      <w:pPr>
        <w:pStyle w:val="10"/>
        <w:rPr>
          <w:rFonts w:hint="eastAsia" w:ascii="宋体" w:hAnsi="宋体" w:eastAsia="宋体" w:cs="宋体"/>
          <w:sz w:val="20"/>
          <w:highlight w:val="none"/>
        </w:rPr>
      </w:pPr>
    </w:p>
    <w:p w14:paraId="3573793D">
      <w:pPr>
        <w:pStyle w:val="10"/>
        <w:rPr>
          <w:rFonts w:hint="eastAsia" w:ascii="宋体" w:hAnsi="宋体" w:eastAsia="宋体" w:cs="宋体"/>
          <w:sz w:val="20"/>
          <w:highlight w:val="none"/>
        </w:rPr>
      </w:pPr>
    </w:p>
    <w:p w14:paraId="3F3F2DC6">
      <w:pPr>
        <w:pStyle w:val="10"/>
        <w:rPr>
          <w:rFonts w:hint="eastAsia" w:ascii="宋体" w:hAnsi="宋体" w:eastAsia="宋体" w:cs="宋体"/>
          <w:sz w:val="20"/>
          <w:highlight w:val="none"/>
        </w:rPr>
      </w:pPr>
    </w:p>
    <w:p w14:paraId="27CD6874">
      <w:pPr>
        <w:pStyle w:val="10"/>
        <w:rPr>
          <w:rFonts w:hint="eastAsia" w:ascii="宋体" w:hAnsi="宋体" w:eastAsia="宋体" w:cs="宋体"/>
          <w:sz w:val="20"/>
          <w:highlight w:val="none"/>
        </w:rPr>
      </w:pPr>
    </w:p>
    <w:p w14:paraId="71CE8C0F">
      <w:pPr>
        <w:pStyle w:val="10"/>
        <w:rPr>
          <w:rFonts w:hint="eastAsia" w:ascii="宋体" w:hAnsi="宋体" w:eastAsia="宋体" w:cs="宋体"/>
          <w:sz w:val="20"/>
          <w:highlight w:val="none"/>
        </w:rPr>
      </w:pPr>
    </w:p>
    <w:p w14:paraId="2DDB6029">
      <w:pPr>
        <w:pStyle w:val="10"/>
        <w:rPr>
          <w:rFonts w:hint="eastAsia" w:ascii="宋体" w:hAnsi="宋体" w:eastAsia="宋体" w:cs="宋体"/>
          <w:sz w:val="20"/>
          <w:highlight w:val="none"/>
        </w:rPr>
      </w:pPr>
    </w:p>
    <w:p w14:paraId="18D777B8">
      <w:pPr>
        <w:pStyle w:val="10"/>
        <w:rPr>
          <w:rFonts w:hint="eastAsia" w:ascii="宋体" w:hAnsi="宋体" w:eastAsia="宋体" w:cs="宋体"/>
          <w:sz w:val="20"/>
          <w:highlight w:val="none"/>
        </w:rPr>
      </w:pPr>
    </w:p>
    <w:p w14:paraId="7675A30F">
      <w:pPr>
        <w:pStyle w:val="10"/>
        <w:rPr>
          <w:rFonts w:hint="eastAsia" w:ascii="宋体" w:hAnsi="宋体" w:eastAsia="宋体" w:cs="宋体"/>
          <w:sz w:val="20"/>
          <w:highlight w:val="none"/>
        </w:rPr>
      </w:pPr>
    </w:p>
    <w:p w14:paraId="6A7318E1">
      <w:pPr>
        <w:pStyle w:val="10"/>
        <w:rPr>
          <w:rFonts w:hint="eastAsia" w:ascii="宋体" w:hAnsi="宋体" w:eastAsia="宋体" w:cs="宋体"/>
          <w:sz w:val="20"/>
          <w:highlight w:val="none"/>
        </w:rPr>
      </w:pPr>
    </w:p>
    <w:p w14:paraId="309FF980">
      <w:pPr>
        <w:pStyle w:val="10"/>
        <w:rPr>
          <w:rFonts w:hint="eastAsia" w:ascii="宋体" w:hAnsi="宋体" w:eastAsia="宋体" w:cs="宋体"/>
          <w:sz w:val="20"/>
          <w:highlight w:val="none"/>
        </w:rPr>
      </w:pPr>
    </w:p>
    <w:p w14:paraId="62F8FF15">
      <w:pPr>
        <w:pStyle w:val="10"/>
        <w:rPr>
          <w:rFonts w:hint="eastAsia" w:ascii="宋体" w:hAnsi="宋体" w:eastAsia="宋体" w:cs="宋体"/>
          <w:sz w:val="20"/>
          <w:highlight w:val="none"/>
        </w:rPr>
      </w:pPr>
    </w:p>
    <w:p w14:paraId="0A279561">
      <w:pPr>
        <w:pStyle w:val="10"/>
        <w:rPr>
          <w:rFonts w:hint="eastAsia" w:ascii="宋体" w:hAnsi="宋体" w:eastAsia="宋体" w:cs="宋体"/>
          <w:sz w:val="20"/>
          <w:highlight w:val="none"/>
        </w:rPr>
      </w:pPr>
    </w:p>
    <w:p w14:paraId="2A93E96A">
      <w:pPr>
        <w:pStyle w:val="10"/>
        <w:rPr>
          <w:rFonts w:hint="eastAsia" w:ascii="宋体" w:hAnsi="宋体" w:eastAsia="宋体" w:cs="宋体"/>
          <w:sz w:val="20"/>
          <w:highlight w:val="none"/>
        </w:rPr>
      </w:pPr>
    </w:p>
    <w:p w14:paraId="29517D70">
      <w:pPr>
        <w:pStyle w:val="10"/>
        <w:spacing w:before="6"/>
        <w:rPr>
          <w:rFonts w:hint="eastAsia" w:ascii="宋体" w:hAnsi="宋体" w:eastAsia="宋体" w:cs="宋体"/>
          <w:sz w:val="11"/>
          <w:highlight w:val="none"/>
        </w:rPr>
      </w:pPr>
    </w:p>
    <w:p w14:paraId="643CEF79">
      <w:pPr>
        <w:pStyle w:val="10"/>
        <w:spacing w:before="12"/>
        <w:rPr>
          <w:rFonts w:hint="eastAsia" w:ascii="宋体" w:hAnsi="宋体" w:eastAsia="宋体" w:cs="宋体"/>
          <w:sz w:val="14"/>
          <w:highlight w:val="none"/>
        </w:rPr>
      </w:pPr>
    </w:p>
    <w:p w14:paraId="68140D0A">
      <w:pPr>
        <w:pStyle w:val="10"/>
        <w:spacing w:before="7"/>
        <w:rPr>
          <w:rFonts w:hint="eastAsia" w:ascii="宋体" w:hAnsi="宋体" w:eastAsia="宋体" w:cs="宋体"/>
          <w:sz w:val="8"/>
          <w:highlight w:val="none"/>
        </w:rPr>
      </w:pPr>
    </w:p>
    <w:p w14:paraId="55AACB46">
      <w:pPr>
        <w:rPr>
          <w:rFonts w:hint="eastAsia" w:ascii="宋体" w:hAnsi="宋体" w:eastAsia="宋体" w:cs="宋体"/>
          <w:sz w:val="8"/>
          <w:highlight w:val="none"/>
        </w:rPr>
      </w:pPr>
      <w:r>
        <w:rPr>
          <w:rFonts w:hint="eastAsia" w:ascii="宋体" w:hAnsi="宋体" w:eastAsia="宋体" w:cs="宋体"/>
          <w:sz w:val="8"/>
          <w:highlight w:val="none"/>
        </w:rPr>
        <w:br w:type="page"/>
      </w:r>
    </w:p>
    <w:p w14:paraId="6116708F">
      <w:pPr>
        <w:rPr>
          <w:rFonts w:hint="eastAsia"/>
        </w:rPr>
      </w:pPr>
    </w:p>
    <w:p w14:paraId="42BFA6DD">
      <w:pPr>
        <w:pStyle w:val="29"/>
        <w:numPr>
          <w:ilvl w:val="0"/>
          <w:numId w:val="56"/>
        </w:numPr>
        <w:tabs>
          <w:tab w:val="left" w:pos="875"/>
        </w:tabs>
        <w:spacing w:before="76"/>
        <w:ind w:left="874" w:hanging="182"/>
        <w:jc w:val="left"/>
        <w:rPr>
          <w:rFonts w:hint="eastAsia" w:ascii="宋体" w:hAnsi="宋体" w:eastAsia="宋体" w:cs="宋体"/>
          <w:sz w:val="24"/>
          <w:highlight w:val="none"/>
        </w:rPr>
      </w:pPr>
      <w:r>
        <w:rPr>
          <w:rFonts w:hint="eastAsia" w:ascii="宋体" w:hAnsi="宋体" w:eastAsia="宋体" w:cs="宋体"/>
          <w:sz w:val="24"/>
          <w:highlight w:val="none"/>
        </w:rPr>
        <w:t>工程量清单</w:t>
      </w:r>
    </w:p>
    <w:p w14:paraId="674221DC">
      <w:pPr>
        <w:pStyle w:val="29"/>
        <w:tabs>
          <w:tab w:val="left" w:pos="1114"/>
        </w:tabs>
        <w:spacing w:before="84"/>
        <w:ind w:left="692" w:firstLine="0"/>
        <w:rPr>
          <w:rFonts w:hint="eastAsia" w:ascii="宋体" w:hAnsi="宋体" w:eastAsia="宋体" w:cs="宋体"/>
          <w:sz w:val="24"/>
          <w:highlight w:val="none"/>
        </w:rPr>
      </w:pPr>
      <w:r>
        <w:rPr>
          <w:rFonts w:hint="eastAsia" w:ascii="宋体" w:hAnsi="宋体" w:eastAsia="宋体" w:cs="宋体"/>
          <w:sz w:val="24"/>
          <w:highlight w:val="none"/>
          <w:lang w:val="en-US"/>
        </w:rPr>
        <w:t xml:space="preserve">3.1 </w:t>
      </w:r>
      <w:r>
        <w:rPr>
          <w:rFonts w:hint="eastAsia" w:ascii="宋体" w:hAnsi="宋体" w:eastAsia="宋体" w:cs="宋体"/>
          <w:sz w:val="24"/>
          <w:highlight w:val="none"/>
        </w:rPr>
        <w:t>工程量清单表</w:t>
      </w:r>
    </w:p>
    <w:p w14:paraId="4D780EF2">
      <w:pPr>
        <w:pStyle w:val="29"/>
        <w:tabs>
          <w:tab w:val="left" w:pos="1114"/>
        </w:tabs>
        <w:spacing w:before="84"/>
        <w:ind w:left="692" w:firstLine="0"/>
        <w:rPr>
          <w:rFonts w:hint="eastAsia" w:ascii="宋体" w:hAnsi="宋体" w:eastAsia="宋体" w:cs="宋体"/>
          <w:b/>
          <w:bCs/>
          <w:sz w:val="24"/>
          <w:highlight w:val="none"/>
          <w:lang w:eastAsia="zh-CN"/>
        </w:rPr>
      </w:pPr>
      <w:r>
        <w:rPr>
          <w:rFonts w:hint="eastAsia" w:cs="宋体"/>
          <w:b/>
          <w:bCs/>
          <w:sz w:val="24"/>
          <w:highlight w:val="none"/>
          <w:lang w:eastAsia="zh-CN"/>
        </w:rPr>
        <w:t>详见附件</w:t>
      </w:r>
    </w:p>
    <w:p w14:paraId="33334C08">
      <w:pPr>
        <w:pStyle w:val="10"/>
        <w:rPr>
          <w:rFonts w:hint="eastAsia" w:ascii="宋体" w:hAnsi="宋体" w:eastAsia="宋体" w:cs="宋体"/>
          <w:sz w:val="20"/>
          <w:highlight w:val="none"/>
        </w:rPr>
      </w:pPr>
    </w:p>
    <w:p w14:paraId="757CE6D3">
      <w:pPr>
        <w:pStyle w:val="23"/>
        <w:ind w:firstLine="360"/>
        <w:rPr>
          <w:rFonts w:hint="eastAsia" w:ascii="宋体" w:hAnsi="宋体" w:eastAsia="宋体" w:cs="宋体"/>
          <w:sz w:val="18"/>
          <w:highlight w:val="none"/>
        </w:rPr>
        <w:sectPr>
          <w:footerReference r:id="rId11" w:type="default"/>
          <w:pgSz w:w="11910" w:h="16840"/>
          <w:pgMar w:top="1360" w:right="1119" w:bottom="1040" w:left="1260" w:header="882" w:footer="845" w:gutter="0"/>
          <w:cols w:space="720" w:num="1"/>
        </w:sectPr>
      </w:pPr>
    </w:p>
    <w:p w14:paraId="74D29EF1">
      <w:pPr>
        <w:outlineLvl w:val="9"/>
        <w:rPr>
          <w:rFonts w:hint="eastAsia" w:ascii="宋体" w:hAnsi="宋体" w:eastAsia="宋体" w:cs="宋体"/>
          <w:highlight w:val="none"/>
        </w:rPr>
      </w:pPr>
    </w:p>
    <w:p w14:paraId="69FBBEFF">
      <w:pPr>
        <w:pStyle w:val="10"/>
        <w:outlineLvl w:val="9"/>
        <w:rPr>
          <w:rFonts w:hint="eastAsia" w:ascii="宋体" w:hAnsi="宋体" w:eastAsia="宋体" w:cs="宋体"/>
          <w:sz w:val="20"/>
          <w:highlight w:val="none"/>
        </w:rPr>
      </w:pPr>
    </w:p>
    <w:p w14:paraId="46DA0144">
      <w:pPr>
        <w:pStyle w:val="10"/>
        <w:outlineLvl w:val="9"/>
        <w:rPr>
          <w:rFonts w:hint="eastAsia" w:ascii="宋体" w:hAnsi="宋体" w:eastAsia="宋体" w:cs="宋体"/>
          <w:sz w:val="20"/>
          <w:highlight w:val="none"/>
        </w:rPr>
      </w:pPr>
    </w:p>
    <w:p w14:paraId="1F4F9399">
      <w:pPr>
        <w:tabs>
          <w:tab w:val="left" w:pos="1439"/>
          <w:tab w:val="left" w:pos="2159"/>
        </w:tabs>
        <w:ind w:right="43" w:firstLine="3000" w:firstLineChars="1000"/>
        <w:jc w:val="both"/>
        <w:outlineLvl w:val="9"/>
        <w:rPr>
          <w:rFonts w:hint="eastAsia" w:ascii="宋体" w:hAnsi="宋体" w:eastAsia="宋体" w:cs="宋体"/>
          <w:sz w:val="30"/>
          <w:szCs w:val="30"/>
          <w:highlight w:val="none"/>
        </w:rPr>
      </w:pPr>
    </w:p>
    <w:p w14:paraId="5CBFE016">
      <w:pPr>
        <w:pStyle w:val="8"/>
        <w:numPr>
          <w:ilvl w:val="0"/>
          <w:numId w:val="5"/>
        </w:numPr>
        <w:tabs>
          <w:tab w:val="left" w:pos="1439"/>
          <w:tab w:val="left" w:pos="2159"/>
        </w:tabs>
        <w:ind w:left="111" w:leftChars="0" w:right="43" w:firstLine="480" w:firstLineChars="0"/>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图</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t>纸（另册）</w:t>
      </w:r>
    </w:p>
    <w:p w14:paraId="6CF0D26F">
      <w:pPr>
        <w:widowControl w:val="0"/>
        <w:numPr>
          <w:ilvl w:val="0"/>
          <w:numId w:val="0"/>
        </w:numPr>
        <w:autoSpaceDE w:val="0"/>
        <w:autoSpaceDN w:val="0"/>
        <w:rPr>
          <w:rFonts w:hint="eastAsia"/>
        </w:rPr>
      </w:pPr>
    </w:p>
    <w:p w14:paraId="3D5B0418">
      <w:pPr>
        <w:pStyle w:val="23"/>
        <w:rPr>
          <w:rFonts w:hint="eastAsia" w:eastAsia="宋体"/>
          <w:b/>
          <w:bCs/>
          <w:lang w:eastAsia="zh-CN"/>
        </w:rPr>
        <w:sectPr>
          <w:headerReference r:id="rId12" w:type="default"/>
          <w:footerReference r:id="rId13" w:type="default"/>
          <w:pgSz w:w="11910" w:h="16840"/>
          <w:pgMar w:top="1440" w:right="1079" w:bottom="1040" w:left="1420" w:header="882" w:footer="845" w:gutter="0"/>
          <w:cols w:space="720" w:num="1"/>
        </w:sectPr>
      </w:pPr>
      <w:r>
        <w:rPr>
          <w:rFonts w:hint="eastAsia"/>
          <w:b/>
          <w:bCs/>
          <w:lang w:eastAsia="zh-CN"/>
        </w:rPr>
        <w:t>详见附件</w:t>
      </w:r>
    </w:p>
    <w:p w14:paraId="120F44C0">
      <w:pPr>
        <w:tabs>
          <w:tab w:val="left" w:pos="1442"/>
        </w:tabs>
        <w:spacing w:before="50"/>
        <w:ind w:right="338" w:firstLine="3614" w:firstLineChars="1200"/>
        <w:jc w:val="both"/>
        <w:rPr>
          <w:rFonts w:hint="eastAsia" w:ascii="宋体" w:hAnsi="宋体" w:eastAsia="宋体" w:cs="宋体"/>
          <w:sz w:val="30"/>
          <w:szCs w:val="30"/>
          <w:highlight w:val="none"/>
        </w:rPr>
      </w:pPr>
      <w:bookmarkStart w:id="86" w:name="_TOC_250023"/>
      <w:bookmarkEnd w:id="86"/>
      <w:r>
        <w:rPr>
          <w:rFonts w:hint="eastAsia" w:ascii="宋体" w:hAnsi="宋体" w:eastAsia="宋体" w:cs="宋体"/>
          <w:b/>
          <w:sz w:val="30"/>
          <w:szCs w:val="30"/>
          <w:highlight w:val="none"/>
        </w:rPr>
        <w:t>第五章</w:t>
      </w:r>
      <w:r>
        <w:rPr>
          <w:rFonts w:hint="eastAsia" w:ascii="宋体" w:hAnsi="宋体" w:eastAsia="宋体" w:cs="宋体"/>
          <w:b/>
          <w:sz w:val="30"/>
          <w:szCs w:val="30"/>
          <w:highlight w:val="none"/>
          <w:lang w:val="en-US"/>
        </w:rPr>
        <w:t xml:space="preserve">  </w:t>
      </w:r>
      <w:r>
        <w:rPr>
          <w:rFonts w:hint="eastAsia" w:ascii="宋体" w:hAnsi="宋体" w:eastAsia="宋体" w:cs="宋体"/>
          <w:b/>
          <w:sz w:val="30"/>
          <w:szCs w:val="30"/>
          <w:highlight w:val="none"/>
        </w:rPr>
        <w:t>技术规范</w:t>
      </w:r>
    </w:p>
    <w:p w14:paraId="43F4CB15">
      <w:pPr>
        <w:pStyle w:val="10"/>
        <w:spacing w:before="313" w:line="300" w:lineRule="exact"/>
        <w:ind w:firstLine="480" w:firstLineChars="200"/>
        <w:rPr>
          <w:rFonts w:hint="eastAsia" w:ascii="宋体" w:hAnsi="宋体" w:eastAsia="宋体" w:cs="宋体"/>
          <w:highlight w:val="none"/>
        </w:rPr>
      </w:pPr>
      <w:r>
        <w:rPr>
          <w:rFonts w:hint="eastAsia" w:ascii="宋体" w:hAnsi="宋体" w:eastAsia="宋体" w:cs="宋体"/>
          <w:highlight w:val="none"/>
        </w:rPr>
        <w:t>一、交通运输部行业标准</w:t>
      </w:r>
    </w:p>
    <w:p w14:paraId="28D663F6">
      <w:pPr>
        <w:pStyle w:val="29"/>
        <w:numPr>
          <w:ilvl w:val="1"/>
          <w:numId w:val="58"/>
        </w:numPr>
        <w:tabs>
          <w:tab w:val="left" w:pos="1041"/>
        </w:tabs>
        <w:spacing w:line="300" w:lineRule="exact"/>
        <w:rPr>
          <w:rFonts w:hint="eastAsia" w:ascii="宋体" w:hAnsi="宋体" w:eastAsia="宋体" w:cs="宋体"/>
          <w:sz w:val="24"/>
          <w:highlight w:val="none"/>
        </w:rPr>
      </w:pPr>
      <w:r>
        <w:rPr>
          <w:rFonts w:hint="eastAsia" w:ascii="宋体" w:hAnsi="宋体" w:eastAsia="宋体" w:cs="宋体"/>
          <w:sz w:val="24"/>
          <w:highlight w:val="none"/>
        </w:rPr>
        <w:t>《公路工程技术标准》（JTG</w:t>
      </w:r>
      <w:r>
        <w:rPr>
          <w:rFonts w:hint="eastAsia" w:ascii="宋体" w:hAnsi="宋体" w:eastAsia="宋体" w:cs="宋体"/>
          <w:spacing w:val="-2"/>
          <w:sz w:val="24"/>
          <w:highlight w:val="none"/>
        </w:rPr>
        <w:t xml:space="preserve"> </w:t>
      </w:r>
      <w:r>
        <w:rPr>
          <w:rFonts w:hint="eastAsia" w:ascii="宋体" w:hAnsi="宋体" w:eastAsia="宋体" w:cs="宋体"/>
          <w:sz w:val="24"/>
          <w:highlight w:val="none"/>
        </w:rPr>
        <w:t>B01-2014）</w:t>
      </w:r>
    </w:p>
    <w:p w14:paraId="74245F90">
      <w:pPr>
        <w:pStyle w:val="29"/>
        <w:numPr>
          <w:ilvl w:val="1"/>
          <w:numId w:val="58"/>
        </w:numPr>
        <w:tabs>
          <w:tab w:val="left" w:pos="1041"/>
          <w:tab w:val="left" w:pos="5369"/>
        </w:tabs>
        <w:spacing w:before="84" w:line="300" w:lineRule="exact"/>
        <w:rPr>
          <w:rFonts w:hint="eastAsia" w:ascii="宋体" w:hAnsi="宋体" w:eastAsia="宋体" w:cs="宋体"/>
          <w:sz w:val="24"/>
          <w:highlight w:val="none"/>
        </w:rPr>
      </w:pPr>
      <w:r>
        <w:rPr>
          <w:rFonts w:hint="eastAsia" w:ascii="宋体" w:hAnsi="宋体" w:eastAsia="宋体" w:cs="宋体"/>
          <w:spacing w:val="-3"/>
          <w:sz w:val="24"/>
          <w:highlight w:val="none"/>
        </w:rPr>
        <w:t>《</w:t>
      </w:r>
      <w:r>
        <w:rPr>
          <w:rFonts w:hint="eastAsia" w:ascii="宋体" w:hAnsi="宋体" w:eastAsia="宋体" w:cs="宋体"/>
          <w:sz w:val="24"/>
          <w:highlight w:val="none"/>
        </w:rPr>
        <w:t>公路工程质量检验评定标准》</w:t>
      </w:r>
      <w:r>
        <w:rPr>
          <w:rFonts w:hint="eastAsia" w:ascii="宋体" w:hAnsi="宋体" w:eastAsia="宋体" w:cs="宋体"/>
          <w:spacing w:val="-36"/>
          <w:sz w:val="24"/>
          <w:highlight w:val="none"/>
        </w:rPr>
        <w:t xml:space="preserve"> </w:t>
      </w:r>
      <w:r>
        <w:rPr>
          <w:rFonts w:hint="eastAsia" w:ascii="宋体" w:hAnsi="宋体" w:eastAsia="宋体" w:cs="宋体"/>
          <w:sz w:val="24"/>
          <w:highlight w:val="none"/>
        </w:rPr>
        <w:t>第一册</w:t>
      </w:r>
      <w:r>
        <w:rPr>
          <w:rFonts w:hint="eastAsia" w:ascii="宋体" w:hAnsi="宋体" w:eastAsia="宋体" w:cs="宋体"/>
          <w:sz w:val="24"/>
          <w:highlight w:val="none"/>
        </w:rPr>
        <w:tab/>
      </w:r>
      <w:r>
        <w:rPr>
          <w:rFonts w:hint="eastAsia" w:ascii="宋体" w:hAnsi="宋体" w:eastAsia="宋体" w:cs="宋体"/>
          <w:spacing w:val="-3"/>
          <w:sz w:val="24"/>
          <w:highlight w:val="none"/>
        </w:rPr>
        <w:t>（</w:t>
      </w:r>
      <w:r>
        <w:rPr>
          <w:rFonts w:hint="eastAsia" w:ascii="宋体" w:hAnsi="宋体" w:eastAsia="宋体" w:cs="宋体"/>
          <w:sz w:val="24"/>
          <w:highlight w:val="none"/>
        </w:rPr>
        <w:t>土建工程</w:t>
      </w:r>
      <w:r>
        <w:rPr>
          <w:rFonts w:hint="eastAsia" w:ascii="宋体" w:hAnsi="宋体" w:eastAsia="宋体" w:cs="宋体"/>
          <w:spacing w:val="-16"/>
          <w:sz w:val="24"/>
          <w:highlight w:val="none"/>
        </w:rPr>
        <w:t>）（JTG</w:t>
      </w:r>
      <w:r>
        <w:rPr>
          <w:rFonts w:hint="eastAsia" w:ascii="宋体" w:hAnsi="宋体" w:eastAsia="宋体" w:cs="宋体"/>
          <w:spacing w:val="-1"/>
          <w:sz w:val="24"/>
          <w:highlight w:val="none"/>
        </w:rPr>
        <w:t xml:space="preserve"> </w:t>
      </w:r>
      <w:r>
        <w:rPr>
          <w:rFonts w:hint="eastAsia" w:ascii="宋体" w:hAnsi="宋体" w:eastAsia="宋体" w:cs="宋体"/>
          <w:sz w:val="24"/>
          <w:highlight w:val="none"/>
        </w:rPr>
        <w:t>F80/1-2017）</w:t>
      </w:r>
    </w:p>
    <w:p w14:paraId="729B0C6F">
      <w:pPr>
        <w:pStyle w:val="29"/>
        <w:numPr>
          <w:ilvl w:val="1"/>
          <w:numId w:val="58"/>
        </w:numPr>
        <w:tabs>
          <w:tab w:val="left" w:pos="1041"/>
        </w:tabs>
        <w:spacing w:before="86" w:line="300" w:lineRule="exact"/>
        <w:rPr>
          <w:rFonts w:hint="eastAsia" w:ascii="宋体" w:hAnsi="宋体" w:eastAsia="宋体" w:cs="宋体"/>
          <w:sz w:val="24"/>
          <w:highlight w:val="none"/>
        </w:rPr>
      </w:pPr>
      <w:r>
        <w:rPr>
          <w:rFonts w:hint="eastAsia" w:ascii="宋体" w:hAnsi="宋体" w:eastAsia="宋体" w:cs="宋体"/>
          <w:sz w:val="24"/>
          <w:highlight w:val="none"/>
        </w:rPr>
        <w:t>《公路沥青路面施工技术规范》（JTG</w:t>
      </w:r>
      <w:r>
        <w:rPr>
          <w:rFonts w:hint="eastAsia" w:ascii="宋体" w:hAnsi="宋体" w:eastAsia="宋体" w:cs="宋体"/>
          <w:spacing w:val="-2"/>
          <w:sz w:val="24"/>
          <w:highlight w:val="none"/>
        </w:rPr>
        <w:t xml:space="preserve"> </w:t>
      </w:r>
      <w:r>
        <w:rPr>
          <w:rFonts w:hint="eastAsia" w:ascii="宋体" w:hAnsi="宋体" w:eastAsia="宋体" w:cs="宋体"/>
          <w:sz w:val="24"/>
          <w:highlight w:val="none"/>
        </w:rPr>
        <w:t>F40-2004）</w:t>
      </w:r>
    </w:p>
    <w:p w14:paraId="7B565E7C">
      <w:pPr>
        <w:pStyle w:val="29"/>
        <w:numPr>
          <w:ilvl w:val="1"/>
          <w:numId w:val="58"/>
        </w:numPr>
        <w:tabs>
          <w:tab w:val="left" w:pos="1041"/>
        </w:tabs>
        <w:spacing w:before="84" w:line="300" w:lineRule="exact"/>
        <w:rPr>
          <w:rFonts w:hint="eastAsia" w:ascii="宋体" w:hAnsi="宋体" w:eastAsia="宋体" w:cs="宋体"/>
          <w:sz w:val="24"/>
          <w:highlight w:val="none"/>
        </w:rPr>
      </w:pPr>
      <w:r>
        <w:rPr>
          <w:rFonts w:hint="eastAsia" w:ascii="宋体" w:hAnsi="宋体" w:eastAsia="宋体" w:cs="宋体"/>
          <w:sz w:val="24"/>
          <w:highlight w:val="none"/>
        </w:rPr>
        <w:t>《公路路基施工技术规范》（JTG/T</w:t>
      </w:r>
      <w:r>
        <w:rPr>
          <w:rFonts w:hint="eastAsia" w:ascii="宋体" w:hAnsi="宋体" w:eastAsia="宋体" w:cs="宋体"/>
          <w:spacing w:val="-2"/>
          <w:sz w:val="24"/>
          <w:highlight w:val="none"/>
        </w:rPr>
        <w:t xml:space="preserve"> </w:t>
      </w:r>
      <w:r>
        <w:rPr>
          <w:rFonts w:hint="eastAsia" w:ascii="宋体" w:hAnsi="宋体" w:eastAsia="宋体" w:cs="宋体"/>
          <w:sz w:val="24"/>
          <w:highlight w:val="none"/>
        </w:rPr>
        <w:t>3610-2019）</w:t>
      </w:r>
    </w:p>
    <w:p w14:paraId="09794611">
      <w:pPr>
        <w:pStyle w:val="29"/>
        <w:numPr>
          <w:ilvl w:val="1"/>
          <w:numId w:val="58"/>
        </w:numPr>
        <w:tabs>
          <w:tab w:val="left" w:pos="1041"/>
        </w:tabs>
        <w:spacing w:before="83" w:line="300" w:lineRule="exact"/>
        <w:rPr>
          <w:rFonts w:hint="eastAsia" w:ascii="宋体" w:hAnsi="宋体" w:eastAsia="宋体" w:cs="宋体"/>
          <w:sz w:val="24"/>
          <w:highlight w:val="none"/>
        </w:rPr>
      </w:pPr>
      <w:r>
        <w:rPr>
          <w:rFonts w:hint="eastAsia" w:ascii="宋体" w:hAnsi="宋体" w:eastAsia="宋体" w:cs="宋体"/>
          <w:sz w:val="24"/>
          <w:highlight w:val="none"/>
        </w:rPr>
        <w:t>《公路土工合成材料应用技术规范》（JTG/T</w:t>
      </w:r>
      <w:r>
        <w:rPr>
          <w:rFonts w:hint="eastAsia" w:ascii="宋体" w:hAnsi="宋体" w:eastAsia="宋体" w:cs="宋体"/>
          <w:spacing w:val="-2"/>
          <w:sz w:val="24"/>
          <w:highlight w:val="none"/>
        </w:rPr>
        <w:t xml:space="preserve"> </w:t>
      </w:r>
      <w:r>
        <w:rPr>
          <w:rFonts w:hint="eastAsia" w:ascii="宋体" w:hAnsi="宋体" w:eastAsia="宋体" w:cs="宋体"/>
          <w:sz w:val="24"/>
          <w:highlight w:val="none"/>
        </w:rPr>
        <w:t>D32-2012）</w:t>
      </w:r>
    </w:p>
    <w:p w14:paraId="4B4ABCB5">
      <w:pPr>
        <w:pStyle w:val="29"/>
        <w:numPr>
          <w:ilvl w:val="1"/>
          <w:numId w:val="58"/>
        </w:numPr>
        <w:tabs>
          <w:tab w:val="left" w:pos="1041"/>
        </w:tabs>
        <w:spacing w:before="87" w:line="300" w:lineRule="exact"/>
        <w:rPr>
          <w:rFonts w:hint="eastAsia" w:ascii="宋体" w:hAnsi="宋体" w:eastAsia="宋体" w:cs="宋体"/>
          <w:sz w:val="24"/>
          <w:highlight w:val="none"/>
        </w:rPr>
      </w:pPr>
      <w:r>
        <w:rPr>
          <w:rFonts w:hint="eastAsia" w:ascii="宋体" w:hAnsi="宋体" w:eastAsia="宋体" w:cs="宋体"/>
          <w:sz w:val="24"/>
          <w:highlight w:val="none"/>
        </w:rPr>
        <w:t>《公路路面基层施工技术细则》（JTG</w:t>
      </w:r>
      <w:r>
        <w:rPr>
          <w:rFonts w:hint="eastAsia" w:ascii="宋体" w:hAnsi="宋体" w:eastAsia="宋体" w:cs="宋体"/>
          <w:spacing w:val="-2"/>
          <w:sz w:val="24"/>
          <w:highlight w:val="none"/>
        </w:rPr>
        <w:t xml:space="preserve"> </w:t>
      </w:r>
      <w:r>
        <w:rPr>
          <w:rFonts w:hint="eastAsia" w:ascii="宋体" w:hAnsi="宋体" w:eastAsia="宋体" w:cs="宋体"/>
          <w:sz w:val="24"/>
          <w:highlight w:val="none"/>
        </w:rPr>
        <w:t>F20-2015）</w:t>
      </w:r>
    </w:p>
    <w:p w14:paraId="561925D9">
      <w:pPr>
        <w:pStyle w:val="29"/>
        <w:numPr>
          <w:ilvl w:val="1"/>
          <w:numId w:val="58"/>
        </w:numPr>
        <w:tabs>
          <w:tab w:val="left" w:pos="1041"/>
        </w:tabs>
        <w:spacing w:before="83" w:line="300" w:lineRule="exact"/>
        <w:rPr>
          <w:rFonts w:hint="eastAsia" w:ascii="宋体" w:hAnsi="宋体" w:eastAsia="宋体" w:cs="宋体"/>
          <w:sz w:val="24"/>
          <w:highlight w:val="none"/>
        </w:rPr>
      </w:pPr>
      <w:r>
        <w:rPr>
          <w:rFonts w:hint="eastAsia" w:ascii="宋体" w:hAnsi="宋体" w:eastAsia="宋体" w:cs="宋体"/>
          <w:sz w:val="24"/>
          <w:highlight w:val="none"/>
        </w:rPr>
        <w:t>《公路桥涵施工技术规范》（JTG/T</w:t>
      </w:r>
      <w:r>
        <w:rPr>
          <w:rFonts w:hint="eastAsia" w:ascii="宋体" w:hAnsi="宋体" w:eastAsia="宋体" w:cs="宋体"/>
          <w:spacing w:val="-2"/>
          <w:sz w:val="24"/>
          <w:highlight w:val="none"/>
        </w:rPr>
        <w:t xml:space="preserve"> </w:t>
      </w:r>
      <w:r>
        <w:rPr>
          <w:rFonts w:hint="eastAsia" w:ascii="宋体" w:hAnsi="宋体" w:eastAsia="宋体" w:cs="宋体"/>
          <w:sz w:val="24"/>
          <w:highlight w:val="none"/>
        </w:rPr>
        <w:t>F50-2011）</w:t>
      </w:r>
    </w:p>
    <w:p w14:paraId="3E4534B4">
      <w:pPr>
        <w:pStyle w:val="29"/>
        <w:numPr>
          <w:ilvl w:val="1"/>
          <w:numId w:val="58"/>
        </w:numPr>
        <w:tabs>
          <w:tab w:val="left" w:pos="1041"/>
        </w:tabs>
        <w:spacing w:before="84" w:line="300" w:lineRule="exact"/>
        <w:rPr>
          <w:rFonts w:hint="eastAsia" w:ascii="宋体" w:hAnsi="宋体" w:eastAsia="宋体" w:cs="宋体"/>
          <w:sz w:val="24"/>
          <w:highlight w:val="none"/>
        </w:rPr>
      </w:pPr>
      <w:r>
        <w:rPr>
          <w:rFonts w:hint="eastAsia" w:ascii="宋体" w:hAnsi="宋体" w:eastAsia="宋体" w:cs="宋体"/>
          <w:sz w:val="24"/>
          <w:highlight w:val="none"/>
        </w:rPr>
        <w:t>《公路土工试验规程》（JTG</w:t>
      </w:r>
      <w:r>
        <w:rPr>
          <w:rFonts w:hint="eastAsia" w:ascii="宋体" w:hAnsi="宋体" w:eastAsia="宋体" w:cs="宋体"/>
          <w:spacing w:val="-2"/>
          <w:sz w:val="24"/>
          <w:highlight w:val="none"/>
        </w:rPr>
        <w:t xml:space="preserve"> </w:t>
      </w:r>
      <w:r>
        <w:rPr>
          <w:rFonts w:hint="eastAsia" w:ascii="宋体" w:hAnsi="宋体" w:eastAsia="宋体" w:cs="宋体"/>
          <w:sz w:val="24"/>
          <w:highlight w:val="none"/>
        </w:rPr>
        <w:t>E40-2007）</w:t>
      </w:r>
    </w:p>
    <w:p w14:paraId="21A609B4">
      <w:pPr>
        <w:pStyle w:val="29"/>
        <w:numPr>
          <w:ilvl w:val="1"/>
          <w:numId w:val="58"/>
        </w:numPr>
        <w:tabs>
          <w:tab w:val="left" w:pos="1041"/>
        </w:tabs>
        <w:spacing w:before="86" w:line="300" w:lineRule="exact"/>
        <w:rPr>
          <w:rFonts w:hint="eastAsia" w:ascii="宋体" w:hAnsi="宋体" w:eastAsia="宋体" w:cs="宋体"/>
          <w:sz w:val="24"/>
          <w:highlight w:val="none"/>
        </w:rPr>
      </w:pPr>
      <w:r>
        <w:rPr>
          <w:rFonts w:hint="eastAsia" w:ascii="宋体" w:hAnsi="宋体" w:eastAsia="宋体" w:cs="宋体"/>
          <w:sz w:val="24"/>
          <w:highlight w:val="none"/>
        </w:rPr>
        <w:t>《公路工程沥青及沥青混合料试验规程》（JTG</w:t>
      </w:r>
      <w:r>
        <w:rPr>
          <w:rFonts w:hint="eastAsia" w:ascii="宋体" w:hAnsi="宋体" w:eastAsia="宋体" w:cs="宋体"/>
          <w:spacing w:val="-2"/>
          <w:sz w:val="24"/>
          <w:highlight w:val="none"/>
        </w:rPr>
        <w:t xml:space="preserve"> </w:t>
      </w:r>
      <w:r>
        <w:rPr>
          <w:rFonts w:hint="eastAsia" w:ascii="宋体" w:hAnsi="宋体" w:eastAsia="宋体" w:cs="宋体"/>
          <w:sz w:val="24"/>
          <w:highlight w:val="none"/>
        </w:rPr>
        <w:t>E20-2011）</w:t>
      </w:r>
    </w:p>
    <w:p w14:paraId="2A872514">
      <w:pPr>
        <w:pStyle w:val="29"/>
        <w:numPr>
          <w:ilvl w:val="1"/>
          <w:numId w:val="58"/>
        </w:numPr>
        <w:tabs>
          <w:tab w:val="left" w:pos="1161"/>
        </w:tabs>
        <w:spacing w:before="84" w:line="300" w:lineRule="exact"/>
        <w:ind w:left="1161" w:hanging="301"/>
        <w:rPr>
          <w:rFonts w:hint="eastAsia" w:ascii="宋体" w:hAnsi="宋体" w:eastAsia="宋体" w:cs="宋体"/>
          <w:sz w:val="24"/>
          <w:highlight w:val="none"/>
        </w:rPr>
      </w:pPr>
      <w:r>
        <w:rPr>
          <w:rFonts w:hint="eastAsia" w:ascii="宋体" w:hAnsi="宋体" w:eastAsia="宋体" w:cs="宋体"/>
          <w:sz w:val="24"/>
          <w:highlight w:val="none"/>
        </w:rPr>
        <w:t>《公路工程水泥混凝土试验规程》（JTGE30-2005）</w:t>
      </w:r>
    </w:p>
    <w:p w14:paraId="772388A6">
      <w:pPr>
        <w:pStyle w:val="29"/>
        <w:numPr>
          <w:ilvl w:val="1"/>
          <w:numId w:val="58"/>
        </w:numPr>
        <w:tabs>
          <w:tab w:val="left" w:pos="1161"/>
        </w:tabs>
        <w:spacing w:before="83" w:line="300" w:lineRule="exact"/>
        <w:ind w:left="1161" w:hanging="301"/>
        <w:rPr>
          <w:rFonts w:hint="eastAsia" w:ascii="宋体" w:hAnsi="宋体" w:eastAsia="宋体" w:cs="宋体"/>
          <w:sz w:val="24"/>
          <w:highlight w:val="none"/>
        </w:rPr>
      </w:pPr>
      <w:r>
        <w:rPr>
          <w:rFonts w:hint="eastAsia" w:ascii="宋体" w:hAnsi="宋体" w:eastAsia="宋体" w:cs="宋体"/>
          <w:sz w:val="24"/>
          <w:highlight w:val="none"/>
        </w:rPr>
        <w:t>《公路工程岩石试验规程》（JTG</w:t>
      </w:r>
      <w:r>
        <w:rPr>
          <w:rFonts w:hint="eastAsia" w:ascii="宋体" w:hAnsi="宋体" w:eastAsia="宋体" w:cs="宋体"/>
          <w:spacing w:val="-2"/>
          <w:sz w:val="24"/>
          <w:highlight w:val="none"/>
        </w:rPr>
        <w:t xml:space="preserve"> </w:t>
      </w:r>
      <w:r>
        <w:rPr>
          <w:rFonts w:hint="eastAsia" w:ascii="宋体" w:hAnsi="宋体" w:eastAsia="宋体" w:cs="宋体"/>
          <w:sz w:val="24"/>
          <w:highlight w:val="none"/>
        </w:rPr>
        <w:t>E41-2005）</w:t>
      </w:r>
    </w:p>
    <w:p w14:paraId="3FD075F0">
      <w:pPr>
        <w:pStyle w:val="29"/>
        <w:numPr>
          <w:ilvl w:val="1"/>
          <w:numId w:val="58"/>
        </w:numPr>
        <w:tabs>
          <w:tab w:val="left" w:pos="1161"/>
        </w:tabs>
        <w:spacing w:before="87" w:line="300" w:lineRule="exact"/>
        <w:ind w:left="1161" w:hanging="301"/>
        <w:rPr>
          <w:rFonts w:hint="eastAsia" w:ascii="宋体" w:hAnsi="宋体" w:eastAsia="宋体" w:cs="宋体"/>
          <w:sz w:val="24"/>
          <w:highlight w:val="none"/>
        </w:rPr>
      </w:pPr>
      <w:r>
        <w:rPr>
          <w:rFonts w:hint="eastAsia" w:ascii="宋体" w:hAnsi="宋体" w:eastAsia="宋体" w:cs="宋体"/>
          <w:sz w:val="24"/>
          <w:highlight w:val="none"/>
        </w:rPr>
        <w:t>《公路工程无机结合料稳定材料试验规程》（JTG</w:t>
      </w:r>
      <w:r>
        <w:rPr>
          <w:rFonts w:hint="eastAsia" w:ascii="宋体" w:hAnsi="宋体" w:eastAsia="宋体" w:cs="宋体"/>
          <w:spacing w:val="-2"/>
          <w:sz w:val="24"/>
          <w:highlight w:val="none"/>
        </w:rPr>
        <w:t xml:space="preserve"> </w:t>
      </w:r>
      <w:r>
        <w:rPr>
          <w:rFonts w:hint="eastAsia" w:ascii="宋体" w:hAnsi="宋体" w:eastAsia="宋体" w:cs="宋体"/>
          <w:sz w:val="24"/>
          <w:highlight w:val="none"/>
        </w:rPr>
        <w:t>E51-2009）</w:t>
      </w:r>
    </w:p>
    <w:p w14:paraId="02DFFA7A">
      <w:pPr>
        <w:pStyle w:val="29"/>
        <w:numPr>
          <w:ilvl w:val="1"/>
          <w:numId w:val="58"/>
        </w:numPr>
        <w:tabs>
          <w:tab w:val="left" w:pos="1161"/>
        </w:tabs>
        <w:spacing w:before="83" w:line="300" w:lineRule="exact"/>
        <w:ind w:left="1161" w:hanging="301"/>
        <w:rPr>
          <w:rFonts w:hint="eastAsia" w:ascii="宋体" w:hAnsi="宋体" w:eastAsia="宋体" w:cs="宋体"/>
          <w:sz w:val="24"/>
          <w:highlight w:val="none"/>
        </w:rPr>
      </w:pPr>
      <w:r>
        <w:rPr>
          <w:rFonts w:hint="eastAsia" w:ascii="宋体" w:hAnsi="宋体" w:eastAsia="宋体" w:cs="宋体"/>
          <w:sz w:val="24"/>
          <w:highlight w:val="none"/>
        </w:rPr>
        <w:t>《公路工程集料试验规程》（JTG</w:t>
      </w:r>
      <w:r>
        <w:rPr>
          <w:rFonts w:hint="eastAsia" w:ascii="宋体" w:hAnsi="宋体" w:eastAsia="宋体" w:cs="宋体"/>
          <w:spacing w:val="-2"/>
          <w:sz w:val="24"/>
          <w:highlight w:val="none"/>
        </w:rPr>
        <w:t xml:space="preserve"> </w:t>
      </w:r>
      <w:r>
        <w:rPr>
          <w:rFonts w:hint="eastAsia" w:ascii="宋体" w:hAnsi="宋体" w:eastAsia="宋体" w:cs="宋体"/>
          <w:sz w:val="24"/>
          <w:highlight w:val="none"/>
        </w:rPr>
        <w:t>E42-2005）</w:t>
      </w:r>
    </w:p>
    <w:p w14:paraId="53D9E772">
      <w:pPr>
        <w:pStyle w:val="29"/>
        <w:numPr>
          <w:ilvl w:val="1"/>
          <w:numId w:val="58"/>
        </w:numPr>
        <w:tabs>
          <w:tab w:val="left" w:pos="1161"/>
        </w:tabs>
        <w:spacing w:before="84" w:line="300" w:lineRule="exact"/>
        <w:ind w:left="1161" w:hanging="301"/>
        <w:rPr>
          <w:rFonts w:hint="eastAsia" w:ascii="宋体" w:hAnsi="宋体" w:eastAsia="宋体" w:cs="宋体"/>
          <w:sz w:val="24"/>
          <w:highlight w:val="none"/>
        </w:rPr>
      </w:pPr>
      <w:r>
        <w:rPr>
          <w:rFonts w:hint="eastAsia" w:ascii="宋体" w:hAnsi="宋体" w:eastAsia="宋体" w:cs="宋体"/>
          <w:sz w:val="24"/>
          <w:highlight w:val="none"/>
        </w:rPr>
        <w:t>《公路路基路面现场测试规程》（JTG</w:t>
      </w:r>
      <w:r>
        <w:rPr>
          <w:rFonts w:hint="eastAsia" w:ascii="宋体" w:hAnsi="宋体" w:eastAsia="宋体" w:cs="宋体"/>
          <w:spacing w:val="-2"/>
          <w:sz w:val="24"/>
          <w:highlight w:val="none"/>
        </w:rPr>
        <w:t xml:space="preserve"> </w:t>
      </w:r>
      <w:r>
        <w:rPr>
          <w:rFonts w:hint="eastAsia" w:ascii="宋体" w:hAnsi="宋体" w:eastAsia="宋体" w:cs="宋体"/>
          <w:sz w:val="24"/>
          <w:highlight w:val="none"/>
        </w:rPr>
        <w:t>3450-2019）</w:t>
      </w:r>
    </w:p>
    <w:p w14:paraId="2B030A3E">
      <w:pPr>
        <w:pStyle w:val="29"/>
        <w:numPr>
          <w:ilvl w:val="1"/>
          <w:numId w:val="58"/>
        </w:numPr>
        <w:tabs>
          <w:tab w:val="left" w:pos="1161"/>
        </w:tabs>
        <w:spacing w:before="86" w:line="300" w:lineRule="exact"/>
        <w:ind w:left="1161" w:hanging="301"/>
        <w:rPr>
          <w:rFonts w:hint="eastAsia" w:ascii="宋体" w:hAnsi="宋体" w:eastAsia="宋体" w:cs="宋体"/>
          <w:sz w:val="24"/>
          <w:highlight w:val="none"/>
        </w:rPr>
      </w:pPr>
      <w:r>
        <w:rPr>
          <w:rFonts w:hint="eastAsia" w:ascii="宋体" w:hAnsi="宋体" w:eastAsia="宋体" w:cs="宋体"/>
          <w:sz w:val="24"/>
          <w:highlight w:val="none"/>
        </w:rPr>
        <w:t>《公路土工合成材料试验规程》（JTG</w:t>
      </w:r>
      <w:r>
        <w:rPr>
          <w:rFonts w:hint="eastAsia" w:ascii="宋体" w:hAnsi="宋体" w:eastAsia="宋体" w:cs="宋体"/>
          <w:spacing w:val="-2"/>
          <w:sz w:val="24"/>
          <w:highlight w:val="none"/>
        </w:rPr>
        <w:t xml:space="preserve"> </w:t>
      </w:r>
      <w:r>
        <w:rPr>
          <w:rFonts w:hint="eastAsia" w:ascii="宋体" w:hAnsi="宋体" w:eastAsia="宋体" w:cs="宋体"/>
          <w:sz w:val="24"/>
          <w:highlight w:val="none"/>
        </w:rPr>
        <w:t>E50-2006）</w:t>
      </w:r>
    </w:p>
    <w:p w14:paraId="13F92EAC">
      <w:pPr>
        <w:pStyle w:val="29"/>
        <w:numPr>
          <w:ilvl w:val="1"/>
          <w:numId w:val="58"/>
        </w:numPr>
        <w:tabs>
          <w:tab w:val="left" w:pos="1161"/>
        </w:tabs>
        <w:spacing w:before="84" w:line="300" w:lineRule="exact"/>
        <w:ind w:left="1161" w:hanging="301"/>
        <w:rPr>
          <w:rFonts w:hint="eastAsia" w:ascii="宋体" w:hAnsi="宋体" w:eastAsia="宋体" w:cs="宋体"/>
          <w:sz w:val="24"/>
          <w:highlight w:val="none"/>
        </w:rPr>
      </w:pPr>
      <w:r>
        <w:rPr>
          <w:rFonts w:hint="eastAsia" w:ascii="宋体" w:hAnsi="宋体" w:eastAsia="宋体" w:cs="宋体"/>
          <w:sz w:val="24"/>
          <w:highlight w:val="none"/>
        </w:rPr>
        <w:t>《公路交通安全设施施工技术规范》（JTG</w:t>
      </w:r>
      <w:r>
        <w:rPr>
          <w:rFonts w:hint="eastAsia" w:ascii="宋体" w:hAnsi="宋体" w:eastAsia="宋体" w:cs="宋体"/>
          <w:spacing w:val="-2"/>
          <w:sz w:val="24"/>
          <w:highlight w:val="none"/>
        </w:rPr>
        <w:t xml:space="preserve"> </w:t>
      </w:r>
      <w:r>
        <w:rPr>
          <w:rFonts w:hint="eastAsia" w:ascii="宋体" w:hAnsi="宋体" w:eastAsia="宋体" w:cs="宋体"/>
          <w:sz w:val="24"/>
          <w:highlight w:val="none"/>
        </w:rPr>
        <w:t>F71-2006）</w:t>
      </w:r>
    </w:p>
    <w:p w14:paraId="6E16EC79">
      <w:pPr>
        <w:pStyle w:val="29"/>
        <w:numPr>
          <w:ilvl w:val="1"/>
          <w:numId w:val="58"/>
        </w:numPr>
        <w:tabs>
          <w:tab w:val="left" w:pos="1161"/>
        </w:tabs>
        <w:spacing w:before="83" w:line="300" w:lineRule="exact"/>
        <w:ind w:left="1161" w:hanging="301"/>
        <w:rPr>
          <w:rFonts w:hint="eastAsia" w:ascii="宋体" w:hAnsi="宋体" w:eastAsia="宋体" w:cs="宋体"/>
          <w:sz w:val="24"/>
          <w:highlight w:val="none"/>
        </w:rPr>
      </w:pPr>
      <w:r>
        <w:rPr>
          <w:rFonts w:hint="eastAsia" w:ascii="宋体" w:hAnsi="宋体" w:eastAsia="宋体" w:cs="宋体"/>
          <w:sz w:val="24"/>
          <w:highlight w:val="none"/>
        </w:rPr>
        <w:t>《公路工程施工监理规范》（JTG</w:t>
      </w:r>
      <w:r>
        <w:rPr>
          <w:rFonts w:hint="eastAsia" w:ascii="宋体" w:hAnsi="宋体" w:eastAsia="宋体" w:cs="宋体"/>
          <w:spacing w:val="-2"/>
          <w:sz w:val="24"/>
          <w:highlight w:val="none"/>
        </w:rPr>
        <w:t xml:space="preserve"> </w:t>
      </w:r>
      <w:r>
        <w:rPr>
          <w:rFonts w:hint="eastAsia" w:ascii="宋体" w:hAnsi="宋体" w:eastAsia="宋体" w:cs="宋体"/>
          <w:sz w:val="24"/>
          <w:highlight w:val="none"/>
        </w:rPr>
        <w:t>G10-2016）</w:t>
      </w:r>
    </w:p>
    <w:p w14:paraId="1CE10F95">
      <w:pPr>
        <w:pStyle w:val="29"/>
        <w:numPr>
          <w:ilvl w:val="1"/>
          <w:numId w:val="58"/>
        </w:numPr>
        <w:tabs>
          <w:tab w:val="left" w:pos="1161"/>
        </w:tabs>
        <w:spacing w:before="87" w:line="300" w:lineRule="exact"/>
        <w:ind w:left="1161" w:hanging="301"/>
        <w:rPr>
          <w:rFonts w:hint="eastAsia" w:ascii="宋体" w:hAnsi="宋体" w:eastAsia="宋体" w:cs="宋体"/>
          <w:sz w:val="24"/>
          <w:highlight w:val="none"/>
        </w:rPr>
      </w:pPr>
      <w:r>
        <w:rPr>
          <w:rFonts w:hint="eastAsia" w:ascii="宋体" w:hAnsi="宋体" w:eastAsia="宋体" w:cs="宋体"/>
          <w:sz w:val="24"/>
          <w:highlight w:val="none"/>
        </w:rPr>
        <w:t>《小交通量农村公路工程技术标准》（JTG</w:t>
      </w:r>
      <w:r>
        <w:rPr>
          <w:rFonts w:hint="eastAsia" w:ascii="宋体" w:hAnsi="宋体" w:eastAsia="宋体" w:cs="宋体"/>
          <w:spacing w:val="-2"/>
          <w:sz w:val="24"/>
          <w:highlight w:val="none"/>
        </w:rPr>
        <w:t xml:space="preserve"> </w:t>
      </w:r>
      <w:r>
        <w:rPr>
          <w:rFonts w:hint="eastAsia" w:ascii="宋体" w:hAnsi="宋体" w:eastAsia="宋体" w:cs="宋体"/>
          <w:sz w:val="24"/>
          <w:highlight w:val="none"/>
        </w:rPr>
        <w:t>2111-2019）</w:t>
      </w:r>
    </w:p>
    <w:p w14:paraId="429A421F">
      <w:pPr>
        <w:pStyle w:val="29"/>
        <w:numPr>
          <w:ilvl w:val="1"/>
          <w:numId w:val="58"/>
        </w:numPr>
        <w:tabs>
          <w:tab w:val="left" w:pos="1161"/>
        </w:tabs>
        <w:spacing w:before="83" w:line="300" w:lineRule="exact"/>
        <w:ind w:left="1161" w:hanging="301"/>
        <w:rPr>
          <w:rFonts w:hint="eastAsia" w:ascii="宋体" w:hAnsi="宋体" w:eastAsia="宋体" w:cs="宋体"/>
          <w:sz w:val="24"/>
          <w:highlight w:val="none"/>
        </w:rPr>
      </w:pPr>
      <w:r>
        <w:rPr>
          <w:rFonts w:hint="eastAsia" w:ascii="宋体" w:hAnsi="宋体" w:eastAsia="宋体" w:cs="宋体"/>
          <w:sz w:val="24"/>
          <w:highlight w:val="none"/>
        </w:rPr>
        <w:t>《公路工程无结合机料稳定材料试验规程》（JTG</w:t>
      </w:r>
      <w:r>
        <w:rPr>
          <w:rFonts w:hint="eastAsia" w:ascii="宋体" w:hAnsi="宋体" w:eastAsia="宋体" w:cs="宋体"/>
          <w:spacing w:val="-2"/>
          <w:sz w:val="24"/>
          <w:highlight w:val="none"/>
        </w:rPr>
        <w:t xml:space="preserve"> </w:t>
      </w:r>
      <w:r>
        <w:rPr>
          <w:rFonts w:hint="eastAsia" w:ascii="宋体" w:hAnsi="宋体" w:eastAsia="宋体" w:cs="宋体"/>
          <w:sz w:val="24"/>
          <w:highlight w:val="none"/>
        </w:rPr>
        <w:t>E51-2009）</w:t>
      </w:r>
    </w:p>
    <w:p w14:paraId="20E44995">
      <w:pPr>
        <w:pStyle w:val="29"/>
        <w:numPr>
          <w:ilvl w:val="1"/>
          <w:numId w:val="58"/>
        </w:numPr>
        <w:tabs>
          <w:tab w:val="left" w:pos="1161"/>
        </w:tabs>
        <w:spacing w:before="84" w:line="300" w:lineRule="exact"/>
        <w:ind w:left="1161" w:hanging="301"/>
        <w:rPr>
          <w:rFonts w:hint="eastAsia" w:ascii="宋体" w:hAnsi="宋体" w:eastAsia="宋体" w:cs="宋体"/>
          <w:sz w:val="24"/>
          <w:highlight w:val="none"/>
        </w:rPr>
      </w:pPr>
      <w:r>
        <w:rPr>
          <w:rFonts w:hint="eastAsia" w:ascii="宋体" w:hAnsi="宋体" w:eastAsia="宋体" w:cs="宋体"/>
          <w:sz w:val="24"/>
          <w:highlight w:val="none"/>
        </w:rPr>
        <w:t>《公路水泥混凝土路面施工技术细则》（JTG</w:t>
      </w:r>
      <w:r>
        <w:rPr>
          <w:rFonts w:hint="eastAsia" w:ascii="宋体" w:hAnsi="宋体" w:eastAsia="宋体" w:cs="宋体"/>
          <w:spacing w:val="-2"/>
          <w:sz w:val="24"/>
          <w:highlight w:val="none"/>
        </w:rPr>
        <w:t xml:space="preserve"> </w:t>
      </w:r>
      <w:r>
        <w:rPr>
          <w:rFonts w:hint="eastAsia" w:ascii="宋体" w:hAnsi="宋体" w:eastAsia="宋体" w:cs="宋体"/>
          <w:sz w:val="24"/>
          <w:highlight w:val="none"/>
        </w:rPr>
        <w:t>F30-2014）</w:t>
      </w:r>
    </w:p>
    <w:p w14:paraId="413FA26D">
      <w:pPr>
        <w:pStyle w:val="29"/>
        <w:numPr>
          <w:ilvl w:val="1"/>
          <w:numId w:val="58"/>
        </w:numPr>
        <w:tabs>
          <w:tab w:val="left" w:pos="1161"/>
        </w:tabs>
        <w:spacing w:before="86" w:line="300" w:lineRule="exact"/>
        <w:ind w:left="579" w:right="2998" w:firstLine="280"/>
        <w:rPr>
          <w:rFonts w:hint="eastAsia" w:ascii="宋体" w:hAnsi="宋体" w:eastAsia="宋体" w:cs="宋体"/>
          <w:sz w:val="24"/>
          <w:highlight w:val="none"/>
        </w:rPr>
      </w:pPr>
      <w:r>
        <w:rPr>
          <w:rFonts w:hint="eastAsia" w:ascii="宋体" w:hAnsi="宋体" w:eastAsia="宋体" w:cs="宋体"/>
          <w:sz w:val="24"/>
          <w:highlight w:val="none"/>
        </w:rPr>
        <w:t>《公路工程施工安全技术规范》（JTG</w:t>
      </w:r>
      <w:r>
        <w:rPr>
          <w:rFonts w:hint="eastAsia" w:ascii="宋体" w:hAnsi="宋体" w:eastAsia="宋体" w:cs="宋体"/>
          <w:spacing w:val="7"/>
          <w:sz w:val="24"/>
          <w:highlight w:val="none"/>
        </w:rPr>
        <w:t xml:space="preserve"> </w:t>
      </w:r>
      <w:r>
        <w:rPr>
          <w:rFonts w:hint="eastAsia" w:ascii="宋体" w:hAnsi="宋体" w:eastAsia="宋体" w:cs="宋体"/>
          <w:spacing w:val="-3"/>
          <w:sz w:val="24"/>
          <w:highlight w:val="none"/>
        </w:rPr>
        <w:t xml:space="preserve">F902015） </w:t>
      </w:r>
    </w:p>
    <w:p w14:paraId="2E801896">
      <w:pPr>
        <w:pStyle w:val="29"/>
        <w:tabs>
          <w:tab w:val="left" w:pos="1161"/>
        </w:tabs>
        <w:spacing w:before="86" w:line="300" w:lineRule="exact"/>
        <w:ind w:left="0" w:right="2998" w:firstLineChars="200"/>
        <w:rPr>
          <w:rFonts w:hint="eastAsia" w:ascii="宋体" w:hAnsi="宋体" w:eastAsia="宋体" w:cs="宋体"/>
          <w:sz w:val="24"/>
          <w:highlight w:val="none"/>
        </w:rPr>
      </w:pPr>
      <w:r>
        <w:rPr>
          <w:rFonts w:hint="eastAsia" w:ascii="宋体" w:hAnsi="宋体" w:eastAsia="宋体" w:cs="宋体"/>
          <w:sz w:val="24"/>
          <w:highlight w:val="none"/>
        </w:rPr>
        <w:t>二、相关国标</w:t>
      </w:r>
    </w:p>
    <w:p w14:paraId="6D885B7E">
      <w:pPr>
        <w:pStyle w:val="29"/>
        <w:numPr>
          <w:ilvl w:val="0"/>
          <w:numId w:val="59"/>
        </w:numPr>
        <w:tabs>
          <w:tab w:val="left" w:pos="1041"/>
        </w:tabs>
        <w:spacing w:before="5" w:line="300" w:lineRule="exact"/>
        <w:rPr>
          <w:rFonts w:hint="eastAsia" w:ascii="宋体" w:hAnsi="宋体" w:eastAsia="宋体" w:cs="宋体"/>
          <w:sz w:val="24"/>
          <w:highlight w:val="none"/>
        </w:rPr>
      </w:pPr>
      <w:r>
        <w:rPr>
          <w:rFonts w:hint="eastAsia" w:ascii="宋体" w:hAnsi="宋体" w:eastAsia="宋体" w:cs="宋体"/>
          <w:spacing w:val="-7"/>
          <w:sz w:val="24"/>
          <w:highlight w:val="none"/>
        </w:rPr>
        <w:t xml:space="preserve">《钢筋混凝土用钢 第 </w:t>
      </w:r>
      <w:r>
        <w:rPr>
          <w:rFonts w:hint="eastAsia" w:ascii="宋体" w:hAnsi="宋体" w:eastAsia="宋体" w:cs="宋体"/>
          <w:sz w:val="24"/>
          <w:highlight w:val="none"/>
        </w:rPr>
        <w:t>1 部分：热轧光圆钢筋》（GB/T</w:t>
      </w:r>
      <w:r>
        <w:rPr>
          <w:rFonts w:hint="eastAsia" w:ascii="宋体" w:hAnsi="宋体" w:eastAsia="宋体" w:cs="宋体"/>
          <w:spacing w:val="-1"/>
          <w:sz w:val="24"/>
          <w:highlight w:val="none"/>
        </w:rPr>
        <w:t xml:space="preserve"> </w:t>
      </w:r>
      <w:r>
        <w:rPr>
          <w:rFonts w:hint="eastAsia" w:ascii="宋体" w:hAnsi="宋体" w:eastAsia="宋体" w:cs="宋体"/>
          <w:sz w:val="24"/>
          <w:highlight w:val="none"/>
        </w:rPr>
        <w:t>1499.1-2017）</w:t>
      </w:r>
    </w:p>
    <w:p w14:paraId="62C02998">
      <w:pPr>
        <w:pStyle w:val="29"/>
        <w:numPr>
          <w:ilvl w:val="0"/>
          <w:numId w:val="59"/>
        </w:numPr>
        <w:tabs>
          <w:tab w:val="left" w:pos="1041"/>
        </w:tabs>
        <w:spacing w:before="83" w:line="300" w:lineRule="exact"/>
        <w:rPr>
          <w:rFonts w:hint="eastAsia" w:ascii="宋体" w:hAnsi="宋体" w:eastAsia="宋体" w:cs="宋体"/>
          <w:sz w:val="24"/>
          <w:highlight w:val="none"/>
        </w:rPr>
      </w:pPr>
      <w:r>
        <w:rPr>
          <w:rFonts w:hint="eastAsia" w:ascii="宋体" w:hAnsi="宋体" w:eastAsia="宋体" w:cs="宋体"/>
          <w:spacing w:val="-7"/>
          <w:sz w:val="24"/>
          <w:highlight w:val="none"/>
        </w:rPr>
        <w:t xml:space="preserve">《钢筋混凝土用钢 第 </w:t>
      </w:r>
      <w:r>
        <w:rPr>
          <w:rFonts w:hint="eastAsia" w:ascii="宋体" w:hAnsi="宋体" w:eastAsia="宋体" w:cs="宋体"/>
          <w:sz w:val="24"/>
          <w:highlight w:val="none"/>
        </w:rPr>
        <w:t>2 部分：热轧带肋钢筋》（GB/T</w:t>
      </w:r>
      <w:r>
        <w:rPr>
          <w:rFonts w:hint="eastAsia" w:ascii="宋体" w:hAnsi="宋体" w:eastAsia="宋体" w:cs="宋体"/>
          <w:spacing w:val="-1"/>
          <w:sz w:val="24"/>
          <w:highlight w:val="none"/>
        </w:rPr>
        <w:t xml:space="preserve"> </w:t>
      </w:r>
      <w:r>
        <w:rPr>
          <w:rFonts w:hint="eastAsia" w:ascii="宋体" w:hAnsi="宋体" w:eastAsia="宋体" w:cs="宋体"/>
          <w:sz w:val="24"/>
          <w:highlight w:val="none"/>
        </w:rPr>
        <w:t>1499.2-2018）</w:t>
      </w:r>
    </w:p>
    <w:p w14:paraId="61B9B527">
      <w:pPr>
        <w:pStyle w:val="29"/>
        <w:numPr>
          <w:ilvl w:val="0"/>
          <w:numId w:val="59"/>
        </w:numPr>
        <w:tabs>
          <w:tab w:val="left" w:pos="1041"/>
        </w:tabs>
        <w:spacing w:before="87" w:line="300" w:lineRule="exact"/>
        <w:rPr>
          <w:rFonts w:hint="eastAsia" w:ascii="宋体" w:hAnsi="宋体" w:eastAsia="宋体" w:cs="宋体"/>
          <w:sz w:val="24"/>
          <w:highlight w:val="none"/>
        </w:rPr>
      </w:pPr>
      <w:r>
        <w:rPr>
          <w:rFonts w:hint="eastAsia" w:ascii="宋体" w:hAnsi="宋体" w:eastAsia="宋体" w:cs="宋体"/>
          <w:sz w:val="24"/>
          <w:highlight w:val="none"/>
        </w:rPr>
        <w:t>《道路工程制图标准》（GB50162-92）</w:t>
      </w:r>
    </w:p>
    <w:p w14:paraId="37FF4BA1">
      <w:pPr>
        <w:pStyle w:val="29"/>
        <w:numPr>
          <w:ilvl w:val="0"/>
          <w:numId w:val="59"/>
        </w:numPr>
        <w:tabs>
          <w:tab w:val="left" w:pos="1041"/>
        </w:tabs>
        <w:spacing w:before="83" w:line="300" w:lineRule="exact"/>
        <w:ind w:left="579" w:right="4479" w:firstLine="280"/>
        <w:rPr>
          <w:rFonts w:hint="eastAsia" w:ascii="宋体" w:hAnsi="宋体" w:eastAsia="宋体" w:cs="宋体"/>
          <w:sz w:val="24"/>
          <w:highlight w:val="none"/>
        </w:rPr>
      </w:pPr>
      <w:r>
        <w:rPr>
          <w:rFonts w:hint="eastAsia" w:ascii="宋体" w:hAnsi="宋体" w:eastAsia="宋体" w:cs="宋体"/>
          <w:sz w:val="24"/>
          <w:highlight w:val="none"/>
        </w:rPr>
        <w:t>《普通螺纹公差》(GB/T</w:t>
      </w:r>
      <w:r>
        <w:rPr>
          <w:rFonts w:hint="eastAsia" w:ascii="宋体" w:hAnsi="宋体" w:eastAsia="宋体" w:cs="宋体"/>
          <w:spacing w:val="2"/>
          <w:sz w:val="24"/>
          <w:highlight w:val="none"/>
        </w:rPr>
        <w:t xml:space="preserve"> </w:t>
      </w:r>
      <w:r>
        <w:rPr>
          <w:rFonts w:hint="eastAsia" w:ascii="宋体" w:hAnsi="宋体" w:eastAsia="宋体" w:cs="宋体"/>
          <w:spacing w:val="-3"/>
          <w:sz w:val="24"/>
          <w:highlight w:val="none"/>
        </w:rPr>
        <w:t>197</w:t>
      </w:r>
      <w:r>
        <w:rPr>
          <w:rFonts w:hint="eastAsia" w:ascii="宋体" w:hAnsi="宋体" w:eastAsia="宋体" w:cs="宋体"/>
          <w:spacing w:val="-3"/>
          <w:sz w:val="24"/>
          <w:highlight w:val="none"/>
          <w:lang w:val="en-US"/>
        </w:rPr>
        <w:t>-</w:t>
      </w:r>
      <w:r>
        <w:rPr>
          <w:rFonts w:hint="eastAsia" w:ascii="宋体" w:hAnsi="宋体" w:eastAsia="宋体" w:cs="宋体"/>
          <w:spacing w:val="-3"/>
          <w:sz w:val="24"/>
          <w:highlight w:val="none"/>
        </w:rPr>
        <w:t>2018）</w:t>
      </w:r>
    </w:p>
    <w:p w14:paraId="59A4A75B">
      <w:pPr>
        <w:pStyle w:val="29"/>
        <w:tabs>
          <w:tab w:val="left" w:pos="1041"/>
        </w:tabs>
        <w:spacing w:before="83" w:line="300" w:lineRule="exact"/>
        <w:ind w:left="0" w:right="4479" w:firstLine="468" w:firstLineChars="200"/>
        <w:rPr>
          <w:rFonts w:hint="eastAsia" w:ascii="宋体" w:hAnsi="宋体" w:eastAsia="宋体" w:cs="宋体"/>
          <w:sz w:val="24"/>
          <w:highlight w:val="none"/>
        </w:rPr>
      </w:pPr>
      <w:r>
        <w:rPr>
          <w:rFonts w:hint="eastAsia" w:ascii="宋体" w:hAnsi="宋体" w:eastAsia="宋体" w:cs="宋体"/>
          <w:spacing w:val="-3"/>
          <w:sz w:val="24"/>
          <w:highlight w:val="none"/>
        </w:rPr>
        <w:t xml:space="preserve"> </w:t>
      </w:r>
      <w:r>
        <w:rPr>
          <w:rFonts w:hint="eastAsia" w:ascii="宋体" w:hAnsi="宋体" w:eastAsia="宋体" w:cs="宋体"/>
          <w:sz w:val="24"/>
          <w:highlight w:val="none"/>
        </w:rPr>
        <w:t>三、相关地方行业标准规范、</w:t>
      </w:r>
      <w:r>
        <w:rPr>
          <w:rFonts w:hint="eastAsia" w:ascii="宋体" w:hAnsi="宋体" w:eastAsia="宋体" w:cs="宋体"/>
          <w:sz w:val="24"/>
          <w:highlight w:val="none"/>
          <w:lang w:val="en-US"/>
        </w:rPr>
        <w:t>规</w:t>
      </w:r>
      <w:r>
        <w:rPr>
          <w:rFonts w:hint="eastAsia" w:ascii="宋体" w:hAnsi="宋体" w:eastAsia="宋体" w:cs="宋体"/>
          <w:sz w:val="24"/>
          <w:highlight w:val="none"/>
        </w:rPr>
        <w:t>定</w:t>
      </w:r>
    </w:p>
    <w:p w14:paraId="1AC8BBD9">
      <w:pPr>
        <w:pStyle w:val="29"/>
        <w:numPr>
          <w:ilvl w:val="0"/>
          <w:numId w:val="60"/>
        </w:numPr>
        <w:tabs>
          <w:tab w:val="left" w:pos="1041"/>
        </w:tabs>
        <w:spacing w:before="7" w:line="300" w:lineRule="exact"/>
        <w:rPr>
          <w:rFonts w:hint="eastAsia" w:ascii="宋体" w:hAnsi="宋体" w:eastAsia="宋体" w:cs="宋体"/>
          <w:sz w:val="24"/>
          <w:highlight w:val="none"/>
        </w:rPr>
      </w:pPr>
      <w:r>
        <w:rPr>
          <w:rFonts w:hint="eastAsia" w:ascii="宋体" w:hAnsi="宋体" w:eastAsia="宋体" w:cs="宋体"/>
          <w:sz w:val="24"/>
          <w:highlight w:val="none"/>
        </w:rPr>
        <w:t>《交通建设项目竣工档案编制办法》（新交办〔2009〕83 号）</w:t>
      </w:r>
    </w:p>
    <w:p w14:paraId="10E4D7B5">
      <w:pPr>
        <w:pStyle w:val="29"/>
        <w:numPr>
          <w:ilvl w:val="0"/>
          <w:numId w:val="60"/>
        </w:numPr>
        <w:tabs>
          <w:tab w:val="left" w:pos="1041"/>
        </w:tabs>
        <w:spacing w:before="64" w:line="300" w:lineRule="exact"/>
        <w:jc w:val="both"/>
        <w:rPr>
          <w:rFonts w:hint="eastAsia" w:ascii="宋体" w:hAnsi="宋体" w:eastAsia="宋体" w:cs="宋体"/>
          <w:sz w:val="24"/>
          <w:highlight w:val="none"/>
        </w:rPr>
      </w:pPr>
      <w:r>
        <w:rPr>
          <w:rFonts w:hint="eastAsia" w:ascii="宋体" w:hAnsi="宋体" w:eastAsia="宋体" w:cs="宋体"/>
          <w:sz w:val="24"/>
          <w:highlight w:val="none"/>
        </w:rPr>
        <w:t>新疆盐渍土地区公路路基路面设计与施工规范（XJT</w:t>
      </w:r>
      <w:r>
        <w:rPr>
          <w:rFonts w:hint="eastAsia" w:ascii="宋体" w:hAnsi="宋体" w:eastAsia="宋体" w:cs="宋体"/>
          <w:spacing w:val="-3"/>
          <w:sz w:val="24"/>
          <w:highlight w:val="none"/>
        </w:rPr>
        <w:t xml:space="preserve"> </w:t>
      </w:r>
      <w:r>
        <w:rPr>
          <w:rFonts w:hint="eastAsia" w:ascii="宋体" w:hAnsi="宋体" w:eastAsia="宋体" w:cs="宋体"/>
          <w:sz w:val="24"/>
          <w:highlight w:val="none"/>
        </w:rPr>
        <w:t>J01-2001）</w:t>
      </w:r>
    </w:p>
    <w:p w14:paraId="55CE87D2">
      <w:pPr>
        <w:pStyle w:val="10"/>
        <w:spacing w:before="124" w:line="300" w:lineRule="exact"/>
        <w:ind w:left="380" w:right="718" w:firstLine="199"/>
        <w:jc w:val="both"/>
        <w:rPr>
          <w:rFonts w:hint="eastAsia" w:ascii="宋体" w:hAnsi="宋体" w:eastAsia="宋体" w:cs="宋体"/>
          <w:highlight w:val="none"/>
        </w:rPr>
      </w:pPr>
      <w:bookmarkStart w:id="87" w:name="注：技术规范包括但不限于上述标准、规范。在投标文件递交截止时间前与本工程相关的标"/>
      <w:bookmarkEnd w:id="87"/>
      <w:r>
        <w:rPr>
          <w:rFonts w:hint="eastAsia" w:ascii="宋体" w:hAnsi="宋体" w:eastAsia="宋体" w:cs="宋体"/>
          <w:spacing w:val="-8"/>
          <w:highlight w:val="none"/>
        </w:rPr>
        <w:t>注：技术规范包括但不限于上述标准、规范。在投标文件递交截止时间前与本</w:t>
      </w:r>
      <w:r>
        <w:rPr>
          <w:rFonts w:hint="eastAsia" w:ascii="宋体" w:hAnsi="宋体" w:eastAsia="宋体" w:cs="宋体"/>
          <w:spacing w:val="-2"/>
          <w:highlight w:val="none"/>
        </w:rPr>
        <w:t>工程相关的标准或规范如果有修改或新颁</w:t>
      </w:r>
      <w:r>
        <w:rPr>
          <w:rFonts w:hint="eastAsia" w:ascii="宋体" w:hAnsi="宋体" w:eastAsia="宋体" w:cs="宋体"/>
          <w:highlight w:val="none"/>
        </w:rPr>
        <w:t>（无论招标文件中是否引用</w:t>
      </w:r>
      <w:r>
        <w:rPr>
          <w:rFonts w:hint="eastAsia" w:ascii="宋体" w:hAnsi="宋体" w:eastAsia="宋体" w:cs="宋体"/>
          <w:spacing w:val="-32"/>
          <w:highlight w:val="none"/>
        </w:rPr>
        <w:t>）</w:t>
      </w:r>
      <w:r>
        <w:rPr>
          <w:rFonts w:hint="eastAsia" w:ascii="宋体" w:hAnsi="宋体" w:eastAsia="宋体" w:cs="宋体"/>
          <w:spacing w:val="-13"/>
          <w:highlight w:val="none"/>
        </w:rPr>
        <w:t>，则按新</w:t>
      </w:r>
      <w:r>
        <w:rPr>
          <w:rFonts w:hint="eastAsia" w:ascii="宋体" w:hAnsi="宋体" w:eastAsia="宋体" w:cs="宋体"/>
          <w:spacing w:val="-9"/>
          <w:highlight w:val="none"/>
        </w:rPr>
        <w:t>标准或规范执行，相关费用视为已包含在相关工程子目的单价或总额价中，不另</w:t>
      </w:r>
      <w:r>
        <w:rPr>
          <w:rFonts w:hint="eastAsia" w:ascii="宋体" w:hAnsi="宋体" w:eastAsia="宋体" w:cs="宋体"/>
          <w:highlight w:val="none"/>
        </w:rPr>
        <w:t>行计量与支付。</w:t>
      </w:r>
    </w:p>
    <w:p w14:paraId="3E96BE31">
      <w:pPr>
        <w:spacing w:line="343" w:lineRule="auto"/>
        <w:jc w:val="both"/>
        <w:rPr>
          <w:rFonts w:hint="eastAsia" w:ascii="宋体" w:hAnsi="宋体" w:eastAsia="宋体" w:cs="宋体"/>
          <w:highlight w:val="none"/>
        </w:rPr>
        <w:sectPr>
          <w:headerReference r:id="rId14" w:type="default"/>
          <w:pgSz w:w="11910" w:h="16840"/>
          <w:pgMar w:top="1440" w:right="1079" w:bottom="1040" w:left="1420" w:header="882" w:footer="845" w:gutter="0"/>
          <w:cols w:space="720" w:num="1"/>
        </w:sectPr>
      </w:pPr>
    </w:p>
    <w:p w14:paraId="7FE2D9A2">
      <w:pPr>
        <w:pStyle w:val="3"/>
        <w:numPr>
          <w:ilvl w:val="0"/>
          <w:numId w:val="61"/>
        </w:numPr>
        <w:tabs>
          <w:tab w:val="left" w:pos="1852"/>
        </w:tabs>
        <w:spacing w:before="183"/>
        <w:rPr>
          <w:rFonts w:hint="eastAsia" w:ascii="宋体" w:hAnsi="宋体" w:eastAsia="宋体" w:cs="宋体"/>
          <w:sz w:val="30"/>
          <w:szCs w:val="30"/>
          <w:highlight w:val="none"/>
        </w:rPr>
      </w:pPr>
      <w:r>
        <w:rPr>
          <w:rFonts w:hint="eastAsia" w:ascii="宋体" w:hAnsi="宋体" w:eastAsia="宋体" w:cs="宋体"/>
          <w:sz w:val="30"/>
          <w:szCs w:val="30"/>
          <w:highlight w:val="none"/>
          <w:lang w:val="en-US"/>
        </w:rPr>
        <w:t xml:space="preserve"> </w:t>
      </w:r>
      <w:r>
        <w:rPr>
          <w:rFonts w:hint="eastAsia" w:ascii="宋体" w:hAnsi="宋体" w:eastAsia="宋体" w:cs="宋体"/>
          <w:sz w:val="30"/>
          <w:szCs w:val="30"/>
          <w:highlight w:val="none"/>
        </w:rPr>
        <w:t>工程量清单计量规则</w:t>
      </w:r>
    </w:p>
    <w:p w14:paraId="40D4E769">
      <w:pPr>
        <w:spacing w:line="347"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一、说明</w:t>
      </w:r>
    </w:p>
    <w:p w14:paraId="2B316643">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1.  一般要求</w:t>
      </w:r>
    </w:p>
    <w:p w14:paraId="0B58C103">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(1)本计量规则各章节是按第五章“工程量清单”的相应章节编号的，因此，各章</w:t>
      </w:r>
    </w:p>
    <w:p w14:paraId="6DC5C949">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节工程子目的工程量计量规则与工程量清单中相对应的工程子目的“子目号”、“子目</w:t>
      </w:r>
    </w:p>
    <w:p w14:paraId="2868315A">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名称”、“单位”一致，“工程量计量”、“工程内容”是相应的工程子目的计量依据。</w:t>
      </w:r>
    </w:p>
    <w:p w14:paraId="63A4412E">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(2)本规则所有工程项目，除个别注明者外，均采用我国法定的计量单位，即</w:t>
      </w:r>
    </w:p>
    <w:p w14:paraId="776BCC1F">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国际单位及国际单位制导出的辅助单位进行计量。</w:t>
      </w:r>
    </w:p>
    <w:p w14:paraId="701DBA0E">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(3)本规则的计量与支付，应与合同条款、工程量清单以及图纸同时阅读，工</w:t>
      </w:r>
    </w:p>
    <w:p w14:paraId="0F175DDE">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程量清单中的支付项目号和本规则的章节编号是一致的。</w:t>
      </w:r>
    </w:p>
    <w:p w14:paraId="742D78D4">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(4)任何工程项目的计量，均应按本规则规定或监理人书面指示进行。</w:t>
      </w:r>
    </w:p>
    <w:p w14:paraId="6F52EC7D">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(5)按合同提供的材料数量和完成的工程数量所采用的测量与计算方法，应符</w:t>
      </w:r>
    </w:p>
    <w:p w14:paraId="6AC96F53">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合本规则规定。所有这些方法，应经监理人批准或指示。承包人应提供一切计量设</w:t>
      </w:r>
    </w:p>
    <w:p w14:paraId="0D9A8E02">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备和条件，并保证其设备精度符合要求。</w:t>
      </w:r>
    </w:p>
    <w:p w14:paraId="4637645C">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(6)除非监理人另有准许，一切计量工作都应在监理人在场情况下，由承包人</w:t>
      </w:r>
    </w:p>
    <w:p w14:paraId="43AF003E">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测量、记录。有承包人签名的计量记录原本，应提交给监理人审查和保存。</w:t>
      </w:r>
    </w:p>
    <w:p w14:paraId="79B8E604">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(7)工程量应由承包人计算，由监理人审核。工程量计算的副本应提交给监理</w:t>
      </w:r>
    </w:p>
    <w:p w14:paraId="6068DC58">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人并由监理人保存。</w:t>
      </w:r>
    </w:p>
    <w:p w14:paraId="007B9C4B">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(8)除合同特殊约定单独计量之外，全部必需的模板、脚手架、装备、机具、</w:t>
      </w:r>
    </w:p>
    <w:p w14:paraId="41FE7F22">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螺栓、垫圈和钢制件等其他材料，应包括在工程量清单中所列的有关支付项目中，均不单独计量。</w:t>
      </w:r>
    </w:p>
    <w:p w14:paraId="1672D9A9">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(9)除监理人另有批准外，凡超过图纸所示的面积或体积，都不予计量与支付。</w:t>
      </w:r>
    </w:p>
    <w:p w14:paraId="36143537">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(10)承包人应严格标准计量基础工作和材料采购检验工作。沥青混凝土、沥青</w:t>
      </w:r>
    </w:p>
    <w:p w14:paraId="5564D84E">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碎石、水泥混凝土、高强度等级水泥砂浆的施工现场必须使用电子计量设备称重。</w:t>
      </w:r>
    </w:p>
    <w:p w14:paraId="33818390">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因不符合计量规定引发质量问题，所发生的费用由承包人承担。</w:t>
      </w:r>
    </w:p>
    <w:p w14:paraId="07CC443B">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2.  质量</w:t>
      </w:r>
    </w:p>
    <w:p w14:paraId="142CBEA0">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(1)凡以质量计量或以质量作为配合比设计的材料，都应在精确与批准的磅秤</w:t>
      </w:r>
    </w:p>
    <w:p w14:paraId="36065470">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上，由称职合格的人员在监理人指定或批准的地点进行称重。</w:t>
      </w:r>
    </w:p>
    <w:p w14:paraId="6A4CF149">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(2)称重计量时应满足以下条件：监理人在场；称重记录；载明包装材料、支撑装置、垫块、捆束物等质量的说明书在称重前提交给监理人作为依据。</w:t>
      </w:r>
    </w:p>
    <w:p w14:paraId="5C916494">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(3)钢筋、钢板或型钢计量时，应按图纸或其他资料标示的尺寸和净长计算。搭接、接头套筒、焊接材料、下脚料和固定、定位架立钢筋等，则不予另行计量。钢筋、钢板或型钢应以千克计量，四舍五入，不计小数。钢筋、钢板或型钢由于理论单位质量与实际单位质量的差异而引起材料质量与数量不相匹配的情况，计量时不予考虑。</w:t>
      </w:r>
    </w:p>
    <w:p w14:paraId="3F129348">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(4)金属材料的质量不得包括施工需要加放或使用的灰浆、楔块、填缝料、垫衬物、油料、接缝料、焊条、涂敷料等质量。</w:t>
      </w:r>
    </w:p>
    <w:p w14:paraId="36ACAEA3">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(5)承运按质量计量的材料的货车，应每天在监理人指定的时间和地点称出空</w:t>
      </w:r>
    </w:p>
    <w:p w14:paraId="7BD66B7B">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车质量，每辆货车还应标示清晰易辨的标记。</w:t>
      </w:r>
    </w:p>
    <w:p w14:paraId="5F876B0E">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(6)对有规定标准的项目，例如钢筋、金属线、钢板、型钢、管材等，均有规定的规格、质量、截面尺寸等指标，这类指标应视为通常的质量或尺寸；除非引用规范中的允许偏差值加以控制，否则可用制造商的允许偏差。</w:t>
      </w:r>
    </w:p>
    <w:p w14:paraId="41D469D3">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3.  面积</w:t>
      </w:r>
    </w:p>
    <w:p w14:paraId="11D3B89A">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除非另有规定，计算面积时，其长、宽应按图纸所示尺寸线或按监理人指示计量。对于面积在1m2以下的固定物(如检查井等)不予扣除。</w:t>
      </w:r>
    </w:p>
    <w:p w14:paraId="5BEE46DF">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4.  结构物</w:t>
      </w:r>
    </w:p>
    <w:p w14:paraId="73B8C0F0">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(1)结构物应按图纸所示净尺寸线，或根据监理人指示修改的尺寸线计量。</w:t>
      </w:r>
    </w:p>
    <w:p w14:paraId="7DBB5CA2">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(2)水泥混凝土的计量应按监理人认可的并已完工工程的净尺寸计算，钢筋的体积不扣除，倒角不超过0.15m×0.15m时不扣除，体积不超过0.03m3的开孔及开口不扣除，面积不超过0.15m×0.15m的填角部分也不增加。</w:t>
      </w:r>
    </w:p>
    <w:p w14:paraId="17745CAE">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(3)所有以米计量的结构物(如管涵等)，除非图纸另有表示，应按平行于该结构</w:t>
      </w:r>
    </w:p>
    <w:p w14:paraId="7CF7F53A">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物位置的基面或基础的中心方向计量。</w:t>
      </w:r>
    </w:p>
    <w:p w14:paraId="74BFC8D8">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5.  土方</w:t>
      </w:r>
    </w:p>
    <w:p w14:paraId="5ABD64BE">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(1)土方体积可采用平均断面积法计算，但与似棱体公式(prismoidal formula)计算结果比较，如果误差超过±5%时，监理人可指示采用似棱体公式。</w:t>
      </w:r>
    </w:p>
    <w:p w14:paraId="769C8445">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(2)各种不同类别的挖方与填方计量，应以图纸所示界线为限，而且应在批准的横断面图上标明。</w:t>
      </w:r>
    </w:p>
    <w:p w14:paraId="1A2A188B">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(3)用于填方的土方量，应按压实后的纵断面高程和路床面为准来计量。承包人报价时，应考虑在挖方或运输过程中引起的体积差。</w:t>
      </w:r>
    </w:p>
    <w:p w14:paraId="2BC5B56F">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(4)在现场钉桩后56d内，承包人应将设计和进场复测的土方横断面图连同土方的面积与体积计算表一并提交监理人批准。所有横断面图都应标有图题框，其大小由监理人指定。一旦横断面图得到最后批准，承包人应交给监理人原版图及三份复制图。</w:t>
      </w:r>
    </w:p>
    <w:p w14:paraId="5C61B969">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6.  运输车辆体积</w:t>
      </w:r>
    </w:p>
    <w:p w14:paraId="369B4259">
      <w:pPr>
        <w:pStyle w:val="10"/>
        <w:spacing w:before="12" w:line="360" w:lineRule="auto"/>
        <w:rPr>
          <w:rFonts w:hint="eastAsia" w:ascii="宋体" w:hAnsi="宋体" w:eastAsia="宋体" w:cs="宋体"/>
          <w:highlight w:val="none"/>
        </w:rPr>
      </w:pPr>
      <w:r>
        <w:rPr>
          <w:rFonts w:hint="eastAsia" w:ascii="宋体" w:hAnsi="宋体" w:eastAsia="宋体" w:cs="宋体"/>
          <w:highlight w:val="none"/>
        </w:rPr>
        <w:t>(1)用体积计量的材料，应以经监理人批准的车辆装运，并在运到地点进行计量。</w:t>
      </w:r>
    </w:p>
    <w:p w14:paraId="350222FC">
      <w:pPr>
        <w:pStyle w:val="28"/>
        <w:spacing w:line="36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(2)用于体积运输的车辆，其车厢的形状和尺寸应使其容量能够容易而准确地测定并应保证精确度。每辆车都应有明显标记。每车所运材料的体积应于事前由监理人与承包人相互达成书面协议。</w:t>
      </w:r>
    </w:p>
    <w:p w14:paraId="399CE22E">
      <w:pPr>
        <w:pStyle w:val="28"/>
        <w:spacing w:line="36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(3)所有车辆都应装载成水平容积高度，车辆到达送货点时，监理人可以要求将其装载物重新整平，对超过定量运送的材料将不支付。运量达不到定量的车辆，应被拒绝或按监理人确定减少的体积接收。根据监理人的指示，承包人应在货物交付点，随机将一车材料刮平，在刮平后如发现货车运送的材料少于定量时，从前一车起所有运到的材料的计量都按同样比率减为目前的车载量。</w:t>
      </w:r>
    </w:p>
    <w:p w14:paraId="3CA750A6">
      <w:pPr>
        <w:pStyle w:val="28"/>
        <w:spacing w:line="36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7.  质量与体积换算</w:t>
      </w:r>
    </w:p>
    <w:p w14:paraId="161F1886">
      <w:pPr>
        <w:pStyle w:val="28"/>
        <w:spacing w:line="36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(1)如承包人提出要求并得到监理人的书面批准，已规定要用立方米计量的材料可以称重，并将此质量换算为立方米计量。</w:t>
      </w:r>
    </w:p>
    <w:p w14:paraId="18F71230">
      <w:pPr>
        <w:pStyle w:val="28"/>
        <w:spacing w:line="36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(2)将质量计量换算为体积计量的换算系数应由监理人确定，并应在此种计量方法使用之前征得承包人的同意。</w:t>
      </w:r>
    </w:p>
    <w:p w14:paraId="25201583">
      <w:pPr>
        <w:pStyle w:val="28"/>
        <w:spacing w:line="36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8.  沥青和水泥</w:t>
      </w:r>
    </w:p>
    <w:p w14:paraId="6A42E720">
      <w:pPr>
        <w:pStyle w:val="28"/>
        <w:spacing w:line="36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(1)沥青和水泥应以千克为单位计量。</w:t>
      </w:r>
    </w:p>
    <w:p w14:paraId="1CF06D62">
      <w:pPr>
        <w:pStyle w:val="28"/>
        <w:spacing w:line="36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(2)如用货车或其他运输工具装运沥青材料，可以按经过检定的质量或体积计算沥青材料的数量，但要对漏失量或泡沫进行校正。</w:t>
      </w:r>
    </w:p>
    <w:p w14:paraId="521FC4C9">
      <w:pPr>
        <w:pStyle w:val="28"/>
        <w:spacing w:line="36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(3)水泥可以以袋作为计量的依据，但一袋的标准应为50kg。散装水泥应称重计量。</w:t>
      </w:r>
    </w:p>
    <w:p w14:paraId="60A2E000">
      <w:pPr>
        <w:pStyle w:val="28"/>
        <w:spacing w:line="36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9. </w:t>
      </w:r>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rPr>
        <w:t>成套的结构单元</w:t>
      </w:r>
    </w:p>
    <w:p w14:paraId="1DFE4390">
      <w:pPr>
        <w:pStyle w:val="28"/>
        <w:spacing w:line="36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如规定的计量单位是一成套的结构物或结构单元（实际上就是按“总额”或称“一次支付”计的工程子目），该单元应包括了所有必需的设备、配件和附属物及相关作业。</w:t>
      </w:r>
    </w:p>
    <w:p w14:paraId="5B9C1F5B">
      <w:pPr>
        <w:pStyle w:val="28"/>
        <w:spacing w:line="36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10.  标准制品项目</w:t>
      </w:r>
    </w:p>
    <w:p w14:paraId="5C7A4DD0">
      <w:pPr>
        <w:pStyle w:val="28"/>
        <w:spacing w:line="36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(1)如规定采用标准制品(如护栏、钢丝、钢板、轧制型材、管子等)，而这类项目又是以标准规格(单位重、截面尺寸等)标识的，则这种标识可以作为计量的标准。</w:t>
      </w:r>
    </w:p>
    <w:p w14:paraId="1C1B590D">
      <w:pPr>
        <w:pStyle w:val="28"/>
        <w:spacing w:line="36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(2)  除非所采用标准制品的允许误差比规范的允许误差要求更严格，否则，生产厂确立的制造允许误差不予认可。</w:t>
      </w:r>
    </w:p>
    <w:p w14:paraId="02AE181C">
      <w:pPr>
        <w:rPr>
          <w:rFonts w:hint="eastAsia" w:ascii="宋体" w:hAnsi="宋体" w:eastAsia="宋体" w:cs="宋体"/>
          <w:b/>
          <w:bCs/>
          <w:w w:val="95"/>
          <w:sz w:val="28"/>
          <w:szCs w:val="28"/>
          <w:highlight w:val="none"/>
        </w:rPr>
      </w:pPr>
      <w:bookmarkStart w:id="88" w:name="_TOC_250019"/>
      <w:bookmarkEnd w:id="88"/>
      <w:r>
        <w:rPr>
          <w:rFonts w:hint="eastAsia" w:ascii="宋体" w:hAnsi="宋体" w:eastAsia="宋体" w:cs="宋体"/>
          <w:b/>
          <w:bCs/>
          <w:w w:val="95"/>
          <w:sz w:val="28"/>
          <w:szCs w:val="28"/>
          <w:highlight w:val="none"/>
        </w:rPr>
        <w:br w:type="page"/>
      </w:r>
    </w:p>
    <w:p w14:paraId="02B367AD">
      <w:pPr>
        <w:pStyle w:val="9"/>
        <w:ind w:left="31" w:right="50"/>
        <w:rPr>
          <w:rFonts w:hint="eastAsia" w:ascii="宋体" w:hAnsi="宋体" w:eastAsia="宋体" w:cs="宋体"/>
          <w:b/>
          <w:bCs/>
          <w:sz w:val="28"/>
          <w:szCs w:val="28"/>
          <w:highlight w:val="none"/>
        </w:rPr>
      </w:pPr>
      <w:r>
        <w:rPr>
          <w:rFonts w:hint="eastAsia" w:ascii="宋体" w:hAnsi="宋体" w:eastAsia="宋体" w:cs="宋体"/>
          <w:b/>
          <w:bCs/>
          <w:w w:val="95"/>
          <w:sz w:val="28"/>
          <w:szCs w:val="28"/>
          <w:highlight w:val="none"/>
        </w:rPr>
        <w:t>二、计量规则</w:t>
      </w:r>
    </w:p>
    <w:p w14:paraId="36B271B5">
      <w:pPr>
        <w:pStyle w:val="10"/>
        <w:spacing w:before="6"/>
        <w:rPr>
          <w:rFonts w:hint="eastAsia" w:ascii="宋体" w:hAnsi="宋体" w:eastAsia="宋体" w:cs="宋体"/>
          <w:sz w:val="34"/>
          <w:highlight w:val="none"/>
        </w:rPr>
      </w:pPr>
    </w:p>
    <w:p w14:paraId="3EFF2249">
      <w:pPr>
        <w:tabs>
          <w:tab w:val="left" w:pos="1399"/>
        </w:tabs>
        <w:ind w:right="50"/>
        <w:jc w:val="center"/>
        <w:rPr>
          <w:rFonts w:hint="eastAsia" w:ascii="宋体" w:hAnsi="宋体" w:eastAsia="宋体" w:cs="宋体"/>
          <w:sz w:val="28"/>
          <w:highlight w:val="none"/>
        </w:rPr>
      </w:pPr>
      <w:r>
        <w:rPr>
          <w:rFonts w:hint="eastAsia" w:ascii="宋体" w:hAnsi="宋体" w:eastAsia="宋体" w:cs="宋体"/>
          <w:sz w:val="28"/>
          <w:highlight w:val="none"/>
        </w:rPr>
        <w:t>第</w:t>
      </w:r>
      <w:r>
        <w:rPr>
          <w:rFonts w:hint="eastAsia" w:ascii="宋体" w:hAnsi="宋体" w:eastAsia="宋体" w:cs="宋体"/>
          <w:spacing w:val="-71"/>
          <w:sz w:val="28"/>
          <w:highlight w:val="none"/>
        </w:rPr>
        <w:t xml:space="preserve"> </w:t>
      </w:r>
      <w:r>
        <w:rPr>
          <w:rFonts w:hint="eastAsia" w:ascii="宋体" w:hAnsi="宋体" w:eastAsia="宋体" w:cs="宋体"/>
          <w:sz w:val="28"/>
          <w:highlight w:val="none"/>
        </w:rPr>
        <w:t>100</w:t>
      </w:r>
      <w:r>
        <w:rPr>
          <w:rFonts w:hint="eastAsia" w:ascii="宋体" w:hAnsi="宋体" w:eastAsia="宋体" w:cs="宋体"/>
          <w:spacing w:val="-1"/>
          <w:sz w:val="28"/>
          <w:highlight w:val="none"/>
        </w:rPr>
        <w:t xml:space="preserve"> </w:t>
      </w:r>
      <w:r>
        <w:rPr>
          <w:rFonts w:hint="eastAsia" w:ascii="宋体" w:hAnsi="宋体" w:eastAsia="宋体" w:cs="宋体"/>
          <w:sz w:val="28"/>
          <w:highlight w:val="none"/>
        </w:rPr>
        <w:t>章</w:t>
      </w:r>
      <w:r>
        <w:rPr>
          <w:rFonts w:hint="eastAsia" w:ascii="宋体" w:hAnsi="宋体" w:eastAsia="宋体" w:cs="宋体"/>
          <w:sz w:val="28"/>
          <w:highlight w:val="none"/>
        </w:rPr>
        <w:tab/>
      </w:r>
      <w:r>
        <w:rPr>
          <w:rFonts w:hint="eastAsia" w:ascii="宋体" w:hAnsi="宋体" w:eastAsia="宋体" w:cs="宋体"/>
          <w:spacing w:val="-1"/>
          <w:sz w:val="28"/>
          <w:highlight w:val="none"/>
        </w:rPr>
        <w:t>总</w:t>
      </w:r>
      <w:r>
        <w:rPr>
          <w:rFonts w:hint="eastAsia" w:ascii="宋体" w:hAnsi="宋体" w:eastAsia="宋体" w:cs="宋体"/>
          <w:sz w:val="28"/>
          <w:highlight w:val="none"/>
        </w:rPr>
        <w:t>则</w:t>
      </w:r>
    </w:p>
    <w:p w14:paraId="37C307D1">
      <w:pPr>
        <w:pStyle w:val="10"/>
        <w:rPr>
          <w:rFonts w:hint="eastAsia" w:ascii="宋体" w:hAnsi="宋体" w:eastAsia="宋体" w:cs="宋体"/>
          <w:sz w:val="18"/>
          <w:highlight w:val="none"/>
        </w:rPr>
      </w:pPr>
    </w:p>
    <w:tbl>
      <w:tblPr>
        <w:tblStyle w:val="24"/>
        <w:tblW w:w="9015" w:type="dxa"/>
        <w:tblInd w:w="0" w:type="dxa"/>
        <w:tblLayout w:type="fixed"/>
        <w:tblCellMar>
          <w:top w:w="0" w:type="dxa"/>
          <w:left w:w="108" w:type="dxa"/>
          <w:bottom w:w="0" w:type="dxa"/>
          <w:right w:w="108" w:type="dxa"/>
        </w:tblCellMar>
      </w:tblPr>
      <w:tblGrid>
        <w:gridCol w:w="1161"/>
        <w:gridCol w:w="1769"/>
        <w:gridCol w:w="934"/>
        <w:gridCol w:w="2091"/>
        <w:gridCol w:w="3060"/>
      </w:tblGrid>
      <w:tr w14:paraId="79FF6B16">
        <w:tblPrEx>
          <w:tblCellMar>
            <w:top w:w="0" w:type="dxa"/>
            <w:left w:w="108" w:type="dxa"/>
            <w:bottom w:w="0" w:type="dxa"/>
            <w:right w:w="108" w:type="dxa"/>
          </w:tblCellMar>
        </w:tblPrEx>
        <w:trPr>
          <w:trHeight w:val="59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82C71C8">
            <w:pPr>
              <w:spacing w:line="399" w:lineRule="exact"/>
              <w:ind w:left="265"/>
              <w:rPr>
                <w:rFonts w:hint="eastAsia" w:ascii="宋体" w:hAnsi="宋体" w:eastAsia="宋体" w:cs="宋体"/>
                <w:highlight w:val="none"/>
              </w:rPr>
            </w:pPr>
            <w:r>
              <w:rPr>
                <w:rFonts w:hint="eastAsia" w:ascii="宋体" w:hAnsi="宋体" w:eastAsia="宋体" w:cs="宋体"/>
                <w:spacing w:val="-1"/>
                <w:sz w:val="20"/>
                <w:highlight w:val="none"/>
              </w:rPr>
              <w:t>子目号</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A6EBA49">
            <w:pPr>
              <w:spacing w:line="399" w:lineRule="exact"/>
              <w:ind w:left="464"/>
              <w:rPr>
                <w:rFonts w:hint="eastAsia" w:ascii="宋体" w:hAnsi="宋体" w:eastAsia="宋体" w:cs="宋体"/>
                <w:highlight w:val="none"/>
              </w:rPr>
            </w:pPr>
            <w:r>
              <w:rPr>
                <w:rFonts w:hint="eastAsia" w:ascii="宋体" w:hAnsi="宋体" w:eastAsia="宋体" w:cs="宋体"/>
                <w:spacing w:val="-1"/>
                <w:sz w:val="20"/>
                <w:highlight w:val="none"/>
              </w:rPr>
              <w:t>子目名称</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F9E28A4">
            <w:pPr>
              <w:spacing w:line="399" w:lineRule="exact"/>
              <w:ind w:left="330"/>
              <w:rPr>
                <w:rFonts w:hint="eastAsia" w:ascii="宋体" w:hAnsi="宋体" w:eastAsia="宋体" w:cs="宋体"/>
                <w:highlight w:val="none"/>
              </w:rPr>
            </w:pPr>
            <w:r>
              <w:rPr>
                <w:rFonts w:hint="eastAsia" w:ascii="宋体" w:hAnsi="宋体" w:eastAsia="宋体" w:cs="宋体"/>
                <w:spacing w:val="-1"/>
                <w:sz w:val="20"/>
                <w:highlight w:val="none"/>
              </w:rPr>
              <w:t>单位</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3CF65A2">
            <w:pPr>
              <w:spacing w:line="399" w:lineRule="exact"/>
              <w:ind w:left="447"/>
              <w:rPr>
                <w:rFonts w:hint="eastAsia" w:ascii="宋体" w:hAnsi="宋体" w:eastAsia="宋体" w:cs="宋体"/>
                <w:highlight w:val="none"/>
              </w:rPr>
            </w:pPr>
            <w:r>
              <w:rPr>
                <w:rFonts w:hint="eastAsia" w:ascii="宋体" w:hAnsi="宋体" w:eastAsia="宋体" w:cs="宋体"/>
                <w:spacing w:val="-1"/>
                <w:sz w:val="20"/>
                <w:highlight w:val="none"/>
              </w:rPr>
              <w:t>工程量计量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7B2FD47">
            <w:pPr>
              <w:spacing w:line="399" w:lineRule="exact"/>
              <w:ind w:left="1109"/>
              <w:rPr>
                <w:rFonts w:hint="eastAsia" w:ascii="宋体" w:hAnsi="宋体" w:eastAsia="宋体" w:cs="宋体"/>
                <w:highlight w:val="none"/>
              </w:rPr>
            </w:pPr>
            <w:r>
              <w:rPr>
                <w:rFonts w:hint="eastAsia" w:ascii="宋体" w:hAnsi="宋体" w:eastAsia="宋体" w:cs="宋体"/>
                <w:spacing w:val="-1"/>
                <w:sz w:val="20"/>
                <w:highlight w:val="none"/>
              </w:rPr>
              <w:t>工程内容</w:t>
            </w:r>
          </w:p>
        </w:tc>
      </w:tr>
      <w:tr w14:paraId="200F4BA5">
        <w:tblPrEx>
          <w:tblCellMar>
            <w:top w:w="0" w:type="dxa"/>
            <w:left w:w="108" w:type="dxa"/>
            <w:bottom w:w="0" w:type="dxa"/>
            <w:right w:w="108" w:type="dxa"/>
          </w:tblCellMar>
        </w:tblPrEx>
        <w:trPr>
          <w:trHeight w:val="109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E0A4FF1">
            <w:pPr>
              <w:spacing w:line="689" w:lineRule="exact"/>
              <w:ind w:left="337"/>
              <w:rPr>
                <w:rFonts w:hint="eastAsia" w:ascii="宋体" w:hAnsi="宋体" w:eastAsia="宋体" w:cs="宋体"/>
                <w:highlight w:val="none"/>
              </w:rPr>
            </w:pPr>
            <w:r>
              <w:rPr>
                <w:rFonts w:hint="eastAsia" w:ascii="宋体" w:hAnsi="宋体" w:eastAsia="宋体" w:cs="宋体"/>
                <w:spacing w:val="-1"/>
                <w:sz w:val="20"/>
                <w:highlight w:val="none"/>
              </w:rPr>
              <w:t>102-1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02FFE1C">
            <w:pPr>
              <w:spacing w:line="654" w:lineRule="exact"/>
              <w:ind w:left="282"/>
              <w:rPr>
                <w:rFonts w:hint="eastAsia" w:ascii="宋体" w:hAnsi="宋体" w:eastAsia="宋体" w:cs="宋体"/>
                <w:highlight w:val="none"/>
              </w:rPr>
            </w:pPr>
            <w:r>
              <w:rPr>
                <w:rFonts w:hint="eastAsia" w:ascii="宋体" w:hAnsi="宋体" w:eastAsia="宋体" w:cs="宋体"/>
                <w:spacing w:val="-1"/>
                <w:sz w:val="20"/>
                <w:highlight w:val="none"/>
              </w:rPr>
              <w:t>竣工文件</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1F8EC86">
            <w:pPr>
              <w:spacing w:line="654" w:lineRule="exact"/>
              <w:ind w:left="330"/>
              <w:rPr>
                <w:rFonts w:hint="eastAsia" w:ascii="宋体" w:hAnsi="宋体" w:eastAsia="宋体" w:cs="宋体"/>
                <w:highlight w:val="none"/>
              </w:rPr>
            </w:pPr>
            <w:r>
              <w:rPr>
                <w:rFonts w:hint="eastAsia" w:ascii="宋体" w:hAnsi="宋体" w:eastAsia="宋体" w:cs="宋体"/>
                <w:spacing w:val="-1"/>
                <w:sz w:val="20"/>
                <w:highlight w:val="none"/>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144E102">
            <w:pPr>
              <w:spacing w:line="517" w:lineRule="exact"/>
              <w:ind w:left="282"/>
              <w:rPr>
                <w:rFonts w:hint="eastAsia" w:ascii="宋体" w:hAnsi="宋体" w:eastAsia="宋体" w:cs="宋体"/>
                <w:highlight w:val="none"/>
              </w:rPr>
            </w:pPr>
            <w:r>
              <w:rPr>
                <w:rFonts w:hint="eastAsia" w:ascii="宋体" w:hAnsi="宋体" w:eastAsia="宋体" w:cs="宋体"/>
                <w:spacing w:val="-1"/>
                <w:sz w:val="20"/>
                <w:highlight w:val="none"/>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84C7827">
            <w:pPr>
              <w:spacing w:line="246" w:lineRule="exact"/>
              <w:ind w:left="281"/>
              <w:rPr>
                <w:rFonts w:hint="eastAsia" w:ascii="宋体" w:hAnsi="宋体" w:eastAsia="宋体" w:cs="宋体"/>
                <w:highlight w:val="none"/>
              </w:rPr>
            </w:pPr>
            <w:r>
              <w:rPr>
                <w:rFonts w:hint="eastAsia" w:ascii="宋体" w:hAnsi="宋体" w:eastAsia="宋体" w:cs="宋体"/>
                <w:spacing w:val="-1"/>
                <w:sz w:val="20"/>
                <w:highlight w:val="none"/>
              </w:rPr>
              <w:t>按《公路工程竣（交）工验收</w:t>
            </w:r>
          </w:p>
          <w:p w14:paraId="72506627">
            <w:pPr>
              <w:spacing w:line="306" w:lineRule="exact"/>
              <w:ind w:left="108"/>
              <w:rPr>
                <w:rFonts w:hint="eastAsia" w:ascii="宋体" w:hAnsi="宋体" w:eastAsia="宋体" w:cs="宋体"/>
                <w:highlight w:val="none"/>
              </w:rPr>
            </w:pPr>
            <w:r>
              <w:rPr>
                <w:rFonts w:hint="eastAsia" w:ascii="宋体" w:hAnsi="宋体" w:eastAsia="宋体" w:cs="宋体"/>
                <w:spacing w:val="-1"/>
                <w:position w:val="1"/>
                <w:sz w:val="20"/>
                <w:highlight w:val="none"/>
              </w:rPr>
              <w:t>办法》、《公路工程竣</w:t>
            </w:r>
            <w:r>
              <w:rPr>
                <w:rFonts w:hint="eastAsia" w:ascii="宋体" w:hAnsi="宋体" w:eastAsia="宋体" w:cs="宋体"/>
                <w:spacing w:val="-1"/>
                <w:sz w:val="20"/>
                <w:highlight w:val="none"/>
              </w:rPr>
              <w:t>(</w:t>
            </w:r>
            <w:r>
              <w:rPr>
                <w:rFonts w:hint="eastAsia" w:ascii="宋体" w:hAnsi="宋体" w:eastAsia="宋体" w:cs="宋体"/>
                <w:spacing w:val="-1"/>
                <w:position w:val="1"/>
                <w:sz w:val="20"/>
                <w:highlight w:val="none"/>
              </w:rPr>
              <w:t>交</w:t>
            </w:r>
            <w:r>
              <w:rPr>
                <w:rFonts w:hint="eastAsia" w:ascii="宋体" w:hAnsi="宋体" w:eastAsia="宋体" w:cs="宋体"/>
                <w:spacing w:val="-1"/>
                <w:sz w:val="20"/>
                <w:highlight w:val="none"/>
              </w:rPr>
              <w:t>)</w:t>
            </w:r>
            <w:r>
              <w:rPr>
                <w:rFonts w:hint="eastAsia" w:ascii="宋体" w:hAnsi="宋体" w:eastAsia="宋体" w:cs="宋体"/>
                <w:spacing w:val="-1"/>
                <w:position w:val="1"/>
                <w:sz w:val="20"/>
                <w:highlight w:val="none"/>
              </w:rPr>
              <w:t>工验</w:t>
            </w:r>
          </w:p>
          <w:p w14:paraId="445DA600">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收办法实施细则》及合同条款规</w:t>
            </w:r>
          </w:p>
          <w:p w14:paraId="47249009">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定进行编制</w:t>
            </w:r>
          </w:p>
        </w:tc>
      </w:tr>
      <w:tr w14:paraId="04375D88">
        <w:tblPrEx>
          <w:tblCellMar>
            <w:top w:w="0" w:type="dxa"/>
            <w:left w:w="108" w:type="dxa"/>
            <w:bottom w:w="0" w:type="dxa"/>
            <w:right w:w="108" w:type="dxa"/>
          </w:tblCellMar>
        </w:tblPrEx>
        <w:trPr>
          <w:trHeight w:val="1100"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04F5ABE">
            <w:pPr>
              <w:spacing w:line="689" w:lineRule="exact"/>
              <w:ind w:left="337"/>
              <w:rPr>
                <w:rFonts w:hint="eastAsia" w:ascii="宋体" w:hAnsi="宋体" w:eastAsia="宋体" w:cs="宋体"/>
                <w:highlight w:val="none"/>
              </w:rPr>
            </w:pPr>
            <w:r>
              <w:rPr>
                <w:rFonts w:hint="eastAsia" w:ascii="宋体" w:hAnsi="宋体" w:eastAsia="宋体" w:cs="宋体"/>
                <w:spacing w:val="-1"/>
                <w:sz w:val="20"/>
                <w:highlight w:val="none"/>
              </w:rPr>
              <w:t>102-2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CCD202D">
            <w:pPr>
              <w:spacing w:line="654" w:lineRule="exact"/>
              <w:ind w:left="282"/>
              <w:rPr>
                <w:rFonts w:hint="eastAsia" w:ascii="宋体" w:hAnsi="宋体" w:eastAsia="宋体" w:cs="宋体"/>
                <w:highlight w:val="none"/>
              </w:rPr>
            </w:pPr>
            <w:r>
              <w:rPr>
                <w:rFonts w:hint="eastAsia" w:ascii="宋体" w:hAnsi="宋体" w:eastAsia="宋体" w:cs="宋体"/>
                <w:spacing w:val="-1"/>
                <w:sz w:val="20"/>
                <w:highlight w:val="none"/>
              </w:rPr>
              <w:t>施工环保费</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D091D92">
            <w:pPr>
              <w:spacing w:line="654" w:lineRule="exact"/>
              <w:ind w:left="330"/>
              <w:rPr>
                <w:rFonts w:hint="eastAsia" w:ascii="宋体" w:hAnsi="宋体" w:eastAsia="宋体" w:cs="宋体"/>
                <w:highlight w:val="none"/>
              </w:rPr>
            </w:pPr>
            <w:r>
              <w:rPr>
                <w:rFonts w:hint="eastAsia" w:ascii="宋体" w:hAnsi="宋体" w:eastAsia="宋体" w:cs="宋体"/>
                <w:spacing w:val="-1"/>
                <w:sz w:val="20"/>
                <w:highlight w:val="none"/>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4F6D4FB">
            <w:pPr>
              <w:spacing w:line="517" w:lineRule="exact"/>
              <w:ind w:left="282"/>
              <w:rPr>
                <w:rFonts w:hint="eastAsia" w:ascii="宋体" w:hAnsi="宋体" w:eastAsia="宋体" w:cs="宋体"/>
                <w:highlight w:val="none"/>
              </w:rPr>
            </w:pPr>
            <w:r>
              <w:rPr>
                <w:rFonts w:hint="eastAsia" w:ascii="宋体" w:hAnsi="宋体" w:eastAsia="宋体" w:cs="宋体"/>
                <w:spacing w:val="-1"/>
                <w:sz w:val="20"/>
                <w:highlight w:val="none"/>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A26D102">
            <w:pPr>
              <w:spacing w:line="246" w:lineRule="exact"/>
              <w:ind w:left="281"/>
              <w:rPr>
                <w:rFonts w:hint="eastAsia" w:ascii="宋体" w:hAnsi="宋体" w:eastAsia="宋体" w:cs="宋体"/>
                <w:highlight w:val="none"/>
              </w:rPr>
            </w:pPr>
            <w:r>
              <w:rPr>
                <w:rFonts w:hint="eastAsia" w:ascii="宋体" w:hAnsi="宋体" w:eastAsia="宋体" w:cs="宋体"/>
                <w:spacing w:val="-1"/>
                <w:sz w:val="20"/>
                <w:highlight w:val="none"/>
              </w:rPr>
              <w:t>严格遵守国家环境保护部门</w:t>
            </w:r>
          </w:p>
          <w:p w14:paraId="46EAE6AB">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及合同条款的相关规定，落实环</w:t>
            </w:r>
          </w:p>
          <w:p w14:paraId="6405582D">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境保护。包括实施过程中直接的</w:t>
            </w:r>
          </w:p>
          <w:p w14:paraId="389274B7">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或间接的费用</w:t>
            </w:r>
          </w:p>
        </w:tc>
      </w:tr>
      <w:tr w14:paraId="0303AB0C">
        <w:tblPrEx>
          <w:tblCellMar>
            <w:top w:w="0" w:type="dxa"/>
            <w:left w:w="108" w:type="dxa"/>
            <w:bottom w:w="0" w:type="dxa"/>
            <w:right w:w="108" w:type="dxa"/>
          </w:tblCellMar>
        </w:tblPrEx>
        <w:trPr>
          <w:trHeight w:val="218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29A1034">
            <w:pPr>
              <w:spacing w:line="1233" w:lineRule="exact"/>
              <w:ind w:left="337"/>
              <w:rPr>
                <w:rFonts w:hint="eastAsia" w:ascii="宋体" w:hAnsi="宋体" w:eastAsia="宋体" w:cs="宋体"/>
                <w:highlight w:val="none"/>
              </w:rPr>
            </w:pPr>
            <w:r>
              <w:rPr>
                <w:rFonts w:hint="eastAsia" w:ascii="宋体" w:hAnsi="宋体" w:eastAsia="宋体" w:cs="宋体"/>
                <w:spacing w:val="-1"/>
                <w:sz w:val="20"/>
                <w:highlight w:val="none"/>
              </w:rPr>
              <w:t>103-1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FC45936">
            <w:pPr>
              <w:spacing w:line="788" w:lineRule="exact"/>
              <w:ind w:left="282"/>
              <w:rPr>
                <w:rFonts w:hint="eastAsia" w:ascii="宋体" w:hAnsi="宋体" w:eastAsia="宋体" w:cs="宋体"/>
                <w:highlight w:val="none"/>
              </w:rPr>
            </w:pPr>
            <w:r>
              <w:rPr>
                <w:rFonts w:hint="eastAsia" w:ascii="宋体" w:hAnsi="宋体" w:eastAsia="宋体" w:cs="宋体"/>
                <w:spacing w:val="-1"/>
                <w:sz w:val="20"/>
                <w:highlight w:val="none"/>
              </w:rPr>
              <w:t>临时道路修建、</w:t>
            </w:r>
          </w:p>
          <w:p w14:paraId="68EE8BB4">
            <w:pPr>
              <w:spacing w:line="274" w:lineRule="exact"/>
              <w:ind w:left="107"/>
              <w:rPr>
                <w:rFonts w:hint="eastAsia" w:ascii="宋体" w:hAnsi="宋体" w:eastAsia="宋体" w:cs="宋体"/>
                <w:highlight w:val="none"/>
              </w:rPr>
            </w:pPr>
            <w:r>
              <w:rPr>
                <w:rFonts w:hint="eastAsia" w:ascii="宋体" w:hAnsi="宋体" w:eastAsia="宋体" w:cs="宋体"/>
                <w:spacing w:val="-1"/>
                <w:sz w:val="20"/>
                <w:highlight w:val="none"/>
              </w:rPr>
              <w:t>养护与拆除（包</w:t>
            </w:r>
          </w:p>
          <w:p w14:paraId="7B8AA914">
            <w:pPr>
              <w:spacing w:line="271" w:lineRule="exact"/>
              <w:ind w:left="107"/>
              <w:rPr>
                <w:rFonts w:hint="eastAsia" w:ascii="宋体" w:hAnsi="宋体" w:eastAsia="宋体" w:cs="宋体"/>
                <w:highlight w:val="none"/>
              </w:rPr>
            </w:pPr>
            <w:r>
              <w:rPr>
                <w:rFonts w:hint="eastAsia" w:ascii="宋体" w:hAnsi="宋体" w:eastAsia="宋体" w:cs="宋体"/>
                <w:spacing w:val="-1"/>
                <w:sz w:val="20"/>
                <w:highlight w:val="none"/>
              </w:rPr>
              <w:t>括原道路的养</w:t>
            </w:r>
          </w:p>
          <w:p w14:paraId="695D13FA">
            <w:pPr>
              <w:spacing w:line="274" w:lineRule="exact"/>
              <w:ind w:left="107"/>
              <w:rPr>
                <w:rFonts w:hint="eastAsia" w:ascii="宋体" w:hAnsi="宋体" w:eastAsia="宋体" w:cs="宋体"/>
                <w:highlight w:val="none"/>
              </w:rPr>
            </w:pPr>
            <w:r>
              <w:rPr>
                <w:rFonts w:hint="eastAsia" w:ascii="宋体" w:hAnsi="宋体" w:eastAsia="宋体" w:cs="宋体"/>
                <w:spacing w:val="-1"/>
                <w:sz w:val="20"/>
                <w:highlight w:val="none"/>
              </w:rPr>
              <w:t>护）</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DB017D4">
            <w:pPr>
              <w:spacing w:line="1196" w:lineRule="exact"/>
              <w:ind w:left="330"/>
              <w:rPr>
                <w:rFonts w:hint="eastAsia" w:ascii="宋体" w:hAnsi="宋体" w:eastAsia="宋体" w:cs="宋体"/>
                <w:highlight w:val="none"/>
              </w:rPr>
            </w:pPr>
            <w:r>
              <w:rPr>
                <w:rFonts w:hint="eastAsia" w:ascii="宋体" w:hAnsi="宋体" w:eastAsia="宋体" w:cs="宋体"/>
                <w:spacing w:val="-1"/>
                <w:sz w:val="20"/>
                <w:highlight w:val="none"/>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1941DE4">
            <w:pPr>
              <w:spacing w:line="1061" w:lineRule="exact"/>
              <w:ind w:left="282"/>
              <w:rPr>
                <w:rFonts w:hint="eastAsia" w:ascii="宋体" w:hAnsi="宋体" w:eastAsia="宋体" w:cs="宋体"/>
                <w:highlight w:val="none"/>
              </w:rPr>
            </w:pPr>
            <w:r>
              <w:rPr>
                <w:rFonts w:hint="eastAsia" w:ascii="宋体" w:hAnsi="宋体" w:eastAsia="宋体" w:cs="宋体"/>
                <w:spacing w:val="-1"/>
                <w:sz w:val="20"/>
                <w:highlight w:val="none"/>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D853F43">
            <w:pPr>
              <w:spacing w:line="245" w:lineRule="exact"/>
              <w:ind w:left="281"/>
              <w:rPr>
                <w:rFonts w:hint="eastAsia" w:ascii="宋体" w:hAnsi="宋体" w:eastAsia="宋体" w:cs="宋体"/>
                <w:highlight w:val="none"/>
              </w:rPr>
            </w:pPr>
            <w:r>
              <w:rPr>
                <w:rFonts w:hint="eastAsia" w:ascii="宋体" w:hAnsi="宋体" w:eastAsia="宋体" w:cs="宋体"/>
                <w:spacing w:val="-1"/>
                <w:sz w:val="20"/>
                <w:highlight w:val="none"/>
              </w:rPr>
              <w:t>承包人根据要求和需要修建</w:t>
            </w:r>
          </w:p>
          <w:p w14:paraId="143D8406">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的社会交通便道和施工现场的</w:t>
            </w:r>
          </w:p>
          <w:p w14:paraId="34C493F0">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便道、便桥（涵），并设置必要</w:t>
            </w:r>
          </w:p>
          <w:p w14:paraId="6A070515">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的交通标志，便道应加强养护、</w:t>
            </w:r>
          </w:p>
          <w:p w14:paraId="67314404">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降低扬尘。施工结束时，原有道</w:t>
            </w:r>
          </w:p>
          <w:p w14:paraId="65053FCD">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路应做一次全面维修保养，临时</w:t>
            </w:r>
          </w:p>
          <w:p w14:paraId="768BF56D">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增加的道路应拆除，并经检验合</w:t>
            </w:r>
          </w:p>
          <w:p w14:paraId="1152F362">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格</w:t>
            </w:r>
          </w:p>
        </w:tc>
      </w:tr>
      <w:tr w14:paraId="18647F52">
        <w:tblPrEx>
          <w:tblCellMar>
            <w:top w:w="0" w:type="dxa"/>
            <w:left w:w="108" w:type="dxa"/>
            <w:bottom w:w="0" w:type="dxa"/>
            <w:right w:w="108" w:type="dxa"/>
          </w:tblCellMar>
        </w:tblPrEx>
        <w:trPr>
          <w:trHeight w:val="463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4F53AC1">
            <w:pPr>
              <w:spacing w:line="2457" w:lineRule="exact"/>
              <w:ind w:left="337"/>
              <w:rPr>
                <w:rFonts w:hint="eastAsia" w:ascii="宋体" w:hAnsi="宋体" w:eastAsia="宋体" w:cs="宋体"/>
                <w:highlight w:val="none"/>
              </w:rPr>
            </w:pPr>
            <w:r>
              <w:rPr>
                <w:rFonts w:hint="eastAsia" w:ascii="宋体" w:hAnsi="宋体" w:eastAsia="宋体" w:cs="宋体"/>
                <w:spacing w:val="-1"/>
                <w:sz w:val="20"/>
                <w:highlight w:val="none"/>
              </w:rPr>
              <w:t>103-2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454B61D">
            <w:pPr>
              <w:spacing w:line="2422" w:lineRule="exact"/>
              <w:ind w:left="282"/>
              <w:rPr>
                <w:rFonts w:hint="eastAsia" w:ascii="宋体" w:hAnsi="宋体" w:eastAsia="宋体" w:cs="宋体"/>
                <w:highlight w:val="none"/>
              </w:rPr>
            </w:pPr>
            <w:r>
              <w:rPr>
                <w:rFonts w:hint="eastAsia" w:ascii="宋体" w:hAnsi="宋体" w:eastAsia="宋体" w:cs="宋体"/>
                <w:spacing w:val="-1"/>
                <w:sz w:val="20"/>
                <w:highlight w:val="none"/>
              </w:rPr>
              <w:t>临时工程用地</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B0A8F0C">
            <w:pPr>
              <w:spacing w:line="2422" w:lineRule="exact"/>
              <w:ind w:left="330"/>
              <w:rPr>
                <w:rFonts w:hint="eastAsia" w:ascii="宋体" w:hAnsi="宋体" w:eastAsia="宋体" w:cs="宋体"/>
                <w:highlight w:val="none"/>
              </w:rPr>
            </w:pPr>
            <w:r>
              <w:rPr>
                <w:rFonts w:hint="eastAsia" w:ascii="宋体" w:hAnsi="宋体" w:eastAsia="宋体" w:cs="宋体"/>
                <w:spacing w:val="-1"/>
                <w:sz w:val="20"/>
                <w:highlight w:val="none"/>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D684565">
            <w:pPr>
              <w:spacing w:line="2285" w:lineRule="exact"/>
              <w:ind w:left="282"/>
              <w:rPr>
                <w:rFonts w:hint="eastAsia" w:ascii="宋体" w:hAnsi="宋体" w:eastAsia="宋体" w:cs="宋体"/>
                <w:highlight w:val="none"/>
              </w:rPr>
            </w:pPr>
            <w:r>
              <w:rPr>
                <w:rFonts w:hint="eastAsia" w:ascii="宋体" w:hAnsi="宋体" w:eastAsia="宋体" w:cs="宋体"/>
                <w:spacing w:val="-1"/>
                <w:sz w:val="20"/>
                <w:highlight w:val="none"/>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932D498">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临时占地包含承包人生产、</w:t>
            </w:r>
          </w:p>
          <w:p w14:paraId="70BBA6DD">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生活用地，施工中的取、弃土场</w:t>
            </w:r>
          </w:p>
          <w:p w14:paraId="6AFDEE1F">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及料场用地，临时工程及附属工</w:t>
            </w:r>
          </w:p>
          <w:p w14:paraId="76D4A786">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作临时用地等。</w:t>
            </w:r>
          </w:p>
          <w:p w14:paraId="719A4509">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临时占地由承包人向当地</w:t>
            </w:r>
          </w:p>
          <w:p w14:paraId="329174B3">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政府土地管理部门申请，并办理</w:t>
            </w:r>
          </w:p>
          <w:p w14:paraId="1E27EC4A">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租用手续，承包人按有关规定直</w:t>
            </w:r>
          </w:p>
          <w:p w14:paraId="0144A444">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接支付其费用，发包人对此将予</w:t>
            </w:r>
          </w:p>
          <w:p w14:paraId="281F2D79">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以协调。</w:t>
            </w:r>
          </w:p>
          <w:p w14:paraId="5E5A5908">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临时占地退还前，承包人应</w:t>
            </w:r>
          </w:p>
          <w:p w14:paraId="38378618">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自费恢复到临时占地使用前的</w:t>
            </w:r>
          </w:p>
          <w:p w14:paraId="5C819A54">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状态。如因承包人撤离后未按要</w:t>
            </w:r>
          </w:p>
          <w:p w14:paraId="1C54C8F9">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求对临时占地进行恢复或虽进</w:t>
            </w:r>
          </w:p>
          <w:p w14:paraId="7AF8A231">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行了恢复但未达到使用标准的，</w:t>
            </w:r>
          </w:p>
          <w:p w14:paraId="3B1A0780">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将由发包人委托第三方对其恢</w:t>
            </w:r>
          </w:p>
          <w:p w14:paraId="684AAB7C">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复，所发生的费用将从应付给承</w:t>
            </w:r>
          </w:p>
          <w:p w14:paraId="7A7F3157">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包人的任何款项内扣除。</w:t>
            </w:r>
          </w:p>
        </w:tc>
      </w:tr>
      <w:tr w14:paraId="7E2CAB8D">
        <w:tblPrEx>
          <w:tblCellMar>
            <w:top w:w="0" w:type="dxa"/>
            <w:left w:w="108" w:type="dxa"/>
            <w:bottom w:w="0" w:type="dxa"/>
            <w:right w:w="108" w:type="dxa"/>
          </w:tblCellMar>
        </w:tblPrEx>
        <w:trPr>
          <w:trHeight w:val="218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DDE1A36">
            <w:pPr>
              <w:spacing w:line="1233" w:lineRule="exact"/>
              <w:ind w:left="337"/>
              <w:rPr>
                <w:rFonts w:hint="eastAsia" w:ascii="宋体" w:hAnsi="宋体" w:eastAsia="宋体" w:cs="宋体"/>
                <w:highlight w:val="none"/>
              </w:rPr>
            </w:pPr>
            <w:r>
              <w:rPr>
                <w:rFonts w:hint="eastAsia" w:ascii="宋体" w:hAnsi="宋体" w:eastAsia="宋体" w:cs="宋体"/>
                <w:spacing w:val="-1"/>
                <w:sz w:val="20"/>
                <w:highlight w:val="none"/>
              </w:rPr>
              <w:t>103-3</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7634671">
            <w:pPr>
              <w:spacing w:line="925" w:lineRule="exact"/>
              <w:ind w:left="282"/>
              <w:rPr>
                <w:rFonts w:hint="eastAsia" w:ascii="宋体" w:hAnsi="宋体" w:eastAsia="宋体" w:cs="宋体"/>
                <w:highlight w:val="none"/>
              </w:rPr>
            </w:pPr>
            <w:r>
              <w:rPr>
                <w:rFonts w:hint="eastAsia" w:ascii="宋体" w:hAnsi="宋体" w:eastAsia="宋体" w:cs="宋体"/>
                <w:spacing w:val="-1"/>
                <w:sz w:val="20"/>
                <w:highlight w:val="none"/>
              </w:rPr>
              <w:t>临时供电设施</w:t>
            </w:r>
          </w:p>
          <w:p w14:paraId="42A9B754">
            <w:pPr>
              <w:spacing w:line="274" w:lineRule="exact"/>
              <w:ind w:left="107"/>
              <w:rPr>
                <w:rFonts w:hint="eastAsia" w:ascii="宋体" w:hAnsi="宋体" w:eastAsia="宋体" w:cs="宋体"/>
                <w:highlight w:val="none"/>
              </w:rPr>
            </w:pPr>
            <w:r>
              <w:rPr>
                <w:rFonts w:hint="eastAsia" w:ascii="宋体" w:hAnsi="宋体" w:eastAsia="宋体" w:cs="宋体"/>
                <w:spacing w:val="-1"/>
                <w:sz w:val="20"/>
                <w:highlight w:val="none"/>
              </w:rPr>
              <w:t>架设、维护与拆</w:t>
            </w:r>
          </w:p>
          <w:p w14:paraId="0937B505">
            <w:pPr>
              <w:spacing w:line="271" w:lineRule="exact"/>
              <w:ind w:left="107"/>
              <w:rPr>
                <w:rFonts w:hint="eastAsia" w:ascii="宋体" w:hAnsi="宋体" w:eastAsia="宋体" w:cs="宋体"/>
                <w:highlight w:val="none"/>
              </w:rPr>
            </w:pPr>
            <w:r>
              <w:rPr>
                <w:rFonts w:hint="eastAsia" w:ascii="宋体" w:hAnsi="宋体" w:eastAsia="宋体" w:cs="宋体"/>
                <w:spacing w:val="-1"/>
                <w:sz w:val="20"/>
                <w:highlight w:val="none"/>
              </w:rPr>
              <w:t>除</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13197F7">
            <w:pPr>
              <w:spacing w:line="1198" w:lineRule="exact"/>
              <w:ind w:left="330"/>
              <w:rPr>
                <w:rFonts w:hint="eastAsia" w:ascii="宋体" w:hAnsi="宋体" w:eastAsia="宋体" w:cs="宋体"/>
                <w:highlight w:val="none"/>
              </w:rPr>
            </w:pPr>
            <w:r>
              <w:rPr>
                <w:rFonts w:hint="eastAsia" w:ascii="宋体" w:hAnsi="宋体" w:eastAsia="宋体" w:cs="宋体"/>
                <w:spacing w:val="-1"/>
                <w:sz w:val="20"/>
                <w:highlight w:val="none"/>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0BB4204">
            <w:pPr>
              <w:spacing w:line="1061" w:lineRule="exact"/>
              <w:ind w:left="282"/>
              <w:rPr>
                <w:rFonts w:hint="eastAsia" w:ascii="宋体" w:hAnsi="宋体" w:eastAsia="宋体" w:cs="宋体"/>
                <w:highlight w:val="none"/>
              </w:rPr>
            </w:pPr>
            <w:r>
              <w:rPr>
                <w:rFonts w:hint="eastAsia" w:ascii="宋体" w:hAnsi="宋体" w:eastAsia="宋体" w:cs="宋体"/>
                <w:spacing w:val="-1"/>
                <w:sz w:val="20"/>
                <w:highlight w:val="none"/>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CB40F3F">
            <w:pPr>
              <w:spacing w:line="245" w:lineRule="exact"/>
              <w:ind w:left="281"/>
              <w:rPr>
                <w:rFonts w:hint="eastAsia" w:ascii="宋体" w:hAnsi="宋体" w:eastAsia="宋体" w:cs="宋体"/>
                <w:highlight w:val="none"/>
              </w:rPr>
            </w:pPr>
            <w:r>
              <w:rPr>
                <w:rFonts w:hint="eastAsia" w:ascii="宋体" w:hAnsi="宋体" w:eastAsia="宋体" w:cs="宋体"/>
                <w:spacing w:val="-1"/>
                <w:sz w:val="20"/>
                <w:highlight w:val="none"/>
              </w:rPr>
              <w:t>承包人应当在发包人的协助</w:t>
            </w:r>
          </w:p>
          <w:p w14:paraId="61D19DCE">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下，与当地电力部门联系，建立</w:t>
            </w:r>
          </w:p>
          <w:p w14:paraId="642607F1">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临时电力系统，并配备发电设备</w:t>
            </w:r>
          </w:p>
          <w:p w14:paraId="4D83374E">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作为备用电源，并承担安装、操</w:t>
            </w:r>
          </w:p>
          <w:p w14:paraId="69BCC986">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作、维修、燃料等相关工作及费</w:t>
            </w:r>
          </w:p>
          <w:p w14:paraId="44D25ECD">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用。工程交工后，承包人应负责</w:t>
            </w:r>
          </w:p>
          <w:p w14:paraId="564E9C9C">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拆除所安装设备及系统，恢复到</w:t>
            </w:r>
          </w:p>
          <w:p w14:paraId="78D2FEC0">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工程实施前的状态。</w:t>
            </w:r>
          </w:p>
        </w:tc>
      </w:tr>
      <w:tr w14:paraId="3EBF0100">
        <w:tblPrEx>
          <w:tblCellMar>
            <w:top w:w="0" w:type="dxa"/>
            <w:left w:w="108" w:type="dxa"/>
            <w:bottom w:w="0" w:type="dxa"/>
            <w:right w:w="108" w:type="dxa"/>
          </w:tblCellMar>
        </w:tblPrEx>
        <w:trPr>
          <w:trHeight w:val="281"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09E22DD">
            <w:pPr>
              <w:spacing w:line="280" w:lineRule="exact"/>
              <w:ind w:left="337"/>
              <w:rPr>
                <w:rFonts w:hint="eastAsia" w:ascii="宋体" w:hAnsi="宋体" w:eastAsia="宋体" w:cs="宋体"/>
                <w:highlight w:val="none"/>
              </w:rPr>
            </w:pPr>
            <w:r>
              <w:rPr>
                <w:rFonts w:hint="eastAsia" w:ascii="宋体" w:hAnsi="宋体" w:eastAsia="宋体" w:cs="宋体"/>
                <w:spacing w:val="-1"/>
                <w:sz w:val="20"/>
                <w:highlight w:val="none"/>
              </w:rPr>
              <w:t>103-4</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97E552D">
            <w:pPr>
              <w:spacing w:line="245" w:lineRule="exact"/>
              <w:ind w:left="282"/>
              <w:rPr>
                <w:rFonts w:hint="eastAsia" w:ascii="宋体" w:hAnsi="宋体" w:eastAsia="宋体" w:cs="宋体"/>
                <w:highlight w:val="none"/>
              </w:rPr>
            </w:pPr>
            <w:r>
              <w:rPr>
                <w:rFonts w:hint="eastAsia" w:ascii="宋体" w:hAnsi="宋体" w:eastAsia="宋体" w:cs="宋体"/>
                <w:spacing w:val="-1"/>
                <w:sz w:val="20"/>
                <w:highlight w:val="none"/>
              </w:rPr>
              <w:t>电信设施的提</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D56654D">
            <w:pPr>
              <w:spacing w:line="245" w:lineRule="exact"/>
              <w:ind w:left="330"/>
              <w:rPr>
                <w:rFonts w:hint="eastAsia" w:ascii="宋体" w:hAnsi="宋体" w:eastAsia="宋体" w:cs="宋体"/>
                <w:highlight w:val="none"/>
              </w:rPr>
            </w:pPr>
            <w:r>
              <w:rPr>
                <w:rFonts w:hint="eastAsia" w:ascii="宋体" w:hAnsi="宋体" w:eastAsia="宋体" w:cs="宋体"/>
                <w:spacing w:val="-1"/>
                <w:sz w:val="20"/>
                <w:highlight w:val="none"/>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082F123">
            <w:pPr>
              <w:spacing w:line="245" w:lineRule="exact"/>
              <w:ind w:left="282"/>
              <w:rPr>
                <w:rFonts w:hint="eastAsia" w:ascii="宋体" w:hAnsi="宋体" w:eastAsia="宋体" w:cs="宋体"/>
                <w:highlight w:val="none"/>
              </w:rPr>
            </w:pPr>
            <w:r>
              <w:rPr>
                <w:rFonts w:hint="eastAsia" w:ascii="宋体" w:hAnsi="宋体" w:eastAsia="宋体" w:cs="宋体"/>
                <w:spacing w:val="-1"/>
                <w:sz w:val="20"/>
                <w:highlight w:val="none"/>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7E50F40">
            <w:pPr>
              <w:spacing w:line="245" w:lineRule="exact"/>
              <w:ind w:left="281"/>
              <w:rPr>
                <w:rFonts w:hint="eastAsia" w:ascii="宋体" w:hAnsi="宋体" w:eastAsia="宋体" w:cs="宋体"/>
                <w:highlight w:val="none"/>
              </w:rPr>
            </w:pPr>
            <w:r>
              <w:rPr>
                <w:rFonts w:hint="eastAsia" w:ascii="宋体" w:hAnsi="宋体" w:eastAsia="宋体" w:cs="宋体"/>
                <w:spacing w:val="-1"/>
                <w:sz w:val="20"/>
                <w:highlight w:val="none"/>
              </w:rPr>
              <w:t>承包人应当在发包人的协助</w:t>
            </w:r>
          </w:p>
        </w:tc>
      </w:tr>
    </w:tbl>
    <w:p w14:paraId="43445034">
      <w:pPr>
        <w:spacing w:line="250" w:lineRule="exact"/>
        <w:jc w:val="center"/>
        <w:rPr>
          <w:rFonts w:hint="eastAsia" w:ascii="宋体" w:hAnsi="宋体" w:eastAsia="宋体" w:cs="宋体"/>
          <w:sz w:val="21"/>
          <w:highlight w:val="none"/>
        </w:rPr>
        <w:sectPr>
          <w:pgSz w:w="11910" w:h="16840"/>
          <w:pgMar w:top="1440" w:right="1080" w:bottom="1040" w:left="1420" w:header="882" w:footer="845" w:gutter="0"/>
          <w:cols w:space="720" w:num="1"/>
        </w:sectPr>
      </w:pPr>
    </w:p>
    <w:p w14:paraId="51205F84">
      <w:pPr>
        <w:pStyle w:val="10"/>
        <w:spacing w:before="10"/>
        <w:rPr>
          <w:rFonts w:hint="eastAsia" w:ascii="宋体" w:hAnsi="宋体" w:eastAsia="宋体" w:cs="宋体"/>
          <w:sz w:val="11"/>
          <w:highlight w:val="none"/>
        </w:rPr>
      </w:pPr>
    </w:p>
    <w:tbl>
      <w:tblPr>
        <w:tblStyle w:val="24"/>
        <w:tblW w:w="9015" w:type="dxa"/>
        <w:tblInd w:w="0" w:type="dxa"/>
        <w:tblLayout w:type="fixed"/>
        <w:tblCellMar>
          <w:top w:w="0" w:type="dxa"/>
          <w:left w:w="108" w:type="dxa"/>
          <w:bottom w:w="0" w:type="dxa"/>
          <w:right w:w="108" w:type="dxa"/>
        </w:tblCellMar>
      </w:tblPr>
      <w:tblGrid>
        <w:gridCol w:w="1161"/>
        <w:gridCol w:w="1769"/>
        <w:gridCol w:w="1080"/>
        <w:gridCol w:w="1945"/>
        <w:gridCol w:w="3060"/>
      </w:tblGrid>
      <w:tr w14:paraId="65BA74BA">
        <w:tblPrEx>
          <w:tblCellMar>
            <w:top w:w="0" w:type="dxa"/>
            <w:left w:w="108" w:type="dxa"/>
            <w:bottom w:w="0" w:type="dxa"/>
            <w:right w:w="108" w:type="dxa"/>
          </w:tblCellMar>
        </w:tblPrEx>
        <w:trPr>
          <w:trHeight w:val="164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8AA268A">
            <w:pPr>
              <w:spacing w:line="245" w:lineRule="exact"/>
              <w:rPr>
                <w:rFonts w:hint="eastAsia" w:ascii="宋体" w:hAnsi="宋体" w:eastAsia="宋体" w:cs="宋体"/>
                <w:highlight w:val="none"/>
              </w:rPr>
            </w:pP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FE94E9F">
            <w:pPr>
              <w:spacing w:line="245" w:lineRule="exact"/>
              <w:ind w:left="107"/>
              <w:rPr>
                <w:rFonts w:hint="eastAsia" w:ascii="宋体" w:hAnsi="宋体" w:eastAsia="宋体" w:cs="宋体"/>
                <w:highlight w:val="none"/>
              </w:rPr>
            </w:pPr>
            <w:r>
              <w:rPr>
                <w:rFonts w:hint="eastAsia" w:ascii="宋体" w:hAnsi="宋体" w:eastAsia="宋体" w:cs="宋体"/>
                <w:spacing w:val="-1"/>
                <w:sz w:val="20"/>
                <w:highlight w:val="none"/>
              </w:rPr>
              <w:t>供、维修与拆除</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A8258E0">
            <w:pPr>
              <w:spacing w:line="245" w:lineRule="exact"/>
              <w:rPr>
                <w:rFonts w:hint="eastAsia" w:ascii="宋体" w:hAnsi="宋体" w:eastAsia="宋体" w:cs="宋体"/>
                <w:highlight w:val="none"/>
              </w:rPr>
            </w:pPr>
          </w:p>
        </w:tc>
        <w:tc>
          <w:tcPr>
            <w:tcW w:w="1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43118EE">
            <w:pPr>
              <w:spacing w:line="245" w:lineRule="exact"/>
              <w:rPr>
                <w:rFonts w:hint="eastAsia" w:ascii="宋体" w:hAnsi="宋体" w:eastAsia="宋体" w:cs="宋体"/>
                <w:highlight w:val="none"/>
              </w:rPr>
            </w:pP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D53BE01">
            <w:pPr>
              <w:spacing w:line="245" w:lineRule="exact"/>
              <w:ind w:left="108"/>
              <w:rPr>
                <w:rFonts w:hint="eastAsia" w:ascii="宋体" w:hAnsi="宋体" w:eastAsia="宋体" w:cs="宋体"/>
                <w:highlight w:val="none"/>
              </w:rPr>
            </w:pPr>
            <w:r>
              <w:rPr>
                <w:rFonts w:hint="eastAsia" w:ascii="宋体" w:hAnsi="宋体" w:eastAsia="宋体" w:cs="宋体"/>
                <w:spacing w:val="-1"/>
                <w:sz w:val="20"/>
                <w:highlight w:val="none"/>
              </w:rPr>
              <w:t>下，与当地电信部门联系，建立</w:t>
            </w:r>
          </w:p>
          <w:p w14:paraId="74477101">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临时电信系统，并承担安装、操</w:t>
            </w:r>
          </w:p>
          <w:p w14:paraId="1C9501D2">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作、维修等相关工作及费用。工</w:t>
            </w:r>
          </w:p>
          <w:p w14:paraId="34A2CC98">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程交工后，承包人应负责拆除所</w:t>
            </w:r>
          </w:p>
          <w:p w14:paraId="1980C5C5">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安装设备及系统，恢复到工程实</w:t>
            </w:r>
          </w:p>
          <w:p w14:paraId="468E1B3F">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施前的状态。</w:t>
            </w:r>
          </w:p>
        </w:tc>
      </w:tr>
      <w:tr w14:paraId="0DA3DA3E">
        <w:tblPrEx>
          <w:tblCellMar>
            <w:top w:w="0" w:type="dxa"/>
            <w:left w:w="108" w:type="dxa"/>
            <w:bottom w:w="0" w:type="dxa"/>
            <w:right w:w="108" w:type="dxa"/>
          </w:tblCellMar>
        </w:tblPrEx>
        <w:trPr>
          <w:trHeight w:val="327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13C4BAB">
            <w:pPr>
              <w:spacing w:line="1777" w:lineRule="exact"/>
              <w:ind w:left="337"/>
              <w:rPr>
                <w:rFonts w:hint="eastAsia" w:ascii="宋体" w:hAnsi="宋体" w:eastAsia="宋体" w:cs="宋体"/>
                <w:highlight w:val="none"/>
              </w:rPr>
            </w:pPr>
            <w:r>
              <w:rPr>
                <w:rFonts w:hint="eastAsia" w:ascii="宋体" w:hAnsi="宋体" w:eastAsia="宋体" w:cs="宋体"/>
                <w:spacing w:val="-1"/>
                <w:sz w:val="20"/>
                <w:highlight w:val="none"/>
              </w:rPr>
              <w:t>103-5</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DBDBFE5">
            <w:pPr>
              <w:spacing w:line="480" w:lineRule="auto"/>
              <w:jc w:val="center"/>
              <w:rPr>
                <w:rFonts w:hint="eastAsia" w:ascii="宋体" w:hAnsi="宋体" w:eastAsia="宋体" w:cs="宋体"/>
                <w:spacing w:val="-1"/>
                <w:sz w:val="20"/>
                <w:highlight w:val="none"/>
              </w:rPr>
            </w:pPr>
          </w:p>
          <w:p w14:paraId="47CD198F">
            <w:pPr>
              <w:spacing w:line="480" w:lineRule="auto"/>
              <w:jc w:val="center"/>
              <w:rPr>
                <w:rFonts w:hint="eastAsia" w:ascii="宋体" w:hAnsi="宋体" w:eastAsia="宋体" w:cs="宋体"/>
                <w:spacing w:val="-1"/>
                <w:sz w:val="20"/>
                <w:highlight w:val="none"/>
              </w:rPr>
            </w:pPr>
          </w:p>
          <w:p w14:paraId="717321E1">
            <w:pPr>
              <w:spacing w:line="480" w:lineRule="auto"/>
              <w:jc w:val="center"/>
              <w:rPr>
                <w:rFonts w:hint="eastAsia" w:ascii="宋体" w:hAnsi="宋体" w:eastAsia="宋体" w:cs="宋体"/>
                <w:highlight w:val="none"/>
              </w:rPr>
            </w:pPr>
            <w:r>
              <w:rPr>
                <w:rFonts w:hint="eastAsia" w:ascii="宋体" w:hAnsi="宋体" w:eastAsia="宋体" w:cs="宋体"/>
                <w:spacing w:val="-1"/>
                <w:sz w:val="20"/>
                <w:highlight w:val="none"/>
              </w:rPr>
              <w:t>临时供水与排污设施</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6109197">
            <w:pPr>
              <w:spacing w:line="1742" w:lineRule="exact"/>
              <w:ind w:left="330"/>
              <w:rPr>
                <w:rFonts w:hint="eastAsia" w:ascii="宋体" w:hAnsi="宋体" w:eastAsia="宋体" w:cs="宋体"/>
                <w:highlight w:val="none"/>
              </w:rPr>
            </w:pPr>
            <w:r>
              <w:rPr>
                <w:rFonts w:hint="eastAsia" w:ascii="宋体" w:hAnsi="宋体" w:eastAsia="宋体" w:cs="宋体"/>
                <w:spacing w:val="-1"/>
                <w:sz w:val="20"/>
                <w:highlight w:val="none"/>
              </w:rPr>
              <w:t>总额</w:t>
            </w:r>
          </w:p>
        </w:tc>
        <w:tc>
          <w:tcPr>
            <w:tcW w:w="1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111E79C">
            <w:pPr>
              <w:spacing w:line="1605" w:lineRule="exact"/>
              <w:ind w:left="282"/>
              <w:rPr>
                <w:rFonts w:hint="eastAsia" w:ascii="宋体" w:hAnsi="宋体" w:eastAsia="宋体" w:cs="宋体"/>
                <w:highlight w:val="none"/>
              </w:rPr>
            </w:pPr>
            <w:r>
              <w:rPr>
                <w:rFonts w:hint="eastAsia" w:ascii="宋体" w:hAnsi="宋体" w:eastAsia="宋体" w:cs="宋体"/>
                <w:spacing w:val="-1"/>
                <w:sz w:val="20"/>
                <w:highlight w:val="none"/>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1786D21">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承包人应负责提供、安装和</w:t>
            </w:r>
          </w:p>
          <w:p w14:paraId="6040F5FC">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保养全部施工和生活用水设施，</w:t>
            </w:r>
          </w:p>
          <w:p w14:paraId="0D32189E">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保证按施工和生活用水标准供</w:t>
            </w:r>
          </w:p>
          <w:p w14:paraId="29BD26E7">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水，并承担相关费用；工程交工</w:t>
            </w:r>
          </w:p>
          <w:p w14:paraId="30E494A4">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后，承包人应拆除全部临时供水</w:t>
            </w:r>
          </w:p>
          <w:p w14:paraId="4DCA79B8">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设施；</w:t>
            </w:r>
          </w:p>
          <w:p w14:paraId="6879A633">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承包人应负责安装、维修和</w:t>
            </w:r>
          </w:p>
          <w:p w14:paraId="1A399DB3">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管理临时排污系统，并按国家相</w:t>
            </w:r>
          </w:p>
          <w:p w14:paraId="28E8E456">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关标准实施排放施工和生活的</w:t>
            </w:r>
          </w:p>
          <w:p w14:paraId="6D545E0D">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污水、废水，并承担相关费用；</w:t>
            </w:r>
          </w:p>
          <w:p w14:paraId="63A4E39C">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工程交工后，承包人应拆除全部</w:t>
            </w:r>
          </w:p>
          <w:p w14:paraId="6CAF084F">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临时排污设施</w:t>
            </w:r>
          </w:p>
        </w:tc>
      </w:tr>
      <w:tr w14:paraId="27DA199B">
        <w:tblPrEx>
          <w:tblCellMar>
            <w:top w:w="0" w:type="dxa"/>
            <w:left w:w="108" w:type="dxa"/>
            <w:bottom w:w="0" w:type="dxa"/>
            <w:right w:w="108" w:type="dxa"/>
          </w:tblCellMar>
        </w:tblPrEx>
        <w:trPr>
          <w:trHeight w:val="2461"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8B49BFC">
            <w:pPr>
              <w:spacing w:line="1369" w:lineRule="exact"/>
              <w:ind w:left="337"/>
              <w:rPr>
                <w:rFonts w:hint="eastAsia" w:ascii="宋体" w:hAnsi="宋体" w:eastAsia="宋体" w:cs="宋体"/>
                <w:highlight w:val="none"/>
              </w:rPr>
            </w:pPr>
            <w:r>
              <w:rPr>
                <w:rFonts w:hint="eastAsia" w:ascii="宋体" w:hAnsi="宋体" w:eastAsia="宋体" w:cs="宋体"/>
                <w:spacing w:val="-1"/>
                <w:sz w:val="20"/>
                <w:highlight w:val="none"/>
              </w:rPr>
              <w:t>104-1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78B7815">
            <w:pPr>
              <w:spacing w:line="1198" w:lineRule="exact"/>
              <w:jc w:val="center"/>
              <w:rPr>
                <w:rFonts w:hint="eastAsia" w:ascii="宋体" w:hAnsi="宋体" w:eastAsia="宋体" w:cs="宋体"/>
                <w:highlight w:val="none"/>
              </w:rPr>
            </w:pPr>
            <w:r>
              <w:rPr>
                <w:rFonts w:hint="eastAsia" w:ascii="宋体" w:hAnsi="宋体" w:eastAsia="宋体" w:cs="宋体"/>
                <w:spacing w:val="-1"/>
                <w:sz w:val="20"/>
                <w:highlight w:val="none"/>
              </w:rPr>
              <w:t>承包人驻地建设</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592A90F">
            <w:pPr>
              <w:spacing w:line="1335" w:lineRule="exact"/>
              <w:ind w:left="330"/>
              <w:rPr>
                <w:rFonts w:hint="eastAsia" w:ascii="宋体" w:hAnsi="宋体" w:eastAsia="宋体" w:cs="宋体"/>
                <w:highlight w:val="none"/>
              </w:rPr>
            </w:pPr>
            <w:r>
              <w:rPr>
                <w:rFonts w:hint="eastAsia" w:ascii="宋体" w:hAnsi="宋体" w:eastAsia="宋体" w:cs="宋体"/>
                <w:spacing w:val="-1"/>
                <w:sz w:val="20"/>
                <w:highlight w:val="none"/>
              </w:rPr>
              <w:t>总额</w:t>
            </w:r>
          </w:p>
        </w:tc>
        <w:tc>
          <w:tcPr>
            <w:tcW w:w="1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A37E536">
            <w:pPr>
              <w:spacing w:line="1198" w:lineRule="exact"/>
              <w:ind w:left="282"/>
              <w:rPr>
                <w:rFonts w:hint="eastAsia" w:ascii="宋体" w:hAnsi="宋体" w:eastAsia="宋体" w:cs="宋体"/>
                <w:highlight w:val="none"/>
              </w:rPr>
            </w:pPr>
            <w:r>
              <w:rPr>
                <w:rFonts w:hint="eastAsia" w:ascii="宋体" w:hAnsi="宋体" w:eastAsia="宋体" w:cs="宋体"/>
                <w:spacing w:val="-1"/>
                <w:sz w:val="20"/>
                <w:highlight w:val="none"/>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31520DE">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承包人驻地建设包括：施工</w:t>
            </w:r>
          </w:p>
          <w:p w14:paraId="4A4347DE">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与管理所需的办公室、住房、工</w:t>
            </w:r>
          </w:p>
          <w:p w14:paraId="75B605AC">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地试验室、车间、工作场地、预</w:t>
            </w:r>
          </w:p>
          <w:p w14:paraId="5DAECB2C">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制场地、仓库与储料场、拌和场、</w:t>
            </w:r>
          </w:p>
          <w:p w14:paraId="644CCF0A">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医疗卫生与消防设施等；</w:t>
            </w:r>
          </w:p>
          <w:p w14:paraId="28F7D76E">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驻地的建设、管理与维护；</w:t>
            </w:r>
          </w:p>
          <w:p w14:paraId="5877317C">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工程交工后，按照合同或协</w:t>
            </w:r>
          </w:p>
          <w:p w14:paraId="662BBAFE">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议要求将驻地移走、清除、恢复</w:t>
            </w:r>
          </w:p>
          <w:p w14:paraId="7D82ABD0">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原貌</w:t>
            </w:r>
          </w:p>
        </w:tc>
      </w:tr>
      <w:tr w14:paraId="0FE11D63">
        <w:tblPrEx>
          <w:tblCellMar>
            <w:top w:w="0" w:type="dxa"/>
            <w:left w:w="108" w:type="dxa"/>
            <w:bottom w:w="0" w:type="dxa"/>
            <w:right w:w="108" w:type="dxa"/>
          </w:tblCellMar>
        </w:tblPrEx>
        <w:trPr>
          <w:trHeight w:val="191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688B279">
            <w:pPr>
              <w:spacing w:line="1097" w:lineRule="exact"/>
              <w:ind w:left="337"/>
              <w:rPr>
                <w:rFonts w:hint="eastAsia" w:ascii="宋体" w:hAnsi="宋体" w:eastAsia="宋体" w:cs="宋体"/>
                <w:highlight w:val="none"/>
              </w:rPr>
            </w:pPr>
            <w:r>
              <w:rPr>
                <w:rFonts w:hint="eastAsia" w:ascii="宋体" w:hAnsi="宋体" w:eastAsia="宋体" w:cs="宋体"/>
                <w:spacing w:val="-1"/>
                <w:sz w:val="20"/>
                <w:highlight w:val="none"/>
              </w:rPr>
              <w:t>105-1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3C2298E">
            <w:pPr>
              <w:spacing w:line="1062" w:lineRule="exact"/>
              <w:ind w:left="282"/>
              <w:rPr>
                <w:rFonts w:hint="eastAsia" w:ascii="宋体" w:hAnsi="宋体" w:eastAsia="宋体" w:cs="宋体"/>
                <w:highlight w:val="none"/>
              </w:rPr>
            </w:pPr>
            <w:r>
              <w:rPr>
                <w:rFonts w:hint="eastAsia" w:ascii="宋体" w:hAnsi="宋体" w:eastAsia="宋体" w:cs="宋体"/>
                <w:spacing w:val="-1"/>
                <w:sz w:val="20"/>
                <w:highlight w:val="none"/>
              </w:rPr>
              <w:t>安全生产费</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6B1A814">
            <w:pPr>
              <w:spacing w:line="1062" w:lineRule="exact"/>
              <w:ind w:left="330"/>
              <w:rPr>
                <w:rFonts w:hint="eastAsia" w:ascii="宋体" w:hAnsi="宋体" w:eastAsia="宋体" w:cs="宋体"/>
                <w:highlight w:val="none"/>
              </w:rPr>
            </w:pPr>
            <w:r>
              <w:rPr>
                <w:rFonts w:hint="eastAsia" w:ascii="宋体" w:hAnsi="宋体" w:eastAsia="宋体" w:cs="宋体"/>
                <w:spacing w:val="-1"/>
                <w:sz w:val="20"/>
                <w:highlight w:val="none"/>
              </w:rPr>
              <w:t>总额</w:t>
            </w:r>
          </w:p>
        </w:tc>
        <w:tc>
          <w:tcPr>
            <w:tcW w:w="1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E10C9EC">
            <w:pPr>
              <w:spacing w:line="246" w:lineRule="exact"/>
              <w:ind w:left="282"/>
              <w:rPr>
                <w:rFonts w:hint="eastAsia" w:ascii="宋体" w:hAnsi="宋体" w:eastAsia="宋体" w:cs="宋体"/>
                <w:highlight w:val="none"/>
              </w:rPr>
            </w:pPr>
            <w:r>
              <w:rPr>
                <w:rFonts w:hint="eastAsia" w:ascii="宋体" w:hAnsi="宋体" w:eastAsia="宋体" w:cs="宋体"/>
                <w:spacing w:val="-1"/>
                <w:sz w:val="20"/>
                <w:highlight w:val="none"/>
              </w:rPr>
              <w:t>按投标价（不含</w:t>
            </w:r>
          </w:p>
          <w:p w14:paraId="5E0073BB">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安全生产费）的</w:t>
            </w:r>
          </w:p>
          <w:p w14:paraId="6ADB716A">
            <w:pPr>
              <w:spacing w:line="306" w:lineRule="exact"/>
              <w:ind w:left="109"/>
              <w:rPr>
                <w:rFonts w:hint="eastAsia" w:ascii="宋体" w:hAnsi="宋体" w:eastAsia="宋体" w:cs="宋体"/>
                <w:highlight w:val="none"/>
              </w:rPr>
            </w:pPr>
            <w:r>
              <w:rPr>
                <w:rFonts w:hint="eastAsia" w:ascii="宋体" w:hAnsi="宋体" w:eastAsia="宋体" w:cs="宋体"/>
                <w:spacing w:val="-1"/>
                <w:sz w:val="20"/>
                <w:highlight w:val="none"/>
              </w:rPr>
              <w:t>1.5%</w:t>
            </w:r>
            <w:r>
              <w:rPr>
                <w:rFonts w:hint="eastAsia" w:ascii="宋体" w:hAnsi="宋体" w:eastAsia="宋体" w:cs="宋体"/>
                <w:spacing w:val="-1"/>
                <w:position w:val="1"/>
                <w:sz w:val="20"/>
                <w:highlight w:val="none"/>
              </w:rPr>
              <w:t>（若招标人公</w:t>
            </w:r>
          </w:p>
          <w:p w14:paraId="624900BE">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布了最高投标限价</w:t>
            </w:r>
          </w:p>
          <w:p w14:paraId="7896B42C">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时，按最高投标限</w:t>
            </w:r>
          </w:p>
          <w:p w14:paraId="7AD4A543">
            <w:pPr>
              <w:spacing w:line="308" w:lineRule="exact"/>
              <w:ind w:left="109"/>
              <w:rPr>
                <w:rFonts w:hint="eastAsia" w:ascii="宋体" w:hAnsi="宋体" w:eastAsia="宋体" w:cs="宋体"/>
                <w:highlight w:val="none"/>
              </w:rPr>
            </w:pPr>
            <w:r>
              <w:rPr>
                <w:rFonts w:hint="eastAsia" w:ascii="宋体" w:hAnsi="宋体" w:eastAsia="宋体" w:cs="宋体"/>
                <w:spacing w:val="-1"/>
                <w:position w:val="1"/>
                <w:sz w:val="20"/>
                <w:highlight w:val="none"/>
              </w:rPr>
              <w:t>价的</w:t>
            </w:r>
            <w:r>
              <w:rPr>
                <w:rFonts w:hint="eastAsia" w:ascii="宋体" w:hAnsi="宋体" w:eastAsia="宋体" w:cs="宋体"/>
                <w:sz w:val="20"/>
                <w:highlight w:val="none"/>
              </w:rPr>
              <w:t> </w:t>
            </w:r>
            <w:r>
              <w:rPr>
                <w:rFonts w:hint="eastAsia" w:ascii="宋体" w:hAnsi="宋体" w:eastAsia="宋体" w:cs="宋体"/>
                <w:spacing w:val="-1"/>
                <w:sz w:val="20"/>
                <w:highlight w:val="none"/>
              </w:rPr>
              <w:t>1.5%</w:t>
            </w:r>
            <w:r>
              <w:rPr>
                <w:rFonts w:hint="eastAsia" w:ascii="宋体" w:hAnsi="宋体" w:eastAsia="宋体" w:cs="宋体"/>
                <w:spacing w:val="-1"/>
                <w:position w:val="1"/>
                <w:sz w:val="20"/>
                <w:highlight w:val="none"/>
              </w:rPr>
              <w:t>）以总额</w:t>
            </w:r>
          </w:p>
          <w:p w14:paraId="4BFA1C2E">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0074072">
            <w:pPr>
              <w:spacing w:line="246" w:lineRule="exact"/>
              <w:ind w:left="281"/>
              <w:rPr>
                <w:rFonts w:hint="eastAsia" w:ascii="宋体" w:hAnsi="宋体" w:eastAsia="宋体" w:cs="宋体"/>
                <w:highlight w:val="none"/>
              </w:rPr>
            </w:pPr>
            <w:r>
              <w:rPr>
                <w:rFonts w:hint="eastAsia" w:ascii="宋体" w:hAnsi="宋体" w:eastAsia="宋体" w:cs="宋体"/>
                <w:spacing w:val="-1"/>
                <w:sz w:val="20"/>
                <w:highlight w:val="none"/>
              </w:rPr>
              <w:t>按《中华人民共和国安全生产</w:t>
            </w:r>
          </w:p>
          <w:p w14:paraId="7E452A84">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法》、《建设工程安全生产管理</w:t>
            </w:r>
          </w:p>
          <w:p w14:paraId="3394F220">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条例》、《公路水运工程安全生</w:t>
            </w:r>
          </w:p>
          <w:p w14:paraId="466EC4A4">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产监督管理办法》、《公路工程</w:t>
            </w:r>
          </w:p>
          <w:p w14:paraId="47E625A8">
            <w:pPr>
              <w:spacing w:line="306" w:lineRule="exact"/>
              <w:ind w:left="108"/>
              <w:rPr>
                <w:rFonts w:hint="eastAsia" w:ascii="宋体" w:hAnsi="宋体" w:eastAsia="宋体" w:cs="宋体"/>
                <w:highlight w:val="none"/>
              </w:rPr>
            </w:pPr>
            <w:r>
              <w:rPr>
                <w:rFonts w:hint="eastAsia" w:ascii="宋体" w:hAnsi="宋体" w:eastAsia="宋体" w:cs="宋体"/>
                <w:spacing w:val="-1"/>
                <w:position w:val="1"/>
                <w:sz w:val="20"/>
                <w:highlight w:val="none"/>
              </w:rPr>
              <w:t>施工安全技术规范》（</w:t>
            </w:r>
            <w:r>
              <w:rPr>
                <w:rFonts w:hint="eastAsia" w:ascii="宋体" w:hAnsi="宋体" w:eastAsia="宋体" w:cs="宋体"/>
                <w:sz w:val="20"/>
                <w:highlight w:val="none"/>
              </w:rPr>
              <w:t>JTG</w:t>
            </w:r>
          </w:p>
          <w:p w14:paraId="241881DE">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F90-2015</w:t>
            </w:r>
            <w:r>
              <w:rPr>
                <w:rFonts w:hint="eastAsia" w:ascii="宋体" w:hAnsi="宋体" w:eastAsia="宋体" w:cs="宋体"/>
                <w:position w:val="1"/>
                <w:sz w:val="20"/>
                <w:highlight w:val="none"/>
              </w:rPr>
              <w:t>）及合同条款规定落实</w:t>
            </w:r>
          </w:p>
          <w:p w14:paraId="2C6532A0">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安全生产</w:t>
            </w:r>
          </w:p>
        </w:tc>
      </w:tr>
    </w:tbl>
    <w:p w14:paraId="0EA7CAEB">
      <w:pPr>
        <w:spacing w:line="270" w:lineRule="atLeast"/>
        <w:rPr>
          <w:rFonts w:hint="eastAsia" w:ascii="宋体" w:hAnsi="宋体" w:eastAsia="宋体" w:cs="宋体"/>
          <w:sz w:val="21"/>
          <w:highlight w:val="none"/>
        </w:rPr>
        <w:sectPr>
          <w:pgSz w:w="11910" w:h="16840"/>
          <w:pgMar w:top="1440" w:right="1080" w:bottom="1040" w:left="1420" w:header="882" w:footer="845" w:gutter="0"/>
          <w:cols w:space="720" w:num="1"/>
        </w:sectPr>
      </w:pPr>
    </w:p>
    <w:p w14:paraId="1374AC17">
      <w:pPr>
        <w:spacing w:before="139"/>
        <w:ind w:left="86" w:right="194"/>
        <w:jc w:val="center"/>
        <w:rPr>
          <w:rFonts w:hint="eastAsia" w:ascii="宋体" w:hAnsi="宋体" w:eastAsia="宋体" w:cs="宋体"/>
          <w:sz w:val="28"/>
          <w:highlight w:val="none"/>
        </w:rPr>
      </w:pPr>
      <w:r>
        <w:rPr>
          <w:rFonts w:hint="eastAsia" w:ascii="宋体" w:hAnsi="宋体" w:eastAsia="宋体" w:cs="宋体"/>
          <w:sz w:val="28"/>
          <w:highlight w:val="none"/>
        </w:rPr>
        <w:t>第 200 章 路基</w:t>
      </w:r>
    </w:p>
    <w:p w14:paraId="46982715">
      <w:pPr>
        <w:pStyle w:val="10"/>
        <w:spacing w:before="1"/>
        <w:rPr>
          <w:rFonts w:hint="eastAsia" w:ascii="宋体" w:hAnsi="宋体" w:eastAsia="宋体" w:cs="宋体"/>
          <w:sz w:val="18"/>
          <w:highlight w:val="none"/>
        </w:rPr>
      </w:pPr>
    </w:p>
    <w:tbl>
      <w:tblPr>
        <w:tblStyle w:val="24"/>
        <w:tblW w:w="9015" w:type="dxa"/>
        <w:tblInd w:w="0" w:type="dxa"/>
        <w:tblLayout w:type="fixed"/>
        <w:tblCellMar>
          <w:top w:w="0" w:type="dxa"/>
          <w:left w:w="108" w:type="dxa"/>
          <w:bottom w:w="0" w:type="dxa"/>
          <w:right w:w="108" w:type="dxa"/>
        </w:tblCellMar>
      </w:tblPr>
      <w:tblGrid>
        <w:gridCol w:w="1008"/>
        <w:gridCol w:w="1422"/>
        <w:gridCol w:w="720"/>
        <w:gridCol w:w="3110"/>
        <w:gridCol w:w="2755"/>
      </w:tblGrid>
      <w:tr w14:paraId="3FF0B7BD">
        <w:tblPrEx>
          <w:tblCellMar>
            <w:top w:w="0" w:type="dxa"/>
            <w:left w:w="108" w:type="dxa"/>
            <w:bottom w:w="0" w:type="dxa"/>
            <w:right w:w="108" w:type="dxa"/>
          </w:tblCellMar>
        </w:tblPrEx>
        <w:trPr>
          <w:trHeight w:val="48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3FC3C13">
            <w:pPr>
              <w:spacing w:line="345" w:lineRule="exact"/>
              <w:ind w:left="188"/>
              <w:rPr>
                <w:rFonts w:hint="eastAsia" w:ascii="宋体" w:hAnsi="宋体" w:eastAsia="宋体" w:cs="宋体"/>
                <w:highlight w:val="none"/>
              </w:rPr>
            </w:pPr>
            <w:r>
              <w:rPr>
                <w:rFonts w:hint="eastAsia" w:ascii="宋体" w:hAnsi="宋体" w:eastAsia="宋体" w:cs="宋体"/>
                <w:spacing w:val="-1"/>
                <w:sz w:val="20"/>
                <w:highlight w:val="none"/>
              </w:rPr>
              <w:t>子目号</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9F414B0">
            <w:pPr>
              <w:spacing w:line="345" w:lineRule="exact"/>
              <w:ind w:left="430"/>
              <w:rPr>
                <w:rFonts w:hint="eastAsia" w:ascii="宋体" w:hAnsi="宋体" w:eastAsia="宋体" w:cs="宋体"/>
                <w:highlight w:val="none"/>
              </w:rPr>
            </w:pPr>
            <w:r>
              <w:rPr>
                <w:rFonts w:hint="eastAsia" w:ascii="宋体" w:hAnsi="宋体" w:eastAsia="宋体" w:cs="宋体"/>
                <w:spacing w:val="-1"/>
                <w:sz w:val="20"/>
                <w:highlight w:val="none"/>
              </w:rPr>
              <w:t>子目名称</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B429EE4">
            <w:pPr>
              <w:spacing w:line="345" w:lineRule="exact"/>
              <w:ind w:left="215"/>
              <w:rPr>
                <w:rFonts w:hint="eastAsia" w:ascii="宋体" w:hAnsi="宋体" w:eastAsia="宋体" w:cs="宋体"/>
                <w:highlight w:val="none"/>
              </w:rPr>
            </w:pPr>
            <w:r>
              <w:rPr>
                <w:rFonts w:hint="eastAsia" w:ascii="宋体" w:hAnsi="宋体" w:eastAsia="宋体" w:cs="宋体"/>
                <w:spacing w:val="-1"/>
                <w:sz w:val="20"/>
                <w:highlight w:val="none"/>
              </w:rPr>
              <w:t>单位</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6C0609C">
            <w:pPr>
              <w:spacing w:line="345" w:lineRule="exact"/>
              <w:ind w:left="944"/>
              <w:rPr>
                <w:rFonts w:hint="eastAsia" w:ascii="宋体" w:hAnsi="宋体" w:eastAsia="宋体" w:cs="宋体"/>
                <w:highlight w:val="none"/>
              </w:rPr>
            </w:pPr>
            <w:r>
              <w:rPr>
                <w:rFonts w:hint="eastAsia" w:ascii="宋体" w:hAnsi="宋体" w:eastAsia="宋体" w:cs="宋体"/>
                <w:spacing w:val="-1"/>
                <w:sz w:val="20"/>
                <w:highlight w:val="none"/>
              </w:rPr>
              <w:t>工程量计量</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46C0C8F">
            <w:pPr>
              <w:spacing w:line="345" w:lineRule="exact"/>
              <w:ind w:left="840"/>
              <w:rPr>
                <w:rFonts w:hint="eastAsia" w:ascii="宋体" w:hAnsi="宋体" w:eastAsia="宋体" w:cs="宋体"/>
                <w:highlight w:val="none"/>
              </w:rPr>
            </w:pPr>
            <w:r>
              <w:rPr>
                <w:rFonts w:hint="eastAsia" w:ascii="宋体" w:hAnsi="宋体" w:eastAsia="宋体" w:cs="宋体"/>
                <w:spacing w:val="-1"/>
                <w:sz w:val="20"/>
                <w:highlight w:val="none"/>
              </w:rPr>
              <w:t>工程内容</w:t>
            </w:r>
          </w:p>
        </w:tc>
      </w:tr>
      <w:tr w14:paraId="2BCF9BCD">
        <w:tblPrEx>
          <w:tblCellMar>
            <w:top w:w="0" w:type="dxa"/>
            <w:left w:w="108" w:type="dxa"/>
            <w:bottom w:w="0" w:type="dxa"/>
            <w:right w:w="108" w:type="dxa"/>
          </w:tblCellMar>
        </w:tblPrEx>
        <w:trPr>
          <w:trHeight w:val="443"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3C8C132">
            <w:pPr>
              <w:spacing w:line="361" w:lineRule="exact"/>
              <w:ind w:left="260"/>
              <w:rPr>
                <w:rFonts w:hint="eastAsia" w:ascii="宋体" w:hAnsi="宋体" w:eastAsia="宋体" w:cs="宋体"/>
                <w:highlight w:val="none"/>
              </w:rPr>
            </w:pPr>
            <w:r>
              <w:rPr>
                <w:rFonts w:hint="eastAsia" w:ascii="宋体" w:hAnsi="宋体" w:eastAsia="宋体" w:cs="宋体"/>
                <w:spacing w:val="-1"/>
                <w:sz w:val="20"/>
                <w:highlight w:val="none"/>
              </w:rPr>
              <w:t>202-1</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606C55D">
            <w:pPr>
              <w:spacing w:line="326" w:lineRule="exact"/>
              <w:ind w:left="281"/>
              <w:rPr>
                <w:rFonts w:hint="eastAsia" w:ascii="宋体" w:hAnsi="宋体" w:eastAsia="宋体" w:cs="宋体"/>
                <w:highlight w:val="none"/>
              </w:rPr>
            </w:pPr>
            <w:r>
              <w:rPr>
                <w:rFonts w:hint="eastAsia" w:ascii="宋体" w:hAnsi="宋体" w:eastAsia="宋体" w:cs="宋体"/>
                <w:spacing w:val="-1"/>
                <w:sz w:val="20"/>
                <w:highlight w:val="none"/>
              </w:rPr>
              <w:t>清理与掘除</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762E625">
            <w:pPr>
              <w:spacing w:line="326" w:lineRule="exact"/>
              <w:rPr>
                <w:rFonts w:hint="eastAsia" w:ascii="宋体" w:hAnsi="宋体" w:eastAsia="宋体" w:cs="宋体"/>
                <w:highlight w:val="none"/>
              </w:rPr>
            </w:pP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ECDA5BC">
            <w:pPr>
              <w:spacing w:line="326" w:lineRule="exact"/>
              <w:rPr>
                <w:rFonts w:hint="eastAsia" w:ascii="宋体" w:hAnsi="宋体" w:eastAsia="宋体" w:cs="宋体"/>
                <w:highlight w:val="none"/>
              </w:rPr>
            </w:pP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8BF941C">
            <w:pPr>
              <w:spacing w:line="326" w:lineRule="exact"/>
              <w:rPr>
                <w:rFonts w:hint="eastAsia" w:ascii="宋体" w:hAnsi="宋体" w:eastAsia="宋体" w:cs="宋体"/>
                <w:highlight w:val="none"/>
              </w:rPr>
            </w:pPr>
          </w:p>
        </w:tc>
      </w:tr>
      <w:tr w14:paraId="5446BFFB">
        <w:tblPrEx>
          <w:tblCellMar>
            <w:top w:w="0" w:type="dxa"/>
            <w:left w:w="108" w:type="dxa"/>
            <w:bottom w:w="0" w:type="dxa"/>
            <w:right w:w="108" w:type="dxa"/>
          </w:tblCellMar>
        </w:tblPrEx>
        <w:trPr>
          <w:trHeight w:val="2875"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FDD20B7">
            <w:pPr>
              <w:spacing w:line="2186" w:lineRule="exact"/>
              <w:ind w:left="423"/>
              <w:rPr>
                <w:rFonts w:hint="eastAsia" w:ascii="宋体" w:hAnsi="宋体" w:eastAsia="宋体" w:cs="宋体"/>
                <w:highlight w:val="none"/>
              </w:rPr>
            </w:pPr>
            <w:r>
              <w:rPr>
                <w:rFonts w:hint="eastAsia" w:ascii="宋体" w:hAnsi="宋体" w:eastAsia="宋体" w:cs="宋体"/>
                <w:spacing w:val="-1"/>
                <w:sz w:val="20"/>
                <w:highlight w:val="none"/>
              </w:rPr>
              <w:t>-a</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5E4906B">
            <w:pPr>
              <w:spacing w:line="2151" w:lineRule="exact"/>
              <w:ind w:left="281"/>
              <w:rPr>
                <w:rFonts w:hint="eastAsia" w:ascii="宋体" w:hAnsi="宋体" w:eastAsia="宋体" w:cs="宋体"/>
                <w:highlight w:val="none"/>
              </w:rPr>
            </w:pPr>
            <w:r>
              <w:rPr>
                <w:rFonts w:hint="eastAsia" w:ascii="宋体" w:hAnsi="宋体" w:eastAsia="宋体" w:cs="宋体"/>
                <w:spacing w:val="-1"/>
                <w:sz w:val="20"/>
                <w:highlight w:val="none"/>
              </w:rPr>
              <w:t>清理现场</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3B5C188">
            <w:pPr>
              <w:spacing w:line="2095"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FF04A73">
            <w:pPr>
              <w:spacing w:line="260"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依据图纸所示位置及范围</w:t>
            </w:r>
          </w:p>
          <w:p w14:paraId="2787A25B">
            <w:pPr>
              <w:spacing w:line="260" w:lineRule="exact"/>
              <w:ind w:left="109"/>
              <w:rPr>
                <w:rFonts w:hint="eastAsia" w:ascii="宋体" w:hAnsi="宋体" w:eastAsia="宋体" w:cs="宋体"/>
                <w:highlight w:val="none"/>
              </w:rPr>
            </w:pPr>
            <w:r>
              <w:rPr>
                <w:rFonts w:hint="eastAsia" w:ascii="宋体" w:hAnsi="宋体" w:eastAsia="宋体" w:cs="宋体"/>
                <w:spacing w:val="-1"/>
                <w:sz w:val="20"/>
                <w:highlight w:val="none"/>
              </w:rPr>
              <w:t>（路基范围以外临时工程用</w:t>
            </w:r>
          </w:p>
          <w:p w14:paraId="7FAE64C4">
            <w:pPr>
              <w:spacing w:line="260" w:lineRule="exact"/>
              <w:ind w:left="109"/>
              <w:rPr>
                <w:rFonts w:hint="eastAsia" w:ascii="宋体" w:hAnsi="宋体" w:eastAsia="宋体" w:cs="宋体"/>
                <w:highlight w:val="none"/>
              </w:rPr>
            </w:pPr>
            <w:r>
              <w:rPr>
                <w:rFonts w:hint="eastAsia" w:ascii="宋体" w:hAnsi="宋体" w:eastAsia="宋体" w:cs="宋体"/>
                <w:spacing w:val="-1"/>
                <w:sz w:val="20"/>
                <w:highlight w:val="none"/>
              </w:rPr>
              <w:t>地清场等除外），按路基开挖</w:t>
            </w:r>
          </w:p>
          <w:p w14:paraId="196CE660">
            <w:pPr>
              <w:spacing w:line="260" w:lineRule="exact"/>
              <w:ind w:left="109"/>
              <w:rPr>
                <w:rFonts w:hint="eastAsia" w:ascii="宋体" w:hAnsi="宋体" w:eastAsia="宋体" w:cs="宋体"/>
                <w:highlight w:val="none"/>
              </w:rPr>
            </w:pPr>
            <w:r>
              <w:rPr>
                <w:rFonts w:hint="eastAsia" w:ascii="宋体" w:hAnsi="宋体" w:eastAsia="宋体" w:cs="宋体"/>
                <w:spacing w:val="-1"/>
                <w:sz w:val="20"/>
                <w:highlight w:val="none"/>
              </w:rPr>
              <w:t>线或填筑边线之间的水平投</w:t>
            </w:r>
          </w:p>
          <w:p w14:paraId="3B2E3408">
            <w:pPr>
              <w:spacing w:line="260" w:lineRule="exact"/>
              <w:ind w:left="109"/>
              <w:rPr>
                <w:rFonts w:hint="eastAsia" w:ascii="宋体" w:hAnsi="宋体" w:eastAsia="宋体" w:cs="宋体"/>
                <w:highlight w:val="none"/>
              </w:rPr>
            </w:pPr>
            <w:r>
              <w:rPr>
                <w:rFonts w:hint="eastAsia" w:ascii="宋体" w:hAnsi="宋体" w:eastAsia="宋体" w:cs="宋体"/>
                <w:spacing w:val="-1"/>
                <w:sz w:val="20"/>
                <w:highlight w:val="none"/>
              </w:rPr>
              <w:t>影面积以平方米为单位计量；</w:t>
            </w:r>
          </w:p>
          <w:p w14:paraId="4DB53AA4">
            <w:pPr>
              <w:spacing w:line="260"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因压实而产生的下沉量，</w:t>
            </w:r>
          </w:p>
          <w:p w14:paraId="05FF269D">
            <w:pPr>
              <w:spacing w:line="260" w:lineRule="exact"/>
              <w:ind w:left="109"/>
              <w:rPr>
                <w:rFonts w:hint="eastAsia" w:ascii="宋体" w:hAnsi="宋体" w:eastAsia="宋体" w:cs="宋体"/>
                <w:highlight w:val="none"/>
              </w:rPr>
            </w:pPr>
            <w:r>
              <w:rPr>
                <w:rFonts w:hint="eastAsia" w:ascii="宋体" w:hAnsi="宋体" w:eastAsia="宋体" w:cs="宋体"/>
                <w:spacing w:val="-1"/>
                <w:sz w:val="20"/>
                <w:highlight w:val="none"/>
              </w:rPr>
              <w:t>不另行计量</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CACD849">
            <w:pPr>
              <w:spacing w:line="260" w:lineRule="exact"/>
              <w:ind w:right="-220" w:rightChars="-100"/>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灌木、竹林、胸径小于</w:t>
            </w:r>
            <w:r>
              <w:rPr>
                <w:rFonts w:hint="eastAsia" w:ascii="宋体" w:hAnsi="宋体" w:eastAsia="宋体" w:cs="宋体"/>
                <w:sz w:val="20"/>
                <w:highlight w:val="none"/>
              </w:rPr>
              <w:t> </w:t>
            </w:r>
            <w:r>
              <w:rPr>
                <w:rFonts w:hint="eastAsia" w:ascii="宋体" w:hAnsi="宋体" w:eastAsia="宋体" w:cs="宋体"/>
                <w:spacing w:val="-1"/>
                <w:sz w:val="20"/>
                <w:highlight w:val="none"/>
              </w:rPr>
              <w:t>10cm</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树木的砍伐及挖</w:t>
            </w:r>
            <w:r>
              <w:rPr>
                <w:rFonts w:hint="eastAsia" w:ascii="宋体" w:hAnsi="宋体" w:eastAsia="宋体" w:cs="宋体"/>
                <w:spacing w:val="-1"/>
                <w:sz w:val="20"/>
                <w:highlight w:val="none"/>
              </w:rPr>
              <w:t>根；</w:t>
            </w:r>
          </w:p>
          <w:p w14:paraId="3A0C68CB">
            <w:pPr>
              <w:spacing w:line="260" w:lineRule="exact"/>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清除场地表面</w:t>
            </w:r>
            <w:r>
              <w:rPr>
                <w:rFonts w:hint="eastAsia" w:ascii="宋体" w:hAnsi="宋体" w:eastAsia="宋体" w:cs="宋体"/>
                <w:spacing w:val="-10"/>
                <w:sz w:val="20"/>
                <w:highlight w:val="none"/>
              </w:rPr>
              <w:t> </w:t>
            </w:r>
            <w:r>
              <w:rPr>
                <w:rFonts w:hint="eastAsia" w:ascii="宋体" w:hAnsi="宋体" w:eastAsia="宋体" w:cs="宋体"/>
                <w:spacing w:val="-1"/>
                <w:sz w:val="20"/>
                <w:highlight w:val="none"/>
              </w:rPr>
              <w:t>0~30cm范围内的垃圾、废料、表土（腐殖土）、石头、草皮；</w:t>
            </w:r>
          </w:p>
          <w:p w14:paraId="34C44FE0">
            <w:pPr>
              <w:spacing w:line="260" w:lineRule="exact"/>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与清理现场有关的一</w:t>
            </w:r>
            <w:r>
              <w:rPr>
                <w:rFonts w:hint="eastAsia" w:ascii="宋体" w:hAnsi="宋体" w:eastAsia="宋体" w:cs="宋体"/>
                <w:spacing w:val="-1"/>
                <w:sz w:val="20"/>
                <w:highlight w:val="none"/>
              </w:rPr>
              <w:t>切挖方、坑穴的回填、清理现场后回填至原地面、整平、压实；</w:t>
            </w:r>
          </w:p>
          <w:p w14:paraId="64BDAB86">
            <w:pPr>
              <w:spacing w:line="260" w:lineRule="exact"/>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适用材料的装卸、移</w:t>
            </w:r>
            <w:r>
              <w:rPr>
                <w:rFonts w:hint="eastAsia" w:ascii="宋体" w:hAnsi="宋体" w:eastAsia="宋体" w:cs="宋体"/>
                <w:spacing w:val="-1"/>
                <w:sz w:val="20"/>
                <w:highlight w:val="none"/>
              </w:rPr>
              <w:t>运、堆放及非适用材料的移运处理；</w:t>
            </w:r>
          </w:p>
          <w:p w14:paraId="6D60A221">
            <w:pPr>
              <w:spacing w:line="260" w:lineRule="exact"/>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现场清理</w:t>
            </w:r>
          </w:p>
        </w:tc>
      </w:tr>
      <w:tr w14:paraId="7F0E9692">
        <w:tblPrEx>
          <w:tblCellMar>
            <w:top w:w="0" w:type="dxa"/>
            <w:left w:w="108" w:type="dxa"/>
            <w:bottom w:w="0" w:type="dxa"/>
            <w:right w:w="108" w:type="dxa"/>
          </w:tblCellMar>
        </w:tblPrEx>
        <w:trPr>
          <w:trHeight w:val="1647"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CD754D7">
            <w:pPr>
              <w:spacing w:line="1096" w:lineRule="exact"/>
              <w:ind w:left="416"/>
              <w:rPr>
                <w:rFonts w:hint="eastAsia" w:ascii="宋体" w:hAnsi="宋体" w:eastAsia="宋体" w:cs="宋体"/>
                <w:highlight w:val="none"/>
              </w:rPr>
            </w:pPr>
            <w:r>
              <w:rPr>
                <w:rFonts w:hint="eastAsia" w:ascii="宋体" w:hAnsi="宋体" w:eastAsia="宋体" w:cs="宋体"/>
                <w:spacing w:val="-1"/>
                <w:sz w:val="20"/>
                <w:highlight w:val="none"/>
              </w:rPr>
              <w:t>-b</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A9D48A7">
            <w:pPr>
              <w:spacing w:line="924" w:lineRule="exact"/>
              <w:rPr>
                <w:rFonts w:hint="eastAsia" w:ascii="宋体" w:hAnsi="宋体" w:eastAsia="宋体" w:cs="宋体"/>
                <w:highlight w:val="none"/>
              </w:rPr>
            </w:pPr>
            <w:r>
              <w:rPr>
                <w:rFonts w:hint="eastAsia" w:ascii="宋体" w:hAnsi="宋体" w:eastAsia="宋体" w:cs="宋体"/>
                <w:spacing w:val="-1"/>
                <w:sz w:val="20"/>
                <w:highlight w:val="none"/>
              </w:rPr>
              <w:t>砍伐树木、挖</w:t>
            </w:r>
          </w:p>
          <w:p w14:paraId="5340F9FA">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除树根</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9031DB4">
            <w:pPr>
              <w:spacing w:line="1061" w:lineRule="exact"/>
              <w:ind w:left="320"/>
              <w:rPr>
                <w:rFonts w:hint="eastAsia" w:ascii="宋体" w:hAnsi="宋体" w:eastAsia="宋体" w:cs="宋体"/>
                <w:highlight w:val="none"/>
              </w:rPr>
            </w:pPr>
            <w:r>
              <w:rPr>
                <w:rFonts w:hint="eastAsia" w:ascii="宋体" w:hAnsi="宋体" w:eastAsia="宋体" w:cs="宋体"/>
                <w:spacing w:val="-1"/>
                <w:sz w:val="20"/>
                <w:highlight w:val="none"/>
              </w:rPr>
              <w:t>棵</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4FAA125">
            <w:pPr>
              <w:spacing w:line="260"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依据图纸所示路基范围内胸</w:t>
            </w:r>
          </w:p>
          <w:p w14:paraId="457153BF">
            <w:pPr>
              <w:spacing w:line="260" w:lineRule="exact"/>
              <w:ind w:left="109"/>
              <w:rPr>
                <w:rFonts w:hint="eastAsia" w:ascii="宋体" w:hAnsi="宋体" w:eastAsia="宋体" w:cs="宋体"/>
                <w:highlight w:val="none"/>
              </w:rPr>
            </w:pPr>
            <w:r>
              <w:rPr>
                <w:rFonts w:hint="eastAsia" w:ascii="宋体" w:hAnsi="宋体" w:eastAsia="宋体" w:cs="宋体"/>
                <w:spacing w:val="-1"/>
                <w:position w:val="1"/>
                <w:sz w:val="20"/>
                <w:highlight w:val="none"/>
              </w:rPr>
              <w:t>径</w:t>
            </w:r>
            <w:r>
              <w:rPr>
                <w:rFonts w:hint="eastAsia" w:ascii="宋体" w:hAnsi="宋体" w:eastAsia="宋体" w:cs="宋体"/>
                <w:sz w:val="20"/>
                <w:highlight w:val="none"/>
              </w:rPr>
              <w:t> </w:t>
            </w:r>
            <w:r>
              <w:rPr>
                <w:rFonts w:hint="eastAsia" w:ascii="宋体" w:hAnsi="宋体" w:eastAsia="宋体" w:cs="宋体"/>
                <w:spacing w:val="-1"/>
                <w:sz w:val="20"/>
                <w:highlight w:val="none"/>
              </w:rPr>
              <w:t>10cm</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以上（含</w:t>
            </w:r>
            <w:r>
              <w:rPr>
                <w:rFonts w:hint="eastAsia" w:ascii="宋体" w:hAnsi="宋体" w:eastAsia="宋体" w:cs="宋体"/>
                <w:sz w:val="20"/>
                <w:highlight w:val="none"/>
              </w:rPr>
              <w:t> </w:t>
            </w:r>
            <w:r>
              <w:rPr>
                <w:rFonts w:hint="eastAsia" w:ascii="宋体" w:hAnsi="宋体" w:eastAsia="宋体" w:cs="宋体"/>
                <w:spacing w:val="-1"/>
                <w:sz w:val="20"/>
                <w:highlight w:val="none"/>
              </w:rPr>
              <w:t>10cm</w:t>
            </w:r>
            <w:r>
              <w:rPr>
                <w:rFonts w:hint="eastAsia" w:ascii="宋体" w:hAnsi="宋体" w:eastAsia="宋体" w:cs="宋体"/>
                <w:position w:val="1"/>
                <w:sz w:val="20"/>
                <w:highlight w:val="none"/>
              </w:rPr>
              <w:t>）的树</w:t>
            </w:r>
          </w:p>
          <w:p w14:paraId="210A93AD">
            <w:pPr>
              <w:spacing w:line="260" w:lineRule="exact"/>
              <w:ind w:left="109"/>
              <w:rPr>
                <w:rFonts w:hint="eastAsia" w:ascii="宋体" w:hAnsi="宋体" w:eastAsia="宋体" w:cs="宋体"/>
                <w:highlight w:val="none"/>
              </w:rPr>
            </w:pPr>
            <w:r>
              <w:rPr>
                <w:rFonts w:hint="eastAsia" w:ascii="宋体" w:hAnsi="宋体" w:eastAsia="宋体" w:cs="宋体"/>
                <w:spacing w:val="-1"/>
                <w:sz w:val="20"/>
                <w:highlight w:val="none"/>
              </w:rPr>
              <w:t>木及树根，按实际砍伐及挖除</w:t>
            </w:r>
          </w:p>
          <w:p w14:paraId="36DB2C03">
            <w:pPr>
              <w:spacing w:line="260" w:lineRule="exact"/>
              <w:ind w:left="109"/>
              <w:rPr>
                <w:rFonts w:hint="eastAsia" w:ascii="宋体" w:hAnsi="宋体" w:eastAsia="宋体" w:cs="宋体"/>
                <w:highlight w:val="none"/>
              </w:rPr>
            </w:pPr>
            <w:r>
              <w:rPr>
                <w:rFonts w:hint="eastAsia" w:ascii="宋体" w:hAnsi="宋体" w:eastAsia="宋体" w:cs="宋体"/>
                <w:spacing w:val="-1"/>
                <w:sz w:val="20"/>
                <w:highlight w:val="none"/>
              </w:rPr>
              <w:t>数量以棵为单位计量</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B1A5EDF">
            <w:pPr>
              <w:spacing w:line="260" w:lineRule="exact"/>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砍伐；</w:t>
            </w:r>
          </w:p>
          <w:p w14:paraId="05265812">
            <w:pPr>
              <w:spacing w:line="260" w:lineRule="exact"/>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截锯；</w:t>
            </w:r>
          </w:p>
          <w:p w14:paraId="706E2618">
            <w:pPr>
              <w:spacing w:line="260" w:lineRule="exact"/>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挖除树根；</w:t>
            </w:r>
          </w:p>
          <w:p w14:paraId="5B0BFF82">
            <w:pPr>
              <w:spacing w:line="260" w:lineRule="exact"/>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装卸、移运至指定地</w:t>
            </w:r>
            <w:r>
              <w:rPr>
                <w:rFonts w:hint="eastAsia" w:ascii="宋体" w:hAnsi="宋体" w:eastAsia="宋体" w:cs="宋体"/>
                <w:spacing w:val="-1"/>
                <w:sz w:val="20"/>
                <w:highlight w:val="none"/>
              </w:rPr>
              <w:t>点堆放；</w:t>
            </w:r>
          </w:p>
          <w:p w14:paraId="5EDB8361">
            <w:pPr>
              <w:spacing w:line="260" w:lineRule="exact"/>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树坑回填、夯实；</w:t>
            </w:r>
          </w:p>
          <w:p w14:paraId="08771A9F">
            <w:pPr>
              <w:spacing w:line="260" w:lineRule="exact"/>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现场清理</w:t>
            </w:r>
          </w:p>
        </w:tc>
      </w:tr>
      <w:tr w14:paraId="5EFC98E2">
        <w:tblPrEx>
          <w:tblCellMar>
            <w:top w:w="0" w:type="dxa"/>
            <w:left w:w="108" w:type="dxa"/>
            <w:bottom w:w="0" w:type="dxa"/>
            <w:right w:w="108" w:type="dxa"/>
          </w:tblCellMar>
        </w:tblPrEx>
        <w:trPr>
          <w:trHeight w:val="241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65685ED">
            <w:pPr>
              <w:spacing w:line="1368" w:lineRule="exact"/>
              <w:ind w:left="260"/>
              <w:rPr>
                <w:rFonts w:hint="eastAsia" w:ascii="宋体" w:hAnsi="宋体" w:eastAsia="宋体" w:cs="宋体"/>
                <w:highlight w:val="none"/>
              </w:rPr>
            </w:pPr>
            <w:r>
              <w:rPr>
                <w:rFonts w:hint="eastAsia" w:ascii="宋体" w:hAnsi="宋体" w:eastAsia="宋体" w:cs="宋体"/>
                <w:spacing w:val="-1"/>
                <w:sz w:val="20"/>
                <w:highlight w:val="none"/>
              </w:rPr>
              <w:t>202-2</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AD1F30C">
            <w:pPr>
              <w:spacing w:line="1333" w:lineRule="exact"/>
              <w:ind w:left="281"/>
              <w:rPr>
                <w:rFonts w:hint="eastAsia" w:ascii="宋体" w:hAnsi="宋体" w:eastAsia="宋体" w:cs="宋体"/>
                <w:highlight w:val="none"/>
              </w:rPr>
            </w:pPr>
            <w:r>
              <w:rPr>
                <w:rFonts w:hint="eastAsia" w:ascii="宋体" w:hAnsi="宋体" w:eastAsia="宋体" w:cs="宋体"/>
                <w:spacing w:val="-1"/>
                <w:sz w:val="20"/>
                <w:highlight w:val="none"/>
              </w:rPr>
              <w:t>挖除旧路面</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7BF7630">
            <w:pPr>
              <w:spacing w:line="1276"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1A35178">
            <w:pPr>
              <w:spacing w:line="260"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依据图纸所示位置，挖除</w:t>
            </w:r>
          </w:p>
          <w:p w14:paraId="1FEBB9DA">
            <w:pPr>
              <w:spacing w:line="260" w:lineRule="exact"/>
              <w:ind w:left="109"/>
              <w:rPr>
                <w:rFonts w:hint="eastAsia" w:ascii="宋体" w:hAnsi="宋体" w:eastAsia="宋体" w:cs="宋体"/>
                <w:highlight w:val="none"/>
              </w:rPr>
            </w:pPr>
            <w:r>
              <w:rPr>
                <w:rFonts w:hint="eastAsia" w:ascii="宋体" w:hAnsi="宋体" w:eastAsia="宋体" w:cs="宋体"/>
                <w:spacing w:val="-1"/>
                <w:sz w:val="20"/>
                <w:highlight w:val="none"/>
              </w:rPr>
              <w:t>路基范围内原有的旧路面，按</w:t>
            </w:r>
          </w:p>
          <w:p w14:paraId="1EDD2DD3">
            <w:pPr>
              <w:spacing w:line="260" w:lineRule="exact"/>
              <w:ind w:left="109"/>
              <w:rPr>
                <w:rFonts w:hint="eastAsia" w:ascii="宋体" w:hAnsi="宋体" w:eastAsia="宋体" w:cs="宋体"/>
                <w:highlight w:val="none"/>
              </w:rPr>
            </w:pPr>
            <w:r>
              <w:rPr>
                <w:rFonts w:hint="eastAsia" w:ascii="宋体" w:hAnsi="宋体" w:eastAsia="宋体" w:cs="宋体"/>
                <w:spacing w:val="-1"/>
                <w:sz w:val="20"/>
                <w:highlight w:val="none"/>
              </w:rPr>
              <w:t>不同的路面结构类型以立方</w:t>
            </w:r>
          </w:p>
          <w:p w14:paraId="7B1EFDFB">
            <w:pPr>
              <w:spacing w:line="260" w:lineRule="exact"/>
              <w:ind w:left="109"/>
              <w:rPr>
                <w:rFonts w:hint="eastAsia" w:ascii="宋体" w:hAnsi="宋体" w:eastAsia="宋体" w:cs="宋体"/>
                <w:highlight w:val="none"/>
              </w:rPr>
            </w:pPr>
            <w:r>
              <w:rPr>
                <w:rFonts w:hint="eastAsia" w:ascii="宋体" w:hAnsi="宋体" w:eastAsia="宋体" w:cs="宋体"/>
                <w:spacing w:val="-1"/>
                <w:sz w:val="20"/>
                <w:highlight w:val="none"/>
              </w:rPr>
              <w:t>米为单位计量；</w:t>
            </w:r>
          </w:p>
          <w:p w14:paraId="3A140360">
            <w:pPr>
              <w:spacing w:line="260"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挖除旧路面后的借方或利</w:t>
            </w:r>
          </w:p>
          <w:p w14:paraId="16768FAD">
            <w:pPr>
              <w:spacing w:line="260" w:lineRule="exact"/>
              <w:ind w:left="109"/>
              <w:rPr>
                <w:rFonts w:hint="eastAsia" w:ascii="宋体" w:hAnsi="宋体" w:eastAsia="宋体" w:cs="宋体"/>
                <w:highlight w:val="none"/>
              </w:rPr>
            </w:pPr>
            <w:r>
              <w:rPr>
                <w:rFonts w:hint="eastAsia" w:ascii="宋体" w:hAnsi="宋体" w:eastAsia="宋体" w:cs="宋体"/>
                <w:spacing w:val="-1"/>
                <w:sz w:val="20"/>
                <w:highlight w:val="none"/>
              </w:rPr>
              <w:t>用方回填至原路面标高并压</w:t>
            </w:r>
          </w:p>
          <w:p w14:paraId="0F012860">
            <w:pPr>
              <w:spacing w:line="260" w:lineRule="exact"/>
              <w:ind w:left="109"/>
              <w:rPr>
                <w:rFonts w:hint="eastAsia" w:ascii="宋体" w:hAnsi="宋体" w:eastAsia="宋体" w:cs="宋体"/>
                <w:highlight w:val="none"/>
              </w:rPr>
            </w:pPr>
            <w:r>
              <w:rPr>
                <w:rFonts w:hint="eastAsia" w:ascii="宋体" w:hAnsi="宋体" w:eastAsia="宋体" w:cs="宋体"/>
                <w:spacing w:val="-1"/>
                <w:sz w:val="20"/>
                <w:highlight w:val="none"/>
              </w:rPr>
              <w:t>实、面层以下各结构层的挖除</w:t>
            </w:r>
          </w:p>
          <w:p w14:paraId="4AB7E8AE">
            <w:pPr>
              <w:spacing w:line="260" w:lineRule="exact"/>
              <w:ind w:left="109"/>
              <w:rPr>
                <w:rFonts w:hint="eastAsia" w:ascii="宋体" w:hAnsi="宋体" w:eastAsia="宋体" w:cs="宋体"/>
                <w:highlight w:val="none"/>
              </w:rPr>
            </w:pPr>
            <w:r>
              <w:rPr>
                <w:rFonts w:hint="eastAsia" w:ascii="宋体" w:hAnsi="宋体" w:eastAsia="宋体" w:cs="宋体"/>
                <w:spacing w:val="-1"/>
                <w:sz w:val="20"/>
                <w:highlight w:val="none"/>
              </w:rPr>
              <w:t>费用应列入挖除旧路面单价</w:t>
            </w:r>
          </w:p>
          <w:p w14:paraId="4CAA9E53">
            <w:pPr>
              <w:spacing w:line="260" w:lineRule="exact"/>
              <w:ind w:left="109"/>
              <w:rPr>
                <w:rFonts w:hint="eastAsia" w:ascii="宋体" w:hAnsi="宋体" w:eastAsia="宋体" w:cs="宋体"/>
                <w:highlight w:val="none"/>
              </w:rPr>
            </w:pPr>
            <w:r>
              <w:rPr>
                <w:rFonts w:hint="eastAsia" w:ascii="宋体" w:hAnsi="宋体" w:eastAsia="宋体" w:cs="宋体"/>
                <w:spacing w:val="-1"/>
                <w:sz w:val="20"/>
                <w:highlight w:val="none"/>
              </w:rPr>
              <w:t>之内，不另行计量</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3F16995">
            <w:pPr>
              <w:spacing w:line="260" w:lineRule="exact"/>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挖除；</w:t>
            </w:r>
          </w:p>
          <w:p w14:paraId="38CBA460">
            <w:pPr>
              <w:spacing w:line="260" w:lineRule="exact"/>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装卸、移运、掩埋处</w:t>
            </w:r>
            <w:r>
              <w:rPr>
                <w:rFonts w:hint="eastAsia" w:ascii="宋体" w:hAnsi="宋体" w:eastAsia="宋体" w:cs="宋体"/>
                <w:spacing w:val="-1"/>
                <w:sz w:val="20"/>
                <w:highlight w:val="none"/>
              </w:rPr>
              <w:t>理；</w:t>
            </w:r>
          </w:p>
          <w:p w14:paraId="4AEF1B4E">
            <w:pPr>
              <w:spacing w:line="260" w:lineRule="exact"/>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路床碾压、回填至原</w:t>
            </w:r>
            <w:r>
              <w:rPr>
                <w:rFonts w:hint="eastAsia" w:ascii="宋体" w:hAnsi="宋体" w:eastAsia="宋体" w:cs="宋体"/>
                <w:spacing w:val="-1"/>
                <w:sz w:val="20"/>
                <w:highlight w:val="none"/>
              </w:rPr>
              <w:t>地面标高；</w:t>
            </w:r>
          </w:p>
          <w:p w14:paraId="4EB3BEC6">
            <w:pPr>
              <w:spacing w:line="260" w:lineRule="exact"/>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场地清理、平整、压</w:t>
            </w:r>
            <w:r>
              <w:rPr>
                <w:rFonts w:hint="eastAsia" w:ascii="宋体" w:hAnsi="宋体" w:eastAsia="宋体" w:cs="宋体"/>
                <w:spacing w:val="-1"/>
                <w:sz w:val="20"/>
                <w:highlight w:val="none"/>
              </w:rPr>
              <w:t>实</w:t>
            </w:r>
          </w:p>
        </w:tc>
      </w:tr>
      <w:tr w14:paraId="1B6BA36C">
        <w:tblPrEx>
          <w:tblCellMar>
            <w:top w:w="0" w:type="dxa"/>
            <w:left w:w="108" w:type="dxa"/>
            <w:bottom w:w="0" w:type="dxa"/>
            <w:right w:w="108" w:type="dxa"/>
          </w:tblCellMar>
        </w:tblPrEx>
        <w:trPr>
          <w:trHeight w:val="153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99D6839">
            <w:pPr>
              <w:spacing w:line="822" w:lineRule="exact"/>
              <w:ind w:left="260"/>
              <w:rPr>
                <w:rFonts w:hint="eastAsia" w:ascii="宋体" w:hAnsi="宋体" w:eastAsia="宋体" w:cs="宋体"/>
                <w:highlight w:val="none"/>
              </w:rPr>
            </w:pPr>
            <w:r>
              <w:rPr>
                <w:rFonts w:hint="eastAsia" w:ascii="宋体" w:hAnsi="宋体" w:eastAsia="宋体" w:cs="宋体"/>
                <w:spacing w:val="-1"/>
                <w:sz w:val="20"/>
                <w:highlight w:val="none"/>
              </w:rPr>
              <w:t>202-3</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EA5DD26">
            <w:pPr>
              <w:spacing w:line="833" w:lineRule="exact"/>
              <w:ind w:left="281"/>
              <w:rPr>
                <w:rFonts w:hint="eastAsia" w:ascii="宋体" w:hAnsi="宋体" w:eastAsia="宋体" w:cs="宋体"/>
                <w:highlight w:val="none"/>
              </w:rPr>
            </w:pPr>
            <w:r>
              <w:rPr>
                <w:rFonts w:hint="eastAsia" w:ascii="宋体" w:hAnsi="宋体" w:eastAsia="宋体" w:cs="宋体"/>
                <w:spacing w:val="-1"/>
                <w:sz w:val="20"/>
                <w:highlight w:val="none"/>
              </w:rPr>
              <w:t>拆除结构物</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B8DB483">
            <w:pPr>
              <w:spacing w:line="790"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77C2914">
            <w:pPr>
              <w:spacing w:line="260"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依据图纸所示位置，拆除路</w:t>
            </w:r>
          </w:p>
          <w:p w14:paraId="5C97F9B7">
            <w:pPr>
              <w:spacing w:line="260" w:lineRule="exact"/>
              <w:ind w:left="109"/>
              <w:rPr>
                <w:rFonts w:hint="eastAsia" w:ascii="宋体" w:hAnsi="宋体" w:eastAsia="宋体" w:cs="宋体"/>
                <w:highlight w:val="none"/>
              </w:rPr>
            </w:pPr>
            <w:r>
              <w:rPr>
                <w:rFonts w:hint="eastAsia" w:ascii="宋体" w:hAnsi="宋体" w:eastAsia="宋体" w:cs="宋体"/>
                <w:spacing w:val="-1"/>
                <w:sz w:val="20"/>
                <w:highlight w:val="none"/>
              </w:rPr>
              <w:t>基范围内原有的结构物，分不</w:t>
            </w:r>
          </w:p>
          <w:p w14:paraId="0E5BC6BF">
            <w:pPr>
              <w:spacing w:line="260" w:lineRule="exact"/>
              <w:ind w:left="109"/>
              <w:rPr>
                <w:rFonts w:hint="eastAsia" w:ascii="宋体" w:hAnsi="宋体" w:eastAsia="宋体" w:cs="宋体"/>
                <w:highlight w:val="none"/>
              </w:rPr>
            </w:pPr>
            <w:r>
              <w:rPr>
                <w:rFonts w:hint="eastAsia" w:ascii="宋体" w:hAnsi="宋体" w:eastAsia="宋体" w:cs="宋体"/>
                <w:sz w:val="20"/>
                <w:highlight w:val="none"/>
              </w:rPr>
              <w:t>同类型（钢筋混凝土、混凝土、</w:t>
            </w:r>
            <w:r>
              <w:rPr>
                <w:rFonts w:hint="eastAsia" w:ascii="宋体" w:hAnsi="宋体" w:eastAsia="宋体" w:cs="宋体"/>
                <w:spacing w:val="-1"/>
                <w:sz w:val="20"/>
                <w:highlight w:val="none"/>
              </w:rPr>
              <w:t>砖石及其他砌体），以立方米</w:t>
            </w:r>
          </w:p>
          <w:p w14:paraId="18CCABD1">
            <w:pPr>
              <w:spacing w:line="260" w:lineRule="exact"/>
              <w:ind w:left="109"/>
              <w:rPr>
                <w:rFonts w:hint="eastAsia" w:ascii="宋体" w:hAnsi="宋体" w:eastAsia="宋体" w:cs="宋体"/>
                <w:highlight w:val="none"/>
              </w:rPr>
            </w:pPr>
            <w:r>
              <w:rPr>
                <w:rFonts w:hint="eastAsia" w:ascii="宋体" w:hAnsi="宋体" w:eastAsia="宋体" w:cs="宋体"/>
                <w:spacing w:val="-1"/>
                <w:sz w:val="20"/>
                <w:highlight w:val="none"/>
              </w:rPr>
              <w:t>为单位计量</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B0DAD19">
            <w:pPr>
              <w:spacing w:line="260" w:lineRule="exact"/>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挖除；</w:t>
            </w:r>
          </w:p>
          <w:p w14:paraId="207F8FCB">
            <w:pPr>
              <w:spacing w:line="260" w:lineRule="exact"/>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装卸、移运、废料处</w:t>
            </w:r>
            <w:r>
              <w:rPr>
                <w:rFonts w:hint="eastAsia" w:ascii="宋体" w:hAnsi="宋体" w:eastAsia="宋体" w:cs="宋体"/>
                <w:spacing w:val="-1"/>
                <w:sz w:val="20"/>
                <w:highlight w:val="none"/>
              </w:rPr>
              <w:t>理；</w:t>
            </w:r>
          </w:p>
          <w:p w14:paraId="77C1F144">
            <w:pPr>
              <w:spacing w:line="260" w:lineRule="exact"/>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坑穴回填、压实；</w:t>
            </w:r>
          </w:p>
          <w:p w14:paraId="531A8C47">
            <w:pPr>
              <w:spacing w:line="260" w:lineRule="exact"/>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场地清理、平整</w:t>
            </w:r>
          </w:p>
        </w:tc>
      </w:tr>
      <w:tr w14:paraId="6B1C677B">
        <w:tblPrEx>
          <w:tblCellMar>
            <w:top w:w="0" w:type="dxa"/>
            <w:left w:w="108" w:type="dxa"/>
            <w:bottom w:w="0" w:type="dxa"/>
            <w:right w:w="108" w:type="dxa"/>
          </w:tblCellMar>
        </w:tblPrEx>
        <w:trPr>
          <w:trHeight w:val="37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A1B6B90">
            <w:pPr>
              <w:spacing w:line="325" w:lineRule="exact"/>
              <w:ind w:left="260"/>
              <w:rPr>
                <w:rFonts w:hint="eastAsia" w:ascii="宋体" w:hAnsi="宋体" w:eastAsia="宋体" w:cs="宋体"/>
                <w:highlight w:val="none"/>
              </w:rPr>
            </w:pPr>
            <w:r>
              <w:rPr>
                <w:rFonts w:hint="eastAsia" w:ascii="宋体" w:hAnsi="宋体" w:eastAsia="宋体" w:cs="宋体"/>
                <w:spacing w:val="-1"/>
                <w:sz w:val="20"/>
                <w:highlight w:val="none"/>
              </w:rPr>
              <w:t>203-1</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7BB0B75">
            <w:pPr>
              <w:spacing w:line="333" w:lineRule="exact"/>
              <w:ind w:left="281"/>
              <w:rPr>
                <w:rFonts w:hint="eastAsia" w:ascii="宋体" w:hAnsi="宋体" w:eastAsia="宋体" w:cs="宋体"/>
                <w:highlight w:val="none"/>
              </w:rPr>
            </w:pPr>
            <w:r>
              <w:rPr>
                <w:rFonts w:hint="eastAsia" w:ascii="宋体" w:hAnsi="宋体" w:eastAsia="宋体" w:cs="宋体"/>
                <w:spacing w:val="-1"/>
                <w:sz w:val="20"/>
                <w:highlight w:val="none"/>
              </w:rPr>
              <w:t>路基挖方</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7D080F2">
            <w:pPr>
              <w:spacing w:line="333" w:lineRule="exact"/>
              <w:rPr>
                <w:rFonts w:hint="eastAsia" w:ascii="宋体" w:hAnsi="宋体" w:eastAsia="宋体" w:cs="宋体"/>
                <w:highlight w:val="none"/>
              </w:rPr>
            </w:pP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0357392">
            <w:pPr>
              <w:spacing w:line="333" w:lineRule="exact"/>
              <w:rPr>
                <w:rFonts w:hint="eastAsia" w:ascii="宋体" w:hAnsi="宋体" w:eastAsia="宋体" w:cs="宋体"/>
                <w:highlight w:val="none"/>
              </w:rPr>
            </w:pP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8237100">
            <w:pPr>
              <w:spacing w:line="333" w:lineRule="exact"/>
              <w:rPr>
                <w:rFonts w:hint="eastAsia" w:ascii="宋体" w:hAnsi="宋体" w:eastAsia="宋体" w:cs="宋体"/>
                <w:highlight w:val="none"/>
              </w:rPr>
            </w:pPr>
          </w:p>
        </w:tc>
      </w:tr>
      <w:tr w14:paraId="040914B2">
        <w:tblPrEx>
          <w:tblCellMar>
            <w:top w:w="0" w:type="dxa"/>
            <w:left w:w="108" w:type="dxa"/>
            <w:bottom w:w="0" w:type="dxa"/>
            <w:right w:w="108" w:type="dxa"/>
          </w:tblCellMar>
        </w:tblPrEx>
        <w:trPr>
          <w:trHeight w:val="231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481D49A">
            <w:pPr>
              <w:spacing w:line="1097" w:lineRule="exact"/>
              <w:ind w:left="423"/>
              <w:rPr>
                <w:rFonts w:hint="eastAsia" w:ascii="宋体" w:hAnsi="宋体" w:eastAsia="宋体" w:cs="宋体"/>
                <w:highlight w:val="none"/>
              </w:rPr>
            </w:pPr>
            <w:r>
              <w:rPr>
                <w:rFonts w:hint="eastAsia" w:ascii="宋体" w:hAnsi="宋体" w:eastAsia="宋体" w:cs="宋体"/>
                <w:spacing w:val="-1"/>
                <w:sz w:val="20"/>
                <w:highlight w:val="none"/>
              </w:rPr>
              <w:t>-a</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E8CE085">
            <w:pPr>
              <w:spacing w:line="1105" w:lineRule="exact"/>
              <w:ind w:left="281"/>
              <w:rPr>
                <w:rFonts w:hint="eastAsia" w:ascii="宋体" w:hAnsi="宋体" w:eastAsia="宋体" w:cs="宋体"/>
                <w:highlight w:val="none"/>
              </w:rPr>
            </w:pPr>
            <w:r>
              <w:rPr>
                <w:rFonts w:hint="eastAsia" w:ascii="宋体" w:hAnsi="宋体" w:eastAsia="宋体" w:cs="宋体"/>
                <w:spacing w:val="-1"/>
                <w:sz w:val="20"/>
                <w:highlight w:val="none"/>
              </w:rPr>
              <w:t>挖土方</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55F0D4D">
            <w:pPr>
              <w:spacing w:line="1065"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C8C3419">
            <w:pPr>
              <w:spacing w:line="260" w:lineRule="exact"/>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依据图纸所示地面线、路</w:t>
            </w:r>
          </w:p>
          <w:p w14:paraId="39E79451">
            <w:pPr>
              <w:spacing w:line="260" w:lineRule="exact"/>
              <w:rPr>
                <w:rFonts w:hint="eastAsia" w:ascii="宋体" w:hAnsi="宋体" w:eastAsia="宋体" w:cs="宋体"/>
                <w:highlight w:val="none"/>
              </w:rPr>
            </w:pPr>
            <w:r>
              <w:rPr>
                <w:rFonts w:hint="eastAsia" w:ascii="宋体" w:hAnsi="宋体" w:eastAsia="宋体" w:cs="宋体"/>
                <w:spacing w:val="-1"/>
                <w:sz w:val="20"/>
                <w:highlight w:val="none"/>
              </w:rPr>
              <w:t>基设计横断面图、路基土石比</w:t>
            </w:r>
          </w:p>
          <w:p w14:paraId="65F54C7F">
            <w:pPr>
              <w:spacing w:line="260" w:lineRule="exact"/>
              <w:rPr>
                <w:rFonts w:hint="eastAsia" w:ascii="宋体" w:hAnsi="宋体" w:eastAsia="宋体" w:cs="宋体"/>
                <w:highlight w:val="none"/>
              </w:rPr>
            </w:pPr>
            <w:r>
              <w:rPr>
                <w:rFonts w:hint="eastAsia" w:ascii="宋体" w:hAnsi="宋体" w:eastAsia="宋体" w:cs="宋体"/>
                <w:spacing w:val="-1"/>
                <w:sz w:val="20"/>
                <w:highlight w:val="none"/>
              </w:rPr>
              <w:t>例，采用平均断面面积法计</w:t>
            </w:r>
          </w:p>
          <w:p w14:paraId="5DC00D45">
            <w:pPr>
              <w:spacing w:line="260" w:lineRule="exact"/>
              <w:rPr>
                <w:rFonts w:hint="eastAsia" w:ascii="宋体" w:hAnsi="宋体" w:eastAsia="宋体" w:cs="宋体"/>
                <w:highlight w:val="none"/>
              </w:rPr>
            </w:pPr>
            <w:r>
              <w:rPr>
                <w:rFonts w:hint="eastAsia" w:ascii="宋体" w:hAnsi="宋体" w:eastAsia="宋体" w:cs="宋体"/>
                <w:spacing w:val="-1"/>
                <w:sz w:val="20"/>
                <w:highlight w:val="none"/>
              </w:rPr>
              <w:t>算，包括边沟、排水沟、截水</w:t>
            </w:r>
          </w:p>
          <w:p w14:paraId="350F9D49">
            <w:pPr>
              <w:spacing w:line="260" w:lineRule="exact"/>
              <w:rPr>
                <w:rFonts w:hint="eastAsia" w:ascii="宋体" w:hAnsi="宋体" w:eastAsia="宋体" w:cs="宋体"/>
                <w:highlight w:val="none"/>
              </w:rPr>
            </w:pPr>
            <w:r>
              <w:rPr>
                <w:rFonts w:hint="eastAsia" w:ascii="宋体" w:hAnsi="宋体" w:eastAsia="宋体" w:cs="宋体"/>
                <w:spacing w:val="-1"/>
                <w:sz w:val="20"/>
                <w:highlight w:val="none"/>
              </w:rPr>
              <w:t>沟的土方，按照天然密实体积</w:t>
            </w:r>
          </w:p>
          <w:p w14:paraId="4F618ABC">
            <w:pPr>
              <w:spacing w:line="260" w:lineRule="exact"/>
              <w:rPr>
                <w:rFonts w:hint="eastAsia" w:ascii="宋体" w:hAnsi="宋体" w:eastAsia="宋体" w:cs="宋体"/>
                <w:highlight w:val="none"/>
              </w:rPr>
            </w:pPr>
            <w:r>
              <w:rPr>
                <w:rFonts w:hint="eastAsia" w:ascii="宋体" w:hAnsi="宋体" w:eastAsia="宋体" w:cs="宋体"/>
                <w:spacing w:val="-1"/>
                <w:sz w:val="20"/>
                <w:highlight w:val="none"/>
              </w:rPr>
              <w:t>以立方米为单位计量；</w:t>
            </w:r>
          </w:p>
          <w:p w14:paraId="0A9CAA0C">
            <w:pPr>
              <w:spacing w:line="260" w:lineRule="exact"/>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在挖土方路段、零填挖路</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E5587EF">
            <w:pPr>
              <w:spacing w:line="260" w:lineRule="exact"/>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挖、装、运输、卸车；</w:t>
            </w:r>
          </w:p>
          <w:p w14:paraId="3455AEDF">
            <w:pPr>
              <w:spacing w:line="260" w:lineRule="exact"/>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填料分理、弃土整形、</w:t>
            </w:r>
            <w:r>
              <w:rPr>
                <w:rFonts w:hint="eastAsia" w:ascii="宋体" w:hAnsi="宋体" w:eastAsia="宋体" w:cs="宋体"/>
                <w:spacing w:val="-1"/>
                <w:sz w:val="20"/>
                <w:highlight w:val="none"/>
              </w:rPr>
              <w:t>压实；</w:t>
            </w:r>
          </w:p>
          <w:p w14:paraId="0B35050E">
            <w:pPr>
              <w:spacing w:line="260" w:lineRule="exact"/>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施工排水处理；</w:t>
            </w:r>
          </w:p>
          <w:p w14:paraId="61C9B70B">
            <w:pPr>
              <w:spacing w:line="260" w:lineRule="exact"/>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边坡整修、路床顶面以下挖松深</w:t>
            </w:r>
            <w:r>
              <w:rPr>
                <w:rFonts w:hint="eastAsia" w:ascii="宋体" w:hAnsi="宋体" w:eastAsia="宋体" w:cs="宋体"/>
                <w:sz w:val="20"/>
                <w:highlight w:val="none"/>
              </w:rPr>
              <w:t> </w:t>
            </w:r>
            <w:r>
              <w:rPr>
                <w:rFonts w:hint="eastAsia" w:ascii="宋体" w:hAnsi="宋体" w:eastAsia="宋体" w:cs="宋体"/>
                <w:spacing w:val="-1"/>
                <w:sz w:val="20"/>
                <w:highlight w:val="none"/>
              </w:rPr>
              <w:t>300mm</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再压</w:t>
            </w:r>
            <w:r>
              <w:rPr>
                <w:rFonts w:hint="eastAsia" w:ascii="宋体" w:hAnsi="宋体" w:eastAsia="宋体" w:cs="宋体"/>
                <w:spacing w:val="-1"/>
                <w:sz w:val="20"/>
                <w:highlight w:val="none"/>
              </w:rPr>
              <w:t>实、路床清理</w:t>
            </w:r>
          </w:p>
        </w:tc>
      </w:tr>
    </w:tbl>
    <w:p w14:paraId="3D4E3AAD">
      <w:pPr>
        <w:spacing w:line="242" w:lineRule="auto"/>
        <w:jc w:val="both"/>
        <w:rPr>
          <w:rFonts w:hint="eastAsia" w:ascii="宋体" w:hAnsi="宋体" w:eastAsia="宋体" w:cs="宋体"/>
          <w:sz w:val="21"/>
          <w:highlight w:val="none"/>
        </w:rPr>
        <w:sectPr>
          <w:footerReference r:id="rId15" w:type="default"/>
          <w:pgSz w:w="11910" w:h="16840"/>
          <w:pgMar w:top="1440" w:right="1080" w:bottom="1040" w:left="1420" w:header="882" w:footer="847" w:gutter="0"/>
          <w:cols w:space="720" w:num="1"/>
        </w:sectPr>
      </w:pPr>
    </w:p>
    <w:p w14:paraId="14BDE9D1">
      <w:pPr>
        <w:pStyle w:val="10"/>
        <w:spacing w:before="10"/>
        <w:rPr>
          <w:rFonts w:hint="eastAsia" w:ascii="宋体" w:hAnsi="宋体" w:eastAsia="宋体" w:cs="宋体"/>
          <w:sz w:val="11"/>
          <w:highlight w:val="none"/>
        </w:rPr>
      </w:pPr>
    </w:p>
    <w:tbl>
      <w:tblPr>
        <w:tblStyle w:val="24"/>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14:paraId="38EB1086">
        <w:tblPrEx>
          <w:tblCellMar>
            <w:top w:w="0" w:type="dxa"/>
            <w:left w:w="108" w:type="dxa"/>
            <w:bottom w:w="0" w:type="dxa"/>
            <w:right w:w="108" w:type="dxa"/>
          </w:tblCellMar>
        </w:tblPrEx>
        <w:trPr>
          <w:trHeight w:val="3823"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EC694EC">
            <w:pPr>
              <w:spacing w:line="237" w:lineRule="exact"/>
              <w:rPr>
                <w:rFonts w:hint="eastAsia" w:ascii="宋体" w:hAnsi="宋体" w:eastAsia="宋体" w:cs="宋体"/>
                <w:highlight w:val="none"/>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099DE21">
            <w:pPr>
              <w:spacing w:line="237" w:lineRule="exact"/>
              <w:rPr>
                <w:rFonts w:hint="eastAsia" w:ascii="宋体" w:hAnsi="宋体" w:eastAsia="宋体" w:cs="宋体"/>
                <w:highlight w:val="none"/>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68E9E90">
            <w:pPr>
              <w:spacing w:line="237" w:lineRule="exact"/>
              <w:rPr>
                <w:rFonts w:hint="eastAsia" w:ascii="宋体" w:hAnsi="宋体" w:eastAsia="宋体" w:cs="宋体"/>
                <w:highlight w:val="none"/>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D0E11D7">
            <w:pPr>
              <w:spacing w:line="245" w:lineRule="exact"/>
              <w:ind w:left="109"/>
              <w:rPr>
                <w:rFonts w:hint="eastAsia" w:ascii="宋体" w:hAnsi="宋体" w:eastAsia="宋体" w:cs="宋体"/>
                <w:highlight w:val="none"/>
              </w:rPr>
            </w:pPr>
            <w:r>
              <w:rPr>
                <w:rFonts w:hint="eastAsia" w:ascii="宋体" w:hAnsi="宋体" w:eastAsia="宋体" w:cs="宋体"/>
                <w:spacing w:val="-1"/>
                <w:sz w:val="20"/>
                <w:highlight w:val="none"/>
              </w:rPr>
              <w:t>段、低填路段的路床顶面以下</w:t>
            </w:r>
          </w:p>
          <w:p w14:paraId="04BE367E">
            <w:pPr>
              <w:spacing w:line="308" w:lineRule="exact"/>
              <w:ind w:left="109"/>
              <w:rPr>
                <w:rFonts w:hint="eastAsia" w:ascii="宋体" w:hAnsi="宋体" w:eastAsia="宋体" w:cs="宋体"/>
                <w:highlight w:val="none"/>
              </w:rPr>
            </w:pPr>
            <w:r>
              <w:rPr>
                <w:rFonts w:hint="eastAsia" w:ascii="宋体" w:hAnsi="宋体" w:eastAsia="宋体" w:cs="宋体"/>
                <w:spacing w:val="-1"/>
                <w:sz w:val="20"/>
                <w:highlight w:val="none"/>
              </w:rPr>
              <w:t>0</w:t>
            </w:r>
            <w:r>
              <w:rPr>
                <w:rFonts w:hint="eastAsia" w:ascii="宋体" w:hAnsi="宋体" w:eastAsia="宋体" w:cs="宋体"/>
                <w:spacing w:val="-1"/>
                <w:position w:val="1"/>
                <w:sz w:val="20"/>
                <w:highlight w:val="none"/>
              </w:rPr>
              <w:t>～</w:t>
            </w:r>
            <w:r>
              <w:rPr>
                <w:rFonts w:hint="eastAsia" w:ascii="宋体" w:hAnsi="宋体" w:eastAsia="宋体" w:cs="宋体"/>
                <w:spacing w:val="-1"/>
                <w:sz w:val="20"/>
                <w:highlight w:val="none"/>
              </w:rPr>
              <w:t>800mm</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范围内的压实度不</w:t>
            </w:r>
          </w:p>
          <w:p w14:paraId="099DFCCC">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满足技术规范要求时，按规范</w:t>
            </w:r>
          </w:p>
          <w:p w14:paraId="381511BE">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要求所采取的翻松、压实，作</w:t>
            </w:r>
          </w:p>
          <w:p w14:paraId="3B4F4D79">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为挖土方的附属工作，不另行</w:t>
            </w:r>
          </w:p>
          <w:p w14:paraId="48CFAC5A">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计量；</w:t>
            </w:r>
          </w:p>
          <w:p w14:paraId="55BC8A7B">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凡超过图纸或监理人规定</w:t>
            </w:r>
          </w:p>
          <w:p w14:paraId="09DF404F">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尺寸的开挖，均不予计量；</w:t>
            </w:r>
          </w:p>
          <w:p w14:paraId="37344977">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结构物台背回填的挖运土</w:t>
            </w:r>
          </w:p>
          <w:p w14:paraId="6D34C395">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方不另行计量，桥梁及明涵的</w:t>
            </w:r>
          </w:p>
          <w:p w14:paraId="0CCC376A">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搭板、埋板下的路面结构层在</w:t>
            </w:r>
          </w:p>
          <w:p w14:paraId="4685F479">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相应章节内计量；</w:t>
            </w:r>
          </w:p>
          <w:p w14:paraId="40529848">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挖台阶的土方作为附属工</w:t>
            </w:r>
          </w:p>
          <w:p w14:paraId="56C10793">
            <w:pPr>
              <w:spacing w:line="236" w:lineRule="exact"/>
              <w:ind w:left="109"/>
              <w:rPr>
                <w:rFonts w:hint="eastAsia" w:ascii="宋体" w:hAnsi="宋体" w:eastAsia="宋体" w:cs="宋体"/>
                <w:highlight w:val="none"/>
              </w:rPr>
            </w:pPr>
            <w:r>
              <w:rPr>
                <w:rFonts w:hint="eastAsia" w:ascii="宋体" w:hAnsi="宋体" w:eastAsia="宋体" w:cs="宋体"/>
                <w:spacing w:val="-1"/>
                <w:sz w:val="20"/>
                <w:highlight w:val="none"/>
              </w:rPr>
              <w:t>作，不另行计量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92FCEED">
            <w:pPr>
              <w:spacing w:line="236" w:lineRule="exact"/>
              <w:rPr>
                <w:rFonts w:hint="eastAsia" w:ascii="宋体" w:hAnsi="宋体" w:eastAsia="宋体" w:cs="宋体"/>
                <w:highlight w:val="none"/>
              </w:rPr>
            </w:pPr>
          </w:p>
        </w:tc>
      </w:tr>
      <w:tr w14:paraId="5C3DB75C">
        <w:tblPrEx>
          <w:tblCellMar>
            <w:top w:w="0" w:type="dxa"/>
            <w:left w:w="108" w:type="dxa"/>
            <w:bottom w:w="0" w:type="dxa"/>
            <w:right w:w="108" w:type="dxa"/>
          </w:tblCellMar>
        </w:tblPrEx>
        <w:trPr>
          <w:trHeight w:val="4095"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746828E">
            <w:pPr>
              <w:spacing w:line="2185" w:lineRule="exact"/>
              <w:ind w:left="416"/>
              <w:rPr>
                <w:rFonts w:hint="eastAsia" w:ascii="宋体" w:hAnsi="宋体" w:eastAsia="宋体" w:cs="宋体"/>
                <w:highlight w:val="none"/>
              </w:rPr>
            </w:pPr>
            <w:r>
              <w:rPr>
                <w:rFonts w:hint="eastAsia" w:ascii="宋体" w:hAnsi="宋体" w:eastAsia="宋体" w:cs="宋体"/>
                <w:spacing w:val="-1"/>
                <w:sz w:val="20"/>
                <w:highlight w:val="none"/>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142094D">
            <w:pPr>
              <w:spacing w:line="2194" w:lineRule="exact"/>
              <w:ind w:left="281"/>
              <w:rPr>
                <w:rFonts w:hint="eastAsia" w:ascii="宋体" w:hAnsi="宋体" w:eastAsia="宋体" w:cs="宋体"/>
                <w:highlight w:val="none"/>
              </w:rPr>
            </w:pPr>
            <w:r>
              <w:rPr>
                <w:rFonts w:hint="eastAsia" w:ascii="宋体" w:hAnsi="宋体" w:eastAsia="宋体" w:cs="宋体"/>
                <w:spacing w:val="-1"/>
                <w:sz w:val="20"/>
                <w:highlight w:val="none"/>
              </w:rPr>
              <w:t>挖石方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3771D90">
            <w:pPr>
              <w:spacing w:line="2154"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B67422C">
            <w:pPr>
              <w:spacing w:line="280"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依据图纸所示地面线、路</w:t>
            </w:r>
          </w:p>
          <w:p w14:paraId="3229280D">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基设计横断面图、路基土石比</w:t>
            </w:r>
          </w:p>
          <w:p w14:paraId="3FF11CCE">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例，按平均断面积法计算，包</w:t>
            </w:r>
          </w:p>
          <w:p w14:paraId="6783CF46">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括边沟、排水沟、截水沟的石</w:t>
            </w:r>
          </w:p>
          <w:p w14:paraId="55A2D6E3">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方，按照天然体积以立方米为</w:t>
            </w:r>
          </w:p>
          <w:p w14:paraId="5C2B3DB6">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单位计量；</w:t>
            </w:r>
          </w:p>
          <w:p w14:paraId="7F77A5A8">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凡超过图纸或监理人规定</w:t>
            </w:r>
          </w:p>
          <w:p w14:paraId="37769F64">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尺寸的开挖，均不予计量；</w:t>
            </w:r>
          </w:p>
          <w:p w14:paraId="4D3AF0F7">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爆破安全措施、运输</w:t>
            </w:r>
            <w:r>
              <w:rPr>
                <w:rFonts w:hint="eastAsia" w:ascii="宋体" w:hAnsi="宋体" w:eastAsia="宋体" w:cs="宋体"/>
                <w:spacing w:val="-1"/>
                <w:sz w:val="20"/>
                <w:highlight w:val="none"/>
              </w:rPr>
              <w:t>(</w:t>
            </w:r>
            <w:r>
              <w:rPr>
                <w:rFonts w:hint="eastAsia" w:ascii="宋体" w:hAnsi="宋体" w:eastAsia="宋体" w:cs="宋体"/>
                <w:spacing w:val="-1"/>
                <w:position w:val="1"/>
                <w:sz w:val="20"/>
                <w:highlight w:val="none"/>
              </w:rPr>
              <w:t>不论</w:t>
            </w:r>
          </w:p>
          <w:p w14:paraId="6574DF78">
            <w:pPr>
              <w:spacing w:line="274" w:lineRule="exact"/>
              <w:ind w:left="109"/>
              <w:rPr>
                <w:rFonts w:hint="eastAsia" w:ascii="宋体" w:hAnsi="宋体" w:eastAsia="宋体" w:cs="宋体"/>
                <w:highlight w:val="none"/>
              </w:rPr>
            </w:pPr>
            <w:r>
              <w:rPr>
                <w:rFonts w:hint="eastAsia" w:ascii="宋体" w:hAnsi="宋体" w:eastAsia="宋体" w:cs="宋体"/>
                <w:spacing w:val="-1"/>
                <w:position w:val="1"/>
                <w:sz w:val="20"/>
                <w:highlight w:val="none"/>
              </w:rPr>
              <w:t>运距远近</w:t>
            </w:r>
            <w:r>
              <w:rPr>
                <w:rFonts w:hint="eastAsia" w:ascii="宋体" w:hAnsi="宋体" w:eastAsia="宋体" w:cs="宋体"/>
                <w:spacing w:val="-1"/>
                <w:sz w:val="20"/>
                <w:highlight w:val="none"/>
              </w:rPr>
              <w:t>)</w:t>
            </w:r>
            <w:r>
              <w:rPr>
                <w:rFonts w:hint="eastAsia" w:ascii="宋体" w:hAnsi="宋体" w:eastAsia="宋体" w:cs="宋体"/>
                <w:spacing w:val="-1"/>
                <w:position w:val="1"/>
                <w:sz w:val="20"/>
                <w:highlight w:val="none"/>
              </w:rPr>
              <w:t>和堆放、质量检验、</w:t>
            </w:r>
          </w:p>
          <w:p w14:paraId="736C325B">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临时道路和临时排水均属于</w:t>
            </w:r>
          </w:p>
          <w:p w14:paraId="0A77D95A">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附属工作，不另行计量与支</w:t>
            </w:r>
          </w:p>
          <w:p w14:paraId="35538A80">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付；</w:t>
            </w:r>
          </w:p>
          <w:p w14:paraId="3973FE46">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挖台阶的土方作为附属工</w:t>
            </w:r>
          </w:p>
          <w:p w14:paraId="76A20904">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作，不另行计量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8BC3993">
            <w:pPr>
              <w:spacing w:line="1232"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石方爆破；</w:t>
            </w:r>
          </w:p>
          <w:p w14:paraId="42A51B6F">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挖、装、运输、卸车；</w:t>
            </w:r>
          </w:p>
          <w:p w14:paraId="37AB1823">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填料分理、弃土整形、</w:t>
            </w:r>
          </w:p>
          <w:p w14:paraId="6D87CE00">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压实；</w:t>
            </w:r>
          </w:p>
          <w:p w14:paraId="6575B9A9">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施工排水处理；</w:t>
            </w:r>
          </w:p>
          <w:p w14:paraId="3F38F508">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边坡整修、路床顶面</w:t>
            </w:r>
          </w:p>
          <w:p w14:paraId="36366F73">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凿平或填平压实、路床清</w:t>
            </w:r>
          </w:p>
          <w:p w14:paraId="1DD39C27">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理</w:t>
            </w:r>
          </w:p>
        </w:tc>
      </w:tr>
      <w:tr w14:paraId="07F11A5F">
        <w:tblPrEx>
          <w:tblCellMar>
            <w:top w:w="0" w:type="dxa"/>
            <w:left w:w="108" w:type="dxa"/>
            <w:bottom w:w="0" w:type="dxa"/>
            <w:right w:w="108" w:type="dxa"/>
          </w:tblCellMar>
        </w:tblPrEx>
        <w:trPr>
          <w:trHeight w:val="1099"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5FD70F5">
            <w:pPr>
              <w:spacing w:line="687" w:lineRule="exact"/>
              <w:ind w:left="423"/>
              <w:rPr>
                <w:rFonts w:hint="eastAsia" w:ascii="宋体" w:hAnsi="宋体" w:eastAsia="宋体" w:cs="宋体"/>
                <w:highlight w:val="none"/>
              </w:rPr>
            </w:pPr>
            <w:r>
              <w:rPr>
                <w:rFonts w:hint="eastAsia" w:ascii="宋体" w:hAnsi="宋体" w:eastAsia="宋体" w:cs="宋体"/>
                <w:spacing w:val="-1"/>
                <w:sz w:val="20"/>
                <w:highlight w:val="none"/>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A7AB71D">
            <w:pPr>
              <w:spacing w:line="515" w:lineRule="exact"/>
              <w:ind w:left="281"/>
              <w:rPr>
                <w:rFonts w:hint="eastAsia" w:ascii="宋体" w:hAnsi="宋体" w:eastAsia="宋体" w:cs="宋体"/>
                <w:highlight w:val="none"/>
              </w:rPr>
            </w:pPr>
            <w:r>
              <w:rPr>
                <w:rFonts w:hint="eastAsia" w:ascii="宋体" w:hAnsi="宋体" w:eastAsia="宋体" w:cs="宋体"/>
                <w:spacing w:val="-1"/>
                <w:sz w:val="20"/>
                <w:highlight w:val="none"/>
              </w:rPr>
              <w:t>挖除非适用材</w:t>
            </w:r>
          </w:p>
          <w:p w14:paraId="072755DC">
            <w:pPr>
              <w:spacing w:line="360" w:lineRule="exact"/>
              <w:ind w:left="109"/>
              <w:rPr>
                <w:rFonts w:hint="eastAsia" w:ascii="宋体" w:hAnsi="宋体" w:eastAsia="宋体" w:cs="宋体"/>
                <w:highlight w:val="none"/>
              </w:rPr>
            </w:pPr>
            <w:r>
              <w:rPr>
                <w:rFonts w:hint="eastAsia" w:ascii="宋体" w:hAnsi="宋体" w:eastAsia="宋体" w:cs="宋体"/>
                <w:spacing w:val="-1"/>
                <w:sz w:val="20"/>
                <w:highlight w:val="none"/>
              </w:rPr>
              <w:t>料（不含淤泥）</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37AFBCB">
            <w:pPr>
              <w:spacing w:line="655"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A5BB171">
            <w:pPr>
              <w:spacing w:line="379"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依据图纸所示位置，挖除路</w:t>
            </w:r>
          </w:p>
          <w:p w14:paraId="3C1EC1D4">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基范围内非适用材料（不含淤</w:t>
            </w:r>
          </w:p>
          <w:p w14:paraId="5CB52EE8">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泥）以立方米为单位计量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0410E3D">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施工排水处理；</w:t>
            </w:r>
          </w:p>
          <w:p w14:paraId="41208C3B">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挖除、装载、运输、</w:t>
            </w:r>
          </w:p>
          <w:p w14:paraId="4577A1FB">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卸车、堆放、弃土整形；</w:t>
            </w:r>
          </w:p>
          <w:p w14:paraId="71DEAB04">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现场清理</w:t>
            </w:r>
          </w:p>
        </w:tc>
      </w:tr>
      <w:tr w14:paraId="7546F798">
        <w:tblPrEx>
          <w:tblCellMar>
            <w:top w:w="0" w:type="dxa"/>
            <w:left w:w="108" w:type="dxa"/>
            <w:bottom w:w="0" w:type="dxa"/>
            <w:right w:w="108" w:type="dxa"/>
          </w:tblCellMar>
        </w:tblPrEx>
        <w:trPr>
          <w:trHeight w:val="110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99308C9">
            <w:pPr>
              <w:spacing w:line="687" w:lineRule="exact"/>
              <w:ind w:left="416"/>
              <w:rPr>
                <w:rFonts w:hint="eastAsia" w:ascii="宋体" w:hAnsi="宋体" w:eastAsia="宋体" w:cs="宋体"/>
                <w:highlight w:val="none"/>
              </w:rPr>
            </w:pPr>
            <w:r>
              <w:rPr>
                <w:rFonts w:hint="eastAsia" w:ascii="宋体" w:hAnsi="宋体" w:eastAsia="宋体" w:cs="宋体"/>
                <w:spacing w:val="-1"/>
                <w:sz w:val="20"/>
                <w:highlight w:val="none"/>
              </w:rPr>
              <w:t>-d</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D263D88">
            <w:pPr>
              <w:spacing w:line="698" w:lineRule="exact"/>
              <w:ind w:left="281"/>
              <w:rPr>
                <w:rFonts w:hint="eastAsia" w:ascii="宋体" w:hAnsi="宋体" w:eastAsia="宋体" w:cs="宋体"/>
                <w:highlight w:val="none"/>
              </w:rPr>
            </w:pPr>
            <w:r>
              <w:rPr>
                <w:rFonts w:hint="eastAsia" w:ascii="宋体" w:hAnsi="宋体" w:eastAsia="宋体" w:cs="宋体"/>
                <w:spacing w:val="-1"/>
                <w:sz w:val="20"/>
                <w:highlight w:val="none"/>
              </w:rPr>
              <w:t>挖淤泥</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AFB2B18">
            <w:pPr>
              <w:spacing w:line="656"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60D97BF">
            <w:pPr>
              <w:spacing w:line="381"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依据图纸所示位置，挖除路</w:t>
            </w:r>
          </w:p>
          <w:p w14:paraId="5753EC8B">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基范围内淤泥以立方米为单</w:t>
            </w:r>
          </w:p>
          <w:p w14:paraId="28136C8B">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15BFC77">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施工排水处理；</w:t>
            </w:r>
          </w:p>
          <w:p w14:paraId="60CE51CB">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挖除、装载、运输、</w:t>
            </w:r>
          </w:p>
          <w:p w14:paraId="18E9E2AE">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卸车、堆放、弃土整形；</w:t>
            </w:r>
          </w:p>
          <w:p w14:paraId="799773E6">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现场清理</w:t>
            </w:r>
          </w:p>
        </w:tc>
      </w:tr>
      <w:tr w14:paraId="67E27C2A">
        <w:tblPrEx>
          <w:tblCellMar>
            <w:top w:w="0" w:type="dxa"/>
            <w:left w:w="108" w:type="dxa"/>
            <w:bottom w:w="0" w:type="dxa"/>
            <w:right w:w="108" w:type="dxa"/>
          </w:tblCellMar>
        </w:tblPrEx>
        <w:trPr>
          <w:trHeight w:val="73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EA09DF5">
            <w:pPr>
              <w:spacing w:line="504" w:lineRule="exact"/>
              <w:ind w:left="260"/>
              <w:rPr>
                <w:rFonts w:hint="eastAsia" w:ascii="宋体" w:hAnsi="宋体" w:eastAsia="宋体" w:cs="宋体"/>
                <w:highlight w:val="none"/>
              </w:rPr>
            </w:pPr>
            <w:r>
              <w:rPr>
                <w:rFonts w:hint="eastAsia" w:ascii="宋体" w:hAnsi="宋体" w:eastAsia="宋体" w:cs="宋体"/>
                <w:spacing w:val="-1"/>
                <w:sz w:val="20"/>
                <w:highlight w:val="none"/>
              </w:rPr>
              <w:t>203-2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4CD41D8">
            <w:pPr>
              <w:spacing w:line="332" w:lineRule="exact"/>
              <w:ind w:left="281"/>
              <w:rPr>
                <w:rFonts w:hint="eastAsia" w:ascii="宋体" w:hAnsi="宋体" w:eastAsia="宋体" w:cs="宋体"/>
                <w:highlight w:val="none"/>
              </w:rPr>
            </w:pPr>
            <w:r>
              <w:rPr>
                <w:rFonts w:hint="eastAsia" w:ascii="宋体" w:hAnsi="宋体" w:eastAsia="宋体" w:cs="宋体"/>
                <w:spacing w:val="-1"/>
                <w:sz w:val="20"/>
                <w:highlight w:val="none"/>
              </w:rPr>
              <w:t>改河、改渠、</w:t>
            </w:r>
          </w:p>
          <w:p w14:paraId="6E75EF6A">
            <w:pPr>
              <w:spacing w:line="360" w:lineRule="exact"/>
              <w:ind w:left="109"/>
              <w:rPr>
                <w:rFonts w:hint="eastAsia" w:ascii="宋体" w:hAnsi="宋体" w:eastAsia="宋体" w:cs="宋体"/>
                <w:highlight w:val="none"/>
              </w:rPr>
            </w:pPr>
            <w:r>
              <w:rPr>
                <w:rFonts w:hint="eastAsia" w:ascii="宋体" w:hAnsi="宋体" w:eastAsia="宋体" w:cs="宋体"/>
                <w:spacing w:val="-1"/>
                <w:sz w:val="20"/>
                <w:highlight w:val="none"/>
              </w:rPr>
              <w:t>改路挖方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A8D0CC4">
            <w:pPr>
              <w:spacing w:line="360" w:lineRule="exact"/>
              <w:rPr>
                <w:rFonts w:hint="eastAsia" w:ascii="宋体" w:hAnsi="宋体" w:eastAsia="宋体" w:cs="宋体"/>
                <w:highlight w:val="none"/>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4B163A6">
            <w:pPr>
              <w:spacing w:line="360"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D699249">
            <w:pPr>
              <w:spacing w:line="360" w:lineRule="exact"/>
              <w:rPr>
                <w:rFonts w:hint="eastAsia" w:ascii="宋体" w:hAnsi="宋体" w:eastAsia="宋体" w:cs="宋体"/>
                <w:highlight w:val="none"/>
              </w:rPr>
            </w:pPr>
          </w:p>
        </w:tc>
      </w:tr>
      <w:tr w14:paraId="7C1B0435">
        <w:tblPrEx>
          <w:tblCellMar>
            <w:top w:w="0" w:type="dxa"/>
            <w:left w:w="108" w:type="dxa"/>
            <w:bottom w:w="0" w:type="dxa"/>
            <w:right w:w="108" w:type="dxa"/>
          </w:tblCellMar>
        </w:tblPrEx>
        <w:trPr>
          <w:trHeight w:val="273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9C30A41">
            <w:pPr>
              <w:spacing w:line="1504" w:lineRule="exact"/>
              <w:ind w:left="423"/>
              <w:rPr>
                <w:rFonts w:hint="eastAsia" w:ascii="宋体" w:hAnsi="宋体" w:eastAsia="宋体" w:cs="宋体"/>
                <w:highlight w:val="none"/>
              </w:rPr>
            </w:pPr>
            <w:r>
              <w:rPr>
                <w:rFonts w:hint="eastAsia" w:ascii="宋体" w:hAnsi="宋体" w:eastAsia="宋体" w:cs="宋体"/>
                <w:spacing w:val="-1"/>
                <w:sz w:val="20"/>
                <w:highlight w:val="none"/>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2A05417">
            <w:pPr>
              <w:spacing w:line="1513" w:lineRule="exact"/>
              <w:ind w:left="281"/>
              <w:rPr>
                <w:rFonts w:hint="eastAsia" w:ascii="宋体" w:hAnsi="宋体" w:eastAsia="宋体" w:cs="宋体"/>
                <w:highlight w:val="none"/>
              </w:rPr>
            </w:pPr>
            <w:r>
              <w:rPr>
                <w:rFonts w:hint="eastAsia" w:ascii="宋体" w:hAnsi="宋体" w:eastAsia="宋体" w:cs="宋体"/>
                <w:spacing w:val="-1"/>
                <w:sz w:val="20"/>
                <w:highlight w:val="none"/>
              </w:rPr>
              <w:t>挖土方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E00D875">
            <w:pPr>
              <w:spacing w:line="1473"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BE13AC4">
            <w:pPr>
              <w:spacing w:line="278"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依据图纸所示地面线、路</w:t>
            </w:r>
          </w:p>
          <w:p w14:paraId="534F1C49">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基设计横断面图、路基土石比</w:t>
            </w:r>
          </w:p>
          <w:p w14:paraId="0AA75DD8">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例，采用平均断面面积法计</w:t>
            </w:r>
          </w:p>
          <w:p w14:paraId="5E10287A">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算，包括边沟、排水沟、截水</w:t>
            </w:r>
          </w:p>
          <w:p w14:paraId="28EC12F4">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沟的土方，按照天然密实体积</w:t>
            </w:r>
          </w:p>
          <w:p w14:paraId="23B7FE78">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以立方米为单位计量；</w:t>
            </w:r>
          </w:p>
          <w:p w14:paraId="7034B56C">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在挖土方路段、零填挖路</w:t>
            </w:r>
          </w:p>
          <w:p w14:paraId="641E4F82">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段、低填路段的路床顶面以下</w:t>
            </w:r>
          </w:p>
          <w:p w14:paraId="4DFDCEFE">
            <w:pPr>
              <w:spacing w:line="306" w:lineRule="exact"/>
              <w:ind w:left="109"/>
              <w:rPr>
                <w:rFonts w:hint="eastAsia" w:ascii="宋体" w:hAnsi="宋体" w:eastAsia="宋体" w:cs="宋体"/>
                <w:highlight w:val="none"/>
              </w:rPr>
            </w:pPr>
            <w:r>
              <w:rPr>
                <w:rFonts w:hint="eastAsia" w:ascii="宋体" w:hAnsi="宋体" w:eastAsia="宋体" w:cs="宋体"/>
                <w:spacing w:val="-1"/>
                <w:sz w:val="20"/>
                <w:highlight w:val="none"/>
              </w:rPr>
              <w:t>0</w:t>
            </w:r>
            <w:r>
              <w:rPr>
                <w:rFonts w:hint="eastAsia" w:ascii="宋体" w:hAnsi="宋体" w:eastAsia="宋体" w:cs="宋体"/>
                <w:spacing w:val="-1"/>
                <w:position w:val="1"/>
                <w:sz w:val="20"/>
                <w:highlight w:val="none"/>
              </w:rPr>
              <w:t>～</w:t>
            </w:r>
            <w:r>
              <w:rPr>
                <w:rFonts w:hint="eastAsia" w:ascii="宋体" w:hAnsi="宋体" w:eastAsia="宋体" w:cs="宋体"/>
                <w:spacing w:val="-1"/>
                <w:sz w:val="20"/>
                <w:highlight w:val="none"/>
              </w:rPr>
              <w:t>800mm</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范围内的压实度不</w:t>
            </w:r>
          </w:p>
          <w:p w14:paraId="264C8972">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满足技术规范要求时，按规范</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D21B31B">
            <w:pPr>
              <w:spacing w:line="686"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挖、装、运输、卸车；</w:t>
            </w:r>
          </w:p>
          <w:p w14:paraId="161501FF">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填料分理、弃土整形、</w:t>
            </w:r>
          </w:p>
          <w:p w14:paraId="2D86E292">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压实；</w:t>
            </w:r>
          </w:p>
          <w:p w14:paraId="29DE62B7">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施工排水处理；</w:t>
            </w:r>
          </w:p>
          <w:p w14:paraId="17E59518">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边坡整修、路床顶面</w:t>
            </w:r>
          </w:p>
          <w:p w14:paraId="1FB22EB7">
            <w:pPr>
              <w:spacing w:line="274" w:lineRule="exact"/>
              <w:ind w:left="108"/>
              <w:rPr>
                <w:rFonts w:hint="eastAsia" w:ascii="宋体" w:hAnsi="宋体" w:eastAsia="宋体" w:cs="宋体"/>
                <w:highlight w:val="none"/>
              </w:rPr>
            </w:pPr>
            <w:r>
              <w:rPr>
                <w:rFonts w:hint="eastAsia" w:ascii="宋体" w:hAnsi="宋体" w:eastAsia="宋体" w:cs="宋体"/>
                <w:spacing w:val="-1"/>
                <w:position w:val="1"/>
                <w:sz w:val="20"/>
                <w:highlight w:val="none"/>
              </w:rPr>
              <w:t>以下挖松深</w:t>
            </w:r>
            <w:r>
              <w:rPr>
                <w:rFonts w:hint="eastAsia" w:ascii="宋体" w:hAnsi="宋体" w:eastAsia="宋体" w:cs="宋体"/>
                <w:sz w:val="20"/>
                <w:highlight w:val="none"/>
              </w:rPr>
              <w:t> </w:t>
            </w:r>
            <w:r>
              <w:rPr>
                <w:rFonts w:hint="eastAsia" w:ascii="宋体" w:hAnsi="宋体" w:eastAsia="宋体" w:cs="宋体"/>
                <w:spacing w:val="-1"/>
                <w:sz w:val="20"/>
                <w:highlight w:val="none"/>
              </w:rPr>
              <w:t>300mm</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再压</w:t>
            </w:r>
          </w:p>
          <w:p w14:paraId="490EB229">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实、路床清理</w:t>
            </w:r>
          </w:p>
        </w:tc>
      </w:tr>
    </w:tbl>
    <w:p w14:paraId="13E5311D">
      <w:pPr>
        <w:rPr>
          <w:rFonts w:hint="eastAsia" w:ascii="宋体" w:hAnsi="宋体" w:eastAsia="宋体" w:cs="宋体"/>
          <w:sz w:val="21"/>
          <w:highlight w:val="none"/>
        </w:rPr>
        <w:sectPr>
          <w:pgSz w:w="11910" w:h="16840"/>
          <w:pgMar w:top="1440" w:right="1080" w:bottom="1040" w:left="1420" w:header="882" w:footer="847" w:gutter="0"/>
          <w:cols w:space="720" w:num="1"/>
        </w:sectPr>
      </w:pPr>
    </w:p>
    <w:p w14:paraId="0F313B88">
      <w:pPr>
        <w:pStyle w:val="10"/>
        <w:spacing w:before="10"/>
        <w:rPr>
          <w:rFonts w:hint="eastAsia" w:ascii="宋体" w:hAnsi="宋体" w:eastAsia="宋体" w:cs="宋体"/>
          <w:sz w:val="11"/>
          <w:highlight w:val="none"/>
        </w:rPr>
      </w:pPr>
    </w:p>
    <w:tbl>
      <w:tblPr>
        <w:tblStyle w:val="24"/>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14:paraId="5AA87123">
        <w:tblPrEx>
          <w:tblCellMar>
            <w:top w:w="0" w:type="dxa"/>
            <w:left w:w="108" w:type="dxa"/>
            <w:bottom w:w="0" w:type="dxa"/>
            <w:right w:w="108" w:type="dxa"/>
          </w:tblCellMar>
        </w:tblPrEx>
        <w:trPr>
          <w:trHeight w:val="3006"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66165DE">
            <w:pPr>
              <w:spacing w:line="236" w:lineRule="exact"/>
              <w:rPr>
                <w:rFonts w:hint="eastAsia" w:ascii="宋体" w:hAnsi="宋体" w:eastAsia="宋体" w:cs="宋体"/>
                <w:highlight w:val="none"/>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599A494">
            <w:pPr>
              <w:spacing w:line="236" w:lineRule="exact"/>
              <w:rPr>
                <w:rFonts w:hint="eastAsia" w:ascii="宋体" w:hAnsi="宋体" w:eastAsia="宋体" w:cs="宋体"/>
                <w:highlight w:val="none"/>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0042E0F">
            <w:pPr>
              <w:spacing w:line="236" w:lineRule="exact"/>
              <w:rPr>
                <w:rFonts w:hint="eastAsia" w:ascii="宋体" w:hAnsi="宋体" w:eastAsia="宋体" w:cs="宋体"/>
                <w:highlight w:val="none"/>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08D48D8">
            <w:pPr>
              <w:spacing w:line="245" w:lineRule="exact"/>
              <w:ind w:left="109"/>
              <w:rPr>
                <w:rFonts w:hint="eastAsia" w:ascii="宋体" w:hAnsi="宋体" w:eastAsia="宋体" w:cs="宋体"/>
                <w:highlight w:val="none"/>
              </w:rPr>
            </w:pPr>
            <w:r>
              <w:rPr>
                <w:rFonts w:hint="eastAsia" w:ascii="宋体" w:hAnsi="宋体" w:eastAsia="宋体" w:cs="宋体"/>
                <w:spacing w:val="-1"/>
                <w:sz w:val="20"/>
                <w:highlight w:val="none"/>
              </w:rPr>
              <w:t>要求所采取的翻松、压实，作</w:t>
            </w:r>
          </w:p>
          <w:p w14:paraId="0A11C44B">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为挖土方的附属工作，不另行</w:t>
            </w:r>
          </w:p>
          <w:p w14:paraId="4222F14D">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计量；</w:t>
            </w:r>
          </w:p>
          <w:p w14:paraId="6F2D093D">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凡超过图纸或监理人规定</w:t>
            </w:r>
          </w:p>
          <w:p w14:paraId="6D039FFF">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尺寸的开挖，均不予计量；</w:t>
            </w:r>
          </w:p>
          <w:p w14:paraId="73BE8EC4">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结构物台背回填的挖运土</w:t>
            </w:r>
          </w:p>
          <w:p w14:paraId="7341AF82">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方不另行计量，桥梁及明涵的</w:t>
            </w:r>
          </w:p>
          <w:p w14:paraId="389B9BA2">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搭板、埋板下的路面结构层在</w:t>
            </w:r>
          </w:p>
          <w:p w14:paraId="37A00BD7">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相应章节内计量；</w:t>
            </w:r>
          </w:p>
          <w:p w14:paraId="034E294D">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挖台阶的土方作为附属工</w:t>
            </w:r>
          </w:p>
          <w:p w14:paraId="6719165D">
            <w:pPr>
              <w:spacing w:line="236" w:lineRule="exact"/>
              <w:ind w:left="109"/>
              <w:rPr>
                <w:rFonts w:hint="eastAsia" w:ascii="宋体" w:hAnsi="宋体" w:eastAsia="宋体" w:cs="宋体"/>
                <w:highlight w:val="none"/>
              </w:rPr>
            </w:pPr>
            <w:r>
              <w:rPr>
                <w:rFonts w:hint="eastAsia" w:ascii="宋体" w:hAnsi="宋体" w:eastAsia="宋体" w:cs="宋体"/>
                <w:spacing w:val="-1"/>
                <w:sz w:val="20"/>
                <w:highlight w:val="none"/>
              </w:rPr>
              <w:t>作，不另行计量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BDB85F3">
            <w:pPr>
              <w:spacing w:line="236" w:lineRule="exact"/>
              <w:rPr>
                <w:rFonts w:hint="eastAsia" w:ascii="宋体" w:hAnsi="宋体" w:eastAsia="宋体" w:cs="宋体"/>
                <w:highlight w:val="none"/>
              </w:rPr>
            </w:pPr>
          </w:p>
        </w:tc>
      </w:tr>
      <w:tr w14:paraId="4FF56CC7">
        <w:tblPrEx>
          <w:tblCellMar>
            <w:top w:w="0" w:type="dxa"/>
            <w:left w:w="108" w:type="dxa"/>
            <w:bottom w:w="0" w:type="dxa"/>
            <w:right w:w="108" w:type="dxa"/>
          </w:tblCellMar>
        </w:tblPrEx>
        <w:trPr>
          <w:trHeight w:val="4095"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9E32CFE">
            <w:pPr>
              <w:spacing w:line="2186" w:lineRule="exact"/>
              <w:ind w:left="416"/>
              <w:rPr>
                <w:rFonts w:hint="eastAsia" w:ascii="宋体" w:hAnsi="宋体" w:eastAsia="宋体" w:cs="宋体"/>
                <w:highlight w:val="none"/>
              </w:rPr>
            </w:pPr>
            <w:r>
              <w:rPr>
                <w:rFonts w:hint="eastAsia" w:ascii="宋体" w:hAnsi="宋体" w:eastAsia="宋体" w:cs="宋体"/>
                <w:spacing w:val="-1"/>
                <w:sz w:val="20"/>
                <w:highlight w:val="none"/>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15FB706">
            <w:pPr>
              <w:spacing w:line="2195" w:lineRule="exact"/>
              <w:ind w:left="281"/>
              <w:rPr>
                <w:rFonts w:hint="eastAsia" w:ascii="宋体" w:hAnsi="宋体" w:eastAsia="宋体" w:cs="宋体"/>
                <w:highlight w:val="none"/>
              </w:rPr>
            </w:pPr>
            <w:r>
              <w:rPr>
                <w:rFonts w:hint="eastAsia" w:ascii="宋体" w:hAnsi="宋体" w:eastAsia="宋体" w:cs="宋体"/>
                <w:spacing w:val="-1"/>
                <w:sz w:val="20"/>
                <w:highlight w:val="none"/>
              </w:rPr>
              <w:t>挖石方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EFECF1E">
            <w:pPr>
              <w:spacing w:line="2152"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4410655">
            <w:pPr>
              <w:spacing w:line="278"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依据图纸所示地面线、路</w:t>
            </w:r>
          </w:p>
          <w:p w14:paraId="489A75C4">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基设计横断面图、路基土石比</w:t>
            </w:r>
          </w:p>
          <w:p w14:paraId="6AE4A689">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例，按平均断面积法计算，包</w:t>
            </w:r>
          </w:p>
          <w:p w14:paraId="724D0F67">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括边沟、排水沟、截水沟的石</w:t>
            </w:r>
          </w:p>
          <w:p w14:paraId="192632C2">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方，按照天然体积以立方米为</w:t>
            </w:r>
          </w:p>
          <w:p w14:paraId="3062897F">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单位计量；</w:t>
            </w:r>
          </w:p>
          <w:p w14:paraId="1A156A33">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凡超过图纸或监理人规定</w:t>
            </w:r>
          </w:p>
          <w:p w14:paraId="5F666683">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尺寸的开挖，均不予计量；</w:t>
            </w:r>
          </w:p>
          <w:p w14:paraId="05493A1B">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爆破安全措施、运输</w:t>
            </w:r>
            <w:r>
              <w:rPr>
                <w:rFonts w:hint="eastAsia" w:ascii="宋体" w:hAnsi="宋体" w:eastAsia="宋体" w:cs="宋体"/>
                <w:spacing w:val="-1"/>
                <w:sz w:val="20"/>
                <w:highlight w:val="none"/>
              </w:rPr>
              <w:t>(</w:t>
            </w:r>
            <w:r>
              <w:rPr>
                <w:rFonts w:hint="eastAsia" w:ascii="宋体" w:hAnsi="宋体" w:eastAsia="宋体" w:cs="宋体"/>
                <w:spacing w:val="-1"/>
                <w:position w:val="1"/>
                <w:sz w:val="20"/>
                <w:highlight w:val="none"/>
              </w:rPr>
              <w:t>不论</w:t>
            </w:r>
          </w:p>
          <w:p w14:paraId="18DF274B">
            <w:pPr>
              <w:spacing w:line="274" w:lineRule="exact"/>
              <w:ind w:left="109"/>
              <w:rPr>
                <w:rFonts w:hint="eastAsia" w:ascii="宋体" w:hAnsi="宋体" w:eastAsia="宋体" w:cs="宋体"/>
                <w:highlight w:val="none"/>
              </w:rPr>
            </w:pPr>
            <w:r>
              <w:rPr>
                <w:rFonts w:hint="eastAsia" w:ascii="宋体" w:hAnsi="宋体" w:eastAsia="宋体" w:cs="宋体"/>
                <w:spacing w:val="-1"/>
                <w:position w:val="1"/>
                <w:sz w:val="20"/>
                <w:highlight w:val="none"/>
              </w:rPr>
              <w:t>运距远近</w:t>
            </w:r>
            <w:r>
              <w:rPr>
                <w:rFonts w:hint="eastAsia" w:ascii="宋体" w:hAnsi="宋体" w:eastAsia="宋体" w:cs="宋体"/>
                <w:spacing w:val="-1"/>
                <w:sz w:val="20"/>
                <w:highlight w:val="none"/>
              </w:rPr>
              <w:t>)</w:t>
            </w:r>
            <w:r>
              <w:rPr>
                <w:rFonts w:hint="eastAsia" w:ascii="宋体" w:hAnsi="宋体" w:eastAsia="宋体" w:cs="宋体"/>
                <w:spacing w:val="-1"/>
                <w:position w:val="1"/>
                <w:sz w:val="20"/>
                <w:highlight w:val="none"/>
              </w:rPr>
              <w:t>和堆放、质量检验、</w:t>
            </w:r>
          </w:p>
          <w:p w14:paraId="07EC2749">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临时道路和临时排水均属于</w:t>
            </w:r>
          </w:p>
          <w:p w14:paraId="4D6741CC">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附属工作，不另行计量与支</w:t>
            </w:r>
          </w:p>
          <w:p w14:paraId="72B34AE1">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付；</w:t>
            </w:r>
          </w:p>
          <w:p w14:paraId="79FD7677">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挖台阶的土方作为附属工</w:t>
            </w:r>
          </w:p>
          <w:p w14:paraId="43D2E0E7">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作，不另行计量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6D60B59">
            <w:pPr>
              <w:spacing w:line="123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石方爆破；</w:t>
            </w:r>
          </w:p>
          <w:p w14:paraId="7A0A42D5">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挖、装、运输、卸车；</w:t>
            </w:r>
          </w:p>
          <w:p w14:paraId="33E79CD7">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填料分理、弃土整形、</w:t>
            </w:r>
          </w:p>
          <w:p w14:paraId="0092E853">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压实；</w:t>
            </w:r>
          </w:p>
          <w:p w14:paraId="4C5D3444">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施工排水处理；</w:t>
            </w:r>
          </w:p>
          <w:p w14:paraId="5CA848F9">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边坡整修、路床顶面</w:t>
            </w:r>
          </w:p>
          <w:p w14:paraId="0FB548E2">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凿平或填平压实、路床清</w:t>
            </w:r>
          </w:p>
          <w:p w14:paraId="77FB20CB">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理</w:t>
            </w:r>
          </w:p>
        </w:tc>
      </w:tr>
      <w:tr w14:paraId="5C54D05E">
        <w:tblPrEx>
          <w:tblCellMar>
            <w:top w:w="0" w:type="dxa"/>
            <w:left w:w="108" w:type="dxa"/>
            <w:bottom w:w="0" w:type="dxa"/>
            <w:right w:w="108" w:type="dxa"/>
          </w:tblCellMar>
        </w:tblPrEx>
        <w:trPr>
          <w:trHeight w:val="1099"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BC7DCD2">
            <w:pPr>
              <w:spacing w:line="688" w:lineRule="exact"/>
              <w:ind w:left="423"/>
              <w:rPr>
                <w:rFonts w:hint="eastAsia" w:ascii="宋体" w:hAnsi="宋体" w:eastAsia="宋体" w:cs="宋体"/>
                <w:highlight w:val="none"/>
              </w:rPr>
            </w:pPr>
            <w:r>
              <w:rPr>
                <w:rFonts w:hint="eastAsia" w:ascii="宋体" w:hAnsi="宋体" w:eastAsia="宋体" w:cs="宋体"/>
                <w:spacing w:val="-1"/>
                <w:sz w:val="20"/>
                <w:highlight w:val="none"/>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EF10B57">
            <w:pPr>
              <w:spacing w:line="516" w:lineRule="exact"/>
              <w:ind w:left="281"/>
              <w:rPr>
                <w:rFonts w:hint="eastAsia" w:ascii="宋体" w:hAnsi="宋体" w:eastAsia="宋体" w:cs="宋体"/>
                <w:highlight w:val="none"/>
              </w:rPr>
            </w:pPr>
            <w:r>
              <w:rPr>
                <w:rFonts w:hint="eastAsia" w:ascii="宋体" w:hAnsi="宋体" w:eastAsia="宋体" w:cs="宋体"/>
                <w:spacing w:val="-1"/>
                <w:sz w:val="20"/>
                <w:highlight w:val="none"/>
              </w:rPr>
              <w:t>挖除非适用材</w:t>
            </w:r>
          </w:p>
          <w:p w14:paraId="4A0463A9">
            <w:pPr>
              <w:spacing w:line="360" w:lineRule="exact"/>
              <w:ind w:left="109"/>
              <w:rPr>
                <w:rFonts w:hint="eastAsia" w:ascii="宋体" w:hAnsi="宋体" w:eastAsia="宋体" w:cs="宋体"/>
                <w:highlight w:val="none"/>
              </w:rPr>
            </w:pPr>
            <w:r>
              <w:rPr>
                <w:rFonts w:hint="eastAsia" w:ascii="宋体" w:hAnsi="宋体" w:eastAsia="宋体" w:cs="宋体"/>
                <w:spacing w:val="-1"/>
                <w:sz w:val="20"/>
                <w:highlight w:val="none"/>
              </w:rPr>
              <w:t>料（不含淤泥）</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6E14356">
            <w:pPr>
              <w:spacing w:line="654"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2E2E755">
            <w:pPr>
              <w:spacing w:line="380"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依据图纸所示位置，挖除路</w:t>
            </w:r>
          </w:p>
          <w:p w14:paraId="6F00963B">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基范围内非适用材料（不含淤</w:t>
            </w:r>
          </w:p>
          <w:p w14:paraId="4156B959">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泥）以立方米为单位计量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47108B9">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施工排水处理；</w:t>
            </w:r>
          </w:p>
          <w:p w14:paraId="3BAFC40C">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挖除、装载、运输、</w:t>
            </w:r>
          </w:p>
          <w:p w14:paraId="529881AB">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卸车、堆放、弃土整形；</w:t>
            </w:r>
          </w:p>
          <w:p w14:paraId="1F795CA5">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现场清理</w:t>
            </w:r>
          </w:p>
        </w:tc>
      </w:tr>
      <w:tr w14:paraId="2E7CC3C5">
        <w:tblPrEx>
          <w:tblCellMar>
            <w:top w:w="0" w:type="dxa"/>
            <w:left w:w="108" w:type="dxa"/>
            <w:bottom w:w="0" w:type="dxa"/>
            <w:right w:w="108" w:type="dxa"/>
          </w:tblCellMar>
        </w:tblPrEx>
        <w:trPr>
          <w:trHeight w:val="110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3D6B6D6">
            <w:pPr>
              <w:spacing w:line="688" w:lineRule="exact"/>
              <w:ind w:left="416"/>
              <w:rPr>
                <w:rFonts w:hint="eastAsia" w:ascii="宋体" w:hAnsi="宋体" w:eastAsia="宋体" w:cs="宋体"/>
                <w:highlight w:val="none"/>
              </w:rPr>
            </w:pPr>
            <w:r>
              <w:rPr>
                <w:rFonts w:hint="eastAsia" w:ascii="宋体" w:hAnsi="宋体" w:eastAsia="宋体" w:cs="宋体"/>
                <w:spacing w:val="-1"/>
                <w:sz w:val="20"/>
                <w:highlight w:val="none"/>
              </w:rPr>
              <w:t>-d</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62AB439">
            <w:pPr>
              <w:spacing w:line="697" w:lineRule="exact"/>
              <w:ind w:left="281"/>
              <w:rPr>
                <w:rFonts w:hint="eastAsia" w:ascii="宋体" w:hAnsi="宋体" w:eastAsia="宋体" w:cs="宋体"/>
                <w:highlight w:val="none"/>
              </w:rPr>
            </w:pPr>
            <w:r>
              <w:rPr>
                <w:rFonts w:hint="eastAsia" w:ascii="宋体" w:hAnsi="宋体" w:eastAsia="宋体" w:cs="宋体"/>
                <w:spacing w:val="-1"/>
                <w:sz w:val="20"/>
                <w:highlight w:val="none"/>
              </w:rPr>
              <w:t>挖淤泥</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D2B6D04">
            <w:pPr>
              <w:spacing w:line="657"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867AB01">
            <w:pPr>
              <w:spacing w:line="380"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依据图纸所示位置，挖除路</w:t>
            </w:r>
          </w:p>
          <w:p w14:paraId="711112D0">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基范围内淤泥以立方米为单</w:t>
            </w:r>
          </w:p>
          <w:p w14:paraId="07825B36">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FBE0FA5">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施工排水处理；</w:t>
            </w:r>
          </w:p>
          <w:p w14:paraId="08FE034F">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挖除、装载、运输、</w:t>
            </w:r>
          </w:p>
          <w:p w14:paraId="01CEEB8B">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卸车、堆放、弃土整形；</w:t>
            </w:r>
          </w:p>
          <w:p w14:paraId="427B0D89">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现场清理</w:t>
            </w:r>
          </w:p>
        </w:tc>
      </w:tr>
      <w:tr w14:paraId="790F9A85">
        <w:tblPrEx>
          <w:tblCellMar>
            <w:top w:w="0" w:type="dxa"/>
            <w:left w:w="108" w:type="dxa"/>
            <w:bottom w:w="0" w:type="dxa"/>
            <w:right w:w="108" w:type="dxa"/>
          </w:tblCellMar>
        </w:tblPrEx>
        <w:trPr>
          <w:trHeight w:val="55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71ABCFE">
            <w:pPr>
              <w:spacing w:line="416" w:lineRule="exact"/>
              <w:ind w:left="260"/>
              <w:rPr>
                <w:rFonts w:hint="eastAsia" w:ascii="宋体" w:hAnsi="宋体" w:eastAsia="宋体" w:cs="宋体"/>
                <w:highlight w:val="none"/>
              </w:rPr>
            </w:pPr>
            <w:r>
              <w:rPr>
                <w:rFonts w:hint="eastAsia" w:ascii="宋体" w:hAnsi="宋体" w:eastAsia="宋体" w:cs="宋体"/>
                <w:spacing w:val="-1"/>
                <w:sz w:val="20"/>
                <w:highlight w:val="none"/>
              </w:rPr>
              <w:t>204-1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40D29B1">
            <w:pPr>
              <w:spacing w:line="245" w:lineRule="exact"/>
              <w:ind w:left="281"/>
              <w:rPr>
                <w:rFonts w:hint="eastAsia" w:ascii="宋体" w:hAnsi="宋体" w:eastAsia="宋体" w:cs="宋体"/>
                <w:highlight w:val="none"/>
              </w:rPr>
            </w:pPr>
            <w:r>
              <w:rPr>
                <w:rFonts w:hint="eastAsia" w:ascii="宋体" w:hAnsi="宋体" w:eastAsia="宋体" w:cs="宋体"/>
                <w:spacing w:val="-1"/>
                <w:sz w:val="20"/>
                <w:highlight w:val="none"/>
              </w:rPr>
              <w:t>路基填筑（包</w:t>
            </w:r>
          </w:p>
          <w:p w14:paraId="3DA7851C">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括填前压实）</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1F27141">
            <w:pPr>
              <w:spacing w:line="271" w:lineRule="exact"/>
              <w:rPr>
                <w:rFonts w:hint="eastAsia" w:ascii="宋体" w:hAnsi="宋体" w:eastAsia="宋体" w:cs="宋体"/>
                <w:highlight w:val="none"/>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9F9B364">
            <w:pPr>
              <w:spacing w:line="271"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D424C7F">
            <w:pPr>
              <w:spacing w:line="271" w:lineRule="exact"/>
              <w:rPr>
                <w:rFonts w:hint="eastAsia" w:ascii="宋体" w:hAnsi="宋体" w:eastAsia="宋体" w:cs="宋体"/>
                <w:highlight w:val="none"/>
              </w:rPr>
            </w:pPr>
          </w:p>
        </w:tc>
      </w:tr>
      <w:tr w14:paraId="6C54F252">
        <w:tblPrEx>
          <w:tblCellMar>
            <w:top w:w="0" w:type="dxa"/>
            <w:left w:w="108" w:type="dxa"/>
            <w:bottom w:w="0" w:type="dxa"/>
            <w:right w:w="108" w:type="dxa"/>
          </w:tblCellMar>
        </w:tblPrEx>
        <w:trPr>
          <w:trHeight w:val="382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129A925">
            <w:pPr>
              <w:spacing w:line="2051" w:lineRule="exact"/>
              <w:ind w:left="423"/>
              <w:rPr>
                <w:rFonts w:hint="eastAsia" w:ascii="宋体" w:hAnsi="宋体" w:eastAsia="宋体" w:cs="宋体"/>
                <w:highlight w:val="none"/>
              </w:rPr>
            </w:pPr>
            <w:r>
              <w:rPr>
                <w:rFonts w:hint="eastAsia" w:ascii="宋体" w:hAnsi="宋体" w:eastAsia="宋体" w:cs="宋体"/>
                <w:spacing w:val="-1"/>
                <w:sz w:val="20"/>
                <w:highlight w:val="none"/>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751A0F0">
            <w:pPr>
              <w:spacing w:line="2014" w:lineRule="exact"/>
              <w:ind w:left="281"/>
              <w:rPr>
                <w:rFonts w:hint="eastAsia" w:ascii="宋体" w:hAnsi="宋体" w:eastAsia="宋体" w:cs="宋体"/>
                <w:highlight w:val="none"/>
              </w:rPr>
            </w:pPr>
            <w:r>
              <w:rPr>
                <w:rFonts w:hint="eastAsia" w:ascii="宋体" w:hAnsi="宋体" w:eastAsia="宋体" w:cs="宋体"/>
                <w:spacing w:val="-1"/>
                <w:sz w:val="20"/>
                <w:highlight w:val="none"/>
              </w:rPr>
              <w:t>利用土方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2D174CF">
            <w:pPr>
              <w:spacing w:line="1959"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185E9B3">
            <w:pPr>
              <w:spacing w:line="280"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依据图纸所示地面线、路</w:t>
            </w:r>
          </w:p>
          <w:p w14:paraId="73BC330F">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基设计横断面图，按平均断面</w:t>
            </w:r>
          </w:p>
          <w:p w14:paraId="03525A1C">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面积法计算压实的体积，以立</w:t>
            </w:r>
          </w:p>
          <w:p w14:paraId="1BEA09B0">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方米为单位计量；</w:t>
            </w:r>
          </w:p>
          <w:p w14:paraId="3412DF56">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当填料中石料含量小于</w:t>
            </w:r>
          </w:p>
          <w:p w14:paraId="39AE211B">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30%</w:t>
            </w:r>
            <w:r>
              <w:rPr>
                <w:rFonts w:hint="eastAsia" w:ascii="宋体" w:hAnsi="宋体" w:eastAsia="宋体" w:cs="宋体"/>
                <w:spacing w:val="-1"/>
                <w:position w:val="1"/>
                <w:sz w:val="20"/>
                <w:highlight w:val="none"/>
              </w:rPr>
              <w:t>时，适用于本条；</w:t>
            </w:r>
          </w:p>
          <w:p w14:paraId="2100ED22">
            <w:pPr>
              <w:spacing w:line="274" w:lineRule="exact"/>
              <w:ind w:left="282"/>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满足施工需要，预留路基</w:t>
            </w:r>
          </w:p>
          <w:p w14:paraId="110E63C8">
            <w:pPr>
              <w:spacing w:line="236" w:lineRule="exact"/>
              <w:ind w:left="109"/>
              <w:rPr>
                <w:rFonts w:hint="eastAsia" w:ascii="宋体" w:hAnsi="宋体" w:eastAsia="宋体" w:cs="宋体"/>
                <w:highlight w:val="none"/>
              </w:rPr>
            </w:pPr>
            <w:r>
              <w:rPr>
                <w:rFonts w:hint="eastAsia" w:ascii="宋体" w:hAnsi="宋体" w:eastAsia="宋体" w:cs="宋体"/>
                <w:spacing w:val="-1"/>
                <w:sz w:val="20"/>
                <w:highlight w:val="none"/>
              </w:rPr>
              <w:t>宽度宽填的填方量作为路基</w:t>
            </w:r>
          </w:p>
          <w:p w14:paraId="059DEDA2">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填筑的附属工作，不另行计</w:t>
            </w:r>
          </w:p>
          <w:p w14:paraId="353B7F53">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量；</w:t>
            </w:r>
          </w:p>
          <w:p w14:paraId="50D7E1DA">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填前压实、地面下沉增加</w:t>
            </w:r>
          </w:p>
          <w:p w14:paraId="6C84DD73">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的填方量，不另行计量；</w:t>
            </w:r>
          </w:p>
          <w:p w14:paraId="14C46E11">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结构物台背回填的回填材</w:t>
            </w:r>
          </w:p>
          <w:p w14:paraId="507D5641">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料、摊平、压实、整形以及台</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2845AC8">
            <w:pPr>
              <w:spacing w:line="1233"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基底翻松、压实、挖</w:t>
            </w:r>
          </w:p>
          <w:p w14:paraId="0E7B6B95">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台阶；</w:t>
            </w:r>
          </w:p>
          <w:p w14:paraId="17D044AE">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临时排水、翻晒；</w:t>
            </w:r>
          </w:p>
          <w:p w14:paraId="0DBF36FC">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装、卸、运输、分层</w:t>
            </w:r>
          </w:p>
          <w:p w14:paraId="4CDFCD3B">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摊铺；</w:t>
            </w:r>
          </w:p>
          <w:p w14:paraId="36ACEFC8">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洒水、压实、刷坡；</w:t>
            </w:r>
          </w:p>
          <w:p w14:paraId="0CF9E298">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整形</w:t>
            </w:r>
          </w:p>
        </w:tc>
      </w:tr>
    </w:tbl>
    <w:p w14:paraId="3916CFE9">
      <w:pPr>
        <w:rPr>
          <w:rFonts w:hint="eastAsia" w:ascii="宋体" w:hAnsi="宋体" w:eastAsia="宋体" w:cs="宋体"/>
          <w:sz w:val="21"/>
          <w:highlight w:val="none"/>
        </w:rPr>
        <w:sectPr>
          <w:pgSz w:w="11910" w:h="16840"/>
          <w:pgMar w:top="1440" w:right="1080" w:bottom="1040" w:left="1420" w:header="882" w:footer="847" w:gutter="0"/>
          <w:cols w:space="720" w:num="1"/>
        </w:sectPr>
      </w:pPr>
    </w:p>
    <w:p w14:paraId="13F5C8F2">
      <w:pPr>
        <w:pStyle w:val="10"/>
        <w:spacing w:before="10"/>
        <w:rPr>
          <w:rFonts w:hint="eastAsia" w:ascii="宋体" w:hAnsi="宋体" w:eastAsia="宋体" w:cs="宋体"/>
          <w:sz w:val="11"/>
          <w:highlight w:val="none"/>
        </w:rPr>
      </w:pPr>
    </w:p>
    <w:tbl>
      <w:tblPr>
        <w:tblStyle w:val="24"/>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14:paraId="2ACAF2A5">
        <w:tblPrEx>
          <w:tblCellMar>
            <w:top w:w="0" w:type="dxa"/>
            <w:left w:w="108" w:type="dxa"/>
            <w:bottom w:w="0" w:type="dxa"/>
            <w:right w:w="108" w:type="dxa"/>
          </w:tblCellMar>
        </w:tblPrEx>
        <w:trPr>
          <w:trHeight w:val="137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1A78887">
            <w:pPr>
              <w:spacing w:line="274" w:lineRule="exact"/>
              <w:rPr>
                <w:rFonts w:hint="eastAsia" w:ascii="宋体" w:hAnsi="宋体" w:eastAsia="宋体" w:cs="宋体"/>
                <w:highlight w:val="none"/>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0BF78C8">
            <w:pPr>
              <w:spacing w:line="274" w:lineRule="exact"/>
              <w:rPr>
                <w:rFonts w:hint="eastAsia" w:ascii="宋体" w:hAnsi="宋体" w:eastAsia="宋体" w:cs="宋体"/>
                <w:highlight w:val="none"/>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4ABC49E">
            <w:pPr>
              <w:spacing w:line="274" w:lineRule="exact"/>
              <w:rPr>
                <w:rFonts w:hint="eastAsia" w:ascii="宋体" w:hAnsi="宋体" w:eastAsia="宋体" w:cs="宋体"/>
                <w:highlight w:val="none"/>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DAAF53E">
            <w:pPr>
              <w:spacing w:line="245" w:lineRule="exact"/>
              <w:ind w:left="109"/>
              <w:rPr>
                <w:rFonts w:hint="eastAsia" w:ascii="宋体" w:hAnsi="宋体" w:eastAsia="宋体" w:cs="宋体"/>
                <w:highlight w:val="none"/>
              </w:rPr>
            </w:pPr>
            <w:r>
              <w:rPr>
                <w:rFonts w:hint="eastAsia" w:ascii="宋体" w:hAnsi="宋体" w:eastAsia="宋体" w:cs="宋体"/>
                <w:spacing w:val="-1"/>
                <w:sz w:val="20"/>
                <w:highlight w:val="none"/>
              </w:rPr>
              <w:t>后排水等一切与此有关作业</w:t>
            </w:r>
          </w:p>
          <w:p w14:paraId="7127E556">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已包含在相关子目中，均不另</w:t>
            </w:r>
          </w:p>
          <w:p w14:paraId="647A14DF">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行计量，但桥梁及明涵的搭</w:t>
            </w:r>
          </w:p>
          <w:p w14:paraId="53098E66">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板、埋板下的路面结构层在相</w:t>
            </w:r>
          </w:p>
          <w:p w14:paraId="239D40FC">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9FD6D57">
            <w:pPr>
              <w:spacing w:line="271" w:lineRule="exact"/>
              <w:rPr>
                <w:rFonts w:hint="eastAsia" w:ascii="宋体" w:hAnsi="宋体" w:eastAsia="宋体" w:cs="宋体"/>
                <w:highlight w:val="none"/>
              </w:rPr>
            </w:pPr>
          </w:p>
        </w:tc>
      </w:tr>
      <w:tr w14:paraId="20CEE3F6">
        <w:tblPrEx>
          <w:tblCellMar>
            <w:top w:w="0" w:type="dxa"/>
            <w:left w:w="108" w:type="dxa"/>
            <w:bottom w:w="0" w:type="dxa"/>
            <w:right w:w="108" w:type="dxa"/>
          </w:tblCellMar>
        </w:tblPrEx>
        <w:trPr>
          <w:trHeight w:val="3823"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47D1CB8">
            <w:pPr>
              <w:spacing w:line="2049" w:lineRule="exact"/>
              <w:ind w:left="416"/>
              <w:rPr>
                <w:rFonts w:hint="eastAsia" w:ascii="宋体" w:hAnsi="宋体" w:eastAsia="宋体" w:cs="宋体"/>
                <w:highlight w:val="none"/>
              </w:rPr>
            </w:pPr>
            <w:r>
              <w:rPr>
                <w:rFonts w:hint="eastAsia" w:ascii="宋体" w:hAnsi="宋体" w:eastAsia="宋体" w:cs="宋体"/>
                <w:spacing w:val="-1"/>
                <w:sz w:val="20"/>
                <w:highlight w:val="none"/>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2193DAD">
            <w:pPr>
              <w:spacing w:line="2014" w:lineRule="exact"/>
              <w:ind w:left="281"/>
              <w:rPr>
                <w:rFonts w:hint="eastAsia" w:ascii="宋体" w:hAnsi="宋体" w:eastAsia="宋体" w:cs="宋体"/>
                <w:highlight w:val="none"/>
              </w:rPr>
            </w:pPr>
            <w:r>
              <w:rPr>
                <w:rFonts w:hint="eastAsia" w:ascii="宋体" w:hAnsi="宋体" w:eastAsia="宋体" w:cs="宋体"/>
                <w:spacing w:val="-1"/>
                <w:sz w:val="20"/>
                <w:highlight w:val="none"/>
              </w:rPr>
              <w:t>利用石方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D92D484">
            <w:pPr>
              <w:spacing w:line="1957"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555D9A3">
            <w:pPr>
              <w:spacing w:line="280"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依据图纸所示地面线、路</w:t>
            </w:r>
          </w:p>
          <w:p w14:paraId="7B5A48C7">
            <w:pPr>
              <w:spacing w:line="236" w:lineRule="exact"/>
              <w:ind w:left="109"/>
              <w:rPr>
                <w:rFonts w:hint="eastAsia" w:ascii="宋体" w:hAnsi="宋体" w:eastAsia="宋体" w:cs="宋体"/>
                <w:highlight w:val="none"/>
              </w:rPr>
            </w:pPr>
            <w:r>
              <w:rPr>
                <w:rFonts w:hint="eastAsia" w:ascii="宋体" w:hAnsi="宋体" w:eastAsia="宋体" w:cs="宋体"/>
                <w:spacing w:val="-1"/>
                <w:sz w:val="20"/>
                <w:highlight w:val="none"/>
              </w:rPr>
              <w:t>基设计横断面图，按平均断面</w:t>
            </w:r>
          </w:p>
          <w:p w14:paraId="334F39F4">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面积法计算压实的体积，以立</w:t>
            </w:r>
          </w:p>
          <w:p w14:paraId="750DE3A1">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方米为单位计量；</w:t>
            </w:r>
          </w:p>
          <w:p w14:paraId="74A1E49F">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当填料中石料含量大于</w:t>
            </w:r>
          </w:p>
          <w:p w14:paraId="7AC596FA">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70%</w:t>
            </w:r>
            <w:r>
              <w:rPr>
                <w:rFonts w:hint="eastAsia" w:ascii="宋体" w:hAnsi="宋体" w:eastAsia="宋体" w:cs="宋体"/>
                <w:spacing w:val="-1"/>
                <w:position w:val="1"/>
                <w:sz w:val="20"/>
                <w:highlight w:val="none"/>
              </w:rPr>
              <w:t>时，适用于本条；</w:t>
            </w:r>
          </w:p>
          <w:p w14:paraId="22CAC83C">
            <w:pPr>
              <w:spacing w:line="271" w:lineRule="exact"/>
              <w:ind w:left="282"/>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填前压实、地面下沉增加</w:t>
            </w:r>
          </w:p>
          <w:p w14:paraId="39747B72">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的填方量，不另行计量；</w:t>
            </w:r>
          </w:p>
          <w:p w14:paraId="3E69E40D">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结构物台背回填的回填材</w:t>
            </w:r>
          </w:p>
          <w:p w14:paraId="5F2B2D85">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料、摊平、压实、整形以及台</w:t>
            </w:r>
          </w:p>
          <w:p w14:paraId="2C5B1E80">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后排水等一切与此有关作业</w:t>
            </w:r>
          </w:p>
          <w:p w14:paraId="206D0943">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均不另行计量，但桥梁及明涵</w:t>
            </w:r>
          </w:p>
          <w:p w14:paraId="462B716F">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的搭板、埋板下的路面结构层</w:t>
            </w:r>
          </w:p>
          <w:p w14:paraId="4DFB3EC2">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26F52EA">
            <w:pPr>
              <w:spacing w:line="823"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基底翻松、压实，挖</w:t>
            </w:r>
          </w:p>
          <w:p w14:paraId="215D5C46">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台阶；</w:t>
            </w:r>
          </w:p>
          <w:p w14:paraId="2731567C">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临时排水、翻晒；</w:t>
            </w:r>
          </w:p>
          <w:p w14:paraId="31C587AD">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装、卸、运输、边坡</w:t>
            </w:r>
          </w:p>
          <w:p w14:paraId="036F28A0">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码砌；</w:t>
            </w:r>
          </w:p>
          <w:p w14:paraId="698D4244">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分层摊铺；</w:t>
            </w:r>
          </w:p>
          <w:p w14:paraId="73654DE3">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小石块（或石屑）填</w:t>
            </w:r>
          </w:p>
          <w:p w14:paraId="14649B96">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缝、找补。</w:t>
            </w:r>
          </w:p>
          <w:p w14:paraId="61B0E1A8">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洒水、压实、；</w:t>
            </w:r>
          </w:p>
          <w:p w14:paraId="3902CE18">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整型</w:t>
            </w:r>
          </w:p>
        </w:tc>
      </w:tr>
      <w:tr w14:paraId="5D0E3319">
        <w:tblPrEx>
          <w:tblCellMar>
            <w:top w:w="0" w:type="dxa"/>
            <w:left w:w="108" w:type="dxa"/>
            <w:bottom w:w="0" w:type="dxa"/>
            <w:right w:w="108" w:type="dxa"/>
          </w:tblCellMar>
        </w:tblPrEx>
        <w:trPr>
          <w:trHeight w:val="5456"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8D81694">
            <w:pPr>
              <w:spacing w:line="2865" w:lineRule="exact"/>
              <w:ind w:left="423"/>
              <w:rPr>
                <w:rFonts w:hint="eastAsia" w:ascii="宋体" w:hAnsi="宋体" w:eastAsia="宋体" w:cs="宋体"/>
                <w:highlight w:val="none"/>
              </w:rPr>
            </w:pPr>
            <w:r>
              <w:rPr>
                <w:rFonts w:hint="eastAsia" w:ascii="宋体" w:hAnsi="宋体" w:eastAsia="宋体" w:cs="宋体"/>
                <w:spacing w:val="-1"/>
                <w:sz w:val="20"/>
                <w:highlight w:val="none"/>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3D6F0FF">
            <w:pPr>
              <w:spacing w:line="2830" w:lineRule="exact"/>
              <w:ind w:left="281"/>
              <w:rPr>
                <w:rFonts w:hint="eastAsia" w:ascii="宋体" w:hAnsi="宋体" w:eastAsia="宋体" w:cs="宋体"/>
                <w:highlight w:val="none"/>
              </w:rPr>
            </w:pPr>
            <w:r>
              <w:rPr>
                <w:rFonts w:hint="eastAsia" w:ascii="宋体" w:hAnsi="宋体" w:eastAsia="宋体" w:cs="宋体"/>
                <w:spacing w:val="-1"/>
                <w:sz w:val="20"/>
                <w:highlight w:val="none"/>
              </w:rPr>
              <w:t>借土填方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1099C70">
            <w:pPr>
              <w:spacing w:line="2776"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8FD5397">
            <w:pPr>
              <w:spacing w:line="278"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依据图纸所示地面线、路</w:t>
            </w:r>
          </w:p>
          <w:p w14:paraId="1E38A1A6">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基设计横断面图，按平均断面</w:t>
            </w:r>
          </w:p>
          <w:p w14:paraId="3E0CF53E">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面积法计算压实的体积，以立</w:t>
            </w:r>
          </w:p>
          <w:p w14:paraId="20A07C47">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方米为单位计量；</w:t>
            </w:r>
          </w:p>
          <w:p w14:paraId="1BABA3E4">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借土场的绿化、原地表土</w:t>
            </w:r>
          </w:p>
          <w:p w14:paraId="0881FDDC">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的回填、防护工程、排水设施</w:t>
            </w:r>
          </w:p>
          <w:p w14:paraId="4F0CC78C">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等均作为附属工作，不另行计</w:t>
            </w:r>
          </w:p>
          <w:p w14:paraId="404FCB07">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量；</w:t>
            </w:r>
          </w:p>
          <w:p w14:paraId="240AD125">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满足施工需要，预留路基</w:t>
            </w:r>
          </w:p>
          <w:p w14:paraId="1540B8A8">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宽度宽填的填方量作为路基</w:t>
            </w:r>
          </w:p>
          <w:p w14:paraId="3C26542F">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填筑的附属工作，不另行计</w:t>
            </w:r>
          </w:p>
          <w:p w14:paraId="2B7D0DFC">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量；</w:t>
            </w:r>
          </w:p>
          <w:p w14:paraId="0DC4F9D3">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填前压实、地面下沉增加</w:t>
            </w:r>
          </w:p>
          <w:p w14:paraId="133B57DC">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的填方量，不另行计量；</w:t>
            </w:r>
          </w:p>
          <w:p w14:paraId="24EC3434">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结构物台背回填的回填材</w:t>
            </w:r>
          </w:p>
          <w:p w14:paraId="22B4F487">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料、摊平、压实、整形以及台</w:t>
            </w:r>
          </w:p>
          <w:p w14:paraId="729FAA35">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后排水等一切与此有关作业</w:t>
            </w:r>
          </w:p>
          <w:p w14:paraId="11340E25">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均不另行计量，但桥梁及明涵</w:t>
            </w:r>
          </w:p>
          <w:p w14:paraId="1F6D5719">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的搭板、埋板下的路面结构层</w:t>
            </w:r>
          </w:p>
          <w:p w14:paraId="1131C606">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10A42AF">
            <w:pPr>
              <w:spacing w:line="1776"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借土场场地清理、清</w:t>
            </w:r>
          </w:p>
          <w:p w14:paraId="29288B6C">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除不适用材料；</w:t>
            </w:r>
          </w:p>
          <w:p w14:paraId="07E96A49">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简易便道、基底翻松、</w:t>
            </w:r>
          </w:p>
          <w:p w14:paraId="34B794E2">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压实、挖台阶；</w:t>
            </w:r>
          </w:p>
          <w:p w14:paraId="5F8461B8">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挖、装、运输、卸车；</w:t>
            </w:r>
          </w:p>
          <w:p w14:paraId="0062E66A">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分层摊铺；</w:t>
            </w:r>
          </w:p>
          <w:p w14:paraId="0441F091">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洒水、压实、刷坡；</w:t>
            </w:r>
          </w:p>
          <w:p w14:paraId="37770878">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施工排水处理；</w:t>
            </w:r>
          </w:p>
          <w:p w14:paraId="02164E0F">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整形</w:t>
            </w:r>
          </w:p>
        </w:tc>
      </w:tr>
      <w:tr w14:paraId="4193759A">
        <w:tblPrEx>
          <w:tblCellMar>
            <w:top w:w="0" w:type="dxa"/>
            <w:left w:w="108" w:type="dxa"/>
            <w:bottom w:w="0" w:type="dxa"/>
            <w:right w:w="108" w:type="dxa"/>
          </w:tblCellMar>
        </w:tblPrEx>
        <w:trPr>
          <w:trHeight w:val="316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EA10795">
            <w:pPr>
              <w:spacing w:line="1640" w:lineRule="exact"/>
              <w:ind w:left="416"/>
              <w:rPr>
                <w:rFonts w:hint="eastAsia" w:ascii="宋体" w:hAnsi="宋体" w:eastAsia="宋体" w:cs="宋体"/>
                <w:highlight w:val="none"/>
              </w:rPr>
            </w:pPr>
            <w:r>
              <w:rPr>
                <w:rFonts w:hint="eastAsia" w:ascii="宋体" w:hAnsi="宋体" w:eastAsia="宋体" w:cs="宋体"/>
                <w:spacing w:val="-1"/>
                <w:sz w:val="20"/>
                <w:highlight w:val="none"/>
              </w:rPr>
              <w:t>-d</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7A7F1A0">
            <w:pPr>
              <w:spacing w:line="1606" w:lineRule="exact"/>
              <w:ind w:left="281"/>
              <w:rPr>
                <w:rFonts w:hint="eastAsia" w:ascii="宋体" w:hAnsi="宋体" w:eastAsia="宋体" w:cs="宋体"/>
                <w:highlight w:val="none"/>
              </w:rPr>
            </w:pPr>
            <w:r>
              <w:rPr>
                <w:rFonts w:hint="eastAsia" w:ascii="宋体" w:hAnsi="宋体" w:eastAsia="宋体" w:cs="宋体"/>
                <w:spacing w:val="-1"/>
                <w:sz w:val="20"/>
                <w:highlight w:val="none"/>
              </w:rPr>
              <w:t>借石填方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405612C">
            <w:pPr>
              <w:spacing w:line="1551"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B5BF9FB">
            <w:pPr>
              <w:spacing w:line="280" w:lineRule="exact"/>
              <w:ind w:left="282"/>
              <w:rPr>
                <w:rFonts w:hint="eastAsia" w:ascii="宋体" w:hAnsi="宋体" w:eastAsia="宋体" w:cs="宋体"/>
                <w:highlight w:val="none"/>
              </w:rPr>
            </w:pPr>
            <w:r>
              <w:rPr>
                <w:rFonts w:hint="eastAsia" w:ascii="宋体" w:hAnsi="宋体" w:eastAsia="宋体" w:cs="宋体"/>
                <w:sz w:val="20"/>
                <w:highlight w:val="none"/>
              </w:rPr>
              <w:t>1.  </w:t>
            </w:r>
            <w:r>
              <w:rPr>
                <w:rFonts w:hint="eastAsia" w:ascii="宋体" w:hAnsi="宋体" w:eastAsia="宋体" w:cs="宋体"/>
                <w:spacing w:val="-1"/>
                <w:position w:val="1"/>
                <w:sz w:val="20"/>
                <w:highlight w:val="none"/>
              </w:rPr>
              <w:t>依据图纸所示地面线、路</w:t>
            </w:r>
          </w:p>
          <w:p w14:paraId="02549D04">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基设计横断面图，按平均断面</w:t>
            </w:r>
          </w:p>
          <w:p w14:paraId="684D2BBD">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面积法计算压实的体积，以立</w:t>
            </w:r>
          </w:p>
          <w:p w14:paraId="6865547B">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方米为单位计量；</w:t>
            </w:r>
          </w:p>
          <w:p w14:paraId="7D9396D5">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借土场的绿化、原地表土</w:t>
            </w:r>
          </w:p>
          <w:p w14:paraId="773B726D">
            <w:pPr>
              <w:spacing w:line="236" w:lineRule="exact"/>
              <w:ind w:left="109"/>
              <w:rPr>
                <w:rFonts w:hint="eastAsia" w:ascii="宋体" w:hAnsi="宋体" w:eastAsia="宋体" w:cs="宋体"/>
                <w:highlight w:val="none"/>
              </w:rPr>
            </w:pPr>
            <w:r>
              <w:rPr>
                <w:rFonts w:hint="eastAsia" w:ascii="宋体" w:hAnsi="宋体" w:eastAsia="宋体" w:cs="宋体"/>
                <w:spacing w:val="-1"/>
                <w:sz w:val="20"/>
                <w:highlight w:val="none"/>
              </w:rPr>
              <w:t>的回填、防护工程、排水设施</w:t>
            </w:r>
          </w:p>
          <w:p w14:paraId="4C05DFAC">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等均作为附属工作，不另行计</w:t>
            </w:r>
          </w:p>
          <w:p w14:paraId="52378867">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量；</w:t>
            </w:r>
          </w:p>
          <w:p w14:paraId="7949DF94">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满足施工需要，预留路基</w:t>
            </w:r>
          </w:p>
          <w:p w14:paraId="5C441D67">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宽度宽填的填方量作为路基</w:t>
            </w:r>
          </w:p>
          <w:p w14:paraId="40194004">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填筑的附属工作，不另行计</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64A6FC2">
            <w:pPr>
              <w:spacing w:line="414"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借土场场地清理、清</w:t>
            </w:r>
          </w:p>
          <w:p w14:paraId="2FCC54F4">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除不适用材料；</w:t>
            </w:r>
          </w:p>
          <w:p w14:paraId="2F768222">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简易便道、基底翻松、</w:t>
            </w:r>
          </w:p>
          <w:p w14:paraId="65BE4067">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压实、挖台阶；</w:t>
            </w:r>
          </w:p>
          <w:p w14:paraId="42A84FB9">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3.  </w:t>
            </w:r>
            <w:r>
              <w:rPr>
                <w:rFonts w:hint="eastAsia" w:ascii="宋体" w:hAnsi="宋体" w:eastAsia="宋体" w:cs="宋体"/>
                <w:position w:val="1"/>
                <w:sz w:val="20"/>
                <w:highlight w:val="none"/>
              </w:rPr>
              <w:t>挖、装、运输、卸车；</w:t>
            </w:r>
          </w:p>
          <w:p w14:paraId="38BB4143">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分层摊铺；</w:t>
            </w:r>
          </w:p>
          <w:p w14:paraId="185A3622">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洒水、压实、土质护</w:t>
            </w:r>
          </w:p>
          <w:p w14:paraId="36FC259D">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坡；</w:t>
            </w:r>
          </w:p>
          <w:p w14:paraId="32041E73">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施工排水处理；</w:t>
            </w:r>
          </w:p>
          <w:p w14:paraId="00EB0540">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整型</w:t>
            </w:r>
          </w:p>
        </w:tc>
      </w:tr>
    </w:tbl>
    <w:p w14:paraId="3F85A356">
      <w:pPr>
        <w:spacing w:line="250" w:lineRule="exact"/>
        <w:rPr>
          <w:rFonts w:hint="eastAsia" w:ascii="宋体" w:hAnsi="宋体" w:eastAsia="宋体" w:cs="宋体"/>
          <w:sz w:val="21"/>
          <w:highlight w:val="none"/>
        </w:rPr>
        <w:sectPr>
          <w:pgSz w:w="11910" w:h="16840"/>
          <w:pgMar w:top="1440" w:right="1080" w:bottom="1040" w:left="1420" w:header="882" w:footer="847" w:gutter="0"/>
          <w:cols w:space="720" w:num="1"/>
        </w:sectPr>
      </w:pPr>
    </w:p>
    <w:p w14:paraId="4C443F5A">
      <w:pPr>
        <w:pStyle w:val="10"/>
        <w:spacing w:before="10"/>
        <w:rPr>
          <w:rFonts w:hint="eastAsia" w:ascii="宋体" w:hAnsi="宋体" w:eastAsia="宋体" w:cs="宋体"/>
          <w:sz w:val="11"/>
          <w:highlight w:val="none"/>
        </w:rPr>
      </w:pPr>
    </w:p>
    <w:tbl>
      <w:tblPr>
        <w:tblStyle w:val="24"/>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14:paraId="04305FA6">
        <w:tblPrEx>
          <w:tblCellMar>
            <w:top w:w="0" w:type="dxa"/>
            <w:left w:w="108" w:type="dxa"/>
            <w:bottom w:w="0" w:type="dxa"/>
            <w:right w:w="108" w:type="dxa"/>
          </w:tblCellMar>
        </w:tblPrEx>
        <w:trPr>
          <w:trHeight w:val="246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80D395E">
            <w:pPr>
              <w:spacing w:line="274" w:lineRule="exact"/>
              <w:rPr>
                <w:rFonts w:hint="eastAsia" w:ascii="宋体" w:hAnsi="宋体" w:eastAsia="宋体" w:cs="宋体"/>
                <w:highlight w:val="none"/>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79BCACB">
            <w:pPr>
              <w:spacing w:line="274" w:lineRule="exact"/>
              <w:rPr>
                <w:rFonts w:hint="eastAsia" w:ascii="宋体" w:hAnsi="宋体" w:eastAsia="宋体" w:cs="宋体"/>
                <w:highlight w:val="none"/>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488A538">
            <w:pPr>
              <w:spacing w:line="274" w:lineRule="exact"/>
              <w:rPr>
                <w:rFonts w:hint="eastAsia" w:ascii="宋体" w:hAnsi="宋体" w:eastAsia="宋体" w:cs="宋体"/>
                <w:highlight w:val="none"/>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F84B0E5">
            <w:pPr>
              <w:spacing w:line="245" w:lineRule="exact"/>
              <w:ind w:left="109"/>
              <w:rPr>
                <w:rFonts w:hint="eastAsia" w:ascii="宋体" w:hAnsi="宋体" w:eastAsia="宋体" w:cs="宋体"/>
                <w:highlight w:val="none"/>
              </w:rPr>
            </w:pPr>
            <w:r>
              <w:rPr>
                <w:rFonts w:hint="eastAsia" w:ascii="宋体" w:hAnsi="宋体" w:eastAsia="宋体" w:cs="宋体"/>
                <w:spacing w:val="-1"/>
                <w:sz w:val="20"/>
                <w:highlight w:val="none"/>
              </w:rPr>
              <w:t>量；</w:t>
            </w:r>
          </w:p>
          <w:p w14:paraId="0769B58E">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填前压实、地面下沉增加</w:t>
            </w:r>
          </w:p>
          <w:p w14:paraId="0DB72ACD">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的填方量，不另行计量；</w:t>
            </w:r>
          </w:p>
          <w:p w14:paraId="74A7918C">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结构物台背回填的回填材</w:t>
            </w:r>
          </w:p>
          <w:p w14:paraId="2583E48C">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料、摊平、压实、整形以及台</w:t>
            </w:r>
          </w:p>
          <w:p w14:paraId="5A478DC3">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后排水等一切与此有关作业</w:t>
            </w:r>
          </w:p>
          <w:p w14:paraId="2CAA5CFA">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均不另行计量，但桥梁及明涵</w:t>
            </w:r>
          </w:p>
          <w:p w14:paraId="0B51AC5C">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的搭板、埋板下的路面结构层</w:t>
            </w:r>
          </w:p>
          <w:p w14:paraId="4D2687FE">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F57EED8">
            <w:pPr>
              <w:spacing w:line="274" w:lineRule="exact"/>
              <w:rPr>
                <w:rFonts w:hint="eastAsia" w:ascii="宋体" w:hAnsi="宋体" w:eastAsia="宋体" w:cs="宋体"/>
                <w:highlight w:val="none"/>
              </w:rPr>
            </w:pPr>
          </w:p>
        </w:tc>
      </w:tr>
      <w:tr w14:paraId="04EA5115">
        <w:tblPrEx>
          <w:tblCellMar>
            <w:top w:w="0" w:type="dxa"/>
            <w:left w:w="108" w:type="dxa"/>
            <w:bottom w:w="0" w:type="dxa"/>
            <w:right w:w="108" w:type="dxa"/>
          </w:tblCellMar>
        </w:tblPrEx>
        <w:trPr>
          <w:trHeight w:val="273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A46E3A5">
            <w:pPr>
              <w:spacing w:line="1505" w:lineRule="exact"/>
              <w:ind w:left="423"/>
              <w:rPr>
                <w:rFonts w:hint="eastAsia" w:ascii="宋体" w:hAnsi="宋体" w:eastAsia="宋体" w:cs="宋体"/>
                <w:highlight w:val="none"/>
              </w:rPr>
            </w:pPr>
            <w:r>
              <w:rPr>
                <w:rFonts w:hint="eastAsia" w:ascii="宋体" w:hAnsi="宋体" w:eastAsia="宋体" w:cs="宋体"/>
                <w:spacing w:val="-1"/>
                <w:sz w:val="20"/>
                <w:highlight w:val="none"/>
              </w:rPr>
              <w:t>-e</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4335EF5">
            <w:pPr>
              <w:spacing w:line="1470" w:lineRule="exact"/>
              <w:ind w:left="281"/>
              <w:rPr>
                <w:rFonts w:hint="eastAsia" w:ascii="宋体" w:hAnsi="宋体" w:eastAsia="宋体" w:cs="宋体"/>
                <w:highlight w:val="none"/>
              </w:rPr>
            </w:pPr>
            <w:r>
              <w:rPr>
                <w:rFonts w:hint="eastAsia" w:ascii="宋体" w:hAnsi="宋体" w:eastAsia="宋体" w:cs="宋体"/>
                <w:spacing w:val="-1"/>
                <w:sz w:val="20"/>
                <w:highlight w:val="none"/>
              </w:rPr>
              <w:t>反压护坡道</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6C6ACA6">
            <w:pPr>
              <w:spacing w:line="1413"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1566ECC">
            <w:pPr>
              <w:spacing w:line="281"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依据图纸所示路基设计横</w:t>
            </w:r>
          </w:p>
          <w:p w14:paraId="3EF822DF">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断面图，按平均断面面积法计</w:t>
            </w:r>
          </w:p>
          <w:p w14:paraId="5331CF3B">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算压实的体积，以立方米为单</w:t>
            </w:r>
          </w:p>
          <w:p w14:paraId="3423EDE7">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位计量；</w:t>
            </w:r>
          </w:p>
          <w:p w14:paraId="3DCFE6F0">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满足施工需要，预留路基</w:t>
            </w:r>
          </w:p>
          <w:p w14:paraId="3E869C60">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宽度宽填的填方量作为路基</w:t>
            </w:r>
          </w:p>
          <w:p w14:paraId="06283EE3">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填筑的附属工作，不另行计</w:t>
            </w:r>
          </w:p>
          <w:p w14:paraId="53CF1DC1">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量；</w:t>
            </w:r>
          </w:p>
          <w:p w14:paraId="5EC0C19B">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填前压实、地面下沉增加</w:t>
            </w:r>
          </w:p>
          <w:p w14:paraId="0838D41F">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的填方量，不另行计量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BAB9363">
            <w:pPr>
              <w:spacing w:line="68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基底翻松、压实、挖</w:t>
            </w:r>
          </w:p>
          <w:p w14:paraId="1226A96E">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台阶；</w:t>
            </w:r>
          </w:p>
          <w:p w14:paraId="457FD3D6">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临时排水、翻晒；</w:t>
            </w:r>
          </w:p>
          <w:p w14:paraId="2B296FE7">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装、卸、运输、分层</w:t>
            </w:r>
          </w:p>
          <w:p w14:paraId="06D47E14">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摊铺；</w:t>
            </w:r>
          </w:p>
          <w:p w14:paraId="609EC1A9">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洒水、压实；</w:t>
            </w:r>
          </w:p>
          <w:p w14:paraId="2BCD6A2B">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整形</w:t>
            </w:r>
          </w:p>
        </w:tc>
      </w:tr>
      <w:tr w14:paraId="34BEDD1A">
        <w:tblPrEx>
          <w:tblCellMar>
            <w:top w:w="0" w:type="dxa"/>
            <w:left w:w="108" w:type="dxa"/>
            <w:bottom w:w="0" w:type="dxa"/>
            <w:right w:w="108" w:type="dxa"/>
          </w:tblCellMar>
        </w:tblPrEx>
        <w:trPr>
          <w:trHeight w:val="55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F41C208">
            <w:pPr>
              <w:spacing w:line="415" w:lineRule="exact"/>
              <w:ind w:left="260"/>
              <w:rPr>
                <w:rFonts w:hint="eastAsia" w:ascii="宋体" w:hAnsi="宋体" w:eastAsia="宋体" w:cs="宋体"/>
                <w:highlight w:val="none"/>
              </w:rPr>
            </w:pPr>
            <w:r>
              <w:rPr>
                <w:rFonts w:hint="eastAsia" w:ascii="宋体" w:hAnsi="宋体" w:eastAsia="宋体" w:cs="宋体"/>
                <w:spacing w:val="-1"/>
                <w:sz w:val="20"/>
                <w:highlight w:val="none"/>
              </w:rPr>
              <w:t>204-2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6CAC8BA">
            <w:pPr>
              <w:spacing w:line="243" w:lineRule="exact"/>
              <w:ind w:left="281"/>
              <w:rPr>
                <w:rFonts w:hint="eastAsia" w:ascii="宋体" w:hAnsi="宋体" w:eastAsia="宋体" w:cs="宋体"/>
                <w:highlight w:val="none"/>
              </w:rPr>
            </w:pPr>
            <w:r>
              <w:rPr>
                <w:rFonts w:hint="eastAsia" w:ascii="宋体" w:hAnsi="宋体" w:eastAsia="宋体" w:cs="宋体"/>
                <w:spacing w:val="-1"/>
                <w:sz w:val="20"/>
                <w:highlight w:val="none"/>
              </w:rPr>
              <w:t>改河、改渠、</w:t>
            </w:r>
          </w:p>
          <w:p w14:paraId="53E6D457">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改路填筑</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032C6AE">
            <w:pPr>
              <w:spacing w:line="274" w:lineRule="exact"/>
              <w:rPr>
                <w:rFonts w:hint="eastAsia" w:ascii="宋体" w:hAnsi="宋体" w:eastAsia="宋体" w:cs="宋体"/>
                <w:highlight w:val="none"/>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6AD045D">
            <w:pPr>
              <w:spacing w:line="274"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C67181E">
            <w:pPr>
              <w:spacing w:line="274" w:lineRule="exact"/>
              <w:rPr>
                <w:rFonts w:hint="eastAsia" w:ascii="宋体" w:hAnsi="宋体" w:eastAsia="宋体" w:cs="宋体"/>
                <w:highlight w:val="none"/>
              </w:rPr>
            </w:pPr>
          </w:p>
        </w:tc>
      </w:tr>
      <w:tr w14:paraId="060A5029">
        <w:tblPrEx>
          <w:tblCellMar>
            <w:top w:w="0" w:type="dxa"/>
            <w:left w:w="108" w:type="dxa"/>
            <w:bottom w:w="0" w:type="dxa"/>
            <w:right w:w="108" w:type="dxa"/>
          </w:tblCellMar>
        </w:tblPrEx>
        <w:trPr>
          <w:trHeight w:val="5185"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94E2C6B">
            <w:pPr>
              <w:spacing w:line="2731" w:lineRule="exact"/>
              <w:ind w:left="423"/>
              <w:rPr>
                <w:rFonts w:hint="eastAsia" w:ascii="宋体" w:hAnsi="宋体" w:eastAsia="宋体" w:cs="宋体"/>
                <w:highlight w:val="none"/>
              </w:rPr>
            </w:pPr>
            <w:r>
              <w:rPr>
                <w:rFonts w:hint="eastAsia" w:ascii="宋体" w:hAnsi="宋体" w:eastAsia="宋体" w:cs="宋体"/>
                <w:spacing w:val="-1"/>
                <w:sz w:val="20"/>
                <w:highlight w:val="none"/>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9F5F15D">
            <w:pPr>
              <w:spacing w:line="2696" w:lineRule="exact"/>
              <w:ind w:left="281"/>
              <w:rPr>
                <w:rFonts w:hint="eastAsia" w:ascii="宋体" w:hAnsi="宋体" w:eastAsia="宋体" w:cs="宋体"/>
                <w:highlight w:val="none"/>
              </w:rPr>
            </w:pPr>
            <w:r>
              <w:rPr>
                <w:rFonts w:hint="eastAsia" w:ascii="宋体" w:hAnsi="宋体" w:eastAsia="宋体" w:cs="宋体"/>
                <w:spacing w:val="-1"/>
                <w:sz w:val="20"/>
                <w:highlight w:val="none"/>
              </w:rPr>
              <w:t>利用土方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2290A1B">
            <w:pPr>
              <w:spacing w:line="2640"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11A7743">
            <w:pPr>
              <w:spacing w:line="281"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依据图纸所示地面线、路</w:t>
            </w:r>
          </w:p>
          <w:p w14:paraId="65718F1A">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基设计横断面图，按平均断面</w:t>
            </w:r>
          </w:p>
          <w:p w14:paraId="04A052E9">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面积法计算压实的体积，以立</w:t>
            </w:r>
          </w:p>
          <w:p w14:paraId="55712AD6">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方米为单位计量；</w:t>
            </w:r>
          </w:p>
          <w:p w14:paraId="0E8D8319">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当填料中石料含量小于</w:t>
            </w:r>
          </w:p>
          <w:p w14:paraId="64C5CB0B">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30%</w:t>
            </w:r>
            <w:r>
              <w:rPr>
                <w:rFonts w:hint="eastAsia" w:ascii="宋体" w:hAnsi="宋体" w:eastAsia="宋体" w:cs="宋体"/>
                <w:spacing w:val="-1"/>
                <w:position w:val="1"/>
                <w:sz w:val="20"/>
                <w:highlight w:val="none"/>
              </w:rPr>
              <w:t>时，适用于本条；</w:t>
            </w:r>
          </w:p>
          <w:p w14:paraId="40CF1DC4">
            <w:pPr>
              <w:spacing w:line="274" w:lineRule="exact"/>
              <w:ind w:left="282"/>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满足施工需要，预留路基</w:t>
            </w:r>
          </w:p>
          <w:p w14:paraId="4ECD97E6">
            <w:pPr>
              <w:spacing w:line="236" w:lineRule="exact"/>
              <w:ind w:left="109"/>
              <w:rPr>
                <w:rFonts w:hint="eastAsia" w:ascii="宋体" w:hAnsi="宋体" w:eastAsia="宋体" w:cs="宋体"/>
                <w:highlight w:val="none"/>
              </w:rPr>
            </w:pPr>
            <w:r>
              <w:rPr>
                <w:rFonts w:hint="eastAsia" w:ascii="宋体" w:hAnsi="宋体" w:eastAsia="宋体" w:cs="宋体"/>
                <w:spacing w:val="-1"/>
                <w:sz w:val="20"/>
                <w:highlight w:val="none"/>
              </w:rPr>
              <w:t>宽度宽填的填方量作为路基</w:t>
            </w:r>
          </w:p>
          <w:p w14:paraId="0BC4F819">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填筑的附属工作，不另行计</w:t>
            </w:r>
          </w:p>
          <w:p w14:paraId="4833055C">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量；</w:t>
            </w:r>
          </w:p>
          <w:p w14:paraId="35A28A89">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填前压实、地面下沉增加</w:t>
            </w:r>
          </w:p>
          <w:p w14:paraId="744B8666">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的填方量，不另行计量；</w:t>
            </w:r>
          </w:p>
          <w:p w14:paraId="21377964">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结构物台背回填的回填材</w:t>
            </w:r>
          </w:p>
          <w:p w14:paraId="1530CC0E">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料、摊平、压实、整形以及台</w:t>
            </w:r>
          </w:p>
          <w:p w14:paraId="13C0A6D5">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后排水等一切与此有关作业</w:t>
            </w:r>
          </w:p>
          <w:p w14:paraId="2AC34709">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已包含在相关子目中，均不另</w:t>
            </w:r>
          </w:p>
          <w:p w14:paraId="64DC1565">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行计量，但桥梁及明涵的搭</w:t>
            </w:r>
          </w:p>
          <w:p w14:paraId="5590C780">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板、埋板下的路面结构层在相</w:t>
            </w:r>
          </w:p>
          <w:p w14:paraId="5A048F33">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1338E1C">
            <w:pPr>
              <w:spacing w:line="1913"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基底翻松、压实、挖</w:t>
            </w:r>
          </w:p>
          <w:p w14:paraId="77F41D8A">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台阶；</w:t>
            </w:r>
          </w:p>
          <w:p w14:paraId="586AF008">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临时排水、翻晒；</w:t>
            </w:r>
          </w:p>
          <w:p w14:paraId="3BFE58FF">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装、卸、运输、分层</w:t>
            </w:r>
          </w:p>
          <w:p w14:paraId="35DDC75F">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摊铺；</w:t>
            </w:r>
          </w:p>
          <w:p w14:paraId="51E6AD09">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洒水、压实、刷坡；</w:t>
            </w:r>
          </w:p>
          <w:p w14:paraId="02BC4088">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整形</w:t>
            </w:r>
          </w:p>
        </w:tc>
      </w:tr>
      <w:tr w14:paraId="23E80D24">
        <w:tblPrEx>
          <w:tblCellMar>
            <w:top w:w="0" w:type="dxa"/>
            <w:left w:w="108" w:type="dxa"/>
            <w:bottom w:w="0" w:type="dxa"/>
            <w:right w:w="108" w:type="dxa"/>
          </w:tblCellMar>
        </w:tblPrEx>
        <w:trPr>
          <w:trHeight w:val="273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6146F55">
            <w:pPr>
              <w:spacing w:line="1504" w:lineRule="exact"/>
              <w:ind w:left="416"/>
              <w:rPr>
                <w:rFonts w:hint="eastAsia" w:ascii="宋体" w:hAnsi="宋体" w:eastAsia="宋体" w:cs="宋体"/>
                <w:highlight w:val="none"/>
              </w:rPr>
            </w:pPr>
            <w:r>
              <w:rPr>
                <w:rFonts w:hint="eastAsia" w:ascii="宋体" w:hAnsi="宋体" w:eastAsia="宋体" w:cs="宋体"/>
                <w:spacing w:val="-1"/>
                <w:sz w:val="20"/>
                <w:highlight w:val="none"/>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87F7582">
            <w:pPr>
              <w:spacing w:line="1469" w:lineRule="exact"/>
              <w:ind w:left="281"/>
              <w:rPr>
                <w:rFonts w:hint="eastAsia" w:ascii="宋体" w:hAnsi="宋体" w:eastAsia="宋体" w:cs="宋体"/>
                <w:highlight w:val="none"/>
              </w:rPr>
            </w:pPr>
            <w:r>
              <w:rPr>
                <w:rFonts w:hint="eastAsia" w:ascii="宋体" w:hAnsi="宋体" w:eastAsia="宋体" w:cs="宋体"/>
                <w:spacing w:val="-1"/>
                <w:sz w:val="20"/>
                <w:highlight w:val="none"/>
              </w:rPr>
              <w:t>利用石方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46FF356">
            <w:pPr>
              <w:spacing w:line="1412"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4E182FA">
            <w:pPr>
              <w:spacing w:line="280"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依据图纸所示地面线、路</w:t>
            </w:r>
          </w:p>
          <w:p w14:paraId="368F1A8D">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基设计横断面图，按平均断面</w:t>
            </w:r>
          </w:p>
          <w:p w14:paraId="32612062">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面积法计算压实的体积，以立</w:t>
            </w:r>
          </w:p>
          <w:p w14:paraId="541F3693">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方米为单位计量；</w:t>
            </w:r>
          </w:p>
          <w:p w14:paraId="5EB7A9DF">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当填料中石料含量大于</w:t>
            </w:r>
          </w:p>
          <w:p w14:paraId="1C923F6D">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70%</w:t>
            </w:r>
            <w:r>
              <w:rPr>
                <w:rFonts w:hint="eastAsia" w:ascii="宋体" w:hAnsi="宋体" w:eastAsia="宋体" w:cs="宋体"/>
                <w:spacing w:val="-1"/>
                <w:position w:val="1"/>
                <w:sz w:val="20"/>
                <w:highlight w:val="none"/>
              </w:rPr>
              <w:t>时，适用于本条；</w:t>
            </w:r>
          </w:p>
          <w:p w14:paraId="154A5EAD">
            <w:pPr>
              <w:spacing w:line="274" w:lineRule="exact"/>
              <w:ind w:left="282"/>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满足施工需要，预留路基</w:t>
            </w:r>
          </w:p>
          <w:p w14:paraId="6ADD6118">
            <w:pPr>
              <w:spacing w:line="236" w:lineRule="exact"/>
              <w:ind w:left="109"/>
              <w:rPr>
                <w:rFonts w:hint="eastAsia" w:ascii="宋体" w:hAnsi="宋体" w:eastAsia="宋体" w:cs="宋体"/>
                <w:highlight w:val="none"/>
              </w:rPr>
            </w:pPr>
            <w:r>
              <w:rPr>
                <w:rFonts w:hint="eastAsia" w:ascii="宋体" w:hAnsi="宋体" w:eastAsia="宋体" w:cs="宋体"/>
                <w:spacing w:val="-1"/>
                <w:sz w:val="20"/>
                <w:highlight w:val="none"/>
              </w:rPr>
              <w:t>宽度宽填的填方量作为路基</w:t>
            </w:r>
          </w:p>
          <w:p w14:paraId="5AA4C093">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填筑的附属工作，不另行计</w:t>
            </w:r>
          </w:p>
          <w:p w14:paraId="09224247">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2F2A972">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基底翻松、压实，挖</w:t>
            </w:r>
          </w:p>
          <w:p w14:paraId="48194369">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台阶；</w:t>
            </w:r>
          </w:p>
          <w:p w14:paraId="1AA6E617">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临时排水、翻晒；</w:t>
            </w:r>
          </w:p>
          <w:p w14:paraId="56BF946D">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装、卸、运输、边坡</w:t>
            </w:r>
          </w:p>
          <w:p w14:paraId="1841388B">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码砌；</w:t>
            </w:r>
          </w:p>
          <w:p w14:paraId="306E7B26">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分层摊铺；</w:t>
            </w:r>
          </w:p>
          <w:p w14:paraId="52649883">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小石块（或石屑）填</w:t>
            </w:r>
          </w:p>
          <w:p w14:paraId="788938AE">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缝、找补。</w:t>
            </w:r>
          </w:p>
          <w:p w14:paraId="08345ACF">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洒水、压实、；</w:t>
            </w:r>
          </w:p>
          <w:p w14:paraId="6F5C37C6">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整型</w:t>
            </w:r>
          </w:p>
        </w:tc>
      </w:tr>
    </w:tbl>
    <w:p w14:paraId="5914DDB5">
      <w:pPr>
        <w:rPr>
          <w:rFonts w:hint="eastAsia" w:ascii="宋体" w:hAnsi="宋体" w:eastAsia="宋体" w:cs="宋体"/>
          <w:sz w:val="20"/>
          <w:highlight w:val="none"/>
        </w:rPr>
        <w:sectPr>
          <w:pgSz w:w="11910" w:h="16840"/>
          <w:pgMar w:top="1440" w:right="1080" w:bottom="1040" w:left="1420" w:header="882" w:footer="847" w:gutter="0"/>
          <w:cols w:space="720" w:num="1"/>
        </w:sectPr>
      </w:pPr>
    </w:p>
    <w:p w14:paraId="527CE74E">
      <w:pPr>
        <w:pStyle w:val="10"/>
        <w:spacing w:before="10"/>
        <w:rPr>
          <w:rFonts w:hint="eastAsia" w:ascii="宋体" w:hAnsi="宋体" w:eastAsia="宋体" w:cs="宋体"/>
          <w:sz w:val="11"/>
          <w:highlight w:val="none"/>
        </w:rPr>
      </w:pPr>
    </w:p>
    <w:tbl>
      <w:tblPr>
        <w:tblStyle w:val="24"/>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14:paraId="6DA9B5D3">
        <w:tblPrEx>
          <w:tblCellMar>
            <w:top w:w="0" w:type="dxa"/>
            <w:left w:w="108" w:type="dxa"/>
            <w:bottom w:w="0" w:type="dxa"/>
            <w:right w:w="108" w:type="dxa"/>
          </w:tblCellMar>
        </w:tblPrEx>
        <w:trPr>
          <w:trHeight w:val="2189"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C7A7613">
            <w:pPr>
              <w:spacing w:line="274" w:lineRule="exact"/>
              <w:rPr>
                <w:rFonts w:hint="eastAsia" w:ascii="宋体" w:hAnsi="宋体" w:eastAsia="宋体" w:cs="宋体"/>
                <w:highlight w:val="none"/>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9A6D8FC">
            <w:pPr>
              <w:spacing w:line="274" w:lineRule="exact"/>
              <w:rPr>
                <w:rFonts w:hint="eastAsia" w:ascii="宋体" w:hAnsi="宋体" w:eastAsia="宋体" w:cs="宋体"/>
                <w:highlight w:val="none"/>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3BD7130">
            <w:pPr>
              <w:spacing w:line="274" w:lineRule="exact"/>
              <w:rPr>
                <w:rFonts w:hint="eastAsia" w:ascii="宋体" w:hAnsi="宋体" w:eastAsia="宋体" w:cs="宋体"/>
                <w:highlight w:val="none"/>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8F41DC1">
            <w:pPr>
              <w:spacing w:line="279" w:lineRule="exact"/>
              <w:ind w:left="282"/>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填前压实、地面下沉增加</w:t>
            </w:r>
          </w:p>
          <w:p w14:paraId="1470DDDB">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的填方量，不另行计量；</w:t>
            </w:r>
          </w:p>
          <w:p w14:paraId="5C9221A2">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结构物台背回填的回填材</w:t>
            </w:r>
          </w:p>
          <w:p w14:paraId="47DFE931">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料、摊平、压实、整形以及台</w:t>
            </w:r>
          </w:p>
          <w:p w14:paraId="050B23E7">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后排水等一切与此有关作业</w:t>
            </w:r>
          </w:p>
          <w:p w14:paraId="6B5B1A07">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均不另行计量，但桥梁及明涵</w:t>
            </w:r>
          </w:p>
          <w:p w14:paraId="443E38CA">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的搭板、埋板下的路面结构层</w:t>
            </w:r>
          </w:p>
          <w:p w14:paraId="7AB97187">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A5D77B5">
            <w:pPr>
              <w:spacing w:line="271" w:lineRule="exact"/>
              <w:rPr>
                <w:rFonts w:hint="eastAsia" w:ascii="宋体" w:hAnsi="宋体" w:eastAsia="宋体" w:cs="宋体"/>
                <w:highlight w:val="none"/>
              </w:rPr>
            </w:pPr>
          </w:p>
        </w:tc>
      </w:tr>
      <w:tr w14:paraId="1F36206B">
        <w:tblPrEx>
          <w:tblCellMar>
            <w:top w:w="0" w:type="dxa"/>
            <w:left w:w="108" w:type="dxa"/>
            <w:bottom w:w="0" w:type="dxa"/>
            <w:right w:w="108" w:type="dxa"/>
          </w:tblCellMar>
        </w:tblPrEx>
        <w:trPr>
          <w:trHeight w:val="5457"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E2FC0D0">
            <w:pPr>
              <w:spacing w:line="2866" w:lineRule="exact"/>
              <w:ind w:left="423"/>
              <w:rPr>
                <w:rFonts w:hint="eastAsia" w:ascii="宋体" w:hAnsi="宋体" w:eastAsia="宋体" w:cs="宋体"/>
                <w:highlight w:val="none"/>
              </w:rPr>
            </w:pPr>
            <w:r>
              <w:rPr>
                <w:rFonts w:hint="eastAsia" w:ascii="宋体" w:hAnsi="宋体" w:eastAsia="宋体" w:cs="宋体"/>
                <w:spacing w:val="-1"/>
                <w:sz w:val="20"/>
                <w:highlight w:val="none"/>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04E0CA1">
            <w:pPr>
              <w:spacing w:line="2829" w:lineRule="exact"/>
              <w:ind w:left="281"/>
              <w:rPr>
                <w:rFonts w:hint="eastAsia" w:ascii="宋体" w:hAnsi="宋体" w:eastAsia="宋体" w:cs="宋体"/>
                <w:highlight w:val="none"/>
              </w:rPr>
            </w:pPr>
            <w:r>
              <w:rPr>
                <w:rFonts w:hint="eastAsia" w:ascii="宋体" w:hAnsi="宋体" w:eastAsia="宋体" w:cs="宋体"/>
                <w:spacing w:val="-1"/>
                <w:sz w:val="20"/>
                <w:highlight w:val="none"/>
              </w:rPr>
              <w:t>借土填方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F22DD19">
            <w:pPr>
              <w:spacing w:line="2775"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6E18937">
            <w:pPr>
              <w:spacing w:line="279"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依据图纸所示地面线、路</w:t>
            </w:r>
          </w:p>
          <w:p w14:paraId="349E7B47">
            <w:pPr>
              <w:spacing w:line="236" w:lineRule="exact"/>
              <w:ind w:left="109"/>
              <w:rPr>
                <w:rFonts w:hint="eastAsia" w:ascii="宋体" w:hAnsi="宋体" w:eastAsia="宋体" w:cs="宋体"/>
                <w:highlight w:val="none"/>
              </w:rPr>
            </w:pPr>
            <w:r>
              <w:rPr>
                <w:rFonts w:hint="eastAsia" w:ascii="宋体" w:hAnsi="宋体" w:eastAsia="宋体" w:cs="宋体"/>
                <w:spacing w:val="-1"/>
                <w:sz w:val="20"/>
                <w:highlight w:val="none"/>
              </w:rPr>
              <w:t>基设计横断面图，按平均断面</w:t>
            </w:r>
          </w:p>
          <w:p w14:paraId="37A8CF52">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面积法计算压实的体积，以立</w:t>
            </w:r>
          </w:p>
          <w:p w14:paraId="42664392">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方米为单位计量；</w:t>
            </w:r>
          </w:p>
          <w:p w14:paraId="635AE8DA">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借土场的绿化、原地表土</w:t>
            </w:r>
          </w:p>
          <w:p w14:paraId="006B10E2">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的回填、防护工程、排水设施</w:t>
            </w:r>
          </w:p>
          <w:p w14:paraId="7D1F81FD">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等均作为附属工作，不另行计</w:t>
            </w:r>
          </w:p>
          <w:p w14:paraId="53ED1F3E">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量；</w:t>
            </w:r>
          </w:p>
          <w:p w14:paraId="55145649">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满足施工需要，预留路基</w:t>
            </w:r>
          </w:p>
          <w:p w14:paraId="26065881">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宽度宽填的填方量作为路基</w:t>
            </w:r>
          </w:p>
          <w:p w14:paraId="2694DC21">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填筑的附属工作，不另行计</w:t>
            </w:r>
          </w:p>
          <w:p w14:paraId="31C55C56">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量；</w:t>
            </w:r>
          </w:p>
          <w:p w14:paraId="7AFE1379">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填前压实、地面下沉增加</w:t>
            </w:r>
          </w:p>
          <w:p w14:paraId="10080579">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的填方量，不另行计量；</w:t>
            </w:r>
          </w:p>
          <w:p w14:paraId="64BECC23">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结构物台背回填的回填材</w:t>
            </w:r>
          </w:p>
          <w:p w14:paraId="3261EA34">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料、摊平、压实、整形以及台</w:t>
            </w:r>
          </w:p>
          <w:p w14:paraId="3E356B0A">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后排水等一切与此有关作业</w:t>
            </w:r>
          </w:p>
          <w:p w14:paraId="0E887C9D">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均不另行计量，但桥梁及明涵</w:t>
            </w:r>
          </w:p>
          <w:p w14:paraId="3ACF6BC2">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的搭板、埋板下的路面结构层</w:t>
            </w:r>
          </w:p>
          <w:p w14:paraId="613A9528">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9D2DE2F">
            <w:pPr>
              <w:spacing w:line="1777"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借土场场地清理、清</w:t>
            </w:r>
          </w:p>
          <w:p w14:paraId="5688880B">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除不适用材料；</w:t>
            </w:r>
          </w:p>
          <w:p w14:paraId="56548857">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简易便道、基底翻松、</w:t>
            </w:r>
          </w:p>
          <w:p w14:paraId="7DD439CD">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压实、挖台阶；</w:t>
            </w:r>
          </w:p>
          <w:p w14:paraId="41910C88">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挖、装、运输、卸车；</w:t>
            </w:r>
          </w:p>
          <w:p w14:paraId="5D339487">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分层摊铺；</w:t>
            </w:r>
          </w:p>
          <w:p w14:paraId="27BA5ED7">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洒水、压实、刷坡；</w:t>
            </w:r>
          </w:p>
          <w:p w14:paraId="1A4E5A56">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施工排水处理；</w:t>
            </w:r>
          </w:p>
          <w:p w14:paraId="72BFBEEB">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整形</w:t>
            </w:r>
          </w:p>
        </w:tc>
      </w:tr>
      <w:tr w14:paraId="5A5D928B">
        <w:tblPrEx>
          <w:tblCellMar>
            <w:top w:w="0" w:type="dxa"/>
            <w:left w:w="108" w:type="dxa"/>
            <w:bottom w:w="0" w:type="dxa"/>
            <w:right w:w="108" w:type="dxa"/>
          </w:tblCellMar>
        </w:tblPrEx>
        <w:trPr>
          <w:trHeight w:val="5457"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08EB8B4">
            <w:pPr>
              <w:spacing w:line="2867" w:lineRule="exact"/>
              <w:ind w:left="416"/>
              <w:rPr>
                <w:rFonts w:hint="eastAsia" w:ascii="宋体" w:hAnsi="宋体" w:eastAsia="宋体" w:cs="宋体"/>
                <w:highlight w:val="none"/>
              </w:rPr>
            </w:pPr>
            <w:r>
              <w:rPr>
                <w:rFonts w:hint="eastAsia" w:ascii="宋体" w:hAnsi="宋体" w:eastAsia="宋体" w:cs="宋体"/>
                <w:spacing w:val="-1"/>
                <w:sz w:val="20"/>
                <w:highlight w:val="none"/>
              </w:rPr>
              <w:t>-d</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9441D20">
            <w:pPr>
              <w:spacing w:line="2830" w:lineRule="exact"/>
              <w:ind w:left="281"/>
              <w:rPr>
                <w:rFonts w:hint="eastAsia" w:ascii="宋体" w:hAnsi="宋体" w:eastAsia="宋体" w:cs="宋体"/>
                <w:highlight w:val="none"/>
              </w:rPr>
            </w:pPr>
            <w:r>
              <w:rPr>
                <w:rFonts w:hint="eastAsia" w:ascii="宋体" w:hAnsi="宋体" w:eastAsia="宋体" w:cs="宋体"/>
                <w:spacing w:val="-1"/>
                <w:sz w:val="20"/>
                <w:highlight w:val="none"/>
              </w:rPr>
              <w:t>借石填方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6388CD7">
            <w:pPr>
              <w:spacing w:line="2775"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1FEE140">
            <w:pPr>
              <w:spacing w:line="280" w:lineRule="exact"/>
              <w:ind w:left="282"/>
              <w:rPr>
                <w:rFonts w:hint="eastAsia" w:ascii="宋体" w:hAnsi="宋体" w:eastAsia="宋体" w:cs="宋体"/>
                <w:highlight w:val="none"/>
              </w:rPr>
            </w:pPr>
            <w:r>
              <w:rPr>
                <w:rFonts w:hint="eastAsia" w:ascii="宋体" w:hAnsi="宋体" w:eastAsia="宋体" w:cs="宋体"/>
                <w:sz w:val="20"/>
                <w:highlight w:val="none"/>
              </w:rPr>
              <w:t>1.  </w:t>
            </w:r>
            <w:r>
              <w:rPr>
                <w:rFonts w:hint="eastAsia" w:ascii="宋体" w:hAnsi="宋体" w:eastAsia="宋体" w:cs="宋体"/>
                <w:spacing w:val="-1"/>
                <w:position w:val="1"/>
                <w:sz w:val="20"/>
                <w:highlight w:val="none"/>
              </w:rPr>
              <w:t>依据图纸所示地面线、路</w:t>
            </w:r>
          </w:p>
          <w:p w14:paraId="4C1CDB11">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基设计横断面图，按平均断面</w:t>
            </w:r>
          </w:p>
          <w:p w14:paraId="61B781E0">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面积法计算压实的体积，以立</w:t>
            </w:r>
          </w:p>
          <w:p w14:paraId="0085F0A5">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方米为单位计量；</w:t>
            </w:r>
          </w:p>
          <w:p w14:paraId="2A50F2A1">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借土场的绿化、原地表土</w:t>
            </w:r>
          </w:p>
          <w:p w14:paraId="6FEFB969">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的回填、防护工程、排水设施</w:t>
            </w:r>
          </w:p>
          <w:p w14:paraId="4917254C">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等均作为附属工作，不另行计</w:t>
            </w:r>
          </w:p>
          <w:p w14:paraId="59927189">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量；</w:t>
            </w:r>
          </w:p>
          <w:p w14:paraId="698E825F">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满足施工需要，预留路基</w:t>
            </w:r>
          </w:p>
          <w:p w14:paraId="7700762F">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宽度宽填的填方量作为路基</w:t>
            </w:r>
          </w:p>
          <w:p w14:paraId="57A182D6">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填筑的附属工作，不另行计</w:t>
            </w:r>
          </w:p>
          <w:p w14:paraId="0B06817F">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量；</w:t>
            </w:r>
          </w:p>
          <w:p w14:paraId="658D18C0">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填前压实、地面下沉增加</w:t>
            </w:r>
          </w:p>
          <w:p w14:paraId="11E759FF">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的填方量，不另行计量；</w:t>
            </w:r>
          </w:p>
          <w:p w14:paraId="6BFC9005">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结构物台背回填的回填材</w:t>
            </w:r>
          </w:p>
          <w:p w14:paraId="4CA14044">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料、摊平、压实、整形以及台</w:t>
            </w:r>
          </w:p>
          <w:p w14:paraId="3A3F959C">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后排水等一切与此有关作业</w:t>
            </w:r>
          </w:p>
          <w:p w14:paraId="0FCCA38A">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均不另行计量，但桥梁及明涵</w:t>
            </w:r>
          </w:p>
          <w:p w14:paraId="3CD8E6D0">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的搭板、埋板下的路面结构层</w:t>
            </w:r>
          </w:p>
          <w:p w14:paraId="215A3FFC">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5DECA28">
            <w:pPr>
              <w:spacing w:line="164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借土场场地清理、清</w:t>
            </w:r>
          </w:p>
          <w:p w14:paraId="56E6031A">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除不适用材料；</w:t>
            </w:r>
          </w:p>
          <w:p w14:paraId="0ED50F0D">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简易便道、基底翻松、</w:t>
            </w:r>
          </w:p>
          <w:p w14:paraId="19F89809">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压实、挖台阶；</w:t>
            </w:r>
          </w:p>
          <w:p w14:paraId="02C47D57">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3.  </w:t>
            </w:r>
            <w:r>
              <w:rPr>
                <w:rFonts w:hint="eastAsia" w:ascii="宋体" w:hAnsi="宋体" w:eastAsia="宋体" w:cs="宋体"/>
                <w:position w:val="1"/>
                <w:sz w:val="20"/>
                <w:highlight w:val="none"/>
              </w:rPr>
              <w:t>挖、装、运输、卸车；</w:t>
            </w:r>
          </w:p>
          <w:p w14:paraId="3FFB6EB9">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分层摊铺；</w:t>
            </w:r>
          </w:p>
          <w:p w14:paraId="3B044363">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洒水、压实、土质护</w:t>
            </w:r>
          </w:p>
          <w:p w14:paraId="746031DF">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坡；</w:t>
            </w:r>
          </w:p>
          <w:p w14:paraId="143044F4">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施工排水处理；</w:t>
            </w:r>
          </w:p>
          <w:p w14:paraId="707DE93C">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整型</w:t>
            </w:r>
          </w:p>
        </w:tc>
      </w:tr>
      <w:tr w14:paraId="702C4CF8">
        <w:tblPrEx>
          <w:tblCellMar>
            <w:top w:w="0" w:type="dxa"/>
            <w:left w:w="108" w:type="dxa"/>
            <w:bottom w:w="0" w:type="dxa"/>
            <w:right w:w="108" w:type="dxa"/>
          </w:tblCellMar>
        </w:tblPrEx>
        <w:trPr>
          <w:trHeight w:val="51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FB3D7BB">
            <w:pPr>
              <w:spacing w:line="393" w:lineRule="exact"/>
              <w:ind w:left="260"/>
              <w:rPr>
                <w:rFonts w:hint="eastAsia" w:ascii="宋体" w:hAnsi="宋体" w:eastAsia="宋体" w:cs="宋体"/>
                <w:highlight w:val="none"/>
              </w:rPr>
            </w:pPr>
            <w:r>
              <w:rPr>
                <w:rFonts w:hint="eastAsia" w:ascii="宋体" w:hAnsi="宋体" w:eastAsia="宋体" w:cs="宋体"/>
                <w:spacing w:val="-1"/>
                <w:sz w:val="20"/>
                <w:highlight w:val="none"/>
              </w:rPr>
              <w:t>205-1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4BE8509">
            <w:pPr>
              <w:spacing w:line="358" w:lineRule="exact"/>
              <w:ind w:left="281"/>
              <w:rPr>
                <w:rFonts w:hint="eastAsia" w:ascii="宋体" w:hAnsi="宋体" w:eastAsia="宋体" w:cs="宋体"/>
                <w:highlight w:val="none"/>
              </w:rPr>
            </w:pPr>
            <w:r>
              <w:rPr>
                <w:rFonts w:hint="eastAsia" w:ascii="宋体" w:hAnsi="宋体" w:eastAsia="宋体" w:cs="宋体"/>
                <w:spacing w:val="-1"/>
                <w:sz w:val="20"/>
                <w:highlight w:val="none"/>
              </w:rPr>
              <w:t>软土路基处理</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4775590">
            <w:pPr>
              <w:spacing w:line="358" w:lineRule="exact"/>
              <w:rPr>
                <w:rFonts w:hint="eastAsia" w:ascii="宋体" w:hAnsi="宋体" w:eastAsia="宋体" w:cs="宋体"/>
                <w:highlight w:val="none"/>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D5DBEF7">
            <w:pPr>
              <w:spacing w:line="358"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310FFF6">
            <w:pPr>
              <w:spacing w:line="358" w:lineRule="exact"/>
              <w:rPr>
                <w:rFonts w:hint="eastAsia" w:ascii="宋体" w:hAnsi="宋体" w:eastAsia="宋体" w:cs="宋体"/>
                <w:highlight w:val="none"/>
              </w:rPr>
            </w:pPr>
          </w:p>
        </w:tc>
      </w:tr>
    </w:tbl>
    <w:p w14:paraId="79B2C93D">
      <w:pPr>
        <w:rPr>
          <w:rFonts w:hint="eastAsia" w:ascii="宋体" w:hAnsi="宋体" w:eastAsia="宋体" w:cs="宋体"/>
          <w:sz w:val="20"/>
          <w:highlight w:val="none"/>
        </w:rPr>
        <w:sectPr>
          <w:pgSz w:w="11910" w:h="16840"/>
          <w:pgMar w:top="1440" w:right="1080" w:bottom="1040" w:left="1420" w:header="882" w:footer="847" w:gutter="0"/>
          <w:cols w:space="720" w:num="1"/>
        </w:sectPr>
      </w:pPr>
    </w:p>
    <w:p w14:paraId="13D658C9">
      <w:pPr>
        <w:pStyle w:val="10"/>
        <w:spacing w:before="10"/>
        <w:rPr>
          <w:rFonts w:hint="eastAsia" w:ascii="宋体" w:hAnsi="宋体" w:eastAsia="宋体" w:cs="宋体"/>
          <w:sz w:val="11"/>
          <w:highlight w:val="none"/>
        </w:rPr>
      </w:pPr>
    </w:p>
    <w:tbl>
      <w:tblPr>
        <w:tblStyle w:val="24"/>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14:paraId="5F760813">
        <w:tblPrEx>
          <w:tblCellMar>
            <w:top w:w="0" w:type="dxa"/>
            <w:left w:w="108" w:type="dxa"/>
            <w:bottom w:w="0" w:type="dxa"/>
            <w:right w:w="108" w:type="dxa"/>
          </w:tblCellMar>
        </w:tblPrEx>
        <w:trPr>
          <w:trHeight w:val="137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7DF8762">
            <w:pPr>
              <w:spacing w:line="824" w:lineRule="exact"/>
              <w:ind w:left="423"/>
              <w:rPr>
                <w:rFonts w:hint="eastAsia" w:ascii="宋体" w:hAnsi="宋体" w:eastAsia="宋体" w:cs="宋体"/>
                <w:highlight w:val="none"/>
              </w:rPr>
            </w:pPr>
            <w:r>
              <w:rPr>
                <w:rFonts w:hint="eastAsia" w:ascii="宋体" w:hAnsi="宋体" w:eastAsia="宋体" w:cs="宋体"/>
                <w:spacing w:val="-1"/>
                <w:sz w:val="20"/>
                <w:highlight w:val="none"/>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C316C0C">
            <w:pPr>
              <w:spacing w:line="789" w:lineRule="exact"/>
              <w:ind w:left="281"/>
              <w:rPr>
                <w:rFonts w:hint="eastAsia" w:ascii="宋体" w:hAnsi="宋体" w:eastAsia="宋体" w:cs="宋体"/>
                <w:highlight w:val="none"/>
              </w:rPr>
            </w:pPr>
            <w:r>
              <w:rPr>
                <w:rFonts w:hint="eastAsia" w:ascii="宋体" w:hAnsi="宋体" w:eastAsia="宋体" w:cs="宋体"/>
                <w:spacing w:val="-1"/>
                <w:sz w:val="20"/>
                <w:highlight w:val="none"/>
              </w:rPr>
              <w:t>抛石挤淤</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19C22B8">
            <w:pPr>
              <w:spacing w:line="733"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97B2644">
            <w:pPr>
              <w:spacing w:line="516"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依据图纸所示位置和范围，</w:t>
            </w:r>
          </w:p>
          <w:p w14:paraId="2A02458D">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按照抛石体积的片石数量，以</w:t>
            </w:r>
          </w:p>
          <w:p w14:paraId="64D9E9EA">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385A387">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临时排水；</w:t>
            </w:r>
          </w:p>
          <w:p w14:paraId="7EAA2A8F">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抛填片石；</w:t>
            </w:r>
          </w:p>
          <w:p w14:paraId="0A639889">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小石块、石屑填塞垫</w:t>
            </w:r>
          </w:p>
          <w:p w14:paraId="6994A341">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平；</w:t>
            </w:r>
          </w:p>
          <w:p w14:paraId="0D8568F5">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重型压路机压实</w:t>
            </w:r>
          </w:p>
        </w:tc>
      </w:tr>
      <w:tr w14:paraId="2BA82959">
        <w:tblPrEx>
          <w:tblCellMar>
            <w:top w:w="0" w:type="dxa"/>
            <w:left w:w="108" w:type="dxa"/>
            <w:bottom w:w="0" w:type="dxa"/>
            <w:right w:w="108" w:type="dxa"/>
          </w:tblCellMar>
        </w:tblPrEx>
        <w:trPr>
          <w:trHeight w:val="469"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8DD435D">
            <w:pPr>
              <w:spacing w:line="371" w:lineRule="exact"/>
              <w:ind w:left="416"/>
              <w:rPr>
                <w:rFonts w:hint="eastAsia" w:ascii="宋体" w:hAnsi="宋体" w:eastAsia="宋体" w:cs="宋体"/>
                <w:highlight w:val="none"/>
              </w:rPr>
            </w:pPr>
            <w:r>
              <w:rPr>
                <w:rFonts w:hint="eastAsia" w:ascii="宋体" w:hAnsi="宋体" w:eastAsia="宋体" w:cs="宋体"/>
                <w:spacing w:val="-1"/>
                <w:sz w:val="20"/>
                <w:highlight w:val="none"/>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79DAFE2">
            <w:pPr>
              <w:spacing w:line="337" w:lineRule="exact"/>
              <w:ind w:left="281"/>
              <w:rPr>
                <w:rFonts w:hint="eastAsia" w:ascii="宋体" w:hAnsi="宋体" w:eastAsia="宋体" w:cs="宋体"/>
                <w:highlight w:val="none"/>
              </w:rPr>
            </w:pPr>
            <w:r>
              <w:rPr>
                <w:rFonts w:hint="eastAsia" w:ascii="宋体" w:hAnsi="宋体" w:eastAsia="宋体" w:cs="宋体"/>
                <w:spacing w:val="-1"/>
                <w:sz w:val="20"/>
                <w:highlight w:val="none"/>
              </w:rPr>
              <w:t>垫层</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1820878">
            <w:pPr>
              <w:spacing w:line="337" w:lineRule="exact"/>
              <w:rPr>
                <w:rFonts w:hint="eastAsia" w:ascii="宋体" w:hAnsi="宋体" w:eastAsia="宋体" w:cs="宋体"/>
                <w:highlight w:val="none"/>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485098C">
            <w:pPr>
              <w:spacing w:line="337"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82D1810">
            <w:pPr>
              <w:spacing w:line="337" w:lineRule="exact"/>
              <w:rPr>
                <w:rFonts w:hint="eastAsia" w:ascii="宋体" w:hAnsi="宋体" w:eastAsia="宋体" w:cs="宋体"/>
                <w:highlight w:val="none"/>
              </w:rPr>
            </w:pPr>
          </w:p>
        </w:tc>
      </w:tr>
      <w:tr w14:paraId="3F4846EF">
        <w:tblPrEx>
          <w:tblCellMar>
            <w:top w:w="0" w:type="dxa"/>
            <w:left w:w="108" w:type="dxa"/>
            <w:bottom w:w="0" w:type="dxa"/>
            <w:right w:w="108" w:type="dxa"/>
          </w:tblCellMar>
        </w:tblPrEx>
        <w:trPr>
          <w:trHeight w:val="137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46304AF">
            <w:pPr>
              <w:spacing w:line="824" w:lineRule="exact"/>
              <w:ind w:left="329"/>
              <w:rPr>
                <w:rFonts w:hint="eastAsia" w:ascii="宋体" w:hAnsi="宋体" w:eastAsia="宋体" w:cs="宋体"/>
                <w:highlight w:val="none"/>
              </w:rPr>
            </w:pPr>
            <w:r>
              <w:rPr>
                <w:rFonts w:hint="eastAsia" w:ascii="宋体" w:hAnsi="宋体" w:eastAsia="宋体" w:cs="宋体"/>
                <w:spacing w:val="-1"/>
                <w:sz w:val="20"/>
                <w:highlight w:val="none"/>
              </w:rPr>
              <w:t>-b-1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6696378">
            <w:pPr>
              <w:spacing w:line="789" w:lineRule="exact"/>
              <w:ind w:left="281"/>
              <w:rPr>
                <w:rFonts w:hint="eastAsia" w:ascii="宋体" w:hAnsi="宋体" w:eastAsia="宋体" w:cs="宋体"/>
                <w:highlight w:val="none"/>
              </w:rPr>
            </w:pPr>
            <w:r>
              <w:rPr>
                <w:rFonts w:hint="eastAsia" w:ascii="宋体" w:hAnsi="宋体" w:eastAsia="宋体" w:cs="宋体"/>
                <w:spacing w:val="-1"/>
                <w:sz w:val="20"/>
                <w:highlight w:val="none"/>
              </w:rPr>
              <w:t>砂垫层</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98309E7">
            <w:pPr>
              <w:spacing w:line="732"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5E1B77F">
            <w:pPr>
              <w:spacing w:line="279"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依据图纸所示位置和断面</w:t>
            </w:r>
          </w:p>
          <w:p w14:paraId="5A549791">
            <w:pPr>
              <w:spacing w:line="236" w:lineRule="exact"/>
              <w:ind w:left="109"/>
              <w:rPr>
                <w:rFonts w:hint="eastAsia" w:ascii="宋体" w:hAnsi="宋体" w:eastAsia="宋体" w:cs="宋体"/>
                <w:highlight w:val="none"/>
              </w:rPr>
            </w:pPr>
            <w:r>
              <w:rPr>
                <w:rFonts w:hint="eastAsia" w:ascii="宋体" w:hAnsi="宋体" w:eastAsia="宋体" w:cs="宋体"/>
                <w:spacing w:val="-1"/>
                <w:sz w:val="20"/>
                <w:highlight w:val="none"/>
              </w:rPr>
              <w:t>尺寸，按图示砂垫层密实体积</w:t>
            </w:r>
          </w:p>
          <w:p w14:paraId="0F7C8740">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以立方米为单位计量；</w:t>
            </w:r>
          </w:p>
          <w:p w14:paraId="1DFF5247">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因换填而挖除的非适用材</w:t>
            </w:r>
          </w:p>
          <w:p w14:paraId="307E1286">
            <w:pPr>
              <w:spacing w:line="274" w:lineRule="exact"/>
              <w:ind w:left="109"/>
              <w:rPr>
                <w:rFonts w:hint="eastAsia" w:ascii="宋体" w:hAnsi="宋体" w:eastAsia="宋体" w:cs="宋体"/>
                <w:highlight w:val="none"/>
              </w:rPr>
            </w:pPr>
            <w:r>
              <w:rPr>
                <w:rFonts w:hint="eastAsia" w:ascii="宋体" w:hAnsi="宋体" w:eastAsia="宋体" w:cs="宋体"/>
                <w:spacing w:val="-1"/>
                <w:position w:val="1"/>
                <w:sz w:val="20"/>
                <w:highlight w:val="none"/>
              </w:rPr>
              <w:t>料列入</w:t>
            </w:r>
            <w:r>
              <w:rPr>
                <w:rFonts w:hint="eastAsia" w:ascii="宋体" w:hAnsi="宋体" w:eastAsia="宋体" w:cs="宋体"/>
                <w:sz w:val="20"/>
                <w:highlight w:val="none"/>
              </w:rPr>
              <w:t> </w:t>
            </w:r>
            <w:r>
              <w:rPr>
                <w:rFonts w:hint="eastAsia" w:ascii="宋体" w:hAnsi="宋体" w:eastAsia="宋体" w:cs="宋体"/>
                <w:spacing w:val="-1"/>
                <w:sz w:val="20"/>
                <w:highlight w:val="none"/>
              </w:rPr>
              <w:t>203-1</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相关子目计量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CE3708C">
            <w:pPr>
              <w:spacing w:line="414"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基底清理；</w:t>
            </w:r>
          </w:p>
          <w:p w14:paraId="5607A357">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临时排水；</w:t>
            </w:r>
          </w:p>
          <w:p w14:paraId="3E7EB400">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分层铺筑；</w:t>
            </w:r>
          </w:p>
          <w:p w14:paraId="02AF1DA9">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分层碾压</w:t>
            </w:r>
          </w:p>
        </w:tc>
      </w:tr>
      <w:tr w14:paraId="6770EF31">
        <w:tblPrEx>
          <w:tblCellMar>
            <w:top w:w="0" w:type="dxa"/>
            <w:left w:w="108" w:type="dxa"/>
            <w:bottom w:w="0" w:type="dxa"/>
            <w:right w:w="108" w:type="dxa"/>
          </w:tblCellMar>
        </w:tblPrEx>
        <w:trPr>
          <w:trHeight w:val="137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D40D7A6">
            <w:pPr>
              <w:spacing w:line="823" w:lineRule="exact"/>
              <w:ind w:left="329"/>
              <w:rPr>
                <w:rFonts w:hint="eastAsia" w:ascii="宋体" w:hAnsi="宋体" w:eastAsia="宋体" w:cs="宋体"/>
                <w:highlight w:val="none"/>
              </w:rPr>
            </w:pPr>
            <w:r>
              <w:rPr>
                <w:rFonts w:hint="eastAsia" w:ascii="宋体" w:hAnsi="宋体" w:eastAsia="宋体" w:cs="宋体"/>
                <w:spacing w:val="-1"/>
                <w:sz w:val="20"/>
                <w:highlight w:val="none"/>
              </w:rPr>
              <w:t>-b-2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5EA61C2">
            <w:pPr>
              <w:spacing w:line="789" w:lineRule="exact"/>
              <w:ind w:left="281"/>
              <w:rPr>
                <w:rFonts w:hint="eastAsia" w:ascii="宋体" w:hAnsi="宋体" w:eastAsia="宋体" w:cs="宋体"/>
                <w:highlight w:val="none"/>
              </w:rPr>
            </w:pPr>
            <w:r>
              <w:rPr>
                <w:rFonts w:hint="eastAsia" w:ascii="宋体" w:hAnsi="宋体" w:eastAsia="宋体" w:cs="宋体"/>
                <w:spacing w:val="-1"/>
                <w:sz w:val="20"/>
                <w:highlight w:val="none"/>
              </w:rPr>
              <w:t>砂砾垫层</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5AF47CB">
            <w:pPr>
              <w:spacing w:line="734"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C812892">
            <w:pPr>
              <w:spacing w:line="281"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依据图纸所示位置和断面</w:t>
            </w:r>
          </w:p>
          <w:p w14:paraId="5574E927">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尺寸，按图示砂砾垫层密实体</w:t>
            </w:r>
          </w:p>
          <w:p w14:paraId="0188E7B2">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积以立方米为单位计量；</w:t>
            </w:r>
          </w:p>
          <w:p w14:paraId="176E5A2E">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因换填而挖除的非适用材</w:t>
            </w:r>
          </w:p>
          <w:p w14:paraId="720EC949">
            <w:pPr>
              <w:spacing w:line="271" w:lineRule="exact"/>
              <w:ind w:left="109"/>
              <w:rPr>
                <w:rFonts w:hint="eastAsia" w:ascii="宋体" w:hAnsi="宋体" w:eastAsia="宋体" w:cs="宋体"/>
                <w:highlight w:val="none"/>
              </w:rPr>
            </w:pPr>
            <w:r>
              <w:rPr>
                <w:rFonts w:hint="eastAsia" w:ascii="宋体" w:hAnsi="宋体" w:eastAsia="宋体" w:cs="宋体"/>
                <w:spacing w:val="-1"/>
                <w:position w:val="1"/>
                <w:sz w:val="20"/>
                <w:highlight w:val="none"/>
              </w:rPr>
              <w:t>料列入</w:t>
            </w:r>
            <w:r>
              <w:rPr>
                <w:rFonts w:hint="eastAsia" w:ascii="宋体" w:hAnsi="宋体" w:eastAsia="宋体" w:cs="宋体"/>
                <w:sz w:val="20"/>
                <w:highlight w:val="none"/>
              </w:rPr>
              <w:t> </w:t>
            </w:r>
            <w:r>
              <w:rPr>
                <w:rFonts w:hint="eastAsia" w:ascii="宋体" w:hAnsi="宋体" w:eastAsia="宋体" w:cs="宋体"/>
                <w:spacing w:val="-1"/>
                <w:sz w:val="20"/>
                <w:highlight w:val="none"/>
              </w:rPr>
              <w:t>203-1</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相关子目计量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A3BA251">
            <w:pPr>
              <w:spacing w:line="415"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基底清理；</w:t>
            </w:r>
          </w:p>
          <w:p w14:paraId="1D599943">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临时排水；</w:t>
            </w:r>
          </w:p>
          <w:p w14:paraId="185B7525">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分层铺筑；</w:t>
            </w:r>
          </w:p>
          <w:p w14:paraId="4E333D35">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分层碾压</w:t>
            </w:r>
          </w:p>
        </w:tc>
      </w:tr>
      <w:tr w14:paraId="0B9BD51E">
        <w:tblPrEx>
          <w:tblCellMar>
            <w:top w:w="0" w:type="dxa"/>
            <w:left w:w="108" w:type="dxa"/>
            <w:bottom w:w="0" w:type="dxa"/>
            <w:right w:w="108" w:type="dxa"/>
          </w:tblCellMar>
        </w:tblPrEx>
        <w:trPr>
          <w:trHeight w:val="1516"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D4AD9A5">
            <w:pPr>
              <w:spacing w:line="961" w:lineRule="exact"/>
              <w:ind w:left="423"/>
              <w:rPr>
                <w:rFonts w:hint="eastAsia" w:ascii="宋体" w:hAnsi="宋体" w:eastAsia="宋体" w:cs="宋体"/>
                <w:highlight w:val="none"/>
              </w:rPr>
            </w:pPr>
            <w:r>
              <w:rPr>
                <w:rFonts w:hint="eastAsia" w:ascii="宋体" w:hAnsi="宋体" w:eastAsia="宋体" w:cs="宋体"/>
                <w:spacing w:val="-1"/>
                <w:sz w:val="20"/>
                <w:highlight w:val="none"/>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3F5D07F">
            <w:pPr>
              <w:spacing w:line="789" w:lineRule="exact"/>
              <w:ind w:left="281"/>
              <w:rPr>
                <w:rFonts w:hint="eastAsia" w:ascii="宋体" w:hAnsi="宋体" w:eastAsia="宋体" w:cs="宋体"/>
                <w:highlight w:val="none"/>
              </w:rPr>
            </w:pPr>
            <w:r>
              <w:rPr>
                <w:rFonts w:hint="eastAsia" w:ascii="宋体" w:hAnsi="宋体" w:eastAsia="宋体" w:cs="宋体"/>
                <w:spacing w:val="-1"/>
                <w:sz w:val="20"/>
                <w:highlight w:val="none"/>
              </w:rPr>
              <w:t>碎石（砂砾）</w:t>
            </w:r>
          </w:p>
          <w:p w14:paraId="5DF34977">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桩</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A8D2C51">
            <w:pPr>
              <w:spacing w:line="1021" w:lineRule="exact"/>
              <w:ind w:left="342"/>
              <w:rPr>
                <w:rFonts w:hint="eastAsia" w:ascii="宋体" w:hAnsi="宋体" w:eastAsia="宋体" w:cs="宋体"/>
                <w:highlight w:val="none"/>
              </w:rPr>
            </w:pPr>
            <w:r>
              <w:rPr>
                <w:rFonts w:hint="eastAsia" w:ascii="宋体" w:hAnsi="宋体" w:eastAsia="宋体" w:cs="宋体"/>
                <w:sz w:val="20"/>
                <w:highlight w:val="none"/>
              </w:rPr>
              <w:t>m</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CDEFAD3">
            <w:pPr>
              <w:spacing w:line="518"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依据图纸所示位置和断面尺</w:t>
            </w:r>
          </w:p>
          <w:p w14:paraId="3C5C8BF9">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寸，按图示不同桩径的碎石</w:t>
            </w:r>
          </w:p>
          <w:p w14:paraId="11FD65F1">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（砂砾）桩长度以米为单位计</w:t>
            </w:r>
          </w:p>
          <w:p w14:paraId="2EC26D24">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E7815AB">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场地清理；</w:t>
            </w:r>
          </w:p>
          <w:p w14:paraId="744C5E67">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成桩设备安装与就</w:t>
            </w:r>
            <w:r>
              <w:rPr>
                <w:rFonts w:hint="eastAsia" w:ascii="宋体" w:hAnsi="宋体" w:eastAsia="宋体" w:cs="宋体"/>
                <w:spacing w:val="-1"/>
                <w:sz w:val="20"/>
                <w:highlight w:val="none"/>
              </w:rPr>
              <w:t>位；</w:t>
            </w:r>
          </w:p>
          <w:p w14:paraId="08887BFB">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成孔；</w:t>
            </w:r>
          </w:p>
          <w:p w14:paraId="6E2BD2FD">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灌碎石（砂砾）；</w:t>
            </w:r>
          </w:p>
          <w:p w14:paraId="7F96ED96">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桩机移位</w:t>
            </w:r>
          </w:p>
        </w:tc>
      </w:tr>
      <w:tr w14:paraId="19A2C007">
        <w:tblPrEx>
          <w:tblCellMar>
            <w:top w:w="0" w:type="dxa"/>
            <w:left w:w="108" w:type="dxa"/>
            <w:bottom w:w="0" w:type="dxa"/>
            <w:right w:w="108" w:type="dxa"/>
          </w:tblCellMar>
        </w:tblPrEx>
        <w:trPr>
          <w:trHeight w:val="1426"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357D600">
            <w:pPr>
              <w:spacing w:line="961" w:lineRule="exact"/>
              <w:ind w:left="416"/>
              <w:rPr>
                <w:rFonts w:hint="eastAsia" w:ascii="宋体" w:hAnsi="宋体" w:eastAsia="宋体" w:cs="宋体"/>
                <w:highlight w:val="none"/>
              </w:rPr>
            </w:pPr>
            <w:r>
              <w:rPr>
                <w:rFonts w:hint="eastAsia" w:ascii="宋体" w:hAnsi="宋体" w:eastAsia="宋体" w:cs="宋体"/>
                <w:spacing w:val="-1"/>
                <w:sz w:val="20"/>
                <w:highlight w:val="none"/>
              </w:rPr>
              <w:t>-d</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63A8356">
            <w:pPr>
              <w:spacing w:line="926" w:lineRule="exact"/>
              <w:ind w:left="281"/>
              <w:rPr>
                <w:rFonts w:hint="eastAsia" w:ascii="宋体" w:hAnsi="宋体" w:eastAsia="宋体" w:cs="宋体"/>
                <w:highlight w:val="none"/>
              </w:rPr>
            </w:pPr>
            <w:r>
              <w:rPr>
                <w:rFonts w:hint="eastAsia" w:ascii="宋体" w:hAnsi="宋体" w:eastAsia="宋体" w:cs="宋体"/>
                <w:spacing w:val="-1"/>
                <w:sz w:val="20"/>
                <w:highlight w:val="none"/>
              </w:rPr>
              <w:t>砂桩</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4A56627">
            <w:pPr>
              <w:spacing w:line="1021" w:lineRule="exact"/>
              <w:ind w:left="342"/>
              <w:rPr>
                <w:rFonts w:hint="eastAsia" w:ascii="宋体" w:hAnsi="宋体" w:eastAsia="宋体" w:cs="宋体"/>
                <w:highlight w:val="none"/>
              </w:rPr>
            </w:pPr>
            <w:r>
              <w:rPr>
                <w:rFonts w:hint="eastAsia" w:ascii="宋体" w:hAnsi="宋体" w:eastAsia="宋体" w:cs="宋体"/>
                <w:sz w:val="20"/>
                <w:highlight w:val="none"/>
              </w:rPr>
              <w:t>m</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491F3B0">
            <w:pPr>
              <w:spacing w:line="653"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依据图纸所示位置和断面尺</w:t>
            </w:r>
          </w:p>
          <w:p w14:paraId="256BDEE4">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寸，按图示不同桩径的砂桩长</w:t>
            </w:r>
          </w:p>
          <w:p w14:paraId="38D80315">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度以米为单位计量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13E4889">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场地清理；</w:t>
            </w:r>
          </w:p>
          <w:p w14:paraId="6F897C2F">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成桩设备安装与就</w:t>
            </w:r>
            <w:r>
              <w:rPr>
                <w:rFonts w:hint="eastAsia" w:ascii="宋体" w:hAnsi="宋体" w:eastAsia="宋体" w:cs="宋体"/>
                <w:spacing w:val="-1"/>
                <w:sz w:val="20"/>
                <w:highlight w:val="none"/>
              </w:rPr>
              <w:t>位；</w:t>
            </w:r>
          </w:p>
          <w:p w14:paraId="7740B427">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成孔；</w:t>
            </w:r>
          </w:p>
          <w:p w14:paraId="347EAFA0">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灌砂；</w:t>
            </w:r>
          </w:p>
          <w:p w14:paraId="798EFB26">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桩机移位</w:t>
            </w:r>
          </w:p>
        </w:tc>
      </w:tr>
      <w:tr w14:paraId="0BEC120C">
        <w:tblPrEx>
          <w:tblCellMar>
            <w:top w:w="0" w:type="dxa"/>
            <w:left w:w="108" w:type="dxa"/>
            <w:bottom w:w="0" w:type="dxa"/>
            <w:right w:w="108" w:type="dxa"/>
          </w:tblCellMar>
        </w:tblPrEx>
        <w:trPr>
          <w:trHeight w:val="55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8510226">
            <w:pPr>
              <w:spacing w:line="416" w:lineRule="exact"/>
              <w:ind w:left="423"/>
              <w:rPr>
                <w:rFonts w:hint="eastAsia" w:ascii="宋体" w:hAnsi="宋体" w:eastAsia="宋体" w:cs="宋体"/>
                <w:highlight w:val="none"/>
              </w:rPr>
            </w:pPr>
            <w:r>
              <w:rPr>
                <w:rFonts w:hint="eastAsia" w:ascii="宋体" w:hAnsi="宋体" w:eastAsia="宋体" w:cs="宋体"/>
                <w:spacing w:val="-1"/>
                <w:sz w:val="20"/>
                <w:highlight w:val="none"/>
              </w:rPr>
              <w:t>-e</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87CA5FF">
            <w:pPr>
              <w:spacing w:line="381" w:lineRule="exact"/>
              <w:ind w:left="281"/>
              <w:rPr>
                <w:rFonts w:hint="eastAsia" w:ascii="宋体" w:hAnsi="宋体" w:eastAsia="宋体" w:cs="宋体"/>
                <w:highlight w:val="none"/>
              </w:rPr>
            </w:pPr>
            <w:r>
              <w:rPr>
                <w:rFonts w:hint="eastAsia" w:ascii="宋体" w:hAnsi="宋体" w:eastAsia="宋体" w:cs="宋体"/>
                <w:spacing w:val="-1"/>
                <w:sz w:val="20"/>
                <w:highlight w:val="none"/>
              </w:rPr>
              <w:t>土工合成材料</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044F328">
            <w:pPr>
              <w:spacing w:line="381" w:lineRule="exact"/>
              <w:rPr>
                <w:rFonts w:hint="eastAsia" w:ascii="宋体" w:hAnsi="宋体" w:eastAsia="宋体" w:cs="宋体"/>
                <w:highlight w:val="none"/>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2ADA9DD">
            <w:pPr>
              <w:spacing w:line="381"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ECB33D7">
            <w:pPr>
              <w:spacing w:line="381" w:lineRule="exact"/>
              <w:rPr>
                <w:rFonts w:hint="eastAsia" w:ascii="宋体" w:hAnsi="宋体" w:eastAsia="宋体" w:cs="宋体"/>
                <w:highlight w:val="none"/>
              </w:rPr>
            </w:pPr>
          </w:p>
        </w:tc>
      </w:tr>
      <w:tr w14:paraId="2AE38CE9">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E7875F5">
            <w:pPr>
              <w:spacing w:line="961" w:lineRule="exact"/>
              <w:ind w:left="337"/>
              <w:rPr>
                <w:rFonts w:hint="eastAsia" w:ascii="宋体" w:hAnsi="宋体" w:eastAsia="宋体" w:cs="宋体"/>
                <w:highlight w:val="none"/>
              </w:rPr>
            </w:pPr>
            <w:r>
              <w:rPr>
                <w:rFonts w:hint="eastAsia" w:ascii="宋体" w:hAnsi="宋体" w:eastAsia="宋体" w:cs="宋体"/>
                <w:spacing w:val="-1"/>
                <w:sz w:val="20"/>
                <w:highlight w:val="none"/>
              </w:rPr>
              <w:t>-e-1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178E855">
            <w:pPr>
              <w:spacing w:line="924" w:lineRule="exact"/>
              <w:ind w:left="281"/>
              <w:rPr>
                <w:rFonts w:hint="eastAsia" w:ascii="宋体" w:hAnsi="宋体" w:eastAsia="宋体" w:cs="宋体"/>
                <w:highlight w:val="none"/>
              </w:rPr>
            </w:pPr>
            <w:r>
              <w:rPr>
                <w:rFonts w:hint="eastAsia" w:ascii="宋体" w:hAnsi="宋体" w:eastAsia="宋体" w:cs="宋体"/>
                <w:spacing w:val="-1"/>
                <w:sz w:val="20"/>
                <w:highlight w:val="none"/>
              </w:rPr>
              <w:t>反滤土工布</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2EB28DD">
            <w:pPr>
              <w:spacing w:line="870"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C8A73C8">
            <w:pPr>
              <w:spacing w:line="280"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依据图纸所示位置和规</w:t>
            </w:r>
          </w:p>
          <w:p w14:paraId="0985DD6A">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格，按土层中分层铺设反滤土</w:t>
            </w:r>
          </w:p>
          <w:p w14:paraId="63262888">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工布的累计净面积以平方米</w:t>
            </w:r>
          </w:p>
          <w:p w14:paraId="7D04BE37">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为单位计量；</w:t>
            </w:r>
          </w:p>
          <w:p w14:paraId="3566737C">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接缝的重叠面积和边缘的</w:t>
            </w:r>
          </w:p>
          <w:p w14:paraId="61DF5A63">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包裹面积不予计量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F2551F9">
            <w:pPr>
              <w:spacing w:line="417"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清理下承层；</w:t>
            </w:r>
          </w:p>
          <w:p w14:paraId="20DC0E6D">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铺设及固定；</w:t>
            </w:r>
          </w:p>
          <w:p w14:paraId="03B6578C">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接缝处理（搭接、缝</w:t>
            </w:r>
          </w:p>
          <w:p w14:paraId="40BDEE29">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接、粘接）；</w:t>
            </w:r>
          </w:p>
          <w:p w14:paraId="57BFBE99">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边缘处理</w:t>
            </w:r>
          </w:p>
        </w:tc>
      </w:tr>
      <w:tr w14:paraId="2FA2D016">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0865962">
            <w:pPr>
              <w:spacing w:line="961" w:lineRule="exact"/>
              <w:ind w:left="337"/>
              <w:rPr>
                <w:rFonts w:hint="eastAsia" w:ascii="宋体" w:hAnsi="宋体" w:eastAsia="宋体" w:cs="宋体"/>
                <w:highlight w:val="none"/>
              </w:rPr>
            </w:pPr>
            <w:r>
              <w:rPr>
                <w:rFonts w:hint="eastAsia" w:ascii="宋体" w:hAnsi="宋体" w:eastAsia="宋体" w:cs="宋体"/>
                <w:spacing w:val="-1"/>
                <w:sz w:val="20"/>
                <w:highlight w:val="none"/>
              </w:rPr>
              <w:t>-e-2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9FDE668">
            <w:pPr>
              <w:spacing w:line="924" w:lineRule="exact"/>
              <w:ind w:left="281"/>
              <w:rPr>
                <w:rFonts w:hint="eastAsia" w:ascii="宋体" w:hAnsi="宋体" w:eastAsia="宋体" w:cs="宋体"/>
                <w:highlight w:val="none"/>
              </w:rPr>
            </w:pPr>
            <w:r>
              <w:rPr>
                <w:rFonts w:hint="eastAsia" w:ascii="宋体" w:hAnsi="宋体" w:eastAsia="宋体" w:cs="宋体"/>
                <w:spacing w:val="-1"/>
                <w:sz w:val="20"/>
                <w:highlight w:val="none"/>
              </w:rPr>
              <w:t>防渗土工膜</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17A201A">
            <w:pPr>
              <w:spacing w:line="870"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E36DED6">
            <w:pPr>
              <w:spacing w:line="280"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依据图纸所示位置和规</w:t>
            </w:r>
          </w:p>
          <w:p w14:paraId="551B607E">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格，按土层中分层铺设防渗土</w:t>
            </w:r>
          </w:p>
          <w:p w14:paraId="0BE4F553">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工膜的累计净面积以平方米</w:t>
            </w:r>
          </w:p>
          <w:p w14:paraId="58F3DF89">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为单位计量；</w:t>
            </w:r>
          </w:p>
          <w:p w14:paraId="62F05CAA">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接缝的重叠面积和边缘的</w:t>
            </w:r>
          </w:p>
          <w:p w14:paraId="20C2F71D">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包裹面积不予计量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4CA2E37">
            <w:pPr>
              <w:spacing w:line="417"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清理下承层；</w:t>
            </w:r>
          </w:p>
          <w:p w14:paraId="16DC5CA0">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铺设及固定；</w:t>
            </w:r>
          </w:p>
          <w:p w14:paraId="2D0B61C9">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接缝处理（搭接、缝</w:t>
            </w:r>
          </w:p>
          <w:p w14:paraId="7C914A19">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接、粘接）；</w:t>
            </w:r>
          </w:p>
          <w:p w14:paraId="28DE6B28">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边缘处理</w:t>
            </w:r>
          </w:p>
        </w:tc>
      </w:tr>
      <w:tr w14:paraId="6567E2CB">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662882D">
            <w:pPr>
              <w:spacing w:line="961" w:lineRule="exact"/>
              <w:ind w:left="337"/>
              <w:rPr>
                <w:rFonts w:hint="eastAsia" w:ascii="宋体" w:hAnsi="宋体" w:eastAsia="宋体" w:cs="宋体"/>
                <w:highlight w:val="none"/>
              </w:rPr>
            </w:pPr>
            <w:r>
              <w:rPr>
                <w:rFonts w:hint="eastAsia" w:ascii="宋体" w:hAnsi="宋体" w:eastAsia="宋体" w:cs="宋体"/>
                <w:spacing w:val="-1"/>
                <w:sz w:val="20"/>
                <w:highlight w:val="none"/>
              </w:rPr>
              <w:t>-e-3</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6043564">
            <w:pPr>
              <w:spacing w:line="924" w:lineRule="exact"/>
              <w:ind w:left="281"/>
              <w:rPr>
                <w:rFonts w:hint="eastAsia" w:ascii="宋体" w:hAnsi="宋体" w:eastAsia="宋体" w:cs="宋体"/>
                <w:highlight w:val="none"/>
              </w:rPr>
            </w:pPr>
            <w:r>
              <w:rPr>
                <w:rFonts w:hint="eastAsia" w:ascii="宋体" w:hAnsi="宋体" w:eastAsia="宋体" w:cs="宋体"/>
                <w:spacing w:val="-1"/>
                <w:sz w:val="20"/>
                <w:highlight w:val="none"/>
              </w:rPr>
              <w:t>土工格栅</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A280DF9">
            <w:pPr>
              <w:spacing w:line="870"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94CDB5E">
            <w:pPr>
              <w:spacing w:line="280"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依据图纸所示位置和规</w:t>
            </w:r>
          </w:p>
          <w:p w14:paraId="736D73ED">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格、型号，按土层中分层铺设</w:t>
            </w:r>
          </w:p>
          <w:p w14:paraId="3A3A5467">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土工格栅的累计净面积以平</w:t>
            </w:r>
          </w:p>
          <w:p w14:paraId="38E9F0D8">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方米为单位计量；</w:t>
            </w:r>
          </w:p>
          <w:p w14:paraId="24FAC932">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接缝的重叠面积和边缘的</w:t>
            </w:r>
          </w:p>
          <w:p w14:paraId="5A7EAD82">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包裹面积不予计量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49E4465">
            <w:pPr>
              <w:spacing w:line="417"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清理下承层；</w:t>
            </w:r>
          </w:p>
          <w:p w14:paraId="6842D8C0">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铺设及固定；</w:t>
            </w:r>
          </w:p>
          <w:p w14:paraId="18FDF7A6">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接缝处理（搭接、缝</w:t>
            </w:r>
          </w:p>
          <w:p w14:paraId="3CFA09A1">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接、粘接）；</w:t>
            </w:r>
          </w:p>
          <w:p w14:paraId="0E620162">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边缘处理</w:t>
            </w:r>
          </w:p>
        </w:tc>
      </w:tr>
      <w:tr w14:paraId="63F9A317">
        <w:tblPrEx>
          <w:tblCellMar>
            <w:top w:w="0" w:type="dxa"/>
            <w:left w:w="108" w:type="dxa"/>
            <w:bottom w:w="0" w:type="dxa"/>
            <w:right w:w="108" w:type="dxa"/>
          </w:tblCellMar>
        </w:tblPrEx>
        <w:trPr>
          <w:trHeight w:val="28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BBA7101">
            <w:pPr>
              <w:spacing w:line="280" w:lineRule="exact"/>
              <w:ind w:left="435"/>
              <w:rPr>
                <w:rFonts w:hint="eastAsia" w:ascii="宋体" w:hAnsi="宋体" w:eastAsia="宋体" w:cs="宋体"/>
                <w:highlight w:val="none"/>
              </w:rPr>
            </w:pPr>
            <w:r>
              <w:rPr>
                <w:rFonts w:hint="eastAsia" w:ascii="宋体" w:hAnsi="宋体" w:eastAsia="宋体" w:cs="宋体"/>
                <w:spacing w:val="-1"/>
                <w:sz w:val="20"/>
                <w:highlight w:val="none"/>
              </w:rPr>
              <w:t>-f</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45F4795">
            <w:pPr>
              <w:spacing w:line="245" w:lineRule="exact"/>
              <w:rPr>
                <w:rFonts w:hint="eastAsia" w:ascii="宋体" w:hAnsi="宋体" w:eastAsia="宋体" w:cs="宋体"/>
                <w:highlight w:val="none"/>
              </w:rPr>
            </w:pPr>
            <w:r>
              <w:rPr>
                <w:rFonts w:hint="eastAsia" w:ascii="宋体" w:hAnsi="宋体" w:eastAsia="宋体" w:cs="宋体"/>
                <w:spacing w:val="-1"/>
                <w:sz w:val="20"/>
                <w:highlight w:val="none"/>
              </w:rPr>
              <w:t>强夯及强夯置换</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83917B1">
            <w:pPr>
              <w:spacing w:line="245" w:lineRule="exact"/>
              <w:rPr>
                <w:rFonts w:hint="eastAsia" w:ascii="宋体" w:hAnsi="宋体" w:eastAsia="宋体" w:cs="宋体"/>
                <w:highlight w:val="none"/>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91A76EE">
            <w:pPr>
              <w:spacing w:line="245"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9685A14">
            <w:pPr>
              <w:spacing w:line="245" w:lineRule="exact"/>
              <w:rPr>
                <w:rFonts w:hint="eastAsia" w:ascii="宋体" w:hAnsi="宋体" w:eastAsia="宋体" w:cs="宋体"/>
                <w:highlight w:val="none"/>
              </w:rPr>
            </w:pPr>
          </w:p>
        </w:tc>
      </w:tr>
    </w:tbl>
    <w:p w14:paraId="4E682D2D">
      <w:pPr>
        <w:spacing w:line="249" w:lineRule="exact"/>
        <w:rPr>
          <w:rFonts w:hint="eastAsia" w:ascii="宋体" w:hAnsi="宋体" w:eastAsia="宋体" w:cs="宋体"/>
          <w:sz w:val="21"/>
          <w:highlight w:val="none"/>
        </w:rPr>
        <w:sectPr>
          <w:pgSz w:w="11910" w:h="16840"/>
          <w:pgMar w:top="1440" w:right="1080" w:bottom="1040" w:left="1420" w:header="882" w:footer="847" w:gutter="0"/>
          <w:cols w:space="720" w:num="1"/>
        </w:sectPr>
      </w:pPr>
    </w:p>
    <w:p w14:paraId="57945718">
      <w:pPr>
        <w:pStyle w:val="10"/>
        <w:spacing w:before="10"/>
        <w:rPr>
          <w:rFonts w:hint="eastAsia" w:ascii="宋体" w:hAnsi="宋体" w:eastAsia="宋体" w:cs="宋体"/>
          <w:sz w:val="11"/>
          <w:highlight w:val="none"/>
        </w:rPr>
      </w:pPr>
    </w:p>
    <w:tbl>
      <w:tblPr>
        <w:tblStyle w:val="24"/>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14:paraId="40EE6D11">
        <w:tblPrEx>
          <w:tblCellMar>
            <w:top w:w="0" w:type="dxa"/>
            <w:left w:w="108" w:type="dxa"/>
            <w:bottom w:w="0" w:type="dxa"/>
            <w:right w:w="108" w:type="dxa"/>
          </w:tblCellMar>
        </w:tblPrEx>
        <w:trPr>
          <w:trHeight w:val="3006"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9373CFF">
            <w:pPr>
              <w:spacing w:line="1641" w:lineRule="exact"/>
              <w:ind w:left="349"/>
              <w:rPr>
                <w:rFonts w:hint="eastAsia" w:ascii="宋体" w:hAnsi="宋体" w:eastAsia="宋体" w:cs="宋体"/>
                <w:highlight w:val="none"/>
              </w:rPr>
            </w:pPr>
            <w:r>
              <w:rPr>
                <w:rFonts w:hint="eastAsia" w:ascii="宋体" w:hAnsi="宋体" w:eastAsia="宋体" w:cs="宋体"/>
                <w:spacing w:val="-1"/>
                <w:sz w:val="20"/>
                <w:highlight w:val="none"/>
              </w:rPr>
              <w:t>-f-1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FBF67A5">
            <w:pPr>
              <w:spacing w:line="1607" w:lineRule="exact"/>
              <w:ind w:left="281"/>
              <w:rPr>
                <w:rFonts w:hint="eastAsia" w:ascii="宋体" w:hAnsi="宋体" w:eastAsia="宋体" w:cs="宋体"/>
                <w:highlight w:val="none"/>
              </w:rPr>
            </w:pPr>
            <w:r>
              <w:rPr>
                <w:rFonts w:hint="eastAsia" w:ascii="宋体" w:hAnsi="宋体" w:eastAsia="宋体" w:cs="宋体"/>
                <w:spacing w:val="-1"/>
                <w:sz w:val="20"/>
                <w:highlight w:val="none"/>
              </w:rPr>
              <w:t>强夯</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710395E">
            <w:pPr>
              <w:spacing w:line="1550"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AAAE56A">
            <w:pPr>
              <w:spacing w:line="281"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依据图纸所示位置和处理</w:t>
            </w:r>
          </w:p>
          <w:p w14:paraId="73F13E8A">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面积，按图示路堤底面积以平</w:t>
            </w:r>
          </w:p>
          <w:p w14:paraId="5084BBB1">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方米为单位计量；</w:t>
            </w:r>
          </w:p>
          <w:p w14:paraId="4E3F76A1">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施工前的地表处理、拦截</w:t>
            </w:r>
          </w:p>
          <w:p w14:paraId="5883E68F">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地表和地下水、强夯和强夯后</w:t>
            </w:r>
          </w:p>
          <w:p w14:paraId="50E20CCD">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的标准贯入、静力触探测试等</w:t>
            </w:r>
          </w:p>
          <w:p w14:paraId="1CA418FA">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为附属工作，不另行计量；</w:t>
            </w:r>
          </w:p>
          <w:p w14:paraId="107AAC5F">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强夯后沉降部分回填至原</w:t>
            </w:r>
          </w:p>
          <w:p w14:paraId="79707BFB">
            <w:pPr>
              <w:spacing w:line="236" w:lineRule="exact"/>
              <w:ind w:left="109"/>
              <w:rPr>
                <w:rFonts w:hint="eastAsia" w:ascii="宋体" w:hAnsi="宋体" w:eastAsia="宋体" w:cs="宋体"/>
                <w:highlight w:val="none"/>
              </w:rPr>
            </w:pPr>
            <w:r>
              <w:rPr>
                <w:rFonts w:hint="eastAsia" w:ascii="宋体" w:hAnsi="宋体" w:eastAsia="宋体" w:cs="宋体"/>
                <w:spacing w:val="-1"/>
                <w:sz w:val="20"/>
                <w:highlight w:val="none"/>
              </w:rPr>
              <w:t>标高的借方或利用方挖运、整</w:t>
            </w:r>
          </w:p>
          <w:p w14:paraId="1BBDA3AB">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平、压实等相关作业为附属工</w:t>
            </w:r>
          </w:p>
          <w:p w14:paraId="23823348">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作，不另行计量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32A9C42">
            <w:pPr>
              <w:spacing w:line="68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场地清理；</w:t>
            </w:r>
          </w:p>
          <w:p w14:paraId="4DF8D6BE">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拦截、排除地表水；</w:t>
            </w:r>
          </w:p>
          <w:p w14:paraId="04B54019">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防止地表水下渗等防</w:t>
            </w:r>
          </w:p>
          <w:p w14:paraId="00F2706E">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渗措施；</w:t>
            </w:r>
          </w:p>
          <w:p w14:paraId="7EACC40E">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强夯处理；</w:t>
            </w:r>
          </w:p>
          <w:p w14:paraId="75C2C08F">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路基整型；</w:t>
            </w:r>
          </w:p>
          <w:p w14:paraId="46A7C9CE">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压实；</w:t>
            </w:r>
          </w:p>
          <w:p w14:paraId="64287783">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沉降观测</w:t>
            </w:r>
          </w:p>
        </w:tc>
      </w:tr>
      <w:tr w14:paraId="5C083462">
        <w:tblPrEx>
          <w:tblCellMar>
            <w:top w:w="0" w:type="dxa"/>
            <w:left w:w="108" w:type="dxa"/>
            <w:bottom w:w="0" w:type="dxa"/>
            <w:right w:w="108" w:type="dxa"/>
          </w:tblCellMar>
        </w:tblPrEx>
        <w:trPr>
          <w:trHeight w:val="3823"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8B6F46E">
            <w:pPr>
              <w:spacing w:line="2051" w:lineRule="exact"/>
              <w:ind w:left="349"/>
              <w:rPr>
                <w:rFonts w:hint="eastAsia" w:ascii="宋体" w:hAnsi="宋体" w:eastAsia="宋体" w:cs="宋体"/>
                <w:highlight w:val="none"/>
              </w:rPr>
            </w:pPr>
            <w:r>
              <w:rPr>
                <w:rFonts w:hint="eastAsia" w:ascii="宋体" w:hAnsi="宋体" w:eastAsia="宋体" w:cs="宋体"/>
                <w:spacing w:val="-1"/>
                <w:sz w:val="20"/>
                <w:highlight w:val="none"/>
              </w:rPr>
              <w:t>-f-2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250A4E2">
            <w:pPr>
              <w:spacing w:line="2013" w:lineRule="exact"/>
              <w:ind w:left="281"/>
              <w:rPr>
                <w:rFonts w:hint="eastAsia" w:ascii="宋体" w:hAnsi="宋体" w:eastAsia="宋体" w:cs="宋体"/>
                <w:highlight w:val="none"/>
              </w:rPr>
            </w:pPr>
            <w:r>
              <w:rPr>
                <w:rFonts w:hint="eastAsia" w:ascii="宋体" w:hAnsi="宋体" w:eastAsia="宋体" w:cs="宋体"/>
                <w:spacing w:val="-1"/>
                <w:sz w:val="20"/>
                <w:highlight w:val="none"/>
              </w:rPr>
              <w:t>强夯置换</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18E4077">
            <w:pPr>
              <w:spacing w:line="1959"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FA64B72">
            <w:pPr>
              <w:spacing w:line="279"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依据图纸所示位置，按图</w:t>
            </w:r>
          </w:p>
          <w:p w14:paraId="62333697">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示置换的体积以立方米为单</w:t>
            </w:r>
          </w:p>
          <w:p w14:paraId="033E52C2">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位计量</w:t>
            </w:r>
          </w:p>
          <w:p w14:paraId="5AA1CC97">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与强夯置换有关的试夯、</w:t>
            </w:r>
          </w:p>
          <w:p w14:paraId="502E9B4D">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试验、观测、检测等为附属工</w:t>
            </w:r>
          </w:p>
          <w:p w14:paraId="13C648CD">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作，不另行计量；</w:t>
            </w:r>
          </w:p>
          <w:p w14:paraId="334834C9">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position w:val="1"/>
                <w:sz w:val="20"/>
                <w:highlight w:val="none"/>
              </w:rPr>
              <w:t>场地整平、开挖隔震沟（包</w:t>
            </w:r>
          </w:p>
          <w:p w14:paraId="1355730D">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括竣工后回填）和因强夯置换</w:t>
            </w:r>
          </w:p>
          <w:p w14:paraId="773DC046">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对周围构造物的影响（包括恢</w:t>
            </w:r>
          </w:p>
          <w:p w14:paraId="6D966FA1">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复或赔付）及因强夯置换而引</w:t>
            </w:r>
          </w:p>
          <w:p w14:paraId="48E885A3">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起的原地表的下沉和隆起发</w:t>
            </w:r>
          </w:p>
          <w:p w14:paraId="08CA2830">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生的土方等所涉及费用已包</w:t>
            </w:r>
          </w:p>
          <w:p w14:paraId="59905DF5">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含在相关工程子目的单价中，</w:t>
            </w:r>
          </w:p>
          <w:p w14:paraId="1F0DED5D">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547D897">
            <w:pPr>
              <w:spacing w:line="96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场地清理；</w:t>
            </w:r>
          </w:p>
          <w:p w14:paraId="45B620F0">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拦截、排除地表水；</w:t>
            </w:r>
          </w:p>
          <w:p w14:paraId="5F6863F1">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防止地表水下渗等防</w:t>
            </w:r>
          </w:p>
          <w:p w14:paraId="1E007FF0">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渗措施；</w:t>
            </w:r>
          </w:p>
          <w:p w14:paraId="0A05662C">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挖除材料；</w:t>
            </w:r>
          </w:p>
          <w:p w14:paraId="7D1F00C0">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铺设置换材料；</w:t>
            </w:r>
          </w:p>
          <w:p w14:paraId="36629D14">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强夯；</w:t>
            </w:r>
          </w:p>
          <w:p w14:paraId="0612BCC2">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路基整型；</w:t>
            </w:r>
          </w:p>
          <w:p w14:paraId="1D628530">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8.</w:t>
            </w:r>
            <w:r>
              <w:rPr>
                <w:rFonts w:hint="eastAsia" w:ascii="宋体" w:hAnsi="宋体" w:eastAsia="宋体" w:cs="宋体"/>
                <w:spacing w:val="-1"/>
                <w:position w:val="1"/>
                <w:sz w:val="20"/>
                <w:highlight w:val="none"/>
              </w:rPr>
              <w:t>承载力检测</w:t>
            </w:r>
          </w:p>
        </w:tc>
      </w:tr>
      <w:tr w14:paraId="458897FE">
        <w:tblPrEx>
          <w:tblCellMar>
            <w:top w:w="0" w:type="dxa"/>
            <w:left w:w="108" w:type="dxa"/>
            <w:bottom w:w="0" w:type="dxa"/>
            <w:right w:w="108" w:type="dxa"/>
          </w:tblCellMar>
        </w:tblPrEx>
        <w:trPr>
          <w:trHeight w:val="1178"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6AB596A">
            <w:pPr>
              <w:spacing w:line="959" w:lineRule="exact"/>
              <w:jc w:val="center"/>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-g</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3211812A">
            <w:pPr>
              <w:spacing w:line="377" w:lineRule="exact"/>
              <w:ind w:left="281"/>
              <w:jc w:val="both"/>
              <w:rPr>
                <w:rFonts w:hint="eastAsia" w:ascii="宋体" w:hAnsi="宋体" w:eastAsia="宋体" w:cs="宋体"/>
                <w:spacing w:val="-1"/>
                <w:sz w:val="20"/>
                <w:highlight w:val="none"/>
              </w:rPr>
            </w:pPr>
            <w:r>
              <w:rPr>
                <w:rFonts w:hint="eastAsia" w:ascii="宋体" w:hAnsi="宋体" w:eastAsia="宋体" w:cs="宋体"/>
                <w:spacing w:val="-1"/>
                <w:sz w:val="20"/>
                <w:highlight w:val="none"/>
              </w:rPr>
              <w:t>路基平整碾压</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7EA2EB15">
            <w:pPr>
              <w:spacing w:line="792" w:lineRule="exact"/>
              <w:jc w:val="center"/>
              <w:rPr>
                <w:rFonts w:hint="eastAsia" w:ascii="宋体" w:hAnsi="宋体" w:eastAsia="宋体" w:cs="宋体"/>
                <w:position w:val="-4"/>
                <w:sz w:val="20"/>
                <w:highlight w:val="none"/>
                <w:lang w:val="en-US"/>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lang w:val="en-US"/>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01EDE0B1">
            <w:pPr>
              <w:spacing w:line="381" w:lineRule="exact"/>
              <w:jc w:val="both"/>
              <w:rPr>
                <w:rFonts w:hint="eastAsia" w:ascii="宋体" w:hAnsi="宋体" w:eastAsia="宋体" w:cs="宋体"/>
                <w:sz w:val="20"/>
                <w:highlight w:val="none"/>
              </w:rPr>
            </w:pPr>
            <w:r>
              <w:rPr>
                <w:rFonts w:hint="eastAsia" w:ascii="宋体" w:hAnsi="宋体" w:eastAsia="宋体" w:cs="宋体"/>
                <w:spacing w:val="-1"/>
                <w:sz w:val="20"/>
                <w:highlight w:val="none"/>
              </w:rPr>
              <w:t>依据图纸所示压实厚度，按照铺筑的顶面面积以平方米为单位计量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6E0A9B5A">
            <w:pPr>
              <w:spacing w:line="279" w:lineRule="exact"/>
              <w:jc w:val="both"/>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检查、清除路基上的浮土、</w:t>
            </w:r>
          </w:p>
          <w:p w14:paraId="5154AB16">
            <w:pPr>
              <w:spacing w:line="239" w:lineRule="exact"/>
              <w:ind w:left="108"/>
              <w:jc w:val="center"/>
              <w:rPr>
                <w:rFonts w:hint="eastAsia" w:ascii="宋体" w:hAnsi="宋体" w:eastAsia="宋体" w:cs="宋体"/>
                <w:highlight w:val="none"/>
              </w:rPr>
            </w:pPr>
            <w:r>
              <w:rPr>
                <w:rFonts w:hint="eastAsia" w:ascii="宋体" w:hAnsi="宋体" w:eastAsia="宋体" w:cs="宋体"/>
                <w:spacing w:val="-1"/>
                <w:sz w:val="20"/>
                <w:highlight w:val="none"/>
              </w:rPr>
              <w:t>杂物，并洒水湿润；</w:t>
            </w:r>
          </w:p>
          <w:p w14:paraId="795CAF2F">
            <w:pPr>
              <w:spacing w:line="306" w:lineRule="exact"/>
              <w:jc w:val="both"/>
              <w:rPr>
                <w:rFonts w:hint="eastAsia" w:ascii="宋体" w:hAnsi="宋体" w:eastAsia="宋体" w:cs="宋体"/>
                <w:sz w:val="20"/>
                <w:highlight w:val="none"/>
              </w:rPr>
            </w:pPr>
            <w:r>
              <w:rPr>
                <w:rFonts w:hint="eastAsia" w:ascii="宋体" w:hAnsi="宋体" w:eastAsia="宋体" w:cs="宋体"/>
                <w:sz w:val="20"/>
                <w:highlight w:val="none"/>
              </w:rPr>
              <w:t>2.</w:t>
            </w:r>
            <w:r>
              <w:rPr>
                <w:rFonts w:hint="eastAsia" w:ascii="宋体" w:hAnsi="宋体" w:eastAsia="宋体" w:cs="宋体"/>
                <w:sz w:val="20"/>
                <w:highlight w:val="none"/>
                <w:lang w:val="en-US"/>
              </w:rPr>
              <w:t>对路基进行翻松、</w:t>
            </w:r>
            <w:r>
              <w:rPr>
                <w:rFonts w:hint="eastAsia" w:ascii="宋体" w:hAnsi="宋体" w:eastAsia="宋体" w:cs="宋体"/>
                <w:spacing w:val="-1"/>
                <w:position w:val="1"/>
                <w:sz w:val="20"/>
                <w:highlight w:val="none"/>
              </w:rPr>
              <w:t>整平、整型、洒水、碾压、整修</w:t>
            </w:r>
          </w:p>
        </w:tc>
      </w:tr>
      <w:tr w14:paraId="0DAB8EEA">
        <w:tblPrEx>
          <w:tblCellMar>
            <w:top w:w="0" w:type="dxa"/>
            <w:left w:w="108" w:type="dxa"/>
            <w:bottom w:w="0" w:type="dxa"/>
            <w:right w:w="108" w:type="dxa"/>
          </w:tblCellMar>
        </w:tblPrEx>
        <w:trPr>
          <w:trHeight w:val="547"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C7A3B34">
            <w:pPr>
              <w:spacing w:line="412" w:lineRule="exact"/>
              <w:ind w:left="260"/>
              <w:rPr>
                <w:rFonts w:hint="eastAsia" w:ascii="宋体" w:hAnsi="宋体" w:eastAsia="宋体" w:cs="宋体"/>
                <w:highlight w:val="none"/>
              </w:rPr>
            </w:pPr>
            <w:r>
              <w:rPr>
                <w:rFonts w:hint="eastAsia" w:ascii="宋体" w:hAnsi="宋体" w:eastAsia="宋体" w:cs="宋体"/>
                <w:spacing w:val="-1"/>
                <w:sz w:val="20"/>
                <w:highlight w:val="none"/>
              </w:rPr>
              <w:t>205-2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1E2CE6C">
            <w:pPr>
              <w:spacing w:line="377" w:lineRule="exact"/>
              <w:ind w:left="281"/>
              <w:rPr>
                <w:rFonts w:hint="eastAsia" w:ascii="宋体" w:hAnsi="宋体" w:eastAsia="宋体" w:cs="宋体"/>
                <w:highlight w:val="none"/>
              </w:rPr>
            </w:pPr>
            <w:r>
              <w:rPr>
                <w:rFonts w:hint="eastAsia" w:ascii="宋体" w:hAnsi="宋体" w:eastAsia="宋体" w:cs="宋体"/>
                <w:spacing w:val="-1"/>
                <w:sz w:val="20"/>
                <w:highlight w:val="none"/>
              </w:rPr>
              <w:t>滑坡处理</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90C228C">
            <w:pPr>
              <w:spacing w:line="377" w:lineRule="exact"/>
              <w:rPr>
                <w:rFonts w:hint="eastAsia" w:ascii="宋体" w:hAnsi="宋体" w:eastAsia="宋体" w:cs="宋体"/>
                <w:highlight w:val="none"/>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A1BD423">
            <w:pPr>
              <w:spacing w:line="377"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3511626">
            <w:pPr>
              <w:spacing w:line="377" w:lineRule="exact"/>
              <w:rPr>
                <w:rFonts w:hint="eastAsia" w:ascii="宋体" w:hAnsi="宋体" w:eastAsia="宋体" w:cs="宋体"/>
                <w:highlight w:val="none"/>
              </w:rPr>
            </w:pPr>
          </w:p>
        </w:tc>
      </w:tr>
      <w:tr w14:paraId="73F112C4">
        <w:tblPrEx>
          <w:tblCellMar>
            <w:top w:w="0" w:type="dxa"/>
            <w:left w:w="108" w:type="dxa"/>
            <w:bottom w:w="0" w:type="dxa"/>
            <w:right w:w="108" w:type="dxa"/>
          </w:tblCellMar>
        </w:tblPrEx>
        <w:trPr>
          <w:trHeight w:val="144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26D1122">
            <w:pPr>
              <w:spacing w:line="959" w:lineRule="exact"/>
              <w:ind w:left="423"/>
              <w:rPr>
                <w:rFonts w:hint="eastAsia" w:ascii="宋体" w:hAnsi="宋体" w:eastAsia="宋体" w:cs="宋体"/>
                <w:highlight w:val="none"/>
              </w:rPr>
            </w:pPr>
            <w:r>
              <w:rPr>
                <w:rFonts w:hint="eastAsia" w:ascii="宋体" w:hAnsi="宋体" w:eastAsia="宋体" w:cs="宋体"/>
                <w:spacing w:val="-1"/>
                <w:sz w:val="20"/>
                <w:highlight w:val="none"/>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062F8C5">
            <w:pPr>
              <w:spacing w:line="970" w:lineRule="exact"/>
              <w:ind w:left="281"/>
              <w:rPr>
                <w:rFonts w:hint="eastAsia" w:ascii="宋体" w:hAnsi="宋体" w:eastAsia="宋体" w:cs="宋体"/>
                <w:highlight w:val="none"/>
              </w:rPr>
            </w:pPr>
            <w:r>
              <w:rPr>
                <w:rFonts w:hint="eastAsia" w:ascii="宋体" w:hAnsi="宋体" w:eastAsia="宋体" w:cs="宋体"/>
                <w:spacing w:val="-1"/>
                <w:sz w:val="20"/>
                <w:highlight w:val="none"/>
              </w:rPr>
              <w:t>清除滑坡体</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A0CD607">
            <w:pPr>
              <w:spacing w:line="927"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3C8BBA9">
            <w:pPr>
              <w:spacing w:line="516"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依据图纸所示位置，按照清</w:t>
            </w:r>
          </w:p>
          <w:p w14:paraId="0F732AFB">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除滑坡体土方与石方的天然</w:t>
            </w:r>
          </w:p>
          <w:p w14:paraId="3BA412BD">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体积分别以立方米为单位计</w:t>
            </w:r>
          </w:p>
          <w:p w14:paraId="3231A009">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B588483">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地表水引排、防渗、</w:t>
            </w:r>
          </w:p>
          <w:p w14:paraId="1896E2F2">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地下水疏导引离；</w:t>
            </w:r>
          </w:p>
          <w:p w14:paraId="2BC11DA4">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挖除、装载；</w:t>
            </w:r>
          </w:p>
          <w:p w14:paraId="4FC94101">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运输到指定地点堆</w:t>
            </w:r>
            <w:r>
              <w:rPr>
                <w:rFonts w:hint="eastAsia" w:ascii="宋体" w:hAnsi="宋体" w:eastAsia="宋体" w:cs="宋体"/>
                <w:spacing w:val="-1"/>
                <w:sz w:val="20"/>
                <w:highlight w:val="none"/>
              </w:rPr>
              <w:t>放；</w:t>
            </w:r>
          </w:p>
          <w:p w14:paraId="039BEB2B">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现场清理</w:t>
            </w:r>
          </w:p>
        </w:tc>
      </w:tr>
      <w:tr w14:paraId="25B693E2">
        <w:tblPrEx>
          <w:tblCellMar>
            <w:top w:w="0" w:type="dxa"/>
            <w:left w:w="108" w:type="dxa"/>
            <w:bottom w:w="0" w:type="dxa"/>
            <w:right w:w="108" w:type="dxa"/>
          </w:tblCellMar>
        </w:tblPrEx>
        <w:trPr>
          <w:trHeight w:val="488"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bottom"/>
          </w:tcPr>
          <w:p w14:paraId="1CD103DD">
            <w:pPr>
              <w:spacing w:line="503" w:lineRule="exact"/>
              <w:jc w:val="center"/>
              <w:rPr>
                <w:rFonts w:hint="eastAsia" w:ascii="宋体" w:hAnsi="宋体" w:eastAsia="宋体" w:cs="宋体"/>
                <w:highlight w:val="none"/>
              </w:rPr>
            </w:pPr>
            <w:r>
              <w:rPr>
                <w:rFonts w:hint="eastAsia" w:ascii="宋体" w:hAnsi="宋体" w:eastAsia="宋体" w:cs="宋体"/>
                <w:spacing w:val="-1"/>
                <w:sz w:val="20"/>
                <w:highlight w:val="none"/>
              </w:rPr>
              <w:t>205-3</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3993DF3">
            <w:pPr>
              <w:spacing w:line="334" w:lineRule="exact"/>
              <w:rPr>
                <w:rFonts w:hint="eastAsia" w:ascii="宋体" w:hAnsi="宋体" w:eastAsia="宋体" w:cs="宋体"/>
                <w:highlight w:val="none"/>
              </w:rPr>
            </w:pPr>
            <w:r>
              <w:rPr>
                <w:rFonts w:hint="eastAsia" w:ascii="宋体" w:hAnsi="宋体" w:eastAsia="宋体" w:cs="宋体"/>
                <w:spacing w:val="-1"/>
                <w:sz w:val="20"/>
                <w:highlight w:val="none"/>
              </w:rPr>
              <w:t>盐渍土路基处理</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A0132A2">
            <w:pPr>
              <w:spacing w:line="360" w:lineRule="exact"/>
              <w:rPr>
                <w:rFonts w:hint="eastAsia" w:ascii="宋体" w:hAnsi="宋体" w:eastAsia="宋体" w:cs="宋体"/>
                <w:highlight w:val="none"/>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F7A9546">
            <w:pPr>
              <w:spacing w:line="360"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50AE183">
            <w:pPr>
              <w:spacing w:line="360" w:lineRule="exact"/>
              <w:rPr>
                <w:rFonts w:hint="eastAsia" w:ascii="宋体" w:hAnsi="宋体" w:eastAsia="宋体" w:cs="宋体"/>
                <w:highlight w:val="none"/>
              </w:rPr>
            </w:pPr>
          </w:p>
        </w:tc>
      </w:tr>
      <w:tr w14:paraId="49A2D699">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EE6CBDF">
            <w:pPr>
              <w:spacing w:line="961" w:lineRule="exact"/>
              <w:ind w:left="423"/>
              <w:rPr>
                <w:rFonts w:hint="eastAsia" w:ascii="宋体" w:hAnsi="宋体" w:eastAsia="宋体" w:cs="宋体"/>
                <w:highlight w:val="none"/>
              </w:rPr>
            </w:pPr>
            <w:r>
              <w:rPr>
                <w:rFonts w:hint="eastAsia" w:ascii="宋体" w:hAnsi="宋体" w:eastAsia="宋体" w:cs="宋体"/>
                <w:spacing w:val="-1"/>
                <w:sz w:val="20"/>
                <w:highlight w:val="none"/>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C492EEF">
            <w:pPr>
              <w:spacing w:line="926" w:lineRule="exact"/>
              <w:ind w:left="281"/>
              <w:rPr>
                <w:rFonts w:hint="eastAsia" w:ascii="宋体" w:hAnsi="宋体" w:eastAsia="宋体" w:cs="宋体"/>
                <w:highlight w:val="none"/>
              </w:rPr>
            </w:pPr>
            <w:r>
              <w:rPr>
                <w:rFonts w:hint="eastAsia" w:ascii="宋体" w:hAnsi="宋体" w:eastAsia="宋体" w:cs="宋体"/>
                <w:spacing w:val="-1"/>
                <w:sz w:val="20"/>
                <w:highlight w:val="none"/>
              </w:rPr>
              <w:t>卵砾石隔断</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99B2563">
            <w:pPr>
              <w:spacing w:line="869"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29E317E">
            <w:pPr>
              <w:spacing w:line="279"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依据图纸所示位置和断面</w:t>
            </w:r>
          </w:p>
          <w:p w14:paraId="091D5F49">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尺寸，按图示设置卵砾石隔</w:t>
            </w:r>
          </w:p>
          <w:p w14:paraId="2AD3ADE5">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断，密实体积以立方米为单位</w:t>
            </w:r>
          </w:p>
          <w:p w14:paraId="634CD72A">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计量；</w:t>
            </w:r>
          </w:p>
          <w:p w14:paraId="4754CB6F">
            <w:pPr>
              <w:spacing w:line="306"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因换填而挖除的非适用材</w:t>
            </w:r>
          </w:p>
          <w:p w14:paraId="4734108A">
            <w:pPr>
              <w:spacing w:line="271" w:lineRule="exact"/>
              <w:ind w:left="109"/>
              <w:rPr>
                <w:rFonts w:hint="eastAsia" w:ascii="宋体" w:hAnsi="宋体" w:eastAsia="宋体" w:cs="宋体"/>
                <w:highlight w:val="none"/>
              </w:rPr>
            </w:pPr>
            <w:r>
              <w:rPr>
                <w:rFonts w:hint="eastAsia" w:ascii="宋体" w:hAnsi="宋体" w:eastAsia="宋体" w:cs="宋体"/>
                <w:spacing w:val="-1"/>
                <w:position w:val="1"/>
                <w:sz w:val="20"/>
                <w:highlight w:val="none"/>
              </w:rPr>
              <w:t>料列入</w:t>
            </w:r>
            <w:r>
              <w:rPr>
                <w:rFonts w:hint="eastAsia" w:ascii="宋体" w:hAnsi="宋体" w:eastAsia="宋体" w:cs="宋体"/>
                <w:sz w:val="20"/>
                <w:highlight w:val="none"/>
              </w:rPr>
              <w:t> </w:t>
            </w:r>
            <w:r>
              <w:rPr>
                <w:rFonts w:hint="eastAsia" w:ascii="宋体" w:hAnsi="宋体" w:eastAsia="宋体" w:cs="宋体"/>
                <w:spacing w:val="-1"/>
                <w:sz w:val="20"/>
                <w:highlight w:val="none"/>
              </w:rPr>
              <w:t>203-1</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相关子目计量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BF25894">
            <w:pPr>
              <w:spacing w:line="553"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基底清理；</w:t>
            </w:r>
          </w:p>
          <w:p w14:paraId="27E2997D">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临时排水；</w:t>
            </w:r>
          </w:p>
          <w:p w14:paraId="136FFF25">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分层铺筑；</w:t>
            </w:r>
          </w:p>
          <w:p w14:paraId="40634CD0">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分层碾压</w:t>
            </w:r>
          </w:p>
        </w:tc>
      </w:tr>
      <w:tr w14:paraId="1F97687A">
        <w:tblPrEx>
          <w:tblCellMar>
            <w:top w:w="0" w:type="dxa"/>
            <w:left w:w="108" w:type="dxa"/>
            <w:bottom w:w="0" w:type="dxa"/>
            <w:right w:w="108" w:type="dxa"/>
          </w:tblCellMar>
        </w:tblPrEx>
        <w:trPr>
          <w:trHeight w:val="41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CAAA3FD">
            <w:pPr>
              <w:spacing w:line="431" w:lineRule="exact"/>
              <w:ind w:left="416"/>
              <w:rPr>
                <w:rFonts w:hint="eastAsia" w:ascii="宋体" w:hAnsi="宋体" w:eastAsia="宋体" w:cs="宋体"/>
                <w:highlight w:val="none"/>
              </w:rPr>
            </w:pPr>
            <w:r>
              <w:rPr>
                <w:rFonts w:hint="eastAsia" w:ascii="宋体" w:hAnsi="宋体" w:eastAsia="宋体" w:cs="宋体"/>
                <w:spacing w:val="-1"/>
                <w:sz w:val="20"/>
                <w:highlight w:val="none"/>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FA32987">
            <w:pPr>
              <w:spacing w:line="396" w:lineRule="exact"/>
              <w:ind w:left="281"/>
              <w:rPr>
                <w:rFonts w:hint="eastAsia" w:ascii="宋体" w:hAnsi="宋体" w:eastAsia="宋体" w:cs="宋体"/>
                <w:highlight w:val="none"/>
              </w:rPr>
            </w:pPr>
            <w:r>
              <w:rPr>
                <w:rFonts w:hint="eastAsia" w:ascii="宋体" w:hAnsi="宋体" w:eastAsia="宋体" w:cs="宋体"/>
                <w:spacing w:val="-1"/>
                <w:sz w:val="20"/>
                <w:highlight w:val="none"/>
              </w:rPr>
              <w:t>土工织物隔断</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7FB28C5">
            <w:pPr>
              <w:spacing w:line="396" w:lineRule="exact"/>
              <w:rPr>
                <w:rFonts w:hint="eastAsia" w:ascii="宋体" w:hAnsi="宋体" w:eastAsia="宋体" w:cs="宋体"/>
                <w:highlight w:val="none"/>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F557E82">
            <w:pPr>
              <w:spacing w:line="396"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29C03A1">
            <w:pPr>
              <w:spacing w:line="396" w:lineRule="exact"/>
              <w:rPr>
                <w:rFonts w:hint="eastAsia" w:ascii="宋体" w:hAnsi="宋体" w:eastAsia="宋体" w:cs="宋体"/>
                <w:highlight w:val="none"/>
              </w:rPr>
            </w:pPr>
          </w:p>
        </w:tc>
      </w:tr>
      <w:tr w14:paraId="5437FB13">
        <w:tblPrEx>
          <w:tblCellMar>
            <w:top w:w="0" w:type="dxa"/>
            <w:left w:w="108" w:type="dxa"/>
            <w:bottom w:w="0" w:type="dxa"/>
            <w:right w:w="108" w:type="dxa"/>
          </w:tblCellMar>
        </w:tblPrEx>
        <w:trPr>
          <w:trHeight w:val="137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95EC506">
            <w:pPr>
              <w:spacing w:line="825" w:lineRule="exact"/>
              <w:ind w:left="329"/>
              <w:rPr>
                <w:rFonts w:hint="eastAsia" w:ascii="宋体" w:hAnsi="宋体" w:eastAsia="宋体" w:cs="宋体"/>
                <w:highlight w:val="none"/>
              </w:rPr>
            </w:pPr>
            <w:r>
              <w:rPr>
                <w:rFonts w:hint="eastAsia" w:ascii="宋体" w:hAnsi="宋体" w:eastAsia="宋体" w:cs="宋体"/>
                <w:spacing w:val="-1"/>
                <w:sz w:val="20"/>
                <w:highlight w:val="none"/>
              </w:rPr>
              <w:t>-b-1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7693D8B">
            <w:pPr>
              <w:spacing w:line="790" w:lineRule="exact"/>
              <w:ind w:left="281"/>
              <w:rPr>
                <w:rFonts w:hint="eastAsia" w:ascii="宋体" w:hAnsi="宋体" w:eastAsia="宋体" w:cs="宋体"/>
                <w:highlight w:val="none"/>
              </w:rPr>
            </w:pPr>
            <w:r>
              <w:rPr>
                <w:rFonts w:hint="eastAsia" w:ascii="宋体" w:hAnsi="宋体" w:eastAsia="宋体" w:cs="宋体"/>
                <w:spacing w:val="-1"/>
                <w:sz w:val="20"/>
                <w:highlight w:val="none"/>
              </w:rPr>
              <w:t>防渗土工膜</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2A21DC8">
            <w:pPr>
              <w:spacing w:line="733"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5B2E181">
            <w:pPr>
              <w:spacing w:line="280"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依据图纸所示位置和规</w:t>
            </w:r>
          </w:p>
          <w:p w14:paraId="2F0B109B">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格，按土层中分层铺设防渗土</w:t>
            </w:r>
          </w:p>
          <w:p w14:paraId="06B3677B">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工膜的累计净面积以平方米</w:t>
            </w:r>
          </w:p>
          <w:p w14:paraId="677DB0AB">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为单位计量；</w:t>
            </w:r>
          </w:p>
          <w:p w14:paraId="241388EB">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接缝的重叠面积和边缘的</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E2069CB">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清理下承层；</w:t>
            </w:r>
          </w:p>
          <w:p w14:paraId="6701404F">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铺设及固定；</w:t>
            </w:r>
          </w:p>
          <w:p w14:paraId="14006152">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接缝处理（搭接、缝</w:t>
            </w:r>
          </w:p>
          <w:p w14:paraId="36F568DA">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接、粘接）；</w:t>
            </w:r>
          </w:p>
          <w:p w14:paraId="00087D0A">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边缘处理</w:t>
            </w:r>
          </w:p>
        </w:tc>
      </w:tr>
    </w:tbl>
    <w:p w14:paraId="04FE993E">
      <w:pPr>
        <w:spacing w:line="250" w:lineRule="exact"/>
        <w:rPr>
          <w:rFonts w:hint="eastAsia" w:ascii="宋体" w:hAnsi="宋体" w:eastAsia="宋体" w:cs="宋体"/>
          <w:sz w:val="21"/>
          <w:highlight w:val="none"/>
        </w:rPr>
        <w:sectPr>
          <w:pgSz w:w="11910" w:h="16840"/>
          <w:pgMar w:top="1440" w:right="1080" w:bottom="1040" w:left="1420" w:header="882" w:footer="847" w:gutter="0"/>
          <w:cols w:space="720" w:num="1"/>
        </w:sectPr>
      </w:pPr>
    </w:p>
    <w:tbl>
      <w:tblPr>
        <w:tblStyle w:val="24"/>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14:paraId="26BE3134">
        <w:tblPrEx>
          <w:tblCellMar>
            <w:top w:w="0" w:type="dxa"/>
            <w:left w:w="108" w:type="dxa"/>
            <w:bottom w:w="0" w:type="dxa"/>
            <w:right w:w="108" w:type="dxa"/>
          </w:tblCellMar>
        </w:tblPrEx>
        <w:trPr>
          <w:trHeight w:val="28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530DEAC">
            <w:pPr>
              <w:spacing w:line="308" w:lineRule="exact"/>
              <w:rPr>
                <w:rFonts w:hint="eastAsia" w:ascii="宋体" w:hAnsi="宋体" w:eastAsia="宋体" w:cs="宋体"/>
                <w:highlight w:val="none"/>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BD9BEB5">
            <w:pPr>
              <w:spacing w:line="308" w:lineRule="exact"/>
              <w:rPr>
                <w:rFonts w:hint="eastAsia" w:ascii="宋体" w:hAnsi="宋体" w:eastAsia="宋体" w:cs="宋体"/>
                <w:highlight w:val="none"/>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8C23B6E">
            <w:pPr>
              <w:spacing w:line="308" w:lineRule="exact"/>
              <w:rPr>
                <w:rFonts w:hint="eastAsia" w:ascii="宋体" w:hAnsi="宋体" w:eastAsia="宋体" w:cs="宋体"/>
                <w:highlight w:val="none"/>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A4CDDC9">
            <w:pPr>
              <w:spacing w:line="245" w:lineRule="exact"/>
              <w:ind w:left="109"/>
              <w:rPr>
                <w:rFonts w:hint="eastAsia" w:ascii="宋体" w:hAnsi="宋体" w:eastAsia="宋体" w:cs="宋体"/>
                <w:highlight w:val="none"/>
              </w:rPr>
            </w:pPr>
            <w:r>
              <w:rPr>
                <w:rFonts w:hint="eastAsia" w:ascii="宋体" w:hAnsi="宋体" w:eastAsia="宋体" w:cs="宋体"/>
                <w:spacing w:val="-1"/>
                <w:sz w:val="20"/>
                <w:highlight w:val="none"/>
              </w:rPr>
              <w:t>包裹面积不予计量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93D3288">
            <w:pPr>
              <w:spacing w:line="245" w:lineRule="exact"/>
              <w:rPr>
                <w:rFonts w:hint="eastAsia" w:ascii="宋体" w:hAnsi="宋体" w:eastAsia="宋体" w:cs="宋体"/>
                <w:highlight w:val="none"/>
              </w:rPr>
            </w:pPr>
          </w:p>
        </w:tc>
      </w:tr>
      <w:tr w14:paraId="24F43047">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368FA87">
            <w:pPr>
              <w:spacing w:line="962" w:lineRule="exact"/>
              <w:ind w:left="329"/>
              <w:rPr>
                <w:rFonts w:hint="eastAsia" w:ascii="宋体" w:hAnsi="宋体" w:eastAsia="宋体" w:cs="宋体"/>
                <w:highlight w:val="none"/>
              </w:rPr>
            </w:pPr>
            <w:r>
              <w:rPr>
                <w:rFonts w:hint="eastAsia" w:ascii="宋体" w:hAnsi="宋体" w:eastAsia="宋体" w:cs="宋体"/>
                <w:spacing w:val="-1"/>
                <w:sz w:val="20"/>
                <w:highlight w:val="none"/>
              </w:rPr>
              <w:t>-b-2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40F470E">
            <w:pPr>
              <w:spacing w:line="925" w:lineRule="exact"/>
              <w:ind w:left="281"/>
              <w:rPr>
                <w:rFonts w:hint="eastAsia" w:ascii="宋体" w:hAnsi="宋体" w:eastAsia="宋体" w:cs="宋体"/>
                <w:highlight w:val="none"/>
              </w:rPr>
            </w:pPr>
            <w:r>
              <w:rPr>
                <w:rFonts w:hint="eastAsia" w:ascii="宋体" w:hAnsi="宋体" w:eastAsia="宋体" w:cs="宋体"/>
                <w:spacing w:val="-1"/>
                <w:sz w:val="20"/>
                <w:highlight w:val="none"/>
              </w:rPr>
              <w:t>土工格栅</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FE3A0A2">
            <w:pPr>
              <w:spacing w:line="871"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61387C6">
            <w:pPr>
              <w:spacing w:line="281" w:lineRule="exact"/>
              <w:ind w:left="282"/>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依据图纸所示位置和规</w:t>
            </w:r>
          </w:p>
          <w:p w14:paraId="14E316AE">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格、型号，按土层中分层铺设</w:t>
            </w:r>
          </w:p>
          <w:p w14:paraId="7C32D61C">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土工格栅的累计净面积以平</w:t>
            </w:r>
          </w:p>
          <w:p w14:paraId="36B8541F">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方米为单位计量；</w:t>
            </w:r>
          </w:p>
          <w:p w14:paraId="29E8BD72">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接缝的重叠面积和边缘的</w:t>
            </w:r>
          </w:p>
          <w:p w14:paraId="177CB88C">
            <w:pPr>
              <w:spacing w:line="236" w:lineRule="exact"/>
              <w:ind w:left="109"/>
              <w:rPr>
                <w:rFonts w:hint="eastAsia" w:ascii="宋体" w:hAnsi="宋体" w:eastAsia="宋体" w:cs="宋体"/>
                <w:highlight w:val="none"/>
              </w:rPr>
            </w:pPr>
            <w:r>
              <w:rPr>
                <w:rFonts w:hint="eastAsia" w:ascii="宋体" w:hAnsi="宋体" w:eastAsia="宋体" w:cs="宋体"/>
                <w:spacing w:val="-1"/>
                <w:sz w:val="20"/>
                <w:highlight w:val="none"/>
              </w:rPr>
              <w:t>包裹面积不予计量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68D51EB">
            <w:pPr>
              <w:spacing w:line="415"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清理下承层；</w:t>
            </w:r>
          </w:p>
          <w:p w14:paraId="57D270BB">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铺设及固定；</w:t>
            </w:r>
          </w:p>
          <w:p w14:paraId="39243460">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接缝处理（搭接、缝</w:t>
            </w:r>
          </w:p>
          <w:p w14:paraId="6CE65B40">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接、粘接）；</w:t>
            </w:r>
          </w:p>
          <w:p w14:paraId="10E3F5C0">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边缘处理</w:t>
            </w:r>
          </w:p>
        </w:tc>
      </w:tr>
      <w:tr w14:paraId="228E16C6">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5B394B2">
            <w:pPr>
              <w:spacing w:line="962" w:lineRule="exact"/>
              <w:ind w:left="260"/>
              <w:rPr>
                <w:rFonts w:hint="eastAsia" w:ascii="宋体" w:hAnsi="宋体" w:eastAsia="宋体" w:cs="宋体"/>
                <w:highlight w:val="none"/>
              </w:rPr>
            </w:pPr>
            <w:r>
              <w:rPr>
                <w:rFonts w:hint="eastAsia" w:ascii="宋体" w:hAnsi="宋体" w:eastAsia="宋体" w:cs="宋体"/>
                <w:spacing w:val="-1"/>
                <w:sz w:val="20"/>
                <w:highlight w:val="none"/>
              </w:rPr>
              <w:t>205-4</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C3A209D">
            <w:pPr>
              <w:spacing w:line="791" w:lineRule="exact"/>
              <w:ind w:left="281"/>
              <w:rPr>
                <w:rFonts w:hint="eastAsia" w:ascii="宋体" w:hAnsi="宋体" w:eastAsia="宋体" w:cs="宋体"/>
                <w:highlight w:val="none"/>
              </w:rPr>
            </w:pPr>
            <w:r>
              <w:rPr>
                <w:rFonts w:hint="eastAsia" w:ascii="宋体" w:hAnsi="宋体" w:eastAsia="宋体" w:cs="宋体"/>
                <w:spacing w:val="-1"/>
                <w:sz w:val="20"/>
                <w:highlight w:val="none"/>
              </w:rPr>
              <w:t>风积沙填筑路</w:t>
            </w:r>
          </w:p>
          <w:p w14:paraId="17DAAC73">
            <w:pPr>
              <w:spacing w:line="360" w:lineRule="exact"/>
              <w:ind w:left="109"/>
              <w:rPr>
                <w:rFonts w:hint="eastAsia" w:ascii="宋体" w:hAnsi="宋体" w:eastAsia="宋体" w:cs="宋体"/>
                <w:highlight w:val="none"/>
              </w:rPr>
            </w:pPr>
            <w:r>
              <w:rPr>
                <w:rFonts w:hint="eastAsia" w:ascii="宋体" w:hAnsi="宋体" w:eastAsia="宋体" w:cs="宋体"/>
                <w:spacing w:val="-1"/>
                <w:sz w:val="20"/>
                <w:highlight w:val="none"/>
              </w:rPr>
              <w:t>基</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47345DC">
            <w:pPr>
              <w:spacing w:line="928"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E504383">
            <w:pPr>
              <w:spacing w:line="517"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依据图纸所示地面线、路基</w:t>
            </w:r>
          </w:p>
          <w:p w14:paraId="2EE22945">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设计横断面图，按平均断面面</w:t>
            </w:r>
          </w:p>
          <w:p w14:paraId="0D1E14D8">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积法计算压实体积，以立方米</w:t>
            </w:r>
          </w:p>
          <w:p w14:paraId="786ECBFB">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1812C84">
            <w:pPr>
              <w:spacing w:line="28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基底翻松、压实、挖</w:t>
            </w:r>
          </w:p>
          <w:p w14:paraId="762F9A99">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台阶；</w:t>
            </w:r>
          </w:p>
          <w:p w14:paraId="22E4DB26">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挖、装、运输、卸车；</w:t>
            </w:r>
          </w:p>
          <w:p w14:paraId="586C6D29">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分层摊铺；</w:t>
            </w:r>
          </w:p>
          <w:p w14:paraId="3EAC2D2C">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洒水、压实；</w:t>
            </w:r>
          </w:p>
          <w:p w14:paraId="12AFC38E">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整形</w:t>
            </w:r>
          </w:p>
        </w:tc>
      </w:tr>
      <w:tr w14:paraId="403A8173">
        <w:tblPrEx>
          <w:tblCellMar>
            <w:top w:w="0" w:type="dxa"/>
            <w:left w:w="108" w:type="dxa"/>
            <w:bottom w:w="0" w:type="dxa"/>
            <w:right w:w="108" w:type="dxa"/>
          </w:tblCellMar>
        </w:tblPrEx>
        <w:trPr>
          <w:trHeight w:val="555"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2508433">
            <w:pPr>
              <w:spacing w:line="415" w:lineRule="exact"/>
              <w:ind w:left="260"/>
              <w:rPr>
                <w:rFonts w:hint="eastAsia" w:ascii="宋体" w:hAnsi="宋体" w:eastAsia="宋体" w:cs="宋体"/>
                <w:highlight w:val="none"/>
              </w:rPr>
            </w:pPr>
            <w:r>
              <w:rPr>
                <w:rFonts w:hint="eastAsia" w:ascii="宋体" w:hAnsi="宋体" w:eastAsia="宋体" w:cs="宋体"/>
                <w:spacing w:val="-1"/>
                <w:sz w:val="20"/>
                <w:highlight w:val="none"/>
              </w:rPr>
              <w:t>206-1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20321EB">
            <w:pPr>
              <w:spacing w:line="246" w:lineRule="exact"/>
              <w:ind w:left="281"/>
              <w:rPr>
                <w:rFonts w:hint="eastAsia" w:ascii="宋体" w:hAnsi="宋体" w:eastAsia="宋体" w:cs="宋体"/>
                <w:highlight w:val="none"/>
              </w:rPr>
            </w:pPr>
            <w:r>
              <w:rPr>
                <w:rFonts w:hint="eastAsia" w:ascii="宋体" w:hAnsi="宋体" w:eastAsia="宋体" w:cs="宋体"/>
                <w:spacing w:val="-1"/>
                <w:sz w:val="20"/>
                <w:highlight w:val="none"/>
              </w:rPr>
              <w:t>涵洞上下游改</w:t>
            </w:r>
          </w:p>
          <w:p w14:paraId="6EB71887">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沟、改渠铺砌</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962F89E">
            <w:pPr>
              <w:spacing w:line="271" w:lineRule="exact"/>
              <w:rPr>
                <w:rFonts w:hint="eastAsia" w:ascii="宋体" w:hAnsi="宋体" w:eastAsia="宋体" w:cs="宋体"/>
                <w:highlight w:val="none"/>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C11B025">
            <w:pPr>
              <w:spacing w:line="271"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18DA29C">
            <w:pPr>
              <w:spacing w:line="271" w:lineRule="exact"/>
              <w:rPr>
                <w:rFonts w:hint="eastAsia" w:ascii="宋体" w:hAnsi="宋体" w:eastAsia="宋体" w:cs="宋体"/>
                <w:highlight w:val="none"/>
              </w:rPr>
            </w:pPr>
          </w:p>
        </w:tc>
      </w:tr>
      <w:tr w14:paraId="73D56A9C">
        <w:tblPrEx>
          <w:tblCellMar>
            <w:top w:w="0" w:type="dxa"/>
            <w:left w:w="108" w:type="dxa"/>
            <w:bottom w:w="0" w:type="dxa"/>
            <w:right w:w="108" w:type="dxa"/>
          </w:tblCellMar>
        </w:tblPrEx>
        <w:trPr>
          <w:trHeight w:val="2189"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ACCA46A">
            <w:pPr>
              <w:spacing w:line="1233" w:lineRule="exact"/>
              <w:ind w:left="423"/>
              <w:rPr>
                <w:rFonts w:hint="eastAsia" w:ascii="宋体" w:hAnsi="宋体" w:eastAsia="宋体" w:cs="宋体"/>
                <w:highlight w:val="none"/>
              </w:rPr>
            </w:pPr>
            <w:r>
              <w:rPr>
                <w:rFonts w:hint="eastAsia" w:ascii="宋体" w:hAnsi="宋体" w:eastAsia="宋体" w:cs="宋体"/>
                <w:spacing w:val="-1"/>
                <w:sz w:val="20"/>
                <w:highlight w:val="none"/>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B02187F">
            <w:pPr>
              <w:spacing w:line="1198" w:lineRule="exact"/>
              <w:ind w:left="281"/>
              <w:rPr>
                <w:rFonts w:hint="eastAsia" w:ascii="宋体" w:hAnsi="宋体" w:eastAsia="宋体" w:cs="宋体"/>
                <w:highlight w:val="none"/>
              </w:rPr>
            </w:pPr>
            <w:r>
              <w:rPr>
                <w:rFonts w:hint="eastAsia" w:ascii="宋体" w:hAnsi="宋体" w:eastAsia="宋体" w:cs="宋体"/>
                <w:spacing w:val="-1"/>
                <w:sz w:val="20"/>
                <w:highlight w:val="none"/>
              </w:rPr>
              <w:t>浆砌片石铺砌</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A37467B">
            <w:pPr>
              <w:spacing w:line="1141"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C4E7F93">
            <w:pPr>
              <w:spacing w:line="790"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依据图纸所示位置及断面尺</w:t>
            </w:r>
          </w:p>
          <w:p w14:paraId="63C51922">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寸，按照不同强度等级水泥砂</w:t>
            </w:r>
          </w:p>
          <w:p w14:paraId="50EF435A">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浆铺砌的片石体积，以立方米</w:t>
            </w:r>
          </w:p>
          <w:p w14:paraId="155C6A0A">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D82C6A9">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场地清理；</w:t>
            </w:r>
          </w:p>
          <w:p w14:paraId="3FB6C95B">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地基平整夯实，沟、</w:t>
            </w:r>
          </w:p>
          <w:p w14:paraId="0B780D25">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渠断面补挖；</w:t>
            </w:r>
          </w:p>
          <w:p w14:paraId="5A7AE048">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铺设垫层；</w:t>
            </w:r>
          </w:p>
          <w:p w14:paraId="654D85B7">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砂浆拌制；</w:t>
            </w:r>
          </w:p>
          <w:p w14:paraId="154C4C1B">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浆砌片石、勾缝、抹</w:t>
            </w:r>
          </w:p>
          <w:p w14:paraId="1656016B">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面、养护；</w:t>
            </w:r>
          </w:p>
          <w:p w14:paraId="1BACC468">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回填、压实</w:t>
            </w:r>
          </w:p>
        </w:tc>
      </w:tr>
      <w:tr w14:paraId="429971BE">
        <w:tblPrEx>
          <w:tblCellMar>
            <w:top w:w="0" w:type="dxa"/>
            <w:left w:w="108" w:type="dxa"/>
            <w:bottom w:w="0" w:type="dxa"/>
            <w:right w:w="108" w:type="dxa"/>
          </w:tblCellMar>
        </w:tblPrEx>
        <w:trPr>
          <w:trHeight w:val="246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EE8B1EF">
            <w:pPr>
              <w:spacing w:line="1367" w:lineRule="exact"/>
              <w:ind w:left="416"/>
              <w:rPr>
                <w:rFonts w:hint="eastAsia" w:ascii="宋体" w:hAnsi="宋体" w:eastAsia="宋体" w:cs="宋体"/>
                <w:highlight w:val="none"/>
              </w:rPr>
            </w:pPr>
            <w:r>
              <w:rPr>
                <w:rFonts w:hint="eastAsia" w:ascii="宋体" w:hAnsi="宋体" w:eastAsia="宋体" w:cs="宋体"/>
                <w:spacing w:val="-1"/>
                <w:sz w:val="20"/>
                <w:highlight w:val="none"/>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EF63159">
            <w:pPr>
              <w:spacing w:line="1198" w:lineRule="exact"/>
              <w:ind w:left="281"/>
              <w:rPr>
                <w:rFonts w:hint="eastAsia" w:ascii="宋体" w:hAnsi="宋体" w:eastAsia="宋体" w:cs="宋体"/>
                <w:highlight w:val="none"/>
              </w:rPr>
            </w:pPr>
            <w:r>
              <w:rPr>
                <w:rFonts w:hint="eastAsia" w:ascii="宋体" w:hAnsi="宋体" w:eastAsia="宋体" w:cs="宋体"/>
                <w:spacing w:val="-1"/>
                <w:sz w:val="20"/>
                <w:highlight w:val="none"/>
              </w:rPr>
              <w:t>现浇混凝土铺</w:t>
            </w:r>
          </w:p>
          <w:p w14:paraId="7517F3A8">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砌</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3008C56">
            <w:pPr>
              <w:spacing w:line="1278"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60EA780">
            <w:pPr>
              <w:spacing w:line="924"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依据图纸所示位置及断面尺</w:t>
            </w:r>
          </w:p>
          <w:p w14:paraId="5FE2E3CF">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寸，按照不同强度等级混凝土</w:t>
            </w:r>
          </w:p>
          <w:p w14:paraId="3C032905">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浇筑的沟、渠铺砌体积，以立</w:t>
            </w:r>
          </w:p>
          <w:p w14:paraId="1A115AC5">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A045B39">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场地清理；</w:t>
            </w:r>
          </w:p>
          <w:p w14:paraId="432FB53D">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地基平整夯实，沟、</w:t>
            </w:r>
          </w:p>
          <w:p w14:paraId="021B7F10">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渠断面补挖；</w:t>
            </w:r>
          </w:p>
          <w:p w14:paraId="00F97B62">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铺设垫层；</w:t>
            </w:r>
          </w:p>
          <w:p w14:paraId="41DEDD51">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模板制作、安装、拆</w:t>
            </w:r>
          </w:p>
          <w:p w14:paraId="13935D57">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除；</w:t>
            </w:r>
          </w:p>
          <w:p w14:paraId="37B0F96D">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混凝土拌合、运输、</w:t>
            </w:r>
          </w:p>
          <w:p w14:paraId="16BF8D49">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浇筑、养护；</w:t>
            </w:r>
          </w:p>
          <w:p w14:paraId="56E17098">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回填、压实</w:t>
            </w:r>
          </w:p>
        </w:tc>
      </w:tr>
      <w:tr w14:paraId="4F1C1F38">
        <w:tblPrEx>
          <w:tblCellMar>
            <w:top w:w="0" w:type="dxa"/>
            <w:left w:w="108" w:type="dxa"/>
            <w:bottom w:w="0" w:type="dxa"/>
            <w:right w:w="108" w:type="dxa"/>
          </w:tblCellMar>
        </w:tblPrEx>
        <w:trPr>
          <w:trHeight w:val="2733"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633B92D">
            <w:pPr>
              <w:spacing w:line="1505" w:lineRule="exact"/>
              <w:ind w:left="423"/>
              <w:rPr>
                <w:rFonts w:hint="eastAsia" w:ascii="宋体" w:hAnsi="宋体" w:eastAsia="宋体" w:cs="宋体"/>
                <w:highlight w:val="none"/>
              </w:rPr>
            </w:pPr>
            <w:r>
              <w:rPr>
                <w:rFonts w:hint="eastAsia" w:ascii="宋体" w:hAnsi="宋体" w:eastAsia="宋体" w:cs="宋体"/>
                <w:spacing w:val="-1"/>
                <w:sz w:val="20"/>
                <w:highlight w:val="none"/>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211077D">
            <w:pPr>
              <w:spacing w:line="1334" w:lineRule="exact"/>
              <w:ind w:left="281"/>
              <w:rPr>
                <w:rFonts w:hint="eastAsia" w:ascii="宋体" w:hAnsi="宋体" w:eastAsia="宋体" w:cs="宋体"/>
                <w:highlight w:val="none"/>
              </w:rPr>
            </w:pPr>
            <w:r>
              <w:rPr>
                <w:rFonts w:hint="eastAsia" w:ascii="宋体" w:hAnsi="宋体" w:eastAsia="宋体" w:cs="宋体"/>
                <w:spacing w:val="-1"/>
                <w:sz w:val="20"/>
                <w:highlight w:val="none"/>
              </w:rPr>
              <w:t>预制混凝土铺</w:t>
            </w:r>
          </w:p>
          <w:p w14:paraId="3699231C">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砌</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B52E281">
            <w:pPr>
              <w:spacing w:line="1414" w:lineRule="exact"/>
              <w:ind w:left="308"/>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7CA642B">
            <w:pPr>
              <w:spacing w:line="1062"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依据图纸所示位置及断面尺</w:t>
            </w:r>
          </w:p>
          <w:p w14:paraId="28D9EBC6">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寸，按照不同强度等级混凝土</w:t>
            </w:r>
          </w:p>
          <w:p w14:paraId="65317195">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预制的沟、渠铺砌体积，以立</w:t>
            </w:r>
          </w:p>
          <w:p w14:paraId="09BDB676">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E78AAFD">
            <w:pPr>
              <w:spacing w:line="28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场地清理；</w:t>
            </w:r>
          </w:p>
          <w:p w14:paraId="409A6B20">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地基平整夯实，沟、</w:t>
            </w:r>
          </w:p>
          <w:p w14:paraId="3C9DCA42">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渠断面补挖；</w:t>
            </w:r>
          </w:p>
          <w:p w14:paraId="146C3C4A">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铺设垫层；</w:t>
            </w:r>
          </w:p>
          <w:p w14:paraId="6AC89CA8">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模板制作、安装、拆</w:t>
            </w:r>
          </w:p>
          <w:p w14:paraId="39F5EB09">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除；</w:t>
            </w:r>
          </w:p>
          <w:p w14:paraId="565A6E04">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预制件预制、运输、</w:t>
            </w:r>
          </w:p>
          <w:p w14:paraId="4FB4EE9E">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装拆；</w:t>
            </w:r>
          </w:p>
          <w:p w14:paraId="4121CF58">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预制件安装；</w:t>
            </w:r>
          </w:p>
          <w:p w14:paraId="2D145C58">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回填、压实</w:t>
            </w:r>
          </w:p>
        </w:tc>
      </w:tr>
    </w:tbl>
    <w:p w14:paraId="2B14D2CD">
      <w:pPr>
        <w:spacing w:before="139"/>
        <w:ind w:left="86" w:right="194"/>
        <w:jc w:val="center"/>
        <w:rPr>
          <w:rFonts w:hint="eastAsia" w:ascii="宋体" w:hAnsi="宋体" w:eastAsia="宋体" w:cs="宋体"/>
          <w:sz w:val="28"/>
          <w:highlight w:val="none"/>
        </w:rPr>
      </w:pPr>
    </w:p>
    <w:p w14:paraId="3AE91C7E">
      <w:pPr>
        <w:spacing w:before="139"/>
        <w:ind w:left="86" w:right="194"/>
        <w:jc w:val="center"/>
        <w:rPr>
          <w:rFonts w:hint="eastAsia" w:ascii="宋体" w:hAnsi="宋体" w:eastAsia="宋体" w:cs="宋体"/>
          <w:sz w:val="28"/>
          <w:highlight w:val="none"/>
        </w:rPr>
      </w:pPr>
    </w:p>
    <w:p w14:paraId="0E789EC4">
      <w:pPr>
        <w:spacing w:before="139"/>
        <w:ind w:left="86" w:right="194"/>
        <w:jc w:val="center"/>
        <w:rPr>
          <w:rFonts w:hint="eastAsia" w:ascii="宋体" w:hAnsi="宋体" w:eastAsia="宋体" w:cs="宋体"/>
          <w:sz w:val="28"/>
          <w:highlight w:val="none"/>
        </w:rPr>
      </w:pPr>
    </w:p>
    <w:p w14:paraId="3D02722C">
      <w:pPr>
        <w:spacing w:before="139"/>
        <w:ind w:left="86" w:right="194"/>
        <w:jc w:val="center"/>
        <w:rPr>
          <w:rFonts w:hint="eastAsia" w:ascii="宋体" w:hAnsi="宋体" w:eastAsia="宋体" w:cs="宋体"/>
          <w:sz w:val="28"/>
          <w:highlight w:val="none"/>
        </w:rPr>
      </w:pPr>
    </w:p>
    <w:p w14:paraId="51F523B6">
      <w:pPr>
        <w:spacing w:before="139"/>
        <w:ind w:right="194"/>
        <w:jc w:val="both"/>
        <w:rPr>
          <w:rFonts w:hint="eastAsia" w:ascii="宋体" w:hAnsi="宋体" w:eastAsia="宋体" w:cs="宋体"/>
          <w:sz w:val="28"/>
          <w:highlight w:val="none"/>
        </w:rPr>
      </w:pPr>
    </w:p>
    <w:p w14:paraId="00521B16">
      <w:pPr>
        <w:spacing w:before="139"/>
        <w:ind w:left="86" w:right="194"/>
        <w:jc w:val="center"/>
        <w:rPr>
          <w:rFonts w:hint="eastAsia" w:ascii="宋体" w:hAnsi="宋体" w:eastAsia="宋体" w:cs="宋体"/>
          <w:sz w:val="28"/>
          <w:highlight w:val="none"/>
        </w:rPr>
      </w:pPr>
      <w:r>
        <w:rPr>
          <w:rFonts w:hint="eastAsia" w:ascii="宋体" w:hAnsi="宋体" w:eastAsia="宋体" w:cs="宋体"/>
          <w:sz w:val="28"/>
          <w:highlight w:val="none"/>
        </w:rPr>
        <w:t>第 300 章 路面</w:t>
      </w:r>
    </w:p>
    <w:p w14:paraId="4D7027CF">
      <w:pPr>
        <w:pStyle w:val="10"/>
        <w:spacing w:before="1"/>
        <w:rPr>
          <w:rFonts w:hint="eastAsia" w:ascii="宋体" w:hAnsi="宋体" w:eastAsia="宋体" w:cs="宋体"/>
          <w:sz w:val="18"/>
          <w:highlight w:val="none"/>
        </w:rPr>
      </w:pPr>
    </w:p>
    <w:tbl>
      <w:tblPr>
        <w:tblStyle w:val="24"/>
        <w:tblW w:w="9015" w:type="dxa"/>
        <w:tblInd w:w="0" w:type="dxa"/>
        <w:tblLayout w:type="fixed"/>
        <w:tblCellMar>
          <w:top w:w="0" w:type="dxa"/>
          <w:left w:w="108" w:type="dxa"/>
          <w:bottom w:w="0" w:type="dxa"/>
          <w:right w:w="108" w:type="dxa"/>
        </w:tblCellMar>
      </w:tblPr>
      <w:tblGrid>
        <w:gridCol w:w="1161"/>
        <w:gridCol w:w="1769"/>
        <w:gridCol w:w="1080"/>
        <w:gridCol w:w="2125"/>
        <w:gridCol w:w="2880"/>
      </w:tblGrid>
      <w:tr w14:paraId="190A7A5D">
        <w:tblPrEx>
          <w:tblCellMar>
            <w:top w:w="0" w:type="dxa"/>
            <w:left w:w="108" w:type="dxa"/>
            <w:bottom w:w="0" w:type="dxa"/>
            <w:right w:w="108" w:type="dxa"/>
          </w:tblCellMar>
        </w:tblPrEx>
        <w:trPr>
          <w:trHeight w:val="62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C1AFE53">
            <w:pPr>
              <w:spacing w:line="460" w:lineRule="exact"/>
              <w:ind w:left="265"/>
              <w:rPr>
                <w:rFonts w:hint="eastAsia" w:ascii="宋体" w:hAnsi="宋体" w:eastAsia="宋体" w:cs="宋体"/>
                <w:highlight w:val="none"/>
              </w:rPr>
            </w:pPr>
            <w:r>
              <w:rPr>
                <w:rFonts w:hint="eastAsia" w:ascii="宋体" w:hAnsi="宋体" w:eastAsia="宋体" w:cs="宋体"/>
                <w:spacing w:val="-1"/>
                <w:sz w:val="20"/>
                <w:highlight w:val="none"/>
              </w:rPr>
              <w:t>子目号</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83D437B">
            <w:pPr>
              <w:spacing w:line="460" w:lineRule="exact"/>
              <w:ind w:left="464"/>
              <w:rPr>
                <w:rFonts w:hint="eastAsia" w:ascii="宋体" w:hAnsi="宋体" w:eastAsia="宋体" w:cs="宋体"/>
                <w:highlight w:val="none"/>
              </w:rPr>
            </w:pPr>
            <w:r>
              <w:rPr>
                <w:rFonts w:hint="eastAsia" w:ascii="宋体" w:hAnsi="宋体" w:eastAsia="宋体" w:cs="宋体"/>
                <w:spacing w:val="-1"/>
                <w:sz w:val="20"/>
                <w:highlight w:val="none"/>
              </w:rPr>
              <w:t>子目名称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8891A63">
            <w:pPr>
              <w:spacing w:line="460" w:lineRule="exact"/>
              <w:ind w:left="330"/>
              <w:rPr>
                <w:rFonts w:hint="eastAsia" w:ascii="宋体" w:hAnsi="宋体" w:eastAsia="宋体" w:cs="宋体"/>
                <w:highlight w:val="none"/>
              </w:rPr>
            </w:pPr>
            <w:r>
              <w:rPr>
                <w:rFonts w:hint="eastAsia" w:ascii="宋体" w:hAnsi="宋体" w:eastAsia="宋体" w:cs="宋体"/>
                <w:spacing w:val="-1"/>
                <w:sz w:val="20"/>
                <w:highlight w:val="none"/>
              </w:rPr>
              <w:t>单位</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D3DD958">
            <w:pPr>
              <w:spacing w:line="460" w:lineRule="exact"/>
              <w:ind w:left="536"/>
              <w:rPr>
                <w:rFonts w:hint="eastAsia" w:ascii="宋体" w:hAnsi="宋体" w:eastAsia="宋体" w:cs="宋体"/>
                <w:highlight w:val="none"/>
              </w:rPr>
            </w:pPr>
            <w:r>
              <w:rPr>
                <w:rFonts w:hint="eastAsia" w:ascii="宋体" w:hAnsi="宋体" w:eastAsia="宋体" w:cs="宋体"/>
                <w:spacing w:val="-1"/>
                <w:sz w:val="20"/>
                <w:highlight w:val="none"/>
              </w:rPr>
              <w:t>工程量计量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02D78B1">
            <w:pPr>
              <w:spacing w:line="460" w:lineRule="exact"/>
              <w:ind w:left="1020"/>
              <w:rPr>
                <w:rFonts w:hint="eastAsia" w:ascii="宋体" w:hAnsi="宋体" w:eastAsia="宋体" w:cs="宋体"/>
                <w:highlight w:val="none"/>
              </w:rPr>
            </w:pPr>
            <w:r>
              <w:rPr>
                <w:rFonts w:hint="eastAsia" w:ascii="宋体" w:hAnsi="宋体" w:eastAsia="宋体" w:cs="宋体"/>
                <w:spacing w:val="-1"/>
                <w:sz w:val="20"/>
                <w:highlight w:val="none"/>
              </w:rPr>
              <w:t>工程内容</w:t>
            </w:r>
          </w:p>
        </w:tc>
      </w:tr>
      <w:tr w14:paraId="0368A57A">
        <w:tblPrEx>
          <w:tblCellMar>
            <w:top w:w="0" w:type="dxa"/>
            <w:left w:w="108" w:type="dxa"/>
            <w:bottom w:w="0" w:type="dxa"/>
            <w:right w:w="108" w:type="dxa"/>
          </w:tblCellMar>
        </w:tblPrEx>
        <w:trPr>
          <w:trHeight w:val="134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6EF10D0">
            <w:pPr>
              <w:spacing w:line="884" w:lineRule="exact"/>
              <w:ind w:left="337"/>
              <w:rPr>
                <w:rFonts w:hint="eastAsia" w:ascii="宋体" w:hAnsi="宋体" w:eastAsia="宋体" w:cs="宋体"/>
                <w:highlight w:val="none"/>
              </w:rPr>
            </w:pPr>
            <w:r>
              <w:rPr>
                <w:rFonts w:hint="eastAsia" w:ascii="宋体" w:hAnsi="宋体" w:eastAsia="宋体" w:cs="宋体"/>
                <w:spacing w:val="-1"/>
                <w:sz w:val="20"/>
                <w:highlight w:val="none"/>
              </w:rPr>
              <w:t>302-1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67BD540">
            <w:pPr>
              <w:spacing w:line="652" w:lineRule="exact"/>
              <w:ind w:left="282"/>
              <w:rPr>
                <w:rFonts w:hint="eastAsia" w:ascii="宋体" w:hAnsi="宋体" w:eastAsia="宋体" w:cs="宋体"/>
                <w:highlight w:val="none"/>
              </w:rPr>
            </w:pPr>
            <w:r>
              <w:rPr>
                <w:rFonts w:hint="eastAsia" w:ascii="宋体" w:hAnsi="宋体" w:eastAsia="宋体" w:cs="宋体"/>
                <w:spacing w:val="-1"/>
                <w:sz w:val="20"/>
                <w:highlight w:val="none"/>
              </w:rPr>
              <w:t>砂砾垫层（底基</w:t>
            </w:r>
          </w:p>
          <w:p w14:paraId="003A1193">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489DF3A">
            <w:pPr>
              <w:spacing w:line="792"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ED0B530">
            <w:pPr>
              <w:spacing w:line="381"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依据图纸所示压实</w:t>
            </w:r>
          </w:p>
          <w:p w14:paraId="3B5C4E16">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厚度，按照铺筑的顶</w:t>
            </w:r>
          </w:p>
          <w:p w14:paraId="6BB3B172">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面面积以平方米为单</w:t>
            </w:r>
          </w:p>
          <w:p w14:paraId="7A6661D3">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7BF6663">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检查、清除路基上的浮土、</w:t>
            </w:r>
          </w:p>
          <w:p w14:paraId="08D41550">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杂物，并洒水湿润；</w:t>
            </w:r>
          </w:p>
          <w:p w14:paraId="03ECF0E6">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摊铺；</w:t>
            </w:r>
          </w:p>
          <w:p w14:paraId="7D561FA9">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整平、整型；</w:t>
            </w:r>
          </w:p>
          <w:p w14:paraId="72664AF5">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洒水、碾压、整修</w:t>
            </w:r>
          </w:p>
        </w:tc>
      </w:tr>
      <w:tr w14:paraId="3FFDF704">
        <w:tblPrEx>
          <w:tblCellMar>
            <w:top w:w="0" w:type="dxa"/>
            <w:left w:w="108" w:type="dxa"/>
            <w:bottom w:w="0" w:type="dxa"/>
            <w:right w:w="108" w:type="dxa"/>
          </w:tblCellMar>
        </w:tblPrEx>
        <w:trPr>
          <w:trHeight w:val="13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A4A03D4">
            <w:pPr>
              <w:spacing w:line="882" w:lineRule="exact"/>
              <w:ind w:left="337"/>
              <w:rPr>
                <w:rFonts w:hint="eastAsia" w:ascii="宋体" w:hAnsi="宋体" w:eastAsia="宋体" w:cs="宋体"/>
                <w:highlight w:val="none"/>
              </w:rPr>
            </w:pPr>
            <w:r>
              <w:rPr>
                <w:rFonts w:hint="eastAsia" w:ascii="宋体" w:hAnsi="宋体" w:eastAsia="宋体" w:cs="宋体"/>
                <w:spacing w:val="-1"/>
                <w:sz w:val="20"/>
                <w:highlight w:val="none"/>
              </w:rPr>
              <w:t>303-1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9FFB82D">
            <w:pPr>
              <w:spacing w:line="653" w:lineRule="exact"/>
              <w:ind w:left="282"/>
              <w:rPr>
                <w:rFonts w:hint="eastAsia" w:ascii="宋体" w:hAnsi="宋体" w:eastAsia="宋体" w:cs="宋体"/>
                <w:highlight w:val="none"/>
              </w:rPr>
            </w:pPr>
            <w:r>
              <w:rPr>
                <w:rFonts w:hint="eastAsia" w:ascii="宋体" w:hAnsi="宋体" w:eastAsia="宋体" w:cs="宋体"/>
                <w:spacing w:val="-1"/>
                <w:sz w:val="20"/>
                <w:highlight w:val="none"/>
              </w:rPr>
              <w:t>级配碎石（砂</w:t>
            </w:r>
          </w:p>
          <w:p w14:paraId="41EAC3C6">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砾）基层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95F1395">
            <w:pPr>
              <w:spacing w:line="791"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B796E70">
            <w:pPr>
              <w:spacing w:line="380"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依据图纸所示压实</w:t>
            </w:r>
          </w:p>
          <w:p w14:paraId="1598C520">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厚度，按照铺筑的顶</w:t>
            </w:r>
          </w:p>
          <w:p w14:paraId="56A30751">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面面积以平方米为单</w:t>
            </w:r>
          </w:p>
          <w:p w14:paraId="64905309">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DFB622A">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检查、清理下承层、洒水；</w:t>
            </w:r>
          </w:p>
          <w:p w14:paraId="7B8924BC">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铺筑材料拌和、运输、摊</w:t>
            </w:r>
          </w:p>
          <w:p w14:paraId="4EEBA1A4">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铺；</w:t>
            </w:r>
          </w:p>
          <w:p w14:paraId="3E960B8C">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整平、整型；</w:t>
            </w:r>
          </w:p>
          <w:p w14:paraId="5B41200F">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洒水、碾压</w:t>
            </w:r>
          </w:p>
        </w:tc>
      </w:tr>
      <w:tr w14:paraId="5FAAD50B">
        <w:tblPrEx>
          <w:tblCellMar>
            <w:top w:w="0" w:type="dxa"/>
            <w:left w:w="108" w:type="dxa"/>
            <w:bottom w:w="0" w:type="dxa"/>
            <w:right w:w="108" w:type="dxa"/>
          </w:tblCellMar>
        </w:tblPrEx>
        <w:trPr>
          <w:trHeight w:val="105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7B9B375">
            <w:pPr>
              <w:spacing w:line="746" w:lineRule="exact"/>
              <w:ind w:left="337"/>
              <w:rPr>
                <w:rFonts w:hint="eastAsia" w:ascii="宋体" w:hAnsi="宋体" w:eastAsia="宋体" w:cs="宋体"/>
                <w:highlight w:val="none"/>
              </w:rPr>
            </w:pPr>
            <w:r>
              <w:rPr>
                <w:rFonts w:hint="eastAsia" w:ascii="宋体" w:hAnsi="宋体" w:eastAsia="宋体" w:cs="宋体"/>
                <w:spacing w:val="-1"/>
                <w:sz w:val="20"/>
                <w:highlight w:val="none"/>
              </w:rPr>
              <w:t>304-1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0C81B16">
            <w:pPr>
              <w:spacing w:line="517" w:lineRule="exact"/>
              <w:ind w:left="282"/>
              <w:rPr>
                <w:rFonts w:hint="eastAsia" w:ascii="宋体" w:hAnsi="宋体" w:eastAsia="宋体" w:cs="宋体"/>
                <w:highlight w:val="none"/>
              </w:rPr>
            </w:pPr>
            <w:r>
              <w:rPr>
                <w:rFonts w:hint="eastAsia" w:ascii="宋体" w:hAnsi="宋体" w:eastAsia="宋体" w:cs="宋体"/>
                <w:spacing w:val="-1"/>
                <w:sz w:val="20"/>
                <w:highlight w:val="none"/>
              </w:rPr>
              <w:t>水泥稳定砂砾</w:t>
            </w:r>
          </w:p>
          <w:p w14:paraId="024EE639">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基层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4C22792">
            <w:pPr>
              <w:spacing w:line="655"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29099BC">
            <w:pPr>
              <w:spacing w:line="244"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依据图纸所示压实</w:t>
            </w:r>
          </w:p>
          <w:p w14:paraId="229D5EA3">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厚度，按照铺筑的顶</w:t>
            </w:r>
          </w:p>
          <w:p w14:paraId="3F629077">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面面积以平方米为单</w:t>
            </w:r>
          </w:p>
          <w:p w14:paraId="0E2D0A37">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8A78089">
            <w:pPr>
              <w:spacing w:line="278"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检查、清理下承层、洒水；</w:t>
            </w:r>
          </w:p>
          <w:p w14:paraId="2805DF45">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拌和、运输、摊铺；</w:t>
            </w:r>
          </w:p>
          <w:p w14:paraId="1CC22734">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整平、整型；</w:t>
            </w:r>
          </w:p>
          <w:p w14:paraId="6158C627">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洒水、碾压、初期养护</w:t>
            </w:r>
          </w:p>
        </w:tc>
      </w:tr>
      <w:tr w14:paraId="40871C70">
        <w:tblPrEx>
          <w:tblCellMar>
            <w:top w:w="0" w:type="dxa"/>
            <w:left w:w="108" w:type="dxa"/>
            <w:bottom w:w="0" w:type="dxa"/>
            <w:right w:w="108" w:type="dxa"/>
          </w:tblCellMar>
        </w:tblPrEx>
        <w:trPr>
          <w:trHeight w:val="162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B343911">
            <w:pPr>
              <w:spacing w:line="960" w:lineRule="exact"/>
              <w:ind w:left="337"/>
              <w:rPr>
                <w:rFonts w:hint="eastAsia" w:ascii="宋体" w:hAnsi="宋体" w:eastAsia="宋体" w:cs="宋体"/>
                <w:highlight w:val="none"/>
              </w:rPr>
            </w:pPr>
            <w:r>
              <w:rPr>
                <w:rFonts w:hint="eastAsia" w:ascii="宋体" w:hAnsi="宋体" w:eastAsia="宋体" w:cs="宋体"/>
                <w:spacing w:val="-1"/>
                <w:sz w:val="20"/>
                <w:highlight w:val="none"/>
              </w:rPr>
              <w:t>305-1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03DC617">
            <w:pPr>
              <w:spacing w:line="925" w:lineRule="exact"/>
              <w:ind w:left="282"/>
              <w:rPr>
                <w:rFonts w:hint="eastAsia" w:ascii="宋体" w:hAnsi="宋体" w:eastAsia="宋体" w:cs="宋体"/>
                <w:highlight w:val="none"/>
              </w:rPr>
            </w:pPr>
            <w:r>
              <w:rPr>
                <w:rFonts w:hint="eastAsia" w:ascii="宋体" w:hAnsi="宋体" w:eastAsia="宋体" w:cs="宋体"/>
                <w:spacing w:val="-1"/>
                <w:sz w:val="20"/>
                <w:highlight w:val="none"/>
              </w:rPr>
              <w:t>透层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12B906E">
            <w:pPr>
              <w:spacing w:line="869"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FAD242D">
            <w:pPr>
              <w:spacing w:line="517"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依据图纸所示沥青</w:t>
            </w:r>
          </w:p>
          <w:p w14:paraId="5D8092F1">
            <w:pPr>
              <w:spacing w:line="271" w:lineRule="exact"/>
              <w:ind w:left="109"/>
              <w:rPr>
                <w:rFonts w:hint="eastAsia" w:ascii="宋体" w:hAnsi="宋体" w:eastAsia="宋体" w:cs="宋体"/>
                <w:highlight w:val="none"/>
              </w:rPr>
            </w:pPr>
            <w:r>
              <w:rPr>
                <w:rFonts w:hint="eastAsia" w:ascii="宋体" w:hAnsi="宋体" w:eastAsia="宋体" w:cs="宋体"/>
                <w:sz w:val="20"/>
                <w:highlight w:val="none"/>
              </w:rPr>
              <w:t>品种、规格、喷油量，</w:t>
            </w:r>
          </w:p>
          <w:p w14:paraId="130B1E5B">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按照洒布面积以平方</w:t>
            </w:r>
          </w:p>
          <w:p w14:paraId="43FE4A32">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米为单位计量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4AD9C4B">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检查和清扫下承层；</w:t>
            </w:r>
          </w:p>
          <w:p w14:paraId="5A0A9F28">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材料制备、运输；</w:t>
            </w:r>
          </w:p>
          <w:p w14:paraId="31EC33F9">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试洒；</w:t>
            </w:r>
          </w:p>
          <w:p w14:paraId="7DCEDAA7">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沥青洒布车均匀喷洒并检</w:t>
            </w:r>
          </w:p>
          <w:p w14:paraId="7CCAE800">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测洒布用量；</w:t>
            </w:r>
          </w:p>
          <w:p w14:paraId="13E616A4">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初期养护</w:t>
            </w:r>
          </w:p>
        </w:tc>
      </w:tr>
      <w:tr w14:paraId="5A758141">
        <w:tblPrEx>
          <w:tblCellMar>
            <w:top w:w="0" w:type="dxa"/>
            <w:left w:w="108" w:type="dxa"/>
            <w:bottom w:w="0" w:type="dxa"/>
            <w:right w:w="108" w:type="dxa"/>
          </w:tblCellMar>
        </w:tblPrEx>
        <w:trPr>
          <w:trHeight w:val="160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C01F080">
            <w:pPr>
              <w:spacing w:line="960" w:lineRule="exact"/>
              <w:ind w:left="337"/>
              <w:rPr>
                <w:rFonts w:hint="eastAsia" w:ascii="宋体" w:hAnsi="宋体" w:eastAsia="宋体" w:cs="宋体"/>
                <w:highlight w:val="none"/>
              </w:rPr>
            </w:pPr>
            <w:r>
              <w:rPr>
                <w:rFonts w:hint="eastAsia" w:ascii="宋体" w:hAnsi="宋体" w:eastAsia="宋体" w:cs="宋体"/>
                <w:spacing w:val="-1"/>
                <w:sz w:val="20"/>
                <w:highlight w:val="none"/>
              </w:rPr>
              <w:t>305-2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29F5F55">
            <w:pPr>
              <w:spacing w:line="925" w:lineRule="exact"/>
              <w:ind w:left="282"/>
              <w:rPr>
                <w:rFonts w:hint="eastAsia" w:ascii="宋体" w:hAnsi="宋体" w:eastAsia="宋体" w:cs="宋体"/>
                <w:highlight w:val="none"/>
              </w:rPr>
            </w:pPr>
            <w:r>
              <w:rPr>
                <w:rFonts w:hint="eastAsia" w:ascii="宋体" w:hAnsi="宋体" w:eastAsia="宋体" w:cs="宋体"/>
                <w:spacing w:val="-1"/>
                <w:sz w:val="20"/>
                <w:highlight w:val="none"/>
              </w:rPr>
              <w:t>黏层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A37580F">
            <w:pPr>
              <w:spacing w:line="869"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C6B72A8">
            <w:pPr>
              <w:spacing w:line="517"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依据图纸所示沥青</w:t>
            </w:r>
          </w:p>
          <w:p w14:paraId="550C88F4">
            <w:pPr>
              <w:spacing w:line="271" w:lineRule="exact"/>
              <w:ind w:left="109"/>
              <w:rPr>
                <w:rFonts w:hint="eastAsia" w:ascii="宋体" w:hAnsi="宋体" w:eastAsia="宋体" w:cs="宋体"/>
                <w:highlight w:val="none"/>
              </w:rPr>
            </w:pPr>
            <w:r>
              <w:rPr>
                <w:rFonts w:hint="eastAsia" w:ascii="宋体" w:hAnsi="宋体" w:eastAsia="宋体" w:cs="宋体"/>
                <w:sz w:val="20"/>
                <w:highlight w:val="none"/>
              </w:rPr>
              <w:t>品种、规格、喷油量，</w:t>
            </w:r>
          </w:p>
          <w:p w14:paraId="5B59129E">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按照洒布面积以平方</w:t>
            </w:r>
          </w:p>
          <w:p w14:paraId="3E1A24EA">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米为单位计量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64B7E92">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检查和清扫下承层；</w:t>
            </w:r>
          </w:p>
          <w:p w14:paraId="24DB4429">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材料制备、运输；</w:t>
            </w:r>
          </w:p>
          <w:p w14:paraId="1B6572ED">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试洒；</w:t>
            </w:r>
          </w:p>
          <w:p w14:paraId="4EEC5140">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沥青洒布车均匀喷洒并检</w:t>
            </w:r>
          </w:p>
          <w:p w14:paraId="4C92D39A">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测洒布用量；</w:t>
            </w:r>
          </w:p>
          <w:p w14:paraId="76C4FE23">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初期养护</w:t>
            </w:r>
          </w:p>
        </w:tc>
      </w:tr>
      <w:tr w14:paraId="4F6516A7">
        <w:tblPrEx>
          <w:tblCellMar>
            <w:top w:w="0" w:type="dxa"/>
            <w:left w:w="108" w:type="dxa"/>
            <w:bottom w:w="0" w:type="dxa"/>
            <w:right w:w="108" w:type="dxa"/>
          </w:tblCellMar>
        </w:tblPrEx>
        <w:trPr>
          <w:trHeight w:val="165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246C916">
            <w:pPr>
              <w:spacing w:line="960" w:lineRule="exact"/>
              <w:ind w:left="337"/>
              <w:rPr>
                <w:rFonts w:hint="eastAsia" w:ascii="宋体" w:hAnsi="宋体" w:eastAsia="宋体" w:cs="宋体"/>
                <w:highlight w:val="none"/>
              </w:rPr>
            </w:pPr>
            <w:r>
              <w:rPr>
                <w:rFonts w:hint="eastAsia" w:ascii="宋体" w:hAnsi="宋体" w:eastAsia="宋体" w:cs="宋体"/>
                <w:spacing w:val="-1"/>
                <w:sz w:val="20"/>
                <w:highlight w:val="none"/>
              </w:rPr>
              <w:t>305-3</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5D8988E">
            <w:pPr>
              <w:spacing w:line="925" w:lineRule="exact"/>
              <w:ind w:left="282"/>
              <w:rPr>
                <w:rFonts w:hint="eastAsia" w:ascii="宋体" w:hAnsi="宋体" w:eastAsia="宋体" w:cs="宋体"/>
                <w:highlight w:val="none"/>
              </w:rPr>
            </w:pPr>
            <w:r>
              <w:rPr>
                <w:rFonts w:hint="eastAsia" w:ascii="宋体" w:hAnsi="宋体" w:eastAsia="宋体" w:cs="宋体"/>
                <w:spacing w:val="-1"/>
                <w:sz w:val="20"/>
                <w:highlight w:val="none"/>
              </w:rPr>
              <w:t>封层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05614BD">
            <w:pPr>
              <w:spacing w:line="871"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E7BB82A">
            <w:pPr>
              <w:spacing w:line="517"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依据图纸所示沥青</w:t>
            </w:r>
          </w:p>
          <w:p w14:paraId="1EF81AAD">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种类、厚度，按照封</w:t>
            </w:r>
          </w:p>
          <w:p w14:paraId="507B72BB">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层面积以平方米为单</w:t>
            </w:r>
          </w:p>
          <w:p w14:paraId="6F5D0D6D">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174C9ED">
            <w:pPr>
              <w:spacing w:line="28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检查和清扫下承层；</w:t>
            </w:r>
          </w:p>
          <w:p w14:paraId="1613464D">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试验段施工；</w:t>
            </w:r>
          </w:p>
          <w:p w14:paraId="5602BB1D">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专用设备洒布或施工封</w:t>
            </w:r>
          </w:p>
          <w:p w14:paraId="4F6DE8A5">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层；</w:t>
            </w:r>
          </w:p>
          <w:p w14:paraId="6B80B586">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整型、碾压、找补；</w:t>
            </w:r>
          </w:p>
          <w:p w14:paraId="15189184">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初期养护</w:t>
            </w:r>
          </w:p>
        </w:tc>
      </w:tr>
      <w:tr w14:paraId="1988C8BB">
        <w:tblPrEx>
          <w:tblCellMar>
            <w:top w:w="0" w:type="dxa"/>
            <w:left w:w="108" w:type="dxa"/>
            <w:bottom w:w="0" w:type="dxa"/>
            <w:right w:w="108" w:type="dxa"/>
          </w:tblCellMar>
        </w:tblPrEx>
        <w:trPr>
          <w:trHeight w:val="167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1FD3E40">
            <w:pPr>
              <w:spacing w:line="1020" w:lineRule="exact"/>
              <w:ind w:left="337"/>
              <w:rPr>
                <w:rFonts w:hint="eastAsia" w:ascii="宋体" w:hAnsi="宋体" w:eastAsia="宋体" w:cs="宋体"/>
                <w:highlight w:val="none"/>
              </w:rPr>
            </w:pPr>
            <w:r>
              <w:rPr>
                <w:rFonts w:hint="eastAsia" w:ascii="宋体" w:hAnsi="宋体" w:eastAsia="宋体" w:cs="宋体"/>
                <w:spacing w:val="-1"/>
                <w:sz w:val="20"/>
                <w:highlight w:val="none"/>
              </w:rPr>
              <w:t>306-1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74272CE">
            <w:pPr>
              <w:spacing w:line="971" w:lineRule="exact"/>
              <w:ind w:left="282"/>
              <w:rPr>
                <w:rFonts w:hint="eastAsia" w:ascii="宋体" w:hAnsi="宋体" w:eastAsia="宋体" w:cs="宋体"/>
                <w:highlight w:val="none"/>
              </w:rPr>
            </w:pPr>
            <w:r>
              <w:rPr>
                <w:rFonts w:hint="eastAsia" w:ascii="宋体" w:hAnsi="宋体" w:eastAsia="宋体" w:cs="宋体"/>
                <w:spacing w:val="-1"/>
                <w:sz w:val="20"/>
                <w:highlight w:val="none"/>
              </w:rPr>
              <w:t>沥青表面处治</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70C077C">
            <w:pPr>
              <w:spacing w:line="929"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315A6F3">
            <w:pPr>
              <w:spacing w:line="381"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依据图纸所示沥青</w:t>
            </w:r>
          </w:p>
          <w:p w14:paraId="3F8C7137">
            <w:pPr>
              <w:spacing w:line="274" w:lineRule="exact"/>
              <w:ind w:left="109"/>
              <w:rPr>
                <w:rFonts w:hint="eastAsia" w:ascii="宋体" w:hAnsi="宋体" w:eastAsia="宋体" w:cs="宋体"/>
                <w:highlight w:val="none"/>
              </w:rPr>
            </w:pPr>
            <w:r>
              <w:rPr>
                <w:rFonts w:hint="eastAsia" w:ascii="宋体" w:hAnsi="宋体" w:eastAsia="宋体" w:cs="宋体"/>
                <w:sz w:val="20"/>
                <w:highlight w:val="none"/>
              </w:rPr>
              <w:t>种类、厚度、喷油量，</w:t>
            </w:r>
          </w:p>
          <w:p w14:paraId="6E08E61A">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按照沥青表面处治面</w:t>
            </w:r>
          </w:p>
          <w:p w14:paraId="1A9E3F9E">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积以平方米为单位计</w:t>
            </w:r>
          </w:p>
          <w:p w14:paraId="202D75E9">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A60BD96">
            <w:pPr>
              <w:spacing w:line="28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检查和清理下承层；</w:t>
            </w:r>
          </w:p>
          <w:p w14:paraId="6E142EE2">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安拆除熬油设备；</w:t>
            </w:r>
          </w:p>
          <w:p w14:paraId="19E5B0FF">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熬油、运油；</w:t>
            </w:r>
          </w:p>
          <w:p w14:paraId="387A0789">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沥青洒布车洒油；</w:t>
            </w:r>
          </w:p>
          <w:p w14:paraId="19CB19E9">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整型、碾压、找补；</w:t>
            </w:r>
          </w:p>
          <w:p w14:paraId="5F58ECB8">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初期养护</w:t>
            </w:r>
          </w:p>
        </w:tc>
      </w:tr>
      <w:tr w14:paraId="39A11DB2">
        <w:tblPrEx>
          <w:tblCellMar>
            <w:top w:w="0" w:type="dxa"/>
            <w:left w:w="108" w:type="dxa"/>
            <w:bottom w:w="0" w:type="dxa"/>
            <w:right w:w="108" w:type="dxa"/>
          </w:tblCellMar>
        </w:tblPrEx>
        <w:trPr>
          <w:trHeight w:val="21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152785D">
            <w:pPr>
              <w:spacing w:line="1157" w:lineRule="exact"/>
              <w:ind w:left="337"/>
              <w:rPr>
                <w:rFonts w:hint="eastAsia" w:ascii="宋体" w:hAnsi="宋体" w:eastAsia="宋体" w:cs="宋体"/>
                <w:highlight w:val="none"/>
              </w:rPr>
            </w:pPr>
            <w:r>
              <w:rPr>
                <w:rFonts w:hint="eastAsia" w:ascii="宋体" w:hAnsi="宋体" w:eastAsia="宋体" w:cs="宋体"/>
                <w:spacing w:val="-1"/>
                <w:sz w:val="20"/>
                <w:highlight w:val="none"/>
              </w:rPr>
              <w:t>307-1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E32C672">
            <w:pPr>
              <w:spacing w:line="925" w:lineRule="exact"/>
              <w:ind w:left="282"/>
              <w:rPr>
                <w:rFonts w:hint="eastAsia" w:ascii="宋体" w:hAnsi="宋体" w:eastAsia="宋体" w:cs="宋体"/>
                <w:highlight w:val="none"/>
              </w:rPr>
            </w:pPr>
            <w:r>
              <w:rPr>
                <w:rFonts w:hint="eastAsia" w:ascii="宋体" w:hAnsi="宋体" w:eastAsia="宋体" w:cs="宋体"/>
                <w:spacing w:val="-1"/>
                <w:sz w:val="20"/>
                <w:highlight w:val="none"/>
              </w:rPr>
              <w:t>细粒式沥青混</w:t>
            </w:r>
          </w:p>
          <w:p w14:paraId="67E58686">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6F279AB">
            <w:pPr>
              <w:spacing w:line="1065" w:lineRule="exact"/>
              <w:ind w:left="510"/>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47B4ADB">
            <w:pPr>
              <w:spacing w:line="517"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依据图纸所示级配</w:t>
            </w:r>
          </w:p>
          <w:p w14:paraId="2818B210">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类型及铺筑压实厚</w:t>
            </w:r>
          </w:p>
          <w:p w14:paraId="3598668E">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度，按照铺筑的顶面</w:t>
            </w:r>
          </w:p>
          <w:p w14:paraId="04B3B20C">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面积以平方米为单位</w:t>
            </w:r>
          </w:p>
          <w:p w14:paraId="108F3AE3">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2589858">
            <w:pPr>
              <w:spacing w:line="271" w:lineRule="exact"/>
              <w:rPr>
                <w:rFonts w:hint="eastAsia" w:ascii="宋体" w:hAnsi="宋体" w:eastAsia="宋体" w:cs="宋体"/>
                <w:spacing w:val="-1"/>
                <w:position w:val="1"/>
                <w:sz w:val="20"/>
                <w:highlight w:val="none"/>
              </w:rPr>
            </w:pPr>
            <w:r>
              <w:rPr>
                <w:rFonts w:hint="eastAsia" w:ascii="宋体" w:hAnsi="宋体" w:eastAsia="宋体" w:cs="宋体"/>
                <w:spacing w:val="-1"/>
                <w:position w:val="1"/>
                <w:sz w:val="20"/>
                <w:highlight w:val="none"/>
              </w:rPr>
              <w:t>1.检查和清理下承层；</w:t>
            </w:r>
          </w:p>
          <w:p w14:paraId="64ED62D9">
            <w:pPr>
              <w:spacing w:line="271" w:lineRule="exact"/>
              <w:rPr>
                <w:rFonts w:hint="eastAsia" w:ascii="宋体" w:hAnsi="宋体" w:eastAsia="宋体" w:cs="宋体"/>
                <w:spacing w:val="-1"/>
                <w:position w:val="1"/>
                <w:sz w:val="20"/>
                <w:highlight w:val="none"/>
              </w:rPr>
            </w:pPr>
            <w:r>
              <w:rPr>
                <w:rFonts w:hint="eastAsia" w:ascii="宋体" w:hAnsi="宋体" w:eastAsia="宋体" w:cs="宋体"/>
                <w:spacing w:val="-1"/>
                <w:position w:val="1"/>
                <w:sz w:val="20"/>
                <w:highlight w:val="none"/>
              </w:rPr>
              <w:t>2.拌和设备安装、调试、拆除；</w:t>
            </w:r>
          </w:p>
          <w:p w14:paraId="2F3C63FF">
            <w:pPr>
              <w:spacing w:line="271" w:lineRule="exact"/>
              <w:rPr>
                <w:rFonts w:hint="eastAsia" w:ascii="宋体" w:hAnsi="宋体" w:eastAsia="宋体" w:cs="宋体"/>
                <w:spacing w:val="-1"/>
                <w:position w:val="1"/>
                <w:sz w:val="20"/>
                <w:highlight w:val="none"/>
              </w:rPr>
            </w:pPr>
            <w:r>
              <w:rPr>
                <w:rFonts w:hint="eastAsia" w:ascii="宋体" w:hAnsi="宋体" w:eastAsia="宋体" w:cs="宋体"/>
                <w:spacing w:val="-1"/>
                <w:position w:val="1"/>
                <w:sz w:val="20"/>
                <w:highlight w:val="none"/>
              </w:rPr>
              <w:t>3.沥青加热、保温、输送，配运料，矿料加热烘干，拌和、出料；</w:t>
            </w:r>
          </w:p>
          <w:p w14:paraId="512C339F">
            <w:pPr>
              <w:spacing w:line="271" w:lineRule="exact"/>
              <w:rPr>
                <w:rFonts w:hint="eastAsia" w:ascii="宋体" w:hAnsi="宋体" w:eastAsia="宋体" w:cs="宋体"/>
                <w:spacing w:val="-1"/>
                <w:position w:val="1"/>
                <w:sz w:val="20"/>
                <w:highlight w:val="none"/>
              </w:rPr>
            </w:pPr>
            <w:r>
              <w:rPr>
                <w:rFonts w:hint="eastAsia" w:ascii="宋体" w:hAnsi="宋体" w:eastAsia="宋体" w:cs="宋体"/>
                <w:spacing w:val="-1"/>
                <w:position w:val="1"/>
                <w:sz w:val="20"/>
                <w:highlight w:val="none"/>
              </w:rPr>
              <w:t>4.运输、摊铺、碾压、成型；</w:t>
            </w:r>
          </w:p>
          <w:p w14:paraId="5F78F4C5">
            <w:pPr>
              <w:spacing w:line="271" w:lineRule="exact"/>
              <w:rPr>
                <w:rFonts w:hint="eastAsia" w:ascii="宋体" w:hAnsi="宋体" w:eastAsia="宋体" w:cs="宋体"/>
                <w:spacing w:val="-1"/>
                <w:position w:val="1"/>
                <w:sz w:val="20"/>
                <w:highlight w:val="none"/>
              </w:rPr>
            </w:pPr>
            <w:r>
              <w:rPr>
                <w:rFonts w:hint="eastAsia" w:ascii="宋体" w:hAnsi="宋体" w:eastAsia="宋体" w:cs="宋体"/>
                <w:spacing w:val="-1"/>
                <w:position w:val="1"/>
                <w:sz w:val="20"/>
                <w:highlight w:val="none"/>
              </w:rPr>
              <w:t>5.接缝处理；</w:t>
            </w:r>
          </w:p>
          <w:p w14:paraId="0BC71354">
            <w:pPr>
              <w:spacing w:line="271" w:lineRule="exact"/>
              <w:rPr>
                <w:rFonts w:hint="eastAsia" w:ascii="宋体" w:hAnsi="宋体" w:eastAsia="宋体" w:cs="宋体"/>
                <w:highlight w:val="none"/>
              </w:rPr>
            </w:pPr>
            <w:r>
              <w:rPr>
                <w:rFonts w:hint="eastAsia" w:ascii="宋体" w:hAnsi="宋体" w:eastAsia="宋体" w:cs="宋体"/>
                <w:spacing w:val="-1"/>
                <w:position w:val="1"/>
                <w:sz w:val="20"/>
                <w:highlight w:val="none"/>
              </w:rPr>
              <w:t>6.初期养护</w:t>
            </w:r>
          </w:p>
        </w:tc>
      </w:tr>
    </w:tbl>
    <w:p w14:paraId="4CECD6EA">
      <w:pPr>
        <w:spacing w:line="251" w:lineRule="exact"/>
        <w:rPr>
          <w:rFonts w:hint="eastAsia" w:ascii="宋体" w:hAnsi="宋体" w:eastAsia="宋体" w:cs="宋体"/>
          <w:sz w:val="21"/>
          <w:highlight w:val="none"/>
        </w:rPr>
        <w:sectPr>
          <w:pgSz w:w="11910" w:h="16840"/>
          <w:pgMar w:top="1440" w:right="1080" w:bottom="1040" w:left="1420" w:header="882" w:footer="847" w:gutter="0"/>
          <w:cols w:space="720" w:num="1"/>
        </w:sectPr>
      </w:pPr>
    </w:p>
    <w:p w14:paraId="5B27CA22">
      <w:pPr>
        <w:pStyle w:val="10"/>
        <w:spacing w:before="10"/>
        <w:rPr>
          <w:rFonts w:hint="eastAsia" w:ascii="宋体" w:hAnsi="宋体" w:eastAsia="宋体" w:cs="宋体"/>
          <w:sz w:val="11"/>
          <w:highlight w:val="none"/>
        </w:rPr>
      </w:pPr>
    </w:p>
    <w:tbl>
      <w:tblPr>
        <w:tblStyle w:val="24"/>
        <w:tblW w:w="9026" w:type="dxa"/>
        <w:tblInd w:w="0" w:type="dxa"/>
        <w:tblLayout w:type="fixed"/>
        <w:tblCellMar>
          <w:top w:w="0" w:type="dxa"/>
          <w:left w:w="108" w:type="dxa"/>
          <w:bottom w:w="0" w:type="dxa"/>
          <w:right w:w="108" w:type="dxa"/>
        </w:tblCellMar>
      </w:tblPr>
      <w:tblGrid>
        <w:gridCol w:w="1166"/>
        <w:gridCol w:w="1769"/>
        <w:gridCol w:w="1071"/>
        <w:gridCol w:w="9"/>
        <w:gridCol w:w="2125"/>
        <w:gridCol w:w="2886"/>
      </w:tblGrid>
      <w:tr w14:paraId="5E5B1423">
        <w:tblPrEx>
          <w:tblCellMar>
            <w:top w:w="0" w:type="dxa"/>
            <w:left w:w="108" w:type="dxa"/>
            <w:bottom w:w="0" w:type="dxa"/>
            <w:right w:w="108" w:type="dxa"/>
          </w:tblCellMar>
        </w:tblPrEx>
        <w:trPr>
          <w:trHeight w:val="2461" w:hRule="exact"/>
        </w:trPr>
        <w:tc>
          <w:tcPr>
            <w:tcW w:w="116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85618D9">
            <w:pPr>
              <w:spacing w:line="1426" w:lineRule="exact"/>
              <w:ind w:left="337"/>
              <w:rPr>
                <w:rFonts w:hint="eastAsia" w:ascii="宋体" w:hAnsi="宋体" w:eastAsia="宋体" w:cs="宋体"/>
                <w:highlight w:val="none"/>
              </w:rPr>
            </w:pPr>
            <w:r>
              <w:rPr>
                <w:rFonts w:hint="eastAsia" w:ascii="宋体" w:hAnsi="宋体" w:eastAsia="宋体" w:cs="宋体"/>
                <w:spacing w:val="-1"/>
                <w:sz w:val="20"/>
                <w:highlight w:val="none"/>
              </w:rPr>
              <w:t>307-2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C35839C">
            <w:pPr>
              <w:spacing w:line="1197" w:lineRule="exact"/>
              <w:ind w:left="282"/>
              <w:rPr>
                <w:rFonts w:hint="eastAsia" w:ascii="宋体" w:hAnsi="宋体" w:eastAsia="宋体" w:cs="宋体"/>
                <w:highlight w:val="none"/>
              </w:rPr>
            </w:pPr>
            <w:r>
              <w:rPr>
                <w:rFonts w:hint="eastAsia" w:ascii="宋体" w:hAnsi="宋体" w:eastAsia="宋体" w:cs="宋体"/>
                <w:spacing w:val="-1"/>
                <w:sz w:val="20"/>
                <w:highlight w:val="none"/>
              </w:rPr>
              <w:t>中粒式沥青混</w:t>
            </w:r>
          </w:p>
          <w:p w14:paraId="2AD0118D">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凝土</w:t>
            </w: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3917D06">
            <w:pPr>
              <w:spacing w:line="1337"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43E1C5B">
            <w:pPr>
              <w:spacing w:line="789"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依据图纸所示级配</w:t>
            </w:r>
          </w:p>
          <w:p w14:paraId="32E2348E">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类型及铺筑压实厚</w:t>
            </w:r>
          </w:p>
          <w:p w14:paraId="0BD7EF59">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度，按照铺筑的顶面</w:t>
            </w:r>
          </w:p>
          <w:p w14:paraId="550371E4">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面积以平方米为单位</w:t>
            </w:r>
          </w:p>
          <w:p w14:paraId="5FDE281E">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计量</w:t>
            </w:r>
          </w:p>
        </w:tc>
        <w:tc>
          <w:tcPr>
            <w:tcW w:w="288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65B0411">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检查和清理下承层；</w:t>
            </w:r>
          </w:p>
          <w:p w14:paraId="7B4335EC">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拌和设备安装、调试、拆</w:t>
            </w:r>
          </w:p>
          <w:p w14:paraId="0FAD43EF">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除；</w:t>
            </w:r>
          </w:p>
          <w:p w14:paraId="4B28FE4B">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沥青加热、保温、输送，</w:t>
            </w:r>
          </w:p>
          <w:p w14:paraId="2BC0E333">
            <w:pPr>
              <w:spacing w:line="236" w:lineRule="exact"/>
              <w:ind w:left="108"/>
              <w:rPr>
                <w:rFonts w:hint="eastAsia" w:ascii="宋体" w:hAnsi="宋体" w:eastAsia="宋体" w:cs="宋体"/>
                <w:highlight w:val="none"/>
              </w:rPr>
            </w:pPr>
            <w:r>
              <w:rPr>
                <w:rFonts w:hint="eastAsia" w:ascii="宋体" w:hAnsi="宋体" w:eastAsia="宋体" w:cs="宋体"/>
                <w:sz w:val="20"/>
                <w:highlight w:val="none"/>
              </w:rPr>
              <w:t>配运料，矿料加热烘干，拌和、</w:t>
            </w:r>
          </w:p>
          <w:p w14:paraId="61D27372">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出料；</w:t>
            </w:r>
          </w:p>
          <w:p w14:paraId="52BD9C08">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运输、摊铺、碾压、成型；</w:t>
            </w:r>
          </w:p>
          <w:p w14:paraId="09F2CD10">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接缝处理；</w:t>
            </w:r>
          </w:p>
          <w:p w14:paraId="1A23E8A4">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初期养护</w:t>
            </w:r>
          </w:p>
        </w:tc>
      </w:tr>
      <w:tr w14:paraId="196BCAFD">
        <w:tblPrEx>
          <w:tblCellMar>
            <w:top w:w="0" w:type="dxa"/>
            <w:left w:w="108" w:type="dxa"/>
            <w:bottom w:w="0" w:type="dxa"/>
            <w:right w:w="108" w:type="dxa"/>
          </w:tblCellMar>
        </w:tblPrEx>
        <w:trPr>
          <w:trHeight w:val="2461" w:hRule="exact"/>
        </w:trPr>
        <w:tc>
          <w:tcPr>
            <w:tcW w:w="116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1A63669">
            <w:pPr>
              <w:spacing w:line="1427" w:lineRule="exact"/>
              <w:ind w:left="337"/>
              <w:rPr>
                <w:rFonts w:hint="eastAsia" w:ascii="宋体" w:hAnsi="宋体" w:eastAsia="宋体" w:cs="宋体"/>
                <w:highlight w:val="none"/>
              </w:rPr>
            </w:pPr>
            <w:r>
              <w:rPr>
                <w:rFonts w:hint="eastAsia" w:ascii="宋体" w:hAnsi="宋体" w:eastAsia="宋体" w:cs="宋体"/>
                <w:spacing w:val="-1"/>
                <w:sz w:val="20"/>
                <w:highlight w:val="none"/>
              </w:rPr>
              <w:t>307-3</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70A1A66">
            <w:pPr>
              <w:spacing w:line="1198" w:lineRule="exact"/>
              <w:ind w:left="282"/>
              <w:rPr>
                <w:rFonts w:hint="eastAsia" w:ascii="宋体" w:hAnsi="宋体" w:eastAsia="宋体" w:cs="宋体"/>
                <w:highlight w:val="none"/>
              </w:rPr>
            </w:pPr>
            <w:r>
              <w:rPr>
                <w:rFonts w:hint="eastAsia" w:ascii="宋体" w:hAnsi="宋体" w:eastAsia="宋体" w:cs="宋体"/>
                <w:spacing w:val="-1"/>
                <w:sz w:val="20"/>
                <w:highlight w:val="none"/>
              </w:rPr>
              <w:t>粗粒式沥青混</w:t>
            </w:r>
          </w:p>
          <w:p w14:paraId="73060E98">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凝土</w:t>
            </w: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4BBB2DA">
            <w:pPr>
              <w:spacing w:line="1336"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208EAB3">
            <w:pPr>
              <w:spacing w:line="788"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依据图纸所示级配</w:t>
            </w:r>
          </w:p>
          <w:p w14:paraId="293573D7">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类型及铺筑压实厚</w:t>
            </w:r>
          </w:p>
          <w:p w14:paraId="66CE4BCF">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度，按照铺筑的顶面</w:t>
            </w:r>
          </w:p>
          <w:p w14:paraId="32D91A5C">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面积以平方米为单位</w:t>
            </w:r>
          </w:p>
          <w:p w14:paraId="13095487">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计量</w:t>
            </w:r>
          </w:p>
        </w:tc>
        <w:tc>
          <w:tcPr>
            <w:tcW w:w="288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FA6C016">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检查和清理下承层；</w:t>
            </w:r>
          </w:p>
          <w:p w14:paraId="425C5E14">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拌和设备安装、调试、拆</w:t>
            </w:r>
          </w:p>
          <w:p w14:paraId="71220FB3">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除；</w:t>
            </w:r>
          </w:p>
          <w:p w14:paraId="2160CE06">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沥青加热、保温、输送，</w:t>
            </w:r>
          </w:p>
          <w:p w14:paraId="2D45CC5F">
            <w:pPr>
              <w:spacing w:line="236" w:lineRule="exact"/>
              <w:ind w:left="108"/>
              <w:rPr>
                <w:rFonts w:hint="eastAsia" w:ascii="宋体" w:hAnsi="宋体" w:eastAsia="宋体" w:cs="宋体"/>
                <w:highlight w:val="none"/>
              </w:rPr>
            </w:pPr>
            <w:r>
              <w:rPr>
                <w:rFonts w:hint="eastAsia" w:ascii="宋体" w:hAnsi="宋体" w:eastAsia="宋体" w:cs="宋体"/>
                <w:sz w:val="20"/>
                <w:highlight w:val="none"/>
              </w:rPr>
              <w:t>配运料，矿料加热烘干，拌和、</w:t>
            </w:r>
          </w:p>
          <w:p w14:paraId="3250F34A">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出料；</w:t>
            </w:r>
          </w:p>
          <w:p w14:paraId="7FF8BE4F">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运输、摊铺、碾压、成型；</w:t>
            </w:r>
          </w:p>
          <w:p w14:paraId="2538ADBC">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接缝处理；</w:t>
            </w:r>
          </w:p>
          <w:p w14:paraId="254FDC2F">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初期养护</w:t>
            </w:r>
          </w:p>
        </w:tc>
      </w:tr>
      <w:tr w14:paraId="75B1BDF0">
        <w:tblPrEx>
          <w:tblCellMar>
            <w:top w:w="0" w:type="dxa"/>
            <w:left w:w="108" w:type="dxa"/>
            <w:bottom w:w="0" w:type="dxa"/>
            <w:right w:w="108" w:type="dxa"/>
          </w:tblCellMar>
        </w:tblPrEx>
        <w:trPr>
          <w:trHeight w:val="2919" w:hRule="exact"/>
        </w:trPr>
        <w:tc>
          <w:tcPr>
            <w:tcW w:w="116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70B7187">
            <w:pPr>
              <w:spacing w:line="1837" w:lineRule="exact"/>
              <w:ind w:left="337"/>
              <w:rPr>
                <w:rFonts w:hint="eastAsia" w:ascii="宋体" w:hAnsi="宋体" w:eastAsia="宋体" w:cs="宋体"/>
                <w:highlight w:val="none"/>
              </w:rPr>
            </w:pPr>
            <w:r>
              <w:rPr>
                <w:rFonts w:hint="eastAsia" w:ascii="宋体" w:hAnsi="宋体" w:eastAsia="宋体" w:cs="宋体"/>
                <w:spacing w:val="-1"/>
                <w:sz w:val="20"/>
                <w:highlight w:val="none"/>
              </w:rPr>
              <w:t>308-1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0F91169">
            <w:pPr>
              <w:spacing w:line="1605" w:lineRule="exact"/>
              <w:ind w:left="282"/>
              <w:rPr>
                <w:rFonts w:hint="eastAsia" w:ascii="宋体" w:hAnsi="宋体" w:eastAsia="宋体" w:cs="宋体"/>
                <w:highlight w:val="none"/>
              </w:rPr>
            </w:pPr>
            <w:r>
              <w:rPr>
                <w:rFonts w:hint="eastAsia" w:ascii="宋体" w:hAnsi="宋体" w:eastAsia="宋体" w:cs="宋体"/>
                <w:spacing w:val="-1"/>
                <w:sz w:val="20"/>
                <w:highlight w:val="none"/>
              </w:rPr>
              <w:t>水泥混凝土路</w:t>
            </w:r>
          </w:p>
          <w:p w14:paraId="2F3D0040">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面</w:t>
            </w: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BBEC08D">
            <w:pPr>
              <w:spacing w:line="1745"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4AEE257">
            <w:pPr>
              <w:spacing w:line="1334"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依据图纸所示厚度</w:t>
            </w:r>
          </w:p>
          <w:p w14:paraId="263221EC">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和混凝土强度等级，</w:t>
            </w:r>
          </w:p>
          <w:p w14:paraId="38C94B61">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按照铺筑体积以立方</w:t>
            </w:r>
          </w:p>
          <w:p w14:paraId="3286F664">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米为单位计量</w:t>
            </w:r>
          </w:p>
        </w:tc>
        <w:tc>
          <w:tcPr>
            <w:tcW w:w="288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756F1DC">
            <w:pPr>
              <w:spacing w:line="240" w:lineRule="exact"/>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检查和清理下承层、洒水</w:t>
            </w:r>
            <w:r>
              <w:rPr>
                <w:rFonts w:hint="eastAsia" w:ascii="宋体" w:hAnsi="宋体" w:eastAsia="宋体" w:cs="宋体"/>
                <w:spacing w:val="-1"/>
                <w:sz w:val="20"/>
                <w:highlight w:val="none"/>
              </w:rPr>
              <w:t>湿润；</w:t>
            </w:r>
          </w:p>
          <w:p w14:paraId="5E6C7923">
            <w:pPr>
              <w:spacing w:line="240" w:lineRule="exact"/>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模板制作、架设、安装、</w:t>
            </w:r>
            <w:r>
              <w:rPr>
                <w:rFonts w:hint="eastAsia" w:ascii="宋体" w:hAnsi="宋体" w:eastAsia="宋体" w:cs="宋体"/>
                <w:spacing w:val="-1"/>
                <w:sz w:val="20"/>
                <w:highlight w:val="none"/>
              </w:rPr>
              <w:t>修理、拆除；</w:t>
            </w:r>
          </w:p>
          <w:p w14:paraId="02CB8377">
            <w:pPr>
              <w:spacing w:line="240" w:lineRule="exact"/>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钢筋截断、弯曲、安设、</w:t>
            </w:r>
            <w:r>
              <w:rPr>
                <w:rFonts w:hint="eastAsia" w:ascii="宋体" w:hAnsi="宋体" w:eastAsia="宋体" w:cs="宋体"/>
                <w:spacing w:val="-1"/>
                <w:sz w:val="20"/>
                <w:highlight w:val="none"/>
              </w:rPr>
              <w:t>支承及固定</w:t>
            </w:r>
          </w:p>
          <w:p w14:paraId="1219A0E4">
            <w:pPr>
              <w:spacing w:line="240" w:lineRule="exact"/>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混凝土拌和物配合比设</w:t>
            </w:r>
            <w:r>
              <w:rPr>
                <w:rFonts w:hint="eastAsia" w:ascii="宋体" w:hAnsi="宋体" w:eastAsia="宋体" w:cs="宋体"/>
                <w:sz w:val="20"/>
                <w:highlight w:val="none"/>
              </w:rPr>
              <w:t>计、配料、拌和、运输、浇筑、</w:t>
            </w:r>
            <w:r>
              <w:rPr>
                <w:rFonts w:hint="eastAsia" w:ascii="宋体" w:hAnsi="宋体" w:eastAsia="宋体" w:cs="宋体"/>
                <w:spacing w:val="-6"/>
                <w:sz w:val="20"/>
                <w:highlight w:val="none"/>
              </w:rPr>
              <w:t>振捣、真空吸水、抹平、压（刻）</w:t>
            </w:r>
            <w:r>
              <w:rPr>
                <w:rFonts w:hint="eastAsia" w:ascii="宋体" w:hAnsi="宋体" w:eastAsia="宋体" w:cs="宋体"/>
                <w:spacing w:val="-1"/>
                <w:sz w:val="20"/>
                <w:highlight w:val="none"/>
              </w:rPr>
              <w:t>纹，养护；</w:t>
            </w:r>
          </w:p>
          <w:p w14:paraId="259C8188">
            <w:pPr>
              <w:spacing w:line="240" w:lineRule="exact"/>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切缝、灌缝；</w:t>
            </w:r>
          </w:p>
          <w:p w14:paraId="0BAD4F5B">
            <w:pPr>
              <w:spacing w:line="240" w:lineRule="exact"/>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初期养护</w:t>
            </w:r>
          </w:p>
        </w:tc>
      </w:tr>
      <w:tr w14:paraId="28D1CB04">
        <w:tblPrEx>
          <w:tblCellMar>
            <w:top w:w="0" w:type="dxa"/>
            <w:left w:w="108" w:type="dxa"/>
            <w:bottom w:w="0" w:type="dxa"/>
            <w:right w:w="108" w:type="dxa"/>
          </w:tblCellMar>
        </w:tblPrEx>
        <w:trPr>
          <w:trHeight w:val="2189" w:hRule="exact"/>
        </w:trPr>
        <w:tc>
          <w:tcPr>
            <w:tcW w:w="1166" w:type="dxa"/>
            <w:tcBorders>
              <w:top w:val="single" w:color="000000" w:sz="6" w:space="0"/>
              <w:left w:val="single" w:color="000000" w:sz="6" w:space="0"/>
              <w:bottom w:val="single" w:color="auto" w:sz="8" w:space="0"/>
              <w:right w:val="single" w:color="auto" w:sz="4" w:space="0"/>
            </w:tcBorders>
            <w:shd w:val="clear" w:color="auto" w:fill="auto"/>
            <w:tcMar>
              <w:left w:w="0" w:type="dxa"/>
              <w:right w:w="0" w:type="dxa"/>
            </w:tcMar>
          </w:tcPr>
          <w:p w14:paraId="4859782A">
            <w:pPr>
              <w:spacing w:line="1292" w:lineRule="exact"/>
              <w:ind w:left="337"/>
              <w:rPr>
                <w:rFonts w:hint="eastAsia" w:ascii="宋体" w:hAnsi="宋体" w:eastAsia="宋体" w:cs="宋体"/>
                <w:highlight w:val="none"/>
              </w:rPr>
            </w:pPr>
            <w:r>
              <w:rPr>
                <w:rFonts w:hint="eastAsia" w:ascii="宋体" w:hAnsi="宋体" w:eastAsia="宋体" w:cs="宋体"/>
                <w:spacing w:val="-1"/>
                <w:sz w:val="20"/>
                <w:highlight w:val="none"/>
              </w:rPr>
              <w:t>309-1</w:t>
            </w:r>
          </w:p>
        </w:tc>
        <w:tc>
          <w:tcPr>
            <w:tcW w:w="1769" w:type="dxa"/>
            <w:tcBorders>
              <w:top w:val="single" w:color="000000" w:sz="6" w:space="0"/>
              <w:left w:val="single" w:color="auto" w:sz="4" w:space="0"/>
              <w:bottom w:val="single" w:color="000000" w:sz="6" w:space="0"/>
              <w:right w:val="single" w:color="000000" w:sz="6" w:space="0"/>
            </w:tcBorders>
            <w:shd w:val="clear" w:color="auto" w:fill="auto"/>
            <w:tcMar>
              <w:left w:w="0" w:type="dxa"/>
              <w:right w:w="0" w:type="dxa"/>
            </w:tcMar>
          </w:tcPr>
          <w:p w14:paraId="6A4E4807">
            <w:pPr>
              <w:spacing w:line="1063" w:lineRule="exact"/>
              <w:ind w:left="282"/>
              <w:rPr>
                <w:rFonts w:hint="eastAsia" w:ascii="宋体" w:hAnsi="宋体" w:eastAsia="宋体" w:cs="宋体"/>
                <w:highlight w:val="none"/>
              </w:rPr>
            </w:pPr>
            <w:r>
              <w:rPr>
                <w:rFonts w:hint="eastAsia" w:ascii="宋体" w:hAnsi="宋体" w:eastAsia="宋体" w:cs="宋体"/>
                <w:spacing w:val="-1"/>
                <w:sz w:val="20"/>
                <w:highlight w:val="none"/>
              </w:rPr>
              <w:t>混凝土预制块</w:t>
            </w:r>
          </w:p>
          <w:p w14:paraId="745E7B2A">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路缘（牙）石</w:t>
            </w: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7B0F60F">
            <w:pPr>
              <w:spacing w:line="1201"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125" w:type="dxa"/>
            <w:tcBorders>
              <w:top w:val="single" w:color="000000" w:sz="6" w:space="0"/>
              <w:left w:val="single" w:color="000000" w:sz="6" w:space="0"/>
              <w:bottom w:val="single" w:color="000000" w:sz="6" w:space="0"/>
              <w:right w:val="single" w:color="auto" w:sz="4" w:space="0"/>
            </w:tcBorders>
            <w:shd w:val="clear" w:color="auto" w:fill="auto"/>
            <w:tcMar>
              <w:left w:w="0" w:type="dxa"/>
              <w:right w:w="0" w:type="dxa"/>
            </w:tcMar>
          </w:tcPr>
          <w:p w14:paraId="4463613D">
            <w:pPr>
              <w:spacing w:line="653"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依据图纸所示断面</w:t>
            </w:r>
          </w:p>
          <w:p w14:paraId="7731DF6D">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尺寸和混凝土强度等</w:t>
            </w:r>
          </w:p>
          <w:p w14:paraId="6761ABB6">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级，按照预制安装体</w:t>
            </w:r>
          </w:p>
          <w:p w14:paraId="3BC113AE">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积以立方米为单位计</w:t>
            </w:r>
          </w:p>
          <w:p w14:paraId="384A8BAD">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量</w:t>
            </w:r>
          </w:p>
        </w:tc>
        <w:tc>
          <w:tcPr>
            <w:tcW w:w="2886" w:type="dxa"/>
            <w:tcBorders>
              <w:top w:val="single" w:color="000000" w:sz="6" w:space="0"/>
              <w:left w:val="single" w:color="auto" w:sz="4" w:space="0"/>
              <w:bottom w:val="single" w:color="000000" w:sz="6" w:space="0"/>
              <w:right w:val="single" w:color="000000" w:sz="6" w:space="0"/>
            </w:tcBorders>
            <w:shd w:val="clear" w:color="auto" w:fill="auto"/>
            <w:tcMar>
              <w:left w:w="0" w:type="dxa"/>
              <w:right w:w="0" w:type="dxa"/>
            </w:tcMar>
          </w:tcPr>
          <w:p w14:paraId="5DBA585E">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预制场地平整，硬化处理；</w:t>
            </w:r>
          </w:p>
          <w:p w14:paraId="24597D85">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路缘（牙）石预制、装运；</w:t>
            </w:r>
          </w:p>
          <w:p w14:paraId="3C004FA0">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路基整修、基槽开挖与回</w:t>
            </w:r>
          </w:p>
          <w:p w14:paraId="61BC1673">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填，废方弃运；</w:t>
            </w:r>
          </w:p>
          <w:p w14:paraId="14879C81">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基槽夯实；</w:t>
            </w:r>
          </w:p>
          <w:p w14:paraId="22892F83">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路缘石铺砌、勾缝；</w:t>
            </w:r>
          </w:p>
          <w:p w14:paraId="6A2F8C90">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路缘（牙）石后背回填夯</w:t>
            </w:r>
          </w:p>
          <w:p w14:paraId="4FEE9B06">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实</w:t>
            </w:r>
          </w:p>
        </w:tc>
      </w:tr>
      <w:tr w14:paraId="174E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166" w:type="dxa"/>
            <w:tcBorders>
              <w:top w:val="single" w:color="auto" w:sz="8" w:space="0"/>
              <w:left w:val="single" w:color="auto" w:sz="8" w:space="0"/>
            </w:tcBorders>
          </w:tcPr>
          <w:p w14:paraId="23547EFE">
            <w:pPr>
              <w:spacing w:line="1292" w:lineRule="exact"/>
              <w:jc w:val="center"/>
              <w:rPr>
                <w:rFonts w:hint="eastAsia" w:ascii="宋体" w:hAnsi="宋体" w:eastAsia="宋体" w:cs="宋体"/>
                <w:highlight w:val="none"/>
              </w:rPr>
            </w:pPr>
            <w:r>
              <w:rPr>
                <w:rFonts w:hint="eastAsia" w:ascii="宋体" w:hAnsi="宋体" w:eastAsia="宋体" w:cs="宋体"/>
                <w:spacing w:val="-1"/>
                <w:sz w:val="20"/>
                <w:highlight w:val="none"/>
              </w:rPr>
              <w:t>310-1</w:t>
            </w:r>
          </w:p>
        </w:tc>
        <w:tc>
          <w:tcPr>
            <w:tcW w:w="1769" w:type="dxa"/>
            <w:tcBorders>
              <w:right w:val="single" w:color="auto" w:sz="8" w:space="0"/>
            </w:tcBorders>
          </w:tcPr>
          <w:p w14:paraId="769C0F58">
            <w:pPr>
              <w:rPr>
                <w:rFonts w:hint="eastAsia" w:ascii="宋体" w:hAnsi="宋体" w:eastAsia="宋体" w:cs="宋体"/>
                <w:highlight w:val="none"/>
              </w:rPr>
            </w:pPr>
          </w:p>
          <w:p w14:paraId="12638FBD">
            <w:pPr>
              <w:rPr>
                <w:rFonts w:hint="eastAsia" w:ascii="宋体" w:hAnsi="宋体" w:eastAsia="宋体" w:cs="宋体"/>
                <w:highlight w:val="none"/>
              </w:rPr>
            </w:pPr>
            <w:r>
              <w:rPr>
                <w:rFonts w:hint="eastAsia" w:ascii="宋体" w:hAnsi="宋体" w:eastAsia="宋体" w:cs="宋体"/>
                <w:highlight w:val="none"/>
              </w:rPr>
              <w:t xml:space="preserve">培路肩 </w:t>
            </w:r>
          </w:p>
        </w:tc>
        <w:tc>
          <w:tcPr>
            <w:tcW w:w="1071" w:type="dxa"/>
            <w:tcBorders>
              <w:left w:val="single" w:color="auto" w:sz="8" w:space="0"/>
              <w:right w:val="single" w:color="auto" w:sz="8" w:space="0"/>
            </w:tcBorders>
          </w:tcPr>
          <w:p w14:paraId="139A5CA0">
            <w:pPr>
              <w:jc w:val="center"/>
              <w:rPr>
                <w:rFonts w:hint="eastAsia" w:ascii="宋体" w:hAnsi="宋体" w:eastAsia="宋体" w:cs="宋体"/>
                <w:position w:val="-4"/>
                <w:sz w:val="20"/>
                <w:highlight w:val="none"/>
              </w:rPr>
            </w:pPr>
          </w:p>
          <w:p w14:paraId="476CE998">
            <w:pPr>
              <w:jc w:val="center"/>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134" w:type="dxa"/>
            <w:gridSpan w:val="2"/>
            <w:tcBorders>
              <w:left w:val="single" w:color="auto" w:sz="8" w:space="0"/>
              <w:right w:val="single" w:color="auto" w:sz="8" w:space="0"/>
            </w:tcBorders>
          </w:tcPr>
          <w:p w14:paraId="48152EE9">
            <w:pPr>
              <w:rPr>
                <w:rFonts w:hint="eastAsia" w:ascii="宋体" w:hAnsi="宋体" w:eastAsia="宋体" w:cs="宋体"/>
                <w:highlight w:val="none"/>
              </w:rPr>
            </w:pPr>
            <w:r>
              <w:rPr>
                <w:rFonts w:hint="eastAsia" w:ascii="宋体" w:hAnsi="宋体" w:eastAsia="宋体" w:cs="宋体"/>
                <w:spacing w:val="-1"/>
                <w:sz w:val="20"/>
                <w:highlight w:val="none"/>
              </w:rPr>
              <w:t>依据图纸所示断面尺寸，按照设计厚度以平方米为单位计量</w:t>
            </w:r>
          </w:p>
        </w:tc>
        <w:tc>
          <w:tcPr>
            <w:tcW w:w="2886" w:type="dxa"/>
            <w:tcBorders>
              <w:left w:val="single" w:color="auto" w:sz="8" w:space="0"/>
              <w:right w:val="single" w:color="auto" w:sz="8" w:space="0"/>
            </w:tcBorders>
          </w:tcPr>
          <w:p w14:paraId="00ECB60A">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路肩材料的装运、</w:t>
            </w:r>
            <w:r>
              <w:rPr>
                <w:rFonts w:hint="eastAsia" w:ascii="宋体" w:hAnsi="宋体" w:eastAsia="宋体" w:cs="宋体"/>
                <w:spacing w:val="-1"/>
                <w:position w:val="1"/>
                <w:sz w:val="20"/>
                <w:highlight w:val="none"/>
                <w:lang w:val="en-US"/>
              </w:rPr>
              <w:t>卸料</w:t>
            </w:r>
            <w:r>
              <w:rPr>
                <w:rFonts w:hint="eastAsia" w:ascii="宋体" w:hAnsi="宋体" w:eastAsia="宋体" w:cs="宋体"/>
                <w:spacing w:val="-1"/>
                <w:position w:val="1"/>
                <w:sz w:val="20"/>
                <w:highlight w:val="none"/>
              </w:rPr>
              <w:t>；</w:t>
            </w:r>
          </w:p>
          <w:p w14:paraId="686B476E">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路肩材料的摊铺、洒水、压实；</w:t>
            </w:r>
          </w:p>
          <w:p w14:paraId="09341F08">
            <w:pPr>
              <w:spacing w:line="239" w:lineRule="exact"/>
              <w:ind w:left="112" w:leftChars="51" w:firstLine="200" w:firstLineChars="100"/>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路肩的整修</w:t>
            </w:r>
            <w:r>
              <w:rPr>
                <w:rFonts w:hint="eastAsia" w:ascii="宋体" w:hAnsi="宋体" w:eastAsia="宋体" w:cs="宋体"/>
                <w:spacing w:val="-1"/>
                <w:sz w:val="20"/>
                <w:highlight w:val="none"/>
              </w:rPr>
              <w:t>；</w:t>
            </w:r>
          </w:p>
          <w:p w14:paraId="195ECD53">
            <w:pPr>
              <w:rPr>
                <w:rFonts w:hint="eastAsia" w:ascii="宋体" w:hAnsi="宋体" w:eastAsia="宋体" w:cs="宋体"/>
                <w:highlight w:val="none"/>
              </w:rPr>
            </w:pPr>
          </w:p>
        </w:tc>
      </w:tr>
    </w:tbl>
    <w:p w14:paraId="24EBEA25">
      <w:pPr>
        <w:spacing w:line="270" w:lineRule="atLeast"/>
        <w:rPr>
          <w:rFonts w:hint="eastAsia" w:ascii="宋体" w:hAnsi="宋体" w:eastAsia="宋体" w:cs="宋体"/>
          <w:sz w:val="21"/>
          <w:highlight w:val="none"/>
        </w:rPr>
        <w:sectPr>
          <w:footerReference r:id="rId16" w:type="default"/>
          <w:pgSz w:w="11910" w:h="16840"/>
          <w:pgMar w:top="1440" w:right="1080" w:bottom="1040" w:left="1420" w:header="882" w:footer="847" w:gutter="0"/>
          <w:cols w:space="720" w:num="1"/>
        </w:sectPr>
      </w:pPr>
    </w:p>
    <w:p w14:paraId="35E7EF1A">
      <w:pPr>
        <w:spacing w:before="139"/>
        <w:ind w:left="86" w:right="196"/>
        <w:jc w:val="center"/>
        <w:rPr>
          <w:rFonts w:hint="eastAsia" w:ascii="宋体" w:hAnsi="宋体" w:eastAsia="宋体" w:cs="宋体"/>
          <w:sz w:val="28"/>
          <w:highlight w:val="none"/>
        </w:rPr>
      </w:pPr>
      <w:r>
        <w:rPr>
          <w:rFonts w:hint="eastAsia" w:ascii="宋体" w:hAnsi="宋体" w:eastAsia="宋体" w:cs="宋体"/>
          <w:sz w:val="28"/>
          <w:highlight w:val="none"/>
        </w:rPr>
        <w:t>第 400 章 桥梁通道</w:t>
      </w:r>
    </w:p>
    <w:p w14:paraId="4467FF60">
      <w:pPr>
        <w:pStyle w:val="10"/>
        <w:spacing w:before="1"/>
        <w:rPr>
          <w:rFonts w:hint="eastAsia" w:ascii="宋体" w:hAnsi="宋体" w:eastAsia="宋体" w:cs="宋体"/>
          <w:sz w:val="18"/>
          <w:highlight w:val="none"/>
        </w:rPr>
      </w:pPr>
    </w:p>
    <w:tbl>
      <w:tblPr>
        <w:tblStyle w:val="24"/>
        <w:tblW w:w="9015" w:type="dxa"/>
        <w:tblInd w:w="0" w:type="dxa"/>
        <w:tblLayout w:type="fixed"/>
        <w:tblCellMar>
          <w:top w:w="0" w:type="dxa"/>
          <w:left w:w="108" w:type="dxa"/>
          <w:bottom w:w="0" w:type="dxa"/>
          <w:right w:w="108" w:type="dxa"/>
        </w:tblCellMar>
      </w:tblPr>
      <w:tblGrid>
        <w:gridCol w:w="1120"/>
        <w:gridCol w:w="1775"/>
        <w:gridCol w:w="1080"/>
        <w:gridCol w:w="2880"/>
        <w:gridCol w:w="2160"/>
      </w:tblGrid>
      <w:tr w14:paraId="0EE6F6F7">
        <w:tblPrEx>
          <w:tblCellMar>
            <w:top w:w="0" w:type="dxa"/>
            <w:left w:w="108" w:type="dxa"/>
            <w:bottom w:w="0" w:type="dxa"/>
            <w:right w:w="108" w:type="dxa"/>
          </w:tblCellMar>
        </w:tblPrEx>
        <w:trPr>
          <w:trHeight w:val="49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40F14D9">
            <w:pPr>
              <w:spacing w:line="393" w:lineRule="exact"/>
              <w:ind w:left="245"/>
              <w:rPr>
                <w:rFonts w:hint="eastAsia" w:ascii="宋体" w:hAnsi="宋体" w:eastAsia="宋体" w:cs="宋体"/>
                <w:highlight w:val="none"/>
              </w:rPr>
            </w:pPr>
            <w:r>
              <w:rPr>
                <w:rFonts w:hint="eastAsia" w:ascii="宋体" w:hAnsi="宋体" w:eastAsia="宋体" w:cs="宋体"/>
                <w:spacing w:val="-1"/>
                <w:sz w:val="20"/>
                <w:highlight w:val="none"/>
              </w:rPr>
              <w:t>子目号</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826F473">
            <w:pPr>
              <w:spacing w:line="393" w:lineRule="exact"/>
              <w:ind w:left="467"/>
              <w:rPr>
                <w:rFonts w:hint="eastAsia" w:ascii="宋体" w:hAnsi="宋体" w:eastAsia="宋体" w:cs="宋体"/>
                <w:highlight w:val="none"/>
              </w:rPr>
            </w:pPr>
            <w:r>
              <w:rPr>
                <w:rFonts w:hint="eastAsia" w:ascii="宋体" w:hAnsi="宋体" w:eastAsia="宋体" w:cs="宋体"/>
                <w:spacing w:val="-1"/>
                <w:sz w:val="20"/>
                <w:highlight w:val="none"/>
              </w:rPr>
              <w:t>子目名称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BB4DA10">
            <w:pPr>
              <w:spacing w:line="393" w:lineRule="exact"/>
              <w:ind w:left="329"/>
              <w:rPr>
                <w:rFonts w:hint="eastAsia" w:ascii="宋体" w:hAnsi="宋体" w:eastAsia="宋体" w:cs="宋体"/>
                <w:highlight w:val="none"/>
              </w:rPr>
            </w:pPr>
            <w:r>
              <w:rPr>
                <w:rFonts w:hint="eastAsia" w:ascii="宋体" w:hAnsi="宋体" w:eastAsia="宋体" w:cs="宋体"/>
                <w:spacing w:val="-1"/>
                <w:sz w:val="20"/>
                <w:highlight w:val="none"/>
              </w:rPr>
              <w:t>单位</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E174837">
            <w:pPr>
              <w:spacing w:line="393" w:lineRule="exact"/>
              <w:ind w:left="914"/>
              <w:rPr>
                <w:rFonts w:hint="eastAsia" w:ascii="宋体" w:hAnsi="宋体" w:eastAsia="宋体" w:cs="宋体"/>
                <w:highlight w:val="none"/>
              </w:rPr>
            </w:pPr>
            <w:r>
              <w:rPr>
                <w:rFonts w:hint="eastAsia" w:ascii="宋体" w:hAnsi="宋体" w:eastAsia="宋体" w:cs="宋体"/>
                <w:spacing w:val="-1"/>
                <w:sz w:val="20"/>
                <w:highlight w:val="none"/>
              </w:rPr>
              <w:t>工程量计量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9572F68">
            <w:pPr>
              <w:spacing w:line="393" w:lineRule="exact"/>
              <w:ind w:left="660"/>
              <w:rPr>
                <w:rFonts w:hint="eastAsia" w:ascii="宋体" w:hAnsi="宋体" w:eastAsia="宋体" w:cs="宋体"/>
                <w:highlight w:val="none"/>
              </w:rPr>
            </w:pPr>
            <w:r>
              <w:rPr>
                <w:rFonts w:hint="eastAsia" w:ascii="宋体" w:hAnsi="宋体" w:eastAsia="宋体" w:cs="宋体"/>
                <w:spacing w:val="-1"/>
                <w:sz w:val="20"/>
                <w:highlight w:val="none"/>
              </w:rPr>
              <w:t>工程内容</w:t>
            </w:r>
          </w:p>
        </w:tc>
      </w:tr>
      <w:tr w14:paraId="00471038">
        <w:tblPrEx>
          <w:tblCellMar>
            <w:top w:w="0" w:type="dxa"/>
            <w:left w:w="108" w:type="dxa"/>
            <w:bottom w:w="0" w:type="dxa"/>
            <w:right w:w="108" w:type="dxa"/>
          </w:tblCellMar>
        </w:tblPrEx>
        <w:trPr>
          <w:trHeight w:val="49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7B5429C">
            <w:pPr>
              <w:spacing w:line="445" w:lineRule="exact"/>
              <w:ind w:left="401"/>
              <w:rPr>
                <w:rFonts w:hint="eastAsia" w:ascii="宋体" w:hAnsi="宋体" w:eastAsia="宋体" w:cs="宋体"/>
                <w:highlight w:val="none"/>
              </w:rPr>
            </w:pPr>
            <w:r>
              <w:rPr>
                <w:rFonts w:hint="eastAsia" w:ascii="宋体" w:hAnsi="宋体" w:eastAsia="宋体" w:cs="宋体"/>
                <w:spacing w:val="-1"/>
                <w:sz w:val="20"/>
                <w:highlight w:val="none"/>
              </w:rPr>
              <w:t>401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F7E8224">
            <w:pPr>
              <w:spacing w:line="393" w:lineRule="exact"/>
              <w:ind w:left="282"/>
              <w:rPr>
                <w:rFonts w:hint="eastAsia" w:ascii="宋体" w:hAnsi="宋体" w:eastAsia="宋体" w:cs="宋体"/>
                <w:highlight w:val="none"/>
              </w:rPr>
            </w:pPr>
            <w:r>
              <w:rPr>
                <w:rFonts w:hint="eastAsia" w:ascii="宋体" w:hAnsi="宋体" w:eastAsia="宋体" w:cs="宋体"/>
                <w:spacing w:val="-1"/>
                <w:sz w:val="20"/>
                <w:highlight w:val="none"/>
              </w:rPr>
              <w:t>基础部分</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08D42FD">
            <w:pPr>
              <w:spacing w:line="393" w:lineRule="exact"/>
              <w:rPr>
                <w:rFonts w:hint="eastAsia" w:ascii="宋体" w:hAnsi="宋体" w:eastAsia="宋体" w:cs="宋体"/>
                <w:highlight w:val="none"/>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FDADAED">
            <w:pPr>
              <w:spacing w:line="393" w:lineRule="exact"/>
              <w:rPr>
                <w:rFonts w:hint="eastAsia" w:ascii="宋体" w:hAnsi="宋体" w:eastAsia="宋体" w:cs="宋体"/>
                <w:highlight w:val="none"/>
              </w:rPr>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CB587C5">
            <w:pPr>
              <w:spacing w:line="393" w:lineRule="exact"/>
              <w:rPr>
                <w:rFonts w:hint="eastAsia" w:ascii="宋体" w:hAnsi="宋体" w:eastAsia="宋体" w:cs="宋体"/>
                <w:highlight w:val="none"/>
              </w:rPr>
            </w:pPr>
          </w:p>
        </w:tc>
      </w:tr>
      <w:tr w14:paraId="62F562B8">
        <w:tblPrEx>
          <w:tblCellMar>
            <w:top w:w="0" w:type="dxa"/>
            <w:left w:w="108" w:type="dxa"/>
            <w:bottom w:w="0" w:type="dxa"/>
            <w:right w:w="108" w:type="dxa"/>
          </w:tblCellMar>
        </w:tblPrEx>
        <w:trPr>
          <w:trHeight w:val="49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19511ED">
            <w:pPr>
              <w:spacing w:line="445" w:lineRule="exact"/>
              <w:ind w:left="315"/>
              <w:rPr>
                <w:rFonts w:hint="eastAsia" w:ascii="宋体" w:hAnsi="宋体" w:eastAsia="宋体" w:cs="宋体"/>
                <w:highlight w:val="none"/>
              </w:rPr>
            </w:pPr>
            <w:r>
              <w:rPr>
                <w:rFonts w:hint="eastAsia" w:ascii="宋体" w:hAnsi="宋体" w:eastAsia="宋体" w:cs="宋体"/>
                <w:spacing w:val="-1"/>
                <w:sz w:val="20"/>
                <w:highlight w:val="none"/>
              </w:rPr>
              <w:t>401-1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C71E2AF">
            <w:pPr>
              <w:spacing w:line="393" w:lineRule="exact"/>
              <w:ind w:left="282"/>
              <w:rPr>
                <w:rFonts w:hint="eastAsia" w:ascii="宋体" w:hAnsi="宋体" w:eastAsia="宋体" w:cs="宋体"/>
                <w:highlight w:val="none"/>
              </w:rPr>
            </w:pPr>
            <w:r>
              <w:rPr>
                <w:rFonts w:hint="eastAsia" w:ascii="宋体" w:hAnsi="宋体" w:eastAsia="宋体" w:cs="宋体"/>
                <w:sz w:val="20"/>
                <w:highlight w:val="none"/>
              </w:rPr>
              <w:t>挖基土（石）方</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1CEE12F">
            <w:pPr>
              <w:spacing w:line="393" w:lineRule="exact"/>
              <w:rPr>
                <w:rFonts w:hint="eastAsia" w:ascii="宋体" w:hAnsi="宋体" w:eastAsia="宋体" w:cs="宋体"/>
                <w:highlight w:val="none"/>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4412D6B">
            <w:pPr>
              <w:spacing w:line="393" w:lineRule="exact"/>
              <w:rPr>
                <w:rFonts w:hint="eastAsia" w:ascii="宋体" w:hAnsi="宋体" w:eastAsia="宋体" w:cs="宋体"/>
                <w:highlight w:val="none"/>
              </w:rPr>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79559D8">
            <w:pPr>
              <w:spacing w:line="393" w:lineRule="exact"/>
              <w:rPr>
                <w:rFonts w:hint="eastAsia" w:ascii="宋体" w:hAnsi="宋体" w:eastAsia="宋体" w:cs="宋体"/>
                <w:highlight w:val="none"/>
              </w:rPr>
            </w:pPr>
          </w:p>
        </w:tc>
      </w:tr>
      <w:tr w14:paraId="3C78A251">
        <w:tblPrEx>
          <w:tblCellMar>
            <w:top w:w="0" w:type="dxa"/>
            <w:left w:w="108" w:type="dxa"/>
            <w:bottom w:w="0" w:type="dxa"/>
            <w:right w:w="108" w:type="dxa"/>
          </w:tblCellMar>
        </w:tblPrEx>
        <w:trPr>
          <w:trHeight w:val="11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C38CB5E">
            <w:pPr>
              <w:spacing w:line="778" w:lineRule="exact"/>
              <w:ind w:left="478"/>
              <w:rPr>
                <w:rFonts w:hint="eastAsia" w:ascii="宋体" w:hAnsi="宋体" w:eastAsia="宋体" w:cs="宋体"/>
                <w:highlight w:val="none"/>
              </w:rPr>
            </w:pPr>
            <w:r>
              <w:rPr>
                <w:rFonts w:hint="eastAsia" w:ascii="宋体" w:hAnsi="宋体" w:eastAsia="宋体" w:cs="宋体"/>
                <w:spacing w:val="-1"/>
                <w:sz w:val="20"/>
                <w:highlight w:val="none"/>
              </w:rPr>
              <w:t>-a</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ACA0AB1">
            <w:pPr>
              <w:spacing w:line="729" w:lineRule="exact"/>
              <w:ind w:left="282"/>
              <w:rPr>
                <w:rFonts w:hint="eastAsia" w:ascii="宋体" w:hAnsi="宋体" w:eastAsia="宋体" w:cs="宋体"/>
                <w:highlight w:val="none"/>
              </w:rPr>
            </w:pPr>
            <w:r>
              <w:rPr>
                <w:rFonts w:hint="eastAsia" w:ascii="宋体" w:hAnsi="宋体" w:eastAsia="宋体" w:cs="宋体"/>
                <w:spacing w:val="-1"/>
                <w:sz w:val="20"/>
                <w:highlight w:val="none"/>
              </w:rPr>
              <w:t>干处挖土方</w:t>
            </w:r>
          </w:p>
        </w:tc>
        <w:tc>
          <w:tcPr>
            <w:tcW w:w="10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44AB282">
            <w:pPr>
              <w:spacing w:line="2427" w:lineRule="exact"/>
              <w:ind w:left="425"/>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8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E4D80D2">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根据图示，取用底、顶面</w:t>
            </w:r>
          </w:p>
          <w:p w14:paraId="03D2EE00">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间平均高度的棱柱体体积，分</w:t>
            </w:r>
          </w:p>
          <w:p w14:paraId="6A38BD8D">
            <w:pPr>
              <w:spacing w:line="271" w:lineRule="exact"/>
              <w:ind w:left="108"/>
              <w:rPr>
                <w:rFonts w:hint="eastAsia" w:ascii="宋体" w:hAnsi="宋体" w:eastAsia="宋体" w:cs="宋体"/>
                <w:highlight w:val="none"/>
              </w:rPr>
            </w:pPr>
            <w:r>
              <w:rPr>
                <w:rFonts w:hint="eastAsia" w:ascii="宋体" w:hAnsi="宋体" w:eastAsia="宋体" w:cs="宋体"/>
                <w:sz w:val="20"/>
                <w:highlight w:val="none"/>
              </w:rPr>
              <w:t>干处、水下及土、石不同类型，</w:t>
            </w:r>
          </w:p>
          <w:p w14:paraId="3B4CA90F">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以立方米为单位计量；</w:t>
            </w:r>
          </w:p>
          <w:p w14:paraId="696B55BE">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在地下水位以上开挖的为</w:t>
            </w:r>
          </w:p>
          <w:p w14:paraId="5C968DF3">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干处挖方，在地下水位以下开</w:t>
            </w:r>
          </w:p>
          <w:p w14:paraId="5A4A131E">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挖的为水下挖方；</w:t>
            </w:r>
          </w:p>
          <w:p w14:paraId="5F897944">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基坑底面、顶面及侧面的</w:t>
            </w:r>
          </w:p>
          <w:p w14:paraId="49FF8FB2">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确定应符合下列规定：</w:t>
            </w:r>
          </w:p>
          <w:p w14:paraId="1F1C8EF7">
            <w:pPr>
              <w:spacing w:line="308" w:lineRule="exact"/>
              <w:ind w:left="281"/>
              <w:rPr>
                <w:rFonts w:hint="eastAsia" w:ascii="宋体" w:hAnsi="宋体" w:eastAsia="宋体" w:cs="宋体"/>
                <w:highlight w:val="none"/>
              </w:rPr>
            </w:pPr>
            <w:r>
              <w:rPr>
                <w:rFonts w:hint="eastAsia" w:ascii="宋体" w:hAnsi="宋体" w:eastAsia="宋体" w:cs="宋体"/>
                <w:spacing w:val="-1"/>
                <w:sz w:val="20"/>
                <w:highlight w:val="none"/>
              </w:rPr>
              <w:t>a.</w:t>
            </w:r>
            <w:r>
              <w:rPr>
                <w:rFonts w:hint="eastAsia" w:ascii="宋体" w:hAnsi="宋体" w:eastAsia="宋体" w:cs="宋体"/>
                <w:spacing w:val="-1"/>
                <w:position w:val="1"/>
                <w:sz w:val="20"/>
                <w:highlight w:val="none"/>
              </w:rPr>
              <w:t>基坑开挖底面：按图纸所</w:t>
            </w:r>
          </w:p>
          <w:p w14:paraId="0601C3DA">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示的基底高程线计算。</w:t>
            </w:r>
          </w:p>
          <w:p w14:paraId="51374568">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b.</w:t>
            </w:r>
            <w:r>
              <w:rPr>
                <w:rFonts w:hint="eastAsia" w:ascii="宋体" w:hAnsi="宋体" w:eastAsia="宋体" w:cs="宋体"/>
                <w:spacing w:val="-1"/>
                <w:position w:val="1"/>
                <w:sz w:val="20"/>
                <w:highlight w:val="none"/>
              </w:rPr>
              <w:t>基坑开挖顶面：按设计图</w:t>
            </w:r>
          </w:p>
          <w:p w14:paraId="004FE857">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纸横断面上所标示的原地面</w:t>
            </w:r>
          </w:p>
          <w:p w14:paraId="62BDB7BC">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线计算。</w:t>
            </w:r>
          </w:p>
          <w:p w14:paraId="656F2AC5">
            <w:pPr>
              <w:spacing w:line="308" w:lineRule="exact"/>
              <w:ind w:left="281"/>
              <w:rPr>
                <w:rFonts w:hint="eastAsia" w:ascii="宋体" w:hAnsi="宋体" w:eastAsia="宋体" w:cs="宋体"/>
                <w:highlight w:val="none"/>
              </w:rPr>
            </w:pPr>
            <w:r>
              <w:rPr>
                <w:rFonts w:hint="eastAsia" w:ascii="宋体" w:hAnsi="宋体" w:eastAsia="宋体" w:cs="宋体"/>
                <w:spacing w:val="-1"/>
                <w:sz w:val="20"/>
                <w:highlight w:val="none"/>
              </w:rPr>
              <w:t>c.</w:t>
            </w:r>
            <w:r>
              <w:rPr>
                <w:rFonts w:hint="eastAsia" w:ascii="宋体" w:hAnsi="宋体" w:eastAsia="宋体" w:cs="宋体"/>
                <w:spacing w:val="-1"/>
                <w:position w:val="1"/>
                <w:sz w:val="20"/>
                <w:highlight w:val="none"/>
              </w:rPr>
              <w:t>基坑开挖侧面：按顶面到</w:t>
            </w:r>
          </w:p>
          <w:p w14:paraId="3F3840A7">
            <w:pPr>
              <w:spacing w:line="271" w:lineRule="exact"/>
              <w:ind w:left="108"/>
              <w:rPr>
                <w:rFonts w:hint="eastAsia" w:ascii="宋体" w:hAnsi="宋体" w:eastAsia="宋体" w:cs="宋体"/>
                <w:highlight w:val="none"/>
              </w:rPr>
            </w:pPr>
            <w:r>
              <w:rPr>
                <w:rFonts w:hint="eastAsia" w:ascii="宋体" w:hAnsi="宋体" w:eastAsia="宋体" w:cs="宋体"/>
                <w:spacing w:val="-1"/>
                <w:position w:val="1"/>
                <w:sz w:val="20"/>
                <w:highlight w:val="none"/>
              </w:rPr>
              <w:t>底面，以超出基底周边</w:t>
            </w:r>
            <w:r>
              <w:rPr>
                <w:rFonts w:hint="eastAsia" w:ascii="宋体" w:hAnsi="宋体" w:eastAsia="宋体" w:cs="宋体"/>
                <w:sz w:val="20"/>
                <w:highlight w:val="none"/>
              </w:rPr>
              <w:t> 0.5m</w:t>
            </w:r>
          </w:p>
          <w:p w14:paraId="3E0F9036">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的竖直面为界</w:t>
            </w:r>
          </w:p>
        </w:tc>
        <w:tc>
          <w:tcPr>
            <w:tcW w:w="216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EBB87F5">
            <w:pPr>
              <w:spacing w:line="454"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场地清理；</w:t>
            </w:r>
          </w:p>
          <w:p w14:paraId="1D20F46B">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围堰、排水；</w:t>
            </w:r>
          </w:p>
          <w:p w14:paraId="52B1D68E">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基坑开挖；</w:t>
            </w:r>
          </w:p>
          <w:p w14:paraId="1E7D0D6F">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基坑支护；</w:t>
            </w:r>
          </w:p>
          <w:p w14:paraId="02C14530">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基坑检查、修整；</w:t>
            </w:r>
          </w:p>
          <w:p w14:paraId="3AB6F6A7">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基坑回填、压实；</w:t>
            </w:r>
          </w:p>
          <w:p w14:paraId="0F9EF4D9">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弃方清运</w:t>
            </w:r>
          </w:p>
        </w:tc>
      </w:tr>
      <w:tr w14:paraId="2F4D0C50">
        <w:tblPrEx>
          <w:tblCellMar>
            <w:top w:w="0" w:type="dxa"/>
            <w:left w:w="108" w:type="dxa"/>
            <w:bottom w:w="0" w:type="dxa"/>
            <w:right w:w="108" w:type="dxa"/>
          </w:tblCellMar>
        </w:tblPrEx>
        <w:trPr>
          <w:trHeight w:val="1105"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9583505">
            <w:pPr>
              <w:spacing w:line="750" w:lineRule="exact"/>
              <w:ind w:left="473"/>
              <w:rPr>
                <w:rFonts w:hint="eastAsia" w:ascii="宋体" w:hAnsi="宋体" w:eastAsia="宋体" w:cs="宋体"/>
                <w:highlight w:val="none"/>
              </w:rPr>
            </w:pPr>
            <w:r>
              <w:rPr>
                <w:rFonts w:hint="eastAsia" w:ascii="宋体" w:hAnsi="宋体" w:eastAsia="宋体" w:cs="宋体"/>
                <w:spacing w:val="-1"/>
                <w:sz w:val="20"/>
                <w:highlight w:val="none"/>
              </w:rPr>
              <w:t>-b</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4885C3C">
            <w:pPr>
              <w:spacing w:line="701" w:lineRule="exact"/>
              <w:ind w:left="282"/>
              <w:rPr>
                <w:rFonts w:hint="eastAsia" w:ascii="宋体" w:hAnsi="宋体" w:eastAsia="宋体" w:cs="宋体"/>
                <w:highlight w:val="none"/>
              </w:rPr>
            </w:pPr>
            <w:r>
              <w:rPr>
                <w:rFonts w:hint="eastAsia" w:ascii="宋体" w:hAnsi="宋体" w:eastAsia="宋体" w:cs="宋体"/>
                <w:spacing w:val="-1"/>
                <w:sz w:val="20"/>
                <w:highlight w:val="none"/>
              </w:rPr>
              <w:t>水下挖土方</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C6F2AFA">
            <w:pPr>
              <w:spacing w:line="701" w:lineRule="exact"/>
              <w:rPr>
                <w:rFonts w:hint="eastAsia" w:ascii="宋体" w:hAnsi="宋体" w:eastAsia="宋体" w:cs="宋体"/>
                <w:highlight w:val="none"/>
              </w:rPr>
            </w:pPr>
          </w:p>
        </w:tc>
        <w:tc>
          <w:tcPr>
            <w:tcW w:w="28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DDED78C">
            <w:pPr>
              <w:spacing w:line="701" w:lineRule="exact"/>
              <w:rPr>
                <w:rFonts w:hint="eastAsia" w:ascii="宋体" w:hAnsi="宋体" w:eastAsia="宋体" w:cs="宋体"/>
                <w:highlight w:val="none"/>
              </w:rPr>
            </w:pPr>
          </w:p>
        </w:tc>
        <w:tc>
          <w:tcPr>
            <w:tcW w:w="216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EF01FBD">
            <w:pPr>
              <w:spacing w:line="701" w:lineRule="exact"/>
              <w:rPr>
                <w:rFonts w:hint="eastAsia" w:ascii="宋体" w:hAnsi="宋体" w:eastAsia="宋体" w:cs="宋体"/>
                <w:highlight w:val="none"/>
              </w:rPr>
            </w:pPr>
          </w:p>
        </w:tc>
      </w:tr>
      <w:tr w14:paraId="0C2CABF6">
        <w:tblPrEx>
          <w:tblCellMar>
            <w:top w:w="0" w:type="dxa"/>
            <w:left w:w="108" w:type="dxa"/>
            <w:bottom w:w="0" w:type="dxa"/>
            <w:right w:w="108" w:type="dxa"/>
          </w:tblCellMar>
        </w:tblPrEx>
        <w:trPr>
          <w:trHeight w:val="114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182F819">
            <w:pPr>
              <w:spacing w:line="773" w:lineRule="exact"/>
              <w:ind w:left="478"/>
              <w:rPr>
                <w:rFonts w:hint="eastAsia" w:ascii="宋体" w:hAnsi="宋体" w:eastAsia="宋体" w:cs="宋体"/>
                <w:highlight w:val="none"/>
              </w:rPr>
            </w:pPr>
            <w:r>
              <w:rPr>
                <w:rFonts w:hint="eastAsia" w:ascii="宋体" w:hAnsi="宋体" w:eastAsia="宋体" w:cs="宋体"/>
                <w:spacing w:val="-1"/>
                <w:sz w:val="20"/>
                <w:highlight w:val="none"/>
              </w:rPr>
              <w:t>-c</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1693735">
            <w:pPr>
              <w:spacing w:line="722" w:lineRule="exact"/>
              <w:ind w:left="282"/>
              <w:rPr>
                <w:rFonts w:hint="eastAsia" w:ascii="宋体" w:hAnsi="宋体" w:eastAsia="宋体" w:cs="宋体"/>
                <w:highlight w:val="none"/>
              </w:rPr>
            </w:pPr>
            <w:r>
              <w:rPr>
                <w:rFonts w:hint="eastAsia" w:ascii="宋体" w:hAnsi="宋体" w:eastAsia="宋体" w:cs="宋体"/>
                <w:spacing w:val="-1"/>
                <w:sz w:val="20"/>
                <w:highlight w:val="none"/>
              </w:rPr>
              <w:t>干处挖石方</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EEA0C9F">
            <w:pPr>
              <w:spacing w:line="722" w:lineRule="exact"/>
              <w:rPr>
                <w:rFonts w:hint="eastAsia" w:ascii="宋体" w:hAnsi="宋体" w:eastAsia="宋体" w:cs="宋体"/>
                <w:highlight w:val="none"/>
              </w:rPr>
            </w:pPr>
          </w:p>
        </w:tc>
        <w:tc>
          <w:tcPr>
            <w:tcW w:w="28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53DB84D">
            <w:pPr>
              <w:spacing w:line="722" w:lineRule="exact"/>
              <w:rPr>
                <w:rFonts w:hint="eastAsia" w:ascii="宋体" w:hAnsi="宋体" w:eastAsia="宋体" w:cs="宋体"/>
                <w:highlight w:val="none"/>
              </w:rPr>
            </w:pPr>
          </w:p>
        </w:tc>
        <w:tc>
          <w:tcPr>
            <w:tcW w:w="216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68EE985">
            <w:pPr>
              <w:spacing w:line="50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场地清理；</w:t>
            </w:r>
          </w:p>
          <w:p w14:paraId="63883894">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围堰、排水；</w:t>
            </w:r>
          </w:p>
          <w:p w14:paraId="2FB1C3D6">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钻爆、出渣；</w:t>
            </w:r>
          </w:p>
          <w:p w14:paraId="37175B0F">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基坑支护；</w:t>
            </w:r>
          </w:p>
          <w:p w14:paraId="4DA198E0">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基坑检查、修整；</w:t>
            </w:r>
          </w:p>
          <w:p w14:paraId="1A0EB77F">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基坑回填、压实；</w:t>
            </w:r>
          </w:p>
          <w:p w14:paraId="3F20EB1E">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弃方清运</w:t>
            </w:r>
          </w:p>
        </w:tc>
      </w:tr>
      <w:tr w14:paraId="6944C877">
        <w:tblPrEx>
          <w:tblCellMar>
            <w:top w:w="0" w:type="dxa"/>
            <w:left w:w="108" w:type="dxa"/>
            <w:bottom w:w="0" w:type="dxa"/>
            <w:right w:w="108" w:type="dxa"/>
          </w:tblCellMar>
        </w:tblPrEx>
        <w:trPr>
          <w:trHeight w:val="1225"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8496D3B">
            <w:pPr>
              <w:spacing w:line="810" w:lineRule="exact"/>
              <w:ind w:left="473"/>
              <w:rPr>
                <w:rFonts w:hint="eastAsia" w:ascii="宋体" w:hAnsi="宋体" w:eastAsia="宋体" w:cs="宋体"/>
                <w:highlight w:val="none"/>
              </w:rPr>
            </w:pPr>
            <w:r>
              <w:rPr>
                <w:rFonts w:hint="eastAsia" w:ascii="宋体" w:hAnsi="宋体" w:eastAsia="宋体" w:cs="宋体"/>
                <w:spacing w:val="-1"/>
                <w:sz w:val="20"/>
                <w:highlight w:val="none"/>
              </w:rPr>
              <w:t>-d</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D3688D9">
            <w:pPr>
              <w:spacing w:line="761" w:lineRule="exact"/>
              <w:ind w:left="282"/>
              <w:rPr>
                <w:rFonts w:hint="eastAsia" w:ascii="宋体" w:hAnsi="宋体" w:eastAsia="宋体" w:cs="宋体"/>
                <w:highlight w:val="none"/>
              </w:rPr>
            </w:pPr>
            <w:r>
              <w:rPr>
                <w:rFonts w:hint="eastAsia" w:ascii="宋体" w:hAnsi="宋体" w:eastAsia="宋体" w:cs="宋体"/>
                <w:spacing w:val="-1"/>
                <w:sz w:val="20"/>
                <w:highlight w:val="none"/>
              </w:rPr>
              <w:t>水下挖石方</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FFDB289">
            <w:pPr>
              <w:spacing w:line="761" w:lineRule="exact"/>
              <w:rPr>
                <w:rFonts w:hint="eastAsia" w:ascii="宋体" w:hAnsi="宋体" w:eastAsia="宋体" w:cs="宋体"/>
                <w:highlight w:val="none"/>
              </w:rPr>
            </w:pPr>
          </w:p>
        </w:tc>
        <w:tc>
          <w:tcPr>
            <w:tcW w:w="28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01A6934">
            <w:pPr>
              <w:spacing w:line="761" w:lineRule="exact"/>
              <w:rPr>
                <w:rFonts w:hint="eastAsia" w:ascii="宋体" w:hAnsi="宋体" w:eastAsia="宋体" w:cs="宋体"/>
                <w:highlight w:val="none"/>
              </w:rPr>
            </w:pPr>
          </w:p>
        </w:tc>
        <w:tc>
          <w:tcPr>
            <w:tcW w:w="216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218F6D8">
            <w:pPr>
              <w:spacing w:line="761" w:lineRule="exact"/>
              <w:rPr>
                <w:rFonts w:hint="eastAsia" w:ascii="宋体" w:hAnsi="宋体" w:eastAsia="宋体" w:cs="宋体"/>
                <w:highlight w:val="none"/>
              </w:rPr>
            </w:pPr>
          </w:p>
        </w:tc>
      </w:tr>
      <w:tr w14:paraId="48A3DDE7">
        <w:tblPrEx>
          <w:tblCellMar>
            <w:top w:w="0" w:type="dxa"/>
            <w:left w:w="108" w:type="dxa"/>
            <w:bottom w:w="0" w:type="dxa"/>
            <w:right w:w="108" w:type="dxa"/>
          </w:tblCellMar>
        </w:tblPrEx>
        <w:trPr>
          <w:trHeight w:val="416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3593DFB">
            <w:pPr>
              <w:spacing w:line="2244" w:lineRule="exact"/>
              <w:ind w:left="315"/>
              <w:rPr>
                <w:rFonts w:hint="eastAsia" w:ascii="宋体" w:hAnsi="宋体" w:eastAsia="宋体" w:cs="宋体"/>
                <w:highlight w:val="none"/>
              </w:rPr>
            </w:pPr>
            <w:r>
              <w:rPr>
                <w:rFonts w:hint="eastAsia" w:ascii="宋体" w:hAnsi="宋体" w:eastAsia="宋体" w:cs="宋体"/>
                <w:spacing w:val="-1"/>
                <w:sz w:val="20"/>
                <w:highlight w:val="none"/>
              </w:rPr>
              <w:t>401-2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AB44F37">
            <w:pPr>
              <w:spacing w:line="1475" w:lineRule="exact"/>
              <w:ind w:left="282"/>
              <w:rPr>
                <w:rFonts w:hint="eastAsia" w:ascii="宋体" w:hAnsi="宋体" w:eastAsia="宋体" w:cs="宋体"/>
                <w:highlight w:val="none"/>
              </w:rPr>
            </w:pPr>
            <w:r>
              <w:rPr>
                <w:rFonts w:hint="eastAsia" w:ascii="宋体" w:hAnsi="宋体" w:eastAsia="宋体" w:cs="宋体"/>
                <w:sz w:val="20"/>
                <w:highlight w:val="none"/>
              </w:rPr>
              <w:t>混凝土基础（包</w:t>
            </w:r>
          </w:p>
          <w:p w14:paraId="08A81A8A">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括支撑梁、桩基</w:t>
            </w:r>
          </w:p>
          <w:p w14:paraId="53C9C300">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承台、桩系梁，</w:t>
            </w:r>
          </w:p>
          <w:p w14:paraId="180001D6">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但不包括桩基</w:t>
            </w:r>
          </w:p>
          <w:p w14:paraId="76CAB0D9">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础）</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0CC3016">
            <w:pPr>
              <w:spacing w:line="2152" w:lineRule="exact"/>
              <w:ind w:left="425"/>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3FFF99B">
            <w:pPr>
              <w:spacing w:line="1878" w:lineRule="exact"/>
              <w:ind w:left="281"/>
              <w:rPr>
                <w:rFonts w:hint="eastAsia" w:ascii="宋体" w:hAnsi="宋体" w:eastAsia="宋体" w:cs="宋体"/>
                <w:highlight w:val="none"/>
              </w:rPr>
            </w:pPr>
            <w:r>
              <w:rPr>
                <w:rFonts w:hint="eastAsia" w:ascii="宋体" w:hAnsi="宋体" w:eastAsia="宋体" w:cs="宋体"/>
                <w:spacing w:val="-1"/>
                <w:sz w:val="20"/>
                <w:highlight w:val="none"/>
              </w:rPr>
              <w:t>依据图纸所示体积，分不同</w:t>
            </w:r>
          </w:p>
          <w:p w14:paraId="5B0BA139">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强度等级以立方米为单位计</w:t>
            </w:r>
          </w:p>
          <w:p w14:paraId="4B135B49">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27EBAEF">
            <w:pPr>
              <w:spacing w:line="278"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场地清理；</w:t>
            </w:r>
          </w:p>
          <w:p w14:paraId="31B4CD44">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搭拆作业平台；</w:t>
            </w:r>
          </w:p>
          <w:p w14:paraId="64EC005F">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铺设垫层；</w:t>
            </w:r>
          </w:p>
          <w:p w14:paraId="2FCAB16E">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安拆套箱或模板；</w:t>
            </w:r>
          </w:p>
          <w:p w14:paraId="5934A205">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安设预埋件；</w:t>
            </w:r>
          </w:p>
          <w:p w14:paraId="0C82EB4A">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position w:val="1"/>
                <w:sz w:val="20"/>
                <w:highlight w:val="none"/>
              </w:rPr>
              <w:t>混凝土配运料、拌</w:t>
            </w:r>
          </w:p>
          <w:p w14:paraId="6E7D7952">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和、运输、浇筑、振</w:t>
            </w:r>
          </w:p>
          <w:p w14:paraId="16A69E0E">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捣、养护、试验测试；</w:t>
            </w:r>
          </w:p>
          <w:p w14:paraId="112F92AF">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position w:val="1"/>
                <w:sz w:val="20"/>
                <w:highlight w:val="none"/>
              </w:rPr>
              <w:t>施工缝、沉降缝设</w:t>
            </w:r>
          </w:p>
          <w:p w14:paraId="6010363D">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置处理；</w:t>
            </w:r>
          </w:p>
          <w:p w14:paraId="566AA825">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混凝土的冷却管</w:t>
            </w:r>
          </w:p>
          <w:p w14:paraId="68CD964B">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制作安装，通水、降</w:t>
            </w:r>
          </w:p>
          <w:p w14:paraId="30FC9F45">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温；</w:t>
            </w:r>
          </w:p>
          <w:p w14:paraId="7BC2DE33">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8.</w:t>
            </w:r>
            <w:r>
              <w:rPr>
                <w:rFonts w:hint="eastAsia" w:ascii="宋体" w:hAnsi="宋体" w:eastAsia="宋体" w:cs="宋体"/>
                <w:spacing w:val="-6"/>
                <w:position w:val="1"/>
                <w:sz w:val="20"/>
                <w:highlight w:val="none"/>
              </w:rPr>
              <w:t>排水、防水、防冻、</w:t>
            </w:r>
            <w:r>
              <w:rPr>
                <w:rFonts w:hint="eastAsia" w:ascii="宋体" w:hAnsi="宋体" w:eastAsia="宋体" w:cs="宋体"/>
                <w:spacing w:val="-1"/>
                <w:sz w:val="20"/>
                <w:highlight w:val="none"/>
              </w:rPr>
              <w:t>防腐措施</w:t>
            </w:r>
          </w:p>
        </w:tc>
      </w:tr>
      <w:tr w14:paraId="673FDFC1">
        <w:tblPrEx>
          <w:tblCellMar>
            <w:top w:w="0" w:type="dxa"/>
            <w:left w:w="108" w:type="dxa"/>
            <w:bottom w:w="0" w:type="dxa"/>
            <w:right w:w="108" w:type="dxa"/>
          </w:tblCellMar>
        </w:tblPrEx>
        <w:trPr>
          <w:trHeight w:val="276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153F9A1">
            <w:pPr>
              <w:spacing w:line="1564" w:lineRule="exact"/>
              <w:ind w:left="315"/>
              <w:rPr>
                <w:rFonts w:hint="eastAsia" w:ascii="宋体" w:hAnsi="宋体" w:eastAsia="宋体" w:cs="宋体"/>
                <w:highlight w:val="none"/>
              </w:rPr>
            </w:pPr>
            <w:r>
              <w:rPr>
                <w:rFonts w:hint="eastAsia" w:ascii="宋体" w:hAnsi="宋体" w:eastAsia="宋体" w:cs="宋体"/>
                <w:spacing w:val="-1"/>
                <w:sz w:val="20"/>
                <w:highlight w:val="none"/>
              </w:rPr>
              <w:t>401-3</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E44B8BD">
            <w:pPr>
              <w:spacing w:line="1515" w:lineRule="exact"/>
              <w:ind w:left="282"/>
              <w:rPr>
                <w:rFonts w:hint="eastAsia" w:ascii="宋体" w:hAnsi="宋体" w:eastAsia="宋体" w:cs="宋体"/>
                <w:highlight w:val="none"/>
              </w:rPr>
            </w:pPr>
            <w:r>
              <w:rPr>
                <w:rFonts w:hint="eastAsia" w:ascii="宋体" w:hAnsi="宋体" w:eastAsia="宋体" w:cs="宋体"/>
                <w:spacing w:val="-1"/>
                <w:sz w:val="20"/>
                <w:highlight w:val="none"/>
              </w:rPr>
              <w:t>桩基础</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67AC5CA">
            <w:pPr>
              <w:spacing w:line="1564" w:lineRule="exact"/>
              <w:ind w:left="458"/>
              <w:rPr>
                <w:rFonts w:hint="eastAsia" w:ascii="宋体" w:hAnsi="宋体" w:eastAsia="宋体" w:cs="宋体"/>
                <w:highlight w:val="none"/>
              </w:rPr>
            </w:pPr>
            <w:r>
              <w:rPr>
                <w:rFonts w:hint="eastAsia" w:ascii="宋体" w:hAnsi="宋体" w:eastAsia="宋体" w:cs="宋体"/>
                <w:sz w:val="20"/>
                <w:highlight w:val="none"/>
              </w:rPr>
              <w:t>m</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C126A26">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依据图纸所示桩长及混凝</w:t>
            </w:r>
          </w:p>
          <w:p w14:paraId="3E6859AB">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土强度等级，按照不同桩径的</w:t>
            </w:r>
          </w:p>
          <w:p w14:paraId="1EA556E5">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桩长以米为单位计量；</w:t>
            </w:r>
          </w:p>
          <w:p w14:paraId="49C7780E">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施工图设计水深小于</w:t>
            </w:r>
            <w:r>
              <w:rPr>
                <w:rFonts w:hint="eastAsia" w:ascii="宋体" w:hAnsi="宋体" w:eastAsia="宋体" w:cs="宋体"/>
                <w:sz w:val="20"/>
                <w:highlight w:val="none"/>
              </w:rPr>
              <w:t> </w:t>
            </w:r>
            <w:r>
              <w:rPr>
                <w:rFonts w:hint="eastAsia" w:ascii="宋体" w:hAnsi="宋体" w:eastAsia="宋体" w:cs="宋体"/>
                <w:spacing w:val="-1"/>
                <w:sz w:val="20"/>
                <w:highlight w:val="none"/>
              </w:rPr>
              <w:t>2</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米</w:t>
            </w:r>
          </w:p>
          <w:p w14:paraId="42D7F349">
            <w:pPr>
              <w:spacing w:line="274" w:lineRule="exact"/>
              <w:ind w:left="108"/>
              <w:rPr>
                <w:rFonts w:hint="eastAsia" w:ascii="宋体" w:hAnsi="宋体" w:eastAsia="宋体" w:cs="宋体"/>
                <w:highlight w:val="none"/>
              </w:rPr>
            </w:pPr>
            <w:r>
              <w:rPr>
                <w:rFonts w:hint="eastAsia" w:ascii="宋体" w:hAnsi="宋体" w:eastAsia="宋体" w:cs="宋体"/>
                <w:spacing w:val="-1"/>
                <w:position w:val="1"/>
                <w:sz w:val="20"/>
                <w:highlight w:val="none"/>
              </w:rPr>
              <w:t>（含</w:t>
            </w:r>
            <w:r>
              <w:rPr>
                <w:rFonts w:hint="eastAsia" w:ascii="宋体" w:hAnsi="宋体" w:eastAsia="宋体" w:cs="宋体"/>
                <w:sz w:val="20"/>
                <w:highlight w:val="none"/>
              </w:rPr>
              <w:t> </w:t>
            </w:r>
            <w:r>
              <w:rPr>
                <w:rFonts w:hint="eastAsia" w:ascii="宋体" w:hAnsi="宋体" w:eastAsia="宋体" w:cs="宋体"/>
                <w:spacing w:val="-1"/>
                <w:sz w:val="20"/>
                <w:highlight w:val="none"/>
              </w:rPr>
              <w:t>2</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米）的为陆上钻孔灌注</w:t>
            </w:r>
          </w:p>
          <w:p w14:paraId="4910CF00">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桩；</w:t>
            </w:r>
          </w:p>
          <w:p w14:paraId="7BCBC7AE">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桩长为桩底高程至承台底</w:t>
            </w:r>
          </w:p>
          <w:p w14:paraId="2AE8D29D">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面或系梁底面。对于与桩连为</w:t>
            </w:r>
          </w:p>
          <w:p w14:paraId="14D06D9E">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一体的柱式墩台，如无承台或</w:t>
            </w:r>
          </w:p>
          <w:p w14:paraId="3EC36722">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系梁时，则以桩位处原始地面</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6078FC5">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安设护筒及设置</w:t>
            </w:r>
          </w:p>
          <w:p w14:paraId="546DCEFD">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钻孔平台；</w:t>
            </w:r>
          </w:p>
          <w:p w14:paraId="5BB7B6EC">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钻机安拆，就位；</w:t>
            </w:r>
          </w:p>
          <w:p w14:paraId="53742927">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position w:val="1"/>
                <w:sz w:val="20"/>
                <w:highlight w:val="none"/>
              </w:rPr>
              <w:t>钻孔、成孔、成孔</w:t>
            </w:r>
          </w:p>
          <w:p w14:paraId="5C5204E9">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检查；</w:t>
            </w:r>
          </w:p>
          <w:p w14:paraId="10CF09E2">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安装声测管；</w:t>
            </w:r>
          </w:p>
          <w:p w14:paraId="24EF33B2">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混凝土制拌、运</w:t>
            </w:r>
          </w:p>
          <w:p w14:paraId="54E518CE">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输、浇筑；</w:t>
            </w:r>
          </w:p>
          <w:p w14:paraId="5067FBA8">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破桩头；</w:t>
            </w:r>
          </w:p>
          <w:p w14:paraId="595E0073">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按相关规定进行</w:t>
            </w:r>
          </w:p>
        </w:tc>
      </w:tr>
    </w:tbl>
    <w:p w14:paraId="28C8DDD7">
      <w:pPr>
        <w:spacing w:line="250" w:lineRule="exact"/>
        <w:rPr>
          <w:rFonts w:hint="eastAsia" w:ascii="宋体" w:hAnsi="宋体" w:eastAsia="宋体" w:cs="宋体"/>
          <w:sz w:val="21"/>
          <w:highlight w:val="none"/>
        </w:rPr>
        <w:sectPr>
          <w:pgSz w:w="11910" w:h="16840"/>
          <w:pgMar w:top="1440" w:right="1080" w:bottom="1040" w:left="1420" w:header="882" w:footer="847" w:gutter="0"/>
          <w:cols w:space="720" w:num="1"/>
        </w:sectPr>
      </w:pPr>
    </w:p>
    <w:p w14:paraId="70623ECF">
      <w:pPr>
        <w:pStyle w:val="10"/>
        <w:spacing w:before="10"/>
        <w:rPr>
          <w:rFonts w:hint="eastAsia" w:ascii="宋体" w:hAnsi="宋体" w:eastAsia="宋体" w:cs="宋体"/>
          <w:sz w:val="11"/>
          <w:highlight w:val="none"/>
        </w:rPr>
      </w:pPr>
    </w:p>
    <w:tbl>
      <w:tblPr>
        <w:tblStyle w:val="24"/>
        <w:tblW w:w="9015" w:type="dxa"/>
        <w:tblInd w:w="0" w:type="dxa"/>
        <w:tblLayout w:type="fixed"/>
        <w:tblCellMar>
          <w:top w:w="0" w:type="dxa"/>
          <w:left w:w="108" w:type="dxa"/>
          <w:bottom w:w="0" w:type="dxa"/>
          <w:right w:w="108" w:type="dxa"/>
        </w:tblCellMar>
      </w:tblPr>
      <w:tblGrid>
        <w:gridCol w:w="1120"/>
        <w:gridCol w:w="1775"/>
        <w:gridCol w:w="1080"/>
        <w:gridCol w:w="2880"/>
        <w:gridCol w:w="2160"/>
      </w:tblGrid>
      <w:tr w14:paraId="7FFD95B6">
        <w:tblPrEx>
          <w:tblCellMar>
            <w:top w:w="0" w:type="dxa"/>
            <w:left w:w="108" w:type="dxa"/>
            <w:bottom w:w="0" w:type="dxa"/>
            <w:right w:w="108" w:type="dxa"/>
          </w:tblCellMar>
        </w:tblPrEx>
        <w:trPr>
          <w:trHeight w:val="137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80CF280">
            <w:pPr>
              <w:spacing w:line="274" w:lineRule="exact"/>
              <w:rPr>
                <w:rFonts w:hint="eastAsia" w:ascii="宋体" w:hAnsi="宋体" w:eastAsia="宋体" w:cs="宋体"/>
                <w:highlight w:val="none"/>
              </w:rPr>
            </w:pP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001EC78">
            <w:pPr>
              <w:spacing w:line="274" w:lineRule="exact"/>
              <w:rPr>
                <w:rFonts w:hint="eastAsia" w:ascii="宋体" w:hAnsi="宋体" w:eastAsia="宋体" w:cs="宋体"/>
                <w:highlight w:val="none"/>
              </w:rPr>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EC0C76C">
            <w:pPr>
              <w:spacing w:line="274" w:lineRule="exact"/>
              <w:rPr>
                <w:rFonts w:hint="eastAsia" w:ascii="宋体" w:hAnsi="宋体" w:eastAsia="宋体" w:cs="宋体"/>
                <w:highlight w:val="none"/>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A47034D">
            <w:pPr>
              <w:spacing w:line="245" w:lineRule="exact"/>
              <w:ind w:left="108"/>
              <w:rPr>
                <w:rFonts w:hint="eastAsia" w:ascii="宋体" w:hAnsi="宋体" w:eastAsia="宋体" w:cs="宋体"/>
                <w:highlight w:val="none"/>
              </w:rPr>
            </w:pPr>
            <w:r>
              <w:rPr>
                <w:rFonts w:hint="eastAsia" w:ascii="宋体" w:hAnsi="宋体" w:eastAsia="宋体" w:cs="宋体"/>
                <w:spacing w:val="-1"/>
                <w:sz w:val="20"/>
                <w:highlight w:val="none"/>
              </w:rPr>
              <w:t>线为分界线，地面线以下部分</w:t>
            </w:r>
          </w:p>
          <w:p w14:paraId="6511235F">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为灌注桩桩长。若图纸有标示</w:t>
            </w:r>
          </w:p>
          <w:p w14:paraId="13A0D707">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的，按图纸标示为准；</w:t>
            </w:r>
          </w:p>
          <w:p w14:paraId="49F269A3">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由于超钻深于所需桩长部</w:t>
            </w:r>
          </w:p>
          <w:p w14:paraId="1B989A6D">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分，不予计量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C06847C">
            <w:pPr>
              <w:spacing w:line="245" w:lineRule="exact"/>
              <w:ind w:left="108"/>
              <w:rPr>
                <w:rFonts w:hint="eastAsia" w:ascii="宋体" w:hAnsi="宋体" w:eastAsia="宋体" w:cs="宋体"/>
                <w:highlight w:val="none"/>
              </w:rPr>
            </w:pPr>
            <w:r>
              <w:rPr>
                <w:rFonts w:hint="eastAsia" w:ascii="宋体" w:hAnsi="宋体" w:eastAsia="宋体" w:cs="宋体"/>
                <w:spacing w:val="-1"/>
                <w:sz w:val="20"/>
                <w:highlight w:val="none"/>
              </w:rPr>
              <w:t>桩基检测</w:t>
            </w:r>
          </w:p>
        </w:tc>
      </w:tr>
      <w:tr w14:paraId="723672FF">
        <w:tblPrEx>
          <w:tblCellMar>
            <w:top w:w="0" w:type="dxa"/>
            <w:left w:w="108" w:type="dxa"/>
            <w:bottom w:w="0" w:type="dxa"/>
            <w:right w:w="108" w:type="dxa"/>
          </w:tblCellMar>
        </w:tblPrEx>
        <w:trPr>
          <w:trHeight w:val="188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D52B958">
            <w:pPr>
              <w:spacing w:line="1156" w:lineRule="exact"/>
              <w:ind w:left="315"/>
              <w:rPr>
                <w:rFonts w:hint="eastAsia" w:ascii="宋体" w:hAnsi="宋体" w:eastAsia="宋体" w:cs="宋体"/>
                <w:highlight w:val="none"/>
              </w:rPr>
            </w:pPr>
            <w:r>
              <w:rPr>
                <w:rFonts w:hint="eastAsia" w:ascii="宋体" w:hAnsi="宋体" w:eastAsia="宋体" w:cs="宋体"/>
                <w:spacing w:val="-1"/>
                <w:sz w:val="20"/>
                <w:highlight w:val="none"/>
              </w:rPr>
              <w:t>401-4</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21EAF26">
            <w:pPr>
              <w:spacing w:line="745" w:lineRule="exact"/>
              <w:ind w:left="282"/>
              <w:rPr>
                <w:rFonts w:hint="eastAsia" w:ascii="宋体" w:hAnsi="宋体" w:eastAsia="宋体" w:cs="宋体"/>
                <w:highlight w:val="none"/>
              </w:rPr>
            </w:pPr>
            <w:r>
              <w:rPr>
                <w:rFonts w:hint="eastAsia" w:ascii="宋体" w:hAnsi="宋体" w:eastAsia="宋体" w:cs="宋体"/>
                <w:sz w:val="20"/>
                <w:highlight w:val="none"/>
              </w:rPr>
              <w:t>钢筋（包括灌注</w:t>
            </w:r>
          </w:p>
          <w:p w14:paraId="5403C275">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桩、承台、桩系</w:t>
            </w:r>
          </w:p>
          <w:p w14:paraId="7AC6A6F2">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梁、支撑梁等）</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0C99BBD">
            <w:pPr>
              <w:spacing w:line="1156" w:lineRule="exact"/>
              <w:ind w:left="434"/>
              <w:rPr>
                <w:rFonts w:hint="eastAsia" w:ascii="宋体" w:hAnsi="宋体" w:eastAsia="宋体" w:cs="宋体"/>
                <w:highlight w:val="none"/>
              </w:rPr>
            </w:pPr>
            <w:r>
              <w:rPr>
                <w:rFonts w:hint="eastAsia" w:ascii="宋体" w:hAnsi="宋体" w:eastAsia="宋体" w:cs="宋体"/>
                <w:spacing w:val="-1"/>
                <w:sz w:val="20"/>
                <w:highlight w:val="none"/>
              </w:rPr>
              <w:t>kg</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9E8B726">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依据图纸所示及钢筋表所</w:t>
            </w:r>
          </w:p>
          <w:p w14:paraId="45936781">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列钢筋质量以千克为单位计</w:t>
            </w:r>
          </w:p>
          <w:p w14:paraId="12FF19EF">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量；</w:t>
            </w:r>
          </w:p>
          <w:p w14:paraId="085135B4">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固定钢筋的材料、定位架</w:t>
            </w:r>
          </w:p>
          <w:p w14:paraId="57F1445B">
            <w:pPr>
              <w:spacing w:line="236" w:lineRule="exact"/>
              <w:ind w:left="108"/>
              <w:rPr>
                <w:rFonts w:hint="eastAsia" w:ascii="宋体" w:hAnsi="宋体" w:eastAsia="宋体" w:cs="宋体"/>
                <w:highlight w:val="none"/>
              </w:rPr>
            </w:pPr>
            <w:r>
              <w:rPr>
                <w:rFonts w:hint="eastAsia" w:ascii="宋体" w:hAnsi="宋体" w:eastAsia="宋体" w:cs="宋体"/>
                <w:sz w:val="20"/>
                <w:highlight w:val="none"/>
              </w:rPr>
              <w:t>立钢筋、钢筋接头、吊装钢筋、</w:t>
            </w:r>
          </w:p>
          <w:p w14:paraId="39ED5D90">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钢板、铁丝作为钢筋作业的附</w:t>
            </w:r>
          </w:p>
          <w:p w14:paraId="5914C6D9">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属工作，不另行计量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AEB6C06">
            <w:pPr>
              <w:spacing w:line="415"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钢筋的运输、保</w:t>
            </w:r>
          </w:p>
          <w:p w14:paraId="4FD94422">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护、储存及除锈；</w:t>
            </w:r>
          </w:p>
          <w:p w14:paraId="4F52171D">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钢筋整直、接头；</w:t>
            </w:r>
          </w:p>
          <w:p w14:paraId="2CA81E9C">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钢筋截断、弯曲；</w:t>
            </w:r>
          </w:p>
          <w:p w14:paraId="7F0B5B31">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position w:val="1"/>
                <w:sz w:val="20"/>
                <w:highlight w:val="none"/>
              </w:rPr>
              <w:t>钢筋安设、支承及</w:t>
            </w:r>
          </w:p>
          <w:p w14:paraId="5CD9E13A">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固定</w:t>
            </w:r>
          </w:p>
        </w:tc>
      </w:tr>
      <w:tr w14:paraId="5739463C">
        <w:tblPrEx>
          <w:tblCellMar>
            <w:top w:w="0" w:type="dxa"/>
            <w:left w:w="108" w:type="dxa"/>
            <w:bottom w:w="0" w:type="dxa"/>
            <w:right w:w="108" w:type="dxa"/>
          </w:tblCellMar>
        </w:tblPrEx>
        <w:trPr>
          <w:trHeight w:val="1090"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53E33D0">
            <w:pPr>
              <w:spacing w:line="743" w:lineRule="exact"/>
              <w:ind w:left="401"/>
              <w:rPr>
                <w:rFonts w:hint="eastAsia" w:ascii="宋体" w:hAnsi="宋体" w:eastAsia="宋体" w:cs="宋体"/>
                <w:highlight w:val="none"/>
              </w:rPr>
            </w:pPr>
            <w:r>
              <w:rPr>
                <w:rFonts w:hint="eastAsia" w:ascii="宋体" w:hAnsi="宋体" w:eastAsia="宋体" w:cs="宋体"/>
                <w:spacing w:val="-1"/>
                <w:sz w:val="20"/>
                <w:highlight w:val="none"/>
              </w:rPr>
              <w:t>402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37A3E41">
            <w:pPr>
              <w:spacing w:line="333" w:lineRule="exact"/>
              <w:ind w:left="282"/>
              <w:rPr>
                <w:rFonts w:hint="eastAsia" w:ascii="宋体" w:hAnsi="宋体" w:eastAsia="宋体" w:cs="宋体"/>
                <w:highlight w:val="none"/>
              </w:rPr>
            </w:pPr>
            <w:r>
              <w:rPr>
                <w:rFonts w:hint="eastAsia" w:ascii="宋体" w:hAnsi="宋体" w:eastAsia="宋体" w:cs="宋体"/>
                <w:sz w:val="20"/>
                <w:highlight w:val="none"/>
              </w:rPr>
              <w:t>下部结构（包含</w:t>
            </w:r>
          </w:p>
          <w:p w14:paraId="5E935B50">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桥台、桥墩、盖</w:t>
            </w:r>
          </w:p>
          <w:p w14:paraId="22898B72">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梁、台帽等）</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C2506F8">
            <w:pPr>
              <w:spacing w:line="360" w:lineRule="exact"/>
              <w:rPr>
                <w:rFonts w:hint="eastAsia" w:ascii="宋体" w:hAnsi="宋体" w:eastAsia="宋体" w:cs="宋体"/>
                <w:highlight w:val="none"/>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2BB4DE7">
            <w:pPr>
              <w:spacing w:line="360" w:lineRule="exact"/>
              <w:rPr>
                <w:rFonts w:hint="eastAsia" w:ascii="宋体" w:hAnsi="宋体" w:eastAsia="宋体" w:cs="宋体"/>
                <w:highlight w:val="none"/>
              </w:rPr>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1B3F988">
            <w:pPr>
              <w:spacing w:line="360" w:lineRule="exact"/>
              <w:rPr>
                <w:rFonts w:hint="eastAsia" w:ascii="宋体" w:hAnsi="宋体" w:eastAsia="宋体" w:cs="宋体"/>
                <w:highlight w:val="none"/>
              </w:rPr>
            </w:pPr>
          </w:p>
        </w:tc>
      </w:tr>
      <w:tr w14:paraId="17428750">
        <w:tblPrEx>
          <w:tblCellMar>
            <w:top w:w="0" w:type="dxa"/>
            <w:left w:w="108" w:type="dxa"/>
            <w:bottom w:w="0" w:type="dxa"/>
            <w:right w:w="108" w:type="dxa"/>
          </w:tblCellMar>
        </w:tblPrEx>
        <w:trPr>
          <w:trHeight w:val="382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B3608AA">
            <w:pPr>
              <w:spacing w:line="2110" w:lineRule="exact"/>
              <w:ind w:left="315"/>
              <w:rPr>
                <w:rFonts w:hint="eastAsia" w:ascii="宋体" w:hAnsi="宋体" w:eastAsia="宋体" w:cs="宋体"/>
                <w:highlight w:val="none"/>
              </w:rPr>
            </w:pPr>
            <w:r>
              <w:rPr>
                <w:rFonts w:hint="eastAsia" w:ascii="宋体" w:hAnsi="宋体" w:eastAsia="宋体" w:cs="宋体"/>
                <w:spacing w:val="-1"/>
                <w:sz w:val="20"/>
                <w:highlight w:val="none"/>
              </w:rPr>
              <w:t>402-1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69AE1AF">
            <w:pPr>
              <w:spacing w:line="2059" w:lineRule="exact"/>
              <w:ind w:left="282"/>
              <w:rPr>
                <w:rFonts w:hint="eastAsia" w:ascii="宋体" w:hAnsi="宋体" w:eastAsia="宋体" w:cs="宋体"/>
                <w:highlight w:val="none"/>
              </w:rPr>
            </w:pPr>
            <w:r>
              <w:rPr>
                <w:rFonts w:hint="eastAsia" w:ascii="宋体" w:hAnsi="宋体" w:eastAsia="宋体" w:cs="宋体"/>
                <w:spacing w:val="-1"/>
                <w:sz w:val="20"/>
                <w:highlight w:val="none"/>
              </w:rPr>
              <w:t>下部混凝土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C1B881E">
            <w:pPr>
              <w:spacing w:line="2019" w:lineRule="exact"/>
              <w:ind w:left="425"/>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6FA9242">
            <w:pPr>
              <w:spacing w:line="1232"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依据图纸所示体积分不同</w:t>
            </w:r>
          </w:p>
          <w:p w14:paraId="42304B43">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强度等级以立方米为单位计</w:t>
            </w:r>
          </w:p>
          <w:p w14:paraId="7E5C714A">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量；</w:t>
            </w:r>
          </w:p>
          <w:p w14:paraId="5B662F66">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直径小于</w:t>
            </w:r>
            <w:r>
              <w:rPr>
                <w:rFonts w:hint="eastAsia" w:ascii="宋体" w:hAnsi="宋体" w:eastAsia="宋体" w:cs="宋体"/>
                <w:sz w:val="20"/>
                <w:highlight w:val="none"/>
              </w:rPr>
              <w:t> </w:t>
            </w:r>
            <w:r>
              <w:rPr>
                <w:rFonts w:hint="eastAsia" w:ascii="宋体" w:hAnsi="宋体" w:eastAsia="宋体" w:cs="宋体"/>
                <w:spacing w:val="-1"/>
                <w:sz w:val="20"/>
                <w:highlight w:val="none"/>
              </w:rPr>
              <w:t>200mm</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的管子、</w:t>
            </w:r>
          </w:p>
          <w:p w14:paraId="75F1DE79">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钢筋、锚固件、管道、泄水孔</w:t>
            </w:r>
          </w:p>
          <w:p w14:paraId="10D7E888">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或桩所占混凝土体积不予扣</w:t>
            </w:r>
          </w:p>
          <w:p w14:paraId="6BEA8EBE">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除</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DC6A795">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场地清理；</w:t>
            </w:r>
          </w:p>
          <w:p w14:paraId="5A9186AE">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position w:val="1"/>
                <w:sz w:val="20"/>
                <w:highlight w:val="none"/>
              </w:rPr>
              <w:t>搭拆作业平台、支</w:t>
            </w:r>
          </w:p>
          <w:p w14:paraId="78B5EDD7">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架；</w:t>
            </w:r>
          </w:p>
          <w:p w14:paraId="1E002395">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position w:val="1"/>
                <w:sz w:val="20"/>
                <w:highlight w:val="none"/>
              </w:rPr>
              <w:t>安拆模板；安设预</w:t>
            </w:r>
          </w:p>
          <w:p w14:paraId="683461A4">
            <w:pPr>
              <w:spacing w:line="271" w:lineRule="exact"/>
              <w:ind w:left="108"/>
              <w:rPr>
                <w:rFonts w:hint="eastAsia" w:ascii="宋体" w:hAnsi="宋体" w:eastAsia="宋体" w:cs="宋体"/>
                <w:highlight w:val="none"/>
              </w:rPr>
            </w:pPr>
            <w:r>
              <w:rPr>
                <w:rFonts w:hint="eastAsia" w:ascii="宋体" w:hAnsi="宋体" w:eastAsia="宋体" w:cs="宋体"/>
                <w:spacing w:val="-1"/>
                <w:position w:val="1"/>
                <w:sz w:val="20"/>
                <w:highlight w:val="none"/>
              </w:rPr>
              <w:t>埋件</w:t>
            </w:r>
            <w:r>
              <w:rPr>
                <w:rFonts w:hint="eastAsia" w:ascii="宋体" w:hAnsi="宋体" w:eastAsia="宋体" w:cs="宋体"/>
                <w:spacing w:val="-1"/>
                <w:sz w:val="20"/>
                <w:highlight w:val="none"/>
              </w:rPr>
              <w:t>(</w:t>
            </w:r>
            <w:r>
              <w:rPr>
                <w:rFonts w:hint="eastAsia" w:ascii="宋体" w:hAnsi="宋体" w:eastAsia="宋体" w:cs="宋体"/>
                <w:spacing w:val="-1"/>
                <w:position w:val="1"/>
                <w:sz w:val="20"/>
                <w:highlight w:val="none"/>
              </w:rPr>
              <w:t>包括支座预埋</w:t>
            </w:r>
          </w:p>
          <w:p w14:paraId="574CEE23">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件、防震锚栓及套筒</w:t>
            </w:r>
          </w:p>
          <w:p w14:paraId="5A5D3B37">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等）；</w:t>
            </w:r>
          </w:p>
          <w:p w14:paraId="7E70DEFD">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position w:val="1"/>
                <w:sz w:val="20"/>
                <w:highlight w:val="none"/>
              </w:rPr>
              <w:t>混凝土配运料、拌</w:t>
            </w:r>
          </w:p>
          <w:p w14:paraId="3C3F54E1">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和、运输、浇筑、振</w:t>
            </w:r>
          </w:p>
          <w:p w14:paraId="4A26B605">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捣、养护；</w:t>
            </w:r>
          </w:p>
          <w:p w14:paraId="782B7FB1">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position w:val="1"/>
                <w:sz w:val="20"/>
                <w:highlight w:val="none"/>
              </w:rPr>
              <w:t>施工缝、沉降缝设</w:t>
            </w:r>
          </w:p>
          <w:p w14:paraId="05F58B06">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置处理；</w:t>
            </w:r>
          </w:p>
          <w:p w14:paraId="3EF8591F">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position w:val="1"/>
                <w:sz w:val="20"/>
                <w:highlight w:val="none"/>
              </w:rPr>
              <w:t>防水、防冻、防腐</w:t>
            </w:r>
          </w:p>
          <w:p w14:paraId="7A21BA59">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措施</w:t>
            </w:r>
          </w:p>
        </w:tc>
      </w:tr>
      <w:tr w14:paraId="2369DE41">
        <w:tblPrEx>
          <w:tblCellMar>
            <w:top w:w="0" w:type="dxa"/>
            <w:left w:w="108" w:type="dxa"/>
            <w:bottom w:w="0" w:type="dxa"/>
            <w:right w:w="108" w:type="dxa"/>
          </w:tblCellMar>
        </w:tblPrEx>
        <w:trPr>
          <w:trHeight w:val="24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2981A51">
            <w:pPr>
              <w:spacing w:line="1426" w:lineRule="exact"/>
              <w:ind w:left="315"/>
              <w:rPr>
                <w:rFonts w:hint="eastAsia" w:ascii="宋体" w:hAnsi="宋体" w:eastAsia="宋体" w:cs="宋体"/>
                <w:highlight w:val="none"/>
              </w:rPr>
            </w:pPr>
            <w:r>
              <w:rPr>
                <w:rFonts w:hint="eastAsia" w:ascii="宋体" w:hAnsi="宋体" w:eastAsia="宋体" w:cs="宋体"/>
                <w:spacing w:val="-1"/>
                <w:sz w:val="20"/>
                <w:highlight w:val="none"/>
              </w:rPr>
              <w:t>402-2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E5732B4">
            <w:pPr>
              <w:spacing w:line="1377" w:lineRule="exact"/>
              <w:ind w:left="282"/>
              <w:rPr>
                <w:rFonts w:hint="eastAsia" w:ascii="宋体" w:hAnsi="宋体" w:eastAsia="宋体" w:cs="宋体"/>
                <w:highlight w:val="none"/>
              </w:rPr>
            </w:pPr>
            <w:r>
              <w:rPr>
                <w:rFonts w:hint="eastAsia" w:ascii="宋体" w:hAnsi="宋体" w:eastAsia="宋体" w:cs="宋体"/>
                <w:sz w:val="20"/>
                <w:highlight w:val="none"/>
              </w:rPr>
              <w:t>浆砌片（块）石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5D39BDE">
            <w:pPr>
              <w:spacing w:line="1337" w:lineRule="exact"/>
              <w:ind w:left="425"/>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86E9BB0">
            <w:pPr>
              <w:spacing w:line="1060" w:lineRule="exact"/>
              <w:ind w:left="281"/>
              <w:rPr>
                <w:rFonts w:hint="eastAsia" w:ascii="宋体" w:hAnsi="宋体" w:eastAsia="宋体" w:cs="宋体"/>
                <w:highlight w:val="none"/>
              </w:rPr>
            </w:pPr>
            <w:r>
              <w:rPr>
                <w:rFonts w:hint="eastAsia" w:ascii="宋体" w:hAnsi="宋体" w:eastAsia="宋体" w:cs="宋体"/>
                <w:spacing w:val="-1"/>
                <w:sz w:val="20"/>
                <w:highlight w:val="none"/>
              </w:rPr>
              <w:t>依据图纸所示位置及尺寸</w:t>
            </w:r>
          </w:p>
          <w:p w14:paraId="3E922850">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砌筑体积分不同砂浆强度等</w:t>
            </w:r>
          </w:p>
          <w:p w14:paraId="62307AA9">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级以立方米为单位计量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3BC3431">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基础清理；</w:t>
            </w:r>
          </w:p>
          <w:p w14:paraId="361462EB">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基底检查；</w:t>
            </w:r>
          </w:p>
          <w:p w14:paraId="1DF99094">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选修石料；</w:t>
            </w:r>
          </w:p>
          <w:p w14:paraId="3CB3F104">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铺筑垫层；</w:t>
            </w:r>
          </w:p>
          <w:p w14:paraId="3A51C569">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搭、拆脚手架；</w:t>
            </w:r>
          </w:p>
          <w:p w14:paraId="29E96B97">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配、拌、运砂浆；</w:t>
            </w:r>
          </w:p>
          <w:p w14:paraId="63930E65">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6"/>
                <w:position w:val="1"/>
                <w:sz w:val="20"/>
                <w:highlight w:val="none"/>
              </w:rPr>
              <w:t>砌筑、勾缝、抹面、</w:t>
            </w:r>
            <w:r>
              <w:rPr>
                <w:rFonts w:hint="eastAsia" w:ascii="宋体" w:hAnsi="宋体" w:eastAsia="宋体" w:cs="宋体"/>
                <w:spacing w:val="-1"/>
                <w:sz w:val="20"/>
                <w:highlight w:val="none"/>
              </w:rPr>
              <w:t>养护；</w:t>
            </w:r>
          </w:p>
          <w:p w14:paraId="10DC606A">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8.</w:t>
            </w:r>
            <w:r>
              <w:rPr>
                <w:rFonts w:hint="eastAsia" w:ascii="宋体" w:hAnsi="宋体" w:eastAsia="宋体" w:cs="宋体"/>
                <w:spacing w:val="-1"/>
                <w:position w:val="1"/>
                <w:sz w:val="20"/>
                <w:highlight w:val="none"/>
              </w:rPr>
              <w:t>沉降缝设置</w:t>
            </w:r>
          </w:p>
        </w:tc>
      </w:tr>
      <w:tr w14:paraId="7526B213">
        <w:tblPrEx>
          <w:tblCellMar>
            <w:top w:w="0" w:type="dxa"/>
            <w:left w:w="108" w:type="dxa"/>
            <w:bottom w:w="0" w:type="dxa"/>
            <w:right w:w="108" w:type="dxa"/>
          </w:tblCellMar>
        </w:tblPrEx>
        <w:trPr>
          <w:trHeight w:val="186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8B68633">
            <w:pPr>
              <w:spacing w:line="1157" w:lineRule="exact"/>
              <w:ind w:left="315"/>
              <w:rPr>
                <w:rFonts w:hint="eastAsia" w:ascii="宋体" w:hAnsi="宋体" w:eastAsia="宋体" w:cs="宋体"/>
                <w:highlight w:val="none"/>
              </w:rPr>
            </w:pPr>
            <w:r>
              <w:rPr>
                <w:rFonts w:hint="eastAsia" w:ascii="宋体" w:hAnsi="宋体" w:eastAsia="宋体" w:cs="宋体"/>
                <w:spacing w:val="-1"/>
                <w:sz w:val="20"/>
                <w:highlight w:val="none"/>
              </w:rPr>
              <w:t>402-3</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99985F0">
            <w:pPr>
              <w:spacing w:line="1107" w:lineRule="exact"/>
              <w:ind w:left="282"/>
              <w:rPr>
                <w:rFonts w:hint="eastAsia" w:ascii="宋体" w:hAnsi="宋体" w:eastAsia="宋体" w:cs="宋体"/>
                <w:highlight w:val="none"/>
              </w:rPr>
            </w:pPr>
            <w:r>
              <w:rPr>
                <w:rFonts w:hint="eastAsia" w:ascii="宋体" w:hAnsi="宋体" w:eastAsia="宋体" w:cs="宋体"/>
                <w:spacing w:val="-1"/>
                <w:sz w:val="20"/>
                <w:highlight w:val="none"/>
              </w:rPr>
              <w:t>钢筋</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7CC07D9">
            <w:pPr>
              <w:spacing w:line="1157" w:lineRule="exact"/>
              <w:ind w:left="434"/>
              <w:rPr>
                <w:rFonts w:hint="eastAsia" w:ascii="宋体" w:hAnsi="宋体" w:eastAsia="宋体" w:cs="宋体"/>
                <w:highlight w:val="none"/>
              </w:rPr>
            </w:pPr>
            <w:r>
              <w:rPr>
                <w:rFonts w:hint="eastAsia" w:ascii="宋体" w:hAnsi="宋体" w:eastAsia="宋体" w:cs="宋体"/>
                <w:spacing w:val="-1"/>
                <w:sz w:val="20"/>
                <w:highlight w:val="none"/>
              </w:rPr>
              <w:t>kg</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F0EDB6E">
            <w:pPr>
              <w:spacing w:line="28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依据图纸所示及钢筋表所</w:t>
            </w:r>
          </w:p>
          <w:p w14:paraId="13CF0273">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列钢筋质量以千克为单位计</w:t>
            </w:r>
          </w:p>
          <w:p w14:paraId="4E77078B">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量；</w:t>
            </w:r>
          </w:p>
          <w:p w14:paraId="7670437F">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固定钢筋的材料、定位架</w:t>
            </w:r>
          </w:p>
          <w:p w14:paraId="6680C94B">
            <w:pPr>
              <w:spacing w:line="239" w:lineRule="exact"/>
              <w:ind w:left="108"/>
              <w:rPr>
                <w:rFonts w:hint="eastAsia" w:ascii="宋体" w:hAnsi="宋体" w:eastAsia="宋体" w:cs="宋体"/>
                <w:highlight w:val="none"/>
              </w:rPr>
            </w:pPr>
            <w:r>
              <w:rPr>
                <w:rFonts w:hint="eastAsia" w:ascii="宋体" w:hAnsi="宋体" w:eastAsia="宋体" w:cs="宋体"/>
                <w:sz w:val="20"/>
                <w:highlight w:val="none"/>
              </w:rPr>
              <w:t>立钢筋、钢筋接头、吊装钢筋、</w:t>
            </w:r>
          </w:p>
          <w:p w14:paraId="2E768EE8">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钢板、铁丝作为钢筋作业的附</w:t>
            </w:r>
          </w:p>
          <w:p w14:paraId="1768304A">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属工作，不另行计量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525609A">
            <w:pPr>
              <w:spacing w:line="415"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钢筋的运输、保</w:t>
            </w:r>
          </w:p>
          <w:p w14:paraId="28A358F7">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护、储存及除锈；</w:t>
            </w:r>
          </w:p>
          <w:p w14:paraId="1FF32C23">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钢筋整直、接头；</w:t>
            </w:r>
          </w:p>
          <w:p w14:paraId="7EABC8BE">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钢筋截断、弯曲；</w:t>
            </w:r>
          </w:p>
          <w:p w14:paraId="7E3BFF02">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position w:val="1"/>
                <w:sz w:val="20"/>
                <w:highlight w:val="none"/>
              </w:rPr>
              <w:t>钢筋安设、支承及</w:t>
            </w:r>
          </w:p>
          <w:p w14:paraId="7CA2A8C7">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固定</w:t>
            </w:r>
          </w:p>
        </w:tc>
      </w:tr>
      <w:tr w14:paraId="7C1D1C88">
        <w:tblPrEx>
          <w:tblCellMar>
            <w:top w:w="0" w:type="dxa"/>
            <w:left w:w="108" w:type="dxa"/>
            <w:bottom w:w="0" w:type="dxa"/>
            <w:right w:w="108" w:type="dxa"/>
          </w:tblCellMar>
        </w:tblPrEx>
        <w:trPr>
          <w:trHeight w:val="520"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D9CF783">
            <w:pPr>
              <w:spacing w:line="457" w:lineRule="exact"/>
              <w:ind w:left="401"/>
              <w:rPr>
                <w:rFonts w:hint="eastAsia" w:ascii="宋体" w:hAnsi="宋体" w:eastAsia="宋体" w:cs="宋体"/>
                <w:highlight w:val="none"/>
              </w:rPr>
            </w:pPr>
            <w:r>
              <w:rPr>
                <w:rFonts w:hint="eastAsia" w:ascii="宋体" w:hAnsi="宋体" w:eastAsia="宋体" w:cs="宋体"/>
                <w:spacing w:val="-1"/>
                <w:sz w:val="20"/>
                <w:highlight w:val="none"/>
              </w:rPr>
              <w:t>403</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46578EC">
            <w:pPr>
              <w:spacing w:line="408" w:lineRule="exact"/>
              <w:ind w:left="282"/>
              <w:rPr>
                <w:rFonts w:hint="eastAsia" w:ascii="宋体" w:hAnsi="宋体" w:eastAsia="宋体" w:cs="宋体"/>
                <w:highlight w:val="none"/>
              </w:rPr>
            </w:pPr>
            <w:r>
              <w:rPr>
                <w:rFonts w:hint="eastAsia" w:ascii="宋体" w:hAnsi="宋体" w:eastAsia="宋体" w:cs="宋体"/>
                <w:spacing w:val="-1"/>
                <w:sz w:val="20"/>
                <w:highlight w:val="none"/>
              </w:rPr>
              <w:t>上部结构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369F7C6">
            <w:pPr>
              <w:spacing w:line="408" w:lineRule="exact"/>
              <w:rPr>
                <w:rFonts w:hint="eastAsia" w:ascii="宋体" w:hAnsi="宋体" w:eastAsia="宋体" w:cs="宋体"/>
                <w:highlight w:val="none"/>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36099D8">
            <w:pPr>
              <w:spacing w:line="408" w:lineRule="exact"/>
              <w:rPr>
                <w:rFonts w:hint="eastAsia" w:ascii="宋体" w:hAnsi="宋体" w:eastAsia="宋体" w:cs="宋体"/>
                <w:highlight w:val="none"/>
              </w:rPr>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66A2574">
            <w:pPr>
              <w:spacing w:line="408" w:lineRule="exact"/>
              <w:rPr>
                <w:rFonts w:hint="eastAsia" w:ascii="宋体" w:hAnsi="宋体" w:eastAsia="宋体" w:cs="宋体"/>
                <w:highlight w:val="none"/>
              </w:rPr>
            </w:pPr>
          </w:p>
        </w:tc>
      </w:tr>
      <w:tr w14:paraId="2A579D12">
        <w:trPr>
          <w:trHeight w:val="55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FF6B741">
            <w:pPr>
              <w:spacing w:line="475" w:lineRule="exact"/>
              <w:ind w:left="315"/>
              <w:rPr>
                <w:rFonts w:hint="eastAsia" w:ascii="宋体" w:hAnsi="宋体" w:eastAsia="宋体" w:cs="宋体"/>
                <w:highlight w:val="none"/>
              </w:rPr>
            </w:pPr>
            <w:r>
              <w:rPr>
                <w:rFonts w:hint="eastAsia" w:ascii="宋体" w:hAnsi="宋体" w:eastAsia="宋体" w:cs="宋体"/>
                <w:spacing w:val="-1"/>
                <w:sz w:val="20"/>
                <w:highlight w:val="none"/>
              </w:rPr>
              <w:t>403-1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B7C6FB8">
            <w:pPr>
              <w:spacing w:line="426" w:lineRule="exact"/>
              <w:ind w:left="282"/>
              <w:rPr>
                <w:rFonts w:hint="eastAsia" w:ascii="宋体" w:hAnsi="宋体" w:eastAsia="宋体" w:cs="宋体"/>
                <w:highlight w:val="none"/>
              </w:rPr>
            </w:pPr>
            <w:r>
              <w:rPr>
                <w:rFonts w:hint="eastAsia" w:ascii="宋体" w:hAnsi="宋体" w:eastAsia="宋体" w:cs="宋体"/>
                <w:spacing w:val="-1"/>
                <w:sz w:val="20"/>
                <w:highlight w:val="none"/>
              </w:rPr>
              <w:t>现浇混凝土上</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684B3BF">
            <w:pPr>
              <w:spacing w:line="383" w:lineRule="exact"/>
              <w:ind w:left="425"/>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79C427B">
            <w:pPr>
              <w:spacing w:line="28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依据图纸所示体积分不同</w:t>
            </w:r>
          </w:p>
          <w:p w14:paraId="322CFB19">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强度等级以立方米为单位计</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65C77B0">
            <w:pPr>
              <w:spacing w:line="28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平整场地；</w:t>
            </w:r>
          </w:p>
          <w:p w14:paraId="37977581">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搭拆工作平台；</w:t>
            </w:r>
          </w:p>
        </w:tc>
      </w:tr>
    </w:tbl>
    <w:p w14:paraId="683607F4">
      <w:pPr>
        <w:spacing w:line="250" w:lineRule="exact"/>
        <w:rPr>
          <w:rFonts w:hint="eastAsia" w:ascii="宋体" w:hAnsi="宋体" w:eastAsia="宋体" w:cs="宋体"/>
          <w:sz w:val="21"/>
          <w:highlight w:val="none"/>
        </w:rPr>
        <w:sectPr>
          <w:pgSz w:w="11910" w:h="16840"/>
          <w:pgMar w:top="1440" w:right="1080" w:bottom="1040" w:left="1420" w:header="882" w:footer="847" w:gutter="0"/>
          <w:cols w:space="720" w:num="1"/>
        </w:sectPr>
      </w:pPr>
    </w:p>
    <w:p w14:paraId="58D658AC">
      <w:pPr>
        <w:pStyle w:val="10"/>
        <w:spacing w:before="10"/>
        <w:rPr>
          <w:rFonts w:hint="eastAsia" w:ascii="宋体" w:hAnsi="宋体" w:eastAsia="宋体" w:cs="宋体"/>
          <w:sz w:val="11"/>
          <w:highlight w:val="none"/>
        </w:rPr>
      </w:pPr>
    </w:p>
    <w:tbl>
      <w:tblPr>
        <w:tblStyle w:val="24"/>
        <w:tblW w:w="9015" w:type="dxa"/>
        <w:tblInd w:w="0" w:type="dxa"/>
        <w:tblLayout w:type="fixed"/>
        <w:tblCellMar>
          <w:top w:w="0" w:type="dxa"/>
          <w:left w:w="108" w:type="dxa"/>
          <w:bottom w:w="0" w:type="dxa"/>
          <w:right w:w="108" w:type="dxa"/>
        </w:tblCellMar>
      </w:tblPr>
      <w:tblGrid>
        <w:gridCol w:w="1120"/>
        <w:gridCol w:w="1775"/>
        <w:gridCol w:w="1080"/>
        <w:gridCol w:w="2880"/>
        <w:gridCol w:w="2160"/>
      </w:tblGrid>
      <w:tr w14:paraId="0E22BC4C">
        <w:tblPrEx>
          <w:tblCellMar>
            <w:top w:w="0" w:type="dxa"/>
            <w:left w:w="108" w:type="dxa"/>
            <w:bottom w:w="0" w:type="dxa"/>
            <w:right w:w="108" w:type="dxa"/>
          </w:tblCellMar>
        </w:tblPrEx>
        <w:trPr>
          <w:trHeight w:val="24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C56B124">
            <w:pPr>
              <w:spacing w:line="271" w:lineRule="exact"/>
              <w:rPr>
                <w:rFonts w:hint="eastAsia" w:ascii="宋体" w:hAnsi="宋体" w:eastAsia="宋体" w:cs="宋体"/>
                <w:highlight w:val="none"/>
              </w:rPr>
            </w:pP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97ABED8">
            <w:pPr>
              <w:spacing w:line="333" w:lineRule="exact"/>
              <w:ind w:left="107"/>
              <w:rPr>
                <w:rFonts w:hint="eastAsia" w:ascii="宋体" w:hAnsi="宋体" w:eastAsia="宋体" w:cs="宋体"/>
                <w:highlight w:val="none"/>
              </w:rPr>
            </w:pPr>
            <w:r>
              <w:rPr>
                <w:rFonts w:hint="eastAsia" w:ascii="宋体" w:hAnsi="宋体" w:eastAsia="宋体" w:cs="宋体"/>
                <w:spacing w:val="-1"/>
                <w:sz w:val="20"/>
                <w:highlight w:val="none"/>
              </w:rPr>
              <w:t>部结构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C09488C">
            <w:pPr>
              <w:spacing w:line="333" w:lineRule="exact"/>
              <w:rPr>
                <w:rFonts w:hint="eastAsia" w:ascii="宋体" w:hAnsi="宋体" w:eastAsia="宋体" w:cs="宋体"/>
                <w:highlight w:val="none"/>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9BAE7CC">
            <w:pPr>
              <w:spacing w:line="245" w:lineRule="exact"/>
              <w:ind w:left="108"/>
              <w:rPr>
                <w:rFonts w:hint="eastAsia" w:ascii="宋体" w:hAnsi="宋体" w:eastAsia="宋体" w:cs="宋体"/>
                <w:highlight w:val="none"/>
              </w:rPr>
            </w:pPr>
            <w:r>
              <w:rPr>
                <w:rFonts w:hint="eastAsia" w:ascii="宋体" w:hAnsi="宋体" w:eastAsia="宋体" w:cs="宋体"/>
                <w:spacing w:val="-1"/>
                <w:sz w:val="20"/>
                <w:highlight w:val="none"/>
              </w:rPr>
              <w:t>量；</w:t>
            </w:r>
          </w:p>
          <w:p w14:paraId="67FFC862">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直径小于</w:t>
            </w:r>
            <w:r>
              <w:rPr>
                <w:rFonts w:hint="eastAsia" w:ascii="宋体" w:hAnsi="宋体" w:eastAsia="宋体" w:cs="宋体"/>
                <w:sz w:val="20"/>
                <w:highlight w:val="none"/>
              </w:rPr>
              <w:t> </w:t>
            </w:r>
            <w:r>
              <w:rPr>
                <w:rFonts w:hint="eastAsia" w:ascii="宋体" w:hAnsi="宋体" w:eastAsia="宋体" w:cs="宋体"/>
                <w:spacing w:val="-1"/>
                <w:sz w:val="20"/>
                <w:highlight w:val="none"/>
              </w:rPr>
              <w:t>200mm</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的管子、</w:t>
            </w:r>
          </w:p>
          <w:p w14:paraId="5FB2D898">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钢筋、锚固件、管道、泄水孔</w:t>
            </w:r>
          </w:p>
          <w:p w14:paraId="2AC34472">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或桩所占混凝土体积不予扣</w:t>
            </w:r>
          </w:p>
          <w:p w14:paraId="2ABF221E">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除</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F481505">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position w:val="1"/>
                <w:sz w:val="20"/>
                <w:highlight w:val="none"/>
              </w:rPr>
              <w:t>支架搭设、预压与</w:t>
            </w:r>
          </w:p>
          <w:p w14:paraId="3DB6D325">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拆除；</w:t>
            </w:r>
          </w:p>
          <w:p w14:paraId="1C9834E6">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position w:val="1"/>
                <w:sz w:val="20"/>
                <w:highlight w:val="none"/>
              </w:rPr>
              <w:t>安拆模板；安设预</w:t>
            </w:r>
          </w:p>
          <w:p w14:paraId="2FA2D931">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埋件；</w:t>
            </w:r>
          </w:p>
          <w:p w14:paraId="1CA701D4">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position w:val="1"/>
                <w:sz w:val="20"/>
                <w:highlight w:val="none"/>
              </w:rPr>
              <w:t>混凝土配运料、拌</w:t>
            </w:r>
          </w:p>
          <w:p w14:paraId="73C1C7A9">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和、运输、浇筑、养</w:t>
            </w:r>
          </w:p>
          <w:p w14:paraId="763F5FC9">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护；</w:t>
            </w:r>
          </w:p>
          <w:p w14:paraId="16B31721">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position w:val="1"/>
                <w:sz w:val="20"/>
                <w:highlight w:val="none"/>
              </w:rPr>
              <w:t>施工缝、伸缩缝设</w:t>
            </w:r>
          </w:p>
          <w:p w14:paraId="65615871">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置处理</w:t>
            </w:r>
          </w:p>
        </w:tc>
      </w:tr>
      <w:tr w14:paraId="2FBDAF33">
        <w:tblPrEx>
          <w:tblCellMar>
            <w:top w:w="0" w:type="dxa"/>
            <w:left w:w="108" w:type="dxa"/>
            <w:bottom w:w="0" w:type="dxa"/>
            <w:right w:w="108" w:type="dxa"/>
          </w:tblCellMar>
        </w:tblPrEx>
        <w:trPr>
          <w:trHeight w:val="24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A3FB6E2">
            <w:pPr>
              <w:spacing w:line="1428" w:lineRule="exact"/>
              <w:ind w:left="315"/>
              <w:rPr>
                <w:rFonts w:hint="eastAsia" w:ascii="宋体" w:hAnsi="宋体" w:eastAsia="宋体" w:cs="宋体"/>
                <w:highlight w:val="none"/>
              </w:rPr>
            </w:pPr>
            <w:r>
              <w:rPr>
                <w:rFonts w:hint="eastAsia" w:ascii="宋体" w:hAnsi="宋体" w:eastAsia="宋体" w:cs="宋体"/>
                <w:spacing w:val="-1"/>
                <w:sz w:val="20"/>
                <w:highlight w:val="none"/>
              </w:rPr>
              <w:t>403-2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CA4FD52">
            <w:pPr>
              <w:spacing w:line="1199" w:lineRule="exact"/>
              <w:ind w:left="282"/>
              <w:rPr>
                <w:rFonts w:hint="eastAsia" w:ascii="宋体" w:hAnsi="宋体" w:eastAsia="宋体" w:cs="宋体"/>
                <w:highlight w:val="none"/>
              </w:rPr>
            </w:pPr>
            <w:r>
              <w:rPr>
                <w:rFonts w:hint="eastAsia" w:ascii="宋体" w:hAnsi="宋体" w:eastAsia="宋体" w:cs="宋体"/>
                <w:spacing w:val="-1"/>
                <w:sz w:val="20"/>
                <w:highlight w:val="none"/>
              </w:rPr>
              <w:t>预制混凝土上</w:t>
            </w:r>
          </w:p>
          <w:p w14:paraId="2C6EB14F">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部结构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425767E">
            <w:pPr>
              <w:spacing w:line="1336" w:lineRule="exact"/>
              <w:ind w:left="425"/>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1DB94DC">
            <w:pPr>
              <w:spacing w:line="28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依据图纸所示体积分不同</w:t>
            </w:r>
          </w:p>
          <w:p w14:paraId="5CBE498E">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强度等级以立方米为单位计</w:t>
            </w:r>
          </w:p>
          <w:p w14:paraId="3D96586A">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量；</w:t>
            </w:r>
          </w:p>
          <w:p w14:paraId="31834FC1">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直径小于</w:t>
            </w:r>
            <w:r>
              <w:rPr>
                <w:rFonts w:hint="eastAsia" w:ascii="宋体" w:hAnsi="宋体" w:eastAsia="宋体" w:cs="宋体"/>
                <w:sz w:val="20"/>
                <w:highlight w:val="none"/>
              </w:rPr>
              <w:t> </w:t>
            </w:r>
            <w:r>
              <w:rPr>
                <w:rFonts w:hint="eastAsia" w:ascii="宋体" w:hAnsi="宋体" w:eastAsia="宋体" w:cs="宋体"/>
                <w:spacing w:val="-1"/>
                <w:sz w:val="20"/>
                <w:highlight w:val="none"/>
              </w:rPr>
              <w:t>200mm</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的管子、</w:t>
            </w:r>
          </w:p>
          <w:p w14:paraId="1367F0B2">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钢筋、锚固件、管道、泄水孔</w:t>
            </w:r>
          </w:p>
          <w:p w14:paraId="60B8C1B3">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或桩所占混凝土体积不予扣</w:t>
            </w:r>
          </w:p>
          <w:p w14:paraId="11F21066">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除</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81066ED">
            <w:pPr>
              <w:spacing w:line="28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搭拆工作平台；</w:t>
            </w:r>
          </w:p>
          <w:p w14:paraId="239F58C1">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position w:val="1"/>
                <w:sz w:val="20"/>
                <w:highlight w:val="none"/>
              </w:rPr>
              <w:t>安拆模板；安设预</w:t>
            </w:r>
          </w:p>
          <w:p w14:paraId="3CFB7C2B">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埋件（吊环、预埋连</w:t>
            </w:r>
          </w:p>
          <w:p w14:paraId="03A1CD62">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接件）；</w:t>
            </w:r>
          </w:p>
          <w:p w14:paraId="52F34912">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position w:val="1"/>
                <w:sz w:val="20"/>
                <w:highlight w:val="none"/>
              </w:rPr>
              <w:t>混凝土配运料、拌</w:t>
            </w:r>
          </w:p>
          <w:p w14:paraId="00897EC3">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和、运输、浇筑、养</w:t>
            </w:r>
          </w:p>
          <w:p w14:paraId="5344AB5E">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护；</w:t>
            </w:r>
          </w:p>
          <w:p w14:paraId="4914B959">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构件预制、运输、</w:t>
            </w:r>
          </w:p>
          <w:p w14:paraId="1EF96A1E">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安装</w:t>
            </w:r>
          </w:p>
        </w:tc>
      </w:tr>
      <w:tr w14:paraId="08ABE565">
        <w:tblPrEx>
          <w:tblCellMar>
            <w:top w:w="0" w:type="dxa"/>
            <w:left w:w="108" w:type="dxa"/>
            <w:bottom w:w="0" w:type="dxa"/>
            <w:right w:w="108" w:type="dxa"/>
          </w:tblCellMar>
        </w:tblPrEx>
        <w:trPr>
          <w:trHeight w:val="184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C835C5E">
            <w:pPr>
              <w:spacing w:line="1156" w:lineRule="exact"/>
              <w:ind w:left="315"/>
              <w:rPr>
                <w:rFonts w:hint="eastAsia" w:ascii="宋体" w:hAnsi="宋体" w:eastAsia="宋体" w:cs="宋体"/>
                <w:highlight w:val="none"/>
              </w:rPr>
            </w:pPr>
            <w:r>
              <w:rPr>
                <w:rFonts w:hint="eastAsia" w:ascii="宋体" w:hAnsi="宋体" w:eastAsia="宋体" w:cs="宋体"/>
                <w:spacing w:val="-1"/>
                <w:sz w:val="20"/>
                <w:highlight w:val="none"/>
              </w:rPr>
              <w:t>403-3</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F5CC9FA">
            <w:pPr>
              <w:spacing w:line="1107" w:lineRule="exact"/>
              <w:ind w:left="282"/>
              <w:rPr>
                <w:rFonts w:hint="eastAsia" w:ascii="宋体" w:hAnsi="宋体" w:eastAsia="宋体" w:cs="宋体"/>
                <w:highlight w:val="none"/>
              </w:rPr>
            </w:pPr>
            <w:r>
              <w:rPr>
                <w:rFonts w:hint="eastAsia" w:ascii="宋体" w:hAnsi="宋体" w:eastAsia="宋体" w:cs="宋体"/>
                <w:spacing w:val="-1"/>
                <w:sz w:val="20"/>
                <w:highlight w:val="none"/>
              </w:rPr>
              <w:t>钢筋</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3851852">
            <w:pPr>
              <w:spacing w:line="1156" w:lineRule="exact"/>
              <w:ind w:left="434"/>
              <w:rPr>
                <w:rFonts w:hint="eastAsia" w:ascii="宋体" w:hAnsi="宋体" w:eastAsia="宋体" w:cs="宋体"/>
                <w:highlight w:val="none"/>
              </w:rPr>
            </w:pPr>
            <w:r>
              <w:rPr>
                <w:rFonts w:hint="eastAsia" w:ascii="宋体" w:hAnsi="宋体" w:eastAsia="宋体" w:cs="宋体"/>
                <w:spacing w:val="-1"/>
                <w:sz w:val="20"/>
                <w:highlight w:val="none"/>
              </w:rPr>
              <w:t>kg</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DC5B357">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依据图纸所示及钢筋表所</w:t>
            </w:r>
          </w:p>
          <w:p w14:paraId="3BF349A6">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列钢筋质量以千克为单位计</w:t>
            </w:r>
          </w:p>
          <w:p w14:paraId="242BFB26">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量；</w:t>
            </w:r>
          </w:p>
          <w:p w14:paraId="12D0A3C4">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固定钢筋的材料、定位架</w:t>
            </w:r>
          </w:p>
          <w:p w14:paraId="2CEAD2A0">
            <w:pPr>
              <w:spacing w:line="236" w:lineRule="exact"/>
              <w:ind w:left="108"/>
              <w:rPr>
                <w:rFonts w:hint="eastAsia" w:ascii="宋体" w:hAnsi="宋体" w:eastAsia="宋体" w:cs="宋体"/>
                <w:highlight w:val="none"/>
              </w:rPr>
            </w:pPr>
            <w:r>
              <w:rPr>
                <w:rFonts w:hint="eastAsia" w:ascii="宋体" w:hAnsi="宋体" w:eastAsia="宋体" w:cs="宋体"/>
                <w:sz w:val="20"/>
                <w:highlight w:val="none"/>
              </w:rPr>
              <w:t>立钢筋、钢筋接头、吊装钢筋、</w:t>
            </w:r>
          </w:p>
          <w:p w14:paraId="7DCFA98C">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钢板、铁丝作为钢筋作业的附</w:t>
            </w:r>
          </w:p>
          <w:p w14:paraId="06CED775">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属工作，不另行计量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9744367">
            <w:pPr>
              <w:spacing w:line="414"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钢筋的运输、保</w:t>
            </w:r>
          </w:p>
          <w:p w14:paraId="6178F124">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护、储存及除锈；</w:t>
            </w:r>
          </w:p>
          <w:p w14:paraId="7E29AA0C">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钢筋整直、接头；</w:t>
            </w:r>
          </w:p>
          <w:p w14:paraId="2ECD7DC3">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钢筋截断、弯曲；</w:t>
            </w:r>
          </w:p>
          <w:p w14:paraId="431EE124">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position w:val="1"/>
                <w:sz w:val="20"/>
                <w:highlight w:val="none"/>
              </w:rPr>
              <w:t>钢筋安设、支承及</w:t>
            </w:r>
          </w:p>
          <w:p w14:paraId="44E892ED">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固定</w:t>
            </w:r>
          </w:p>
        </w:tc>
      </w:tr>
      <w:tr w14:paraId="77765758">
        <w:tblPrEx>
          <w:tblCellMar>
            <w:top w:w="0" w:type="dxa"/>
            <w:left w:w="108" w:type="dxa"/>
            <w:bottom w:w="0" w:type="dxa"/>
            <w:right w:w="108" w:type="dxa"/>
          </w:tblCellMar>
        </w:tblPrEx>
        <w:trPr>
          <w:trHeight w:val="242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968094E">
            <w:pPr>
              <w:spacing w:line="1428" w:lineRule="exact"/>
              <w:ind w:left="315"/>
              <w:rPr>
                <w:rFonts w:hint="eastAsia" w:ascii="宋体" w:hAnsi="宋体" w:eastAsia="宋体" w:cs="宋体"/>
                <w:highlight w:val="none"/>
              </w:rPr>
            </w:pPr>
            <w:r>
              <w:rPr>
                <w:rFonts w:hint="eastAsia" w:ascii="宋体" w:hAnsi="宋体" w:eastAsia="宋体" w:cs="宋体"/>
                <w:spacing w:val="-1"/>
                <w:sz w:val="20"/>
                <w:highlight w:val="none"/>
              </w:rPr>
              <w:t>403-4</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CE8B716">
            <w:pPr>
              <w:spacing w:line="1198" w:lineRule="exact"/>
              <w:ind w:left="282"/>
              <w:rPr>
                <w:rFonts w:hint="eastAsia" w:ascii="宋体" w:hAnsi="宋体" w:eastAsia="宋体" w:cs="宋体"/>
                <w:highlight w:val="none"/>
              </w:rPr>
            </w:pPr>
            <w:r>
              <w:rPr>
                <w:rFonts w:hint="eastAsia" w:ascii="宋体" w:hAnsi="宋体" w:eastAsia="宋体" w:cs="宋体"/>
                <w:spacing w:val="-1"/>
                <w:sz w:val="20"/>
                <w:highlight w:val="none"/>
              </w:rPr>
              <w:t>现浇预应力混</w:t>
            </w:r>
          </w:p>
          <w:p w14:paraId="557155BA">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凝土上部结构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27F7697">
            <w:pPr>
              <w:spacing w:line="1336" w:lineRule="exact"/>
              <w:ind w:left="425"/>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67B62AE">
            <w:pPr>
              <w:spacing w:line="686"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依据图纸所示体积分不同</w:t>
            </w:r>
          </w:p>
          <w:p w14:paraId="24B72E76">
            <w:pPr>
              <w:spacing w:line="239" w:lineRule="exact"/>
              <w:ind w:left="108"/>
              <w:rPr>
                <w:rFonts w:hint="eastAsia" w:ascii="宋体" w:hAnsi="宋体" w:eastAsia="宋体" w:cs="宋体"/>
                <w:spacing w:val="-1"/>
                <w:sz w:val="20"/>
                <w:highlight w:val="none"/>
              </w:rPr>
            </w:pPr>
            <w:r>
              <w:rPr>
                <w:rFonts w:hint="eastAsia" w:ascii="宋体" w:hAnsi="宋体" w:eastAsia="宋体" w:cs="宋体"/>
                <w:spacing w:val="-1"/>
                <w:sz w:val="20"/>
                <w:highlight w:val="none"/>
              </w:rPr>
              <w:t>强度等级以立方米为单位计</w:t>
            </w:r>
          </w:p>
          <w:p w14:paraId="23FECAAA">
            <w:pPr>
              <w:spacing w:line="239" w:lineRule="exact"/>
              <w:ind w:left="108"/>
              <w:rPr>
                <w:rFonts w:hint="eastAsia" w:ascii="宋体" w:hAnsi="宋体" w:eastAsia="宋体" w:cs="宋体"/>
                <w:spacing w:val="-1"/>
                <w:sz w:val="20"/>
                <w:highlight w:val="none"/>
              </w:rPr>
            </w:pPr>
            <w:r>
              <w:rPr>
                <w:rFonts w:hint="eastAsia" w:ascii="宋体" w:hAnsi="宋体" w:eastAsia="宋体" w:cs="宋体"/>
                <w:spacing w:val="-1"/>
                <w:sz w:val="20"/>
                <w:highlight w:val="none"/>
              </w:rPr>
              <w:t>量；</w:t>
            </w:r>
          </w:p>
          <w:p w14:paraId="3CE04E93">
            <w:pPr>
              <w:spacing w:line="239" w:lineRule="exact"/>
              <w:ind w:left="108"/>
              <w:rPr>
                <w:rFonts w:hint="eastAsia" w:ascii="宋体" w:hAnsi="宋体" w:eastAsia="宋体" w:cs="宋体"/>
                <w:spacing w:val="-1"/>
                <w:sz w:val="20"/>
                <w:highlight w:val="none"/>
              </w:rPr>
            </w:pPr>
            <w:r>
              <w:rPr>
                <w:rFonts w:hint="eastAsia" w:ascii="宋体" w:hAnsi="宋体" w:eastAsia="宋体" w:cs="宋体"/>
                <w:spacing w:val="-1"/>
                <w:sz w:val="20"/>
                <w:highlight w:val="none"/>
              </w:rPr>
              <w:t>2.钢筋、钢材所占体积及单</w:t>
            </w:r>
          </w:p>
          <w:p w14:paraId="3EE9B41A">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个面积在0.</w:t>
            </w:r>
            <w:r>
              <w:rPr>
                <w:rFonts w:hint="eastAsia" w:ascii="宋体" w:hAnsi="宋体" w:eastAsia="宋体" w:cs="宋体"/>
                <w:spacing w:val="-1"/>
                <w:position w:val="1"/>
                <w:sz w:val="20"/>
                <w:highlight w:val="none"/>
              </w:rPr>
              <w:t>03m以内的孔洞不予扣除</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07C7CED">
            <w:pPr>
              <w:spacing w:line="278"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平整场地；</w:t>
            </w:r>
          </w:p>
          <w:p w14:paraId="5040F73C">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position w:val="1"/>
                <w:sz w:val="20"/>
                <w:highlight w:val="none"/>
              </w:rPr>
              <w:t>搭拆工作平台；支</w:t>
            </w:r>
          </w:p>
          <w:p w14:paraId="5F5C219B">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架搭设、预压与拆除；</w:t>
            </w:r>
          </w:p>
          <w:p w14:paraId="46968CC7">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安、拆模板；</w:t>
            </w:r>
          </w:p>
          <w:p w14:paraId="56CD7361">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position w:val="1"/>
                <w:sz w:val="20"/>
                <w:highlight w:val="none"/>
              </w:rPr>
              <w:t>混凝土配运料、拌</w:t>
            </w:r>
          </w:p>
          <w:p w14:paraId="5E4D3544">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合、运输、浇筑、养</w:t>
            </w:r>
          </w:p>
          <w:p w14:paraId="08B378BC">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护；</w:t>
            </w:r>
          </w:p>
          <w:p w14:paraId="2C07C6C5">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position w:val="1"/>
                <w:sz w:val="20"/>
                <w:highlight w:val="none"/>
              </w:rPr>
              <w:t>施工缝、伸缩缝设</w:t>
            </w:r>
          </w:p>
          <w:p w14:paraId="42E7D5F4">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置处理</w:t>
            </w:r>
          </w:p>
        </w:tc>
      </w:tr>
      <w:tr w14:paraId="22E26107">
        <w:tblPrEx>
          <w:tblCellMar>
            <w:top w:w="0" w:type="dxa"/>
            <w:left w:w="108" w:type="dxa"/>
            <w:bottom w:w="0" w:type="dxa"/>
            <w:right w:w="108" w:type="dxa"/>
          </w:tblCellMar>
        </w:tblPrEx>
        <w:trPr>
          <w:trHeight w:val="203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6FFFC53">
            <w:pPr>
              <w:spacing w:line="1292" w:lineRule="exact"/>
              <w:ind w:left="315"/>
              <w:rPr>
                <w:rFonts w:hint="eastAsia" w:ascii="宋体" w:hAnsi="宋体" w:eastAsia="宋体" w:cs="宋体"/>
                <w:highlight w:val="none"/>
              </w:rPr>
            </w:pPr>
            <w:r>
              <w:rPr>
                <w:rFonts w:hint="eastAsia" w:ascii="宋体" w:hAnsi="宋体" w:eastAsia="宋体" w:cs="宋体"/>
                <w:spacing w:val="-1"/>
                <w:sz w:val="20"/>
                <w:highlight w:val="none"/>
              </w:rPr>
              <w:t>403-5</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E4B3D14">
            <w:pPr>
              <w:spacing w:line="1061" w:lineRule="exact"/>
              <w:ind w:left="282"/>
              <w:rPr>
                <w:rFonts w:hint="eastAsia" w:ascii="宋体" w:hAnsi="宋体" w:eastAsia="宋体" w:cs="宋体"/>
                <w:highlight w:val="none"/>
              </w:rPr>
            </w:pPr>
            <w:r>
              <w:rPr>
                <w:rFonts w:hint="eastAsia" w:ascii="宋体" w:hAnsi="宋体" w:eastAsia="宋体" w:cs="宋体"/>
                <w:spacing w:val="-1"/>
                <w:sz w:val="20"/>
                <w:highlight w:val="none"/>
              </w:rPr>
              <w:t>预制预应力混</w:t>
            </w:r>
          </w:p>
          <w:p w14:paraId="5454483C">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凝土上部结构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10BBAC8">
            <w:pPr>
              <w:spacing w:line="1201" w:lineRule="exact"/>
              <w:ind w:left="425"/>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D0C6618">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依据图纸所示体积分不同</w:t>
            </w:r>
          </w:p>
          <w:p w14:paraId="13C1F719">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强度等级以立方米为单位计</w:t>
            </w:r>
          </w:p>
          <w:p w14:paraId="7E7C7484">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量；</w:t>
            </w:r>
          </w:p>
          <w:p w14:paraId="14F3D518">
            <w:pPr>
              <w:spacing w:line="239" w:lineRule="exact"/>
              <w:ind w:left="108"/>
              <w:rPr>
                <w:rFonts w:hint="eastAsia" w:ascii="宋体" w:hAnsi="宋体" w:eastAsia="宋体" w:cs="宋体"/>
                <w:spacing w:val="-1"/>
                <w:sz w:val="20"/>
                <w:highlight w:val="none"/>
              </w:rPr>
            </w:pPr>
            <w:r>
              <w:rPr>
                <w:rFonts w:hint="eastAsia" w:ascii="宋体" w:hAnsi="宋体" w:eastAsia="宋体" w:cs="宋体"/>
                <w:spacing w:val="-1"/>
                <w:sz w:val="20"/>
                <w:highlight w:val="none"/>
              </w:rPr>
              <w:t>2.钢筋、钢材所占体积及单</w:t>
            </w:r>
          </w:p>
          <w:p w14:paraId="3EA34FE9">
            <w:pPr>
              <w:spacing w:line="239" w:lineRule="exact"/>
              <w:ind w:left="108"/>
              <w:rPr>
                <w:rFonts w:hint="eastAsia" w:ascii="宋体" w:hAnsi="宋体" w:eastAsia="宋体" w:cs="宋体"/>
                <w:spacing w:val="-1"/>
                <w:sz w:val="20"/>
                <w:highlight w:val="none"/>
              </w:rPr>
            </w:pPr>
            <w:r>
              <w:rPr>
                <w:rFonts w:hint="eastAsia" w:ascii="宋体" w:hAnsi="宋体" w:eastAsia="宋体" w:cs="宋体"/>
                <w:spacing w:val="-1"/>
                <w:sz w:val="20"/>
                <w:highlight w:val="none"/>
              </w:rPr>
              <w:t>个面积在0.03m以内的孔洞</w:t>
            </w:r>
          </w:p>
          <w:p w14:paraId="040677FA">
            <w:pPr>
              <w:spacing w:line="239" w:lineRule="exact"/>
              <w:ind w:left="108"/>
              <w:rPr>
                <w:rFonts w:hint="eastAsia" w:ascii="宋体" w:hAnsi="宋体" w:eastAsia="宋体" w:cs="宋体"/>
                <w:spacing w:val="-1"/>
                <w:sz w:val="20"/>
                <w:highlight w:val="none"/>
              </w:rPr>
            </w:pPr>
            <w:r>
              <w:rPr>
                <w:rFonts w:hint="eastAsia" w:ascii="宋体" w:hAnsi="宋体" w:eastAsia="宋体" w:cs="宋体"/>
                <w:spacing w:val="-1"/>
                <w:sz w:val="20"/>
                <w:highlight w:val="none"/>
              </w:rPr>
              <w:t>不予扣除；</w:t>
            </w:r>
          </w:p>
          <w:p w14:paraId="0BBC482C">
            <w:pPr>
              <w:spacing w:line="239" w:lineRule="exact"/>
              <w:ind w:left="108"/>
              <w:rPr>
                <w:rFonts w:hint="eastAsia" w:ascii="宋体" w:hAnsi="宋体" w:eastAsia="宋体" w:cs="宋体"/>
                <w:spacing w:val="-1"/>
                <w:sz w:val="20"/>
                <w:highlight w:val="none"/>
              </w:rPr>
            </w:pPr>
            <w:r>
              <w:rPr>
                <w:rFonts w:hint="eastAsia" w:ascii="宋体" w:hAnsi="宋体" w:eastAsia="宋体" w:cs="宋体"/>
                <w:spacing w:val="-1"/>
                <w:sz w:val="20"/>
                <w:highlight w:val="none"/>
              </w:rPr>
              <w:t>3.后张法预应力混凝土梁封</w:t>
            </w:r>
          </w:p>
          <w:p w14:paraId="5B4D2A8F">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端混凝土工程量列入本子目</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79998DC">
            <w:pPr>
              <w:spacing w:line="414"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平整场地；</w:t>
            </w:r>
          </w:p>
          <w:p w14:paraId="6EE8CCDD">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搭拆工作平台；</w:t>
            </w:r>
          </w:p>
          <w:p w14:paraId="67B70342">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安、拆模板；</w:t>
            </w:r>
          </w:p>
          <w:p w14:paraId="4650C813">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position w:val="1"/>
                <w:sz w:val="20"/>
                <w:highlight w:val="none"/>
              </w:rPr>
              <w:t>混凝土配运料、拌</w:t>
            </w:r>
          </w:p>
          <w:p w14:paraId="35D4AE4E">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合、运输、浇筑、养</w:t>
            </w:r>
          </w:p>
          <w:p w14:paraId="41DB8212">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护；</w:t>
            </w:r>
          </w:p>
          <w:p w14:paraId="321DDB34">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position w:val="1"/>
                <w:sz w:val="20"/>
                <w:highlight w:val="none"/>
              </w:rPr>
              <w:t>预制件运输、安装</w:t>
            </w:r>
          </w:p>
        </w:tc>
      </w:tr>
      <w:tr w14:paraId="79AB40FA">
        <w:tblPrEx>
          <w:tblCellMar>
            <w:top w:w="0" w:type="dxa"/>
            <w:left w:w="108" w:type="dxa"/>
            <w:bottom w:w="0" w:type="dxa"/>
            <w:right w:w="108" w:type="dxa"/>
          </w:tblCellMar>
        </w:tblPrEx>
        <w:trPr>
          <w:trHeight w:val="110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7A88B5C">
            <w:pPr>
              <w:spacing w:line="748" w:lineRule="exact"/>
              <w:ind w:left="315"/>
              <w:rPr>
                <w:rFonts w:hint="eastAsia" w:ascii="宋体" w:hAnsi="宋体" w:eastAsia="宋体" w:cs="宋体"/>
                <w:highlight w:val="none"/>
              </w:rPr>
            </w:pPr>
            <w:r>
              <w:rPr>
                <w:rFonts w:hint="eastAsia" w:ascii="宋体" w:hAnsi="宋体" w:eastAsia="宋体" w:cs="宋体"/>
                <w:spacing w:val="-1"/>
                <w:sz w:val="20"/>
                <w:highlight w:val="none"/>
              </w:rPr>
              <w:t>403-6</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997E18F">
            <w:pPr>
              <w:spacing w:line="519" w:lineRule="exact"/>
              <w:ind w:left="282"/>
              <w:rPr>
                <w:rFonts w:hint="eastAsia" w:ascii="宋体" w:hAnsi="宋体" w:eastAsia="宋体" w:cs="宋体"/>
                <w:highlight w:val="none"/>
              </w:rPr>
            </w:pPr>
            <w:r>
              <w:rPr>
                <w:rFonts w:hint="eastAsia" w:ascii="宋体" w:hAnsi="宋体" w:eastAsia="宋体" w:cs="宋体"/>
                <w:spacing w:val="-1"/>
                <w:sz w:val="20"/>
                <w:highlight w:val="none"/>
              </w:rPr>
              <w:t>先张法预应力</w:t>
            </w:r>
          </w:p>
          <w:p w14:paraId="275A127E">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钢绞线</w:t>
            </w:r>
          </w:p>
        </w:tc>
        <w:tc>
          <w:tcPr>
            <w:tcW w:w="10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882BA12">
            <w:pPr>
              <w:spacing w:line="1300" w:lineRule="exact"/>
              <w:ind w:left="434"/>
              <w:rPr>
                <w:rFonts w:hint="eastAsia" w:ascii="宋体" w:hAnsi="宋体" w:eastAsia="宋体" w:cs="宋体"/>
                <w:highlight w:val="none"/>
              </w:rPr>
            </w:pPr>
            <w:r>
              <w:rPr>
                <w:rFonts w:hint="eastAsia" w:ascii="宋体" w:hAnsi="宋体" w:eastAsia="宋体" w:cs="宋体"/>
                <w:spacing w:val="-1"/>
                <w:sz w:val="20"/>
                <w:highlight w:val="none"/>
              </w:rPr>
              <w:t>kg</w:t>
            </w:r>
          </w:p>
        </w:tc>
        <w:tc>
          <w:tcPr>
            <w:tcW w:w="28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DE65455">
            <w:pPr>
              <w:spacing w:line="422"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依据图纸所示构件长度计</w:t>
            </w:r>
          </w:p>
          <w:p w14:paraId="3547BC95">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算的预应力钢材质量，分不同</w:t>
            </w:r>
          </w:p>
          <w:p w14:paraId="1521ADC7">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材质以千克为单位计量。</w:t>
            </w:r>
          </w:p>
          <w:p w14:paraId="65D0F25B">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除上述计算长度以外的锚</w:t>
            </w:r>
          </w:p>
          <w:p w14:paraId="4591AABA">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固长度及工作长度的预应力</w:t>
            </w:r>
          </w:p>
          <w:p w14:paraId="62199DA3">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钢材含入相应预应力钢材报</w:t>
            </w:r>
          </w:p>
          <w:p w14:paraId="7BC4EC5C">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价之中，不另行计量</w:t>
            </w:r>
          </w:p>
        </w:tc>
        <w:tc>
          <w:tcPr>
            <w:tcW w:w="216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3E93C23">
            <w:pPr>
              <w:spacing w:line="422"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制作安装预应力</w:t>
            </w:r>
          </w:p>
          <w:p w14:paraId="5D64C19B">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钢材；</w:t>
            </w:r>
          </w:p>
          <w:p w14:paraId="2204F098">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制作安装管道；</w:t>
            </w:r>
          </w:p>
          <w:p w14:paraId="4DDE8F64">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安装锚具、锚板；</w:t>
            </w:r>
          </w:p>
          <w:p w14:paraId="54267A84">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张拉；</w:t>
            </w:r>
          </w:p>
          <w:p w14:paraId="49C705A1">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放张；</w:t>
            </w:r>
          </w:p>
          <w:p w14:paraId="6DCD699B">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封锚头</w:t>
            </w:r>
          </w:p>
        </w:tc>
      </w:tr>
      <w:tr w14:paraId="15C660A9">
        <w:tblPrEx>
          <w:tblCellMar>
            <w:top w:w="0" w:type="dxa"/>
            <w:left w:w="108" w:type="dxa"/>
            <w:bottom w:w="0" w:type="dxa"/>
            <w:right w:w="108" w:type="dxa"/>
          </w:tblCellMar>
        </w:tblPrEx>
        <w:trPr>
          <w:trHeight w:val="109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08FFF44">
            <w:pPr>
              <w:spacing w:line="749" w:lineRule="exact"/>
              <w:ind w:left="315"/>
              <w:rPr>
                <w:rFonts w:hint="eastAsia" w:ascii="宋体" w:hAnsi="宋体" w:eastAsia="宋体" w:cs="宋体"/>
                <w:highlight w:val="none"/>
              </w:rPr>
            </w:pPr>
            <w:r>
              <w:rPr>
                <w:rFonts w:hint="eastAsia" w:ascii="宋体" w:hAnsi="宋体" w:eastAsia="宋体" w:cs="宋体"/>
                <w:spacing w:val="-1"/>
                <w:sz w:val="20"/>
                <w:highlight w:val="none"/>
              </w:rPr>
              <w:t>403-7</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6D1B9BF">
            <w:pPr>
              <w:spacing w:line="517" w:lineRule="exact"/>
              <w:ind w:left="282"/>
              <w:rPr>
                <w:rFonts w:hint="eastAsia" w:ascii="宋体" w:hAnsi="宋体" w:eastAsia="宋体" w:cs="宋体"/>
                <w:highlight w:val="none"/>
              </w:rPr>
            </w:pPr>
            <w:r>
              <w:rPr>
                <w:rFonts w:hint="eastAsia" w:ascii="宋体" w:hAnsi="宋体" w:eastAsia="宋体" w:cs="宋体"/>
                <w:spacing w:val="-1"/>
                <w:sz w:val="20"/>
                <w:highlight w:val="none"/>
              </w:rPr>
              <w:t>先张法预应力</w:t>
            </w:r>
          </w:p>
          <w:p w14:paraId="24CD7088">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钢筋</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261C33C">
            <w:pPr>
              <w:spacing w:line="360" w:lineRule="exact"/>
              <w:rPr>
                <w:rFonts w:hint="eastAsia" w:ascii="宋体" w:hAnsi="宋体" w:eastAsia="宋体" w:cs="宋体"/>
                <w:highlight w:val="none"/>
              </w:rPr>
            </w:pPr>
          </w:p>
        </w:tc>
        <w:tc>
          <w:tcPr>
            <w:tcW w:w="28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1BBEACE">
            <w:pPr>
              <w:spacing w:line="360" w:lineRule="exact"/>
              <w:rPr>
                <w:rFonts w:hint="eastAsia" w:ascii="宋体" w:hAnsi="宋体" w:eastAsia="宋体" w:cs="宋体"/>
                <w:highlight w:val="none"/>
              </w:rPr>
            </w:pPr>
          </w:p>
        </w:tc>
        <w:tc>
          <w:tcPr>
            <w:tcW w:w="216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BABAA7A">
            <w:pPr>
              <w:spacing w:line="360" w:lineRule="exact"/>
              <w:rPr>
                <w:rFonts w:hint="eastAsia" w:ascii="宋体" w:hAnsi="宋体" w:eastAsia="宋体" w:cs="宋体"/>
                <w:highlight w:val="none"/>
              </w:rPr>
            </w:pPr>
          </w:p>
        </w:tc>
      </w:tr>
    </w:tbl>
    <w:p w14:paraId="1393311B">
      <w:pPr>
        <w:rPr>
          <w:rFonts w:hint="eastAsia" w:ascii="宋体" w:hAnsi="宋体" w:eastAsia="宋体" w:cs="宋体"/>
          <w:sz w:val="2"/>
          <w:szCs w:val="2"/>
          <w:highlight w:val="none"/>
        </w:rPr>
        <w:sectPr>
          <w:pgSz w:w="11910" w:h="16840"/>
          <w:pgMar w:top="1440" w:right="1080" w:bottom="1040" w:left="1420" w:header="882" w:footer="847" w:gutter="0"/>
          <w:cols w:space="720" w:num="1"/>
        </w:sectPr>
      </w:pPr>
    </w:p>
    <w:p w14:paraId="1954F91E">
      <w:pPr>
        <w:pStyle w:val="10"/>
        <w:spacing w:before="10"/>
        <w:rPr>
          <w:rFonts w:hint="eastAsia" w:ascii="宋体" w:hAnsi="宋体" w:eastAsia="宋体" w:cs="宋体"/>
          <w:sz w:val="11"/>
          <w:highlight w:val="none"/>
        </w:rPr>
      </w:pPr>
    </w:p>
    <w:tbl>
      <w:tblPr>
        <w:tblStyle w:val="24"/>
        <w:tblW w:w="9015" w:type="dxa"/>
        <w:tblInd w:w="0" w:type="dxa"/>
        <w:tblLayout w:type="fixed"/>
        <w:tblCellMar>
          <w:top w:w="0" w:type="dxa"/>
          <w:left w:w="108" w:type="dxa"/>
          <w:bottom w:w="0" w:type="dxa"/>
          <w:right w:w="108" w:type="dxa"/>
        </w:tblCellMar>
      </w:tblPr>
      <w:tblGrid>
        <w:gridCol w:w="1120"/>
        <w:gridCol w:w="1775"/>
        <w:gridCol w:w="1080"/>
        <w:gridCol w:w="2880"/>
        <w:gridCol w:w="2160"/>
      </w:tblGrid>
      <w:tr w14:paraId="1CDF0D15">
        <w:tblPrEx>
          <w:tblCellMar>
            <w:top w:w="0" w:type="dxa"/>
            <w:left w:w="108" w:type="dxa"/>
            <w:bottom w:w="0" w:type="dxa"/>
            <w:right w:w="108" w:type="dxa"/>
          </w:tblCellMar>
        </w:tblPrEx>
        <w:trPr>
          <w:trHeight w:val="125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B99E257">
            <w:pPr>
              <w:spacing w:line="827" w:lineRule="exact"/>
              <w:ind w:left="315"/>
              <w:rPr>
                <w:rFonts w:hint="eastAsia" w:ascii="宋体" w:hAnsi="宋体" w:eastAsia="宋体" w:cs="宋体"/>
                <w:highlight w:val="none"/>
              </w:rPr>
            </w:pPr>
            <w:r>
              <w:rPr>
                <w:rFonts w:hint="eastAsia" w:ascii="宋体" w:hAnsi="宋体" w:eastAsia="宋体" w:cs="宋体"/>
                <w:spacing w:val="-1"/>
                <w:sz w:val="20"/>
                <w:highlight w:val="none"/>
              </w:rPr>
              <w:t>403-8</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DA650A1">
            <w:pPr>
              <w:spacing w:line="597" w:lineRule="exact"/>
              <w:ind w:left="282"/>
              <w:rPr>
                <w:rFonts w:hint="eastAsia" w:ascii="宋体" w:hAnsi="宋体" w:eastAsia="宋体" w:cs="宋体"/>
                <w:highlight w:val="none"/>
              </w:rPr>
            </w:pPr>
            <w:r>
              <w:rPr>
                <w:rFonts w:hint="eastAsia" w:ascii="宋体" w:hAnsi="宋体" w:eastAsia="宋体" w:cs="宋体"/>
                <w:spacing w:val="-1"/>
                <w:sz w:val="20"/>
                <w:highlight w:val="none"/>
              </w:rPr>
              <w:t>后张法预应力</w:t>
            </w:r>
          </w:p>
          <w:p w14:paraId="71F5EE10">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钢绞线</w:t>
            </w:r>
          </w:p>
        </w:tc>
        <w:tc>
          <w:tcPr>
            <w:tcW w:w="10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4BBF97D">
            <w:pPr>
              <w:spacing w:line="1453" w:lineRule="exact"/>
              <w:ind w:left="434"/>
              <w:rPr>
                <w:rFonts w:hint="eastAsia" w:ascii="宋体" w:hAnsi="宋体" w:eastAsia="宋体" w:cs="宋体"/>
                <w:highlight w:val="none"/>
              </w:rPr>
            </w:pPr>
            <w:r>
              <w:rPr>
                <w:rFonts w:hint="eastAsia" w:ascii="宋体" w:hAnsi="宋体" w:eastAsia="宋体" w:cs="宋体"/>
                <w:spacing w:val="-1"/>
                <w:sz w:val="20"/>
                <w:highlight w:val="none"/>
              </w:rPr>
              <w:t>kg</w:t>
            </w:r>
          </w:p>
        </w:tc>
        <w:tc>
          <w:tcPr>
            <w:tcW w:w="28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9F71681">
            <w:pPr>
              <w:spacing w:line="44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按图示两端锚具间的理论</w:t>
            </w:r>
          </w:p>
          <w:p w14:paraId="6E33AF4A">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长度计算的预应力钢材质量，</w:t>
            </w:r>
          </w:p>
          <w:p w14:paraId="26B43ED7">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分不同材质以千克为单位计</w:t>
            </w:r>
          </w:p>
          <w:p w14:paraId="791C8548">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量。</w:t>
            </w:r>
          </w:p>
          <w:p w14:paraId="4415B2BD">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除上述计算长度以外的锚</w:t>
            </w:r>
          </w:p>
          <w:p w14:paraId="5DA1876B">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固长度及工作长度的预应力</w:t>
            </w:r>
          </w:p>
          <w:p w14:paraId="1E53A9E6">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钢材含入相应预应力钢材报</w:t>
            </w:r>
          </w:p>
          <w:p w14:paraId="778CAA80">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价之中，不另行计量</w:t>
            </w:r>
          </w:p>
        </w:tc>
        <w:tc>
          <w:tcPr>
            <w:tcW w:w="216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A2ED385">
            <w:pPr>
              <w:spacing w:line="577"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制作安装预应力</w:t>
            </w:r>
          </w:p>
          <w:p w14:paraId="53D4F46C">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钢材；</w:t>
            </w:r>
          </w:p>
          <w:p w14:paraId="50CCF4DE">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制作安装管道；</w:t>
            </w:r>
          </w:p>
          <w:p w14:paraId="4D62B14D">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安装锚具、锚板；</w:t>
            </w:r>
          </w:p>
          <w:p w14:paraId="0B4DBBB3">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张拉；</w:t>
            </w:r>
          </w:p>
          <w:p w14:paraId="69EF46A1">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压浆；</w:t>
            </w:r>
          </w:p>
          <w:p w14:paraId="33B64877">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封锚头</w:t>
            </w:r>
          </w:p>
        </w:tc>
      </w:tr>
      <w:tr w14:paraId="08CFCC81">
        <w:tblPrEx>
          <w:tblCellMar>
            <w:top w:w="0" w:type="dxa"/>
            <w:left w:w="108" w:type="dxa"/>
            <w:bottom w:w="0" w:type="dxa"/>
            <w:right w:w="108" w:type="dxa"/>
          </w:tblCellMar>
        </w:tblPrEx>
        <w:trPr>
          <w:trHeight w:val="125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160DF79">
            <w:pPr>
              <w:spacing w:line="826" w:lineRule="exact"/>
              <w:ind w:left="315"/>
              <w:rPr>
                <w:rFonts w:hint="eastAsia" w:ascii="宋体" w:hAnsi="宋体" w:eastAsia="宋体" w:cs="宋体"/>
                <w:highlight w:val="none"/>
              </w:rPr>
            </w:pPr>
            <w:r>
              <w:rPr>
                <w:rFonts w:hint="eastAsia" w:ascii="宋体" w:hAnsi="宋体" w:eastAsia="宋体" w:cs="宋体"/>
                <w:spacing w:val="-1"/>
                <w:sz w:val="20"/>
                <w:highlight w:val="none"/>
              </w:rPr>
              <w:t>403-9</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D528F38">
            <w:pPr>
              <w:spacing w:line="597" w:lineRule="exact"/>
              <w:ind w:left="282"/>
              <w:rPr>
                <w:rFonts w:hint="eastAsia" w:ascii="宋体" w:hAnsi="宋体" w:eastAsia="宋体" w:cs="宋体"/>
                <w:highlight w:val="none"/>
              </w:rPr>
            </w:pPr>
            <w:r>
              <w:rPr>
                <w:rFonts w:hint="eastAsia" w:ascii="宋体" w:hAnsi="宋体" w:eastAsia="宋体" w:cs="宋体"/>
                <w:spacing w:val="-1"/>
                <w:sz w:val="20"/>
                <w:highlight w:val="none"/>
              </w:rPr>
              <w:t>后张法预应力</w:t>
            </w:r>
          </w:p>
          <w:p w14:paraId="4C762E66">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钢筋</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DCA6301">
            <w:pPr>
              <w:spacing w:line="360" w:lineRule="exact"/>
              <w:rPr>
                <w:rFonts w:hint="eastAsia" w:ascii="宋体" w:hAnsi="宋体" w:eastAsia="宋体" w:cs="宋体"/>
                <w:highlight w:val="none"/>
              </w:rPr>
            </w:pPr>
          </w:p>
        </w:tc>
        <w:tc>
          <w:tcPr>
            <w:tcW w:w="28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8071F10">
            <w:pPr>
              <w:spacing w:line="360" w:lineRule="exact"/>
              <w:rPr>
                <w:rFonts w:hint="eastAsia" w:ascii="宋体" w:hAnsi="宋体" w:eastAsia="宋体" w:cs="宋体"/>
                <w:highlight w:val="none"/>
              </w:rPr>
            </w:pPr>
          </w:p>
        </w:tc>
        <w:tc>
          <w:tcPr>
            <w:tcW w:w="216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5E8D0D5">
            <w:pPr>
              <w:spacing w:line="360" w:lineRule="exact"/>
              <w:rPr>
                <w:rFonts w:hint="eastAsia" w:ascii="宋体" w:hAnsi="宋体" w:eastAsia="宋体" w:cs="宋体"/>
                <w:highlight w:val="none"/>
              </w:rPr>
            </w:pPr>
          </w:p>
        </w:tc>
      </w:tr>
      <w:tr w14:paraId="2762427A">
        <w:tblPrEx>
          <w:tblCellMar>
            <w:top w:w="0" w:type="dxa"/>
            <w:left w:w="108" w:type="dxa"/>
            <w:bottom w:w="0" w:type="dxa"/>
            <w:right w:w="108" w:type="dxa"/>
          </w:tblCellMar>
        </w:tblPrEx>
        <w:trPr>
          <w:trHeight w:val="52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0C307EA">
            <w:pPr>
              <w:spacing w:line="460" w:lineRule="exact"/>
              <w:ind w:left="401"/>
              <w:rPr>
                <w:rFonts w:hint="eastAsia" w:ascii="宋体" w:hAnsi="宋体" w:eastAsia="宋体" w:cs="宋体"/>
                <w:highlight w:val="none"/>
              </w:rPr>
            </w:pPr>
            <w:r>
              <w:rPr>
                <w:rFonts w:hint="eastAsia" w:ascii="宋体" w:hAnsi="宋体" w:eastAsia="宋体" w:cs="宋体"/>
                <w:spacing w:val="-1"/>
                <w:sz w:val="20"/>
                <w:highlight w:val="none"/>
              </w:rPr>
              <w:t>404</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FFB4C00">
            <w:pPr>
              <w:spacing w:line="409" w:lineRule="exact"/>
              <w:ind w:left="282"/>
              <w:rPr>
                <w:rFonts w:hint="eastAsia" w:ascii="宋体" w:hAnsi="宋体" w:eastAsia="宋体" w:cs="宋体"/>
                <w:highlight w:val="none"/>
              </w:rPr>
            </w:pPr>
            <w:r>
              <w:rPr>
                <w:rFonts w:hint="eastAsia" w:ascii="宋体" w:hAnsi="宋体" w:eastAsia="宋体" w:cs="宋体"/>
                <w:spacing w:val="-1"/>
                <w:sz w:val="20"/>
                <w:highlight w:val="none"/>
              </w:rPr>
              <w:t>附属结构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1C45694">
            <w:pPr>
              <w:spacing w:line="409" w:lineRule="exact"/>
              <w:rPr>
                <w:rFonts w:hint="eastAsia" w:ascii="宋体" w:hAnsi="宋体" w:eastAsia="宋体" w:cs="宋体"/>
                <w:highlight w:val="none"/>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C11962E">
            <w:pPr>
              <w:spacing w:line="409" w:lineRule="exact"/>
              <w:rPr>
                <w:rFonts w:hint="eastAsia" w:ascii="宋体" w:hAnsi="宋体" w:eastAsia="宋体" w:cs="宋体"/>
                <w:highlight w:val="none"/>
              </w:rPr>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FE1A27B">
            <w:pPr>
              <w:spacing w:line="409" w:lineRule="exact"/>
              <w:rPr>
                <w:rFonts w:hint="eastAsia" w:ascii="宋体" w:hAnsi="宋体" w:eastAsia="宋体" w:cs="宋体"/>
                <w:highlight w:val="none"/>
              </w:rPr>
            </w:pPr>
          </w:p>
        </w:tc>
      </w:tr>
      <w:tr w14:paraId="1B1FFD7D">
        <w:tblPrEx>
          <w:tblCellMar>
            <w:top w:w="0" w:type="dxa"/>
            <w:left w:w="108" w:type="dxa"/>
            <w:bottom w:w="0" w:type="dxa"/>
            <w:right w:w="108" w:type="dxa"/>
          </w:tblCellMar>
        </w:tblPrEx>
        <w:trPr>
          <w:trHeight w:val="300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341FA2E">
            <w:pPr>
              <w:spacing w:line="1701" w:lineRule="exact"/>
              <w:ind w:left="315"/>
              <w:rPr>
                <w:rFonts w:hint="eastAsia" w:ascii="宋体" w:hAnsi="宋体" w:eastAsia="宋体" w:cs="宋体"/>
                <w:highlight w:val="none"/>
              </w:rPr>
            </w:pPr>
            <w:r>
              <w:rPr>
                <w:rFonts w:hint="eastAsia" w:ascii="宋体" w:hAnsi="宋体" w:eastAsia="宋体" w:cs="宋体"/>
                <w:spacing w:val="-1"/>
                <w:sz w:val="20"/>
                <w:highlight w:val="none"/>
              </w:rPr>
              <w:t>404-1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A4D6B71">
            <w:pPr>
              <w:spacing w:line="1470" w:lineRule="exact"/>
              <w:ind w:left="282"/>
              <w:rPr>
                <w:rFonts w:hint="eastAsia" w:ascii="宋体" w:hAnsi="宋体" w:eastAsia="宋体" w:cs="宋体"/>
                <w:highlight w:val="none"/>
              </w:rPr>
            </w:pPr>
            <w:r>
              <w:rPr>
                <w:rFonts w:hint="eastAsia" w:ascii="宋体" w:hAnsi="宋体" w:eastAsia="宋体" w:cs="宋体"/>
                <w:spacing w:val="-1"/>
                <w:sz w:val="20"/>
                <w:highlight w:val="none"/>
              </w:rPr>
              <w:t>现浇混凝土附</w:t>
            </w:r>
          </w:p>
          <w:p w14:paraId="14996AF2">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属结构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8728D20">
            <w:pPr>
              <w:spacing w:line="1610" w:lineRule="exact"/>
              <w:ind w:left="425"/>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A619081">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依据图纸所示体积分不同</w:t>
            </w:r>
          </w:p>
          <w:p w14:paraId="4EBF5E61">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强度等级以立方米为单位计</w:t>
            </w:r>
          </w:p>
          <w:p w14:paraId="7F6C7474">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量；</w:t>
            </w:r>
          </w:p>
          <w:p w14:paraId="27D3438D">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直径小于</w:t>
            </w:r>
            <w:r>
              <w:rPr>
                <w:rFonts w:hint="eastAsia" w:ascii="宋体" w:hAnsi="宋体" w:eastAsia="宋体" w:cs="宋体"/>
                <w:sz w:val="20"/>
                <w:highlight w:val="none"/>
              </w:rPr>
              <w:t> </w:t>
            </w:r>
            <w:r>
              <w:rPr>
                <w:rFonts w:hint="eastAsia" w:ascii="宋体" w:hAnsi="宋体" w:eastAsia="宋体" w:cs="宋体"/>
                <w:spacing w:val="-1"/>
                <w:sz w:val="20"/>
                <w:highlight w:val="none"/>
              </w:rPr>
              <w:t>200mm</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的管子、</w:t>
            </w:r>
          </w:p>
          <w:p w14:paraId="73787938">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钢筋、锚固件、管道、泄水孔</w:t>
            </w:r>
          </w:p>
          <w:p w14:paraId="32C29BD7">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或桩所占混凝土体积不予扣</w:t>
            </w:r>
          </w:p>
          <w:p w14:paraId="50209CC8">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除；</w:t>
            </w:r>
          </w:p>
          <w:p w14:paraId="5AAE43F4">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现浇缘石、人行道、防撞</w:t>
            </w:r>
          </w:p>
          <w:p w14:paraId="1DA22C86">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墙、栏杆、护栏、桥头搭板、</w:t>
            </w:r>
          </w:p>
          <w:p w14:paraId="778FCDC1">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枕梁、抗震挡块、支座垫石、</w:t>
            </w:r>
          </w:p>
          <w:p w14:paraId="5C20ADBE">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踏步等列入本子目</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14E7545">
            <w:pPr>
              <w:spacing w:line="96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工作面清理；</w:t>
            </w:r>
          </w:p>
          <w:p w14:paraId="604FAE10">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搭拆作业平台；</w:t>
            </w:r>
          </w:p>
          <w:p w14:paraId="716828A3">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安拆支架、模板；</w:t>
            </w:r>
          </w:p>
          <w:p w14:paraId="14FAC715">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position w:val="1"/>
                <w:sz w:val="20"/>
                <w:highlight w:val="none"/>
              </w:rPr>
              <w:t>混凝土配运料、拌</w:t>
            </w:r>
          </w:p>
          <w:p w14:paraId="2ACC4861">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和、运输、浇筑、养</w:t>
            </w:r>
          </w:p>
          <w:p w14:paraId="7941C993">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护</w:t>
            </w:r>
          </w:p>
        </w:tc>
      </w:tr>
      <w:tr w14:paraId="64A068D5">
        <w:tblPrEx>
          <w:tblCellMar>
            <w:top w:w="0" w:type="dxa"/>
            <w:left w:w="108" w:type="dxa"/>
            <w:bottom w:w="0" w:type="dxa"/>
            <w:right w:w="108" w:type="dxa"/>
          </w:tblCellMar>
        </w:tblPrEx>
        <w:trPr>
          <w:trHeight w:val="300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8A0139F">
            <w:pPr>
              <w:spacing w:line="1700" w:lineRule="exact"/>
              <w:ind w:left="315"/>
              <w:rPr>
                <w:rFonts w:hint="eastAsia" w:ascii="宋体" w:hAnsi="宋体" w:eastAsia="宋体" w:cs="宋体"/>
                <w:highlight w:val="none"/>
              </w:rPr>
            </w:pPr>
            <w:r>
              <w:rPr>
                <w:rFonts w:hint="eastAsia" w:ascii="宋体" w:hAnsi="宋体" w:eastAsia="宋体" w:cs="宋体"/>
                <w:spacing w:val="-1"/>
                <w:sz w:val="20"/>
                <w:highlight w:val="none"/>
              </w:rPr>
              <w:t>404-2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F21A616">
            <w:pPr>
              <w:spacing w:line="1468" w:lineRule="exact"/>
              <w:ind w:left="282"/>
              <w:rPr>
                <w:rFonts w:hint="eastAsia" w:ascii="宋体" w:hAnsi="宋体" w:eastAsia="宋体" w:cs="宋体"/>
                <w:highlight w:val="none"/>
              </w:rPr>
            </w:pPr>
            <w:r>
              <w:rPr>
                <w:rFonts w:hint="eastAsia" w:ascii="宋体" w:hAnsi="宋体" w:eastAsia="宋体" w:cs="宋体"/>
                <w:spacing w:val="-1"/>
                <w:sz w:val="20"/>
                <w:highlight w:val="none"/>
              </w:rPr>
              <w:t>预制混凝土附</w:t>
            </w:r>
          </w:p>
          <w:p w14:paraId="2962EF0E">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属结构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AF640DC">
            <w:pPr>
              <w:spacing w:line="1608" w:lineRule="exact"/>
              <w:ind w:left="425"/>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DC784AF">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依据图纸所示体积分不同</w:t>
            </w:r>
          </w:p>
          <w:p w14:paraId="5096B78E">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强度等级以立方米为单位计</w:t>
            </w:r>
          </w:p>
          <w:p w14:paraId="483CF453">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量；</w:t>
            </w:r>
          </w:p>
          <w:p w14:paraId="70789BD7">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直径小于</w:t>
            </w:r>
            <w:r>
              <w:rPr>
                <w:rFonts w:hint="eastAsia" w:ascii="宋体" w:hAnsi="宋体" w:eastAsia="宋体" w:cs="宋体"/>
                <w:sz w:val="20"/>
                <w:highlight w:val="none"/>
              </w:rPr>
              <w:t> </w:t>
            </w:r>
            <w:r>
              <w:rPr>
                <w:rFonts w:hint="eastAsia" w:ascii="宋体" w:hAnsi="宋体" w:eastAsia="宋体" w:cs="宋体"/>
                <w:spacing w:val="-1"/>
                <w:sz w:val="20"/>
                <w:highlight w:val="none"/>
              </w:rPr>
              <w:t>200mm</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的管子、</w:t>
            </w:r>
          </w:p>
          <w:p w14:paraId="32B978B8">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钢筋、锚固件、管道、泄水孔</w:t>
            </w:r>
          </w:p>
          <w:p w14:paraId="033E41B2">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或桩所占混凝土体积不予扣</w:t>
            </w:r>
          </w:p>
          <w:p w14:paraId="02CDAD38">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除；</w:t>
            </w:r>
          </w:p>
          <w:p w14:paraId="5FA55A73">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现浇缘石、人行道、防撞</w:t>
            </w:r>
          </w:p>
          <w:p w14:paraId="13A1A821">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墙、栏杆、护栏、桥头搭板、</w:t>
            </w:r>
          </w:p>
          <w:p w14:paraId="37F3B5CB">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枕梁、抗震挡块、支座垫石、</w:t>
            </w:r>
          </w:p>
          <w:p w14:paraId="7FC82D94">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踏步等列入本子目</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2E0190E">
            <w:pPr>
              <w:spacing w:line="958"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工作面清理；</w:t>
            </w:r>
          </w:p>
          <w:p w14:paraId="54B9CE27">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搭拆作业平台；</w:t>
            </w:r>
          </w:p>
          <w:p w14:paraId="5ED3FCD7">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安拆支架、模板；</w:t>
            </w:r>
          </w:p>
          <w:p w14:paraId="5DB3255E">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position w:val="1"/>
                <w:sz w:val="20"/>
                <w:highlight w:val="none"/>
              </w:rPr>
              <w:t>混凝土配运料、拌</w:t>
            </w:r>
          </w:p>
          <w:p w14:paraId="791675E8">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和、运输、浇筑、养</w:t>
            </w:r>
          </w:p>
          <w:p w14:paraId="22DA7C49">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护</w:t>
            </w:r>
          </w:p>
        </w:tc>
      </w:tr>
      <w:tr w14:paraId="3142F692">
        <w:tblPrEx>
          <w:tblCellMar>
            <w:top w:w="0" w:type="dxa"/>
            <w:left w:w="108" w:type="dxa"/>
            <w:bottom w:w="0" w:type="dxa"/>
            <w:right w:w="108" w:type="dxa"/>
          </w:tblCellMar>
        </w:tblPrEx>
        <w:trPr>
          <w:trHeight w:val="270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275BBF1">
            <w:pPr>
              <w:spacing w:line="1428" w:lineRule="exact"/>
              <w:ind w:left="315"/>
              <w:rPr>
                <w:rFonts w:hint="eastAsia" w:ascii="宋体" w:hAnsi="宋体" w:eastAsia="宋体" w:cs="宋体"/>
                <w:highlight w:val="none"/>
              </w:rPr>
            </w:pPr>
            <w:r>
              <w:rPr>
                <w:rFonts w:hint="eastAsia" w:ascii="宋体" w:hAnsi="宋体" w:eastAsia="宋体" w:cs="宋体"/>
                <w:spacing w:val="-1"/>
                <w:sz w:val="20"/>
                <w:highlight w:val="none"/>
              </w:rPr>
              <w:t>404-3</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713E361">
            <w:pPr>
              <w:spacing w:line="1378" w:lineRule="exact"/>
              <w:ind w:left="282"/>
              <w:rPr>
                <w:rFonts w:hint="eastAsia" w:ascii="宋体" w:hAnsi="宋体" w:eastAsia="宋体" w:cs="宋体"/>
                <w:highlight w:val="none"/>
              </w:rPr>
            </w:pPr>
            <w:r>
              <w:rPr>
                <w:rFonts w:hint="eastAsia" w:ascii="宋体" w:hAnsi="宋体" w:eastAsia="宋体" w:cs="宋体"/>
                <w:spacing w:val="-1"/>
                <w:sz w:val="20"/>
                <w:highlight w:val="none"/>
              </w:rPr>
              <w:t>钢筋</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2211CCB">
            <w:pPr>
              <w:spacing w:line="1428" w:lineRule="exact"/>
              <w:ind w:left="434"/>
              <w:rPr>
                <w:rFonts w:hint="eastAsia" w:ascii="宋体" w:hAnsi="宋体" w:eastAsia="宋体" w:cs="宋体"/>
                <w:highlight w:val="none"/>
              </w:rPr>
            </w:pPr>
            <w:r>
              <w:rPr>
                <w:rFonts w:hint="eastAsia" w:ascii="宋体" w:hAnsi="宋体" w:eastAsia="宋体" w:cs="宋体"/>
                <w:spacing w:val="-1"/>
                <w:sz w:val="20"/>
                <w:highlight w:val="none"/>
              </w:rPr>
              <w:t>kg</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DA8A099">
            <w:pPr>
              <w:spacing w:line="278"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依据图纸所示及钢筋表所</w:t>
            </w:r>
          </w:p>
          <w:p w14:paraId="48825D8D">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列钢筋质量以千克为单位计</w:t>
            </w:r>
          </w:p>
          <w:p w14:paraId="5C9D4C4D">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量；</w:t>
            </w:r>
          </w:p>
          <w:p w14:paraId="71AD03EE">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固定钢筋的材料、定位架</w:t>
            </w:r>
          </w:p>
          <w:p w14:paraId="0BBA1EE8">
            <w:pPr>
              <w:spacing w:line="237" w:lineRule="exact"/>
              <w:ind w:left="108"/>
              <w:rPr>
                <w:rFonts w:hint="eastAsia" w:ascii="宋体" w:hAnsi="宋体" w:eastAsia="宋体" w:cs="宋体"/>
                <w:highlight w:val="none"/>
              </w:rPr>
            </w:pPr>
            <w:r>
              <w:rPr>
                <w:rFonts w:hint="eastAsia" w:ascii="宋体" w:hAnsi="宋体" w:eastAsia="宋体" w:cs="宋体"/>
                <w:sz w:val="20"/>
                <w:highlight w:val="none"/>
              </w:rPr>
              <w:t>立钢筋、钢筋接头、吊装钢筋、</w:t>
            </w:r>
          </w:p>
          <w:p w14:paraId="266D9B7B">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钢板、铁丝作为钢筋作业的附</w:t>
            </w:r>
          </w:p>
          <w:p w14:paraId="646CE33E">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属工作，不另行计量；</w:t>
            </w:r>
          </w:p>
          <w:p w14:paraId="6713BD57">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钢管作为附属工作，不另</w:t>
            </w:r>
          </w:p>
          <w:p w14:paraId="30E10567">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行计量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2AFC500">
            <w:pPr>
              <w:spacing w:line="686"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钢筋的运输、保</w:t>
            </w:r>
          </w:p>
          <w:p w14:paraId="0F8D6A1B">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护、储存及除锈；</w:t>
            </w:r>
          </w:p>
          <w:p w14:paraId="2DDD39F1">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钢筋整直、接头；</w:t>
            </w:r>
          </w:p>
          <w:p w14:paraId="6B3ED64B">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钢筋截断、弯曲；</w:t>
            </w:r>
          </w:p>
          <w:p w14:paraId="594B0FD5">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position w:val="1"/>
                <w:sz w:val="20"/>
                <w:highlight w:val="none"/>
              </w:rPr>
              <w:t>钢筋安设、支承及</w:t>
            </w:r>
          </w:p>
          <w:p w14:paraId="2004D237">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固定</w:t>
            </w:r>
          </w:p>
        </w:tc>
      </w:tr>
      <w:tr w14:paraId="2E9AD691">
        <w:tblPrEx>
          <w:tblCellMar>
            <w:top w:w="0" w:type="dxa"/>
            <w:left w:w="108" w:type="dxa"/>
            <w:bottom w:w="0" w:type="dxa"/>
            <w:right w:w="108" w:type="dxa"/>
          </w:tblCellMar>
        </w:tblPrEx>
        <w:trPr>
          <w:trHeight w:val="53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94A710C">
            <w:pPr>
              <w:spacing w:line="464" w:lineRule="exact"/>
              <w:ind w:left="401"/>
              <w:rPr>
                <w:rFonts w:hint="eastAsia" w:ascii="宋体" w:hAnsi="宋体" w:eastAsia="宋体" w:cs="宋体"/>
                <w:highlight w:val="none"/>
              </w:rPr>
            </w:pPr>
            <w:r>
              <w:rPr>
                <w:rFonts w:hint="eastAsia" w:ascii="宋体" w:hAnsi="宋体" w:eastAsia="宋体" w:cs="宋体"/>
                <w:spacing w:val="-1"/>
                <w:sz w:val="20"/>
                <w:highlight w:val="none"/>
              </w:rPr>
              <w:t>405</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CEC0265">
            <w:pPr>
              <w:spacing w:line="415" w:lineRule="exact"/>
              <w:ind w:left="282"/>
              <w:rPr>
                <w:rFonts w:hint="eastAsia" w:ascii="宋体" w:hAnsi="宋体" w:eastAsia="宋体" w:cs="宋体"/>
                <w:highlight w:val="none"/>
              </w:rPr>
            </w:pPr>
            <w:r>
              <w:rPr>
                <w:rFonts w:hint="eastAsia" w:ascii="宋体" w:hAnsi="宋体" w:eastAsia="宋体" w:cs="宋体"/>
                <w:spacing w:val="-1"/>
                <w:sz w:val="20"/>
                <w:highlight w:val="none"/>
              </w:rPr>
              <w:t>桥面铺装</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4A106BB">
            <w:pPr>
              <w:spacing w:line="415" w:lineRule="exact"/>
              <w:rPr>
                <w:rFonts w:hint="eastAsia" w:ascii="宋体" w:hAnsi="宋体" w:eastAsia="宋体" w:cs="宋体"/>
                <w:highlight w:val="none"/>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35A6F36">
            <w:pPr>
              <w:spacing w:line="415" w:lineRule="exact"/>
              <w:rPr>
                <w:rFonts w:hint="eastAsia" w:ascii="宋体" w:hAnsi="宋体" w:eastAsia="宋体" w:cs="宋体"/>
                <w:highlight w:val="none"/>
              </w:rPr>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C65301F">
            <w:pPr>
              <w:spacing w:line="415" w:lineRule="exact"/>
              <w:rPr>
                <w:rFonts w:hint="eastAsia" w:ascii="宋体" w:hAnsi="宋体" w:eastAsia="宋体" w:cs="宋体"/>
                <w:highlight w:val="none"/>
              </w:rPr>
            </w:pPr>
          </w:p>
        </w:tc>
      </w:tr>
      <w:tr w14:paraId="390690DF">
        <w:tblPrEx>
          <w:tblCellMar>
            <w:top w:w="0" w:type="dxa"/>
            <w:left w:w="108" w:type="dxa"/>
            <w:bottom w:w="0" w:type="dxa"/>
            <w:right w:w="108" w:type="dxa"/>
          </w:tblCellMar>
        </w:tblPrEx>
        <w:trPr>
          <w:trHeight w:val="164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5B50E20">
            <w:pPr>
              <w:spacing w:line="1020" w:lineRule="exact"/>
              <w:ind w:left="315"/>
              <w:rPr>
                <w:rFonts w:hint="eastAsia" w:ascii="宋体" w:hAnsi="宋体" w:eastAsia="宋体" w:cs="宋体"/>
                <w:highlight w:val="none"/>
              </w:rPr>
            </w:pPr>
            <w:r>
              <w:rPr>
                <w:rFonts w:hint="eastAsia" w:ascii="宋体" w:hAnsi="宋体" w:eastAsia="宋体" w:cs="宋体"/>
                <w:spacing w:val="-1"/>
                <w:sz w:val="20"/>
                <w:highlight w:val="none"/>
              </w:rPr>
              <w:t>405-1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C4106F5">
            <w:pPr>
              <w:spacing w:line="608" w:lineRule="exact"/>
              <w:ind w:left="282"/>
              <w:rPr>
                <w:rFonts w:hint="eastAsia" w:ascii="宋体" w:hAnsi="宋体" w:eastAsia="宋体" w:cs="宋体"/>
                <w:highlight w:val="none"/>
              </w:rPr>
            </w:pPr>
            <w:r>
              <w:rPr>
                <w:rFonts w:hint="eastAsia" w:ascii="宋体" w:hAnsi="宋体" w:eastAsia="宋体" w:cs="宋体"/>
                <w:spacing w:val="-1"/>
                <w:sz w:val="20"/>
                <w:highlight w:val="none"/>
              </w:rPr>
              <w:t>沥青混凝土桥</w:t>
            </w:r>
          </w:p>
          <w:p w14:paraId="48146C8F">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面铺装</w:t>
            </w:r>
          </w:p>
          <w:p w14:paraId="3F6BAB51">
            <w:pPr>
              <w:spacing w:line="395" w:lineRule="exact"/>
              <w:ind w:left="107"/>
              <w:rPr>
                <w:rFonts w:hint="eastAsia" w:ascii="宋体" w:hAnsi="宋体" w:eastAsia="宋体" w:cs="宋体"/>
                <w:highlight w:val="none"/>
              </w:rPr>
            </w:pPr>
            <w:r>
              <w:rPr>
                <w:rFonts w:hint="eastAsia" w:ascii="宋体" w:hAnsi="宋体" w:eastAsia="宋体" w:cs="宋体"/>
                <w:spacing w:val="-1"/>
                <w:position w:val="1"/>
                <w:sz w:val="20"/>
                <w:highlight w:val="none"/>
              </w:rPr>
              <w:t>（厚</w:t>
            </w:r>
            <w:r>
              <w:rPr>
                <w:rFonts w:hint="eastAsia" w:ascii="宋体" w:hAnsi="宋体" w:eastAsia="宋体" w:cs="宋体"/>
                <w:spacing w:val="-1"/>
                <w:sz w:val="20"/>
                <w:highlight w:val="none"/>
              </w:rPr>
              <w:t>…mm</w:t>
            </w:r>
            <w:r>
              <w:rPr>
                <w:rFonts w:hint="eastAsia" w:ascii="宋体" w:hAnsi="宋体" w:eastAsia="宋体" w:cs="宋体"/>
                <w:spacing w:val="-1"/>
                <w:position w:val="1"/>
                <w:sz w:val="20"/>
                <w:highlight w:val="none"/>
              </w:rPr>
              <w:t>）</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035DAED">
            <w:pPr>
              <w:spacing w:line="928" w:lineRule="exact"/>
              <w:ind w:left="425"/>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BF009A6">
            <w:pPr>
              <w:spacing w:line="278"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按图纸所示的位置、尺寸，</w:t>
            </w:r>
          </w:p>
          <w:p w14:paraId="1A6766E2">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分别按不同材料类型，按铺筑</w:t>
            </w:r>
          </w:p>
          <w:p w14:paraId="361BE23F">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厚度以平方米计量；</w:t>
            </w:r>
          </w:p>
          <w:p w14:paraId="328F0989">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防水层、桥面排水管作为</w:t>
            </w:r>
          </w:p>
          <w:p w14:paraId="4672E846">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桥面铺装的附属工作，不另行</w:t>
            </w:r>
          </w:p>
          <w:p w14:paraId="311C65F3">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8774B0F">
            <w:pPr>
              <w:spacing w:line="278"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清理下承层；</w:t>
            </w:r>
          </w:p>
          <w:p w14:paraId="74F3DBC2">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position w:val="1"/>
                <w:sz w:val="20"/>
                <w:highlight w:val="none"/>
              </w:rPr>
              <w:t>拌和设备安装、调</w:t>
            </w:r>
          </w:p>
          <w:p w14:paraId="54414A13">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试、拆除；</w:t>
            </w:r>
          </w:p>
          <w:p w14:paraId="47256A27">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沥青混合料拌和、</w:t>
            </w:r>
          </w:p>
          <w:p w14:paraId="105F936A">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运输、摊铺、压实、</w:t>
            </w:r>
          </w:p>
          <w:p w14:paraId="0EC07DA4">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成型；</w:t>
            </w:r>
          </w:p>
        </w:tc>
      </w:tr>
    </w:tbl>
    <w:p w14:paraId="0E4B8A72">
      <w:pPr>
        <w:spacing w:line="270" w:lineRule="atLeast"/>
        <w:rPr>
          <w:rFonts w:hint="eastAsia" w:ascii="宋体" w:hAnsi="宋体" w:eastAsia="宋体" w:cs="宋体"/>
          <w:sz w:val="21"/>
          <w:highlight w:val="none"/>
        </w:rPr>
        <w:sectPr>
          <w:pgSz w:w="11910" w:h="16840"/>
          <w:pgMar w:top="1440" w:right="1080" w:bottom="1040" w:left="1420" w:header="882" w:footer="847" w:gutter="0"/>
          <w:cols w:space="720" w:num="1"/>
        </w:sectPr>
      </w:pPr>
    </w:p>
    <w:p w14:paraId="41397C3E">
      <w:pPr>
        <w:pStyle w:val="10"/>
        <w:spacing w:before="10"/>
        <w:rPr>
          <w:rFonts w:hint="eastAsia" w:ascii="宋体" w:hAnsi="宋体" w:eastAsia="宋体" w:cs="宋体"/>
          <w:sz w:val="11"/>
          <w:highlight w:val="none"/>
        </w:rPr>
      </w:pPr>
    </w:p>
    <w:tbl>
      <w:tblPr>
        <w:tblStyle w:val="24"/>
        <w:tblW w:w="9015" w:type="dxa"/>
        <w:tblInd w:w="0" w:type="dxa"/>
        <w:tblLayout w:type="fixed"/>
        <w:tblCellMar>
          <w:top w:w="0" w:type="dxa"/>
          <w:left w:w="108" w:type="dxa"/>
          <w:bottom w:w="0" w:type="dxa"/>
          <w:right w:w="108" w:type="dxa"/>
        </w:tblCellMar>
      </w:tblPr>
      <w:tblGrid>
        <w:gridCol w:w="1120"/>
        <w:gridCol w:w="1775"/>
        <w:gridCol w:w="1080"/>
        <w:gridCol w:w="2880"/>
        <w:gridCol w:w="2160"/>
      </w:tblGrid>
      <w:tr w14:paraId="343E8AAA">
        <w:tblPrEx>
          <w:tblCellMar>
            <w:top w:w="0" w:type="dxa"/>
            <w:left w:w="108" w:type="dxa"/>
            <w:bottom w:w="0" w:type="dxa"/>
            <w:right w:w="108" w:type="dxa"/>
          </w:tblCellMar>
        </w:tblPrEx>
        <w:trPr>
          <w:trHeight w:val="555"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4D81143">
            <w:pPr>
              <w:spacing w:line="271" w:lineRule="exact"/>
              <w:rPr>
                <w:rFonts w:hint="eastAsia" w:ascii="宋体" w:hAnsi="宋体" w:eastAsia="宋体" w:cs="宋体"/>
                <w:highlight w:val="none"/>
              </w:rPr>
            </w:pP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8E1979A">
            <w:pPr>
              <w:spacing w:line="271" w:lineRule="exact"/>
              <w:rPr>
                <w:rFonts w:hint="eastAsia" w:ascii="宋体" w:hAnsi="宋体" w:eastAsia="宋体" w:cs="宋体"/>
                <w:highlight w:val="none"/>
              </w:rPr>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11B0B57">
            <w:pPr>
              <w:spacing w:line="271" w:lineRule="exact"/>
              <w:rPr>
                <w:rFonts w:hint="eastAsia" w:ascii="宋体" w:hAnsi="宋体" w:eastAsia="宋体" w:cs="宋体"/>
                <w:highlight w:val="none"/>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107587A">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由于施工原因而超铺的不</w:t>
            </w:r>
          </w:p>
          <w:p w14:paraId="60DDACDE">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予计量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C1BDEEB">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接缝；</w:t>
            </w:r>
          </w:p>
          <w:p w14:paraId="02198B17">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初期养护</w:t>
            </w:r>
          </w:p>
        </w:tc>
      </w:tr>
      <w:tr w14:paraId="3A230E25">
        <w:tblPrEx>
          <w:tblCellMar>
            <w:top w:w="0" w:type="dxa"/>
            <w:left w:w="108" w:type="dxa"/>
            <w:bottom w:w="0" w:type="dxa"/>
            <w:right w:w="108" w:type="dxa"/>
          </w:tblCellMar>
        </w:tblPrEx>
        <w:trPr>
          <w:trHeight w:val="2188"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3F337D7">
            <w:pPr>
              <w:spacing w:line="1292" w:lineRule="exact"/>
              <w:ind w:left="315"/>
              <w:rPr>
                <w:rFonts w:hint="eastAsia" w:ascii="宋体" w:hAnsi="宋体" w:eastAsia="宋体" w:cs="宋体"/>
                <w:highlight w:val="none"/>
              </w:rPr>
            </w:pPr>
            <w:r>
              <w:rPr>
                <w:rFonts w:hint="eastAsia" w:ascii="宋体" w:hAnsi="宋体" w:eastAsia="宋体" w:cs="宋体"/>
                <w:spacing w:val="-1"/>
                <w:sz w:val="20"/>
                <w:highlight w:val="none"/>
              </w:rPr>
              <w:t>405-2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5D5732A">
            <w:pPr>
              <w:spacing w:line="1062" w:lineRule="exact"/>
              <w:ind w:left="282"/>
              <w:rPr>
                <w:rFonts w:hint="eastAsia" w:ascii="宋体" w:hAnsi="宋体" w:eastAsia="宋体" w:cs="宋体"/>
                <w:highlight w:val="none"/>
              </w:rPr>
            </w:pPr>
            <w:r>
              <w:rPr>
                <w:rFonts w:hint="eastAsia" w:ascii="宋体" w:hAnsi="宋体" w:eastAsia="宋体" w:cs="宋体"/>
                <w:spacing w:val="-1"/>
                <w:sz w:val="20"/>
                <w:highlight w:val="none"/>
              </w:rPr>
              <w:t>水泥混凝土桥</w:t>
            </w:r>
          </w:p>
          <w:p w14:paraId="210EA2B0">
            <w:pPr>
              <w:spacing w:line="395" w:lineRule="exact"/>
              <w:ind w:left="107"/>
              <w:rPr>
                <w:rFonts w:hint="eastAsia" w:ascii="宋体" w:hAnsi="宋体" w:eastAsia="宋体" w:cs="宋体"/>
                <w:highlight w:val="none"/>
              </w:rPr>
            </w:pPr>
            <w:r>
              <w:rPr>
                <w:rFonts w:hint="eastAsia" w:ascii="宋体" w:hAnsi="宋体" w:eastAsia="宋体" w:cs="宋体"/>
                <w:spacing w:val="-1"/>
                <w:position w:val="1"/>
                <w:sz w:val="20"/>
                <w:highlight w:val="none"/>
              </w:rPr>
              <w:t>面铺装（</w:t>
            </w:r>
            <w:r>
              <w:rPr>
                <w:rFonts w:hint="eastAsia" w:ascii="宋体" w:hAnsi="宋体" w:eastAsia="宋体" w:cs="宋体"/>
                <w:spacing w:val="-1"/>
                <w:sz w:val="20"/>
                <w:highlight w:val="none"/>
              </w:rPr>
              <w:t>C…</w:t>
            </w:r>
            <w:r>
              <w:rPr>
                <w:rFonts w:hint="eastAsia" w:ascii="宋体" w:hAnsi="宋体" w:eastAsia="宋体" w:cs="宋体"/>
                <w:spacing w:val="-1"/>
                <w:position w:val="1"/>
                <w:sz w:val="20"/>
                <w:highlight w:val="none"/>
              </w:rPr>
              <w:t>）</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6F8300B">
            <w:pPr>
              <w:spacing w:line="1200" w:lineRule="exact"/>
              <w:ind w:left="425"/>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6BF6457">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依据图纸所示位置、尺寸，</w:t>
            </w:r>
          </w:p>
          <w:p w14:paraId="4A40061E">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分不同混凝土强度等级，按铺</w:t>
            </w:r>
          </w:p>
          <w:p w14:paraId="7850A29C">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筑厚度以平方米为单位计量；</w:t>
            </w:r>
          </w:p>
          <w:p w14:paraId="31683606">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防水层、桥面排水管作为</w:t>
            </w:r>
          </w:p>
          <w:p w14:paraId="3BA3F8B0">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桥面铺装的附属工作，不另行</w:t>
            </w:r>
          </w:p>
          <w:p w14:paraId="6128328C">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计量；</w:t>
            </w:r>
          </w:p>
          <w:p w14:paraId="2FAF268A">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由于施工原因而超铺的不</w:t>
            </w:r>
          </w:p>
          <w:p w14:paraId="4AECFA1A">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予计量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C2BAC0B">
            <w:pPr>
              <w:spacing w:line="55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场地清理；</w:t>
            </w:r>
          </w:p>
          <w:p w14:paraId="3F8674C1">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position w:val="1"/>
                <w:sz w:val="20"/>
                <w:highlight w:val="none"/>
              </w:rPr>
              <w:t>混凝土配运料、拌</w:t>
            </w:r>
          </w:p>
          <w:p w14:paraId="647FF0A0">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和、运输、浇筑、振</w:t>
            </w:r>
          </w:p>
          <w:p w14:paraId="665B49D7">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捣、养护；</w:t>
            </w:r>
          </w:p>
          <w:p w14:paraId="63519598">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position w:val="1"/>
                <w:sz w:val="20"/>
                <w:highlight w:val="none"/>
              </w:rPr>
              <w:t>施工缝、沉降缝设</w:t>
            </w:r>
          </w:p>
          <w:p w14:paraId="19CA2460">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置处理</w:t>
            </w:r>
          </w:p>
        </w:tc>
      </w:tr>
      <w:tr w14:paraId="154E741F">
        <w:tblPrEx>
          <w:tblCellMar>
            <w:top w:w="0" w:type="dxa"/>
            <w:left w:w="108" w:type="dxa"/>
            <w:bottom w:w="0" w:type="dxa"/>
            <w:right w:w="108" w:type="dxa"/>
          </w:tblCellMar>
        </w:tblPrEx>
        <w:trPr>
          <w:trHeight w:val="218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7773CBE">
            <w:pPr>
              <w:spacing w:line="1292" w:lineRule="exact"/>
              <w:ind w:left="401"/>
              <w:rPr>
                <w:rFonts w:hint="eastAsia" w:ascii="宋体" w:hAnsi="宋体" w:eastAsia="宋体" w:cs="宋体"/>
                <w:highlight w:val="none"/>
              </w:rPr>
            </w:pPr>
            <w:r>
              <w:rPr>
                <w:rFonts w:hint="eastAsia" w:ascii="宋体" w:hAnsi="宋体" w:eastAsia="宋体" w:cs="宋体"/>
                <w:spacing w:val="-1"/>
                <w:sz w:val="20"/>
                <w:highlight w:val="none"/>
              </w:rPr>
              <w:t>406</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5083E0F">
            <w:pPr>
              <w:spacing w:line="1243" w:lineRule="exact"/>
              <w:ind w:left="282"/>
              <w:rPr>
                <w:rFonts w:hint="eastAsia" w:ascii="宋体" w:hAnsi="宋体" w:eastAsia="宋体" w:cs="宋体"/>
                <w:highlight w:val="none"/>
              </w:rPr>
            </w:pPr>
            <w:r>
              <w:rPr>
                <w:rFonts w:hint="eastAsia" w:ascii="宋体" w:hAnsi="宋体" w:eastAsia="宋体" w:cs="宋体"/>
                <w:spacing w:val="-1"/>
                <w:sz w:val="20"/>
                <w:highlight w:val="none"/>
              </w:rPr>
              <w:t>桥梁支座</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91020FF">
            <w:pPr>
              <w:spacing w:line="1243" w:lineRule="exact"/>
              <w:ind w:left="434"/>
              <w:rPr>
                <w:rFonts w:hint="eastAsia" w:ascii="宋体" w:hAnsi="宋体" w:eastAsia="宋体" w:cs="宋体"/>
                <w:highlight w:val="none"/>
              </w:rPr>
            </w:pPr>
            <w:r>
              <w:rPr>
                <w:rFonts w:hint="eastAsia" w:ascii="宋体" w:hAnsi="宋体" w:eastAsia="宋体" w:cs="宋体"/>
                <w:spacing w:val="-1"/>
                <w:sz w:val="20"/>
                <w:highlight w:val="none"/>
              </w:rPr>
              <w:t>个</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9A1D1AC">
            <w:pPr>
              <w:spacing w:line="790" w:lineRule="exact"/>
              <w:ind w:left="281"/>
              <w:rPr>
                <w:rFonts w:hint="eastAsia" w:ascii="宋体" w:hAnsi="宋体" w:eastAsia="宋体" w:cs="宋体"/>
                <w:highlight w:val="none"/>
              </w:rPr>
            </w:pPr>
            <w:r>
              <w:rPr>
                <w:rFonts w:hint="eastAsia" w:ascii="宋体" w:hAnsi="宋体" w:eastAsia="宋体" w:cs="宋体"/>
                <w:spacing w:val="-1"/>
                <w:sz w:val="20"/>
                <w:highlight w:val="none"/>
              </w:rPr>
              <w:t>依据图纸所示位置及尺寸，</w:t>
            </w:r>
          </w:p>
          <w:p w14:paraId="74CD6B6D">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安装图纸所示类型及规格支</w:t>
            </w:r>
          </w:p>
          <w:p w14:paraId="43BC8363">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座就位，按图示数量分不同型</w:t>
            </w:r>
          </w:p>
          <w:p w14:paraId="0C32FF60">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号、支座反力以个为单位计量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8A0674F">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清洁整平混凝土</w:t>
            </w:r>
          </w:p>
          <w:p w14:paraId="2C5C9829">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表面；</w:t>
            </w:r>
          </w:p>
          <w:p w14:paraId="73ACC737">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砂浆配运料、拌</w:t>
            </w:r>
          </w:p>
          <w:p w14:paraId="1C3B0BEF">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和，接触面抹平；</w:t>
            </w:r>
          </w:p>
          <w:p w14:paraId="446DF520">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钢板制作与安装；</w:t>
            </w:r>
          </w:p>
          <w:p w14:paraId="4AE8AE7A">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吊装设备安拆；</w:t>
            </w:r>
          </w:p>
          <w:p w14:paraId="7F4192EC">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支座定位安装；</w:t>
            </w:r>
          </w:p>
          <w:p w14:paraId="7EDF86EB">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支座焊接固定</w:t>
            </w:r>
          </w:p>
        </w:tc>
      </w:tr>
      <w:tr w14:paraId="2B7B1339">
        <w:tblPrEx>
          <w:tblCellMar>
            <w:top w:w="0" w:type="dxa"/>
            <w:left w:w="108" w:type="dxa"/>
            <w:bottom w:w="0" w:type="dxa"/>
            <w:right w:w="108" w:type="dxa"/>
          </w:tblCellMar>
        </w:tblPrEx>
        <w:trPr>
          <w:trHeight w:val="218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CCB713F">
            <w:pPr>
              <w:spacing w:line="1292" w:lineRule="exact"/>
              <w:ind w:left="401"/>
              <w:rPr>
                <w:rFonts w:hint="eastAsia" w:ascii="宋体" w:hAnsi="宋体" w:eastAsia="宋体" w:cs="宋体"/>
                <w:highlight w:val="none"/>
              </w:rPr>
            </w:pPr>
            <w:r>
              <w:rPr>
                <w:rFonts w:hint="eastAsia" w:ascii="宋体" w:hAnsi="宋体" w:eastAsia="宋体" w:cs="宋体"/>
                <w:spacing w:val="-1"/>
                <w:sz w:val="20"/>
                <w:highlight w:val="none"/>
              </w:rPr>
              <w:t>407</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30BA547">
            <w:pPr>
              <w:spacing w:line="1243" w:lineRule="exact"/>
              <w:ind w:left="282"/>
              <w:rPr>
                <w:rFonts w:hint="eastAsia" w:ascii="宋体" w:hAnsi="宋体" w:eastAsia="宋体" w:cs="宋体"/>
                <w:highlight w:val="none"/>
              </w:rPr>
            </w:pPr>
            <w:r>
              <w:rPr>
                <w:rFonts w:hint="eastAsia" w:ascii="宋体" w:hAnsi="宋体" w:eastAsia="宋体" w:cs="宋体"/>
                <w:spacing w:val="-1"/>
                <w:sz w:val="20"/>
                <w:highlight w:val="none"/>
              </w:rPr>
              <w:t>桥梁伸缩装置</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83C611F">
            <w:pPr>
              <w:spacing w:line="1292" w:lineRule="exact"/>
              <w:ind w:left="458"/>
              <w:rPr>
                <w:rFonts w:hint="eastAsia" w:ascii="宋体" w:hAnsi="宋体" w:eastAsia="宋体" w:cs="宋体"/>
                <w:highlight w:val="none"/>
              </w:rPr>
            </w:pPr>
            <w:r>
              <w:rPr>
                <w:rFonts w:hint="eastAsia" w:ascii="宋体" w:hAnsi="宋体" w:eastAsia="宋体" w:cs="宋体"/>
                <w:sz w:val="20"/>
                <w:highlight w:val="none"/>
              </w:rPr>
              <w:t>m</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E54351A">
            <w:pPr>
              <w:spacing w:line="516" w:lineRule="exact"/>
              <w:ind w:left="281"/>
              <w:rPr>
                <w:rFonts w:hint="eastAsia" w:ascii="宋体" w:hAnsi="宋体" w:eastAsia="宋体" w:cs="宋体"/>
                <w:highlight w:val="none"/>
              </w:rPr>
            </w:pPr>
            <w:r>
              <w:rPr>
                <w:rFonts w:hint="eastAsia" w:ascii="宋体" w:hAnsi="宋体" w:eastAsia="宋体" w:cs="宋体"/>
                <w:spacing w:val="-1"/>
                <w:sz w:val="20"/>
                <w:highlight w:val="none"/>
              </w:rPr>
              <w:t>依据图纸所示位置及尺寸，</w:t>
            </w:r>
          </w:p>
          <w:p w14:paraId="4631EDB5">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安装图示类型和规格的伸缩</w:t>
            </w:r>
          </w:p>
          <w:p w14:paraId="6AD8A7CD">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装置，按图示长度（包括人行</w:t>
            </w:r>
          </w:p>
          <w:p w14:paraId="60A46A8A">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道、缘石、护栏底座与行车道</w:t>
            </w:r>
          </w:p>
          <w:p w14:paraId="0EFD19CF">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等全部长度），分不同伸缩量</w:t>
            </w:r>
          </w:p>
          <w:p w14:paraId="39590CD4">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以米为单位计量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ABACF3A">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切割清理伸缩装</w:t>
            </w:r>
          </w:p>
          <w:p w14:paraId="1EF609E1">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置范围内混凝土；设</w:t>
            </w:r>
          </w:p>
          <w:p w14:paraId="545C77CF">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置预埋件；</w:t>
            </w:r>
          </w:p>
          <w:p w14:paraId="0438441F">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position w:val="1"/>
                <w:sz w:val="20"/>
                <w:highlight w:val="none"/>
              </w:rPr>
              <w:t>伸缩装置定位、安</w:t>
            </w:r>
          </w:p>
          <w:p w14:paraId="742AD873">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装；</w:t>
            </w:r>
          </w:p>
          <w:p w14:paraId="7063125E">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混凝土拌和、运</w:t>
            </w:r>
          </w:p>
          <w:p w14:paraId="77C8D0CF">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输、浇筑、压纹、养</w:t>
            </w:r>
          </w:p>
          <w:p w14:paraId="3FA58A60">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护</w:t>
            </w:r>
          </w:p>
        </w:tc>
      </w:tr>
    </w:tbl>
    <w:p w14:paraId="60352500">
      <w:pPr>
        <w:spacing w:line="270" w:lineRule="atLeast"/>
        <w:rPr>
          <w:rFonts w:hint="eastAsia" w:ascii="宋体" w:hAnsi="宋体" w:eastAsia="宋体" w:cs="宋体"/>
          <w:sz w:val="21"/>
          <w:highlight w:val="none"/>
        </w:rPr>
        <w:sectPr>
          <w:pgSz w:w="11910" w:h="16840"/>
          <w:pgMar w:top="1440" w:right="1080" w:bottom="1040" w:left="1420" w:header="882" w:footer="847" w:gutter="0"/>
          <w:cols w:space="720" w:num="1"/>
        </w:sectPr>
      </w:pPr>
    </w:p>
    <w:p w14:paraId="2E498ED8">
      <w:pPr>
        <w:spacing w:before="139"/>
        <w:ind w:left="86" w:right="203"/>
        <w:jc w:val="center"/>
        <w:rPr>
          <w:rFonts w:hint="eastAsia" w:ascii="宋体" w:hAnsi="宋体" w:eastAsia="宋体" w:cs="宋体"/>
          <w:sz w:val="28"/>
          <w:highlight w:val="none"/>
        </w:rPr>
      </w:pPr>
      <w:r>
        <w:rPr>
          <w:rFonts w:hint="eastAsia" w:ascii="宋体" w:hAnsi="宋体" w:eastAsia="宋体" w:cs="宋体"/>
          <w:sz w:val="28"/>
          <w:highlight w:val="none"/>
        </w:rPr>
        <w:t>第 500 章 排水与涵洞</w:t>
      </w:r>
    </w:p>
    <w:p w14:paraId="2F6F1CF6">
      <w:pPr>
        <w:pStyle w:val="10"/>
        <w:spacing w:before="1"/>
        <w:rPr>
          <w:rFonts w:hint="eastAsia" w:ascii="宋体" w:hAnsi="宋体" w:eastAsia="宋体" w:cs="宋体"/>
          <w:sz w:val="18"/>
          <w:highlight w:val="none"/>
        </w:rPr>
      </w:pPr>
    </w:p>
    <w:tbl>
      <w:tblPr>
        <w:tblStyle w:val="24"/>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14:paraId="6173C6CF">
        <w:tblPrEx>
          <w:tblCellMar>
            <w:top w:w="0" w:type="dxa"/>
            <w:left w:w="108" w:type="dxa"/>
            <w:bottom w:w="0" w:type="dxa"/>
            <w:right w:w="108" w:type="dxa"/>
          </w:tblCellMar>
        </w:tblPrEx>
        <w:trPr>
          <w:trHeight w:val="48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2919467">
            <w:pPr>
              <w:spacing w:line="345" w:lineRule="exact"/>
              <w:ind w:left="265"/>
              <w:rPr>
                <w:rFonts w:hint="eastAsia" w:ascii="宋体" w:hAnsi="宋体" w:eastAsia="宋体" w:cs="宋体"/>
                <w:highlight w:val="none"/>
              </w:rPr>
            </w:pPr>
            <w:r>
              <w:rPr>
                <w:rFonts w:hint="eastAsia" w:ascii="宋体" w:hAnsi="宋体" w:eastAsia="宋体" w:cs="宋体"/>
                <w:spacing w:val="-1"/>
                <w:sz w:val="20"/>
                <w:highlight w:val="none"/>
              </w:rPr>
              <w:t>子目号</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0C7F05A">
            <w:pPr>
              <w:spacing w:line="345" w:lineRule="exact"/>
              <w:ind w:left="464"/>
              <w:rPr>
                <w:rFonts w:hint="eastAsia" w:ascii="宋体" w:hAnsi="宋体" w:eastAsia="宋体" w:cs="宋体"/>
                <w:highlight w:val="none"/>
              </w:rPr>
            </w:pPr>
            <w:r>
              <w:rPr>
                <w:rFonts w:hint="eastAsia" w:ascii="宋体" w:hAnsi="宋体" w:eastAsia="宋体" w:cs="宋体"/>
                <w:spacing w:val="-1"/>
                <w:sz w:val="20"/>
                <w:highlight w:val="none"/>
              </w:rPr>
              <w:t>子目名称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EAE353D">
            <w:pPr>
              <w:spacing w:line="345" w:lineRule="exact"/>
              <w:ind w:left="330"/>
              <w:rPr>
                <w:rFonts w:hint="eastAsia" w:ascii="宋体" w:hAnsi="宋体" w:eastAsia="宋体" w:cs="宋体"/>
                <w:highlight w:val="none"/>
              </w:rPr>
            </w:pPr>
            <w:r>
              <w:rPr>
                <w:rFonts w:hint="eastAsia" w:ascii="宋体" w:hAnsi="宋体" w:eastAsia="宋体" w:cs="宋体"/>
                <w:spacing w:val="-1"/>
                <w:sz w:val="20"/>
                <w:highlight w:val="none"/>
              </w:rPr>
              <w:t>单位</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9CB8B25">
            <w:pPr>
              <w:spacing w:line="345" w:lineRule="exact"/>
              <w:ind w:left="716"/>
              <w:rPr>
                <w:rFonts w:hint="eastAsia" w:ascii="宋体" w:hAnsi="宋体" w:eastAsia="宋体" w:cs="宋体"/>
                <w:highlight w:val="none"/>
              </w:rPr>
            </w:pPr>
            <w:r>
              <w:rPr>
                <w:rFonts w:hint="eastAsia" w:ascii="宋体" w:hAnsi="宋体" w:eastAsia="宋体" w:cs="宋体"/>
                <w:spacing w:val="-1"/>
                <w:sz w:val="20"/>
                <w:highlight w:val="none"/>
              </w:rPr>
              <w:t>工程量计量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297E6A7">
            <w:pPr>
              <w:spacing w:line="345" w:lineRule="exact"/>
              <w:ind w:left="840"/>
              <w:rPr>
                <w:rFonts w:hint="eastAsia" w:ascii="宋体" w:hAnsi="宋体" w:eastAsia="宋体" w:cs="宋体"/>
                <w:highlight w:val="none"/>
              </w:rPr>
            </w:pPr>
            <w:r>
              <w:rPr>
                <w:rFonts w:hint="eastAsia" w:ascii="宋体" w:hAnsi="宋体" w:eastAsia="宋体" w:cs="宋体"/>
                <w:spacing w:val="-1"/>
                <w:sz w:val="20"/>
                <w:highlight w:val="none"/>
              </w:rPr>
              <w:t>工程内容</w:t>
            </w:r>
          </w:p>
        </w:tc>
      </w:tr>
      <w:tr w14:paraId="3FED9568">
        <w:tblPrEx>
          <w:tblCellMar>
            <w:top w:w="0" w:type="dxa"/>
            <w:left w:w="108" w:type="dxa"/>
            <w:bottom w:w="0" w:type="dxa"/>
            <w:right w:w="108" w:type="dxa"/>
          </w:tblCellMar>
        </w:tblPrEx>
        <w:trPr>
          <w:trHeight w:val="5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3230C1B">
            <w:pPr>
              <w:spacing w:line="416" w:lineRule="exact"/>
              <w:ind w:left="337"/>
              <w:rPr>
                <w:rFonts w:hint="eastAsia" w:ascii="宋体" w:hAnsi="宋体" w:eastAsia="宋体" w:cs="宋体"/>
                <w:highlight w:val="none"/>
              </w:rPr>
            </w:pPr>
            <w:r>
              <w:rPr>
                <w:rFonts w:hint="eastAsia" w:ascii="宋体" w:hAnsi="宋体" w:eastAsia="宋体" w:cs="宋体"/>
                <w:spacing w:val="-1"/>
                <w:sz w:val="20"/>
                <w:highlight w:val="none"/>
              </w:rPr>
              <w:t>501-1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034ADF0">
            <w:pPr>
              <w:spacing w:line="245" w:lineRule="exact"/>
              <w:ind w:left="282"/>
              <w:rPr>
                <w:rFonts w:hint="eastAsia" w:ascii="宋体" w:hAnsi="宋体" w:eastAsia="宋体" w:cs="宋体"/>
                <w:highlight w:val="none"/>
              </w:rPr>
            </w:pPr>
            <w:r>
              <w:rPr>
                <w:rFonts w:hint="eastAsia" w:ascii="宋体" w:hAnsi="宋体" w:eastAsia="宋体" w:cs="宋体"/>
                <w:spacing w:val="-1"/>
                <w:sz w:val="20"/>
                <w:highlight w:val="none"/>
              </w:rPr>
              <w:t>边沟、排水沟、</w:t>
            </w:r>
          </w:p>
          <w:p w14:paraId="150A9E62">
            <w:pPr>
              <w:spacing w:line="274" w:lineRule="exact"/>
              <w:ind w:left="107"/>
              <w:rPr>
                <w:rFonts w:hint="eastAsia" w:ascii="宋体" w:hAnsi="宋体" w:eastAsia="宋体" w:cs="宋体"/>
                <w:highlight w:val="none"/>
              </w:rPr>
            </w:pPr>
            <w:r>
              <w:rPr>
                <w:rFonts w:hint="eastAsia" w:ascii="宋体" w:hAnsi="宋体" w:eastAsia="宋体" w:cs="宋体"/>
                <w:spacing w:val="-1"/>
                <w:sz w:val="20"/>
                <w:highlight w:val="none"/>
              </w:rPr>
              <w:t>截水沟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30752BC">
            <w:pPr>
              <w:spacing w:line="274" w:lineRule="exact"/>
              <w:rPr>
                <w:rFonts w:hint="eastAsia" w:ascii="宋体" w:hAnsi="宋体" w:eastAsia="宋体" w:cs="宋体"/>
                <w:highlight w:val="none"/>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2171DDA">
            <w:pPr>
              <w:spacing w:line="274"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7D4864F">
            <w:pPr>
              <w:spacing w:line="274" w:lineRule="exact"/>
              <w:rPr>
                <w:rFonts w:hint="eastAsia" w:ascii="宋体" w:hAnsi="宋体" w:eastAsia="宋体" w:cs="宋体"/>
                <w:highlight w:val="none"/>
              </w:rPr>
            </w:pPr>
          </w:p>
        </w:tc>
      </w:tr>
      <w:tr w14:paraId="7F470D55">
        <w:tblPrEx>
          <w:tblCellMar>
            <w:top w:w="0" w:type="dxa"/>
            <w:left w:w="108" w:type="dxa"/>
            <w:bottom w:w="0" w:type="dxa"/>
            <w:right w:w="108" w:type="dxa"/>
          </w:tblCellMar>
        </w:tblPrEx>
        <w:trPr>
          <w:trHeight w:val="218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94798F1">
            <w:pPr>
              <w:spacing w:line="1292" w:lineRule="exact"/>
              <w:ind w:left="500"/>
              <w:rPr>
                <w:rFonts w:hint="eastAsia" w:ascii="宋体" w:hAnsi="宋体" w:eastAsia="宋体" w:cs="宋体"/>
                <w:highlight w:val="none"/>
              </w:rPr>
            </w:pPr>
            <w:r>
              <w:rPr>
                <w:rFonts w:hint="eastAsia" w:ascii="宋体" w:hAnsi="宋体" w:eastAsia="宋体" w:cs="宋体"/>
                <w:spacing w:val="-1"/>
                <w:sz w:val="20"/>
                <w:highlight w:val="none"/>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F15359B">
            <w:pPr>
              <w:spacing w:line="1240" w:lineRule="exact"/>
              <w:ind w:left="282"/>
              <w:rPr>
                <w:rFonts w:hint="eastAsia" w:ascii="宋体" w:hAnsi="宋体" w:eastAsia="宋体" w:cs="宋体"/>
                <w:highlight w:val="none"/>
              </w:rPr>
            </w:pPr>
            <w:r>
              <w:rPr>
                <w:rFonts w:hint="eastAsia" w:ascii="宋体" w:hAnsi="宋体" w:eastAsia="宋体" w:cs="宋体"/>
                <w:spacing w:val="-1"/>
                <w:sz w:val="20"/>
                <w:highlight w:val="none"/>
              </w:rPr>
              <w:t>浆砌片（卵）石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71F9F9E">
            <w:pPr>
              <w:spacing w:line="1200"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CAA390C">
            <w:pPr>
              <w:spacing w:line="789"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依据图纸所示位置及</w:t>
            </w:r>
          </w:p>
          <w:p w14:paraId="2F847543">
            <w:pPr>
              <w:spacing w:line="271" w:lineRule="exact"/>
              <w:ind w:left="109"/>
              <w:rPr>
                <w:rFonts w:hint="eastAsia" w:ascii="宋体" w:hAnsi="宋体" w:eastAsia="宋体" w:cs="宋体"/>
                <w:highlight w:val="none"/>
              </w:rPr>
            </w:pPr>
            <w:r>
              <w:rPr>
                <w:rFonts w:hint="eastAsia" w:ascii="宋体" w:hAnsi="宋体" w:eastAsia="宋体" w:cs="宋体"/>
                <w:sz w:val="20"/>
                <w:highlight w:val="none"/>
              </w:rPr>
              <w:t>断面尺寸，按浆砌片（卵）</w:t>
            </w:r>
          </w:p>
          <w:p w14:paraId="7EADECCD">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石的体积，以立方米为单</w:t>
            </w:r>
          </w:p>
          <w:p w14:paraId="3E5C3763">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20F056E">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场地清理；</w:t>
            </w:r>
          </w:p>
          <w:p w14:paraId="746350B4">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地基平整夯实，断面</w:t>
            </w:r>
          </w:p>
          <w:p w14:paraId="0DA7176F">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补挖；</w:t>
            </w:r>
          </w:p>
          <w:p w14:paraId="20643AF4">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铺设垫层；</w:t>
            </w:r>
          </w:p>
          <w:p w14:paraId="38D91DD6">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砂浆拌制；</w:t>
            </w:r>
          </w:p>
          <w:p w14:paraId="7BC3AF0C">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浆砌片石、勾缝、抹</w:t>
            </w:r>
          </w:p>
          <w:p w14:paraId="1598523D">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面、养护；</w:t>
            </w:r>
          </w:p>
          <w:p w14:paraId="4F76E4BF">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回填</w:t>
            </w:r>
          </w:p>
        </w:tc>
      </w:tr>
      <w:tr w14:paraId="1AAC9A84">
        <w:tblPrEx>
          <w:tblCellMar>
            <w:top w:w="0" w:type="dxa"/>
            <w:left w:w="108" w:type="dxa"/>
            <w:bottom w:w="0" w:type="dxa"/>
            <w:right w:w="108" w:type="dxa"/>
          </w:tblCellMar>
        </w:tblPrEx>
        <w:trPr>
          <w:trHeight w:val="2821"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A7318AA">
            <w:pPr>
              <w:spacing w:line="1606" w:lineRule="exact"/>
              <w:ind w:left="493"/>
              <w:rPr>
                <w:rFonts w:hint="eastAsia" w:ascii="宋体" w:hAnsi="宋体" w:eastAsia="宋体" w:cs="宋体"/>
                <w:highlight w:val="none"/>
              </w:rPr>
            </w:pPr>
            <w:r>
              <w:rPr>
                <w:rFonts w:hint="eastAsia" w:ascii="宋体" w:hAnsi="宋体" w:eastAsia="宋体" w:cs="宋体"/>
                <w:spacing w:val="-1"/>
                <w:sz w:val="20"/>
                <w:highlight w:val="none"/>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9A29800">
            <w:pPr>
              <w:spacing w:line="1557" w:lineRule="exact"/>
              <w:ind w:left="282"/>
              <w:rPr>
                <w:rFonts w:hint="eastAsia" w:ascii="宋体" w:hAnsi="宋体" w:eastAsia="宋体" w:cs="宋体"/>
                <w:highlight w:val="none"/>
              </w:rPr>
            </w:pPr>
            <w:r>
              <w:rPr>
                <w:rFonts w:hint="eastAsia" w:ascii="宋体" w:hAnsi="宋体" w:eastAsia="宋体" w:cs="宋体"/>
                <w:spacing w:val="-1"/>
                <w:sz w:val="20"/>
                <w:highlight w:val="none"/>
              </w:rPr>
              <w:t>现浇混凝土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D578059">
            <w:pPr>
              <w:spacing w:line="1517"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3E58488">
            <w:pPr>
              <w:spacing w:line="969"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依据图纸所示位置及</w:t>
            </w:r>
          </w:p>
          <w:p w14:paraId="549405ED">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断面尺寸，按照不同强度</w:t>
            </w:r>
          </w:p>
          <w:p w14:paraId="606006B4">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等级混凝土浇筑的边沟</w:t>
            </w:r>
          </w:p>
          <w:p w14:paraId="5F5927B6">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的体积以立方米为单位</w:t>
            </w:r>
          </w:p>
          <w:p w14:paraId="198CEE16">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8DD99B3">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场地清理；</w:t>
            </w:r>
          </w:p>
          <w:p w14:paraId="07B1D994">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地基平整夯实，断面</w:t>
            </w:r>
          </w:p>
          <w:p w14:paraId="6099CCA7">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补挖；</w:t>
            </w:r>
          </w:p>
          <w:p w14:paraId="6116D57D">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铺设垫层；</w:t>
            </w:r>
          </w:p>
          <w:p w14:paraId="3652D6AA">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模板制作、安装、拆</w:t>
            </w:r>
          </w:p>
          <w:p w14:paraId="1BA064FF">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除；</w:t>
            </w:r>
          </w:p>
          <w:p w14:paraId="4AC0DC52">
            <w:pPr>
              <w:spacing w:line="397"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钢筋制作与安装；</w:t>
            </w:r>
          </w:p>
          <w:p w14:paraId="12F86097">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混凝土拌和、运输、</w:t>
            </w:r>
          </w:p>
          <w:p w14:paraId="06FA47C5">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浇筑、养护；</w:t>
            </w:r>
          </w:p>
          <w:p w14:paraId="2FFFBB7B">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回填</w:t>
            </w:r>
          </w:p>
        </w:tc>
      </w:tr>
      <w:tr w14:paraId="5AEBD59B">
        <w:tblPrEx>
          <w:tblCellMar>
            <w:top w:w="0" w:type="dxa"/>
            <w:left w:w="108" w:type="dxa"/>
            <w:bottom w:w="0" w:type="dxa"/>
            <w:right w:w="108" w:type="dxa"/>
          </w:tblCellMar>
        </w:tblPrEx>
        <w:trPr>
          <w:trHeight w:val="273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CCD5EF7">
            <w:pPr>
              <w:spacing w:line="1564" w:lineRule="exact"/>
              <w:ind w:left="500"/>
              <w:rPr>
                <w:rFonts w:hint="eastAsia" w:ascii="宋体" w:hAnsi="宋体" w:eastAsia="宋体" w:cs="宋体"/>
                <w:highlight w:val="none"/>
              </w:rPr>
            </w:pPr>
            <w:r>
              <w:rPr>
                <w:rFonts w:hint="eastAsia" w:ascii="宋体" w:hAnsi="宋体" w:eastAsia="宋体" w:cs="宋体"/>
                <w:spacing w:val="-1"/>
                <w:sz w:val="20"/>
                <w:highlight w:val="none"/>
              </w:rPr>
              <w:t>-c</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576B2B5">
            <w:pPr>
              <w:spacing w:line="1513" w:lineRule="exact"/>
              <w:ind w:left="282"/>
              <w:rPr>
                <w:rFonts w:hint="eastAsia" w:ascii="宋体" w:hAnsi="宋体" w:eastAsia="宋体" w:cs="宋体"/>
                <w:highlight w:val="none"/>
              </w:rPr>
            </w:pPr>
            <w:r>
              <w:rPr>
                <w:rFonts w:hint="eastAsia" w:ascii="宋体" w:hAnsi="宋体" w:eastAsia="宋体" w:cs="宋体"/>
                <w:spacing w:val="-1"/>
                <w:sz w:val="20"/>
                <w:highlight w:val="none"/>
              </w:rPr>
              <w:t>预制混凝土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723677A">
            <w:pPr>
              <w:spacing w:line="1413"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A10BB8C">
            <w:pPr>
              <w:spacing w:line="925"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依据图纸所示位置及</w:t>
            </w:r>
          </w:p>
          <w:p w14:paraId="62C86F8C">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断面尺寸，按照不同强度</w:t>
            </w:r>
          </w:p>
          <w:p w14:paraId="1CC1C348">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等级混凝土预制的边沟</w:t>
            </w:r>
          </w:p>
          <w:p w14:paraId="18AA6F22">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的体积以立方米为单位</w:t>
            </w:r>
          </w:p>
          <w:p w14:paraId="6488EB5A">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A43C7C6">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场地清理；</w:t>
            </w:r>
          </w:p>
          <w:p w14:paraId="377E7BA7">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地基平整夯实，断面</w:t>
            </w:r>
          </w:p>
          <w:p w14:paraId="3D2BBA51">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补挖；</w:t>
            </w:r>
          </w:p>
          <w:p w14:paraId="13796A22">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铺设垫层；</w:t>
            </w:r>
          </w:p>
          <w:p w14:paraId="56D55A22">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模板制作、安装、拆</w:t>
            </w:r>
          </w:p>
          <w:p w14:paraId="6BE1C258">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除；</w:t>
            </w:r>
          </w:p>
          <w:p w14:paraId="1C9B74FE">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预制件预制、运输、</w:t>
            </w:r>
          </w:p>
          <w:p w14:paraId="7B2D3D4B">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装卸；</w:t>
            </w:r>
          </w:p>
          <w:p w14:paraId="4C327C37">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预制件安装；</w:t>
            </w:r>
          </w:p>
          <w:p w14:paraId="51B09541">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回填</w:t>
            </w:r>
          </w:p>
        </w:tc>
      </w:tr>
      <w:tr w14:paraId="5DBDC520">
        <w:tblPrEx>
          <w:tblCellMar>
            <w:top w:w="0" w:type="dxa"/>
            <w:left w:w="108" w:type="dxa"/>
            <w:bottom w:w="0" w:type="dxa"/>
            <w:right w:w="108" w:type="dxa"/>
          </w:tblCellMar>
        </w:tblPrEx>
        <w:trPr>
          <w:trHeight w:val="327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65C54D6">
            <w:pPr>
              <w:spacing w:line="1836" w:lineRule="exact"/>
              <w:ind w:left="337"/>
              <w:rPr>
                <w:rFonts w:hint="eastAsia" w:ascii="宋体" w:hAnsi="宋体" w:eastAsia="宋体" w:cs="宋体"/>
                <w:highlight w:val="none"/>
              </w:rPr>
            </w:pPr>
            <w:r>
              <w:rPr>
                <w:rFonts w:hint="eastAsia" w:ascii="宋体" w:hAnsi="宋体" w:eastAsia="宋体" w:cs="宋体"/>
                <w:spacing w:val="-1"/>
                <w:sz w:val="20"/>
                <w:highlight w:val="none"/>
              </w:rPr>
              <w:t>502-1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323CFFA">
            <w:pPr>
              <w:spacing w:line="1787" w:lineRule="exact"/>
              <w:ind w:left="282"/>
              <w:rPr>
                <w:rFonts w:hint="eastAsia" w:ascii="宋体" w:hAnsi="宋体" w:eastAsia="宋体" w:cs="宋体"/>
                <w:highlight w:val="none"/>
              </w:rPr>
            </w:pPr>
            <w:r>
              <w:rPr>
                <w:rFonts w:hint="eastAsia" w:ascii="宋体" w:hAnsi="宋体" w:eastAsia="宋体" w:cs="宋体"/>
                <w:spacing w:val="-1"/>
                <w:sz w:val="20"/>
                <w:highlight w:val="none"/>
              </w:rPr>
              <w:t>埋设排水管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1CFBB0C">
            <w:pPr>
              <w:spacing w:line="1778" w:lineRule="exact"/>
              <w:ind w:left="457"/>
              <w:rPr>
                <w:rFonts w:hint="eastAsia" w:ascii="宋体" w:hAnsi="宋体" w:eastAsia="宋体" w:cs="宋体"/>
                <w:highlight w:val="none"/>
              </w:rPr>
            </w:pPr>
            <w:r>
              <w:rPr>
                <w:rFonts w:hint="eastAsia" w:ascii="宋体" w:hAnsi="宋体" w:eastAsia="宋体" w:cs="宋体"/>
                <w:sz w:val="20"/>
                <w:highlight w:val="none"/>
              </w:rPr>
              <w:t>m</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D5501BA">
            <w:pPr>
              <w:spacing w:line="1333"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依据图纸所示位置，按</w:t>
            </w:r>
          </w:p>
          <w:p w14:paraId="6C670D65">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不同材质、不同孔径的排</w:t>
            </w:r>
          </w:p>
          <w:p w14:paraId="0EA6029D">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水管长度计算，以米为单</w:t>
            </w:r>
          </w:p>
          <w:p w14:paraId="2CD9B153">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D21E5D2">
            <w:pPr>
              <w:spacing w:line="28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挖基、基坑排水、基</w:t>
            </w:r>
          </w:p>
          <w:p w14:paraId="576BA492">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底清理；</w:t>
            </w:r>
          </w:p>
          <w:p w14:paraId="37A30431">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垫层材料铺筑；</w:t>
            </w:r>
          </w:p>
          <w:p w14:paraId="52EE4BBA">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基座砌筑或浇筑；</w:t>
            </w:r>
          </w:p>
          <w:p w14:paraId="59911E3C">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排水管制作或购买、</w:t>
            </w:r>
          </w:p>
          <w:p w14:paraId="6AE147FD">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运输、保存；</w:t>
            </w:r>
          </w:p>
          <w:p w14:paraId="692B1C69">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排水管安装、接缝处</w:t>
            </w:r>
          </w:p>
          <w:p w14:paraId="09E1DB59">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理；</w:t>
            </w:r>
          </w:p>
          <w:p w14:paraId="37863859">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防水、防冻、防腐等</w:t>
            </w:r>
          </w:p>
          <w:p w14:paraId="642E1313">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处理；</w:t>
            </w:r>
          </w:p>
          <w:p w14:paraId="2F88192F">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分层回填、压实；</w:t>
            </w:r>
          </w:p>
          <w:p w14:paraId="5416D2AE">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8.</w:t>
            </w:r>
            <w:r>
              <w:rPr>
                <w:rFonts w:hint="eastAsia" w:ascii="宋体" w:hAnsi="宋体" w:eastAsia="宋体" w:cs="宋体"/>
                <w:spacing w:val="-1"/>
                <w:position w:val="1"/>
                <w:sz w:val="20"/>
                <w:highlight w:val="none"/>
              </w:rPr>
              <w:t>现场清理、废方弃运</w:t>
            </w:r>
          </w:p>
        </w:tc>
      </w:tr>
      <w:tr w14:paraId="399A5238">
        <w:tblPrEx>
          <w:tblCellMar>
            <w:top w:w="0" w:type="dxa"/>
            <w:left w:w="108" w:type="dxa"/>
            <w:bottom w:w="0" w:type="dxa"/>
            <w:right w:w="108" w:type="dxa"/>
          </w:tblCellMar>
        </w:tblPrEx>
        <w:trPr>
          <w:trHeight w:val="50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8D58772">
            <w:pPr>
              <w:spacing w:line="452" w:lineRule="exact"/>
              <w:ind w:left="337"/>
              <w:rPr>
                <w:rFonts w:hint="eastAsia" w:ascii="宋体" w:hAnsi="宋体" w:eastAsia="宋体" w:cs="宋体"/>
                <w:highlight w:val="none"/>
              </w:rPr>
            </w:pPr>
            <w:r>
              <w:rPr>
                <w:rFonts w:hint="eastAsia" w:ascii="宋体" w:hAnsi="宋体" w:eastAsia="宋体" w:cs="宋体"/>
                <w:spacing w:val="-1"/>
                <w:sz w:val="20"/>
                <w:highlight w:val="none"/>
              </w:rPr>
              <w:t>503-1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4D79DE8">
            <w:pPr>
              <w:spacing w:line="402" w:lineRule="exact"/>
              <w:ind w:left="282"/>
              <w:rPr>
                <w:rFonts w:hint="eastAsia" w:ascii="宋体" w:hAnsi="宋体" w:eastAsia="宋体" w:cs="宋体"/>
                <w:highlight w:val="none"/>
              </w:rPr>
            </w:pPr>
            <w:r>
              <w:rPr>
                <w:rFonts w:hint="eastAsia" w:ascii="宋体" w:hAnsi="宋体" w:eastAsia="宋体" w:cs="宋体"/>
                <w:spacing w:val="-1"/>
                <w:sz w:val="20"/>
                <w:highlight w:val="none"/>
              </w:rPr>
              <w:t>过水路面</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146535E">
            <w:pPr>
              <w:spacing w:line="402" w:lineRule="exact"/>
              <w:rPr>
                <w:rFonts w:hint="eastAsia" w:ascii="宋体" w:hAnsi="宋体" w:eastAsia="宋体" w:cs="宋体"/>
                <w:highlight w:val="none"/>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9E212D8">
            <w:pPr>
              <w:spacing w:line="402"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A19448A">
            <w:pPr>
              <w:spacing w:line="402" w:lineRule="exact"/>
              <w:rPr>
                <w:rFonts w:hint="eastAsia" w:ascii="宋体" w:hAnsi="宋体" w:eastAsia="宋体" w:cs="宋体"/>
                <w:highlight w:val="none"/>
              </w:rPr>
            </w:pPr>
          </w:p>
        </w:tc>
      </w:tr>
      <w:tr w14:paraId="4CD5257A">
        <w:tblPrEx>
          <w:tblCellMar>
            <w:top w:w="0" w:type="dxa"/>
            <w:left w:w="108" w:type="dxa"/>
            <w:bottom w:w="0" w:type="dxa"/>
            <w:right w:w="108" w:type="dxa"/>
          </w:tblCellMar>
        </w:tblPrEx>
        <w:trPr>
          <w:trHeight w:val="55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1603E4F">
            <w:pPr>
              <w:spacing w:line="476" w:lineRule="exact"/>
              <w:ind w:left="500"/>
              <w:rPr>
                <w:rFonts w:hint="eastAsia" w:ascii="宋体" w:hAnsi="宋体" w:eastAsia="宋体" w:cs="宋体"/>
                <w:highlight w:val="none"/>
              </w:rPr>
            </w:pPr>
            <w:r>
              <w:rPr>
                <w:rFonts w:hint="eastAsia" w:ascii="宋体" w:hAnsi="宋体" w:eastAsia="宋体" w:cs="宋体"/>
                <w:spacing w:val="-1"/>
                <w:sz w:val="20"/>
                <w:highlight w:val="none"/>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2207AFD">
            <w:pPr>
              <w:spacing w:line="424" w:lineRule="exact"/>
              <w:ind w:left="282"/>
              <w:rPr>
                <w:rFonts w:hint="eastAsia" w:ascii="宋体" w:hAnsi="宋体" w:eastAsia="宋体" w:cs="宋体"/>
                <w:highlight w:val="none"/>
              </w:rPr>
            </w:pPr>
            <w:r>
              <w:rPr>
                <w:rFonts w:hint="eastAsia" w:ascii="宋体" w:hAnsi="宋体" w:eastAsia="宋体" w:cs="宋体"/>
                <w:spacing w:val="-1"/>
                <w:sz w:val="20"/>
                <w:highlight w:val="none"/>
              </w:rPr>
              <w:t>浆砌片（卵）石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6BD099A">
            <w:pPr>
              <w:spacing w:line="324"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10C74C6">
            <w:pPr>
              <w:spacing w:line="244"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依据图纸所示位置及</w:t>
            </w:r>
          </w:p>
          <w:p w14:paraId="33540E39">
            <w:pPr>
              <w:spacing w:line="274" w:lineRule="exact"/>
              <w:ind w:left="109"/>
              <w:rPr>
                <w:rFonts w:hint="eastAsia" w:ascii="宋体" w:hAnsi="宋体" w:eastAsia="宋体" w:cs="宋体"/>
                <w:highlight w:val="none"/>
              </w:rPr>
            </w:pPr>
            <w:r>
              <w:rPr>
                <w:rFonts w:hint="eastAsia" w:ascii="宋体" w:hAnsi="宋体" w:eastAsia="宋体" w:cs="宋体"/>
                <w:sz w:val="20"/>
                <w:highlight w:val="none"/>
              </w:rPr>
              <w:t>断面尺寸，按浆砌片（卵）</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6C27388">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场地清理、开挖基坑；</w:t>
            </w:r>
          </w:p>
          <w:p w14:paraId="16ED05C8">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地基平整夯实；</w:t>
            </w:r>
          </w:p>
        </w:tc>
      </w:tr>
    </w:tbl>
    <w:p w14:paraId="510B959D">
      <w:pPr>
        <w:spacing w:line="249" w:lineRule="exact"/>
        <w:rPr>
          <w:rFonts w:hint="eastAsia" w:ascii="宋体" w:hAnsi="宋体" w:eastAsia="宋体" w:cs="宋体"/>
          <w:sz w:val="21"/>
          <w:highlight w:val="none"/>
        </w:rPr>
        <w:sectPr>
          <w:pgSz w:w="11910" w:h="16840"/>
          <w:pgMar w:top="1440" w:right="1080" w:bottom="1040" w:left="1420" w:header="882" w:footer="847" w:gutter="0"/>
          <w:cols w:space="720" w:num="1"/>
        </w:sectPr>
      </w:pPr>
    </w:p>
    <w:p w14:paraId="31A31947">
      <w:pPr>
        <w:pStyle w:val="10"/>
        <w:spacing w:before="10"/>
        <w:rPr>
          <w:rFonts w:hint="eastAsia" w:ascii="宋体" w:hAnsi="宋体" w:eastAsia="宋体" w:cs="宋体"/>
          <w:sz w:val="11"/>
          <w:highlight w:val="none"/>
        </w:rPr>
      </w:pPr>
    </w:p>
    <w:tbl>
      <w:tblPr>
        <w:tblStyle w:val="24"/>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14:paraId="110D682B">
        <w:tblPrEx>
          <w:tblCellMar>
            <w:top w:w="0" w:type="dxa"/>
            <w:left w:w="108" w:type="dxa"/>
            <w:bottom w:w="0" w:type="dxa"/>
            <w:right w:w="108" w:type="dxa"/>
          </w:tblCellMar>
        </w:tblPrEx>
        <w:trPr>
          <w:trHeight w:val="137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40CF17F">
            <w:pPr>
              <w:spacing w:line="274" w:lineRule="exact"/>
              <w:rPr>
                <w:rFonts w:hint="eastAsia" w:ascii="宋体" w:hAnsi="宋体" w:eastAsia="宋体" w:cs="宋体"/>
                <w:highlight w:val="none"/>
              </w:rPr>
            </w:pP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672A6E6">
            <w:pPr>
              <w:spacing w:line="274" w:lineRule="exact"/>
              <w:rPr>
                <w:rFonts w:hint="eastAsia" w:ascii="宋体" w:hAnsi="宋体" w:eastAsia="宋体" w:cs="宋体"/>
                <w:highlight w:val="none"/>
              </w:rPr>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FC49FE1">
            <w:pPr>
              <w:spacing w:line="274" w:lineRule="exact"/>
              <w:rPr>
                <w:rFonts w:hint="eastAsia" w:ascii="宋体" w:hAnsi="宋体" w:eastAsia="宋体" w:cs="宋体"/>
                <w:highlight w:val="none"/>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3A709F5">
            <w:pPr>
              <w:spacing w:line="245" w:lineRule="exact"/>
              <w:ind w:left="109"/>
              <w:rPr>
                <w:rFonts w:hint="eastAsia" w:ascii="宋体" w:hAnsi="宋体" w:eastAsia="宋体" w:cs="宋体"/>
                <w:highlight w:val="none"/>
              </w:rPr>
            </w:pPr>
            <w:r>
              <w:rPr>
                <w:rFonts w:hint="eastAsia" w:ascii="宋体" w:hAnsi="宋体" w:eastAsia="宋体" w:cs="宋体"/>
                <w:spacing w:val="-1"/>
                <w:sz w:val="20"/>
                <w:highlight w:val="none"/>
              </w:rPr>
              <w:t>石的体积，以立方米为单</w:t>
            </w:r>
          </w:p>
          <w:p w14:paraId="5EA1B422">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E1F6DDF">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铺设垫层；</w:t>
            </w:r>
          </w:p>
          <w:p w14:paraId="5BBD4E9F">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砂浆拌制；</w:t>
            </w:r>
          </w:p>
          <w:p w14:paraId="484CD629">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浆砌片（卵）石、勾</w:t>
            </w:r>
          </w:p>
          <w:p w14:paraId="76A07EC4">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缝、抹面、养护；</w:t>
            </w:r>
          </w:p>
          <w:p w14:paraId="28E5C46B">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清理现场，废方弃运</w:t>
            </w:r>
          </w:p>
        </w:tc>
      </w:tr>
      <w:tr w14:paraId="648CB16D">
        <w:tblPrEx>
          <w:tblCellMar>
            <w:top w:w="0" w:type="dxa"/>
            <w:left w:w="108" w:type="dxa"/>
            <w:bottom w:w="0" w:type="dxa"/>
            <w:right w:w="108" w:type="dxa"/>
          </w:tblCellMar>
        </w:tblPrEx>
        <w:trPr>
          <w:trHeight w:val="268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2B94825">
            <w:pPr>
              <w:spacing w:line="1427" w:lineRule="exact"/>
              <w:ind w:left="493"/>
              <w:rPr>
                <w:rFonts w:hint="eastAsia" w:ascii="宋体" w:hAnsi="宋体" w:eastAsia="宋体" w:cs="宋体"/>
                <w:highlight w:val="none"/>
              </w:rPr>
            </w:pPr>
            <w:r>
              <w:rPr>
                <w:rFonts w:hint="eastAsia" w:ascii="宋体" w:hAnsi="宋体" w:eastAsia="宋体" w:cs="宋体"/>
                <w:spacing w:val="-1"/>
                <w:sz w:val="20"/>
                <w:highlight w:val="none"/>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15910B5">
            <w:pPr>
              <w:spacing w:line="1378" w:lineRule="exact"/>
              <w:ind w:left="282"/>
              <w:rPr>
                <w:rFonts w:hint="eastAsia" w:ascii="宋体" w:hAnsi="宋体" w:eastAsia="宋体" w:cs="宋体"/>
                <w:highlight w:val="none"/>
              </w:rPr>
            </w:pPr>
            <w:r>
              <w:rPr>
                <w:rFonts w:hint="eastAsia" w:ascii="宋体" w:hAnsi="宋体" w:eastAsia="宋体" w:cs="宋体"/>
                <w:spacing w:val="-1"/>
                <w:sz w:val="20"/>
                <w:highlight w:val="none"/>
              </w:rPr>
              <w:t>混凝土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2432A76">
            <w:pPr>
              <w:spacing w:line="1278"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52F69BF">
            <w:pPr>
              <w:spacing w:line="925"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依据图纸所示位置及</w:t>
            </w:r>
          </w:p>
          <w:p w14:paraId="6FA6C59E">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断面尺寸，按混凝土不同</w:t>
            </w:r>
          </w:p>
          <w:p w14:paraId="1255EA0B">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强度等级的铺筑体积，以</w:t>
            </w:r>
          </w:p>
          <w:p w14:paraId="1E02A548">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44641EA">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检查和清理下承层、</w:t>
            </w:r>
          </w:p>
          <w:p w14:paraId="1DF0ADC2">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洒水湿润；</w:t>
            </w:r>
          </w:p>
          <w:p w14:paraId="5D869C7B">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模板制作、架设、安</w:t>
            </w:r>
          </w:p>
          <w:p w14:paraId="3436F589">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装、拆除；</w:t>
            </w:r>
          </w:p>
          <w:p w14:paraId="0D866E0B">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混凝土拌合、运输、</w:t>
            </w:r>
          </w:p>
          <w:p w14:paraId="1997267C">
            <w:pPr>
              <w:spacing w:line="239" w:lineRule="exact"/>
              <w:ind w:left="108"/>
              <w:rPr>
                <w:rFonts w:hint="eastAsia" w:ascii="宋体" w:hAnsi="宋体" w:eastAsia="宋体" w:cs="宋体"/>
                <w:highlight w:val="none"/>
              </w:rPr>
            </w:pPr>
            <w:r>
              <w:rPr>
                <w:rFonts w:hint="eastAsia" w:ascii="宋体" w:hAnsi="宋体" w:eastAsia="宋体" w:cs="宋体"/>
                <w:sz w:val="20"/>
                <w:highlight w:val="none"/>
              </w:rPr>
              <w:t>浇筑、振捣、抹平、养护；</w:t>
            </w:r>
          </w:p>
          <w:p w14:paraId="168C0AC8">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切缝、灌缝处理；</w:t>
            </w:r>
          </w:p>
          <w:p w14:paraId="16BFDB1A">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初期养护；</w:t>
            </w:r>
          </w:p>
          <w:p w14:paraId="43E3ACB7">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清理现场</w:t>
            </w:r>
          </w:p>
        </w:tc>
      </w:tr>
      <w:tr w14:paraId="22E0964A">
        <w:tblPrEx>
          <w:tblCellMar>
            <w:top w:w="0" w:type="dxa"/>
            <w:left w:w="108" w:type="dxa"/>
            <w:bottom w:w="0" w:type="dxa"/>
            <w:right w:w="108" w:type="dxa"/>
          </w:tblCellMar>
        </w:tblPrEx>
        <w:trPr>
          <w:trHeight w:val="5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5BBB758">
            <w:pPr>
              <w:spacing w:line="474" w:lineRule="exact"/>
              <w:ind w:left="337"/>
              <w:rPr>
                <w:rFonts w:hint="eastAsia" w:ascii="宋体" w:hAnsi="宋体" w:eastAsia="宋体" w:cs="宋体"/>
                <w:highlight w:val="none"/>
              </w:rPr>
            </w:pPr>
            <w:r>
              <w:rPr>
                <w:rFonts w:hint="eastAsia" w:ascii="宋体" w:hAnsi="宋体" w:eastAsia="宋体" w:cs="宋体"/>
                <w:spacing w:val="-1"/>
                <w:sz w:val="20"/>
                <w:highlight w:val="none"/>
              </w:rPr>
              <w:t>504-1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1E08331">
            <w:pPr>
              <w:spacing w:line="244" w:lineRule="exact"/>
              <w:ind w:left="282"/>
              <w:rPr>
                <w:rFonts w:hint="eastAsia" w:ascii="宋体" w:hAnsi="宋体" w:eastAsia="宋体" w:cs="宋体"/>
                <w:highlight w:val="none"/>
              </w:rPr>
            </w:pPr>
            <w:r>
              <w:rPr>
                <w:rFonts w:hint="eastAsia" w:ascii="宋体" w:hAnsi="宋体" w:eastAsia="宋体" w:cs="宋体"/>
                <w:spacing w:val="-1"/>
                <w:sz w:val="20"/>
                <w:highlight w:val="none"/>
              </w:rPr>
              <w:t>钢筋混凝土圆</w:t>
            </w:r>
          </w:p>
          <w:p w14:paraId="2F331D91">
            <w:pPr>
              <w:spacing w:line="271" w:lineRule="exact"/>
              <w:ind w:left="107"/>
              <w:rPr>
                <w:rFonts w:hint="eastAsia" w:ascii="宋体" w:hAnsi="宋体" w:eastAsia="宋体" w:cs="宋体"/>
                <w:highlight w:val="none"/>
              </w:rPr>
            </w:pPr>
            <w:r>
              <w:rPr>
                <w:rFonts w:hint="eastAsia" w:ascii="宋体" w:hAnsi="宋体" w:eastAsia="宋体" w:cs="宋体"/>
                <w:spacing w:val="-1"/>
                <w:sz w:val="20"/>
                <w:highlight w:val="none"/>
              </w:rPr>
              <w:t>管涵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280380B">
            <w:pPr>
              <w:spacing w:line="271" w:lineRule="exact"/>
              <w:rPr>
                <w:rFonts w:hint="eastAsia" w:ascii="宋体" w:hAnsi="宋体" w:eastAsia="宋体" w:cs="宋体"/>
                <w:highlight w:val="none"/>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54E65E8">
            <w:pPr>
              <w:spacing w:line="271"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CAC3E92">
            <w:pPr>
              <w:spacing w:line="271" w:lineRule="exact"/>
              <w:rPr>
                <w:rFonts w:hint="eastAsia" w:ascii="宋体" w:hAnsi="宋体" w:eastAsia="宋体" w:cs="宋体"/>
                <w:highlight w:val="none"/>
              </w:rPr>
            </w:pPr>
          </w:p>
        </w:tc>
      </w:tr>
      <w:tr w14:paraId="2D4319F0">
        <w:tblPrEx>
          <w:tblCellMar>
            <w:top w:w="0" w:type="dxa"/>
            <w:left w:w="108" w:type="dxa"/>
            <w:bottom w:w="0" w:type="dxa"/>
            <w:right w:w="108" w:type="dxa"/>
          </w:tblCellMar>
        </w:tblPrEx>
        <w:trPr>
          <w:trHeight w:val="234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A8546C8">
            <w:pPr>
              <w:spacing w:line="1368" w:lineRule="exact"/>
              <w:ind w:left="500"/>
              <w:rPr>
                <w:rFonts w:hint="eastAsia" w:ascii="宋体" w:hAnsi="宋体" w:eastAsia="宋体" w:cs="宋体"/>
                <w:highlight w:val="none"/>
              </w:rPr>
            </w:pPr>
            <w:r>
              <w:rPr>
                <w:rFonts w:hint="eastAsia" w:ascii="宋体" w:hAnsi="宋体" w:eastAsia="宋体" w:cs="宋体"/>
                <w:spacing w:val="-1"/>
                <w:sz w:val="20"/>
                <w:highlight w:val="none"/>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A33E07E">
            <w:pPr>
              <w:spacing w:line="1174" w:lineRule="exact"/>
              <w:ind w:left="282"/>
              <w:rPr>
                <w:rFonts w:hint="eastAsia" w:ascii="宋体" w:hAnsi="宋体" w:eastAsia="宋体" w:cs="宋体"/>
                <w:highlight w:val="none"/>
              </w:rPr>
            </w:pPr>
            <w:r>
              <w:rPr>
                <w:rFonts w:hint="eastAsia" w:ascii="宋体" w:hAnsi="宋体" w:eastAsia="宋体" w:cs="宋体"/>
                <w:spacing w:val="-1"/>
                <w:sz w:val="20"/>
                <w:highlight w:val="none"/>
              </w:rPr>
              <w:t>…m</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单孔钢筋</w:t>
            </w:r>
          </w:p>
          <w:p w14:paraId="170B48C8">
            <w:pPr>
              <w:spacing w:line="237" w:lineRule="exact"/>
              <w:ind w:left="107"/>
              <w:rPr>
                <w:rFonts w:hint="eastAsia" w:ascii="宋体" w:hAnsi="宋体" w:eastAsia="宋体" w:cs="宋体"/>
                <w:highlight w:val="none"/>
              </w:rPr>
            </w:pPr>
            <w:r>
              <w:rPr>
                <w:rFonts w:hint="eastAsia" w:ascii="宋体" w:hAnsi="宋体" w:eastAsia="宋体" w:cs="宋体"/>
                <w:spacing w:val="-1"/>
                <w:sz w:val="20"/>
                <w:highlight w:val="none"/>
              </w:rPr>
              <w:t>混凝土圆管涵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DF55E7A">
            <w:pPr>
              <w:spacing w:line="1311" w:lineRule="exact"/>
              <w:ind w:left="457"/>
              <w:rPr>
                <w:rFonts w:hint="eastAsia" w:ascii="宋体" w:hAnsi="宋体" w:eastAsia="宋体" w:cs="宋体"/>
                <w:highlight w:val="none"/>
              </w:rPr>
            </w:pPr>
            <w:r>
              <w:rPr>
                <w:rFonts w:hint="eastAsia" w:ascii="宋体" w:hAnsi="宋体" w:eastAsia="宋体" w:cs="宋体"/>
                <w:sz w:val="20"/>
                <w:highlight w:val="none"/>
              </w:rPr>
              <w:t>m</w:t>
            </w:r>
          </w:p>
        </w:tc>
        <w:tc>
          <w:tcPr>
            <w:tcW w:w="248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5A5BCE2">
            <w:pPr>
              <w:spacing w:line="2039"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依据图纸所示，按不同</w:t>
            </w:r>
          </w:p>
          <w:p w14:paraId="709CA7FF">
            <w:pPr>
              <w:spacing w:line="306" w:lineRule="exact"/>
              <w:ind w:left="109"/>
              <w:rPr>
                <w:rFonts w:hint="eastAsia" w:ascii="宋体" w:hAnsi="宋体" w:eastAsia="宋体" w:cs="宋体"/>
                <w:highlight w:val="none"/>
              </w:rPr>
            </w:pPr>
            <w:r>
              <w:rPr>
                <w:rFonts w:hint="eastAsia" w:ascii="宋体" w:hAnsi="宋体" w:eastAsia="宋体" w:cs="宋体"/>
                <w:spacing w:val="-1"/>
                <w:position w:val="1"/>
                <w:sz w:val="20"/>
                <w:highlight w:val="none"/>
              </w:rPr>
              <w:t>孔径的涵身长度</w:t>
            </w:r>
            <w:r>
              <w:rPr>
                <w:rFonts w:hint="eastAsia" w:ascii="宋体" w:hAnsi="宋体" w:eastAsia="宋体" w:cs="宋体"/>
                <w:spacing w:val="-1"/>
                <w:sz w:val="20"/>
                <w:highlight w:val="none"/>
              </w:rPr>
              <w:t>(</w:t>
            </w:r>
            <w:r>
              <w:rPr>
                <w:rFonts w:hint="eastAsia" w:ascii="宋体" w:hAnsi="宋体" w:eastAsia="宋体" w:cs="宋体"/>
                <w:spacing w:val="-1"/>
                <w:position w:val="1"/>
                <w:sz w:val="20"/>
                <w:highlight w:val="none"/>
              </w:rPr>
              <w:t>进出口</w:t>
            </w:r>
          </w:p>
          <w:p w14:paraId="5ABF2024">
            <w:pPr>
              <w:spacing w:line="274" w:lineRule="exact"/>
              <w:ind w:left="109"/>
              <w:rPr>
                <w:rFonts w:hint="eastAsia" w:ascii="宋体" w:hAnsi="宋体" w:eastAsia="宋体" w:cs="宋体"/>
                <w:highlight w:val="none"/>
              </w:rPr>
            </w:pPr>
            <w:r>
              <w:rPr>
                <w:rFonts w:hint="eastAsia" w:ascii="宋体" w:hAnsi="宋体" w:eastAsia="宋体" w:cs="宋体"/>
                <w:spacing w:val="-1"/>
                <w:position w:val="1"/>
                <w:sz w:val="20"/>
                <w:highlight w:val="none"/>
              </w:rPr>
              <w:t>端墙外侧间距离</w:t>
            </w:r>
            <w:r>
              <w:rPr>
                <w:rFonts w:hint="eastAsia" w:ascii="宋体" w:hAnsi="宋体" w:eastAsia="宋体" w:cs="宋体"/>
                <w:spacing w:val="-1"/>
                <w:sz w:val="20"/>
                <w:highlight w:val="none"/>
              </w:rPr>
              <w:t>)</w:t>
            </w:r>
            <w:r>
              <w:rPr>
                <w:rFonts w:hint="eastAsia" w:ascii="宋体" w:hAnsi="宋体" w:eastAsia="宋体" w:cs="宋体"/>
                <w:spacing w:val="-1"/>
                <w:position w:val="1"/>
                <w:sz w:val="20"/>
                <w:highlight w:val="none"/>
              </w:rPr>
              <w:t>计算，</w:t>
            </w:r>
          </w:p>
          <w:p w14:paraId="7E0EC62C">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以米为单位计量</w:t>
            </w:r>
          </w:p>
        </w:tc>
        <w:tc>
          <w:tcPr>
            <w:tcW w:w="252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D0B370E">
            <w:pPr>
              <w:spacing w:line="713"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挖基、基坑排水、基</w:t>
            </w:r>
          </w:p>
          <w:p w14:paraId="1CA02923">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底清理、地基处理；</w:t>
            </w:r>
          </w:p>
          <w:p w14:paraId="6A7FAC07">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基座砌筑或浇筑；</w:t>
            </w:r>
          </w:p>
          <w:p w14:paraId="11DCB68B">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垫层材料铺筑；</w:t>
            </w:r>
          </w:p>
          <w:p w14:paraId="78A605C5">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钢筋制作安装；</w:t>
            </w:r>
          </w:p>
          <w:p w14:paraId="056E3196">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预制或现浇钢筋混凝</w:t>
            </w:r>
          </w:p>
          <w:p w14:paraId="3EA95327">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土管；</w:t>
            </w:r>
          </w:p>
          <w:p w14:paraId="71190BAF">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铺涂防水层；</w:t>
            </w:r>
          </w:p>
          <w:p w14:paraId="21C2603A">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安装、接缝；</w:t>
            </w:r>
          </w:p>
          <w:p w14:paraId="6BDE3D88">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8.</w:t>
            </w:r>
            <w:r>
              <w:rPr>
                <w:rFonts w:hint="eastAsia" w:ascii="宋体" w:hAnsi="宋体" w:eastAsia="宋体" w:cs="宋体"/>
                <w:spacing w:val="-1"/>
                <w:position w:val="1"/>
                <w:sz w:val="20"/>
                <w:highlight w:val="none"/>
              </w:rPr>
              <w:t>砌筑进出口</w:t>
            </w:r>
            <w:r>
              <w:rPr>
                <w:rFonts w:hint="eastAsia" w:ascii="宋体" w:hAnsi="宋体" w:eastAsia="宋体" w:cs="宋体"/>
                <w:spacing w:val="-1"/>
                <w:sz w:val="20"/>
                <w:highlight w:val="none"/>
              </w:rPr>
              <w:t>(</w:t>
            </w:r>
            <w:r>
              <w:rPr>
                <w:rFonts w:hint="eastAsia" w:ascii="宋体" w:hAnsi="宋体" w:eastAsia="宋体" w:cs="宋体"/>
                <w:spacing w:val="-1"/>
                <w:position w:val="1"/>
                <w:sz w:val="20"/>
                <w:highlight w:val="none"/>
              </w:rPr>
              <w:t>端墙、翼</w:t>
            </w:r>
          </w:p>
          <w:p w14:paraId="64F20D14">
            <w:pPr>
              <w:spacing w:line="271" w:lineRule="exact"/>
              <w:ind w:left="108"/>
              <w:rPr>
                <w:rFonts w:hint="eastAsia" w:ascii="宋体" w:hAnsi="宋体" w:eastAsia="宋体" w:cs="宋体"/>
                <w:highlight w:val="none"/>
              </w:rPr>
            </w:pPr>
            <w:r>
              <w:rPr>
                <w:rFonts w:hint="eastAsia" w:ascii="宋体" w:hAnsi="宋体" w:eastAsia="宋体" w:cs="宋体"/>
                <w:spacing w:val="-1"/>
                <w:position w:val="1"/>
                <w:sz w:val="20"/>
                <w:highlight w:val="none"/>
              </w:rPr>
              <w:t>墙、八字墙井口</w:t>
            </w:r>
            <w:r>
              <w:rPr>
                <w:rFonts w:hint="eastAsia" w:ascii="宋体" w:hAnsi="宋体" w:eastAsia="宋体" w:cs="宋体"/>
                <w:spacing w:val="-1"/>
                <w:sz w:val="20"/>
                <w:highlight w:val="none"/>
              </w:rPr>
              <w:t>)</w:t>
            </w:r>
            <w:r>
              <w:rPr>
                <w:rFonts w:hint="eastAsia" w:ascii="宋体" w:hAnsi="宋体" w:eastAsia="宋体" w:cs="宋体"/>
                <w:spacing w:val="-1"/>
                <w:position w:val="1"/>
                <w:sz w:val="20"/>
                <w:highlight w:val="none"/>
              </w:rPr>
              <w:t>；</w:t>
            </w:r>
          </w:p>
          <w:p w14:paraId="1081F633">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9.</w:t>
            </w:r>
            <w:r>
              <w:rPr>
                <w:rFonts w:hint="eastAsia" w:ascii="宋体" w:hAnsi="宋体" w:eastAsia="宋体" w:cs="宋体"/>
                <w:spacing w:val="-1"/>
                <w:position w:val="1"/>
                <w:sz w:val="20"/>
                <w:highlight w:val="none"/>
              </w:rPr>
              <w:t>防水、防冻、防腐措</w:t>
            </w:r>
          </w:p>
          <w:p w14:paraId="375FF9FF">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施；</w:t>
            </w:r>
          </w:p>
          <w:p w14:paraId="5EF634DE">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10.</w:t>
            </w:r>
            <w:r>
              <w:rPr>
                <w:rFonts w:hint="eastAsia" w:ascii="宋体" w:hAnsi="宋体" w:eastAsia="宋体" w:cs="宋体"/>
                <w:spacing w:val="-1"/>
                <w:position w:val="1"/>
                <w:sz w:val="20"/>
                <w:highlight w:val="none"/>
              </w:rPr>
              <w:t>回填</w:t>
            </w:r>
          </w:p>
        </w:tc>
      </w:tr>
      <w:tr w14:paraId="65D2692D">
        <w:tblPrEx>
          <w:tblCellMar>
            <w:top w:w="0" w:type="dxa"/>
            <w:left w:w="108" w:type="dxa"/>
            <w:bottom w:w="0" w:type="dxa"/>
            <w:right w:w="108" w:type="dxa"/>
          </w:tblCellMar>
        </w:tblPrEx>
        <w:trPr>
          <w:trHeight w:val="194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DD7EE59">
            <w:pPr>
              <w:spacing w:line="1368" w:lineRule="exact"/>
              <w:ind w:left="493"/>
              <w:rPr>
                <w:rFonts w:hint="eastAsia" w:ascii="宋体" w:hAnsi="宋体" w:eastAsia="宋体" w:cs="宋体"/>
                <w:highlight w:val="none"/>
              </w:rPr>
            </w:pPr>
            <w:r>
              <w:rPr>
                <w:rFonts w:hint="eastAsia" w:ascii="宋体" w:hAnsi="宋体" w:eastAsia="宋体" w:cs="宋体"/>
                <w:spacing w:val="-1"/>
                <w:sz w:val="20"/>
                <w:highlight w:val="none"/>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42E05B1">
            <w:pPr>
              <w:spacing w:line="1174" w:lineRule="exact"/>
              <w:ind w:left="282"/>
              <w:rPr>
                <w:rFonts w:hint="eastAsia" w:ascii="宋体" w:hAnsi="宋体" w:eastAsia="宋体" w:cs="宋体"/>
                <w:highlight w:val="none"/>
              </w:rPr>
            </w:pPr>
            <w:r>
              <w:rPr>
                <w:rFonts w:hint="eastAsia" w:ascii="宋体" w:hAnsi="宋体" w:eastAsia="宋体" w:cs="宋体"/>
                <w:spacing w:val="-1"/>
                <w:sz w:val="20"/>
                <w:highlight w:val="none"/>
              </w:rPr>
              <w:t>…m</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双孔钢筋</w:t>
            </w:r>
          </w:p>
          <w:p w14:paraId="2DD8E002">
            <w:pPr>
              <w:spacing w:line="239" w:lineRule="exact"/>
              <w:ind w:left="107"/>
              <w:rPr>
                <w:rFonts w:hint="eastAsia" w:ascii="宋体" w:hAnsi="宋体" w:eastAsia="宋体" w:cs="宋体"/>
                <w:highlight w:val="none"/>
              </w:rPr>
            </w:pPr>
            <w:r>
              <w:rPr>
                <w:rFonts w:hint="eastAsia" w:ascii="宋体" w:hAnsi="宋体" w:eastAsia="宋体" w:cs="宋体"/>
                <w:spacing w:val="-1"/>
                <w:sz w:val="20"/>
                <w:highlight w:val="none"/>
              </w:rPr>
              <w:t>混凝土圆管涵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DE5CF47">
            <w:pPr>
              <w:spacing w:line="1310" w:lineRule="exact"/>
              <w:ind w:left="457"/>
              <w:rPr>
                <w:rFonts w:hint="eastAsia" w:ascii="宋体" w:hAnsi="宋体" w:eastAsia="宋体" w:cs="宋体"/>
                <w:highlight w:val="none"/>
              </w:rPr>
            </w:pPr>
            <w:r>
              <w:rPr>
                <w:rFonts w:hint="eastAsia" w:ascii="宋体" w:hAnsi="宋体" w:eastAsia="宋体" w:cs="宋体"/>
                <w:sz w:val="20"/>
                <w:highlight w:val="none"/>
              </w:rPr>
              <w:t>m</w:t>
            </w:r>
          </w:p>
        </w:tc>
        <w:tc>
          <w:tcPr>
            <w:tcW w:w="248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3D909A8">
            <w:pPr>
              <w:spacing w:line="1310" w:lineRule="exact"/>
              <w:rPr>
                <w:rFonts w:hint="eastAsia" w:ascii="宋体" w:hAnsi="宋体" w:eastAsia="宋体" w:cs="宋体"/>
                <w:highlight w:val="none"/>
              </w:rPr>
            </w:pPr>
          </w:p>
        </w:tc>
        <w:tc>
          <w:tcPr>
            <w:tcW w:w="252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C8E0067">
            <w:pPr>
              <w:spacing w:line="1310" w:lineRule="exact"/>
              <w:rPr>
                <w:rFonts w:hint="eastAsia" w:ascii="宋体" w:hAnsi="宋体" w:eastAsia="宋体" w:cs="宋体"/>
                <w:highlight w:val="none"/>
              </w:rPr>
            </w:pPr>
          </w:p>
        </w:tc>
      </w:tr>
      <w:tr w14:paraId="44EF55A6">
        <w:tblPrEx>
          <w:tblCellMar>
            <w:top w:w="0" w:type="dxa"/>
            <w:left w:w="108" w:type="dxa"/>
            <w:bottom w:w="0" w:type="dxa"/>
            <w:right w:w="108" w:type="dxa"/>
          </w:tblCellMar>
        </w:tblPrEx>
        <w:trPr>
          <w:trHeight w:val="382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2397E90">
            <w:pPr>
              <w:spacing w:line="2107" w:lineRule="exact"/>
              <w:ind w:left="337"/>
              <w:rPr>
                <w:rFonts w:hint="eastAsia" w:ascii="宋体" w:hAnsi="宋体" w:eastAsia="宋体" w:cs="宋体"/>
                <w:highlight w:val="none"/>
              </w:rPr>
            </w:pPr>
            <w:r>
              <w:rPr>
                <w:rFonts w:hint="eastAsia" w:ascii="宋体" w:hAnsi="宋体" w:eastAsia="宋体" w:cs="宋体"/>
                <w:spacing w:val="-1"/>
                <w:sz w:val="20"/>
                <w:highlight w:val="none"/>
              </w:rPr>
              <w:t>505-1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8AA43D9">
            <w:pPr>
              <w:spacing w:line="1878" w:lineRule="exact"/>
              <w:ind w:left="282"/>
              <w:rPr>
                <w:rFonts w:hint="eastAsia" w:ascii="宋体" w:hAnsi="宋体" w:eastAsia="宋体" w:cs="宋体"/>
                <w:highlight w:val="none"/>
              </w:rPr>
            </w:pPr>
            <w:r>
              <w:rPr>
                <w:rFonts w:hint="eastAsia" w:ascii="宋体" w:hAnsi="宋体" w:eastAsia="宋体" w:cs="宋体"/>
                <w:spacing w:val="-1"/>
                <w:sz w:val="20"/>
                <w:highlight w:val="none"/>
              </w:rPr>
              <w:t>倒虹吸（不分孔</w:t>
            </w:r>
          </w:p>
          <w:p w14:paraId="2D38D348">
            <w:pPr>
              <w:spacing w:line="271" w:lineRule="exact"/>
              <w:ind w:left="107"/>
              <w:rPr>
                <w:rFonts w:hint="eastAsia" w:ascii="宋体" w:hAnsi="宋体" w:eastAsia="宋体" w:cs="宋体"/>
                <w:highlight w:val="none"/>
              </w:rPr>
            </w:pPr>
            <w:r>
              <w:rPr>
                <w:rFonts w:hint="eastAsia" w:ascii="宋体" w:hAnsi="宋体" w:eastAsia="宋体" w:cs="宋体"/>
                <w:spacing w:val="-1"/>
                <w:sz w:val="20"/>
                <w:highlight w:val="none"/>
              </w:rPr>
              <w:t>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796F2C9">
            <w:pPr>
              <w:spacing w:line="2049" w:lineRule="exact"/>
              <w:ind w:left="457"/>
              <w:rPr>
                <w:rFonts w:hint="eastAsia" w:ascii="宋体" w:hAnsi="宋体" w:eastAsia="宋体" w:cs="宋体"/>
                <w:highlight w:val="none"/>
              </w:rPr>
            </w:pPr>
            <w:r>
              <w:rPr>
                <w:rFonts w:hint="eastAsia" w:ascii="宋体" w:hAnsi="宋体" w:eastAsia="宋体" w:cs="宋体"/>
                <w:sz w:val="20"/>
                <w:highlight w:val="none"/>
              </w:rPr>
              <w:t>m</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DA439B1">
            <w:pPr>
              <w:spacing w:line="1604"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依据图纸所示，不分孔</w:t>
            </w:r>
          </w:p>
          <w:p w14:paraId="3C7F4BE9">
            <w:pPr>
              <w:spacing w:line="308" w:lineRule="exact"/>
              <w:ind w:left="109"/>
              <w:rPr>
                <w:rFonts w:hint="eastAsia" w:ascii="宋体" w:hAnsi="宋体" w:eastAsia="宋体" w:cs="宋体"/>
                <w:highlight w:val="none"/>
              </w:rPr>
            </w:pPr>
            <w:r>
              <w:rPr>
                <w:rFonts w:hint="eastAsia" w:ascii="宋体" w:hAnsi="宋体" w:eastAsia="宋体" w:cs="宋体"/>
                <w:spacing w:val="-1"/>
                <w:position w:val="1"/>
                <w:sz w:val="20"/>
                <w:highlight w:val="none"/>
              </w:rPr>
              <w:t>径按涵身长度</w:t>
            </w:r>
            <w:r>
              <w:rPr>
                <w:rFonts w:hint="eastAsia" w:ascii="宋体" w:hAnsi="宋体" w:eastAsia="宋体" w:cs="宋体"/>
                <w:spacing w:val="-1"/>
                <w:sz w:val="20"/>
                <w:highlight w:val="none"/>
              </w:rPr>
              <w:t>(</w:t>
            </w:r>
            <w:r>
              <w:rPr>
                <w:rFonts w:hint="eastAsia" w:ascii="宋体" w:hAnsi="宋体" w:eastAsia="宋体" w:cs="宋体"/>
                <w:spacing w:val="-1"/>
                <w:position w:val="1"/>
                <w:sz w:val="20"/>
                <w:highlight w:val="none"/>
              </w:rPr>
              <w:t>进出口端</w:t>
            </w:r>
          </w:p>
          <w:p w14:paraId="150D5031">
            <w:pPr>
              <w:spacing w:line="271" w:lineRule="exact"/>
              <w:ind w:left="109"/>
              <w:rPr>
                <w:rFonts w:hint="eastAsia" w:ascii="宋体" w:hAnsi="宋体" w:eastAsia="宋体" w:cs="宋体"/>
                <w:highlight w:val="none"/>
              </w:rPr>
            </w:pPr>
            <w:r>
              <w:rPr>
                <w:rFonts w:hint="eastAsia" w:ascii="宋体" w:hAnsi="宋体" w:eastAsia="宋体" w:cs="宋体"/>
                <w:spacing w:val="-1"/>
                <w:position w:val="1"/>
                <w:sz w:val="20"/>
                <w:highlight w:val="none"/>
              </w:rPr>
              <w:t>墙外侧间距离</w:t>
            </w:r>
            <w:r>
              <w:rPr>
                <w:rFonts w:hint="eastAsia" w:ascii="宋体" w:hAnsi="宋体" w:eastAsia="宋体" w:cs="宋体"/>
                <w:spacing w:val="-1"/>
                <w:sz w:val="20"/>
                <w:highlight w:val="none"/>
              </w:rPr>
              <w:t>)</w:t>
            </w:r>
            <w:r>
              <w:rPr>
                <w:rFonts w:hint="eastAsia" w:ascii="宋体" w:hAnsi="宋体" w:eastAsia="宋体" w:cs="宋体"/>
                <w:spacing w:val="-1"/>
                <w:position w:val="1"/>
                <w:sz w:val="20"/>
                <w:highlight w:val="none"/>
              </w:rPr>
              <w:t>计算，以</w:t>
            </w:r>
          </w:p>
          <w:p w14:paraId="2B9472BF">
            <w:pPr>
              <w:spacing w:line="239" w:lineRule="exact"/>
              <w:ind w:left="109"/>
              <w:rPr>
                <w:rFonts w:hint="eastAsia" w:ascii="宋体" w:hAnsi="宋体" w:eastAsia="宋体" w:cs="宋体"/>
                <w:highlight w:val="none"/>
              </w:rPr>
            </w:pPr>
            <w:r>
              <w:rPr>
                <w:rFonts w:hint="eastAsia" w:ascii="宋体" w:hAnsi="宋体" w:eastAsia="宋体" w:cs="宋体"/>
                <w:spacing w:val="-1"/>
                <w:sz w:val="20"/>
                <w:highlight w:val="none"/>
              </w:rPr>
              <w:t>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756508E">
            <w:pPr>
              <w:spacing w:line="278"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挖基、基坑排水、基</w:t>
            </w:r>
          </w:p>
          <w:p w14:paraId="542B9745">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底清理；</w:t>
            </w:r>
          </w:p>
          <w:p w14:paraId="5FBE3DBF">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基座砌筑或浇筑；</w:t>
            </w:r>
          </w:p>
          <w:p w14:paraId="7D7693ED">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垫层材料铺筑；</w:t>
            </w:r>
          </w:p>
          <w:p w14:paraId="1D47ED5A">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钢筋制作安装；</w:t>
            </w:r>
          </w:p>
          <w:p w14:paraId="0D5A6466">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预制或现浇钢筋混凝</w:t>
            </w:r>
          </w:p>
          <w:p w14:paraId="41862E30">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土管；</w:t>
            </w:r>
          </w:p>
          <w:p w14:paraId="69BC06C4">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铺涂防水层；</w:t>
            </w:r>
          </w:p>
          <w:p w14:paraId="0D083825">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安装、接缝；</w:t>
            </w:r>
          </w:p>
          <w:p w14:paraId="108F6905">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8.</w:t>
            </w:r>
            <w:r>
              <w:rPr>
                <w:rFonts w:hint="eastAsia" w:ascii="宋体" w:hAnsi="宋体" w:eastAsia="宋体" w:cs="宋体"/>
                <w:spacing w:val="-1"/>
                <w:position w:val="1"/>
                <w:sz w:val="20"/>
                <w:highlight w:val="none"/>
              </w:rPr>
              <w:t>砌筑进出口</w:t>
            </w:r>
            <w:r>
              <w:rPr>
                <w:rFonts w:hint="eastAsia" w:ascii="宋体" w:hAnsi="宋体" w:eastAsia="宋体" w:cs="宋体"/>
                <w:spacing w:val="-1"/>
                <w:sz w:val="20"/>
                <w:highlight w:val="none"/>
              </w:rPr>
              <w:t>(</w:t>
            </w:r>
            <w:r>
              <w:rPr>
                <w:rFonts w:hint="eastAsia" w:ascii="宋体" w:hAnsi="宋体" w:eastAsia="宋体" w:cs="宋体"/>
                <w:spacing w:val="-1"/>
                <w:position w:val="1"/>
                <w:sz w:val="20"/>
                <w:highlight w:val="none"/>
              </w:rPr>
              <w:t>端墙、翼</w:t>
            </w:r>
          </w:p>
          <w:p w14:paraId="5ED2C710">
            <w:pPr>
              <w:spacing w:line="271" w:lineRule="exact"/>
              <w:ind w:left="108"/>
              <w:rPr>
                <w:rFonts w:hint="eastAsia" w:ascii="宋体" w:hAnsi="宋体" w:eastAsia="宋体" w:cs="宋体"/>
                <w:highlight w:val="none"/>
              </w:rPr>
            </w:pPr>
            <w:r>
              <w:rPr>
                <w:rFonts w:hint="eastAsia" w:ascii="宋体" w:hAnsi="宋体" w:eastAsia="宋体" w:cs="宋体"/>
                <w:spacing w:val="-1"/>
                <w:position w:val="1"/>
                <w:sz w:val="20"/>
                <w:highlight w:val="none"/>
              </w:rPr>
              <w:t>墙、八字墙井口</w:t>
            </w:r>
            <w:r>
              <w:rPr>
                <w:rFonts w:hint="eastAsia" w:ascii="宋体" w:hAnsi="宋体" w:eastAsia="宋体" w:cs="宋体"/>
                <w:spacing w:val="-1"/>
                <w:sz w:val="20"/>
                <w:highlight w:val="none"/>
              </w:rPr>
              <w:t>)</w:t>
            </w:r>
            <w:r>
              <w:rPr>
                <w:rFonts w:hint="eastAsia" w:ascii="宋体" w:hAnsi="宋体" w:eastAsia="宋体" w:cs="宋体"/>
                <w:spacing w:val="-1"/>
                <w:position w:val="1"/>
                <w:sz w:val="20"/>
                <w:highlight w:val="none"/>
              </w:rPr>
              <w:t>；</w:t>
            </w:r>
          </w:p>
          <w:p w14:paraId="5884D972">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9.</w:t>
            </w:r>
            <w:r>
              <w:rPr>
                <w:rFonts w:hint="eastAsia" w:ascii="宋体" w:hAnsi="宋体" w:eastAsia="宋体" w:cs="宋体"/>
                <w:spacing w:val="-1"/>
                <w:position w:val="1"/>
                <w:sz w:val="20"/>
                <w:highlight w:val="none"/>
              </w:rPr>
              <w:t>防水、防冻、防腐措</w:t>
            </w:r>
          </w:p>
          <w:p w14:paraId="686CDAA2">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施；</w:t>
            </w:r>
          </w:p>
          <w:p w14:paraId="5251FDF8">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10.</w:t>
            </w:r>
            <w:r>
              <w:rPr>
                <w:rFonts w:hint="eastAsia" w:ascii="宋体" w:hAnsi="宋体" w:eastAsia="宋体" w:cs="宋体"/>
                <w:spacing w:val="-1"/>
                <w:position w:val="1"/>
                <w:sz w:val="20"/>
                <w:highlight w:val="none"/>
              </w:rPr>
              <w:t>回填</w:t>
            </w:r>
          </w:p>
        </w:tc>
      </w:tr>
      <w:tr w14:paraId="06DFD122">
        <w:tblPrEx>
          <w:tblCellMar>
            <w:top w:w="0" w:type="dxa"/>
            <w:left w:w="108" w:type="dxa"/>
            <w:bottom w:w="0" w:type="dxa"/>
            <w:right w:w="108" w:type="dxa"/>
          </w:tblCellMar>
        </w:tblPrEx>
        <w:trPr>
          <w:trHeight w:val="55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CBF876E">
            <w:pPr>
              <w:spacing w:line="476" w:lineRule="exact"/>
              <w:ind w:left="337"/>
              <w:rPr>
                <w:rFonts w:hint="eastAsia" w:ascii="宋体" w:hAnsi="宋体" w:eastAsia="宋体" w:cs="宋体"/>
                <w:highlight w:val="none"/>
              </w:rPr>
            </w:pPr>
            <w:r>
              <w:rPr>
                <w:rFonts w:hint="eastAsia" w:ascii="宋体" w:hAnsi="宋体" w:eastAsia="宋体" w:cs="宋体"/>
                <w:spacing w:val="-1"/>
                <w:sz w:val="20"/>
                <w:highlight w:val="none"/>
              </w:rPr>
              <w:t>506-1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9A6F084">
            <w:pPr>
              <w:spacing w:line="245" w:lineRule="exact"/>
              <w:ind w:left="282"/>
              <w:rPr>
                <w:rFonts w:hint="eastAsia" w:ascii="宋体" w:hAnsi="宋体" w:eastAsia="宋体" w:cs="宋体"/>
                <w:highlight w:val="none"/>
              </w:rPr>
            </w:pPr>
            <w:r>
              <w:rPr>
                <w:rFonts w:hint="eastAsia" w:ascii="宋体" w:hAnsi="宋体" w:eastAsia="宋体" w:cs="宋体"/>
                <w:spacing w:val="-1"/>
                <w:sz w:val="20"/>
                <w:highlight w:val="none"/>
              </w:rPr>
              <w:t>钢筋混凝土盖</w:t>
            </w:r>
          </w:p>
          <w:p w14:paraId="11614B74">
            <w:pPr>
              <w:spacing w:line="274" w:lineRule="exact"/>
              <w:ind w:left="107"/>
              <w:rPr>
                <w:rFonts w:hint="eastAsia" w:ascii="宋体" w:hAnsi="宋体" w:eastAsia="宋体" w:cs="宋体"/>
                <w:highlight w:val="none"/>
              </w:rPr>
            </w:pPr>
            <w:r>
              <w:rPr>
                <w:rFonts w:hint="eastAsia" w:ascii="宋体" w:hAnsi="宋体" w:eastAsia="宋体" w:cs="宋体"/>
                <w:spacing w:val="-1"/>
                <w:sz w:val="20"/>
                <w:highlight w:val="none"/>
              </w:rPr>
              <w:t>板涵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5966F30">
            <w:pPr>
              <w:spacing w:line="274" w:lineRule="exact"/>
              <w:rPr>
                <w:rFonts w:hint="eastAsia" w:ascii="宋体" w:hAnsi="宋体" w:eastAsia="宋体" w:cs="宋体"/>
                <w:highlight w:val="none"/>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98204A5">
            <w:pPr>
              <w:spacing w:line="274"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EACBB22">
            <w:pPr>
              <w:spacing w:line="274" w:lineRule="exact"/>
              <w:rPr>
                <w:rFonts w:hint="eastAsia" w:ascii="宋体" w:hAnsi="宋体" w:eastAsia="宋体" w:cs="宋体"/>
                <w:highlight w:val="none"/>
              </w:rPr>
            </w:pPr>
          </w:p>
        </w:tc>
      </w:tr>
    </w:tbl>
    <w:p w14:paraId="2A2369B3">
      <w:pPr>
        <w:rPr>
          <w:rFonts w:hint="eastAsia" w:ascii="宋体" w:hAnsi="宋体" w:eastAsia="宋体" w:cs="宋体"/>
          <w:sz w:val="20"/>
          <w:highlight w:val="none"/>
        </w:rPr>
        <w:sectPr>
          <w:pgSz w:w="11910" w:h="16840"/>
          <w:pgMar w:top="1440" w:right="1080" w:bottom="1040" w:left="1420" w:header="882" w:footer="847" w:gutter="0"/>
          <w:cols w:space="720" w:num="1"/>
        </w:sectPr>
      </w:pPr>
    </w:p>
    <w:p w14:paraId="0FC71754">
      <w:pPr>
        <w:pStyle w:val="10"/>
        <w:spacing w:before="10"/>
        <w:rPr>
          <w:rFonts w:hint="eastAsia" w:ascii="宋体" w:hAnsi="宋体" w:eastAsia="宋体" w:cs="宋体"/>
          <w:sz w:val="11"/>
          <w:highlight w:val="none"/>
        </w:rPr>
      </w:pPr>
    </w:p>
    <w:tbl>
      <w:tblPr>
        <w:tblStyle w:val="24"/>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14:paraId="5A02BB9B">
        <w:tblPrEx>
          <w:tblCellMar>
            <w:top w:w="0" w:type="dxa"/>
            <w:left w:w="108" w:type="dxa"/>
            <w:bottom w:w="0" w:type="dxa"/>
            <w:right w:w="108" w:type="dxa"/>
          </w:tblCellMar>
        </w:tblPrEx>
        <w:trPr>
          <w:trHeight w:val="162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26FFF5F">
            <w:pPr>
              <w:spacing w:line="1009" w:lineRule="exact"/>
              <w:ind w:left="500"/>
              <w:rPr>
                <w:rFonts w:hint="eastAsia" w:ascii="宋体" w:hAnsi="宋体" w:eastAsia="宋体" w:cs="宋体"/>
                <w:highlight w:val="none"/>
              </w:rPr>
            </w:pPr>
            <w:r>
              <w:rPr>
                <w:rFonts w:hint="eastAsia" w:ascii="宋体" w:hAnsi="宋体" w:eastAsia="宋体" w:cs="宋体"/>
                <w:spacing w:val="-1"/>
                <w:sz w:val="20"/>
                <w:highlight w:val="none"/>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054C21E">
            <w:pPr>
              <w:spacing w:line="815" w:lineRule="exact"/>
              <w:ind w:left="282"/>
              <w:rPr>
                <w:rFonts w:hint="eastAsia" w:ascii="宋体" w:hAnsi="宋体" w:eastAsia="宋体" w:cs="宋体"/>
                <w:highlight w:val="none"/>
              </w:rPr>
            </w:pPr>
            <w:r>
              <w:rPr>
                <w:rFonts w:hint="eastAsia" w:ascii="宋体" w:hAnsi="宋体" w:eastAsia="宋体" w:cs="宋体"/>
                <w:spacing w:val="-1"/>
                <w:sz w:val="20"/>
                <w:highlight w:val="none"/>
              </w:rPr>
              <w:t>1-…m×…m</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钢</w:t>
            </w:r>
          </w:p>
          <w:p w14:paraId="17F55B42">
            <w:pPr>
              <w:spacing w:line="239" w:lineRule="exact"/>
              <w:ind w:left="107"/>
              <w:rPr>
                <w:rFonts w:hint="eastAsia" w:ascii="宋体" w:hAnsi="宋体" w:eastAsia="宋体" w:cs="宋体"/>
                <w:highlight w:val="none"/>
              </w:rPr>
            </w:pPr>
            <w:r>
              <w:rPr>
                <w:rFonts w:hint="eastAsia" w:ascii="宋体" w:hAnsi="宋体" w:eastAsia="宋体" w:cs="宋体"/>
                <w:spacing w:val="-1"/>
                <w:sz w:val="20"/>
                <w:highlight w:val="none"/>
              </w:rPr>
              <w:t>筋混凝土盖板涵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64A0318">
            <w:pPr>
              <w:spacing w:line="951" w:lineRule="exact"/>
              <w:ind w:left="457"/>
              <w:rPr>
                <w:rFonts w:hint="eastAsia" w:ascii="宋体" w:hAnsi="宋体" w:eastAsia="宋体" w:cs="宋体"/>
                <w:highlight w:val="none"/>
              </w:rPr>
            </w:pPr>
            <w:r>
              <w:rPr>
                <w:rFonts w:hint="eastAsia" w:ascii="宋体" w:hAnsi="宋体" w:eastAsia="宋体" w:cs="宋体"/>
                <w:sz w:val="20"/>
                <w:highlight w:val="none"/>
              </w:rPr>
              <w:t>m</w:t>
            </w:r>
          </w:p>
        </w:tc>
        <w:tc>
          <w:tcPr>
            <w:tcW w:w="248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503FAC9">
            <w:pPr>
              <w:spacing w:line="1605"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依据图纸所示，按不同</w:t>
            </w:r>
          </w:p>
          <w:p w14:paraId="6A2A9D24">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跨径的盖板涵长度以米</w:t>
            </w:r>
          </w:p>
          <w:p w14:paraId="116F6063">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为单位计量</w:t>
            </w:r>
          </w:p>
        </w:tc>
        <w:tc>
          <w:tcPr>
            <w:tcW w:w="252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6BDF542">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场地清理；</w:t>
            </w:r>
          </w:p>
          <w:p w14:paraId="68938D22">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围堰、排水，基坑开</w:t>
            </w:r>
          </w:p>
          <w:p w14:paraId="0148F7EB">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挖，基坑支护；</w:t>
            </w:r>
          </w:p>
          <w:p w14:paraId="66378DC7">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基础、地基处理、涵</w:t>
            </w:r>
          </w:p>
          <w:p w14:paraId="75EF51A9">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台施工；</w:t>
            </w:r>
          </w:p>
          <w:p w14:paraId="3C1AED68">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施工缝设置、处理；</w:t>
            </w:r>
          </w:p>
          <w:p w14:paraId="67E89B5D">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盖板预制，运输，安</w:t>
            </w:r>
          </w:p>
          <w:p w14:paraId="1CD135D9">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装；</w:t>
            </w:r>
          </w:p>
          <w:p w14:paraId="7B028E91">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砂浆制作、填缝；</w:t>
            </w:r>
          </w:p>
          <w:p w14:paraId="6A473513">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防水、防冻、防腐措</w:t>
            </w:r>
          </w:p>
          <w:p w14:paraId="493B49AE">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施；</w:t>
            </w:r>
          </w:p>
          <w:p w14:paraId="6BC67BA1">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8.</w:t>
            </w:r>
            <w:r>
              <w:rPr>
                <w:rFonts w:hint="eastAsia" w:ascii="宋体" w:hAnsi="宋体" w:eastAsia="宋体" w:cs="宋体"/>
                <w:spacing w:val="-1"/>
                <w:position w:val="1"/>
                <w:sz w:val="20"/>
                <w:highlight w:val="none"/>
              </w:rPr>
              <w:t>回填</w:t>
            </w:r>
          </w:p>
        </w:tc>
      </w:tr>
      <w:tr w14:paraId="047F161C">
        <w:tblPrEx>
          <w:tblCellMar>
            <w:top w:w="0" w:type="dxa"/>
            <w:left w:w="108" w:type="dxa"/>
            <w:bottom w:w="0" w:type="dxa"/>
            <w:right w:w="108" w:type="dxa"/>
          </w:tblCellMar>
        </w:tblPrEx>
        <w:trPr>
          <w:trHeight w:val="1620"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F225486">
            <w:pPr>
              <w:spacing w:line="1160" w:lineRule="exact"/>
              <w:ind w:left="493"/>
              <w:rPr>
                <w:rFonts w:hint="eastAsia" w:ascii="宋体" w:hAnsi="宋体" w:eastAsia="宋体" w:cs="宋体"/>
                <w:highlight w:val="none"/>
              </w:rPr>
            </w:pPr>
            <w:r>
              <w:rPr>
                <w:rFonts w:hint="eastAsia" w:ascii="宋体" w:hAnsi="宋体" w:eastAsia="宋体" w:cs="宋体"/>
                <w:spacing w:val="-1"/>
                <w:sz w:val="20"/>
                <w:highlight w:val="none"/>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3613955">
            <w:pPr>
              <w:spacing w:line="966" w:lineRule="exact"/>
              <w:ind w:left="282"/>
              <w:rPr>
                <w:rFonts w:hint="eastAsia" w:ascii="宋体" w:hAnsi="宋体" w:eastAsia="宋体" w:cs="宋体"/>
                <w:highlight w:val="none"/>
              </w:rPr>
            </w:pPr>
            <w:r>
              <w:rPr>
                <w:rFonts w:hint="eastAsia" w:ascii="宋体" w:hAnsi="宋体" w:eastAsia="宋体" w:cs="宋体"/>
                <w:spacing w:val="-1"/>
                <w:sz w:val="20"/>
                <w:highlight w:val="none"/>
              </w:rPr>
              <w:t>2-…m×…m</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钢</w:t>
            </w:r>
          </w:p>
          <w:p w14:paraId="73DA77AA">
            <w:pPr>
              <w:spacing w:line="237" w:lineRule="exact"/>
              <w:ind w:left="107"/>
              <w:rPr>
                <w:rFonts w:hint="eastAsia" w:ascii="宋体" w:hAnsi="宋体" w:eastAsia="宋体" w:cs="宋体"/>
                <w:highlight w:val="none"/>
              </w:rPr>
            </w:pPr>
            <w:r>
              <w:rPr>
                <w:rFonts w:hint="eastAsia" w:ascii="宋体" w:hAnsi="宋体" w:eastAsia="宋体" w:cs="宋体"/>
                <w:spacing w:val="-1"/>
                <w:sz w:val="20"/>
                <w:highlight w:val="none"/>
              </w:rPr>
              <w:t>筋混凝土盖板涵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4AB3172">
            <w:pPr>
              <w:spacing w:line="1100" w:lineRule="exact"/>
              <w:ind w:left="457"/>
              <w:rPr>
                <w:rFonts w:hint="eastAsia" w:ascii="宋体" w:hAnsi="宋体" w:eastAsia="宋体" w:cs="宋体"/>
                <w:highlight w:val="none"/>
              </w:rPr>
            </w:pPr>
            <w:r>
              <w:rPr>
                <w:rFonts w:hint="eastAsia" w:ascii="宋体" w:hAnsi="宋体" w:eastAsia="宋体" w:cs="宋体"/>
                <w:sz w:val="20"/>
                <w:highlight w:val="none"/>
              </w:rPr>
              <w:t>m</w:t>
            </w:r>
          </w:p>
        </w:tc>
        <w:tc>
          <w:tcPr>
            <w:tcW w:w="248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8353C9F">
            <w:pPr>
              <w:spacing w:line="1100" w:lineRule="exact"/>
              <w:rPr>
                <w:rFonts w:hint="eastAsia" w:ascii="宋体" w:hAnsi="宋体" w:eastAsia="宋体" w:cs="宋体"/>
                <w:highlight w:val="none"/>
              </w:rPr>
            </w:pPr>
          </w:p>
        </w:tc>
        <w:tc>
          <w:tcPr>
            <w:tcW w:w="252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4E90AC1">
            <w:pPr>
              <w:spacing w:line="1100" w:lineRule="exact"/>
              <w:rPr>
                <w:rFonts w:hint="eastAsia" w:ascii="宋体" w:hAnsi="宋体" w:eastAsia="宋体" w:cs="宋体"/>
                <w:highlight w:val="none"/>
              </w:rPr>
            </w:pPr>
          </w:p>
        </w:tc>
      </w:tr>
      <w:tr w14:paraId="66D3C008">
        <w:tblPrEx>
          <w:tblCellMar>
            <w:top w:w="0" w:type="dxa"/>
            <w:left w:w="108" w:type="dxa"/>
            <w:bottom w:w="0" w:type="dxa"/>
            <w:right w:w="108" w:type="dxa"/>
          </w:tblCellMar>
        </w:tblPrEx>
        <w:trPr>
          <w:trHeight w:val="5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C8F2AC5">
            <w:pPr>
              <w:spacing w:line="476" w:lineRule="exact"/>
              <w:ind w:left="337"/>
              <w:rPr>
                <w:rFonts w:hint="eastAsia" w:ascii="宋体" w:hAnsi="宋体" w:eastAsia="宋体" w:cs="宋体"/>
                <w:highlight w:val="none"/>
              </w:rPr>
            </w:pPr>
            <w:r>
              <w:rPr>
                <w:rFonts w:hint="eastAsia" w:ascii="宋体" w:hAnsi="宋体" w:eastAsia="宋体" w:cs="宋体"/>
                <w:spacing w:val="-1"/>
                <w:sz w:val="20"/>
                <w:highlight w:val="none"/>
              </w:rPr>
              <w:t>507-1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3A26BD59">
            <w:pPr>
              <w:spacing w:line="244" w:lineRule="exact"/>
              <w:jc w:val="center"/>
              <w:rPr>
                <w:rFonts w:hint="eastAsia" w:ascii="宋体" w:hAnsi="宋体" w:eastAsia="宋体" w:cs="宋体"/>
                <w:highlight w:val="none"/>
              </w:rPr>
            </w:pPr>
            <w:r>
              <w:rPr>
                <w:rFonts w:hint="eastAsia" w:ascii="宋体" w:hAnsi="宋体" w:eastAsia="宋体" w:cs="宋体"/>
                <w:spacing w:val="-1"/>
                <w:sz w:val="20"/>
                <w:highlight w:val="none"/>
              </w:rPr>
              <w:t>钢筋混凝土箱涵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EC2D8E8">
            <w:pPr>
              <w:spacing w:line="274" w:lineRule="exact"/>
              <w:rPr>
                <w:rFonts w:hint="eastAsia" w:ascii="宋体" w:hAnsi="宋体" w:eastAsia="宋体" w:cs="宋体"/>
                <w:highlight w:val="none"/>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EFE7AED">
            <w:pPr>
              <w:spacing w:line="274"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01C8A84">
            <w:pPr>
              <w:spacing w:line="274" w:lineRule="exact"/>
              <w:rPr>
                <w:rFonts w:hint="eastAsia" w:ascii="宋体" w:hAnsi="宋体" w:eastAsia="宋体" w:cs="宋体"/>
                <w:highlight w:val="none"/>
              </w:rPr>
            </w:pPr>
          </w:p>
        </w:tc>
      </w:tr>
      <w:tr w14:paraId="022497D4">
        <w:tblPrEx>
          <w:tblCellMar>
            <w:top w:w="0" w:type="dxa"/>
            <w:left w:w="108" w:type="dxa"/>
            <w:bottom w:w="0" w:type="dxa"/>
            <w:right w:w="108" w:type="dxa"/>
          </w:tblCellMar>
        </w:tblPrEx>
        <w:trPr>
          <w:trHeight w:val="182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8C5B097">
            <w:pPr>
              <w:spacing w:line="1111" w:lineRule="exact"/>
              <w:ind w:left="500"/>
              <w:rPr>
                <w:rFonts w:hint="eastAsia" w:ascii="宋体" w:hAnsi="宋体" w:eastAsia="宋体" w:cs="宋体"/>
                <w:highlight w:val="none"/>
              </w:rPr>
            </w:pPr>
            <w:r>
              <w:rPr>
                <w:rFonts w:hint="eastAsia" w:ascii="宋体" w:hAnsi="宋体" w:eastAsia="宋体" w:cs="宋体"/>
                <w:spacing w:val="-1"/>
                <w:sz w:val="20"/>
                <w:highlight w:val="none"/>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375D5DB">
            <w:pPr>
              <w:spacing w:line="917" w:lineRule="exact"/>
              <w:ind w:left="282"/>
              <w:rPr>
                <w:rFonts w:hint="eastAsia" w:ascii="宋体" w:hAnsi="宋体" w:eastAsia="宋体" w:cs="宋体"/>
                <w:highlight w:val="none"/>
              </w:rPr>
            </w:pPr>
            <w:r>
              <w:rPr>
                <w:rFonts w:hint="eastAsia" w:ascii="宋体" w:hAnsi="宋体" w:eastAsia="宋体" w:cs="宋体"/>
                <w:spacing w:val="-1"/>
                <w:sz w:val="20"/>
                <w:highlight w:val="none"/>
              </w:rPr>
              <w:t>1-…m×…m</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钢</w:t>
            </w:r>
          </w:p>
          <w:p w14:paraId="22F29452">
            <w:pPr>
              <w:spacing w:line="237" w:lineRule="exact"/>
              <w:ind w:left="107"/>
              <w:rPr>
                <w:rFonts w:hint="eastAsia" w:ascii="宋体" w:hAnsi="宋体" w:eastAsia="宋体" w:cs="宋体"/>
                <w:highlight w:val="none"/>
              </w:rPr>
            </w:pPr>
            <w:r>
              <w:rPr>
                <w:rFonts w:hint="eastAsia" w:ascii="宋体" w:hAnsi="宋体" w:eastAsia="宋体" w:cs="宋体"/>
                <w:spacing w:val="-1"/>
                <w:sz w:val="20"/>
                <w:highlight w:val="none"/>
              </w:rPr>
              <w:t>筋混凝土箱涵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38D0D49">
            <w:pPr>
              <w:spacing w:line="1054" w:lineRule="exact"/>
              <w:ind w:left="457"/>
              <w:rPr>
                <w:rFonts w:hint="eastAsia" w:ascii="宋体" w:hAnsi="宋体" w:eastAsia="宋体" w:cs="宋体"/>
                <w:highlight w:val="none"/>
              </w:rPr>
            </w:pPr>
            <w:r>
              <w:rPr>
                <w:rFonts w:hint="eastAsia" w:ascii="宋体" w:hAnsi="宋体" w:eastAsia="宋体" w:cs="宋体"/>
                <w:sz w:val="20"/>
                <w:highlight w:val="none"/>
              </w:rPr>
              <w:t>m</w:t>
            </w:r>
          </w:p>
        </w:tc>
        <w:tc>
          <w:tcPr>
            <w:tcW w:w="248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8EBA78E">
            <w:pPr>
              <w:spacing w:line="1741"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依据图纸所示，按不同</w:t>
            </w:r>
          </w:p>
          <w:p w14:paraId="6B9D2602">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跨径的箱涵长度以米为</w:t>
            </w:r>
          </w:p>
          <w:p w14:paraId="078FF8F9">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单位计量</w:t>
            </w:r>
          </w:p>
        </w:tc>
        <w:tc>
          <w:tcPr>
            <w:tcW w:w="252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CCA9E79">
            <w:pPr>
              <w:spacing w:line="281" w:lineRule="exact"/>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围堰、排水，基坑开</w:t>
            </w:r>
            <w:r>
              <w:rPr>
                <w:rFonts w:hint="eastAsia" w:ascii="宋体" w:hAnsi="宋体" w:eastAsia="宋体" w:cs="宋体"/>
                <w:spacing w:val="-1"/>
                <w:sz w:val="20"/>
                <w:highlight w:val="none"/>
              </w:rPr>
              <w:t>挖；</w:t>
            </w:r>
          </w:p>
          <w:p w14:paraId="77BEF794">
            <w:pPr>
              <w:spacing w:line="306" w:lineRule="exact"/>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垫层、基础施工；</w:t>
            </w:r>
          </w:p>
          <w:p w14:paraId="7374A298">
            <w:pPr>
              <w:spacing w:line="274" w:lineRule="exact"/>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搭拆作业平台；</w:t>
            </w:r>
          </w:p>
          <w:p w14:paraId="5A16D814">
            <w:pPr>
              <w:spacing w:line="271" w:lineRule="exact"/>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模板安设、加固、检</w:t>
            </w:r>
            <w:r>
              <w:rPr>
                <w:rFonts w:hint="eastAsia" w:ascii="宋体" w:hAnsi="宋体" w:eastAsia="宋体" w:cs="宋体"/>
                <w:spacing w:val="-1"/>
                <w:sz w:val="20"/>
                <w:highlight w:val="none"/>
              </w:rPr>
              <w:t>查；</w:t>
            </w:r>
          </w:p>
          <w:p w14:paraId="318F47AC">
            <w:pPr>
              <w:spacing w:line="308" w:lineRule="exact"/>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钢筋安设、支承及固</w:t>
            </w:r>
            <w:r>
              <w:rPr>
                <w:rFonts w:hint="eastAsia" w:ascii="宋体" w:hAnsi="宋体" w:eastAsia="宋体" w:cs="宋体"/>
                <w:spacing w:val="-1"/>
                <w:sz w:val="20"/>
                <w:highlight w:val="none"/>
              </w:rPr>
              <w:t>定；</w:t>
            </w:r>
          </w:p>
          <w:p w14:paraId="7609EDA0">
            <w:pPr>
              <w:spacing w:line="306" w:lineRule="exact"/>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混凝土配运料、拌和、</w:t>
            </w:r>
          </w:p>
          <w:p w14:paraId="78D98356">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运输、浇筑、养护；</w:t>
            </w:r>
          </w:p>
          <w:p w14:paraId="200228AC">
            <w:pPr>
              <w:spacing w:line="306" w:lineRule="exact"/>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施工缝设置、处理；</w:t>
            </w:r>
          </w:p>
          <w:p w14:paraId="5BEFA19E">
            <w:pPr>
              <w:spacing w:line="274" w:lineRule="exact"/>
              <w:rPr>
                <w:rFonts w:hint="eastAsia" w:ascii="宋体" w:hAnsi="宋体" w:eastAsia="宋体" w:cs="宋体"/>
                <w:highlight w:val="none"/>
              </w:rPr>
            </w:pPr>
            <w:r>
              <w:rPr>
                <w:rFonts w:hint="eastAsia" w:ascii="宋体" w:hAnsi="宋体" w:eastAsia="宋体" w:cs="宋体"/>
                <w:sz w:val="20"/>
                <w:highlight w:val="none"/>
              </w:rPr>
              <w:t>8.</w:t>
            </w:r>
            <w:r>
              <w:rPr>
                <w:rFonts w:hint="eastAsia" w:ascii="宋体" w:hAnsi="宋体" w:eastAsia="宋体" w:cs="宋体"/>
                <w:spacing w:val="-1"/>
                <w:position w:val="1"/>
                <w:sz w:val="20"/>
                <w:highlight w:val="none"/>
              </w:rPr>
              <w:t>防水、防冻、防腐措</w:t>
            </w:r>
            <w:r>
              <w:rPr>
                <w:rFonts w:hint="eastAsia" w:ascii="宋体" w:hAnsi="宋体" w:eastAsia="宋体" w:cs="宋体"/>
                <w:spacing w:val="-1"/>
                <w:sz w:val="20"/>
                <w:highlight w:val="none"/>
              </w:rPr>
              <w:t>施；</w:t>
            </w:r>
          </w:p>
          <w:p w14:paraId="4CA2B326">
            <w:pPr>
              <w:spacing w:line="308" w:lineRule="exact"/>
              <w:rPr>
                <w:rFonts w:hint="eastAsia" w:ascii="宋体" w:hAnsi="宋体" w:eastAsia="宋体" w:cs="宋体"/>
                <w:highlight w:val="none"/>
              </w:rPr>
            </w:pPr>
            <w:r>
              <w:rPr>
                <w:rFonts w:hint="eastAsia" w:ascii="宋体" w:hAnsi="宋体" w:eastAsia="宋体" w:cs="宋体"/>
                <w:sz w:val="20"/>
                <w:highlight w:val="none"/>
              </w:rPr>
              <w:t>9.</w:t>
            </w:r>
            <w:r>
              <w:rPr>
                <w:rFonts w:hint="eastAsia" w:ascii="宋体" w:hAnsi="宋体" w:eastAsia="宋体" w:cs="宋体"/>
                <w:spacing w:val="-1"/>
                <w:position w:val="1"/>
                <w:sz w:val="20"/>
                <w:highlight w:val="none"/>
              </w:rPr>
              <w:t>回填</w:t>
            </w:r>
          </w:p>
        </w:tc>
      </w:tr>
      <w:tr w14:paraId="251026CC">
        <w:tblPrEx>
          <w:tblCellMar>
            <w:top w:w="0" w:type="dxa"/>
            <w:left w:w="108" w:type="dxa"/>
            <w:bottom w:w="0" w:type="dxa"/>
            <w:right w:w="108" w:type="dxa"/>
          </w:tblCellMar>
        </w:tblPrEx>
        <w:trPr>
          <w:trHeight w:val="123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4515841">
            <w:pPr>
              <w:spacing w:line="1196" w:lineRule="exact"/>
              <w:ind w:left="493"/>
              <w:rPr>
                <w:rFonts w:hint="eastAsia" w:ascii="宋体" w:hAnsi="宋体" w:eastAsia="宋体" w:cs="宋体"/>
                <w:highlight w:val="none"/>
              </w:rPr>
            </w:pPr>
            <w:r>
              <w:rPr>
                <w:rFonts w:hint="eastAsia" w:ascii="宋体" w:hAnsi="宋体" w:eastAsia="宋体" w:cs="宋体"/>
                <w:spacing w:val="-1"/>
                <w:sz w:val="20"/>
                <w:highlight w:val="none"/>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3BAA5D5">
            <w:pPr>
              <w:spacing w:line="999" w:lineRule="exact"/>
              <w:ind w:left="282"/>
              <w:rPr>
                <w:rFonts w:hint="eastAsia" w:ascii="宋体" w:hAnsi="宋体" w:eastAsia="宋体" w:cs="宋体"/>
                <w:highlight w:val="none"/>
              </w:rPr>
            </w:pPr>
            <w:r>
              <w:rPr>
                <w:rFonts w:hint="eastAsia" w:ascii="宋体" w:hAnsi="宋体" w:eastAsia="宋体" w:cs="宋体"/>
                <w:spacing w:val="-1"/>
                <w:sz w:val="20"/>
                <w:highlight w:val="none"/>
              </w:rPr>
              <w:t>2-…m×…m</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钢</w:t>
            </w:r>
          </w:p>
          <w:p w14:paraId="166447A9">
            <w:pPr>
              <w:spacing w:line="236" w:lineRule="exact"/>
              <w:ind w:left="107"/>
              <w:rPr>
                <w:rFonts w:hint="eastAsia" w:ascii="宋体" w:hAnsi="宋体" w:eastAsia="宋体" w:cs="宋体"/>
                <w:highlight w:val="none"/>
              </w:rPr>
            </w:pPr>
            <w:r>
              <w:rPr>
                <w:rFonts w:hint="eastAsia" w:ascii="宋体" w:hAnsi="宋体" w:eastAsia="宋体" w:cs="宋体"/>
                <w:spacing w:val="-1"/>
                <w:sz w:val="20"/>
                <w:highlight w:val="none"/>
              </w:rPr>
              <w:t>筋混凝土箱涵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0C6CCF8">
            <w:pPr>
              <w:spacing w:line="1136" w:lineRule="exact"/>
              <w:ind w:left="457"/>
              <w:rPr>
                <w:rFonts w:hint="eastAsia" w:ascii="宋体" w:hAnsi="宋体" w:eastAsia="宋体" w:cs="宋体"/>
                <w:highlight w:val="none"/>
              </w:rPr>
            </w:pPr>
            <w:r>
              <w:rPr>
                <w:rFonts w:hint="eastAsia" w:ascii="宋体" w:hAnsi="宋体" w:eastAsia="宋体" w:cs="宋体"/>
                <w:sz w:val="20"/>
                <w:highlight w:val="none"/>
              </w:rPr>
              <w:t>m</w:t>
            </w:r>
          </w:p>
        </w:tc>
        <w:tc>
          <w:tcPr>
            <w:tcW w:w="248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34921D8">
            <w:pPr>
              <w:spacing w:line="1136" w:lineRule="exact"/>
              <w:rPr>
                <w:rFonts w:hint="eastAsia" w:ascii="宋体" w:hAnsi="宋体" w:eastAsia="宋体" w:cs="宋体"/>
                <w:highlight w:val="none"/>
              </w:rPr>
            </w:pPr>
          </w:p>
        </w:tc>
        <w:tc>
          <w:tcPr>
            <w:tcW w:w="252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1850937">
            <w:pPr>
              <w:spacing w:line="1136" w:lineRule="exact"/>
              <w:rPr>
                <w:rFonts w:hint="eastAsia" w:ascii="宋体" w:hAnsi="宋体" w:eastAsia="宋体" w:cs="宋体"/>
                <w:highlight w:val="none"/>
              </w:rPr>
            </w:pPr>
          </w:p>
        </w:tc>
      </w:tr>
      <w:tr w14:paraId="1E08BEE8">
        <w:tblPrEx>
          <w:tblCellMar>
            <w:top w:w="0" w:type="dxa"/>
            <w:left w:w="108" w:type="dxa"/>
            <w:bottom w:w="0" w:type="dxa"/>
            <w:right w:w="108" w:type="dxa"/>
          </w:tblCellMar>
        </w:tblPrEx>
        <w:trPr>
          <w:trHeight w:val="300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FC926E9">
            <w:pPr>
              <w:spacing w:line="1699" w:lineRule="exact"/>
              <w:ind w:left="337"/>
              <w:rPr>
                <w:rFonts w:hint="eastAsia" w:ascii="宋体" w:hAnsi="宋体" w:eastAsia="宋体" w:cs="宋体"/>
                <w:highlight w:val="none"/>
              </w:rPr>
            </w:pPr>
            <w:r>
              <w:rPr>
                <w:rFonts w:hint="eastAsia" w:ascii="宋体" w:hAnsi="宋体" w:eastAsia="宋体" w:cs="宋体"/>
                <w:spacing w:val="-1"/>
                <w:sz w:val="20"/>
                <w:highlight w:val="none"/>
              </w:rPr>
              <w:t>508-1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AC40151">
            <w:pPr>
              <w:spacing w:line="1605" w:lineRule="exact"/>
              <w:ind w:left="282"/>
              <w:rPr>
                <w:rFonts w:hint="eastAsia" w:ascii="宋体" w:hAnsi="宋体" w:eastAsia="宋体" w:cs="宋体"/>
                <w:highlight w:val="none"/>
              </w:rPr>
            </w:pPr>
            <w:r>
              <w:rPr>
                <w:rFonts w:hint="eastAsia" w:ascii="宋体" w:hAnsi="宋体" w:eastAsia="宋体" w:cs="宋体"/>
                <w:spacing w:val="-1"/>
                <w:sz w:val="20"/>
                <w:highlight w:val="none"/>
              </w:rPr>
              <w:t>拱涵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D044726">
            <w:pPr>
              <w:spacing w:line="1639" w:lineRule="exact"/>
              <w:ind w:left="457"/>
              <w:rPr>
                <w:rFonts w:hint="eastAsia" w:ascii="宋体" w:hAnsi="宋体" w:eastAsia="宋体" w:cs="宋体"/>
                <w:highlight w:val="none"/>
              </w:rPr>
            </w:pPr>
            <w:r>
              <w:rPr>
                <w:rFonts w:hint="eastAsia" w:ascii="宋体" w:hAnsi="宋体" w:eastAsia="宋体" w:cs="宋体"/>
                <w:sz w:val="20"/>
                <w:highlight w:val="none"/>
              </w:rPr>
              <w:t>m</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B82E08B">
            <w:pPr>
              <w:spacing w:line="1333"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依据图纸所示，按不同</w:t>
            </w:r>
          </w:p>
          <w:p w14:paraId="0EE97C13">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跨径的混凝土拱涵长度</w:t>
            </w:r>
          </w:p>
          <w:p w14:paraId="235059DB">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以米为单位计量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FEDAD67">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场地清理；</w:t>
            </w:r>
          </w:p>
          <w:p w14:paraId="7242A135">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围堰、排水，基坑开</w:t>
            </w:r>
          </w:p>
          <w:p w14:paraId="7D0E75D0">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挖，</w:t>
            </w:r>
          </w:p>
          <w:p w14:paraId="5E7B6EEE">
            <w:pPr>
              <w:spacing w:line="274" w:lineRule="exact"/>
              <w:ind w:left="281"/>
              <w:rPr>
                <w:rFonts w:hint="eastAsia" w:ascii="宋体" w:hAnsi="宋体" w:eastAsia="宋体" w:cs="宋体"/>
                <w:highlight w:val="none"/>
              </w:rPr>
            </w:pPr>
            <w:r>
              <w:rPr>
                <w:rFonts w:hint="eastAsia" w:ascii="宋体" w:hAnsi="宋体" w:eastAsia="宋体" w:cs="宋体"/>
                <w:spacing w:val="-1"/>
                <w:sz w:val="20"/>
                <w:highlight w:val="none"/>
              </w:rPr>
              <w:t>基坑支护；</w:t>
            </w:r>
          </w:p>
          <w:p w14:paraId="3B0412AA">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基础及涵台施工；</w:t>
            </w:r>
          </w:p>
          <w:p w14:paraId="73B0CEEA">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搭拆作业平台；</w:t>
            </w:r>
          </w:p>
          <w:p w14:paraId="6D5A4708">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安拆支架、拱盔；</w:t>
            </w:r>
          </w:p>
          <w:p w14:paraId="38F4E18F">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配、拌、运混凝土、</w:t>
            </w:r>
          </w:p>
          <w:p w14:paraId="4A178541">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浇筑、养护；</w:t>
            </w:r>
          </w:p>
          <w:p w14:paraId="13568903">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防水、防冻、防腐措</w:t>
            </w:r>
          </w:p>
          <w:p w14:paraId="15584E25">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施</w:t>
            </w:r>
          </w:p>
        </w:tc>
      </w:tr>
      <w:tr w14:paraId="13D12174">
        <w:tblPrEx>
          <w:tblCellMar>
            <w:top w:w="0" w:type="dxa"/>
            <w:left w:w="108" w:type="dxa"/>
            <w:bottom w:w="0" w:type="dxa"/>
            <w:right w:w="108" w:type="dxa"/>
          </w:tblCellMar>
        </w:tblPrEx>
        <w:trPr>
          <w:trHeight w:val="35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1DE0DCF8">
            <w:pPr>
              <w:spacing w:line="476" w:lineRule="exact"/>
              <w:ind w:left="337"/>
              <w:jc w:val="center"/>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rPr>
              <w:t>50</w:t>
            </w:r>
            <w:r>
              <w:rPr>
                <w:rFonts w:hint="eastAsia" w:ascii="宋体" w:hAnsi="宋体" w:eastAsia="宋体" w:cs="宋体"/>
                <w:spacing w:val="-1"/>
                <w:sz w:val="20"/>
                <w:highlight w:val="none"/>
                <w:lang w:val="en-US"/>
              </w:rPr>
              <w:t>9</w:t>
            </w:r>
            <w:r>
              <w:rPr>
                <w:rFonts w:hint="eastAsia" w:ascii="宋体" w:hAnsi="宋体" w:eastAsia="宋体" w:cs="宋体"/>
                <w:spacing w:val="-1"/>
                <w:sz w:val="20"/>
                <w:highlight w:val="none"/>
              </w:rPr>
              <w:t>-1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73B1A203">
            <w:pPr>
              <w:spacing w:line="244" w:lineRule="exact"/>
              <w:jc w:val="center"/>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钢管涵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3D10B252">
            <w:pPr>
              <w:spacing w:line="274" w:lineRule="exact"/>
              <w:jc w:val="center"/>
              <w:rPr>
                <w:rFonts w:hint="eastAsia" w:ascii="宋体" w:hAnsi="宋体" w:eastAsia="宋体" w:cs="宋体"/>
                <w:sz w:val="20"/>
                <w:highlight w:val="none"/>
              </w:rPr>
            </w:pPr>
            <w:r>
              <w:rPr>
                <w:rFonts w:hint="eastAsia" w:ascii="宋体" w:hAnsi="宋体" w:eastAsia="宋体" w:cs="宋体"/>
                <w:position w:val="-4"/>
                <w:sz w:val="20"/>
                <w:highlight w:val="none"/>
                <w:lang w:val="en-US"/>
              </w:rPr>
              <w:t>m</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2253BB97">
            <w:pPr>
              <w:autoSpaceDE/>
              <w:autoSpaceDN/>
              <w:rPr>
                <w:rFonts w:hint="eastAsia" w:ascii="宋体" w:hAnsi="宋体" w:eastAsia="宋体" w:cs="宋体"/>
                <w:highlight w:val="none"/>
              </w:rPr>
            </w:pPr>
            <w:r>
              <w:rPr>
                <w:rFonts w:hint="eastAsia" w:ascii="宋体" w:hAnsi="宋体" w:eastAsia="宋体" w:cs="宋体"/>
                <w:spacing w:val="-1"/>
                <w:sz w:val="20"/>
                <w:highlight w:val="none"/>
              </w:rPr>
              <w:t>依据图纸所示，按不同</w:t>
            </w:r>
          </w:p>
          <w:p w14:paraId="137D8915">
            <w:pPr>
              <w:spacing w:line="306" w:lineRule="exact"/>
              <w:ind w:left="109"/>
              <w:rPr>
                <w:rFonts w:hint="eastAsia" w:ascii="宋体" w:hAnsi="宋体" w:eastAsia="宋体" w:cs="宋体"/>
                <w:highlight w:val="none"/>
              </w:rPr>
            </w:pPr>
            <w:r>
              <w:rPr>
                <w:rFonts w:hint="eastAsia" w:ascii="宋体" w:hAnsi="宋体" w:eastAsia="宋体" w:cs="宋体"/>
                <w:spacing w:val="-1"/>
                <w:position w:val="1"/>
                <w:sz w:val="20"/>
                <w:highlight w:val="none"/>
              </w:rPr>
              <w:t>孔径的涵身长度</w:t>
            </w:r>
            <w:r>
              <w:rPr>
                <w:rFonts w:hint="eastAsia" w:ascii="宋体" w:hAnsi="宋体" w:eastAsia="宋体" w:cs="宋体"/>
                <w:spacing w:val="-1"/>
                <w:sz w:val="20"/>
                <w:highlight w:val="none"/>
              </w:rPr>
              <w:t>(</w:t>
            </w:r>
            <w:r>
              <w:rPr>
                <w:rFonts w:hint="eastAsia" w:ascii="宋体" w:hAnsi="宋体" w:eastAsia="宋体" w:cs="宋体"/>
                <w:spacing w:val="-1"/>
                <w:position w:val="1"/>
                <w:sz w:val="20"/>
                <w:highlight w:val="none"/>
              </w:rPr>
              <w:t>进出口</w:t>
            </w:r>
          </w:p>
          <w:p w14:paraId="58F151D2">
            <w:pPr>
              <w:spacing w:line="274" w:lineRule="exact"/>
              <w:ind w:left="109"/>
              <w:rPr>
                <w:rFonts w:hint="eastAsia" w:ascii="宋体" w:hAnsi="宋体" w:eastAsia="宋体" w:cs="宋体"/>
                <w:highlight w:val="none"/>
              </w:rPr>
            </w:pPr>
            <w:r>
              <w:rPr>
                <w:rFonts w:hint="eastAsia" w:ascii="宋体" w:hAnsi="宋体" w:eastAsia="宋体" w:cs="宋体"/>
                <w:spacing w:val="-1"/>
                <w:position w:val="1"/>
                <w:sz w:val="20"/>
                <w:highlight w:val="none"/>
              </w:rPr>
              <w:t>端墙外侧间距离</w:t>
            </w:r>
            <w:r>
              <w:rPr>
                <w:rFonts w:hint="eastAsia" w:ascii="宋体" w:hAnsi="宋体" w:eastAsia="宋体" w:cs="宋体"/>
                <w:spacing w:val="-1"/>
                <w:sz w:val="20"/>
                <w:highlight w:val="none"/>
              </w:rPr>
              <w:t>)</w:t>
            </w:r>
            <w:r>
              <w:rPr>
                <w:rFonts w:hint="eastAsia" w:ascii="宋体" w:hAnsi="宋体" w:eastAsia="宋体" w:cs="宋体"/>
                <w:spacing w:val="-1"/>
                <w:position w:val="1"/>
                <w:sz w:val="20"/>
                <w:highlight w:val="none"/>
              </w:rPr>
              <w:t>计算，</w:t>
            </w:r>
          </w:p>
          <w:p w14:paraId="0A6A1BBB">
            <w:pPr>
              <w:spacing w:line="274" w:lineRule="exact"/>
              <w:rPr>
                <w:rFonts w:hint="eastAsia" w:ascii="宋体" w:hAnsi="宋体" w:eastAsia="宋体" w:cs="宋体"/>
                <w:spacing w:val="-1"/>
                <w:sz w:val="20"/>
                <w:highlight w:val="none"/>
              </w:rPr>
            </w:pPr>
            <w:r>
              <w:rPr>
                <w:rFonts w:hint="eastAsia" w:ascii="宋体" w:hAnsi="宋体" w:eastAsia="宋体" w:cs="宋体"/>
                <w:spacing w:val="-1"/>
                <w:sz w:val="20"/>
                <w:highlight w:val="none"/>
              </w:rPr>
              <w:t>以米为单位计量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B2125D6">
            <w:pPr>
              <w:autoSpaceDE/>
              <w:autoSpaceDN/>
              <w:spacing w:line="240" w:lineRule="atLeast"/>
              <w:ind w:left="283"/>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挖基、基坑排水、基</w:t>
            </w:r>
          </w:p>
          <w:p w14:paraId="6DF0D323">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底清理、地基处理；</w:t>
            </w:r>
          </w:p>
          <w:p w14:paraId="36862947">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基座砌筑或浇筑；</w:t>
            </w:r>
          </w:p>
          <w:p w14:paraId="66372300">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垫层材料铺筑；</w:t>
            </w:r>
          </w:p>
          <w:p w14:paraId="1197C461">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钢筋制作安装；</w:t>
            </w:r>
          </w:p>
          <w:p w14:paraId="0B3DCEDF">
            <w:pPr>
              <w:spacing w:line="237" w:lineRule="exact"/>
              <w:ind w:left="108" w:firstLine="200" w:firstLineChars="100"/>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z w:val="20"/>
                <w:highlight w:val="none"/>
                <w:lang w:val="en-US"/>
              </w:rPr>
              <w:t>制作钢管涵</w:t>
            </w:r>
            <w:r>
              <w:rPr>
                <w:rFonts w:hint="eastAsia" w:ascii="宋体" w:hAnsi="宋体" w:eastAsia="宋体" w:cs="宋体"/>
                <w:spacing w:val="-1"/>
                <w:sz w:val="20"/>
                <w:highlight w:val="none"/>
              </w:rPr>
              <w:t>；</w:t>
            </w:r>
          </w:p>
          <w:p w14:paraId="370E6639">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铺涂防水层；</w:t>
            </w:r>
          </w:p>
          <w:p w14:paraId="1C3A964A">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安装、接缝；</w:t>
            </w:r>
          </w:p>
          <w:p w14:paraId="37E8D5EE">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8.</w:t>
            </w:r>
            <w:r>
              <w:rPr>
                <w:rFonts w:hint="eastAsia" w:ascii="宋体" w:hAnsi="宋体" w:eastAsia="宋体" w:cs="宋体"/>
                <w:spacing w:val="-1"/>
                <w:position w:val="1"/>
                <w:sz w:val="20"/>
                <w:highlight w:val="none"/>
              </w:rPr>
              <w:t>砌筑进出口</w:t>
            </w:r>
            <w:r>
              <w:rPr>
                <w:rFonts w:hint="eastAsia" w:ascii="宋体" w:hAnsi="宋体" w:eastAsia="宋体" w:cs="宋体"/>
                <w:spacing w:val="-1"/>
                <w:sz w:val="20"/>
                <w:highlight w:val="none"/>
              </w:rPr>
              <w:t>(</w:t>
            </w:r>
            <w:r>
              <w:rPr>
                <w:rFonts w:hint="eastAsia" w:ascii="宋体" w:hAnsi="宋体" w:eastAsia="宋体" w:cs="宋体"/>
                <w:spacing w:val="-1"/>
                <w:position w:val="1"/>
                <w:sz w:val="20"/>
                <w:highlight w:val="none"/>
              </w:rPr>
              <w:t>端墙、翼</w:t>
            </w:r>
          </w:p>
          <w:p w14:paraId="638E2CFB">
            <w:pPr>
              <w:spacing w:line="271" w:lineRule="exact"/>
              <w:ind w:left="108"/>
              <w:rPr>
                <w:rFonts w:hint="eastAsia" w:ascii="宋体" w:hAnsi="宋体" w:eastAsia="宋体" w:cs="宋体"/>
                <w:highlight w:val="none"/>
              </w:rPr>
            </w:pPr>
            <w:r>
              <w:rPr>
                <w:rFonts w:hint="eastAsia" w:ascii="宋体" w:hAnsi="宋体" w:eastAsia="宋体" w:cs="宋体"/>
                <w:spacing w:val="-1"/>
                <w:position w:val="1"/>
                <w:sz w:val="20"/>
                <w:highlight w:val="none"/>
              </w:rPr>
              <w:t>墙、八字墙井口</w:t>
            </w:r>
            <w:r>
              <w:rPr>
                <w:rFonts w:hint="eastAsia" w:ascii="宋体" w:hAnsi="宋体" w:eastAsia="宋体" w:cs="宋体"/>
                <w:spacing w:val="-1"/>
                <w:sz w:val="20"/>
                <w:highlight w:val="none"/>
              </w:rPr>
              <w:t>)</w:t>
            </w:r>
            <w:r>
              <w:rPr>
                <w:rFonts w:hint="eastAsia" w:ascii="宋体" w:hAnsi="宋体" w:eastAsia="宋体" w:cs="宋体"/>
                <w:spacing w:val="-1"/>
                <w:position w:val="1"/>
                <w:sz w:val="20"/>
                <w:highlight w:val="none"/>
              </w:rPr>
              <w:t>；</w:t>
            </w:r>
          </w:p>
          <w:p w14:paraId="5C626C8B">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9.</w:t>
            </w:r>
            <w:r>
              <w:rPr>
                <w:rFonts w:hint="eastAsia" w:ascii="宋体" w:hAnsi="宋体" w:eastAsia="宋体" w:cs="宋体"/>
                <w:spacing w:val="-1"/>
                <w:position w:val="1"/>
                <w:sz w:val="20"/>
                <w:highlight w:val="none"/>
              </w:rPr>
              <w:t>防水、防冻、防腐措</w:t>
            </w:r>
          </w:p>
          <w:p w14:paraId="52B97181">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施；</w:t>
            </w:r>
          </w:p>
          <w:p w14:paraId="11B09712">
            <w:pPr>
              <w:spacing w:line="274" w:lineRule="exact"/>
              <w:ind w:firstLine="200" w:firstLineChars="100"/>
              <w:rPr>
                <w:rFonts w:hint="eastAsia" w:ascii="宋体" w:hAnsi="宋体" w:eastAsia="宋体" w:cs="宋体"/>
                <w:spacing w:val="-1"/>
                <w:sz w:val="20"/>
                <w:highlight w:val="none"/>
              </w:rPr>
            </w:pPr>
            <w:r>
              <w:rPr>
                <w:rFonts w:hint="eastAsia" w:ascii="宋体" w:hAnsi="宋体" w:eastAsia="宋体" w:cs="宋体"/>
                <w:sz w:val="20"/>
                <w:highlight w:val="none"/>
              </w:rPr>
              <w:t>10.</w:t>
            </w:r>
            <w:r>
              <w:rPr>
                <w:rFonts w:hint="eastAsia" w:ascii="宋体" w:hAnsi="宋体" w:eastAsia="宋体" w:cs="宋体"/>
                <w:spacing w:val="-1"/>
                <w:position w:val="1"/>
                <w:sz w:val="20"/>
                <w:highlight w:val="none"/>
              </w:rPr>
              <w:t>回填</w:t>
            </w:r>
          </w:p>
        </w:tc>
      </w:tr>
    </w:tbl>
    <w:p w14:paraId="7C2AB842">
      <w:pPr>
        <w:spacing w:line="252" w:lineRule="exact"/>
        <w:rPr>
          <w:rFonts w:hint="eastAsia" w:ascii="宋体" w:hAnsi="宋体" w:eastAsia="宋体" w:cs="宋体"/>
          <w:sz w:val="21"/>
          <w:highlight w:val="none"/>
        </w:rPr>
        <w:sectPr>
          <w:pgSz w:w="11910" w:h="16840"/>
          <w:pgMar w:top="1440" w:right="1080" w:bottom="1040" w:left="1420" w:header="882" w:footer="847" w:gutter="0"/>
          <w:cols w:space="720" w:num="1"/>
        </w:sectPr>
      </w:pPr>
    </w:p>
    <w:p w14:paraId="774C046A">
      <w:pPr>
        <w:spacing w:before="139"/>
        <w:ind w:left="86" w:right="194"/>
        <w:jc w:val="center"/>
        <w:rPr>
          <w:rFonts w:hint="eastAsia" w:ascii="宋体" w:hAnsi="宋体" w:eastAsia="宋体" w:cs="宋体"/>
          <w:sz w:val="28"/>
          <w:highlight w:val="none"/>
        </w:rPr>
      </w:pPr>
      <w:r>
        <w:rPr>
          <w:rFonts w:hint="eastAsia" w:ascii="宋体" w:hAnsi="宋体" w:eastAsia="宋体" w:cs="宋体"/>
          <w:sz w:val="28"/>
          <w:highlight w:val="none"/>
        </w:rPr>
        <w:t>第 600 章 防护</w:t>
      </w:r>
    </w:p>
    <w:p w14:paraId="40115BE6">
      <w:pPr>
        <w:pStyle w:val="10"/>
        <w:spacing w:before="1"/>
        <w:rPr>
          <w:rFonts w:hint="eastAsia" w:ascii="宋体" w:hAnsi="宋体" w:eastAsia="宋体" w:cs="宋体"/>
          <w:sz w:val="18"/>
          <w:highlight w:val="none"/>
        </w:rPr>
      </w:pPr>
    </w:p>
    <w:tbl>
      <w:tblPr>
        <w:tblStyle w:val="24"/>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14:paraId="70401B57">
        <w:tblPrEx>
          <w:tblCellMar>
            <w:top w:w="0" w:type="dxa"/>
            <w:left w:w="108" w:type="dxa"/>
            <w:bottom w:w="0" w:type="dxa"/>
            <w:right w:w="108" w:type="dxa"/>
          </w:tblCellMar>
        </w:tblPrEx>
        <w:trPr>
          <w:trHeight w:val="52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8882047">
            <w:pPr>
              <w:spacing w:line="367" w:lineRule="exact"/>
              <w:ind w:left="265"/>
              <w:rPr>
                <w:rFonts w:hint="eastAsia" w:ascii="宋体" w:hAnsi="宋体" w:eastAsia="宋体" w:cs="宋体"/>
                <w:highlight w:val="none"/>
              </w:rPr>
            </w:pPr>
            <w:r>
              <w:rPr>
                <w:rFonts w:hint="eastAsia" w:ascii="宋体" w:hAnsi="宋体" w:eastAsia="宋体" w:cs="宋体"/>
                <w:spacing w:val="-1"/>
                <w:sz w:val="20"/>
                <w:highlight w:val="none"/>
              </w:rPr>
              <w:t>子目号</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6E02543">
            <w:pPr>
              <w:spacing w:line="367" w:lineRule="exact"/>
              <w:ind w:left="464"/>
              <w:rPr>
                <w:rFonts w:hint="eastAsia" w:ascii="宋体" w:hAnsi="宋体" w:eastAsia="宋体" w:cs="宋体"/>
                <w:highlight w:val="none"/>
              </w:rPr>
            </w:pPr>
            <w:r>
              <w:rPr>
                <w:rFonts w:hint="eastAsia" w:ascii="宋体" w:hAnsi="宋体" w:eastAsia="宋体" w:cs="宋体"/>
                <w:spacing w:val="-1"/>
                <w:sz w:val="20"/>
                <w:highlight w:val="none"/>
              </w:rPr>
              <w:t>子目名称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00ED307">
            <w:pPr>
              <w:spacing w:line="367" w:lineRule="exact"/>
              <w:ind w:left="330"/>
              <w:rPr>
                <w:rFonts w:hint="eastAsia" w:ascii="宋体" w:hAnsi="宋体" w:eastAsia="宋体" w:cs="宋体"/>
                <w:highlight w:val="none"/>
              </w:rPr>
            </w:pPr>
            <w:r>
              <w:rPr>
                <w:rFonts w:hint="eastAsia" w:ascii="宋体" w:hAnsi="宋体" w:eastAsia="宋体" w:cs="宋体"/>
                <w:spacing w:val="-1"/>
                <w:sz w:val="20"/>
                <w:highlight w:val="none"/>
              </w:rPr>
              <w:t>单位</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CB4CB03">
            <w:pPr>
              <w:spacing w:line="367" w:lineRule="exact"/>
              <w:ind w:left="716"/>
              <w:rPr>
                <w:rFonts w:hint="eastAsia" w:ascii="宋体" w:hAnsi="宋体" w:eastAsia="宋体" w:cs="宋体"/>
                <w:highlight w:val="none"/>
              </w:rPr>
            </w:pPr>
            <w:r>
              <w:rPr>
                <w:rFonts w:hint="eastAsia" w:ascii="宋体" w:hAnsi="宋体" w:eastAsia="宋体" w:cs="宋体"/>
                <w:spacing w:val="-1"/>
                <w:sz w:val="20"/>
                <w:highlight w:val="none"/>
              </w:rPr>
              <w:t>工程量计量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A8807F9">
            <w:pPr>
              <w:spacing w:line="367" w:lineRule="exact"/>
              <w:ind w:left="840"/>
              <w:rPr>
                <w:rFonts w:hint="eastAsia" w:ascii="宋体" w:hAnsi="宋体" w:eastAsia="宋体" w:cs="宋体"/>
                <w:highlight w:val="none"/>
              </w:rPr>
            </w:pPr>
            <w:r>
              <w:rPr>
                <w:rFonts w:hint="eastAsia" w:ascii="宋体" w:hAnsi="宋体" w:eastAsia="宋体" w:cs="宋体"/>
                <w:spacing w:val="-1"/>
                <w:sz w:val="20"/>
                <w:highlight w:val="none"/>
              </w:rPr>
              <w:t>工程内容</w:t>
            </w:r>
          </w:p>
        </w:tc>
      </w:tr>
      <w:tr w14:paraId="071DC149">
        <w:tblPrEx>
          <w:tblCellMar>
            <w:top w:w="0" w:type="dxa"/>
            <w:left w:w="108" w:type="dxa"/>
            <w:bottom w:w="0" w:type="dxa"/>
            <w:right w:w="108" w:type="dxa"/>
          </w:tblCellMar>
        </w:tblPrEx>
        <w:trPr>
          <w:trHeight w:val="52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584E5D7">
            <w:pPr>
              <w:spacing w:line="403" w:lineRule="exact"/>
              <w:ind w:left="337"/>
              <w:rPr>
                <w:rFonts w:hint="eastAsia" w:ascii="宋体" w:hAnsi="宋体" w:eastAsia="宋体" w:cs="宋体"/>
                <w:highlight w:val="none"/>
              </w:rPr>
            </w:pPr>
            <w:r>
              <w:rPr>
                <w:rFonts w:hint="eastAsia" w:ascii="宋体" w:hAnsi="宋体" w:eastAsia="宋体" w:cs="宋体"/>
                <w:spacing w:val="-1"/>
                <w:sz w:val="20"/>
                <w:highlight w:val="none"/>
              </w:rPr>
              <w:t>601-1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78C5B4B">
            <w:pPr>
              <w:spacing w:line="368" w:lineRule="exact"/>
              <w:ind w:left="282"/>
              <w:rPr>
                <w:rFonts w:hint="eastAsia" w:ascii="宋体" w:hAnsi="宋体" w:eastAsia="宋体" w:cs="宋体"/>
                <w:highlight w:val="none"/>
              </w:rPr>
            </w:pPr>
            <w:r>
              <w:rPr>
                <w:rFonts w:hint="eastAsia" w:ascii="宋体" w:hAnsi="宋体" w:eastAsia="宋体" w:cs="宋体"/>
                <w:spacing w:val="-1"/>
                <w:sz w:val="20"/>
                <w:highlight w:val="none"/>
              </w:rPr>
              <w:t>喷锚护面</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73204E5">
            <w:pPr>
              <w:spacing w:line="368" w:lineRule="exact"/>
              <w:rPr>
                <w:rFonts w:hint="eastAsia" w:ascii="宋体" w:hAnsi="宋体" w:eastAsia="宋体" w:cs="宋体"/>
                <w:highlight w:val="none"/>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6BB23D4">
            <w:pPr>
              <w:spacing w:line="368"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F86C606">
            <w:pPr>
              <w:spacing w:line="368" w:lineRule="exact"/>
              <w:rPr>
                <w:rFonts w:hint="eastAsia" w:ascii="宋体" w:hAnsi="宋体" w:eastAsia="宋体" w:cs="宋体"/>
                <w:highlight w:val="none"/>
              </w:rPr>
            </w:pPr>
          </w:p>
        </w:tc>
      </w:tr>
      <w:tr w14:paraId="1710B24C">
        <w:tblPrEx>
          <w:tblCellMar>
            <w:top w:w="0" w:type="dxa"/>
            <w:left w:w="108" w:type="dxa"/>
            <w:bottom w:w="0" w:type="dxa"/>
            <w:right w:w="108" w:type="dxa"/>
          </w:tblCellMar>
        </w:tblPrEx>
        <w:trPr>
          <w:trHeight w:val="273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E2D3217">
            <w:pPr>
              <w:spacing w:line="1505" w:lineRule="exact"/>
              <w:ind w:left="500"/>
              <w:rPr>
                <w:rFonts w:hint="eastAsia" w:ascii="宋体" w:hAnsi="宋体" w:eastAsia="宋体" w:cs="宋体"/>
                <w:highlight w:val="none"/>
              </w:rPr>
            </w:pPr>
            <w:r>
              <w:rPr>
                <w:rFonts w:hint="eastAsia" w:ascii="宋体" w:hAnsi="宋体" w:eastAsia="宋体" w:cs="宋体"/>
                <w:spacing w:val="-1"/>
                <w:sz w:val="20"/>
                <w:highlight w:val="none"/>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819C7A7">
            <w:pPr>
              <w:spacing w:line="1470" w:lineRule="exact"/>
              <w:ind w:left="282"/>
              <w:rPr>
                <w:rFonts w:hint="eastAsia" w:ascii="宋体" w:hAnsi="宋体" w:eastAsia="宋体" w:cs="宋体"/>
                <w:highlight w:val="none"/>
              </w:rPr>
            </w:pPr>
            <w:r>
              <w:rPr>
                <w:rFonts w:hint="eastAsia" w:ascii="宋体" w:hAnsi="宋体" w:eastAsia="宋体" w:cs="宋体"/>
                <w:spacing w:val="-1"/>
                <w:sz w:val="20"/>
                <w:highlight w:val="none"/>
              </w:rPr>
              <w:t>挂网喷锚</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49C3922">
            <w:pPr>
              <w:spacing w:line="1414"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781726B">
            <w:pPr>
              <w:spacing w:line="926"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依据图纸所示位置及</w:t>
            </w:r>
          </w:p>
          <w:p w14:paraId="6D5B15C1">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混凝土或砂浆强度等级，</w:t>
            </w:r>
          </w:p>
          <w:p w14:paraId="602B1A39">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按照不同厚度喷射混凝</w:t>
            </w:r>
          </w:p>
          <w:p w14:paraId="011B1E89">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土或砂浆防护面积，以平</w:t>
            </w:r>
          </w:p>
          <w:p w14:paraId="4935ABDA">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FEAB24B">
            <w:pPr>
              <w:spacing w:line="28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坡面清理、修整；</w:t>
            </w:r>
          </w:p>
          <w:p w14:paraId="31B78DEB">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钻孔，制作、安放、</w:t>
            </w:r>
          </w:p>
          <w:p w14:paraId="436A1A6F">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固定锚杆；</w:t>
            </w:r>
          </w:p>
          <w:p w14:paraId="7A86271A">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挂网、支承及固定；</w:t>
            </w:r>
          </w:p>
          <w:p w14:paraId="18742A2F">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混凝土或砂浆拌制；</w:t>
            </w:r>
          </w:p>
          <w:p w14:paraId="74F7A708">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喷射；</w:t>
            </w:r>
          </w:p>
          <w:p w14:paraId="424E8E32">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沉降缝设置；</w:t>
            </w:r>
          </w:p>
          <w:p w14:paraId="11F7676B">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设备安装与拆除；</w:t>
            </w:r>
          </w:p>
          <w:p w14:paraId="5B988339">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8.</w:t>
            </w:r>
            <w:r>
              <w:rPr>
                <w:rFonts w:hint="eastAsia" w:ascii="宋体" w:hAnsi="宋体" w:eastAsia="宋体" w:cs="宋体"/>
                <w:spacing w:val="-1"/>
                <w:position w:val="1"/>
                <w:sz w:val="20"/>
                <w:highlight w:val="none"/>
              </w:rPr>
              <w:t>养护；</w:t>
            </w:r>
          </w:p>
          <w:p w14:paraId="42D2FAA3">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9.</w:t>
            </w:r>
            <w:r>
              <w:rPr>
                <w:rFonts w:hint="eastAsia" w:ascii="宋体" w:hAnsi="宋体" w:eastAsia="宋体" w:cs="宋体"/>
                <w:spacing w:val="-1"/>
                <w:position w:val="1"/>
                <w:sz w:val="20"/>
                <w:highlight w:val="none"/>
              </w:rPr>
              <w:t>现场清理</w:t>
            </w:r>
          </w:p>
        </w:tc>
      </w:tr>
      <w:tr w14:paraId="0268B215">
        <w:tblPrEx>
          <w:tblCellMar>
            <w:top w:w="0" w:type="dxa"/>
            <w:left w:w="108" w:type="dxa"/>
            <w:bottom w:w="0" w:type="dxa"/>
            <w:right w:w="108" w:type="dxa"/>
          </w:tblCellMar>
        </w:tblPrEx>
        <w:trPr>
          <w:trHeight w:val="218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30622D6">
            <w:pPr>
              <w:spacing w:line="1231" w:lineRule="exact"/>
              <w:ind w:left="493"/>
              <w:rPr>
                <w:rFonts w:hint="eastAsia" w:ascii="宋体" w:hAnsi="宋体" w:eastAsia="宋体" w:cs="宋体"/>
                <w:highlight w:val="none"/>
              </w:rPr>
            </w:pPr>
            <w:r>
              <w:rPr>
                <w:rFonts w:hint="eastAsia" w:ascii="宋体" w:hAnsi="宋体" w:eastAsia="宋体" w:cs="宋体"/>
                <w:spacing w:val="-1"/>
                <w:sz w:val="20"/>
                <w:highlight w:val="none"/>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D5BF3C8">
            <w:pPr>
              <w:spacing w:line="1196" w:lineRule="exact"/>
              <w:ind w:left="282"/>
              <w:rPr>
                <w:rFonts w:hint="eastAsia" w:ascii="宋体" w:hAnsi="宋体" w:eastAsia="宋体" w:cs="宋体"/>
                <w:highlight w:val="none"/>
              </w:rPr>
            </w:pPr>
            <w:r>
              <w:rPr>
                <w:rFonts w:hint="eastAsia" w:ascii="宋体" w:hAnsi="宋体" w:eastAsia="宋体" w:cs="宋体"/>
                <w:spacing w:val="-1"/>
                <w:sz w:val="20"/>
                <w:highlight w:val="none"/>
              </w:rPr>
              <w:t>素喷（不挂网）</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01E0E39">
            <w:pPr>
              <w:spacing w:line="1142"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747E3EB">
            <w:pPr>
              <w:spacing w:line="652"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依据图纸所示位置及</w:t>
            </w:r>
          </w:p>
          <w:p w14:paraId="2F329F61">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混凝土或砂浆强度等级，</w:t>
            </w:r>
          </w:p>
          <w:p w14:paraId="18A6FEB1">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按照不同厚度喷射混凝</w:t>
            </w:r>
          </w:p>
          <w:p w14:paraId="5C459BE4">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土或砂浆防护面积，以平</w:t>
            </w:r>
          </w:p>
          <w:p w14:paraId="74567265">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BF61118">
            <w:pPr>
              <w:spacing w:line="278"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坡面清理、修整；</w:t>
            </w:r>
          </w:p>
          <w:p w14:paraId="6B053BA2">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2.  </w:t>
            </w:r>
            <w:r>
              <w:rPr>
                <w:rFonts w:hint="eastAsia" w:ascii="宋体" w:hAnsi="宋体" w:eastAsia="宋体" w:cs="宋体"/>
                <w:spacing w:val="-1"/>
                <w:position w:val="1"/>
                <w:sz w:val="20"/>
                <w:highlight w:val="none"/>
              </w:rPr>
              <w:t>混凝土或水泥砂浆</w:t>
            </w:r>
          </w:p>
          <w:p w14:paraId="24371EBA">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拌制；</w:t>
            </w:r>
          </w:p>
          <w:p w14:paraId="143C73BB">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喷射；</w:t>
            </w:r>
          </w:p>
          <w:p w14:paraId="03AA78B0">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沉降缝设置；</w:t>
            </w:r>
          </w:p>
          <w:p w14:paraId="616283C7">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设备安装与拆除；</w:t>
            </w:r>
          </w:p>
          <w:p w14:paraId="7D79057C">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养护；</w:t>
            </w:r>
          </w:p>
          <w:p w14:paraId="7E5C496C">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现场清理</w:t>
            </w:r>
          </w:p>
        </w:tc>
      </w:tr>
      <w:tr w14:paraId="53763AFD">
        <w:tblPrEx>
          <w:tblCellMar>
            <w:top w:w="0" w:type="dxa"/>
            <w:left w:w="108" w:type="dxa"/>
            <w:bottom w:w="0" w:type="dxa"/>
            <w:right w:w="108" w:type="dxa"/>
          </w:tblCellMar>
        </w:tblPrEx>
        <w:trPr>
          <w:trHeight w:val="51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EDA28F9">
            <w:pPr>
              <w:spacing w:line="394" w:lineRule="exact"/>
              <w:ind w:left="337"/>
              <w:rPr>
                <w:rFonts w:hint="eastAsia" w:ascii="宋体" w:hAnsi="宋体" w:eastAsia="宋体" w:cs="宋体"/>
                <w:highlight w:val="none"/>
              </w:rPr>
            </w:pPr>
            <w:r>
              <w:rPr>
                <w:rFonts w:hint="eastAsia" w:ascii="宋体" w:hAnsi="宋体" w:eastAsia="宋体" w:cs="宋体"/>
                <w:spacing w:val="-1"/>
                <w:sz w:val="20"/>
                <w:highlight w:val="none"/>
              </w:rPr>
              <w:t>602-1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F1DF829">
            <w:pPr>
              <w:spacing w:line="360" w:lineRule="exact"/>
              <w:ind w:left="282"/>
              <w:rPr>
                <w:rFonts w:hint="eastAsia" w:ascii="宋体" w:hAnsi="宋体" w:eastAsia="宋体" w:cs="宋体"/>
                <w:highlight w:val="none"/>
              </w:rPr>
            </w:pPr>
            <w:r>
              <w:rPr>
                <w:rFonts w:hint="eastAsia" w:ascii="宋体" w:hAnsi="宋体" w:eastAsia="宋体" w:cs="宋体"/>
                <w:spacing w:val="-1"/>
                <w:sz w:val="20"/>
                <w:highlight w:val="none"/>
              </w:rPr>
              <w:t>护坡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70D3C0C">
            <w:pPr>
              <w:spacing w:line="360" w:lineRule="exact"/>
              <w:rPr>
                <w:rFonts w:hint="eastAsia" w:ascii="宋体" w:hAnsi="宋体" w:eastAsia="宋体" w:cs="宋体"/>
                <w:highlight w:val="none"/>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5956626">
            <w:pPr>
              <w:spacing w:line="360"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7D4226D">
            <w:pPr>
              <w:spacing w:line="360" w:lineRule="exact"/>
              <w:rPr>
                <w:rFonts w:hint="eastAsia" w:ascii="宋体" w:hAnsi="宋体" w:eastAsia="宋体" w:cs="宋体"/>
                <w:highlight w:val="none"/>
              </w:rPr>
            </w:pPr>
          </w:p>
        </w:tc>
      </w:tr>
      <w:tr w14:paraId="0178701E">
        <w:tblPrEx>
          <w:tblCellMar>
            <w:top w:w="0" w:type="dxa"/>
            <w:left w:w="108" w:type="dxa"/>
            <w:bottom w:w="0" w:type="dxa"/>
            <w:right w:w="108" w:type="dxa"/>
          </w:tblCellMar>
        </w:tblPrEx>
        <w:trPr>
          <w:trHeight w:val="51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6DFF4B4">
            <w:pPr>
              <w:spacing w:line="395" w:lineRule="exact"/>
              <w:ind w:left="500"/>
              <w:rPr>
                <w:rFonts w:hint="eastAsia" w:ascii="宋体" w:hAnsi="宋体" w:eastAsia="宋体" w:cs="宋体"/>
                <w:highlight w:val="none"/>
              </w:rPr>
            </w:pPr>
            <w:r>
              <w:rPr>
                <w:rFonts w:hint="eastAsia" w:ascii="宋体" w:hAnsi="宋体" w:eastAsia="宋体" w:cs="宋体"/>
                <w:spacing w:val="-1"/>
                <w:sz w:val="20"/>
                <w:highlight w:val="none"/>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63CFBE2">
            <w:pPr>
              <w:spacing w:line="360" w:lineRule="exact"/>
              <w:ind w:left="282"/>
              <w:rPr>
                <w:rFonts w:hint="eastAsia" w:ascii="宋体" w:hAnsi="宋体" w:eastAsia="宋体" w:cs="宋体"/>
                <w:highlight w:val="none"/>
              </w:rPr>
            </w:pPr>
            <w:r>
              <w:rPr>
                <w:rFonts w:hint="eastAsia" w:ascii="宋体" w:hAnsi="宋体" w:eastAsia="宋体" w:cs="宋体"/>
                <w:spacing w:val="-1"/>
                <w:sz w:val="20"/>
                <w:highlight w:val="none"/>
              </w:rPr>
              <w:t>混凝土护坡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2D46B86">
            <w:pPr>
              <w:spacing w:line="360" w:lineRule="exact"/>
              <w:rPr>
                <w:rFonts w:hint="eastAsia" w:ascii="宋体" w:hAnsi="宋体" w:eastAsia="宋体" w:cs="宋体"/>
                <w:highlight w:val="none"/>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B467073">
            <w:pPr>
              <w:spacing w:line="360"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966E017">
            <w:pPr>
              <w:spacing w:line="360" w:lineRule="exact"/>
              <w:rPr>
                <w:rFonts w:hint="eastAsia" w:ascii="宋体" w:hAnsi="宋体" w:eastAsia="宋体" w:cs="宋体"/>
                <w:highlight w:val="none"/>
              </w:rPr>
            </w:pPr>
          </w:p>
        </w:tc>
      </w:tr>
      <w:tr w14:paraId="23467A6B">
        <w:tblPrEx>
          <w:tblCellMar>
            <w:top w:w="0" w:type="dxa"/>
            <w:left w:w="108" w:type="dxa"/>
            <w:bottom w:w="0" w:type="dxa"/>
            <w:right w:w="108" w:type="dxa"/>
          </w:tblCellMar>
        </w:tblPrEx>
        <w:trPr>
          <w:trHeight w:val="300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011106C">
            <w:pPr>
              <w:spacing w:line="1641" w:lineRule="exact"/>
              <w:ind w:left="411"/>
              <w:rPr>
                <w:rFonts w:hint="eastAsia" w:ascii="宋体" w:hAnsi="宋体" w:eastAsia="宋体" w:cs="宋体"/>
                <w:highlight w:val="none"/>
              </w:rPr>
            </w:pPr>
            <w:r>
              <w:rPr>
                <w:rFonts w:hint="eastAsia" w:ascii="宋体" w:hAnsi="宋体" w:eastAsia="宋体" w:cs="宋体"/>
                <w:spacing w:val="-1"/>
                <w:sz w:val="20"/>
                <w:highlight w:val="none"/>
              </w:rPr>
              <w:t>-a-1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03A205E">
            <w:pPr>
              <w:spacing w:line="1470" w:lineRule="exact"/>
              <w:ind w:left="282"/>
              <w:rPr>
                <w:rFonts w:hint="eastAsia" w:ascii="宋体" w:hAnsi="宋体" w:eastAsia="宋体" w:cs="宋体"/>
                <w:highlight w:val="none"/>
              </w:rPr>
            </w:pPr>
            <w:r>
              <w:rPr>
                <w:rFonts w:hint="eastAsia" w:ascii="宋体" w:hAnsi="宋体" w:eastAsia="宋体" w:cs="宋体"/>
                <w:spacing w:val="-1"/>
                <w:sz w:val="20"/>
                <w:highlight w:val="none"/>
              </w:rPr>
              <w:t>现浇混凝土护</w:t>
            </w:r>
          </w:p>
          <w:p w14:paraId="0C2E905E">
            <w:pPr>
              <w:spacing w:line="274" w:lineRule="exact"/>
              <w:ind w:left="107"/>
              <w:rPr>
                <w:rFonts w:hint="eastAsia" w:ascii="宋体" w:hAnsi="宋体" w:eastAsia="宋体" w:cs="宋体"/>
                <w:highlight w:val="none"/>
              </w:rPr>
            </w:pPr>
            <w:r>
              <w:rPr>
                <w:rFonts w:hint="eastAsia" w:ascii="宋体" w:hAnsi="宋体" w:eastAsia="宋体" w:cs="宋体"/>
                <w:spacing w:val="-1"/>
                <w:sz w:val="20"/>
                <w:highlight w:val="none"/>
              </w:rPr>
              <w:t>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1962A22">
            <w:pPr>
              <w:spacing w:line="1610"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AD09F63">
            <w:pPr>
              <w:spacing w:line="1062"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依据图纸所示位置及</w:t>
            </w:r>
          </w:p>
          <w:p w14:paraId="6F32BF5D">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断面尺寸，按照不同强度</w:t>
            </w:r>
          </w:p>
          <w:p w14:paraId="49F43FF6">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等级混凝土浇筑的实体</w:t>
            </w:r>
          </w:p>
          <w:p w14:paraId="386D1614">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体积以立方米为单位计</w:t>
            </w:r>
          </w:p>
          <w:p w14:paraId="2940BC3F">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FF40EBB">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清理边坡，坡面夯实，</w:t>
            </w:r>
          </w:p>
          <w:p w14:paraId="7DD777FA">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基坑开挖；</w:t>
            </w:r>
          </w:p>
          <w:p w14:paraId="2C68343D">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铺筑砂砾垫层；</w:t>
            </w:r>
          </w:p>
          <w:p w14:paraId="0AF1D7D4">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模板制作、安装、拆</w:t>
            </w:r>
          </w:p>
          <w:p w14:paraId="0CD57969">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除；</w:t>
            </w:r>
          </w:p>
          <w:p w14:paraId="03186878">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混凝土拌和、运输、</w:t>
            </w:r>
          </w:p>
          <w:p w14:paraId="2D859D0B">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浇筑、养护；</w:t>
            </w:r>
          </w:p>
          <w:p w14:paraId="30E4A7A0">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勾缝、填缝、沉降缝、</w:t>
            </w:r>
          </w:p>
          <w:p w14:paraId="0F3265EE">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泄水管；</w:t>
            </w:r>
          </w:p>
          <w:p w14:paraId="12589467">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回填；</w:t>
            </w:r>
          </w:p>
          <w:p w14:paraId="133E7EA8">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清理现场</w:t>
            </w:r>
          </w:p>
        </w:tc>
      </w:tr>
      <w:tr w14:paraId="578152F5">
        <w:tblPrEx>
          <w:tblCellMar>
            <w:top w:w="0" w:type="dxa"/>
            <w:left w:w="108" w:type="dxa"/>
            <w:bottom w:w="0" w:type="dxa"/>
            <w:right w:w="108" w:type="dxa"/>
          </w:tblCellMar>
        </w:tblPrEx>
        <w:trPr>
          <w:trHeight w:val="300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136F437">
            <w:pPr>
              <w:spacing w:line="1640" w:lineRule="exact"/>
              <w:ind w:left="411"/>
              <w:rPr>
                <w:rFonts w:hint="eastAsia" w:ascii="宋体" w:hAnsi="宋体" w:eastAsia="宋体" w:cs="宋体"/>
                <w:highlight w:val="none"/>
              </w:rPr>
            </w:pPr>
            <w:r>
              <w:rPr>
                <w:rFonts w:hint="eastAsia" w:ascii="宋体" w:hAnsi="宋体" w:eastAsia="宋体" w:cs="宋体"/>
                <w:spacing w:val="-1"/>
                <w:sz w:val="20"/>
                <w:highlight w:val="none"/>
              </w:rPr>
              <w:t>-a-2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FCEA354">
            <w:pPr>
              <w:spacing w:line="1471" w:lineRule="exact"/>
              <w:ind w:left="282"/>
              <w:rPr>
                <w:rFonts w:hint="eastAsia" w:ascii="宋体" w:hAnsi="宋体" w:eastAsia="宋体" w:cs="宋体"/>
                <w:highlight w:val="none"/>
              </w:rPr>
            </w:pPr>
            <w:r>
              <w:rPr>
                <w:rFonts w:hint="eastAsia" w:ascii="宋体" w:hAnsi="宋体" w:eastAsia="宋体" w:cs="宋体"/>
                <w:spacing w:val="-1"/>
                <w:sz w:val="20"/>
                <w:highlight w:val="none"/>
              </w:rPr>
              <w:t>混凝土预制件</w:t>
            </w:r>
          </w:p>
          <w:p w14:paraId="12B0A728">
            <w:pPr>
              <w:spacing w:line="271" w:lineRule="exact"/>
              <w:ind w:left="107"/>
              <w:rPr>
                <w:rFonts w:hint="eastAsia" w:ascii="宋体" w:hAnsi="宋体" w:eastAsia="宋体" w:cs="宋体"/>
                <w:highlight w:val="none"/>
              </w:rPr>
            </w:pPr>
            <w:r>
              <w:rPr>
                <w:rFonts w:hint="eastAsia" w:ascii="宋体" w:hAnsi="宋体" w:eastAsia="宋体" w:cs="宋体"/>
                <w:spacing w:val="-1"/>
                <w:sz w:val="20"/>
                <w:highlight w:val="none"/>
              </w:rPr>
              <w:t>护坡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B1B71AD">
            <w:pPr>
              <w:spacing w:line="1551"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D30F82C">
            <w:pPr>
              <w:spacing w:line="1060"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依据图纸所示位置和</w:t>
            </w:r>
          </w:p>
          <w:p w14:paraId="59D4615F">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构造尺寸，按照不同强度</w:t>
            </w:r>
          </w:p>
          <w:p w14:paraId="63C9F662">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等级混凝土预制件铺砌</w:t>
            </w:r>
          </w:p>
          <w:p w14:paraId="576D5069">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坡面的实体体积以立方</w:t>
            </w:r>
          </w:p>
          <w:p w14:paraId="5F2A5206">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FB7A3FA">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清理边坡，坡面夯实，</w:t>
            </w:r>
          </w:p>
          <w:p w14:paraId="53929FD6">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基坑开挖；</w:t>
            </w:r>
          </w:p>
          <w:p w14:paraId="5F9CA717">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铺筑砂砾垫层；</w:t>
            </w:r>
          </w:p>
          <w:p w14:paraId="7D6B5D55">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预制场建设；</w:t>
            </w:r>
          </w:p>
          <w:p w14:paraId="114A2A7C">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预制件预制、运输、</w:t>
            </w:r>
          </w:p>
          <w:p w14:paraId="169F7566">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装卸；</w:t>
            </w:r>
          </w:p>
          <w:p w14:paraId="02B7FD04">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预制件安装；</w:t>
            </w:r>
          </w:p>
          <w:p w14:paraId="53A0C769">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勾缝、填缝、沉降缝、</w:t>
            </w:r>
          </w:p>
          <w:p w14:paraId="26903C57">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泄水管；</w:t>
            </w:r>
          </w:p>
          <w:p w14:paraId="29FAE3E5">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回填；</w:t>
            </w:r>
          </w:p>
          <w:p w14:paraId="5796608D">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8.</w:t>
            </w:r>
            <w:r>
              <w:rPr>
                <w:rFonts w:hint="eastAsia" w:ascii="宋体" w:hAnsi="宋体" w:eastAsia="宋体" w:cs="宋体"/>
                <w:spacing w:val="-1"/>
                <w:position w:val="1"/>
                <w:sz w:val="20"/>
                <w:highlight w:val="none"/>
              </w:rPr>
              <w:t>清理现场</w:t>
            </w:r>
          </w:p>
        </w:tc>
      </w:tr>
    </w:tbl>
    <w:p w14:paraId="3040A529">
      <w:pPr>
        <w:spacing w:line="250" w:lineRule="exact"/>
        <w:rPr>
          <w:rFonts w:hint="eastAsia" w:ascii="宋体" w:hAnsi="宋体" w:eastAsia="宋体" w:cs="宋体"/>
          <w:sz w:val="21"/>
          <w:highlight w:val="none"/>
        </w:rPr>
        <w:sectPr>
          <w:pgSz w:w="11910" w:h="16840"/>
          <w:pgMar w:top="1440" w:right="1080" w:bottom="1040" w:left="1420" w:header="882" w:footer="847" w:gutter="0"/>
          <w:cols w:space="720" w:num="1"/>
        </w:sectPr>
      </w:pPr>
    </w:p>
    <w:p w14:paraId="28CA60A1">
      <w:pPr>
        <w:pStyle w:val="10"/>
        <w:spacing w:before="10"/>
        <w:rPr>
          <w:rFonts w:hint="eastAsia" w:ascii="宋体" w:hAnsi="宋体" w:eastAsia="宋体" w:cs="宋体"/>
          <w:sz w:val="11"/>
          <w:highlight w:val="none"/>
        </w:rPr>
      </w:pPr>
    </w:p>
    <w:tbl>
      <w:tblPr>
        <w:tblStyle w:val="24"/>
        <w:tblW w:w="9015" w:type="dxa"/>
        <w:tblInd w:w="0" w:type="dxa"/>
        <w:tblLayout w:type="fixed"/>
        <w:tblCellMar>
          <w:top w:w="0" w:type="dxa"/>
          <w:left w:w="108" w:type="dxa"/>
          <w:bottom w:w="0" w:type="dxa"/>
          <w:right w:w="108" w:type="dxa"/>
        </w:tblCellMar>
      </w:tblPr>
      <w:tblGrid>
        <w:gridCol w:w="1161"/>
        <w:gridCol w:w="1769"/>
        <w:gridCol w:w="1080"/>
        <w:gridCol w:w="2130"/>
        <w:gridCol w:w="2875"/>
      </w:tblGrid>
      <w:tr w14:paraId="4FF9003C">
        <w:tblPrEx>
          <w:tblCellMar>
            <w:top w:w="0" w:type="dxa"/>
            <w:left w:w="108" w:type="dxa"/>
            <w:bottom w:w="0" w:type="dxa"/>
            <w:right w:w="108" w:type="dxa"/>
          </w:tblCellMar>
        </w:tblPrEx>
        <w:trPr>
          <w:trHeight w:val="1701"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0B2ABA6">
            <w:pPr>
              <w:spacing w:line="1232" w:lineRule="exact"/>
              <w:ind w:left="493"/>
              <w:rPr>
                <w:rFonts w:hint="eastAsia" w:ascii="宋体" w:hAnsi="宋体" w:eastAsia="宋体" w:cs="宋体"/>
                <w:highlight w:val="none"/>
              </w:rPr>
            </w:pPr>
            <w:r>
              <w:rPr>
                <w:rFonts w:hint="eastAsia" w:ascii="宋体" w:hAnsi="宋体" w:eastAsia="宋体" w:cs="宋体"/>
                <w:spacing w:val="-1"/>
                <w:sz w:val="20"/>
                <w:highlight w:val="none"/>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5194F08">
            <w:pPr>
              <w:spacing w:line="1061" w:lineRule="exact"/>
              <w:ind w:left="282"/>
              <w:rPr>
                <w:rFonts w:hint="eastAsia" w:ascii="宋体" w:hAnsi="宋体" w:eastAsia="宋体" w:cs="宋体"/>
                <w:highlight w:val="none"/>
              </w:rPr>
            </w:pPr>
            <w:r>
              <w:rPr>
                <w:rFonts w:hint="eastAsia" w:ascii="宋体" w:hAnsi="宋体" w:eastAsia="宋体" w:cs="宋体"/>
                <w:spacing w:val="-1"/>
                <w:sz w:val="20"/>
                <w:highlight w:val="none"/>
              </w:rPr>
              <w:t>浆砌片（卵）石</w:t>
            </w:r>
          </w:p>
          <w:p w14:paraId="61B43F20">
            <w:pPr>
              <w:spacing w:line="274" w:lineRule="exact"/>
              <w:ind w:left="107"/>
              <w:rPr>
                <w:rFonts w:hint="eastAsia" w:ascii="宋体" w:hAnsi="宋体" w:eastAsia="宋体" w:cs="宋体"/>
                <w:highlight w:val="none"/>
              </w:rPr>
            </w:pPr>
            <w:r>
              <w:rPr>
                <w:rFonts w:hint="eastAsia" w:ascii="宋体" w:hAnsi="宋体" w:eastAsia="宋体" w:cs="宋体"/>
                <w:spacing w:val="-1"/>
                <w:sz w:val="20"/>
                <w:highlight w:val="none"/>
              </w:rPr>
              <w:t>护坡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ED25BD3">
            <w:pPr>
              <w:spacing w:line="1143"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4660A6D">
            <w:pPr>
              <w:spacing w:line="789"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依据图纸所示位置和</w:t>
            </w:r>
          </w:p>
          <w:p w14:paraId="077A6699">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铺砌厚度、水泥砂浆强</w:t>
            </w:r>
          </w:p>
          <w:p w14:paraId="34C97A14">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度，按照铺砌体积以立方米为单位计量</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6F2E3FD">
            <w:pPr>
              <w:spacing w:line="240" w:lineRule="exact"/>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清理边坡，坡面夯实，</w:t>
            </w:r>
            <w:r>
              <w:rPr>
                <w:rFonts w:hint="eastAsia" w:ascii="宋体" w:hAnsi="宋体" w:eastAsia="宋体" w:cs="宋体"/>
                <w:spacing w:val="-1"/>
                <w:sz w:val="20"/>
                <w:highlight w:val="none"/>
              </w:rPr>
              <w:t>基础开挖；</w:t>
            </w:r>
          </w:p>
          <w:p w14:paraId="12B77D39">
            <w:pPr>
              <w:spacing w:line="240" w:lineRule="exact"/>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铺筑砂砾垫层；</w:t>
            </w:r>
          </w:p>
          <w:p w14:paraId="75C78950">
            <w:pPr>
              <w:spacing w:line="240" w:lineRule="exact"/>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浆砌片石；</w:t>
            </w:r>
          </w:p>
          <w:p w14:paraId="6ACDCAC8">
            <w:pPr>
              <w:spacing w:line="240" w:lineRule="exact"/>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勾缝、抹面、泄水管、</w:t>
            </w:r>
            <w:r>
              <w:rPr>
                <w:rFonts w:hint="eastAsia" w:ascii="宋体" w:hAnsi="宋体" w:eastAsia="宋体" w:cs="宋体"/>
                <w:spacing w:val="-1"/>
                <w:sz w:val="20"/>
                <w:highlight w:val="none"/>
              </w:rPr>
              <w:t>养护；</w:t>
            </w:r>
          </w:p>
          <w:p w14:paraId="059A161A">
            <w:pPr>
              <w:spacing w:line="240" w:lineRule="exact"/>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回填；</w:t>
            </w:r>
          </w:p>
          <w:p w14:paraId="06BF790B">
            <w:pPr>
              <w:spacing w:line="240" w:lineRule="exact"/>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清理现场</w:t>
            </w:r>
          </w:p>
        </w:tc>
      </w:tr>
      <w:tr w14:paraId="5E655252">
        <w:tblPrEx>
          <w:tblCellMar>
            <w:top w:w="0" w:type="dxa"/>
            <w:left w:w="108" w:type="dxa"/>
            <w:bottom w:w="0" w:type="dxa"/>
            <w:right w:w="108" w:type="dxa"/>
          </w:tblCellMar>
        </w:tblPrEx>
        <w:trPr>
          <w:trHeight w:val="170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855AAF8">
            <w:pPr>
              <w:spacing w:line="1232" w:lineRule="exact"/>
              <w:ind w:left="493"/>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-c</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55AC3E5B">
            <w:pPr>
              <w:spacing w:line="274" w:lineRule="exact"/>
              <w:ind w:left="107"/>
              <w:jc w:val="center"/>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铅丝石笼</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767CC56">
            <w:pPr>
              <w:spacing w:line="1143" w:lineRule="exact"/>
              <w:ind w:left="423"/>
              <w:rPr>
                <w:rFonts w:hint="eastAsia" w:ascii="宋体" w:hAnsi="宋体" w:eastAsia="宋体" w:cs="宋体"/>
                <w:position w:val="-4"/>
                <w:sz w:val="20"/>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E8F350E">
            <w:pPr>
              <w:spacing w:line="789"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依据图纸所示位置和</w:t>
            </w:r>
          </w:p>
          <w:p w14:paraId="05800790">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铺砌厚度、水泥砂浆强</w:t>
            </w:r>
          </w:p>
          <w:p w14:paraId="6DFD8795">
            <w:pPr>
              <w:spacing w:line="274" w:lineRule="exact"/>
              <w:ind w:left="109"/>
              <w:rPr>
                <w:rFonts w:hint="eastAsia" w:ascii="宋体" w:hAnsi="宋体" w:eastAsia="宋体" w:cs="宋体"/>
                <w:spacing w:val="-1"/>
                <w:sz w:val="20"/>
                <w:highlight w:val="none"/>
              </w:rPr>
            </w:pPr>
            <w:r>
              <w:rPr>
                <w:rFonts w:hint="eastAsia" w:ascii="宋体" w:hAnsi="宋体" w:eastAsia="宋体" w:cs="宋体"/>
                <w:spacing w:val="-1"/>
                <w:sz w:val="20"/>
                <w:highlight w:val="none"/>
              </w:rPr>
              <w:t>度，按照铺砌体积以立方米为单位计量</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EF74E7B">
            <w:pPr>
              <w:spacing w:line="240" w:lineRule="exact"/>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清理边坡，坡面夯实，</w:t>
            </w:r>
            <w:r>
              <w:rPr>
                <w:rFonts w:hint="eastAsia" w:ascii="宋体" w:hAnsi="宋体" w:eastAsia="宋体" w:cs="宋体"/>
                <w:spacing w:val="-1"/>
                <w:sz w:val="20"/>
                <w:highlight w:val="none"/>
              </w:rPr>
              <w:t>基础开挖；</w:t>
            </w:r>
          </w:p>
          <w:p w14:paraId="51ABBB33">
            <w:pPr>
              <w:spacing w:line="240" w:lineRule="exact"/>
              <w:rPr>
                <w:rFonts w:hint="eastAsia" w:ascii="宋体" w:hAnsi="宋体" w:eastAsia="宋体" w:cs="宋体"/>
                <w:sz w:val="20"/>
                <w:highlight w:val="none"/>
                <w:lang w:val="en-US"/>
              </w:rPr>
            </w:pPr>
            <w:r>
              <w:rPr>
                <w:rFonts w:hint="eastAsia" w:ascii="宋体" w:hAnsi="宋体" w:eastAsia="宋体" w:cs="宋体"/>
                <w:sz w:val="20"/>
                <w:highlight w:val="none"/>
                <w:lang w:val="en-US"/>
              </w:rPr>
              <w:t>2.铺设钢筋镀锌铁丝网；</w:t>
            </w:r>
          </w:p>
          <w:p w14:paraId="0AD86F8F">
            <w:pPr>
              <w:spacing w:line="240" w:lineRule="exact"/>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lang w:val="en-US"/>
              </w:rPr>
              <w:t>填装卵石</w:t>
            </w:r>
            <w:r>
              <w:rPr>
                <w:rFonts w:hint="eastAsia" w:ascii="宋体" w:hAnsi="宋体" w:eastAsia="宋体" w:cs="宋体"/>
                <w:spacing w:val="-1"/>
                <w:position w:val="1"/>
                <w:sz w:val="20"/>
                <w:highlight w:val="none"/>
              </w:rPr>
              <w:t>；</w:t>
            </w:r>
          </w:p>
          <w:p w14:paraId="4269B8E3">
            <w:pPr>
              <w:spacing w:line="240" w:lineRule="exact"/>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lang w:val="en-US"/>
              </w:rPr>
              <w:t>铅丝笼捆扎及连接</w:t>
            </w:r>
            <w:r>
              <w:rPr>
                <w:rFonts w:hint="eastAsia" w:ascii="宋体" w:hAnsi="宋体" w:eastAsia="宋体" w:cs="宋体"/>
                <w:spacing w:val="-1"/>
                <w:sz w:val="20"/>
                <w:highlight w:val="none"/>
              </w:rPr>
              <w:t>；</w:t>
            </w:r>
          </w:p>
          <w:p w14:paraId="184196FD">
            <w:pPr>
              <w:spacing w:line="240" w:lineRule="exact"/>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z w:val="20"/>
                <w:highlight w:val="none"/>
                <w:lang w:val="en-US"/>
              </w:rPr>
              <w:t>石笼四周</w:t>
            </w:r>
            <w:r>
              <w:rPr>
                <w:rFonts w:hint="eastAsia" w:ascii="宋体" w:hAnsi="宋体" w:eastAsia="宋体" w:cs="宋体"/>
                <w:spacing w:val="-1"/>
                <w:position w:val="1"/>
                <w:sz w:val="20"/>
                <w:highlight w:val="none"/>
              </w:rPr>
              <w:t>回填；</w:t>
            </w:r>
          </w:p>
          <w:p w14:paraId="6F94F976">
            <w:pPr>
              <w:spacing w:line="240" w:lineRule="exact"/>
              <w:rPr>
                <w:rFonts w:hint="eastAsia" w:ascii="宋体" w:hAnsi="宋体" w:eastAsia="宋体" w:cs="宋体"/>
                <w:sz w:val="20"/>
                <w:highlight w:val="none"/>
                <w:lang w:val="en-US"/>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清理现场</w:t>
            </w:r>
          </w:p>
        </w:tc>
      </w:tr>
      <w:tr w14:paraId="1554DC33">
        <w:tblPrEx>
          <w:tblCellMar>
            <w:top w:w="0" w:type="dxa"/>
            <w:left w:w="108" w:type="dxa"/>
            <w:bottom w:w="0" w:type="dxa"/>
            <w:right w:w="108" w:type="dxa"/>
          </w:tblCellMar>
        </w:tblPrEx>
        <w:trPr>
          <w:trHeight w:val="173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DB18682">
            <w:pPr>
              <w:spacing w:line="1232" w:lineRule="exact"/>
              <w:ind w:left="493"/>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-d</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4D4F30E2">
            <w:pPr>
              <w:spacing w:line="274" w:lineRule="exact"/>
              <w:ind w:left="107"/>
              <w:jc w:val="center"/>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干砌卵石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C69F5C3">
            <w:pPr>
              <w:spacing w:line="1143" w:lineRule="exact"/>
              <w:ind w:left="423"/>
              <w:rPr>
                <w:rFonts w:hint="eastAsia" w:ascii="宋体" w:hAnsi="宋体" w:eastAsia="宋体" w:cs="宋体"/>
                <w:position w:val="-4"/>
                <w:sz w:val="20"/>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FF087CF">
            <w:pPr>
              <w:spacing w:line="789"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依据图纸所示位置和</w:t>
            </w:r>
          </w:p>
          <w:p w14:paraId="474F251C">
            <w:pPr>
              <w:spacing w:line="274" w:lineRule="exact"/>
              <w:ind w:left="109"/>
              <w:rPr>
                <w:rFonts w:hint="eastAsia" w:ascii="宋体" w:hAnsi="宋体" w:eastAsia="宋体" w:cs="宋体"/>
                <w:spacing w:val="-1"/>
                <w:sz w:val="20"/>
                <w:highlight w:val="none"/>
              </w:rPr>
            </w:pPr>
            <w:r>
              <w:rPr>
                <w:rFonts w:hint="eastAsia" w:ascii="宋体" w:hAnsi="宋体" w:eastAsia="宋体" w:cs="宋体"/>
                <w:spacing w:val="-1"/>
                <w:sz w:val="20"/>
                <w:highlight w:val="none"/>
                <w:lang w:val="en-US"/>
              </w:rPr>
              <w:t>断面尺度</w:t>
            </w:r>
            <w:r>
              <w:rPr>
                <w:rFonts w:hint="eastAsia" w:ascii="宋体" w:hAnsi="宋体" w:eastAsia="宋体" w:cs="宋体"/>
                <w:spacing w:val="-1"/>
                <w:sz w:val="20"/>
                <w:highlight w:val="none"/>
              </w:rPr>
              <w:t>，按</w:t>
            </w:r>
            <w:r>
              <w:rPr>
                <w:rFonts w:hint="eastAsia" w:ascii="宋体" w:hAnsi="宋体" w:eastAsia="宋体" w:cs="宋体"/>
                <w:spacing w:val="-1"/>
                <w:sz w:val="20"/>
                <w:highlight w:val="none"/>
                <w:lang w:val="en-US"/>
              </w:rPr>
              <w:t>图示</w:t>
            </w:r>
            <w:r>
              <w:rPr>
                <w:rFonts w:hint="eastAsia" w:ascii="宋体" w:hAnsi="宋体" w:eastAsia="宋体" w:cs="宋体"/>
                <w:spacing w:val="-1"/>
                <w:sz w:val="20"/>
                <w:highlight w:val="none"/>
              </w:rPr>
              <w:t>以立方米为单位计量</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E67502A">
            <w:pPr>
              <w:spacing w:line="240" w:lineRule="exact"/>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基坑开挖、清理、平</w:t>
            </w:r>
            <w:r>
              <w:rPr>
                <w:rFonts w:hint="eastAsia" w:ascii="宋体" w:hAnsi="宋体" w:eastAsia="宋体" w:cs="宋体"/>
                <w:spacing w:val="-1"/>
                <w:sz w:val="20"/>
                <w:highlight w:val="none"/>
              </w:rPr>
              <w:t>整、夯实；</w:t>
            </w:r>
          </w:p>
          <w:p w14:paraId="4AC4391B">
            <w:pPr>
              <w:spacing w:line="240" w:lineRule="exact"/>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临时排水、铺筑垫层；</w:t>
            </w:r>
          </w:p>
          <w:p w14:paraId="70213C59">
            <w:pPr>
              <w:spacing w:line="240" w:lineRule="exact"/>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sz w:val="20"/>
                <w:highlight w:val="none"/>
                <w:lang w:val="en-US"/>
              </w:rPr>
              <w:t>干</w:t>
            </w:r>
            <w:r>
              <w:rPr>
                <w:rFonts w:hint="eastAsia" w:ascii="宋体" w:hAnsi="宋体" w:eastAsia="宋体" w:cs="宋体"/>
                <w:spacing w:val="-1"/>
                <w:position w:val="1"/>
                <w:sz w:val="20"/>
                <w:highlight w:val="none"/>
              </w:rPr>
              <w:t>砌片（块）石，设</w:t>
            </w:r>
            <w:r>
              <w:rPr>
                <w:rFonts w:hint="eastAsia" w:ascii="宋体" w:hAnsi="宋体" w:eastAsia="宋体" w:cs="宋体"/>
                <w:spacing w:val="-1"/>
                <w:sz w:val="20"/>
                <w:highlight w:val="none"/>
              </w:rPr>
              <w:t>泄水孔及其滤水层；</w:t>
            </w:r>
          </w:p>
          <w:p w14:paraId="3C075C00">
            <w:pPr>
              <w:spacing w:line="240" w:lineRule="exact"/>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sz w:val="20"/>
                <w:highlight w:val="none"/>
              </w:rPr>
              <w:t>墙背填料分层填筑；</w:t>
            </w:r>
          </w:p>
          <w:p w14:paraId="7878DAC6">
            <w:pPr>
              <w:spacing w:line="240" w:lineRule="exact"/>
              <w:rPr>
                <w:rFonts w:hint="eastAsia" w:ascii="宋体" w:hAnsi="宋体" w:eastAsia="宋体" w:cs="宋体"/>
                <w:sz w:val="20"/>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清理场地、废方弃运</w:t>
            </w:r>
          </w:p>
        </w:tc>
      </w:tr>
      <w:tr w14:paraId="2BA60C3E">
        <w:tblPrEx>
          <w:tblCellMar>
            <w:top w:w="0" w:type="dxa"/>
            <w:left w:w="108" w:type="dxa"/>
            <w:bottom w:w="0" w:type="dxa"/>
            <w:right w:w="108" w:type="dxa"/>
          </w:tblCellMar>
        </w:tblPrEx>
        <w:trPr>
          <w:trHeight w:val="341"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1604D53">
            <w:pPr>
              <w:spacing w:line="387" w:lineRule="exact"/>
              <w:ind w:left="337"/>
              <w:rPr>
                <w:rFonts w:hint="eastAsia" w:ascii="宋体" w:hAnsi="宋体" w:eastAsia="宋体" w:cs="宋体"/>
                <w:highlight w:val="none"/>
              </w:rPr>
            </w:pPr>
            <w:r>
              <w:rPr>
                <w:rFonts w:hint="eastAsia" w:ascii="宋体" w:hAnsi="宋体" w:eastAsia="宋体" w:cs="宋体"/>
                <w:spacing w:val="-1"/>
                <w:sz w:val="20"/>
                <w:highlight w:val="none"/>
              </w:rPr>
              <w:t>603-1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E7275B4">
            <w:pPr>
              <w:spacing w:line="352" w:lineRule="exact"/>
              <w:ind w:left="282"/>
              <w:rPr>
                <w:rFonts w:hint="eastAsia" w:ascii="宋体" w:hAnsi="宋体" w:eastAsia="宋体" w:cs="宋体"/>
                <w:highlight w:val="none"/>
              </w:rPr>
            </w:pPr>
            <w:r>
              <w:rPr>
                <w:rFonts w:hint="eastAsia" w:ascii="宋体" w:hAnsi="宋体" w:eastAsia="宋体" w:cs="宋体"/>
                <w:spacing w:val="-1"/>
                <w:sz w:val="20"/>
                <w:highlight w:val="none"/>
              </w:rPr>
              <w:t>挡土墙</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39AD4A6">
            <w:pPr>
              <w:spacing w:line="352" w:lineRule="exact"/>
              <w:rPr>
                <w:rFonts w:hint="eastAsia" w:ascii="宋体" w:hAnsi="宋体" w:eastAsia="宋体" w:cs="宋体"/>
                <w:highlight w:val="none"/>
              </w:rPr>
            </w:pP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E1CA521">
            <w:pPr>
              <w:spacing w:line="352" w:lineRule="exact"/>
              <w:rPr>
                <w:rFonts w:hint="eastAsia" w:ascii="宋体" w:hAnsi="宋体" w:eastAsia="宋体" w:cs="宋体"/>
                <w:highlight w:val="none"/>
              </w:rPr>
            </w:pP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83DC126">
            <w:pPr>
              <w:spacing w:line="352" w:lineRule="exact"/>
              <w:rPr>
                <w:rFonts w:hint="eastAsia" w:ascii="宋体" w:hAnsi="宋体" w:eastAsia="宋体" w:cs="宋体"/>
                <w:highlight w:val="none"/>
              </w:rPr>
            </w:pPr>
          </w:p>
        </w:tc>
      </w:tr>
      <w:tr w14:paraId="31D1C9CF">
        <w:tblPrEx>
          <w:tblCellMar>
            <w:top w:w="0" w:type="dxa"/>
            <w:left w:w="108" w:type="dxa"/>
            <w:bottom w:w="0" w:type="dxa"/>
            <w:right w:w="108" w:type="dxa"/>
          </w:tblCellMar>
        </w:tblPrEx>
        <w:trPr>
          <w:trHeight w:val="219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4413D1A">
            <w:pPr>
              <w:spacing w:line="1504" w:lineRule="exact"/>
              <w:ind w:left="500"/>
              <w:rPr>
                <w:rFonts w:hint="eastAsia" w:ascii="宋体" w:hAnsi="宋体" w:eastAsia="宋体" w:cs="宋体"/>
                <w:highlight w:val="none"/>
              </w:rPr>
            </w:pPr>
            <w:r>
              <w:rPr>
                <w:rFonts w:hint="eastAsia" w:ascii="宋体" w:hAnsi="宋体" w:eastAsia="宋体" w:cs="宋体"/>
                <w:spacing w:val="-1"/>
                <w:sz w:val="20"/>
                <w:highlight w:val="none"/>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BE70A33">
            <w:pPr>
              <w:spacing w:line="1332" w:lineRule="exact"/>
              <w:ind w:left="282"/>
              <w:rPr>
                <w:rFonts w:hint="eastAsia" w:ascii="宋体" w:hAnsi="宋体" w:eastAsia="宋体" w:cs="宋体"/>
                <w:highlight w:val="none"/>
              </w:rPr>
            </w:pPr>
            <w:r>
              <w:rPr>
                <w:rFonts w:hint="eastAsia" w:ascii="宋体" w:hAnsi="宋体" w:eastAsia="宋体" w:cs="宋体"/>
                <w:spacing w:val="-1"/>
                <w:sz w:val="20"/>
                <w:highlight w:val="none"/>
              </w:rPr>
              <w:t>砌片（块、卵）</w:t>
            </w:r>
          </w:p>
          <w:p w14:paraId="457FC64E">
            <w:pPr>
              <w:spacing w:line="274" w:lineRule="exact"/>
              <w:ind w:left="107"/>
              <w:rPr>
                <w:rFonts w:hint="eastAsia" w:ascii="宋体" w:hAnsi="宋体" w:eastAsia="宋体" w:cs="宋体"/>
                <w:highlight w:val="none"/>
              </w:rPr>
            </w:pPr>
            <w:r>
              <w:rPr>
                <w:rFonts w:hint="eastAsia" w:ascii="宋体" w:hAnsi="宋体" w:eastAsia="宋体" w:cs="宋体"/>
                <w:spacing w:val="-1"/>
                <w:sz w:val="20"/>
                <w:highlight w:val="none"/>
              </w:rPr>
              <w:t>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884F4E1">
            <w:pPr>
              <w:spacing w:line="1412"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702989F">
            <w:pPr>
              <w:spacing w:line="271" w:lineRule="exact"/>
              <w:ind w:left="109"/>
              <w:rPr>
                <w:rFonts w:hint="eastAsia" w:ascii="宋体" w:hAnsi="宋体" w:eastAsia="宋体" w:cs="宋体"/>
                <w:spacing w:val="-1"/>
                <w:sz w:val="20"/>
                <w:highlight w:val="none"/>
              </w:rPr>
            </w:pPr>
            <w:r>
              <w:rPr>
                <w:rFonts w:hint="eastAsia" w:ascii="宋体" w:hAnsi="宋体" w:eastAsia="宋体" w:cs="宋体"/>
                <w:spacing w:val="-1"/>
                <w:sz w:val="20"/>
                <w:highlight w:val="none"/>
              </w:rPr>
              <w:t>1.依据图纸所示位置和</w:t>
            </w:r>
          </w:p>
          <w:p w14:paraId="27D82760">
            <w:pPr>
              <w:spacing w:line="271" w:lineRule="exact"/>
              <w:ind w:left="109"/>
              <w:rPr>
                <w:rFonts w:hint="eastAsia" w:ascii="宋体" w:hAnsi="宋体" w:eastAsia="宋体" w:cs="宋体"/>
                <w:spacing w:val="-1"/>
                <w:sz w:val="20"/>
                <w:highlight w:val="none"/>
              </w:rPr>
            </w:pPr>
            <w:r>
              <w:rPr>
                <w:rFonts w:hint="eastAsia" w:ascii="宋体" w:hAnsi="宋体" w:eastAsia="宋体" w:cs="宋体"/>
                <w:spacing w:val="-1"/>
                <w:sz w:val="20"/>
                <w:highlight w:val="none"/>
              </w:rPr>
              <w:t>断面尺寸，按图示不同强度等级水泥砂浆砌石体积以立方米为单位计量；</w:t>
            </w:r>
          </w:p>
          <w:p w14:paraId="2D597F34">
            <w:pPr>
              <w:spacing w:line="271" w:lineRule="exact"/>
              <w:ind w:left="109"/>
              <w:rPr>
                <w:rFonts w:hint="eastAsia" w:ascii="宋体" w:hAnsi="宋体" w:eastAsia="宋体" w:cs="宋体"/>
                <w:spacing w:val="-1"/>
                <w:sz w:val="20"/>
                <w:highlight w:val="none"/>
              </w:rPr>
            </w:pPr>
            <w:r>
              <w:rPr>
                <w:rFonts w:hint="eastAsia" w:ascii="宋体" w:hAnsi="宋体" w:eastAsia="宋体" w:cs="宋体"/>
                <w:spacing w:val="-1"/>
                <w:sz w:val="20"/>
                <w:highlight w:val="none"/>
              </w:rPr>
              <w:t>2.不扣除沉降缝、泄水</w:t>
            </w:r>
          </w:p>
          <w:p w14:paraId="2EB4E95B">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孔、预埋件所占体</w:t>
            </w:r>
            <w:r>
              <w:rPr>
                <w:rFonts w:hint="eastAsia" w:ascii="宋体" w:hAnsi="宋体" w:eastAsia="宋体" w:cs="宋体"/>
                <w:highlight w:val="none"/>
              </w:rPr>
              <w:t>积</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E28DDAE">
            <w:pPr>
              <w:spacing w:line="240" w:lineRule="exact"/>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基坑开挖、清理、平</w:t>
            </w:r>
            <w:r>
              <w:rPr>
                <w:rFonts w:hint="eastAsia" w:ascii="宋体" w:hAnsi="宋体" w:eastAsia="宋体" w:cs="宋体"/>
                <w:spacing w:val="-1"/>
                <w:sz w:val="20"/>
                <w:highlight w:val="none"/>
              </w:rPr>
              <w:t>整、夯实；</w:t>
            </w:r>
          </w:p>
          <w:p w14:paraId="02094C1A">
            <w:pPr>
              <w:spacing w:line="240" w:lineRule="exact"/>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临时排水、铺筑垫层；</w:t>
            </w:r>
          </w:p>
          <w:p w14:paraId="25DD5018">
            <w:pPr>
              <w:spacing w:line="240" w:lineRule="exact"/>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浆砌片（块）石，设</w:t>
            </w:r>
            <w:r>
              <w:rPr>
                <w:rFonts w:hint="eastAsia" w:ascii="宋体" w:hAnsi="宋体" w:eastAsia="宋体" w:cs="宋体"/>
                <w:spacing w:val="-1"/>
                <w:sz w:val="20"/>
                <w:highlight w:val="none"/>
              </w:rPr>
              <w:t>泄水孔及其滤水层；</w:t>
            </w:r>
          </w:p>
          <w:p w14:paraId="74CD2F02">
            <w:pPr>
              <w:spacing w:line="240" w:lineRule="exact"/>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接缝处理；</w:t>
            </w:r>
          </w:p>
          <w:p w14:paraId="13C84070">
            <w:pPr>
              <w:spacing w:line="240" w:lineRule="exact"/>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勾缝、抹面、墙背排</w:t>
            </w:r>
            <w:r>
              <w:rPr>
                <w:rFonts w:hint="eastAsia" w:ascii="宋体" w:hAnsi="宋体" w:eastAsia="宋体" w:cs="宋体"/>
                <w:spacing w:val="-1"/>
                <w:sz w:val="20"/>
                <w:highlight w:val="none"/>
              </w:rPr>
              <w:t>水设施设置、墙背填料分层填筑；</w:t>
            </w:r>
          </w:p>
          <w:p w14:paraId="69612926">
            <w:pPr>
              <w:spacing w:line="240" w:lineRule="exact"/>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清理场地、废方弃运</w:t>
            </w:r>
          </w:p>
        </w:tc>
      </w:tr>
      <w:tr w14:paraId="15D1A536">
        <w:tblPrEx>
          <w:tblCellMar>
            <w:top w:w="0" w:type="dxa"/>
            <w:left w:w="108" w:type="dxa"/>
            <w:bottom w:w="0" w:type="dxa"/>
            <w:right w:w="108" w:type="dxa"/>
          </w:tblCellMar>
        </w:tblPrEx>
        <w:trPr>
          <w:trHeight w:val="293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14702E7">
            <w:pPr>
              <w:spacing w:line="2049" w:lineRule="exact"/>
              <w:ind w:left="493"/>
              <w:rPr>
                <w:rFonts w:hint="eastAsia" w:ascii="宋体" w:hAnsi="宋体" w:eastAsia="宋体" w:cs="宋体"/>
                <w:highlight w:val="none"/>
              </w:rPr>
            </w:pPr>
            <w:r>
              <w:rPr>
                <w:rFonts w:hint="eastAsia" w:ascii="宋体" w:hAnsi="宋体" w:eastAsia="宋体" w:cs="宋体"/>
                <w:spacing w:val="-1"/>
                <w:sz w:val="20"/>
                <w:highlight w:val="none"/>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F667B74">
            <w:pPr>
              <w:spacing w:line="2014" w:lineRule="exact"/>
              <w:ind w:left="282"/>
              <w:rPr>
                <w:rFonts w:hint="eastAsia" w:ascii="宋体" w:hAnsi="宋体" w:eastAsia="宋体" w:cs="宋体"/>
                <w:highlight w:val="none"/>
              </w:rPr>
            </w:pPr>
            <w:r>
              <w:rPr>
                <w:rFonts w:hint="eastAsia" w:ascii="宋体" w:hAnsi="宋体" w:eastAsia="宋体" w:cs="宋体"/>
                <w:spacing w:val="-1"/>
                <w:sz w:val="20"/>
                <w:highlight w:val="none"/>
              </w:rPr>
              <w:t>混凝土挡土墙</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915A029">
            <w:pPr>
              <w:spacing w:line="1960"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9D7C9A5">
            <w:pPr>
              <w:spacing w:line="271" w:lineRule="exact"/>
              <w:ind w:left="109"/>
              <w:rPr>
                <w:rFonts w:hint="eastAsia" w:ascii="宋体" w:hAnsi="宋体" w:eastAsia="宋体" w:cs="宋体"/>
                <w:spacing w:val="-1"/>
                <w:sz w:val="20"/>
                <w:highlight w:val="none"/>
              </w:rPr>
            </w:pPr>
            <w:r>
              <w:rPr>
                <w:rFonts w:hint="eastAsia" w:ascii="宋体" w:hAnsi="宋体" w:eastAsia="宋体" w:cs="宋体"/>
                <w:spacing w:val="-1"/>
                <w:sz w:val="20"/>
                <w:highlight w:val="none"/>
              </w:rPr>
              <w:t>1.依据图纸所示位置和</w:t>
            </w:r>
          </w:p>
          <w:p w14:paraId="64337D7A">
            <w:pPr>
              <w:spacing w:line="271" w:lineRule="exact"/>
              <w:ind w:left="109"/>
              <w:rPr>
                <w:rFonts w:hint="eastAsia" w:ascii="宋体" w:hAnsi="宋体" w:eastAsia="宋体" w:cs="宋体"/>
                <w:spacing w:val="-1"/>
                <w:sz w:val="20"/>
                <w:highlight w:val="none"/>
              </w:rPr>
            </w:pPr>
            <w:r>
              <w:rPr>
                <w:rFonts w:hint="eastAsia" w:ascii="宋体" w:hAnsi="宋体" w:eastAsia="宋体" w:cs="宋体"/>
                <w:spacing w:val="-1"/>
                <w:sz w:val="20"/>
                <w:highlight w:val="none"/>
              </w:rPr>
              <w:t>断面尺寸，按图示不同强度等级混凝土体积以立方米为单位计量；</w:t>
            </w:r>
          </w:p>
          <w:p w14:paraId="6AD99901">
            <w:pPr>
              <w:spacing w:line="271" w:lineRule="exact"/>
              <w:ind w:left="109"/>
              <w:rPr>
                <w:rFonts w:hint="eastAsia" w:ascii="宋体" w:hAnsi="宋体" w:eastAsia="宋体" w:cs="宋体"/>
                <w:spacing w:val="-1"/>
                <w:sz w:val="20"/>
                <w:highlight w:val="none"/>
              </w:rPr>
            </w:pPr>
            <w:r>
              <w:rPr>
                <w:rFonts w:hint="eastAsia" w:ascii="宋体" w:hAnsi="宋体" w:eastAsia="宋体" w:cs="宋体"/>
                <w:spacing w:val="-1"/>
                <w:sz w:val="20"/>
                <w:highlight w:val="none"/>
              </w:rPr>
              <w:t>2.不扣除沉降缝、泄水</w:t>
            </w:r>
          </w:p>
          <w:p w14:paraId="58147CDE">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孔、预埋件所占体积</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3618F59">
            <w:pPr>
              <w:spacing w:line="240" w:lineRule="exact"/>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基坑开挖、清理、平</w:t>
            </w:r>
            <w:r>
              <w:rPr>
                <w:rFonts w:hint="eastAsia" w:ascii="宋体" w:hAnsi="宋体" w:eastAsia="宋体" w:cs="宋体"/>
                <w:spacing w:val="-1"/>
                <w:sz w:val="20"/>
                <w:highlight w:val="none"/>
              </w:rPr>
              <w:t>整、夯实；</w:t>
            </w:r>
          </w:p>
          <w:p w14:paraId="36B304B4">
            <w:pPr>
              <w:spacing w:line="240" w:lineRule="exact"/>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临时排水、铺筑垫层；</w:t>
            </w:r>
          </w:p>
          <w:p w14:paraId="35B92FF5">
            <w:pPr>
              <w:spacing w:line="240" w:lineRule="exact"/>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钢筋的运输、保护、</w:t>
            </w:r>
            <w:r>
              <w:rPr>
                <w:rFonts w:hint="eastAsia" w:ascii="宋体" w:hAnsi="宋体" w:eastAsia="宋体" w:cs="宋体"/>
                <w:sz w:val="20"/>
                <w:highlight w:val="none"/>
              </w:rPr>
              <w:t>存储、加工及安设、支承、</w:t>
            </w:r>
            <w:r>
              <w:rPr>
                <w:rFonts w:hint="eastAsia" w:ascii="宋体" w:hAnsi="宋体" w:eastAsia="宋体" w:cs="宋体"/>
                <w:spacing w:val="-1"/>
                <w:sz w:val="20"/>
                <w:highlight w:val="none"/>
              </w:rPr>
              <w:t>固定；</w:t>
            </w:r>
          </w:p>
          <w:p w14:paraId="2C555922">
            <w:pPr>
              <w:spacing w:line="240" w:lineRule="exact"/>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模板制作、安装、拆</w:t>
            </w:r>
            <w:r>
              <w:rPr>
                <w:rFonts w:hint="eastAsia" w:ascii="宋体" w:hAnsi="宋体" w:eastAsia="宋体" w:cs="宋体"/>
                <w:spacing w:val="-1"/>
                <w:sz w:val="20"/>
                <w:highlight w:val="none"/>
              </w:rPr>
              <w:t>除；</w:t>
            </w:r>
          </w:p>
          <w:p w14:paraId="3BAC8B95">
            <w:pPr>
              <w:spacing w:line="240" w:lineRule="exact"/>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混凝土拌和、运输、</w:t>
            </w:r>
            <w:r>
              <w:rPr>
                <w:rFonts w:hint="eastAsia" w:ascii="宋体" w:hAnsi="宋体" w:eastAsia="宋体" w:cs="宋体"/>
                <w:spacing w:val="-1"/>
                <w:sz w:val="20"/>
                <w:highlight w:val="none"/>
              </w:rPr>
              <w:t>浇筑、养护；</w:t>
            </w:r>
          </w:p>
          <w:p w14:paraId="0704BF01">
            <w:pPr>
              <w:spacing w:line="240" w:lineRule="exact"/>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泄水孔及其滤水层、</w:t>
            </w:r>
            <w:r>
              <w:rPr>
                <w:rFonts w:hint="eastAsia" w:ascii="宋体" w:hAnsi="宋体" w:eastAsia="宋体" w:cs="宋体"/>
                <w:spacing w:val="-1"/>
                <w:sz w:val="20"/>
                <w:highlight w:val="none"/>
              </w:rPr>
              <w:t>沉降缝设置；</w:t>
            </w:r>
          </w:p>
          <w:p w14:paraId="46CE7135">
            <w:pPr>
              <w:spacing w:line="240" w:lineRule="exact"/>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墙背填料分层填筑；</w:t>
            </w:r>
          </w:p>
          <w:p w14:paraId="301537D4">
            <w:pPr>
              <w:spacing w:line="240" w:lineRule="exact"/>
              <w:rPr>
                <w:rFonts w:hint="eastAsia" w:ascii="宋体" w:hAnsi="宋体" w:eastAsia="宋体" w:cs="宋体"/>
                <w:highlight w:val="none"/>
              </w:rPr>
            </w:pPr>
            <w:r>
              <w:rPr>
                <w:rFonts w:hint="eastAsia" w:ascii="宋体" w:hAnsi="宋体" w:eastAsia="宋体" w:cs="宋体"/>
                <w:sz w:val="20"/>
                <w:highlight w:val="none"/>
              </w:rPr>
              <w:t>8.</w:t>
            </w:r>
            <w:r>
              <w:rPr>
                <w:rFonts w:hint="eastAsia" w:ascii="宋体" w:hAnsi="宋体" w:eastAsia="宋体" w:cs="宋体"/>
                <w:spacing w:val="-1"/>
                <w:position w:val="1"/>
                <w:sz w:val="20"/>
                <w:highlight w:val="none"/>
              </w:rPr>
              <w:t>清理场地，废方弃运</w:t>
            </w:r>
          </w:p>
        </w:tc>
      </w:tr>
      <w:tr w14:paraId="1DCB4695">
        <w:tblPrEx>
          <w:tblCellMar>
            <w:top w:w="0" w:type="dxa"/>
            <w:left w:w="108" w:type="dxa"/>
            <w:bottom w:w="0" w:type="dxa"/>
            <w:right w:w="108" w:type="dxa"/>
          </w:tblCellMar>
        </w:tblPrEx>
        <w:trPr>
          <w:trHeight w:val="38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7835F87">
            <w:pPr>
              <w:spacing w:line="401" w:lineRule="exact"/>
              <w:ind w:left="500"/>
              <w:rPr>
                <w:rFonts w:hint="eastAsia" w:ascii="宋体" w:hAnsi="宋体" w:eastAsia="宋体" w:cs="宋体"/>
                <w:highlight w:val="none"/>
              </w:rPr>
            </w:pPr>
            <w:r>
              <w:rPr>
                <w:rFonts w:hint="eastAsia" w:ascii="宋体" w:hAnsi="宋体" w:eastAsia="宋体" w:cs="宋体"/>
                <w:spacing w:val="-1"/>
                <w:sz w:val="20"/>
                <w:highlight w:val="none"/>
              </w:rPr>
              <w:t>-c</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4B5BAD4">
            <w:pPr>
              <w:spacing w:line="366" w:lineRule="exact"/>
              <w:ind w:left="282"/>
              <w:rPr>
                <w:rFonts w:hint="eastAsia" w:ascii="宋体" w:hAnsi="宋体" w:eastAsia="宋体" w:cs="宋体"/>
                <w:highlight w:val="none"/>
              </w:rPr>
            </w:pPr>
            <w:r>
              <w:rPr>
                <w:rFonts w:hint="eastAsia" w:ascii="宋体" w:hAnsi="宋体" w:eastAsia="宋体" w:cs="宋体"/>
                <w:spacing w:val="-1"/>
                <w:sz w:val="20"/>
                <w:highlight w:val="none"/>
              </w:rPr>
              <w:t>加筋土挡土墙</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0E351D2">
            <w:pPr>
              <w:spacing w:line="366" w:lineRule="exact"/>
              <w:rPr>
                <w:rFonts w:hint="eastAsia" w:ascii="宋体" w:hAnsi="宋体" w:eastAsia="宋体" w:cs="宋体"/>
                <w:highlight w:val="none"/>
              </w:rPr>
            </w:pP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605DF26">
            <w:pPr>
              <w:spacing w:line="366" w:lineRule="exact"/>
              <w:rPr>
                <w:rFonts w:hint="eastAsia" w:ascii="宋体" w:hAnsi="宋体" w:eastAsia="宋体" w:cs="宋体"/>
                <w:highlight w:val="none"/>
              </w:rPr>
            </w:pP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399DEB7">
            <w:pPr>
              <w:spacing w:line="366" w:lineRule="exact"/>
              <w:rPr>
                <w:rFonts w:hint="eastAsia" w:ascii="宋体" w:hAnsi="宋体" w:eastAsia="宋体" w:cs="宋体"/>
                <w:highlight w:val="none"/>
              </w:rPr>
            </w:pPr>
          </w:p>
        </w:tc>
      </w:tr>
      <w:tr w14:paraId="420C9BF5">
        <w:tblPrEx>
          <w:tblCellMar>
            <w:top w:w="0" w:type="dxa"/>
            <w:left w:w="108" w:type="dxa"/>
            <w:bottom w:w="0" w:type="dxa"/>
            <w:right w:w="108" w:type="dxa"/>
          </w:tblCellMar>
        </w:tblPrEx>
        <w:trPr>
          <w:trHeight w:val="195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9371843">
            <w:pPr>
              <w:spacing w:line="1642" w:lineRule="exact"/>
              <w:ind w:left="411"/>
              <w:rPr>
                <w:rFonts w:hint="eastAsia" w:ascii="宋体" w:hAnsi="宋体" w:eastAsia="宋体" w:cs="宋体"/>
                <w:highlight w:val="none"/>
              </w:rPr>
            </w:pPr>
            <w:r>
              <w:rPr>
                <w:rFonts w:hint="eastAsia" w:ascii="宋体" w:hAnsi="宋体" w:eastAsia="宋体" w:cs="宋体"/>
                <w:spacing w:val="-1"/>
                <w:sz w:val="20"/>
                <w:highlight w:val="none"/>
              </w:rPr>
              <w:t>-c-1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B823519">
            <w:pPr>
              <w:spacing w:line="1607" w:lineRule="exact"/>
              <w:ind w:left="282"/>
              <w:rPr>
                <w:rFonts w:hint="eastAsia" w:ascii="宋体" w:hAnsi="宋体" w:eastAsia="宋体" w:cs="宋体"/>
                <w:highlight w:val="none"/>
              </w:rPr>
            </w:pPr>
            <w:r>
              <w:rPr>
                <w:rFonts w:hint="eastAsia" w:ascii="宋体" w:hAnsi="宋体" w:eastAsia="宋体" w:cs="宋体"/>
                <w:spacing w:val="-1"/>
                <w:sz w:val="20"/>
                <w:highlight w:val="none"/>
              </w:rPr>
              <w:t>基础及帽石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EA363E2">
            <w:pPr>
              <w:spacing w:line="1550"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2C393CC">
            <w:pPr>
              <w:spacing w:line="271" w:lineRule="exact"/>
              <w:ind w:left="109"/>
              <w:rPr>
                <w:rFonts w:hint="eastAsia" w:ascii="宋体" w:hAnsi="宋体" w:eastAsia="宋体" w:cs="宋体"/>
                <w:spacing w:val="-1"/>
                <w:sz w:val="20"/>
                <w:highlight w:val="none"/>
              </w:rPr>
            </w:pPr>
            <w:r>
              <w:rPr>
                <w:rFonts w:hint="eastAsia" w:ascii="宋体" w:hAnsi="宋体" w:eastAsia="宋体" w:cs="宋体"/>
                <w:spacing w:val="-1"/>
                <w:sz w:val="20"/>
                <w:highlight w:val="none"/>
              </w:rPr>
              <w:t>根据图纸所示位置和</w:t>
            </w:r>
          </w:p>
          <w:p w14:paraId="3F0E6868">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断面尺寸，按图示不同强度等级水泥砂浆砌体或混凝土体积，以立方米为单位计量</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08F85E3">
            <w:pPr>
              <w:spacing w:line="240" w:lineRule="exact"/>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基坑开挖、清理、平</w:t>
            </w:r>
            <w:r>
              <w:rPr>
                <w:rFonts w:hint="eastAsia" w:ascii="宋体" w:hAnsi="宋体" w:eastAsia="宋体" w:cs="宋体"/>
                <w:spacing w:val="-1"/>
                <w:sz w:val="20"/>
                <w:highlight w:val="none"/>
              </w:rPr>
              <w:t>整、夯实，废方弃运；</w:t>
            </w:r>
          </w:p>
          <w:p w14:paraId="2F9F06DD">
            <w:pPr>
              <w:spacing w:line="240" w:lineRule="exact"/>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混凝土或砂浆制作、</w:t>
            </w:r>
            <w:r>
              <w:rPr>
                <w:rFonts w:hint="eastAsia" w:ascii="宋体" w:hAnsi="宋体" w:eastAsia="宋体" w:cs="宋体"/>
                <w:spacing w:val="-1"/>
                <w:sz w:val="20"/>
                <w:highlight w:val="none"/>
              </w:rPr>
              <w:t>运输；</w:t>
            </w:r>
          </w:p>
          <w:p w14:paraId="17D5D373">
            <w:pPr>
              <w:spacing w:line="240" w:lineRule="exact"/>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模板制作、安装、拆</w:t>
            </w:r>
            <w:r>
              <w:rPr>
                <w:rFonts w:hint="eastAsia" w:ascii="宋体" w:hAnsi="宋体" w:eastAsia="宋体" w:cs="宋体"/>
                <w:spacing w:val="-1"/>
                <w:sz w:val="20"/>
                <w:highlight w:val="none"/>
              </w:rPr>
              <w:t>除；</w:t>
            </w:r>
          </w:p>
          <w:p w14:paraId="73A979FC">
            <w:pPr>
              <w:spacing w:line="240" w:lineRule="exact"/>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砌筑片石或振捣浇筑</w:t>
            </w:r>
            <w:r>
              <w:rPr>
                <w:rFonts w:hint="eastAsia" w:ascii="宋体" w:hAnsi="宋体" w:eastAsia="宋体" w:cs="宋体"/>
                <w:spacing w:val="-1"/>
                <w:sz w:val="20"/>
                <w:highlight w:val="none"/>
              </w:rPr>
              <w:t>混凝土；</w:t>
            </w:r>
          </w:p>
          <w:p w14:paraId="53A15A24">
            <w:pPr>
              <w:spacing w:line="240" w:lineRule="exact"/>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养护；</w:t>
            </w:r>
          </w:p>
          <w:p w14:paraId="5F71F7CF">
            <w:pPr>
              <w:spacing w:line="240" w:lineRule="exact"/>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回填、夯实；</w:t>
            </w:r>
          </w:p>
          <w:p w14:paraId="023AD4CA">
            <w:pPr>
              <w:spacing w:line="240" w:lineRule="exact"/>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清理现场，废方弃运</w:t>
            </w:r>
          </w:p>
        </w:tc>
      </w:tr>
      <w:tr w14:paraId="312674FE">
        <w:tblPrEx>
          <w:tblCellMar>
            <w:top w:w="0" w:type="dxa"/>
            <w:left w:w="108" w:type="dxa"/>
            <w:bottom w:w="0" w:type="dxa"/>
            <w:right w:w="108" w:type="dxa"/>
          </w:tblCellMar>
        </w:tblPrEx>
        <w:trPr>
          <w:trHeight w:val="1030"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1B1D725">
            <w:pPr>
              <w:spacing w:line="551" w:lineRule="exact"/>
              <w:ind w:left="411"/>
              <w:rPr>
                <w:rFonts w:hint="eastAsia" w:ascii="宋体" w:hAnsi="宋体" w:eastAsia="宋体" w:cs="宋体"/>
                <w:highlight w:val="none"/>
              </w:rPr>
            </w:pPr>
            <w:r>
              <w:rPr>
                <w:rFonts w:hint="eastAsia" w:ascii="宋体" w:hAnsi="宋体" w:eastAsia="宋体" w:cs="宋体"/>
                <w:spacing w:val="-1"/>
                <w:sz w:val="20"/>
                <w:highlight w:val="none"/>
              </w:rPr>
              <w:t>-c-2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B6665F8">
            <w:pPr>
              <w:spacing w:line="380" w:lineRule="exact"/>
              <w:ind w:left="282"/>
              <w:rPr>
                <w:rFonts w:hint="eastAsia" w:ascii="宋体" w:hAnsi="宋体" w:eastAsia="宋体" w:cs="宋体"/>
                <w:highlight w:val="none"/>
              </w:rPr>
            </w:pPr>
            <w:r>
              <w:rPr>
                <w:rFonts w:hint="eastAsia" w:ascii="宋体" w:hAnsi="宋体" w:eastAsia="宋体" w:cs="宋体"/>
                <w:spacing w:val="-1"/>
                <w:sz w:val="20"/>
                <w:highlight w:val="none"/>
              </w:rPr>
              <w:t>预制安装混凝</w:t>
            </w:r>
          </w:p>
          <w:p w14:paraId="15EFFB58">
            <w:pPr>
              <w:spacing w:line="274" w:lineRule="exact"/>
              <w:ind w:left="107"/>
              <w:rPr>
                <w:rFonts w:hint="eastAsia" w:ascii="宋体" w:hAnsi="宋体" w:eastAsia="宋体" w:cs="宋体"/>
                <w:highlight w:val="none"/>
              </w:rPr>
            </w:pPr>
            <w:r>
              <w:rPr>
                <w:rFonts w:hint="eastAsia" w:ascii="宋体" w:hAnsi="宋体" w:eastAsia="宋体" w:cs="宋体"/>
                <w:spacing w:val="-1"/>
                <w:sz w:val="20"/>
                <w:highlight w:val="none"/>
              </w:rPr>
              <w:t>土墙面板</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9928B78">
            <w:pPr>
              <w:spacing w:line="460"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18EA0EC">
            <w:pPr>
              <w:spacing w:line="280" w:lineRule="exact"/>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根据图纸所示位置及</w:t>
            </w:r>
          </w:p>
          <w:p w14:paraId="5F5EBF2E">
            <w:pPr>
              <w:spacing w:line="237" w:lineRule="exact"/>
              <w:ind w:left="109"/>
              <w:rPr>
                <w:rFonts w:hint="eastAsia" w:ascii="宋体" w:hAnsi="宋体" w:eastAsia="宋体" w:cs="宋体"/>
                <w:highlight w:val="none"/>
                <w:lang w:val="en-US"/>
              </w:rPr>
            </w:pPr>
            <w:r>
              <w:rPr>
                <w:rFonts w:hint="eastAsia" w:ascii="宋体" w:hAnsi="宋体" w:eastAsia="宋体" w:cs="宋体"/>
                <w:spacing w:val="-1"/>
                <w:sz w:val="20"/>
                <w:highlight w:val="none"/>
              </w:rPr>
              <w:t>断面尺寸，按照不同强度等级混凝土体积，以立方</w:t>
            </w:r>
            <w:r>
              <w:rPr>
                <w:rFonts w:hint="eastAsia" w:ascii="宋体" w:hAnsi="宋体" w:eastAsia="宋体" w:cs="宋体"/>
                <w:spacing w:val="-1"/>
                <w:sz w:val="20"/>
                <w:highlight w:val="none"/>
                <w:lang w:val="en-US"/>
              </w:rPr>
              <w:t>米为单位计量；</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3CB2B06">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沟槽开挖；</w:t>
            </w:r>
          </w:p>
          <w:p w14:paraId="4E7E5B97">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预制场建设；</w:t>
            </w:r>
          </w:p>
          <w:p w14:paraId="49C5380D">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预制件预制、运输、</w:t>
            </w:r>
          </w:p>
        </w:tc>
      </w:tr>
    </w:tbl>
    <w:p w14:paraId="0912ABA0">
      <w:pPr>
        <w:spacing w:line="252" w:lineRule="exact"/>
        <w:rPr>
          <w:rFonts w:hint="eastAsia" w:ascii="宋体" w:hAnsi="宋体" w:eastAsia="宋体" w:cs="宋体"/>
          <w:sz w:val="21"/>
          <w:highlight w:val="none"/>
        </w:rPr>
        <w:sectPr>
          <w:footerReference r:id="rId17" w:type="default"/>
          <w:pgSz w:w="11910" w:h="16840"/>
          <w:pgMar w:top="1440" w:right="1080" w:bottom="1040" w:left="1420" w:header="882" w:footer="847" w:gutter="0"/>
          <w:cols w:space="720" w:num="1"/>
        </w:sectPr>
      </w:pPr>
    </w:p>
    <w:p w14:paraId="60EA5984">
      <w:pPr>
        <w:pStyle w:val="10"/>
        <w:spacing w:before="10"/>
        <w:rPr>
          <w:rFonts w:hint="eastAsia" w:ascii="宋体" w:hAnsi="宋体" w:eastAsia="宋体" w:cs="宋体"/>
          <w:sz w:val="11"/>
          <w:highlight w:val="none"/>
        </w:rPr>
      </w:pPr>
    </w:p>
    <w:tbl>
      <w:tblPr>
        <w:tblStyle w:val="24"/>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14:paraId="150DF449">
        <w:tblPrEx>
          <w:tblCellMar>
            <w:top w:w="0" w:type="dxa"/>
            <w:left w:w="108" w:type="dxa"/>
            <w:bottom w:w="0" w:type="dxa"/>
            <w:right w:w="108" w:type="dxa"/>
          </w:tblCellMar>
        </w:tblPrEx>
        <w:trPr>
          <w:trHeight w:val="323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0CFEB6B">
            <w:pPr>
              <w:spacing w:line="271" w:lineRule="exact"/>
              <w:rPr>
                <w:rFonts w:hint="eastAsia" w:ascii="宋体" w:hAnsi="宋体" w:eastAsia="宋体" w:cs="宋体"/>
                <w:highlight w:val="none"/>
              </w:rPr>
            </w:pP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E25BAE9">
            <w:pPr>
              <w:spacing w:line="271" w:lineRule="exact"/>
              <w:rPr>
                <w:rFonts w:hint="eastAsia" w:ascii="宋体" w:hAnsi="宋体" w:eastAsia="宋体" w:cs="宋体"/>
                <w:highlight w:val="none"/>
              </w:rPr>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54C2025">
            <w:pPr>
              <w:spacing w:line="271" w:lineRule="exact"/>
              <w:rPr>
                <w:rFonts w:hint="eastAsia" w:ascii="宋体" w:hAnsi="宋体" w:eastAsia="宋体" w:cs="宋体"/>
                <w:highlight w:val="none"/>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A0370BB">
            <w:pPr>
              <w:spacing w:line="308" w:lineRule="exact"/>
              <w:ind w:left="282"/>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加筋挡土墙的路堤填</w:t>
            </w:r>
          </w:p>
          <w:p w14:paraId="69E12545">
            <w:pPr>
              <w:spacing w:line="271" w:lineRule="exact"/>
              <w:ind w:left="109"/>
              <w:rPr>
                <w:rFonts w:hint="eastAsia" w:ascii="宋体" w:hAnsi="宋体" w:eastAsia="宋体" w:cs="宋体"/>
                <w:highlight w:val="none"/>
              </w:rPr>
            </w:pPr>
            <w:r>
              <w:rPr>
                <w:rFonts w:hint="eastAsia" w:ascii="宋体" w:hAnsi="宋体" w:eastAsia="宋体" w:cs="宋体"/>
                <w:spacing w:val="-1"/>
                <w:position w:val="1"/>
                <w:sz w:val="20"/>
                <w:highlight w:val="none"/>
              </w:rPr>
              <w:t>料在</w:t>
            </w:r>
            <w:r>
              <w:rPr>
                <w:rFonts w:hint="eastAsia" w:ascii="宋体" w:hAnsi="宋体" w:eastAsia="宋体" w:cs="宋体"/>
                <w:sz w:val="20"/>
                <w:highlight w:val="none"/>
              </w:rPr>
              <w:t> </w:t>
            </w:r>
            <w:r>
              <w:rPr>
                <w:rFonts w:hint="eastAsia" w:ascii="宋体" w:hAnsi="宋体" w:eastAsia="宋体" w:cs="宋体"/>
                <w:spacing w:val="-1"/>
                <w:sz w:val="20"/>
                <w:highlight w:val="none"/>
              </w:rPr>
              <w:t>204-1</w:t>
            </w:r>
            <w:r>
              <w:rPr>
                <w:rFonts w:hint="eastAsia" w:ascii="宋体" w:hAnsi="宋体" w:eastAsia="宋体" w:cs="宋体"/>
                <w:sz w:val="20"/>
                <w:highlight w:val="none"/>
              </w:rPr>
              <w:t> </w:t>
            </w:r>
            <w:r>
              <w:rPr>
                <w:rFonts w:hint="eastAsia" w:ascii="宋体" w:hAnsi="宋体" w:eastAsia="宋体" w:cs="宋体"/>
                <w:spacing w:val="-1"/>
                <w:position w:val="1"/>
                <w:sz w:val="20"/>
                <w:highlight w:val="none"/>
              </w:rPr>
              <w:t>中计量；</w:t>
            </w:r>
          </w:p>
          <w:p w14:paraId="37B11FD5">
            <w:pPr>
              <w:spacing w:line="274" w:lineRule="exact"/>
              <w:ind w:left="282"/>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钢筋、加筋带等不单</w:t>
            </w:r>
          </w:p>
          <w:p w14:paraId="1A8BE76F">
            <w:pPr>
              <w:spacing w:line="237" w:lineRule="exact"/>
              <w:ind w:left="109"/>
              <w:rPr>
                <w:rFonts w:hint="eastAsia" w:ascii="宋体" w:hAnsi="宋体" w:eastAsia="宋体" w:cs="宋体"/>
                <w:highlight w:val="none"/>
              </w:rPr>
            </w:pPr>
            <w:r>
              <w:rPr>
                <w:rFonts w:hint="eastAsia" w:ascii="宋体" w:hAnsi="宋体" w:eastAsia="宋体" w:cs="宋体"/>
                <w:spacing w:val="-1"/>
                <w:sz w:val="20"/>
                <w:highlight w:val="none"/>
              </w:rPr>
              <w:t>独计量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BF51CB4">
            <w:pPr>
              <w:spacing w:line="245" w:lineRule="exact"/>
              <w:ind w:left="108"/>
              <w:rPr>
                <w:rFonts w:hint="eastAsia" w:ascii="宋体" w:hAnsi="宋体" w:eastAsia="宋体" w:cs="宋体"/>
                <w:highlight w:val="none"/>
              </w:rPr>
            </w:pPr>
            <w:r>
              <w:rPr>
                <w:rFonts w:hint="eastAsia" w:ascii="宋体" w:hAnsi="宋体" w:eastAsia="宋体" w:cs="宋体"/>
                <w:spacing w:val="-1"/>
                <w:sz w:val="20"/>
                <w:highlight w:val="none"/>
              </w:rPr>
              <w:t>装卸；</w:t>
            </w:r>
          </w:p>
          <w:p w14:paraId="6E335D6B">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预制件安装；</w:t>
            </w:r>
          </w:p>
          <w:p w14:paraId="16B91B72">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钢筋的运输、保护、</w:t>
            </w:r>
          </w:p>
          <w:p w14:paraId="5FD1FA0F">
            <w:pPr>
              <w:spacing w:line="239" w:lineRule="exact"/>
              <w:ind w:left="108"/>
              <w:rPr>
                <w:rFonts w:hint="eastAsia" w:ascii="宋体" w:hAnsi="宋体" w:eastAsia="宋体" w:cs="宋体"/>
                <w:highlight w:val="none"/>
              </w:rPr>
            </w:pPr>
            <w:r>
              <w:rPr>
                <w:rFonts w:hint="eastAsia" w:ascii="宋体" w:hAnsi="宋体" w:eastAsia="宋体" w:cs="宋体"/>
                <w:sz w:val="20"/>
                <w:highlight w:val="none"/>
              </w:rPr>
              <w:t>存储、加工及安设、支承、</w:t>
            </w:r>
          </w:p>
          <w:p w14:paraId="42FFC950">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固定；</w:t>
            </w:r>
          </w:p>
          <w:p w14:paraId="49BF7007">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铺设加筋带、填料摊</w:t>
            </w:r>
          </w:p>
          <w:p w14:paraId="5D77E4F3">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平及分层压实；</w:t>
            </w:r>
          </w:p>
          <w:p w14:paraId="5FB3BEFB">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墙背回填（不含路堤</w:t>
            </w:r>
          </w:p>
          <w:p w14:paraId="798D5A8A">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填料回填）及排水系统施</w:t>
            </w:r>
          </w:p>
          <w:p w14:paraId="115E8183">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工；</w:t>
            </w:r>
          </w:p>
          <w:p w14:paraId="14C545F4">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8.</w:t>
            </w:r>
            <w:r>
              <w:rPr>
                <w:rFonts w:hint="eastAsia" w:ascii="宋体" w:hAnsi="宋体" w:eastAsia="宋体" w:cs="宋体"/>
                <w:spacing w:val="-1"/>
                <w:position w:val="1"/>
                <w:sz w:val="20"/>
                <w:highlight w:val="none"/>
              </w:rPr>
              <w:t>清理现场、废方弃运</w:t>
            </w:r>
          </w:p>
        </w:tc>
      </w:tr>
      <w:tr w14:paraId="7A9CD960">
        <w:tblPrEx>
          <w:tblCellMar>
            <w:top w:w="0" w:type="dxa"/>
            <w:left w:w="108" w:type="dxa"/>
            <w:bottom w:w="0" w:type="dxa"/>
            <w:right w:w="108" w:type="dxa"/>
          </w:tblCellMar>
        </w:tblPrEx>
        <w:trPr>
          <w:trHeight w:val="54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122FD17">
            <w:pPr>
              <w:spacing w:line="468" w:lineRule="exact"/>
              <w:ind w:left="337"/>
              <w:rPr>
                <w:rFonts w:hint="eastAsia" w:ascii="宋体" w:hAnsi="宋体" w:eastAsia="宋体" w:cs="宋体"/>
                <w:highlight w:val="none"/>
              </w:rPr>
            </w:pPr>
            <w:r>
              <w:rPr>
                <w:rFonts w:hint="eastAsia" w:ascii="宋体" w:hAnsi="宋体" w:eastAsia="宋体" w:cs="宋体"/>
                <w:spacing w:val="-1"/>
                <w:sz w:val="20"/>
                <w:highlight w:val="none"/>
              </w:rPr>
              <w:t>604-1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9E89BEA">
            <w:pPr>
              <w:spacing w:line="419" w:lineRule="exact"/>
              <w:ind w:left="282"/>
              <w:rPr>
                <w:rFonts w:hint="eastAsia" w:ascii="宋体" w:hAnsi="宋体" w:eastAsia="宋体" w:cs="宋体"/>
                <w:highlight w:val="none"/>
              </w:rPr>
            </w:pPr>
            <w:r>
              <w:rPr>
                <w:rFonts w:hint="eastAsia" w:ascii="宋体" w:hAnsi="宋体" w:eastAsia="宋体" w:cs="宋体"/>
                <w:spacing w:val="-1"/>
                <w:sz w:val="20"/>
                <w:highlight w:val="none"/>
              </w:rPr>
              <w:t>河道防护</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AEECA8A">
            <w:pPr>
              <w:spacing w:line="419" w:lineRule="exact"/>
              <w:rPr>
                <w:rFonts w:hint="eastAsia" w:ascii="宋体" w:hAnsi="宋体" w:eastAsia="宋体" w:cs="宋体"/>
                <w:highlight w:val="none"/>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E71D8CD">
            <w:pPr>
              <w:spacing w:line="419"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02A23A9">
            <w:pPr>
              <w:spacing w:line="419" w:lineRule="exact"/>
              <w:rPr>
                <w:rFonts w:hint="eastAsia" w:ascii="宋体" w:hAnsi="宋体" w:eastAsia="宋体" w:cs="宋体"/>
                <w:highlight w:val="none"/>
              </w:rPr>
            </w:pPr>
          </w:p>
        </w:tc>
      </w:tr>
      <w:tr w14:paraId="7A021115">
        <w:tblPrEx>
          <w:tblCellMar>
            <w:top w:w="0" w:type="dxa"/>
            <w:left w:w="108" w:type="dxa"/>
            <w:bottom w:w="0" w:type="dxa"/>
            <w:right w:w="108" w:type="dxa"/>
          </w:tblCellMar>
        </w:tblPrEx>
        <w:trPr>
          <w:trHeight w:val="54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17FA9D2">
            <w:pPr>
              <w:spacing w:line="468" w:lineRule="exact"/>
              <w:ind w:left="500"/>
              <w:rPr>
                <w:rFonts w:hint="eastAsia" w:ascii="宋体" w:hAnsi="宋体" w:eastAsia="宋体" w:cs="宋体"/>
                <w:highlight w:val="none"/>
              </w:rPr>
            </w:pPr>
            <w:r>
              <w:rPr>
                <w:rFonts w:hint="eastAsia" w:ascii="宋体" w:hAnsi="宋体" w:eastAsia="宋体" w:cs="宋体"/>
                <w:spacing w:val="-1"/>
                <w:sz w:val="20"/>
                <w:highlight w:val="none"/>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80A674E">
            <w:pPr>
              <w:spacing w:line="419" w:lineRule="exact"/>
              <w:ind w:left="282"/>
              <w:rPr>
                <w:rFonts w:hint="eastAsia" w:ascii="宋体" w:hAnsi="宋体" w:eastAsia="宋体" w:cs="宋体"/>
                <w:highlight w:val="none"/>
              </w:rPr>
            </w:pPr>
            <w:r>
              <w:rPr>
                <w:rFonts w:hint="eastAsia" w:ascii="宋体" w:hAnsi="宋体" w:eastAsia="宋体" w:cs="宋体"/>
                <w:spacing w:val="-1"/>
                <w:sz w:val="20"/>
                <w:highlight w:val="none"/>
              </w:rPr>
              <w:t>河床铺砌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A441172">
            <w:pPr>
              <w:spacing w:line="419" w:lineRule="exact"/>
              <w:rPr>
                <w:rFonts w:hint="eastAsia" w:ascii="宋体" w:hAnsi="宋体" w:eastAsia="宋体" w:cs="宋体"/>
                <w:highlight w:val="none"/>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6087C43">
            <w:pPr>
              <w:spacing w:line="419"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749F92E">
            <w:pPr>
              <w:spacing w:line="419" w:lineRule="exact"/>
              <w:rPr>
                <w:rFonts w:hint="eastAsia" w:ascii="宋体" w:hAnsi="宋体" w:eastAsia="宋体" w:cs="宋体"/>
                <w:highlight w:val="none"/>
              </w:rPr>
            </w:pPr>
          </w:p>
        </w:tc>
      </w:tr>
      <w:tr w14:paraId="683C136E">
        <w:tblPrEx>
          <w:tblCellMar>
            <w:top w:w="0" w:type="dxa"/>
            <w:left w:w="108" w:type="dxa"/>
            <w:bottom w:w="0" w:type="dxa"/>
            <w:right w:w="108" w:type="dxa"/>
          </w:tblCellMar>
        </w:tblPrEx>
        <w:trPr>
          <w:trHeight w:val="164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9375C38">
            <w:pPr>
              <w:spacing w:line="1018" w:lineRule="exact"/>
              <w:ind w:left="411"/>
              <w:rPr>
                <w:rFonts w:hint="eastAsia" w:ascii="宋体" w:hAnsi="宋体" w:eastAsia="宋体" w:cs="宋体"/>
                <w:highlight w:val="none"/>
              </w:rPr>
            </w:pPr>
            <w:r>
              <w:rPr>
                <w:rFonts w:hint="eastAsia" w:ascii="宋体" w:hAnsi="宋体" w:eastAsia="宋体" w:cs="宋体"/>
                <w:spacing w:val="-1"/>
                <w:sz w:val="20"/>
                <w:highlight w:val="none"/>
              </w:rPr>
              <w:t>-a-1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2298EB6">
            <w:pPr>
              <w:spacing w:line="969" w:lineRule="exact"/>
              <w:ind w:left="282"/>
              <w:rPr>
                <w:rFonts w:hint="eastAsia" w:ascii="宋体" w:hAnsi="宋体" w:eastAsia="宋体" w:cs="宋体"/>
                <w:highlight w:val="none"/>
              </w:rPr>
            </w:pPr>
            <w:r>
              <w:rPr>
                <w:rFonts w:hint="eastAsia" w:ascii="宋体" w:hAnsi="宋体" w:eastAsia="宋体" w:cs="宋体"/>
                <w:spacing w:val="-1"/>
                <w:sz w:val="20"/>
                <w:highlight w:val="none"/>
              </w:rPr>
              <w:t>浆砌片石铺砌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63A1B10">
            <w:pPr>
              <w:spacing w:line="929"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81E7463">
            <w:pPr>
              <w:spacing w:line="515"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依据图纸所示位置和</w:t>
            </w:r>
          </w:p>
          <w:p w14:paraId="3DA90681">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断面尺寸，按图示不同强</w:t>
            </w:r>
          </w:p>
          <w:p w14:paraId="4FB1194B">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度等级水泥砂浆铺砌体</w:t>
            </w:r>
          </w:p>
          <w:p w14:paraId="48945ADD">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积以立方米为单位计量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C8D2F8D">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临时排水；</w:t>
            </w:r>
          </w:p>
          <w:p w14:paraId="4ABE538D">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基坑开挖；</w:t>
            </w:r>
          </w:p>
          <w:p w14:paraId="07F2804F">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拌、运砂浆；</w:t>
            </w:r>
          </w:p>
          <w:p w14:paraId="36503634">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砌筑；</w:t>
            </w:r>
          </w:p>
          <w:p w14:paraId="131DC0CF">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养护；</w:t>
            </w:r>
          </w:p>
          <w:p w14:paraId="3EA3D74E">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清理现场</w:t>
            </w:r>
          </w:p>
        </w:tc>
      </w:tr>
      <w:tr w14:paraId="685BA6D3">
        <w:tblPrEx>
          <w:tblCellMar>
            <w:top w:w="0" w:type="dxa"/>
            <w:left w:w="108" w:type="dxa"/>
            <w:bottom w:w="0" w:type="dxa"/>
            <w:right w:w="108" w:type="dxa"/>
          </w:tblCellMar>
        </w:tblPrEx>
        <w:trPr>
          <w:trHeight w:val="191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6645C11">
            <w:pPr>
              <w:spacing w:line="1155" w:lineRule="exact"/>
              <w:ind w:left="411"/>
              <w:rPr>
                <w:rFonts w:hint="eastAsia" w:ascii="宋体" w:hAnsi="宋体" w:eastAsia="宋体" w:cs="宋体"/>
                <w:highlight w:val="none"/>
              </w:rPr>
            </w:pPr>
            <w:r>
              <w:rPr>
                <w:rFonts w:hint="eastAsia" w:ascii="宋体" w:hAnsi="宋体" w:eastAsia="宋体" w:cs="宋体"/>
                <w:spacing w:val="-1"/>
                <w:sz w:val="20"/>
                <w:highlight w:val="none"/>
              </w:rPr>
              <w:t>-a-2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D23CDED">
            <w:pPr>
              <w:spacing w:line="1106" w:lineRule="exact"/>
              <w:ind w:left="282"/>
              <w:rPr>
                <w:rFonts w:hint="eastAsia" w:ascii="宋体" w:hAnsi="宋体" w:eastAsia="宋体" w:cs="宋体"/>
                <w:highlight w:val="none"/>
              </w:rPr>
            </w:pPr>
            <w:r>
              <w:rPr>
                <w:rFonts w:hint="eastAsia" w:ascii="宋体" w:hAnsi="宋体" w:eastAsia="宋体" w:cs="宋体"/>
                <w:spacing w:val="-1"/>
                <w:sz w:val="20"/>
                <w:highlight w:val="none"/>
              </w:rPr>
              <w:t>混凝土铺砌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144E79E">
            <w:pPr>
              <w:spacing w:line="1063"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280C04F">
            <w:pPr>
              <w:spacing w:line="652"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依据图纸所示位置及</w:t>
            </w:r>
          </w:p>
          <w:p w14:paraId="4F9F2164">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断面尺寸，按照不同强度</w:t>
            </w:r>
          </w:p>
          <w:p w14:paraId="010FAD40">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等级混凝土铺筑体积以</w:t>
            </w:r>
          </w:p>
          <w:p w14:paraId="14F77F1E">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DDFDE52">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临时排水；</w:t>
            </w:r>
          </w:p>
          <w:p w14:paraId="502B8E93">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基坑开挖；</w:t>
            </w:r>
          </w:p>
          <w:p w14:paraId="442C00F2">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模板制作、安装、拆</w:t>
            </w:r>
          </w:p>
          <w:p w14:paraId="6AB856D7">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除；</w:t>
            </w:r>
          </w:p>
          <w:p w14:paraId="491B5026">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混凝土拌和、运输、</w:t>
            </w:r>
          </w:p>
          <w:p w14:paraId="4943E66C">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浇筑、养护；</w:t>
            </w:r>
          </w:p>
          <w:p w14:paraId="0B3362BF">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清理现场</w:t>
            </w:r>
          </w:p>
        </w:tc>
      </w:tr>
      <w:tr w14:paraId="51BA71E1">
        <w:tblPrEx>
          <w:tblCellMar>
            <w:top w:w="0" w:type="dxa"/>
            <w:left w:w="108" w:type="dxa"/>
            <w:bottom w:w="0" w:type="dxa"/>
            <w:right w:w="108" w:type="dxa"/>
          </w:tblCellMar>
        </w:tblPrEx>
        <w:trPr>
          <w:trHeight w:val="1090"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EF0E974">
            <w:pPr>
              <w:spacing w:line="744" w:lineRule="exact"/>
              <w:ind w:left="493"/>
              <w:rPr>
                <w:rFonts w:hint="eastAsia" w:ascii="宋体" w:hAnsi="宋体" w:eastAsia="宋体" w:cs="宋体"/>
                <w:highlight w:val="none"/>
              </w:rPr>
            </w:pPr>
            <w:r>
              <w:rPr>
                <w:rFonts w:hint="eastAsia" w:ascii="宋体" w:hAnsi="宋体" w:eastAsia="宋体" w:cs="宋体"/>
                <w:spacing w:val="-1"/>
                <w:sz w:val="20"/>
                <w:highlight w:val="none"/>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41E25DD">
            <w:pPr>
              <w:spacing w:line="332" w:lineRule="exact"/>
              <w:ind w:left="282"/>
              <w:rPr>
                <w:rFonts w:hint="eastAsia" w:ascii="宋体" w:hAnsi="宋体" w:eastAsia="宋体" w:cs="宋体"/>
                <w:highlight w:val="none"/>
              </w:rPr>
            </w:pPr>
            <w:r>
              <w:rPr>
                <w:rFonts w:hint="eastAsia" w:ascii="宋体" w:hAnsi="宋体" w:eastAsia="宋体" w:cs="宋体"/>
                <w:spacing w:val="-1"/>
                <w:sz w:val="20"/>
                <w:highlight w:val="none"/>
              </w:rPr>
              <w:t>导流设施（护岸</w:t>
            </w:r>
          </w:p>
          <w:p w14:paraId="0948BE9C">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墙、顺坝、丁坝、</w:t>
            </w:r>
          </w:p>
          <w:p w14:paraId="0364C24B">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调水坝、锥坡）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B6EA137">
            <w:pPr>
              <w:spacing w:line="360" w:lineRule="exact"/>
              <w:rPr>
                <w:rFonts w:hint="eastAsia" w:ascii="宋体" w:hAnsi="宋体" w:eastAsia="宋体" w:cs="宋体"/>
                <w:highlight w:val="none"/>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E2898A6">
            <w:pPr>
              <w:spacing w:line="360"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14A1A24">
            <w:pPr>
              <w:spacing w:line="360" w:lineRule="exact"/>
              <w:rPr>
                <w:rFonts w:hint="eastAsia" w:ascii="宋体" w:hAnsi="宋体" w:eastAsia="宋体" w:cs="宋体"/>
                <w:highlight w:val="none"/>
              </w:rPr>
            </w:pPr>
          </w:p>
        </w:tc>
      </w:tr>
      <w:tr w14:paraId="61D099B3">
        <w:tblPrEx>
          <w:tblCellMar>
            <w:top w:w="0" w:type="dxa"/>
            <w:left w:w="108" w:type="dxa"/>
            <w:bottom w:w="0" w:type="dxa"/>
            <w:right w:w="108" w:type="dxa"/>
          </w:tblCellMar>
        </w:tblPrEx>
        <w:trPr>
          <w:trHeight w:val="218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273DE0A">
            <w:pPr>
              <w:spacing w:line="1293" w:lineRule="exact"/>
              <w:ind w:left="406"/>
              <w:rPr>
                <w:rFonts w:hint="eastAsia" w:ascii="宋体" w:hAnsi="宋体" w:eastAsia="宋体" w:cs="宋体"/>
                <w:highlight w:val="none"/>
              </w:rPr>
            </w:pPr>
            <w:r>
              <w:rPr>
                <w:rFonts w:hint="eastAsia" w:ascii="宋体" w:hAnsi="宋体" w:eastAsia="宋体" w:cs="宋体"/>
                <w:spacing w:val="-1"/>
                <w:sz w:val="20"/>
                <w:highlight w:val="none"/>
              </w:rPr>
              <w:t>-b-1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D0A271A">
            <w:pPr>
              <w:spacing w:line="1241" w:lineRule="exact"/>
              <w:ind w:left="282"/>
              <w:rPr>
                <w:rFonts w:hint="eastAsia" w:ascii="宋体" w:hAnsi="宋体" w:eastAsia="宋体" w:cs="宋体"/>
                <w:highlight w:val="none"/>
              </w:rPr>
            </w:pPr>
            <w:r>
              <w:rPr>
                <w:rFonts w:hint="eastAsia" w:ascii="宋体" w:hAnsi="宋体" w:eastAsia="宋体" w:cs="宋体"/>
                <w:spacing w:val="-1"/>
                <w:sz w:val="20"/>
                <w:highlight w:val="none"/>
              </w:rPr>
              <w:t>浆砌片石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734A75D">
            <w:pPr>
              <w:spacing w:line="1201"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D05867C">
            <w:pPr>
              <w:spacing w:line="790" w:lineRule="exact"/>
              <w:ind w:left="282"/>
              <w:rPr>
                <w:rFonts w:hint="eastAsia" w:ascii="宋体" w:hAnsi="宋体" w:eastAsia="宋体" w:cs="宋体"/>
                <w:highlight w:val="none"/>
              </w:rPr>
            </w:pPr>
            <w:r>
              <w:rPr>
                <w:rFonts w:hint="eastAsia" w:ascii="宋体" w:hAnsi="宋体" w:eastAsia="宋体" w:cs="宋体"/>
                <w:spacing w:val="-1"/>
                <w:sz w:val="20"/>
                <w:highlight w:val="none"/>
              </w:rPr>
              <w:t>图纸所示位置和断面</w:t>
            </w:r>
          </w:p>
          <w:p w14:paraId="140A2D07">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尺寸，按图示不同强度等</w:t>
            </w:r>
          </w:p>
          <w:p w14:paraId="40992B7C">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级水泥砂浆砌石体积以</w:t>
            </w:r>
          </w:p>
          <w:p w14:paraId="463AF541">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07830F6">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围堰、临时排水工程</w:t>
            </w:r>
          </w:p>
          <w:p w14:paraId="3D8FD4BC">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施工；</w:t>
            </w:r>
          </w:p>
          <w:p w14:paraId="48B41BC0">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基坑修整、清理夯实，</w:t>
            </w:r>
          </w:p>
          <w:p w14:paraId="1F394DEC">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废方弃运；</w:t>
            </w:r>
          </w:p>
          <w:p w14:paraId="7AF4D2C7">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拌、运砂浆；</w:t>
            </w:r>
          </w:p>
          <w:p w14:paraId="12D96B9C">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砌筑、勾缝、抹面、</w:t>
            </w:r>
          </w:p>
          <w:p w14:paraId="4963FBE1">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养护；</w:t>
            </w:r>
          </w:p>
          <w:p w14:paraId="0677527B">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墙背回填、夯实</w:t>
            </w:r>
          </w:p>
        </w:tc>
      </w:tr>
      <w:tr w14:paraId="61D52D31">
        <w:tblPrEx>
          <w:tblCellMar>
            <w:top w:w="0" w:type="dxa"/>
            <w:left w:w="108" w:type="dxa"/>
            <w:bottom w:w="0" w:type="dxa"/>
            <w:right w:w="108" w:type="dxa"/>
          </w:tblCellMar>
        </w:tblPrEx>
        <w:trPr>
          <w:trHeight w:val="245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9204E2D">
            <w:pPr>
              <w:spacing w:line="1427" w:lineRule="exact"/>
              <w:ind w:left="406"/>
              <w:rPr>
                <w:rFonts w:hint="eastAsia" w:ascii="宋体" w:hAnsi="宋体" w:eastAsia="宋体" w:cs="宋体"/>
                <w:highlight w:val="none"/>
              </w:rPr>
            </w:pPr>
            <w:r>
              <w:rPr>
                <w:rFonts w:hint="eastAsia" w:ascii="宋体" w:hAnsi="宋体" w:eastAsia="宋体" w:cs="宋体"/>
                <w:spacing w:val="-1"/>
                <w:sz w:val="20"/>
                <w:highlight w:val="none"/>
              </w:rPr>
              <w:t>-b-2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8924BCB">
            <w:pPr>
              <w:spacing w:line="1378" w:lineRule="exact"/>
              <w:ind w:left="282"/>
              <w:rPr>
                <w:rFonts w:hint="eastAsia" w:ascii="宋体" w:hAnsi="宋体" w:eastAsia="宋体" w:cs="宋体"/>
                <w:highlight w:val="none"/>
              </w:rPr>
            </w:pPr>
            <w:r>
              <w:rPr>
                <w:rFonts w:hint="eastAsia" w:ascii="宋体" w:hAnsi="宋体" w:eastAsia="宋体" w:cs="宋体"/>
                <w:spacing w:val="-1"/>
                <w:sz w:val="20"/>
                <w:highlight w:val="none"/>
              </w:rPr>
              <w:t>混凝土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9007D95">
            <w:pPr>
              <w:spacing w:line="1338"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C6C4B04">
            <w:pPr>
              <w:spacing w:line="924"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依据图纸所示位置及</w:t>
            </w:r>
          </w:p>
          <w:p w14:paraId="4FC9252B">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断面尺寸，按照不同强度</w:t>
            </w:r>
          </w:p>
          <w:p w14:paraId="4F294F1B">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等级混凝土浇筑体积以</w:t>
            </w:r>
          </w:p>
          <w:p w14:paraId="1107AB30">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0F7962B">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围堰、临时排水工程</w:t>
            </w:r>
          </w:p>
          <w:p w14:paraId="65BD3D64">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施工；</w:t>
            </w:r>
          </w:p>
          <w:p w14:paraId="29C4AAF5">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基坑修整、清理夯实，</w:t>
            </w:r>
          </w:p>
          <w:p w14:paraId="69E490AA">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废方弃运；</w:t>
            </w:r>
          </w:p>
          <w:p w14:paraId="6268485C">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模板制作、安装、拆</w:t>
            </w:r>
          </w:p>
          <w:p w14:paraId="24BB0F02">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除、修理及保养；</w:t>
            </w:r>
          </w:p>
          <w:p w14:paraId="43A8A660">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混凝土制作、运输、</w:t>
            </w:r>
          </w:p>
          <w:p w14:paraId="7A66B2CF">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浇筑、振捣、养护；</w:t>
            </w:r>
          </w:p>
          <w:p w14:paraId="3C81CA7C">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墙背回填、夯实</w:t>
            </w:r>
          </w:p>
        </w:tc>
      </w:tr>
    </w:tbl>
    <w:p w14:paraId="14CF5FFD">
      <w:pPr>
        <w:spacing w:line="249" w:lineRule="exact"/>
        <w:rPr>
          <w:rFonts w:hint="eastAsia" w:ascii="宋体" w:hAnsi="宋体" w:eastAsia="宋体" w:cs="宋体"/>
          <w:sz w:val="21"/>
          <w:highlight w:val="none"/>
        </w:rPr>
        <w:sectPr>
          <w:pgSz w:w="11910" w:h="16840"/>
          <w:pgMar w:top="1440" w:right="1080" w:bottom="1040" w:left="1420" w:header="882" w:footer="847" w:gutter="0"/>
          <w:cols w:space="720" w:num="1"/>
        </w:sectPr>
      </w:pPr>
    </w:p>
    <w:p w14:paraId="33EB29E6">
      <w:pPr>
        <w:pStyle w:val="10"/>
        <w:spacing w:before="10"/>
        <w:rPr>
          <w:rFonts w:hint="eastAsia" w:ascii="宋体" w:hAnsi="宋体" w:eastAsia="宋体" w:cs="宋体"/>
          <w:sz w:val="11"/>
          <w:highlight w:val="none"/>
        </w:rPr>
      </w:pPr>
    </w:p>
    <w:tbl>
      <w:tblPr>
        <w:tblStyle w:val="24"/>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14:paraId="3E02B7E7">
        <w:tblPrEx>
          <w:tblCellMar>
            <w:top w:w="0" w:type="dxa"/>
            <w:left w:w="108" w:type="dxa"/>
            <w:bottom w:w="0" w:type="dxa"/>
            <w:right w:w="108" w:type="dxa"/>
          </w:tblCellMar>
        </w:tblPrEx>
        <w:trPr>
          <w:trHeight w:val="46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C605316">
            <w:pPr>
              <w:spacing w:line="433" w:lineRule="exact"/>
              <w:ind w:left="337"/>
              <w:rPr>
                <w:rFonts w:hint="eastAsia" w:ascii="宋体" w:hAnsi="宋体" w:eastAsia="宋体" w:cs="宋体"/>
                <w:highlight w:val="none"/>
              </w:rPr>
            </w:pPr>
            <w:r>
              <w:rPr>
                <w:rFonts w:hint="eastAsia" w:ascii="宋体" w:hAnsi="宋体" w:eastAsia="宋体" w:cs="宋体"/>
                <w:spacing w:val="-1"/>
                <w:sz w:val="20"/>
                <w:highlight w:val="none"/>
              </w:rPr>
              <w:t>605-1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B6B1A20">
            <w:pPr>
              <w:spacing w:line="381" w:lineRule="exact"/>
              <w:ind w:left="282"/>
              <w:rPr>
                <w:rFonts w:hint="eastAsia" w:ascii="宋体" w:hAnsi="宋体" w:eastAsia="宋体" w:cs="宋体"/>
                <w:highlight w:val="none"/>
              </w:rPr>
            </w:pPr>
            <w:r>
              <w:rPr>
                <w:rFonts w:hint="eastAsia" w:ascii="宋体" w:hAnsi="宋体" w:eastAsia="宋体" w:cs="宋体"/>
                <w:spacing w:val="-1"/>
                <w:sz w:val="20"/>
                <w:highlight w:val="none"/>
              </w:rPr>
              <w:t>防风固沙设施</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F612DEA">
            <w:pPr>
              <w:spacing w:line="381" w:lineRule="exact"/>
              <w:rPr>
                <w:rFonts w:hint="eastAsia" w:ascii="宋体" w:hAnsi="宋体" w:eastAsia="宋体" w:cs="宋体"/>
                <w:highlight w:val="none"/>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44B6DCA">
            <w:pPr>
              <w:spacing w:line="381"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62EE9FB">
            <w:pPr>
              <w:spacing w:line="381" w:lineRule="exact"/>
              <w:rPr>
                <w:rFonts w:hint="eastAsia" w:ascii="宋体" w:hAnsi="宋体" w:eastAsia="宋体" w:cs="宋体"/>
                <w:highlight w:val="none"/>
              </w:rPr>
            </w:pPr>
          </w:p>
        </w:tc>
      </w:tr>
      <w:tr w14:paraId="396ECCDA">
        <w:tblPrEx>
          <w:tblCellMar>
            <w:top w:w="0" w:type="dxa"/>
            <w:left w:w="108" w:type="dxa"/>
            <w:bottom w:w="0" w:type="dxa"/>
            <w:right w:w="108" w:type="dxa"/>
          </w:tblCellMar>
        </w:tblPrEx>
        <w:trPr>
          <w:trHeight w:val="164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D5FEEA6">
            <w:pPr>
              <w:spacing w:line="1020" w:lineRule="exact"/>
              <w:ind w:left="500"/>
              <w:rPr>
                <w:rFonts w:hint="eastAsia" w:ascii="宋体" w:hAnsi="宋体" w:eastAsia="宋体" w:cs="宋体"/>
                <w:highlight w:val="none"/>
              </w:rPr>
            </w:pPr>
            <w:r>
              <w:rPr>
                <w:rFonts w:hint="eastAsia" w:ascii="宋体" w:hAnsi="宋体" w:eastAsia="宋体" w:cs="宋体"/>
                <w:spacing w:val="-1"/>
                <w:sz w:val="20"/>
                <w:highlight w:val="none"/>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816626E">
            <w:pPr>
              <w:spacing w:line="971" w:lineRule="exact"/>
              <w:ind w:left="282"/>
              <w:rPr>
                <w:rFonts w:hint="eastAsia" w:ascii="宋体" w:hAnsi="宋体" w:eastAsia="宋体" w:cs="宋体"/>
                <w:highlight w:val="none"/>
              </w:rPr>
            </w:pPr>
            <w:r>
              <w:rPr>
                <w:rFonts w:hint="eastAsia" w:ascii="宋体" w:hAnsi="宋体" w:eastAsia="宋体" w:cs="宋体"/>
                <w:spacing w:val="-1"/>
                <w:sz w:val="20"/>
                <w:highlight w:val="none"/>
              </w:rPr>
              <w:t>芦苇栅栏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3EDAF46">
            <w:pPr>
              <w:spacing w:line="1020" w:lineRule="exact"/>
              <w:ind w:left="457"/>
              <w:rPr>
                <w:rFonts w:hint="eastAsia" w:ascii="宋体" w:hAnsi="宋体" w:eastAsia="宋体" w:cs="宋体"/>
                <w:highlight w:val="none"/>
              </w:rPr>
            </w:pPr>
            <w:r>
              <w:rPr>
                <w:rFonts w:hint="eastAsia" w:ascii="宋体" w:hAnsi="宋体" w:eastAsia="宋体" w:cs="宋体"/>
                <w:sz w:val="20"/>
                <w:highlight w:val="none"/>
              </w:rPr>
              <w:t>m</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D2650C9">
            <w:pPr>
              <w:spacing w:line="517"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依据图纸所示位置及</w:t>
            </w:r>
          </w:p>
          <w:p w14:paraId="1F9167EB">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尺寸，设置芦苇栅栏，按</w:t>
            </w:r>
          </w:p>
          <w:p w14:paraId="1153EDA1">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单排长度以米为单位计</w:t>
            </w:r>
          </w:p>
          <w:p w14:paraId="4F489021">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5B67489">
            <w:pPr>
              <w:spacing w:line="28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放样、挖沟槽、准备</w:t>
            </w:r>
          </w:p>
          <w:p w14:paraId="41B4C8B2">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芦苇；</w:t>
            </w:r>
          </w:p>
          <w:p w14:paraId="387504E3">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设置木桩；</w:t>
            </w:r>
          </w:p>
          <w:p w14:paraId="0611A3EA">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埋设芦苇；</w:t>
            </w:r>
          </w:p>
          <w:p w14:paraId="493B8FF8">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夯实、整平、固定；</w:t>
            </w:r>
          </w:p>
          <w:p w14:paraId="766DE64B">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清理现场</w:t>
            </w:r>
          </w:p>
        </w:tc>
      </w:tr>
      <w:tr w14:paraId="581E9415">
        <w:tblPrEx>
          <w:tblCellMar>
            <w:top w:w="0" w:type="dxa"/>
            <w:left w:w="108" w:type="dxa"/>
            <w:bottom w:w="0" w:type="dxa"/>
            <w:right w:w="108" w:type="dxa"/>
          </w:tblCellMar>
        </w:tblPrEx>
        <w:trPr>
          <w:trHeight w:val="137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DF15455">
            <w:pPr>
              <w:spacing w:line="883" w:lineRule="exact"/>
              <w:ind w:left="493"/>
              <w:rPr>
                <w:rFonts w:hint="eastAsia" w:ascii="宋体" w:hAnsi="宋体" w:eastAsia="宋体" w:cs="宋体"/>
                <w:highlight w:val="none"/>
              </w:rPr>
            </w:pPr>
            <w:r>
              <w:rPr>
                <w:rFonts w:hint="eastAsia" w:ascii="宋体" w:hAnsi="宋体" w:eastAsia="宋体" w:cs="宋体"/>
                <w:spacing w:val="-1"/>
                <w:sz w:val="20"/>
                <w:highlight w:val="none"/>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F13BA0E">
            <w:pPr>
              <w:spacing w:line="834" w:lineRule="exact"/>
              <w:ind w:left="282"/>
              <w:rPr>
                <w:rFonts w:hint="eastAsia" w:ascii="宋体" w:hAnsi="宋体" w:eastAsia="宋体" w:cs="宋体"/>
                <w:highlight w:val="none"/>
              </w:rPr>
            </w:pPr>
            <w:r>
              <w:rPr>
                <w:rFonts w:hint="eastAsia" w:ascii="宋体" w:hAnsi="宋体" w:eastAsia="宋体" w:cs="宋体"/>
                <w:spacing w:val="-1"/>
                <w:sz w:val="20"/>
                <w:highlight w:val="none"/>
              </w:rPr>
              <w:t>芦苇草方格</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57702FF">
            <w:pPr>
              <w:spacing w:line="792"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E91E97C">
            <w:pPr>
              <w:spacing w:line="517" w:lineRule="exact"/>
              <w:ind w:left="282"/>
              <w:rPr>
                <w:rFonts w:hint="eastAsia" w:ascii="宋体" w:hAnsi="宋体" w:eastAsia="宋体" w:cs="宋体"/>
                <w:highlight w:val="none"/>
              </w:rPr>
            </w:pPr>
            <w:r>
              <w:rPr>
                <w:rFonts w:hint="eastAsia" w:ascii="宋体" w:hAnsi="宋体" w:eastAsia="宋体" w:cs="宋体"/>
                <w:spacing w:val="-1"/>
                <w:sz w:val="20"/>
                <w:highlight w:val="none"/>
              </w:rPr>
              <w:t>依据图纸所示位置及</w:t>
            </w:r>
          </w:p>
          <w:p w14:paraId="75F185E5">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尺寸，设置芦苇草方格，</w:t>
            </w:r>
          </w:p>
          <w:p w14:paraId="30CD5182">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以平方米为单位计量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E6AB154">
            <w:pPr>
              <w:spacing w:line="28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放样、挖沟槽、准备</w:t>
            </w:r>
          </w:p>
          <w:p w14:paraId="1C4B47D0">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芦苇；</w:t>
            </w:r>
          </w:p>
          <w:p w14:paraId="0F7C9B5B">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埋设芦苇；</w:t>
            </w:r>
          </w:p>
          <w:p w14:paraId="4A0E3852">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整形、封砂、夯实；</w:t>
            </w:r>
          </w:p>
          <w:p w14:paraId="5322375E">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清理现场</w:t>
            </w:r>
          </w:p>
        </w:tc>
      </w:tr>
      <w:tr w14:paraId="4287B95E">
        <w:tblPrEx>
          <w:tblCellMar>
            <w:top w:w="0" w:type="dxa"/>
            <w:left w:w="108" w:type="dxa"/>
            <w:bottom w:w="0" w:type="dxa"/>
            <w:right w:w="108" w:type="dxa"/>
          </w:tblCellMar>
        </w:tblPrEx>
        <w:trPr>
          <w:trHeight w:val="109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8D3B402">
            <w:pPr>
              <w:spacing w:line="747" w:lineRule="exact"/>
              <w:ind w:left="500"/>
              <w:rPr>
                <w:rFonts w:hint="eastAsia" w:ascii="宋体" w:hAnsi="宋体" w:eastAsia="宋体" w:cs="宋体"/>
                <w:highlight w:val="none"/>
              </w:rPr>
            </w:pPr>
            <w:r>
              <w:rPr>
                <w:rFonts w:hint="eastAsia" w:ascii="宋体" w:hAnsi="宋体" w:eastAsia="宋体" w:cs="宋体"/>
                <w:spacing w:val="-1"/>
                <w:sz w:val="20"/>
                <w:highlight w:val="none"/>
              </w:rPr>
              <w:t>-c</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0EABAEA">
            <w:pPr>
              <w:spacing w:line="696" w:lineRule="exact"/>
              <w:ind w:left="282"/>
              <w:rPr>
                <w:rFonts w:hint="eastAsia" w:ascii="宋体" w:hAnsi="宋体" w:eastAsia="宋体" w:cs="宋体"/>
                <w:highlight w:val="none"/>
              </w:rPr>
            </w:pPr>
            <w:r>
              <w:rPr>
                <w:rFonts w:hint="eastAsia" w:ascii="宋体" w:hAnsi="宋体" w:eastAsia="宋体" w:cs="宋体"/>
                <w:spacing w:val="-1"/>
                <w:sz w:val="20"/>
                <w:highlight w:val="none"/>
              </w:rPr>
              <w:t>边坡覆盖</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293E0B5">
            <w:pPr>
              <w:spacing w:line="656" w:lineRule="exact"/>
              <w:ind w:left="423"/>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04B5CCB">
            <w:pPr>
              <w:spacing w:line="244" w:lineRule="exact"/>
              <w:ind w:left="282"/>
              <w:rPr>
                <w:rFonts w:hint="eastAsia" w:ascii="宋体" w:hAnsi="宋体" w:eastAsia="宋体" w:cs="宋体"/>
                <w:highlight w:val="none"/>
              </w:rPr>
            </w:pPr>
            <w:r>
              <w:rPr>
                <w:rFonts w:hint="eastAsia" w:ascii="宋体" w:hAnsi="宋体" w:eastAsia="宋体" w:cs="宋体"/>
                <w:spacing w:val="-1"/>
                <w:sz w:val="20"/>
                <w:highlight w:val="none"/>
              </w:rPr>
              <w:t>根据图纸所示位置及</w:t>
            </w:r>
          </w:p>
          <w:p w14:paraId="1F9E0667">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断面尺寸，按照边坡覆盖</w:t>
            </w:r>
          </w:p>
          <w:p w14:paraId="228B56DD">
            <w:pPr>
              <w:spacing w:line="274" w:lineRule="exact"/>
              <w:ind w:left="109"/>
              <w:rPr>
                <w:rFonts w:hint="eastAsia" w:ascii="宋体" w:hAnsi="宋体" w:eastAsia="宋体" w:cs="宋体"/>
                <w:highlight w:val="none"/>
              </w:rPr>
            </w:pPr>
            <w:r>
              <w:rPr>
                <w:rFonts w:hint="eastAsia" w:ascii="宋体" w:hAnsi="宋体" w:eastAsia="宋体" w:cs="宋体"/>
                <w:spacing w:val="-1"/>
                <w:sz w:val="20"/>
                <w:highlight w:val="none"/>
              </w:rPr>
              <w:t>的面积，以平方米为单位</w:t>
            </w:r>
          </w:p>
          <w:p w14:paraId="498DDB0C">
            <w:pPr>
              <w:spacing w:line="271" w:lineRule="exact"/>
              <w:ind w:left="109"/>
              <w:rPr>
                <w:rFonts w:hint="eastAsia" w:ascii="宋体" w:hAnsi="宋体" w:eastAsia="宋体" w:cs="宋体"/>
                <w:highlight w:val="none"/>
              </w:rPr>
            </w:pPr>
            <w:r>
              <w:rPr>
                <w:rFonts w:hint="eastAsia" w:ascii="宋体" w:hAnsi="宋体" w:eastAsia="宋体" w:cs="宋体"/>
                <w:spacing w:val="-1"/>
                <w:sz w:val="20"/>
                <w:highlight w:val="none"/>
              </w:rPr>
              <w:t>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1A8ABA4">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修整路基表层；</w:t>
            </w:r>
          </w:p>
          <w:p w14:paraId="2C0CD8D1">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覆盖砂砾、片石等并</w:t>
            </w:r>
          </w:p>
          <w:p w14:paraId="0F828A03">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进行整形；</w:t>
            </w:r>
          </w:p>
          <w:p w14:paraId="449C83E4">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清理现场</w:t>
            </w:r>
          </w:p>
        </w:tc>
      </w:tr>
    </w:tbl>
    <w:p w14:paraId="3239F102">
      <w:pPr>
        <w:spacing w:line="249" w:lineRule="exact"/>
        <w:rPr>
          <w:rFonts w:hint="eastAsia" w:ascii="宋体" w:hAnsi="宋体" w:eastAsia="宋体" w:cs="宋体"/>
          <w:sz w:val="21"/>
          <w:highlight w:val="none"/>
        </w:rPr>
        <w:sectPr>
          <w:pgSz w:w="11910" w:h="16840"/>
          <w:pgMar w:top="1440" w:right="1080" w:bottom="1040" w:left="1420" w:header="882" w:footer="847" w:gutter="0"/>
          <w:cols w:space="720" w:num="1"/>
        </w:sectPr>
      </w:pPr>
    </w:p>
    <w:p w14:paraId="5A8CDE2F">
      <w:pPr>
        <w:spacing w:before="139"/>
        <w:ind w:left="86" w:right="196"/>
        <w:jc w:val="center"/>
        <w:rPr>
          <w:rFonts w:hint="eastAsia" w:ascii="宋体" w:hAnsi="宋体" w:eastAsia="宋体" w:cs="宋体"/>
          <w:sz w:val="28"/>
          <w:highlight w:val="none"/>
        </w:rPr>
      </w:pPr>
      <w:r>
        <w:rPr>
          <w:rFonts w:hint="eastAsia" w:ascii="宋体" w:hAnsi="宋体" w:eastAsia="宋体" w:cs="宋体"/>
          <w:sz w:val="28"/>
          <w:highlight w:val="none"/>
        </w:rPr>
        <w:t>第 700 章 安全设施</w:t>
      </w:r>
    </w:p>
    <w:p w14:paraId="451B4D73">
      <w:pPr>
        <w:pStyle w:val="10"/>
        <w:spacing w:before="1"/>
        <w:rPr>
          <w:rFonts w:hint="eastAsia" w:ascii="宋体" w:hAnsi="宋体" w:eastAsia="宋体" w:cs="宋体"/>
          <w:sz w:val="18"/>
          <w:highlight w:val="none"/>
        </w:rPr>
      </w:pPr>
    </w:p>
    <w:tbl>
      <w:tblPr>
        <w:tblStyle w:val="24"/>
        <w:tblW w:w="9087" w:type="dxa"/>
        <w:tblInd w:w="0" w:type="dxa"/>
        <w:tblLayout w:type="fixed"/>
        <w:tblCellMar>
          <w:top w:w="0" w:type="dxa"/>
          <w:left w:w="108" w:type="dxa"/>
          <w:bottom w:w="0" w:type="dxa"/>
          <w:right w:w="108" w:type="dxa"/>
        </w:tblCellMar>
      </w:tblPr>
      <w:tblGrid>
        <w:gridCol w:w="1120"/>
        <w:gridCol w:w="1775"/>
        <w:gridCol w:w="1080"/>
        <w:gridCol w:w="2520"/>
        <w:gridCol w:w="2592"/>
      </w:tblGrid>
      <w:tr w14:paraId="76FBDEA9">
        <w:tblPrEx>
          <w:tblCellMar>
            <w:top w:w="0" w:type="dxa"/>
            <w:left w:w="108" w:type="dxa"/>
            <w:bottom w:w="0" w:type="dxa"/>
            <w:right w:w="108" w:type="dxa"/>
          </w:tblCellMar>
        </w:tblPrEx>
        <w:trPr>
          <w:trHeight w:val="62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BFC4518">
            <w:pPr>
              <w:spacing w:line="415" w:lineRule="exact"/>
              <w:ind w:left="245"/>
              <w:rPr>
                <w:rFonts w:hint="eastAsia" w:ascii="宋体" w:hAnsi="宋体" w:eastAsia="宋体" w:cs="宋体"/>
                <w:highlight w:val="none"/>
              </w:rPr>
            </w:pPr>
            <w:r>
              <w:rPr>
                <w:rFonts w:hint="eastAsia" w:ascii="宋体" w:hAnsi="宋体" w:eastAsia="宋体" w:cs="宋体"/>
                <w:spacing w:val="-1"/>
                <w:sz w:val="20"/>
                <w:highlight w:val="none"/>
              </w:rPr>
              <w:t>子目号</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F828F41">
            <w:pPr>
              <w:spacing w:line="415" w:lineRule="exact"/>
              <w:ind w:left="467"/>
              <w:rPr>
                <w:rFonts w:hint="eastAsia" w:ascii="宋体" w:hAnsi="宋体" w:eastAsia="宋体" w:cs="宋体"/>
                <w:highlight w:val="none"/>
              </w:rPr>
            </w:pPr>
            <w:r>
              <w:rPr>
                <w:rFonts w:hint="eastAsia" w:ascii="宋体" w:hAnsi="宋体" w:eastAsia="宋体" w:cs="宋体"/>
                <w:spacing w:val="-1"/>
                <w:sz w:val="20"/>
                <w:highlight w:val="none"/>
              </w:rPr>
              <w:t>子目名称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9EE6342">
            <w:pPr>
              <w:spacing w:line="415" w:lineRule="exact"/>
              <w:ind w:left="329"/>
              <w:rPr>
                <w:rFonts w:hint="eastAsia" w:ascii="宋体" w:hAnsi="宋体" w:eastAsia="宋体" w:cs="宋体"/>
                <w:highlight w:val="none"/>
              </w:rPr>
            </w:pPr>
            <w:r>
              <w:rPr>
                <w:rFonts w:hint="eastAsia" w:ascii="宋体" w:hAnsi="宋体" w:eastAsia="宋体" w:cs="宋体"/>
                <w:spacing w:val="-1"/>
                <w:sz w:val="20"/>
                <w:highlight w:val="none"/>
              </w:rPr>
              <w:t>单位</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D1F0056">
            <w:pPr>
              <w:spacing w:line="415" w:lineRule="exact"/>
              <w:ind w:left="734"/>
              <w:rPr>
                <w:rFonts w:hint="eastAsia" w:ascii="宋体" w:hAnsi="宋体" w:eastAsia="宋体" w:cs="宋体"/>
                <w:highlight w:val="none"/>
              </w:rPr>
            </w:pPr>
            <w:r>
              <w:rPr>
                <w:rFonts w:hint="eastAsia" w:ascii="宋体" w:hAnsi="宋体" w:eastAsia="宋体" w:cs="宋体"/>
                <w:spacing w:val="-1"/>
                <w:sz w:val="20"/>
                <w:highlight w:val="none"/>
              </w:rPr>
              <w:t>工程量计量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E23FE44">
            <w:pPr>
              <w:spacing w:line="415" w:lineRule="exact"/>
              <w:ind w:left="876"/>
              <w:rPr>
                <w:rFonts w:hint="eastAsia" w:ascii="宋体" w:hAnsi="宋体" w:eastAsia="宋体" w:cs="宋体"/>
                <w:highlight w:val="none"/>
              </w:rPr>
            </w:pPr>
            <w:r>
              <w:rPr>
                <w:rFonts w:hint="eastAsia" w:ascii="宋体" w:hAnsi="宋体" w:eastAsia="宋体" w:cs="宋体"/>
                <w:spacing w:val="-1"/>
                <w:sz w:val="20"/>
                <w:highlight w:val="none"/>
              </w:rPr>
              <w:t>工程内容</w:t>
            </w:r>
          </w:p>
        </w:tc>
      </w:tr>
      <w:tr w14:paraId="4C6F7ED3">
        <w:tblPrEx>
          <w:tblCellMar>
            <w:top w:w="0" w:type="dxa"/>
            <w:left w:w="108" w:type="dxa"/>
            <w:bottom w:w="0" w:type="dxa"/>
            <w:right w:w="108" w:type="dxa"/>
          </w:tblCellMar>
        </w:tblPrEx>
        <w:trPr>
          <w:trHeight w:val="24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B077C00">
            <w:pPr>
              <w:spacing w:line="1369" w:lineRule="exact"/>
              <w:ind w:left="315"/>
              <w:rPr>
                <w:rFonts w:hint="eastAsia" w:ascii="宋体" w:hAnsi="宋体" w:eastAsia="宋体" w:cs="宋体"/>
                <w:highlight w:val="none"/>
              </w:rPr>
            </w:pPr>
            <w:r>
              <w:rPr>
                <w:rFonts w:hint="eastAsia" w:ascii="宋体" w:hAnsi="宋体" w:eastAsia="宋体" w:cs="宋体"/>
                <w:spacing w:val="-1"/>
                <w:sz w:val="20"/>
                <w:highlight w:val="none"/>
              </w:rPr>
              <w:t>701-1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6985B05">
            <w:pPr>
              <w:spacing w:line="1197" w:lineRule="exact"/>
              <w:ind w:left="282"/>
              <w:rPr>
                <w:rFonts w:hint="eastAsia" w:ascii="宋体" w:hAnsi="宋体" w:eastAsia="宋体" w:cs="宋体"/>
                <w:highlight w:val="none"/>
              </w:rPr>
            </w:pPr>
            <w:r>
              <w:rPr>
                <w:rFonts w:hint="eastAsia" w:ascii="宋体" w:hAnsi="宋体" w:eastAsia="宋体" w:cs="宋体"/>
                <w:spacing w:val="-1"/>
                <w:sz w:val="20"/>
                <w:highlight w:val="none"/>
              </w:rPr>
              <w:t>钢筋混凝土柱</w:t>
            </w:r>
          </w:p>
          <w:p w14:paraId="3F7B6C61">
            <w:pPr>
              <w:spacing w:line="274" w:lineRule="exact"/>
              <w:ind w:left="107"/>
              <w:rPr>
                <w:rFonts w:hint="eastAsia" w:ascii="宋体" w:hAnsi="宋体" w:eastAsia="宋体" w:cs="宋体"/>
                <w:highlight w:val="none"/>
              </w:rPr>
            </w:pPr>
            <w:r>
              <w:rPr>
                <w:rFonts w:hint="eastAsia" w:ascii="宋体" w:hAnsi="宋体" w:eastAsia="宋体" w:cs="宋体"/>
                <w:spacing w:val="-1"/>
                <w:sz w:val="20"/>
                <w:highlight w:val="none"/>
              </w:rPr>
              <w:t>式护栏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726E14C">
            <w:pPr>
              <w:spacing w:line="1334" w:lineRule="exact"/>
              <w:ind w:left="434"/>
              <w:rPr>
                <w:rFonts w:hint="eastAsia" w:ascii="宋体" w:hAnsi="宋体" w:eastAsia="宋体" w:cs="宋体"/>
                <w:highlight w:val="none"/>
              </w:rPr>
            </w:pPr>
            <w:r>
              <w:rPr>
                <w:rFonts w:hint="eastAsia" w:ascii="宋体" w:hAnsi="宋体" w:eastAsia="宋体" w:cs="宋体"/>
                <w:spacing w:val="-1"/>
                <w:sz w:val="20"/>
                <w:highlight w:val="none"/>
              </w:rPr>
              <w:t>根</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5649523">
            <w:pPr>
              <w:spacing w:line="1060" w:lineRule="exact"/>
              <w:ind w:left="281"/>
              <w:rPr>
                <w:rFonts w:hint="eastAsia" w:ascii="宋体" w:hAnsi="宋体" w:eastAsia="宋体" w:cs="宋体"/>
                <w:highlight w:val="none"/>
              </w:rPr>
            </w:pPr>
            <w:r>
              <w:rPr>
                <w:rFonts w:hint="eastAsia" w:ascii="宋体" w:hAnsi="宋体" w:eastAsia="宋体" w:cs="宋体"/>
                <w:spacing w:val="-1"/>
                <w:sz w:val="20"/>
                <w:highlight w:val="none"/>
              </w:rPr>
              <w:t>按图示预制并依据图纸</w:t>
            </w:r>
          </w:p>
          <w:p w14:paraId="1880DFA6">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所示位置施工，以根为单</w:t>
            </w:r>
          </w:p>
          <w:p w14:paraId="1E8A240F">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A6DBBBB">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钢筋的运输、存储、加</w:t>
            </w:r>
          </w:p>
          <w:p w14:paraId="38A87493">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工、安设；</w:t>
            </w:r>
          </w:p>
          <w:p w14:paraId="6ACA3C33">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钢筋混凝土护栏的预</w:t>
            </w:r>
          </w:p>
          <w:p w14:paraId="6BC99E5E">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制、运输；</w:t>
            </w:r>
          </w:p>
          <w:p w14:paraId="49385FBC">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基槽开挖；</w:t>
            </w:r>
          </w:p>
          <w:p w14:paraId="62FC6B94">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钢筋混凝土护栏安装；</w:t>
            </w:r>
          </w:p>
          <w:p w14:paraId="10790020">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基坑回填，夯实；</w:t>
            </w:r>
          </w:p>
          <w:p w14:paraId="2431370E">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清理场地，弃方处理</w:t>
            </w:r>
          </w:p>
          <w:p w14:paraId="145298BC">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油漆保护处理</w:t>
            </w:r>
          </w:p>
        </w:tc>
      </w:tr>
      <w:tr w14:paraId="1C30A38E">
        <w:tblPrEx>
          <w:tblCellMar>
            <w:top w:w="0" w:type="dxa"/>
            <w:left w:w="108" w:type="dxa"/>
            <w:bottom w:w="0" w:type="dxa"/>
            <w:right w:w="108" w:type="dxa"/>
          </w:tblCellMar>
        </w:tblPrEx>
        <w:trPr>
          <w:trHeight w:val="24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074891A">
            <w:pPr>
              <w:spacing w:line="1428" w:lineRule="exact"/>
              <w:ind w:left="315"/>
              <w:rPr>
                <w:rFonts w:hint="eastAsia" w:ascii="宋体" w:hAnsi="宋体" w:eastAsia="宋体" w:cs="宋体"/>
                <w:highlight w:val="none"/>
              </w:rPr>
            </w:pPr>
            <w:r>
              <w:rPr>
                <w:rFonts w:hint="eastAsia" w:ascii="宋体" w:hAnsi="宋体" w:eastAsia="宋体" w:cs="宋体"/>
                <w:spacing w:val="-1"/>
                <w:sz w:val="20"/>
                <w:highlight w:val="none"/>
              </w:rPr>
              <w:t>702-1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F61A2BD">
            <w:pPr>
              <w:spacing w:line="1379" w:lineRule="exact"/>
              <w:ind w:left="282"/>
              <w:rPr>
                <w:rFonts w:hint="eastAsia" w:ascii="宋体" w:hAnsi="宋体" w:eastAsia="宋体" w:cs="宋体"/>
                <w:highlight w:val="none"/>
              </w:rPr>
            </w:pPr>
            <w:r>
              <w:rPr>
                <w:rFonts w:hint="eastAsia" w:ascii="宋体" w:hAnsi="宋体" w:eastAsia="宋体" w:cs="宋体"/>
                <w:spacing w:val="-1"/>
                <w:sz w:val="20"/>
                <w:highlight w:val="none"/>
              </w:rPr>
              <w:t>墙式护栏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BA01C44">
            <w:pPr>
              <w:spacing w:line="1336" w:lineRule="exact"/>
              <w:ind w:left="425"/>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3</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BFDCECC">
            <w:pPr>
              <w:spacing w:line="925" w:lineRule="exact"/>
              <w:ind w:left="281"/>
              <w:rPr>
                <w:rFonts w:hint="eastAsia" w:ascii="宋体" w:hAnsi="宋体" w:eastAsia="宋体" w:cs="宋体"/>
                <w:highlight w:val="none"/>
              </w:rPr>
            </w:pPr>
            <w:r>
              <w:rPr>
                <w:rFonts w:hint="eastAsia" w:ascii="宋体" w:hAnsi="宋体" w:eastAsia="宋体" w:cs="宋体"/>
                <w:spacing w:val="-1"/>
                <w:sz w:val="20"/>
                <w:highlight w:val="none"/>
              </w:rPr>
              <w:t>依据图纸所示位置和断</w:t>
            </w:r>
          </w:p>
          <w:p w14:paraId="4C338702">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面尺寸，按图示浇筑的不</w:t>
            </w:r>
          </w:p>
          <w:p w14:paraId="120186DE">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同强度的混凝土体积，以</w:t>
            </w:r>
          </w:p>
          <w:p w14:paraId="4E39005C">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立方米为单位计量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1B6FC33">
            <w:pPr>
              <w:spacing w:line="28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基槽开挖、基底清理；</w:t>
            </w:r>
          </w:p>
          <w:p w14:paraId="7CD63D4D">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铺筑碎（砾）石垫层；</w:t>
            </w:r>
          </w:p>
          <w:p w14:paraId="5966B4A8">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模板架立，钢筋的运</w:t>
            </w:r>
          </w:p>
          <w:p w14:paraId="7D7B3B50">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输、存储、加工、安设；</w:t>
            </w:r>
          </w:p>
          <w:p w14:paraId="76223D0C">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混凝土浇筑、养护；</w:t>
            </w:r>
          </w:p>
          <w:p w14:paraId="341DF6DF">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灌缝处理，勾缝抹面；</w:t>
            </w:r>
          </w:p>
          <w:p w14:paraId="4D9729E4">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基坑回填，夯实；</w:t>
            </w:r>
          </w:p>
          <w:p w14:paraId="3DE59AFB">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清理场地，弃方处理；</w:t>
            </w:r>
          </w:p>
          <w:p w14:paraId="2ABAE661">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8.</w:t>
            </w:r>
            <w:r>
              <w:rPr>
                <w:rFonts w:hint="eastAsia" w:ascii="宋体" w:hAnsi="宋体" w:eastAsia="宋体" w:cs="宋体"/>
                <w:spacing w:val="-1"/>
                <w:position w:val="1"/>
                <w:sz w:val="20"/>
                <w:highlight w:val="none"/>
              </w:rPr>
              <w:t>油漆保护处理</w:t>
            </w:r>
          </w:p>
        </w:tc>
      </w:tr>
      <w:tr w14:paraId="4F36BC00">
        <w:tblPrEx>
          <w:tblCellMar>
            <w:top w:w="0" w:type="dxa"/>
            <w:left w:w="108" w:type="dxa"/>
            <w:bottom w:w="0" w:type="dxa"/>
            <w:right w:w="108" w:type="dxa"/>
          </w:tblCellMar>
        </w:tblPrEx>
        <w:trPr>
          <w:trHeight w:val="300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865595D">
            <w:pPr>
              <w:spacing w:line="1700" w:lineRule="exact"/>
              <w:ind w:left="315"/>
              <w:rPr>
                <w:rFonts w:hint="eastAsia" w:ascii="宋体" w:hAnsi="宋体" w:eastAsia="宋体" w:cs="宋体"/>
                <w:highlight w:val="none"/>
              </w:rPr>
            </w:pPr>
            <w:r>
              <w:rPr>
                <w:rFonts w:hint="eastAsia" w:ascii="宋体" w:hAnsi="宋体" w:eastAsia="宋体" w:cs="宋体"/>
                <w:spacing w:val="-1"/>
                <w:sz w:val="20"/>
                <w:highlight w:val="none"/>
              </w:rPr>
              <w:t>703-1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B6C1AA7">
            <w:pPr>
              <w:spacing w:line="1471" w:lineRule="exact"/>
              <w:ind w:left="282"/>
              <w:rPr>
                <w:rFonts w:hint="eastAsia" w:ascii="宋体" w:hAnsi="宋体" w:eastAsia="宋体" w:cs="宋体"/>
                <w:highlight w:val="none"/>
              </w:rPr>
            </w:pPr>
            <w:r>
              <w:rPr>
                <w:rFonts w:hint="eastAsia" w:ascii="宋体" w:hAnsi="宋体" w:eastAsia="宋体" w:cs="宋体"/>
                <w:spacing w:val="-1"/>
                <w:sz w:val="20"/>
                <w:highlight w:val="none"/>
              </w:rPr>
              <w:t>钢筋混凝土标</w:t>
            </w:r>
          </w:p>
          <w:p w14:paraId="046D2850">
            <w:pPr>
              <w:spacing w:line="360" w:lineRule="exact"/>
              <w:ind w:left="107"/>
              <w:rPr>
                <w:rFonts w:hint="eastAsia" w:ascii="宋体" w:hAnsi="宋体" w:eastAsia="宋体" w:cs="宋体"/>
                <w:highlight w:val="none"/>
              </w:rPr>
            </w:pPr>
            <w:r>
              <w:rPr>
                <w:rFonts w:hint="eastAsia" w:ascii="宋体" w:hAnsi="宋体" w:eastAsia="宋体" w:cs="宋体"/>
                <w:spacing w:val="-1"/>
                <w:sz w:val="20"/>
                <w:highlight w:val="none"/>
              </w:rPr>
              <w:t>志牌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288CDE3">
            <w:pPr>
              <w:spacing w:line="1651" w:lineRule="exact"/>
              <w:ind w:left="434"/>
              <w:rPr>
                <w:rFonts w:hint="eastAsia" w:ascii="宋体" w:hAnsi="宋体" w:eastAsia="宋体" w:cs="宋体"/>
                <w:highlight w:val="none"/>
              </w:rPr>
            </w:pPr>
            <w:r>
              <w:rPr>
                <w:rFonts w:hint="eastAsia" w:ascii="宋体" w:hAnsi="宋体" w:eastAsia="宋体" w:cs="宋体"/>
                <w:spacing w:val="-1"/>
                <w:sz w:val="20"/>
                <w:highlight w:val="none"/>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B21867D">
            <w:pPr>
              <w:spacing w:line="1198" w:lineRule="exact"/>
              <w:ind w:left="281"/>
              <w:rPr>
                <w:rFonts w:hint="eastAsia" w:ascii="宋体" w:hAnsi="宋体" w:eastAsia="宋体" w:cs="宋体"/>
                <w:highlight w:val="none"/>
              </w:rPr>
            </w:pPr>
            <w:r>
              <w:rPr>
                <w:rFonts w:hint="eastAsia" w:ascii="宋体" w:hAnsi="宋体" w:eastAsia="宋体" w:cs="宋体"/>
                <w:spacing w:val="-1"/>
                <w:sz w:val="20"/>
                <w:highlight w:val="none"/>
              </w:rPr>
              <w:t>依据图纸所示位置和断</w:t>
            </w:r>
          </w:p>
          <w:p w14:paraId="3F002EF2">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面尺寸，分不同规格的标</w:t>
            </w:r>
          </w:p>
          <w:p w14:paraId="0CD04E73">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志板面，按安装就位的标</w:t>
            </w:r>
          </w:p>
          <w:p w14:paraId="1353ACE3">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C05CB1F">
            <w:pPr>
              <w:spacing w:line="280"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钢筋的运输、存储、加</w:t>
            </w:r>
          </w:p>
          <w:p w14:paraId="60C0FC5C">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工、安设；</w:t>
            </w:r>
          </w:p>
          <w:p w14:paraId="74615712">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钢筋混凝土立柱、板面</w:t>
            </w:r>
          </w:p>
          <w:p w14:paraId="7F4FA8D5">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的预制、运输；</w:t>
            </w:r>
          </w:p>
          <w:p w14:paraId="74FADAEC">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基槽开挖；</w:t>
            </w:r>
          </w:p>
          <w:p w14:paraId="78352320">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钢筋混凝土立柱、板面</w:t>
            </w:r>
          </w:p>
          <w:p w14:paraId="3C876BEC">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安装；</w:t>
            </w:r>
          </w:p>
          <w:p w14:paraId="72AA7AFB">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5.</w:t>
            </w:r>
            <w:r>
              <w:rPr>
                <w:rFonts w:hint="eastAsia" w:ascii="宋体" w:hAnsi="宋体" w:eastAsia="宋体" w:cs="宋体"/>
                <w:spacing w:val="-1"/>
                <w:position w:val="1"/>
                <w:sz w:val="20"/>
                <w:highlight w:val="none"/>
              </w:rPr>
              <w:t>基坑回填，夯实；</w:t>
            </w:r>
          </w:p>
          <w:p w14:paraId="48F7A841">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6.</w:t>
            </w:r>
            <w:r>
              <w:rPr>
                <w:rFonts w:hint="eastAsia" w:ascii="宋体" w:hAnsi="宋体" w:eastAsia="宋体" w:cs="宋体"/>
                <w:spacing w:val="-1"/>
                <w:position w:val="1"/>
                <w:sz w:val="20"/>
                <w:highlight w:val="none"/>
              </w:rPr>
              <w:t>清理场地，弃方处理</w:t>
            </w:r>
          </w:p>
          <w:p w14:paraId="1B27B733">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7.</w:t>
            </w:r>
            <w:r>
              <w:rPr>
                <w:rFonts w:hint="eastAsia" w:ascii="宋体" w:hAnsi="宋体" w:eastAsia="宋体" w:cs="宋体"/>
                <w:spacing w:val="-1"/>
                <w:position w:val="1"/>
                <w:sz w:val="20"/>
                <w:highlight w:val="none"/>
              </w:rPr>
              <w:t>标志板面涂漆、印字处</w:t>
            </w:r>
          </w:p>
          <w:p w14:paraId="45C4D2ED">
            <w:pPr>
              <w:spacing w:line="239" w:lineRule="exact"/>
              <w:ind w:left="108"/>
              <w:rPr>
                <w:rFonts w:hint="eastAsia" w:ascii="宋体" w:hAnsi="宋体" w:eastAsia="宋体" w:cs="宋体"/>
                <w:highlight w:val="none"/>
              </w:rPr>
            </w:pPr>
            <w:r>
              <w:rPr>
                <w:rFonts w:hint="eastAsia" w:ascii="宋体" w:hAnsi="宋体" w:eastAsia="宋体" w:cs="宋体"/>
                <w:spacing w:val="-1"/>
                <w:sz w:val="20"/>
                <w:highlight w:val="none"/>
              </w:rPr>
              <w:t>理</w:t>
            </w:r>
          </w:p>
        </w:tc>
      </w:tr>
      <w:tr w14:paraId="69FB5DDC">
        <w:tblPrEx>
          <w:tblCellMar>
            <w:top w:w="0" w:type="dxa"/>
            <w:left w:w="108" w:type="dxa"/>
            <w:bottom w:w="0" w:type="dxa"/>
            <w:right w:w="108" w:type="dxa"/>
          </w:tblCellMar>
        </w:tblPrEx>
        <w:trPr>
          <w:trHeight w:val="55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8EE2AA6">
            <w:pPr>
              <w:spacing w:line="475" w:lineRule="exact"/>
              <w:ind w:left="315"/>
              <w:rPr>
                <w:rFonts w:hint="eastAsia" w:ascii="宋体" w:hAnsi="宋体" w:eastAsia="宋体" w:cs="宋体"/>
                <w:highlight w:val="none"/>
              </w:rPr>
            </w:pPr>
            <w:r>
              <w:rPr>
                <w:rFonts w:hint="eastAsia" w:ascii="宋体" w:hAnsi="宋体" w:eastAsia="宋体" w:cs="宋体"/>
                <w:spacing w:val="-1"/>
                <w:sz w:val="20"/>
                <w:highlight w:val="none"/>
              </w:rPr>
              <w:t>704-1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3BB9ED7">
            <w:pPr>
              <w:spacing w:line="426" w:lineRule="exact"/>
              <w:ind w:left="282"/>
              <w:rPr>
                <w:rFonts w:hint="eastAsia" w:ascii="宋体" w:hAnsi="宋体" w:eastAsia="宋体" w:cs="宋体"/>
                <w:highlight w:val="none"/>
              </w:rPr>
            </w:pPr>
            <w:r>
              <w:rPr>
                <w:rFonts w:hint="eastAsia" w:ascii="宋体" w:hAnsi="宋体" w:eastAsia="宋体" w:cs="宋体"/>
                <w:spacing w:val="-1"/>
                <w:sz w:val="20"/>
                <w:highlight w:val="none"/>
              </w:rPr>
              <w:t>钢板标志牌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7C78B61">
            <w:pPr>
              <w:spacing w:line="426"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3E07824">
            <w:pPr>
              <w:spacing w:line="426" w:lineRule="exact"/>
              <w:rPr>
                <w:rFonts w:hint="eastAsia" w:ascii="宋体" w:hAnsi="宋体" w:eastAsia="宋体" w:cs="宋体"/>
                <w:highlight w:val="none"/>
              </w:rPr>
            </w:pP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64C8A16">
            <w:pPr>
              <w:spacing w:line="426" w:lineRule="exact"/>
              <w:rPr>
                <w:rFonts w:hint="eastAsia" w:ascii="宋体" w:hAnsi="宋体" w:eastAsia="宋体" w:cs="宋体"/>
                <w:highlight w:val="none"/>
              </w:rPr>
            </w:pPr>
          </w:p>
        </w:tc>
      </w:tr>
      <w:tr w14:paraId="54A90766">
        <w:tblPrEx>
          <w:tblCellMar>
            <w:top w:w="0" w:type="dxa"/>
            <w:left w:w="108" w:type="dxa"/>
            <w:bottom w:w="0" w:type="dxa"/>
            <w:right w:w="108" w:type="dxa"/>
          </w:tblCellMar>
        </w:tblPrEx>
        <w:trPr>
          <w:trHeight w:val="164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81A6B89">
            <w:pPr>
              <w:spacing w:line="1020" w:lineRule="exact"/>
              <w:ind w:left="478"/>
              <w:rPr>
                <w:rFonts w:hint="eastAsia" w:ascii="宋体" w:hAnsi="宋体" w:eastAsia="宋体" w:cs="宋体"/>
                <w:highlight w:val="none"/>
              </w:rPr>
            </w:pPr>
            <w:r>
              <w:rPr>
                <w:rFonts w:hint="eastAsia" w:ascii="宋体" w:hAnsi="宋体" w:eastAsia="宋体" w:cs="宋体"/>
                <w:spacing w:val="-1"/>
                <w:sz w:val="20"/>
                <w:highlight w:val="none"/>
              </w:rPr>
              <w:t>-a</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D90B3A3">
            <w:pPr>
              <w:spacing w:line="971" w:lineRule="exact"/>
              <w:ind w:left="282"/>
              <w:rPr>
                <w:rFonts w:hint="eastAsia" w:ascii="宋体" w:hAnsi="宋体" w:eastAsia="宋体" w:cs="宋体"/>
                <w:highlight w:val="none"/>
              </w:rPr>
            </w:pPr>
            <w:r>
              <w:rPr>
                <w:rFonts w:hint="eastAsia" w:ascii="宋体" w:hAnsi="宋体" w:eastAsia="宋体" w:cs="宋体"/>
                <w:spacing w:val="-1"/>
                <w:sz w:val="20"/>
                <w:highlight w:val="none"/>
              </w:rPr>
              <w:t>单柱式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AC24EA8">
            <w:pPr>
              <w:spacing w:line="971" w:lineRule="exact"/>
              <w:ind w:left="434"/>
              <w:rPr>
                <w:rFonts w:hint="eastAsia" w:ascii="宋体" w:hAnsi="宋体" w:eastAsia="宋体" w:cs="宋体"/>
                <w:highlight w:val="none"/>
              </w:rPr>
            </w:pPr>
            <w:r>
              <w:rPr>
                <w:rFonts w:hint="eastAsia" w:ascii="宋体" w:hAnsi="宋体" w:eastAsia="宋体" w:cs="宋体"/>
                <w:spacing w:val="-1"/>
                <w:sz w:val="20"/>
                <w:highlight w:val="none"/>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E88A587">
            <w:pPr>
              <w:spacing w:line="518" w:lineRule="exact"/>
              <w:ind w:left="281"/>
              <w:rPr>
                <w:rFonts w:hint="eastAsia" w:ascii="宋体" w:hAnsi="宋体" w:eastAsia="宋体" w:cs="宋体"/>
                <w:highlight w:val="none"/>
              </w:rPr>
            </w:pPr>
            <w:r>
              <w:rPr>
                <w:rFonts w:hint="eastAsia" w:ascii="宋体" w:hAnsi="宋体" w:eastAsia="宋体" w:cs="宋体"/>
                <w:spacing w:val="-1"/>
                <w:sz w:val="20"/>
                <w:highlight w:val="none"/>
              </w:rPr>
              <w:t>依据图纸所示位置和断</w:t>
            </w:r>
          </w:p>
          <w:p w14:paraId="339A3773">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面尺寸，分不同规格的标</w:t>
            </w:r>
          </w:p>
          <w:p w14:paraId="1ADB5044">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志板面，按安装就位的标</w:t>
            </w:r>
          </w:p>
          <w:p w14:paraId="07B26C4D">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8024FF6">
            <w:pPr>
              <w:spacing w:line="28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基槽开挖；</w:t>
            </w:r>
          </w:p>
          <w:p w14:paraId="4CA53148">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基础施工（钢筋与预埋</w:t>
            </w:r>
          </w:p>
          <w:p w14:paraId="321B14CB">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件安装、混凝土浇筑等）；</w:t>
            </w:r>
          </w:p>
          <w:p w14:paraId="3ABA46FD">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立柱、标志板及各种匹</w:t>
            </w:r>
          </w:p>
          <w:p w14:paraId="0A6576ED">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配件制作与安装；</w:t>
            </w:r>
          </w:p>
          <w:p w14:paraId="0004D16A">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清理，弃方处理</w:t>
            </w:r>
          </w:p>
        </w:tc>
      </w:tr>
      <w:tr w14:paraId="2EC76B20">
        <w:tblPrEx>
          <w:tblCellMar>
            <w:top w:w="0" w:type="dxa"/>
            <w:left w:w="108" w:type="dxa"/>
            <w:bottom w:w="0" w:type="dxa"/>
            <w:right w:w="108" w:type="dxa"/>
          </w:tblCellMar>
        </w:tblPrEx>
        <w:trPr>
          <w:trHeight w:val="164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CBB2C1C">
            <w:pPr>
              <w:spacing w:line="1020" w:lineRule="exact"/>
              <w:ind w:left="473"/>
              <w:rPr>
                <w:rFonts w:hint="eastAsia" w:ascii="宋体" w:hAnsi="宋体" w:eastAsia="宋体" w:cs="宋体"/>
                <w:highlight w:val="none"/>
              </w:rPr>
            </w:pPr>
            <w:r>
              <w:rPr>
                <w:rFonts w:hint="eastAsia" w:ascii="宋体" w:hAnsi="宋体" w:eastAsia="宋体" w:cs="宋体"/>
                <w:spacing w:val="-1"/>
                <w:sz w:val="20"/>
                <w:highlight w:val="none"/>
              </w:rPr>
              <w:t>-b</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749B61A">
            <w:pPr>
              <w:spacing w:line="971" w:lineRule="exact"/>
              <w:ind w:left="282"/>
              <w:rPr>
                <w:rFonts w:hint="eastAsia" w:ascii="宋体" w:hAnsi="宋体" w:eastAsia="宋体" w:cs="宋体"/>
                <w:highlight w:val="none"/>
              </w:rPr>
            </w:pPr>
            <w:r>
              <w:rPr>
                <w:rFonts w:hint="eastAsia" w:ascii="宋体" w:hAnsi="宋体" w:eastAsia="宋体" w:cs="宋体"/>
                <w:spacing w:val="-1"/>
                <w:sz w:val="20"/>
                <w:highlight w:val="none"/>
              </w:rPr>
              <w:t>双柱式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1B69907">
            <w:pPr>
              <w:spacing w:line="971" w:lineRule="exact"/>
              <w:ind w:left="434"/>
              <w:rPr>
                <w:rFonts w:hint="eastAsia" w:ascii="宋体" w:hAnsi="宋体" w:eastAsia="宋体" w:cs="宋体"/>
                <w:highlight w:val="none"/>
              </w:rPr>
            </w:pPr>
            <w:r>
              <w:rPr>
                <w:rFonts w:hint="eastAsia" w:ascii="宋体" w:hAnsi="宋体" w:eastAsia="宋体" w:cs="宋体"/>
                <w:spacing w:val="-1"/>
                <w:sz w:val="20"/>
                <w:highlight w:val="none"/>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EF714CD">
            <w:pPr>
              <w:spacing w:line="518" w:lineRule="exact"/>
              <w:ind w:left="281"/>
              <w:rPr>
                <w:rFonts w:hint="eastAsia" w:ascii="宋体" w:hAnsi="宋体" w:eastAsia="宋体" w:cs="宋体"/>
                <w:highlight w:val="none"/>
              </w:rPr>
            </w:pPr>
            <w:r>
              <w:rPr>
                <w:rFonts w:hint="eastAsia" w:ascii="宋体" w:hAnsi="宋体" w:eastAsia="宋体" w:cs="宋体"/>
                <w:spacing w:val="-1"/>
                <w:sz w:val="20"/>
                <w:highlight w:val="none"/>
              </w:rPr>
              <w:t>依据图纸所示位置和断</w:t>
            </w:r>
          </w:p>
          <w:p w14:paraId="3B1B3D3F">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面尺寸，分不同规格的标</w:t>
            </w:r>
          </w:p>
          <w:p w14:paraId="7003FD78">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志板面，按安装就位的标</w:t>
            </w:r>
          </w:p>
          <w:p w14:paraId="5017EF68">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D218F9D">
            <w:pPr>
              <w:spacing w:line="28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基槽开挖；</w:t>
            </w:r>
          </w:p>
          <w:p w14:paraId="29518A41">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基础施工（钢筋与预埋</w:t>
            </w:r>
          </w:p>
          <w:p w14:paraId="795608A0">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件安装、混凝土浇筑等）；</w:t>
            </w:r>
          </w:p>
          <w:p w14:paraId="7EDBEFD1">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立柱、标志板及各种匹</w:t>
            </w:r>
          </w:p>
          <w:p w14:paraId="4EC1D463">
            <w:pPr>
              <w:spacing w:line="236" w:lineRule="exact"/>
              <w:ind w:left="108"/>
              <w:rPr>
                <w:rFonts w:hint="eastAsia" w:ascii="宋体" w:hAnsi="宋体" w:eastAsia="宋体" w:cs="宋体"/>
                <w:highlight w:val="none"/>
              </w:rPr>
            </w:pPr>
            <w:r>
              <w:rPr>
                <w:rFonts w:hint="eastAsia" w:ascii="宋体" w:hAnsi="宋体" w:eastAsia="宋体" w:cs="宋体"/>
                <w:spacing w:val="-1"/>
                <w:sz w:val="20"/>
                <w:highlight w:val="none"/>
              </w:rPr>
              <w:t>配件制作与安装；</w:t>
            </w:r>
          </w:p>
          <w:p w14:paraId="7F988901">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清理，弃方处理</w:t>
            </w:r>
          </w:p>
        </w:tc>
      </w:tr>
      <w:tr w14:paraId="1635D870">
        <w:tblPrEx>
          <w:tblCellMar>
            <w:top w:w="0" w:type="dxa"/>
            <w:left w:w="108" w:type="dxa"/>
            <w:bottom w:w="0" w:type="dxa"/>
            <w:right w:w="108" w:type="dxa"/>
          </w:tblCellMar>
        </w:tblPrEx>
        <w:trPr>
          <w:trHeight w:val="55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A6A85D2">
            <w:pPr>
              <w:spacing w:line="476" w:lineRule="exact"/>
              <w:ind w:left="478"/>
              <w:rPr>
                <w:rFonts w:hint="eastAsia" w:ascii="宋体" w:hAnsi="宋体" w:eastAsia="宋体" w:cs="宋体"/>
                <w:highlight w:val="none"/>
              </w:rPr>
            </w:pPr>
            <w:r>
              <w:rPr>
                <w:rFonts w:hint="eastAsia" w:ascii="宋体" w:hAnsi="宋体" w:eastAsia="宋体" w:cs="宋体"/>
                <w:spacing w:val="-1"/>
                <w:sz w:val="20"/>
                <w:highlight w:val="none"/>
              </w:rPr>
              <w:t>-c</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D3DB8FA">
            <w:pPr>
              <w:spacing w:line="426" w:lineRule="exact"/>
              <w:ind w:left="282"/>
              <w:rPr>
                <w:rFonts w:hint="eastAsia" w:ascii="宋体" w:hAnsi="宋体" w:eastAsia="宋体" w:cs="宋体"/>
                <w:highlight w:val="none"/>
              </w:rPr>
            </w:pPr>
            <w:r>
              <w:rPr>
                <w:rFonts w:hint="eastAsia" w:ascii="宋体" w:hAnsi="宋体" w:eastAsia="宋体" w:cs="宋体"/>
                <w:spacing w:val="-1"/>
                <w:sz w:val="20"/>
                <w:highlight w:val="none"/>
              </w:rPr>
              <w:t>门架式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680226F">
            <w:pPr>
              <w:spacing w:line="426" w:lineRule="exact"/>
              <w:ind w:left="434"/>
              <w:rPr>
                <w:rFonts w:hint="eastAsia" w:ascii="宋体" w:hAnsi="宋体" w:eastAsia="宋体" w:cs="宋体"/>
                <w:highlight w:val="none"/>
              </w:rPr>
            </w:pPr>
            <w:r>
              <w:rPr>
                <w:rFonts w:hint="eastAsia" w:ascii="宋体" w:hAnsi="宋体" w:eastAsia="宋体" w:cs="宋体"/>
                <w:spacing w:val="-1"/>
                <w:sz w:val="20"/>
                <w:highlight w:val="none"/>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C168E2F">
            <w:pPr>
              <w:spacing w:line="246" w:lineRule="exact"/>
              <w:ind w:left="281"/>
              <w:rPr>
                <w:rFonts w:hint="eastAsia" w:ascii="宋体" w:hAnsi="宋体" w:eastAsia="宋体" w:cs="宋体"/>
                <w:highlight w:val="none"/>
              </w:rPr>
            </w:pPr>
            <w:r>
              <w:rPr>
                <w:rFonts w:hint="eastAsia" w:ascii="宋体" w:hAnsi="宋体" w:eastAsia="宋体" w:cs="宋体"/>
                <w:spacing w:val="-1"/>
                <w:sz w:val="20"/>
                <w:highlight w:val="none"/>
              </w:rPr>
              <w:t>依据图纸所示位置和断</w:t>
            </w:r>
          </w:p>
          <w:p w14:paraId="34A3D8FB">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面尺寸，分不同规格的标</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107795D">
            <w:pPr>
              <w:spacing w:line="28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基槽开挖；</w:t>
            </w:r>
          </w:p>
          <w:p w14:paraId="16CCAD16">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基础施工（钢筋与预埋</w:t>
            </w:r>
          </w:p>
        </w:tc>
      </w:tr>
    </w:tbl>
    <w:p w14:paraId="5EAB2424">
      <w:pPr>
        <w:spacing w:line="250" w:lineRule="exact"/>
        <w:rPr>
          <w:rFonts w:hint="eastAsia" w:ascii="宋体" w:hAnsi="宋体" w:eastAsia="宋体" w:cs="宋体"/>
          <w:sz w:val="21"/>
          <w:highlight w:val="none"/>
        </w:rPr>
        <w:sectPr>
          <w:pgSz w:w="11910" w:h="16840"/>
          <w:pgMar w:top="1440" w:right="1080" w:bottom="1040" w:left="1420" w:header="882" w:footer="847" w:gutter="0"/>
          <w:cols w:space="720" w:num="1"/>
        </w:sectPr>
      </w:pPr>
    </w:p>
    <w:p w14:paraId="25057741">
      <w:pPr>
        <w:pStyle w:val="10"/>
        <w:spacing w:before="10"/>
        <w:rPr>
          <w:rFonts w:hint="eastAsia" w:ascii="宋体" w:hAnsi="宋体" w:eastAsia="宋体" w:cs="宋体"/>
          <w:sz w:val="11"/>
          <w:highlight w:val="none"/>
        </w:rPr>
      </w:pPr>
    </w:p>
    <w:tbl>
      <w:tblPr>
        <w:tblStyle w:val="24"/>
        <w:tblW w:w="9087" w:type="dxa"/>
        <w:tblInd w:w="0" w:type="dxa"/>
        <w:tblLayout w:type="fixed"/>
        <w:tblCellMar>
          <w:top w:w="0" w:type="dxa"/>
          <w:left w:w="108" w:type="dxa"/>
          <w:bottom w:w="0" w:type="dxa"/>
          <w:right w:w="108" w:type="dxa"/>
        </w:tblCellMar>
      </w:tblPr>
      <w:tblGrid>
        <w:gridCol w:w="1120"/>
        <w:gridCol w:w="1775"/>
        <w:gridCol w:w="1080"/>
        <w:gridCol w:w="2520"/>
        <w:gridCol w:w="2592"/>
      </w:tblGrid>
      <w:tr w14:paraId="0BB31A5A">
        <w:trPr>
          <w:trHeight w:val="109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45D45E6">
            <w:pPr>
              <w:spacing w:line="271" w:lineRule="exact"/>
              <w:rPr>
                <w:rFonts w:hint="eastAsia" w:ascii="宋体" w:hAnsi="宋体" w:eastAsia="宋体" w:cs="宋体"/>
                <w:highlight w:val="none"/>
              </w:rPr>
            </w:pP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307825A">
            <w:pPr>
              <w:spacing w:line="271" w:lineRule="exact"/>
              <w:rPr>
                <w:rFonts w:hint="eastAsia" w:ascii="宋体" w:hAnsi="宋体" w:eastAsia="宋体" w:cs="宋体"/>
                <w:highlight w:val="none"/>
              </w:rPr>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6DA142A">
            <w:pPr>
              <w:spacing w:line="271"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87A6D64">
            <w:pPr>
              <w:spacing w:line="245" w:lineRule="exact"/>
              <w:ind w:left="108"/>
              <w:rPr>
                <w:rFonts w:hint="eastAsia" w:ascii="宋体" w:hAnsi="宋体" w:eastAsia="宋体" w:cs="宋体"/>
                <w:highlight w:val="none"/>
              </w:rPr>
            </w:pPr>
            <w:r>
              <w:rPr>
                <w:rFonts w:hint="eastAsia" w:ascii="宋体" w:hAnsi="宋体" w:eastAsia="宋体" w:cs="宋体"/>
                <w:spacing w:val="-1"/>
                <w:sz w:val="20"/>
                <w:highlight w:val="none"/>
              </w:rPr>
              <w:t>志板面，按安装就位的标</w:t>
            </w:r>
          </w:p>
          <w:p w14:paraId="40C0DA1B">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CB9277F">
            <w:pPr>
              <w:spacing w:line="245" w:lineRule="exact"/>
              <w:ind w:left="108"/>
              <w:rPr>
                <w:rFonts w:hint="eastAsia" w:ascii="宋体" w:hAnsi="宋体" w:eastAsia="宋体" w:cs="宋体"/>
                <w:highlight w:val="none"/>
              </w:rPr>
            </w:pPr>
            <w:r>
              <w:rPr>
                <w:rFonts w:hint="eastAsia" w:ascii="宋体" w:hAnsi="宋体" w:eastAsia="宋体" w:cs="宋体"/>
                <w:spacing w:val="-1"/>
                <w:sz w:val="20"/>
                <w:highlight w:val="none"/>
              </w:rPr>
              <w:t>件安装、混凝土浇筑等）；</w:t>
            </w:r>
          </w:p>
          <w:p w14:paraId="4E147583">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门架构件、标志板及各</w:t>
            </w:r>
          </w:p>
          <w:p w14:paraId="3B648E8A">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种匹配件制作与安装；</w:t>
            </w:r>
          </w:p>
          <w:p w14:paraId="4E1336F4">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清理，弃方处理</w:t>
            </w:r>
          </w:p>
        </w:tc>
      </w:tr>
      <w:tr w14:paraId="2A923A2E">
        <w:tblPrEx>
          <w:tblCellMar>
            <w:top w:w="0" w:type="dxa"/>
            <w:left w:w="108" w:type="dxa"/>
            <w:bottom w:w="0" w:type="dxa"/>
            <w:right w:w="108" w:type="dxa"/>
          </w:tblCellMar>
        </w:tblPrEx>
        <w:trPr>
          <w:trHeight w:val="47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46AFC86">
            <w:pPr>
              <w:spacing w:line="433" w:lineRule="exact"/>
              <w:ind w:left="315"/>
              <w:rPr>
                <w:rFonts w:hint="eastAsia" w:ascii="宋体" w:hAnsi="宋体" w:eastAsia="宋体" w:cs="宋体"/>
                <w:highlight w:val="none"/>
              </w:rPr>
            </w:pPr>
            <w:r>
              <w:rPr>
                <w:rFonts w:hint="eastAsia" w:ascii="宋体" w:hAnsi="宋体" w:eastAsia="宋体" w:cs="宋体"/>
                <w:spacing w:val="-1"/>
                <w:sz w:val="20"/>
                <w:highlight w:val="none"/>
              </w:rPr>
              <w:t>705-1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ACC44D3">
            <w:pPr>
              <w:spacing w:line="384" w:lineRule="exact"/>
              <w:ind w:left="282"/>
              <w:rPr>
                <w:rFonts w:hint="eastAsia" w:ascii="宋体" w:hAnsi="宋体" w:eastAsia="宋体" w:cs="宋体"/>
                <w:highlight w:val="none"/>
              </w:rPr>
            </w:pPr>
            <w:r>
              <w:rPr>
                <w:rFonts w:hint="eastAsia" w:ascii="宋体" w:hAnsi="宋体" w:eastAsia="宋体" w:cs="宋体"/>
                <w:spacing w:val="-1"/>
                <w:sz w:val="20"/>
                <w:highlight w:val="none"/>
              </w:rPr>
              <w:t>铝合金标志牌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68B4B71">
            <w:pPr>
              <w:spacing w:line="384" w:lineRule="exact"/>
              <w:rPr>
                <w:rFonts w:hint="eastAsia" w:ascii="宋体" w:hAnsi="宋体" w:eastAsia="宋体" w:cs="宋体"/>
                <w:highlight w:val="none"/>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4D06850">
            <w:pPr>
              <w:spacing w:line="384" w:lineRule="exact"/>
              <w:rPr>
                <w:rFonts w:hint="eastAsia" w:ascii="宋体" w:hAnsi="宋体" w:eastAsia="宋体" w:cs="宋体"/>
                <w:highlight w:val="none"/>
              </w:rPr>
            </w:pP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3252B70">
            <w:pPr>
              <w:spacing w:line="384" w:lineRule="exact"/>
              <w:rPr>
                <w:rFonts w:hint="eastAsia" w:ascii="宋体" w:hAnsi="宋体" w:eastAsia="宋体" w:cs="宋体"/>
                <w:highlight w:val="none"/>
              </w:rPr>
            </w:pPr>
          </w:p>
        </w:tc>
      </w:tr>
      <w:tr w14:paraId="7DB65551">
        <w:tblPrEx>
          <w:tblCellMar>
            <w:top w:w="0" w:type="dxa"/>
            <w:left w:w="108" w:type="dxa"/>
            <w:bottom w:w="0" w:type="dxa"/>
            <w:right w:w="108" w:type="dxa"/>
          </w:tblCellMar>
        </w:tblPrEx>
        <w:trPr>
          <w:trHeight w:val="164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2AEFFA1">
            <w:pPr>
              <w:spacing w:line="1021" w:lineRule="exact"/>
              <w:ind w:left="478"/>
              <w:rPr>
                <w:rFonts w:hint="eastAsia" w:ascii="宋体" w:hAnsi="宋体" w:eastAsia="宋体" w:cs="宋体"/>
                <w:highlight w:val="none"/>
              </w:rPr>
            </w:pPr>
            <w:r>
              <w:rPr>
                <w:rFonts w:hint="eastAsia" w:ascii="宋体" w:hAnsi="宋体" w:eastAsia="宋体" w:cs="宋体"/>
                <w:spacing w:val="-1"/>
                <w:sz w:val="20"/>
                <w:highlight w:val="none"/>
              </w:rPr>
              <w:t>-a</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286E3EC">
            <w:pPr>
              <w:spacing w:line="969" w:lineRule="exact"/>
              <w:ind w:left="282"/>
              <w:rPr>
                <w:rFonts w:hint="eastAsia" w:ascii="宋体" w:hAnsi="宋体" w:eastAsia="宋体" w:cs="宋体"/>
                <w:highlight w:val="none"/>
              </w:rPr>
            </w:pPr>
            <w:r>
              <w:rPr>
                <w:rFonts w:hint="eastAsia" w:ascii="宋体" w:hAnsi="宋体" w:eastAsia="宋体" w:cs="宋体"/>
                <w:spacing w:val="-1"/>
                <w:sz w:val="20"/>
                <w:highlight w:val="none"/>
              </w:rPr>
              <w:t>单柱式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24D6FA7">
            <w:pPr>
              <w:spacing w:line="969" w:lineRule="exact"/>
              <w:ind w:left="434"/>
              <w:rPr>
                <w:rFonts w:hint="eastAsia" w:ascii="宋体" w:hAnsi="宋体" w:eastAsia="宋体" w:cs="宋体"/>
                <w:highlight w:val="none"/>
              </w:rPr>
            </w:pPr>
            <w:r>
              <w:rPr>
                <w:rFonts w:hint="eastAsia" w:ascii="宋体" w:hAnsi="宋体" w:eastAsia="宋体" w:cs="宋体"/>
                <w:spacing w:val="-1"/>
                <w:sz w:val="20"/>
                <w:highlight w:val="none"/>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A9DA91A">
            <w:pPr>
              <w:spacing w:line="518" w:lineRule="exact"/>
              <w:ind w:left="281"/>
              <w:rPr>
                <w:rFonts w:hint="eastAsia" w:ascii="宋体" w:hAnsi="宋体" w:eastAsia="宋体" w:cs="宋体"/>
                <w:highlight w:val="none"/>
              </w:rPr>
            </w:pPr>
            <w:r>
              <w:rPr>
                <w:rFonts w:hint="eastAsia" w:ascii="宋体" w:hAnsi="宋体" w:eastAsia="宋体" w:cs="宋体"/>
                <w:spacing w:val="-1"/>
                <w:sz w:val="20"/>
                <w:highlight w:val="none"/>
              </w:rPr>
              <w:t>依据图纸所示位置和断</w:t>
            </w:r>
          </w:p>
          <w:p w14:paraId="2642B3CD">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面尺寸，分不同规格的标</w:t>
            </w:r>
          </w:p>
          <w:p w14:paraId="21C91679">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志板面，按安装就位的标</w:t>
            </w:r>
          </w:p>
          <w:p w14:paraId="7A1F2F23">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E1D3D6F">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基槽开挖；</w:t>
            </w:r>
          </w:p>
          <w:p w14:paraId="7D99CAAA">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基础施工（钢筋与预埋</w:t>
            </w:r>
          </w:p>
          <w:p w14:paraId="4EA63D80">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件安装、混凝土浇筑等）；</w:t>
            </w:r>
          </w:p>
          <w:p w14:paraId="29D611AF">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立柱、标志板及各种匹</w:t>
            </w:r>
          </w:p>
          <w:p w14:paraId="722B7147">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配件制作与安装；</w:t>
            </w:r>
          </w:p>
          <w:p w14:paraId="0E29CD96">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清理，弃方处理</w:t>
            </w:r>
          </w:p>
        </w:tc>
      </w:tr>
      <w:tr w14:paraId="35F58C15">
        <w:tblPrEx>
          <w:tblCellMar>
            <w:top w:w="0" w:type="dxa"/>
            <w:left w:w="108" w:type="dxa"/>
            <w:bottom w:w="0" w:type="dxa"/>
            <w:right w:w="108" w:type="dxa"/>
          </w:tblCellMar>
        </w:tblPrEx>
        <w:trPr>
          <w:trHeight w:val="1645"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D7F9B1D">
            <w:pPr>
              <w:spacing w:line="1021" w:lineRule="exact"/>
              <w:ind w:left="473"/>
              <w:rPr>
                <w:rFonts w:hint="eastAsia" w:ascii="宋体" w:hAnsi="宋体" w:eastAsia="宋体" w:cs="宋体"/>
                <w:highlight w:val="none"/>
              </w:rPr>
            </w:pPr>
            <w:r>
              <w:rPr>
                <w:rFonts w:hint="eastAsia" w:ascii="宋体" w:hAnsi="宋体" w:eastAsia="宋体" w:cs="宋体"/>
                <w:spacing w:val="-1"/>
                <w:sz w:val="20"/>
                <w:highlight w:val="none"/>
              </w:rPr>
              <w:t>-b</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B73BBAF">
            <w:pPr>
              <w:spacing w:line="969" w:lineRule="exact"/>
              <w:ind w:left="282"/>
              <w:rPr>
                <w:rFonts w:hint="eastAsia" w:ascii="宋体" w:hAnsi="宋体" w:eastAsia="宋体" w:cs="宋体"/>
                <w:highlight w:val="none"/>
              </w:rPr>
            </w:pPr>
            <w:r>
              <w:rPr>
                <w:rFonts w:hint="eastAsia" w:ascii="宋体" w:hAnsi="宋体" w:eastAsia="宋体" w:cs="宋体"/>
                <w:spacing w:val="-1"/>
                <w:sz w:val="20"/>
                <w:highlight w:val="none"/>
              </w:rPr>
              <w:t>双柱式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8E2C08C">
            <w:pPr>
              <w:spacing w:line="969" w:lineRule="exact"/>
              <w:ind w:left="434"/>
              <w:rPr>
                <w:rFonts w:hint="eastAsia" w:ascii="宋体" w:hAnsi="宋体" w:eastAsia="宋体" w:cs="宋体"/>
                <w:highlight w:val="none"/>
              </w:rPr>
            </w:pPr>
            <w:r>
              <w:rPr>
                <w:rFonts w:hint="eastAsia" w:ascii="宋体" w:hAnsi="宋体" w:eastAsia="宋体" w:cs="宋体"/>
                <w:spacing w:val="-1"/>
                <w:sz w:val="20"/>
                <w:highlight w:val="none"/>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7BB9F27">
            <w:pPr>
              <w:spacing w:line="518" w:lineRule="exact"/>
              <w:ind w:left="281"/>
              <w:rPr>
                <w:rFonts w:hint="eastAsia" w:ascii="宋体" w:hAnsi="宋体" w:eastAsia="宋体" w:cs="宋体"/>
                <w:highlight w:val="none"/>
              </w:rPr>
            </w:pPr>
            <w:r>
              <w:rPr>
                <w:rFonts w:hint="eastAsia" w:ascii="宋体" w:hAnsi="宋体" w:eastAsia="宋体" w:cs="宋体"/>
                <w:spacing w:val="-1"/>
                <w:sz w:val="20"/>
                <w:highlight w:val="none"/>
              </w:rPr>
              <w:t>依据图纸所示位置和断</w:t>
            </w:r>
          </w:p>
          <w:p w14:paraId="01F4A50E">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面尺寸，分不同规格的标</w:t>
            </w:r>
          </w:p>
          <w:p w14:paraId="67BFC4A2">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志板面，按安装就位的标</w:t>
            </w:r>
          </w:p>
          <w:p w14:paraId="1368BDDB">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57A3B9E">
            <w:pPr>
              <w:spacing w:line="279"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基槽开挖；</w:t>
            </w:r>
          </w:p>
          <w:p w14:paraId="1AA99610">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基础施工（钢筋与预埋</w:t>
            </w:r>
          </w:p>
          <w:p w14:paraId="3150CF8C">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件安装、混凝土浇筑等）；</w:t>
            </w:r>
          </w:p>
          <w:p w14:paraId="43263F27">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立柱、标志板及各种匹</w:t>
            </w:r>
          </w:p>
          <w:p w14:paraId="5DD88431">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配件制作与安装；</w:t>
            </w:r>
          </w:p>
          <w:p w14:paraId="7943F207">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清理，弃方处理</w:t>
            </w:r>
          </w:p>
        </w:tc>
      </w:tr>
      <w:tr w14:paraId="200B3DF9">
        <w:tblPrEx>
          <w:tblCellMar>
            <w:top w:w="0" w:type="dxa"/>
            <w:left w:w="108" w:type="dxa"/>
            <w:bottom w:w="0" w:type="dxa"/>
            <w:right w:w="108" w:type="dxa"/>
          </w:tblCellMar>
        </w:tblPrEx>
        <w:trPr>
          <w:trHeight w:val="164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4F04BA9">
            <w:pPr>
              <w:spacing w:line="1020" w:lineRule="exact"/>
              <w:ind w:left="478"/>
              <w:rPr>
                <w:rFonts w:hint="eastAsia" w:ascii="宋体" w:hAnsi="宋体" w:eastAsia="宋体" w:cs="宋体"/>
                <w:highlight w:val="none"/>
              </w:rPr>
            </w:pPr>
            <w:r>
              <w:rPr>
                <w:rFonts w:hint="eastAsia" w:ascii="宋体" w:hAnsi="宋体" w:eastAsia="宋体" w:cs="宋体"/>
                <w:spacing w:val="-1"/>
                <w:sz w:val="20"/>
                <w:highlight w:val="none"/>
              </w:rPr>
              <w:t>-c</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AB39409">
            <w:pPr>
              <w:spacing w:line="968" w:lineRule="exact"/>
              <w:ind w:left="282"/>
              <w:rPr>
                <w:rFonts w:hint="eastAsia" w:ascii="宋体" w:hAnsi="宋体" w:eastAsia="宋体" w:cs="宋体"/>
                <w:highlight w:val="none"/>
              </w:rPr>
            </w:pPr>
            <w:r>
              <w:rPr>
                <w:rFonts w:hint="eastAsia" w:ascii="宋体" w:hAnsi="宋体" w:eastAsia="宋体" w:cs="宋体"/>
                <w:spacing w:val="-1"/>
                <w:sz w:val="20"/>
                <w:highlight w:val="none"/>
              </w:rPr>
              <w:t>门架式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F78E0E5">
            <w:pPr>
              <w:spacing w:line="968" w:lineRule="exact"/>
              <w:ind w:left="434"/>
              <w:rPr>
                <w:rFonts w:hint="eastAsia" w:ascii="宋体" w:hAnsi="宋体" w:eastAsia="宋体" w:cs="宋体"/>
                <w:highlight w:val="none"/>
              </w:rPr>
            </w:pPr>
            <w:r>
              <w:rPr>
                <w:rFonts w:hint="eastAsia" w:ascii="宋体" w:hAnsi="宋体" w:eastAsia="宋体" w:cs="宋体"/>
                <w:spacing w:val="-1"/>
                <w:sz w:val="20"/>
                <w:highlight w:val="none"/>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0CB448E">
            <w:pPr>
              <w:spacing w:line="517" w:lineRule="exact"/>
              <w:ind w:left="281"/>
              <w:rPr>
                <w:rFonts w:hint="eastAsia" w:ascii="宋体" w:hAnsi="宋体" w:eastAsia="宋体" w:cs="宋体"/>
                <w:highlight w:val="none"/>
              </w:rPr>
            </w:pPr>
            <w:r>
              <w:rPr>
                <w:rFonts w:hint="eastAsia" w:ascii="宋体" w:hAnsi="宋体" w:eastAsia="宋体" w:cs="宋体"/>
                <w:spacing w:val="-1"/>
                <w:sz w:val="20"/>
                <w:highlight w:val="none"/>
              </w:rPr>
              <w:t>依据图纸所示位置和断</w:t>
            </w:r>
          </w:p>
          <w:p w14:paraId="58E7C5AD">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面尺寸，分不同规格的标</w:t>
            </w:r>
          </w:p>
          <w:p w14:paraId="048D26E9">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志板面，按安装就位的标</w:t>
            </w:r>
          </w:p>
          <w:p w14:paraId="7B40A027">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6CEBD12">
            <w:pPr>
              <w:spacing w:line="278"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基槽开挖；</w:t>
            </w:r>
          </w:p>
          <w:p w14:paraId="40D64ACC">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基础施工（钢筋与预埋</w:t>
            </w:r>
          </w:p>
          <w:p w14:paraId="6384301C">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件安装、混凝土浇筑等）；</w:t>
            </w:r>
          </w:p>
          <w:p w14:paraId="0F2180FD">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门架构件、标志板及各</w:t>
            </w:r>
          </w:p>
          <w:p w14:paraId="0B73AA82">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种匹配件制作与安装；</w:t>
            </w:r>
          </w:p>
          <w:p w14:paraId="0A0BEFF6">
            <w:pPr>
              <w:spacing w:line="306"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清理，弃方处理</w:t>
            </w:r>
          </w:p>
        </w:tc>
      </w:tr>
      <w:tr w14:paraId="25613D40">
        <w:tblPrEx>
          <w:tblCellMar>
            <w:top w:w="0" w:type="dxa"/>
            <w:left w:w="108" w:type="dxa"/>
            <w:bottom w:w="0" w:type="dxa"/>
            <w:right w:w="108" w:type="dxa"/>
          </w:tblCellMar>
        </w:tblPrEx>
        <w:trPr>
          <w:trHeight w:val="137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42BF11D">
            <w:pPr>
              <w:spacing w:line="883" w:lineRule="exact"/>
              <w:ind w:left="315"/>
              <w:rPr>
                <w:rFonts w:hint="eastAsia" w:ascii="宋体" w:hAnsi="宋体" w:eastAsia="宋体" w:cs="宋体"/>
                <w:highlight w:val="none"/>
              </w:rPr>
            </w:pPr>
            <w:r>
              <w:rPr>
                <w:rFonts w:hint="eastAsia" w:ascii="宋体" w:hAnsi="宋体" w:eastAsia="宋体" w:cs="宋体"/>
                <w:spacing w:val="-1"/>
                <w:sz w:val="20"/>
                <w:highlight w:val="none"/>
              </w:rPr>
              <w:t>706-1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98B9E92">
            <w:pPr>
              <w:spacing w:line="832" w:lineRule="exact"/>
              <w:ind w:left="282"/>
              <w:rPr>
                <w:rFonts w:hint="eastAsia" w:ascii="宋体" w:hAnsi="宋体" w:eastAsia="宋体" w:cs="宋体"/>
                <w:highlight w:val="none"/>
              </w:rPr>
            </w:pPr>
            <w:r>
              <w:rPr>
                <w:rFonts w:hint="eastAsia" w:ascii="宋体" w:hAnsi="宋体" w:eastAsia="宋体" w:cs="宋体"/>
                <w:spacing w:val="-1"/>
                <w:sz w:val="20"/>
                <w:highlight w:val="none"/>
              </w:rPr>
              <w:t>路面标线</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CF0478B">
            <w:pPr>
              <w:spacing w:line="792" w:lineRule="exact"/>
              <w:ind w:left="425"/>
              <w:rPr>
                <w:rFonts w:hint="eastAsia" w:ascii="宋体" w:hAnsi="宋体" w:eastAsia="宋体" w:cs="宋体"/>
                <w:highlight w:val="none"/>
              </w:rPr>
            </w:pPr>
            <w:r>
              <w:rPr>
                <w:rFonts w:hint="eastAsia" w:ascii="宋体" w:hAnsi="宋体" w:eastAsia="宋体" w:cs="宋体"/>
                <w:position w:val="-4"/>
                <w:sz w:val="20"/>
                <w:highlight w:val="none"/>
              </w:rPr>
              <w:t>m</w:t>
            </w:r>
            <w:r>
              <w:rPr>
                <w:rFonts w:hint="eastAsia" w:ascii="宋体" w:hAnsi="宋体" w:eastAsia="宋体" w:cs="宋体"/>
                <w:spacing w:val="-4"/>
                <w:sz w:val="13"/>
                <w:highlight w:val="none"/>
              </w:rPr>
              <w:t>2</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76F423F">
            <w:pPr>
              <w:spacing w:line="380" w:lineRule="exact"/>
              <w:ind w:left="281"/>
              <w:rPr>
                <w:rFonts w:hint="eastAsia" w:ascii="宋体" w:hAnsi="宋体" w:eastAsia="宋体" w:cs="宋体"/>
                <w:highlight w:val="none"/>
              </w:rPr>
            </w:pPr>
            <w:r>
              <w:rPr>
                <w:rFonts w:hint="eastAsia" w:ascii="宋体" w:hAnsi="宋体" w:eastAsia="宋体" w:cs="宋体"/>
                <w:spacing w:val="-1"/>
                <w:sz w:val="20"/>
                <w:highlight w:val="none"/>
              </w:rPr>
              <w:t>依据图纸所示位置和断</w:t>
            </w:r>
          </w:p>
          <w:p w14:paraId="120D9B39">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面尺寸，分不同类型，按</w:t>
            </w:r>
          </w:p>
          <w:p w14:paraId="09D61C8D">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图示标线面积以平方米</w:t>
            </w:r>
          </w:p>
          <w:p w14:paraId="1954A591">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72244E8">
            <w:pPr>
              <w:spacing w:line="278"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路面清扫；</w:t>
            </w:r>
          </w:p>
          <w:p w14:paraId="10D48E6D">
            <w:pPr>
              <w:spacing w:line="274"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刮涂底油，涂料加热溶</w:t>
            </w:r>
          </w:p>
          <w:p w14:paraId="7D6F1B40">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解，喷（刮）标线，撒布</w:t>
            </w:r>
          </w:p>
          <w:p w14:paraId="702C7950">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玻璃珠（反光标线），初</w:t>
            </w:r>
          </w:p>
          <w:p w14:paraId="16AF0534">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期养护</w:t>
            </w:r>
          </w:p>
        </w:tc>
      </w:tr>
      <w:tr w14:paraId="442A354B">
        <w:tblPrEx>
          <w:tblCellMar>
            <w:top w:w="0" w:type="dxa"/>
            <w:left w:w="108" w:type="dxa"/>
            <w:bottom w:w="0" w:type="dxa"/>
            <w:right w:w="108" w:type="dxa"/>
          </w:tblCellMar>
        </w:tblPrEx>
        <w:trPr>
          <w:trHeight w:val="827"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D68FE19">
            <w:pPr>
              <w:spacing w:line="611" w:lineRule="exact"/>
              <w:ind w:left="315"/>
              <w:rPr>
                <w:rFonts w:hint="eastAsia" w:ascii="宋体" w:hAnsi="宋体" w:eastAsia="宋体" w:cs="宋体"/>
                <w:highlight w:val="none"/>
              </w:rPr>
            </w:pPr>
            <w:r>
              <w:rPr>
                <w:rFonts w:hint="eastAsia" w:ascii="宋体" w:hAnsi="宋体" w:eastAsia="宋体" w:cs="宋体"/>
                <w:spacing w:val="-1"/>
                <w:sz w:val="20"/>
                <w:highlight w:val="none"/>
              </w:rPr>
              <w:t>707-1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05F406A">
            <w:pPr>
              <w:spacing w:line="562" w:lineRule="exact"/>
              <w:ind w:left="282"/>
              <w:rPr>
                <w:rFonts w:hint="eastAsia" w:ascii="宋体" w:hAnsi="宋体" w:eastAsia="宋体" w:cs="宋体"/>
                <w:highlight w:val="none"/>
              </w:rPr>
            </w:pPr>
            <w:r>
              <w:rPr>
                <w:rFonts w:hint="eastAsia" w:ascii="宋体" w:hAnsi="宋体" w:eastAsia="宋体" w:cs="宋体"/>
                <w:spacing w:val="-1"/>
                <w:sz w:val="20"/>
                <w:highlight w:val="none"/>
              </w:rPr>
              <w:t>里程碑</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15A8DE1">
            <w:pPr>
              <w:spacing w:line="562" w:lineRule="exact"/>
              <w:ind w:left="434"/>
              <w:rPr>
                <w:rFonts w:hint="eastAsia" w:ascii="宋体" w:hAnsi="宋体" w:eastAsia="宋体" w:cs="宋体"/>
                <w:highlight w:val="none"/>
              </w:rPr>
            </w:pPr>
            <w:r>
              <w:rPr>
                <w:rFonts w:hint="eastAsia" w:ascii="宋体" w:hAnsi="宋体" w:eastAsia="宋体" w:cs="宋体"/>
                <w:spacing w:val="-1"/>
                <w:sz w:val="20"/>
                <w:highlight w:val="none"/>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4C6C563">
            <w:pPr>
              <w:spacing w:line="245" w:lineRule="exact"/>
              <w:ind w:left="281"/>
              <w:rPr>
                <w:rFonts w:hint="eastAsia" w:ascii="宋体" w:hAnsi="宋体" w:eastAsia="宋体" w:cs="宋体"/>
                <w:highlight w:val="none"/>
              </w:rPr>
            </w:pPr>
            <w:r>
              <w:rPr>
                <w:rFonts w:hint="eastAsia" w:ascii="宋体" w:hAnsi="宋体" w:eastAsia="宋体" w:cs="宋体"/>
                <w:spacing w:val="-1"/>
                <w:sz w:val="20"/>
                <w:highlight w:val="none"/>
              </w:rPr>
              <w:t>依据图纸所示位置和断</w:t>
            </w:r>
          </w:p>
          <w:p w14:paraId="7C628A27">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面尺寸，按图示里程碑数</w:t>
            </w:r>
          </w:p>
          <w:p w14:paraId="7F621838">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9F1B31C">
            <w:pPr>
              <w:spacing w:line="280" w:lineRule="exact"/>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基础施工或设置连接</w:t>
            </w:r>
            <w:r>
              <w:rPr>
                <w:rFonts w:hint="eastAsia" w:ascii="宋体" w:hAnsi="宋体" w:eastAsia="宋体" w:cs="宋体"/>
                <w:spacing w:val="-1"/>
                <w:sz w:val="20"/>
                <w:highlight w:val="none"/>
              </w:rPr>
              <w:t>件；</w:t>
            </w:r>
          </w:p>
          <w:p w14:paraId="390E16F2">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里程碑制作与安装</w:t>
            </w:r>
          </w:p>
        </w:tc>
      </w:tr>
      <w:tr w14:paraId="0B099107">
        <w:tblPrEx>
          <w:tblCellMar>
            <w:top w:w="0" w:type="dxa"/>
            <w:left w:w="108" w:type="dxa"/>
            <w:bottom w:w="0" w:type="dxa"/>
            <w:right w:w="108" w:type="dxa"/>
          </w:tblCellMar>
        </w:tblPrEx>
        <w:trPr>
          <w:trHeight w:val="137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72CE02F">
            <w:pPr>
              <w:spacing w:line="884" w:lineRule="exact"/>
              <w:ind w:left="315"/>
              <w:rPr>
                <w:rFonts w:hint="eastAsia" w:ascii="宋体" w:hAnsi="宋体" w:eastAsia="宋体" w:cs="宋体"/>
                <w:highlight w:val="none"/>
              </w:rPr>
            </w:pPr>
            <w:r>
              <w:rPr>
                <w:rFonts w:hint="eastAsia" w:ascii="宋体" w:hAnsi="宋体" w:eastAsia="宋体" w:cs="宋体"/>
                <w:spacing w:val="-1"/>
                <w:sz w:val="20"/>
                <w:highlight w:val="none"/>
              </w:rPr>
              <w:t>708-1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C4CFB76">
            <w:pPr>
              <w:spacing w:line="834" w:lineRule="exact"/>
              <w:ind w:left="282"/>
              <w:rPr>
                <w:rFonts w:hint="eastAsia" w:ascii="宋体" w:hAnsi="宋体" w:eastAsia="宋体" w:cs="宋体"/>
                <w:highlight w:val="none"/>
              </w:rPr>
            </w:pPr>
            <w:r>
              <w:rPr>
                <w:rFonts w:hint="eastAsia" w:ascii="宋体" w:hAnsi="宋体" w:eastAsia="宋体" w:cs="宋体"/>
                <w:spacing w:val="-1"/>
                <w:sz w:val="20"/>
                <w:highlight w:val="none"/>
              </w:rPr>
              <w:t>公路界碑</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747EA07">
            <w:pPr>
              <w:spacing w:line="834" w:lineRule="exact"/>
              <w:ind w:left="434"/>
              <w:rPr>
                <w:rFonts w:hint="eastAsia" w:ascii="宋体" w:hAnsi="宋体" w:eastAsia="宋体" w:cs="宋体"/>
                <w:highlight w:val="none"/>
              </w:rPr>
            </w:pPr>
            <w:r>
              <w:rPr>
                <w:rFonts w:hint="eastAsia" w:ascii="宋体" w:hAnsi="宋体" w:eastAsia="宋体" w:cs="宋体"/>
                <w:spacing w:val="-1"/>
                <w:sz w:val="20"/>
                <w:highlight w:val="none"/>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02F85A6">
            <w:pPr>
              <w:spacing w:line="246" w:lineRule="exact"/>
              <w:ind w:left="281"/>
              <w:rPr>
                <w:rFonts w:hint="eastAsia" w:ascii="宋体" w:hAnsi="宋体" w:eastAsia="宋体" w:cs="宋体"/>
                <w:highlight w:val="none"/>
              </w:rPr>
            </w:pPr>
            <w:r>
              <w:rPr>
                <w:rFonts w:hint="eastAsia" w:ascii="宋体" w:hAnsi="宋体" w:eastAsia="宋体" w:cs="宋体"/>
                <w:spacing w:val="-1"/>
                <w:sz w:val="20"/>
                <w:highlight w:val="none"/>
              </w:rPr>
              <w:t>依据图纸所示位置和断</w:t>
            </w:r>
          </w:p>
          <w:p w14:paraId="6D6B7610">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面尺寸，按图示公路界碑</w:t>
            </w:r>
          </w:p>
          <w:p w14:paraId="5C2EDDA3">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2054125">
            <w:pPr>
              <w:spacing w:line="281" w:lineRule="exact"/>
              <w:ind w:left="281"/>
              <w:rPr>
                <w:rFonts w:hint="eastAsia" w:ascii="宋体" w:hAnsi="宋体" w:eastAsia="宋体" w:cs="宋体"/>
                <w:highlight w:val="none"/>
              </w:rPr>
            </w:pPr>
            <w:r>
              <w:rPr>
                <w:rFonts w:hint="eastAsia" w:ascii="宋体" w:hAnsi="宋体" w:eastAsia="宋体" w:cs="宋体"/>
                <w:sz w:val="20"/>
                <w:highlight w:val="none"/>
              </w:rPr>
              <w:t>1.</w:t>
            </w:r>
            <w:r>
              <w:rPr>
                <w:rFonts w:hint="eastAsia" w:ascii="宋体" w:hAnsi="宋体" w:eastAsia="宋体" w:cs="宋体"/>
                <w:spacing w:val="-1"/>
                <w:position w:val="1"/>
                <w:sz w:val="20"/>
                <w:highlight w:val="none"/>
              </w:rPr>
              <w:t>界碑制作；</w:t>
            </w:r>
          </w:p>
          <w:p w14:paraId="14441A62">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2.</w:t>
            </w:r>
            <w:r>
              <w:rPr>
                <w:rFonts w:hint="eastAsia" w:ascii="宋体" w:hAnsi="宋体" w:eastAsia="宋体" w:cs="宋体"/>
                <w:spacing w:val="-1"/>
                <w:position w:val="1"/>
                <w:sz w:val="20"/>
                <w:highlight w:val="none"/>
              </w:rPr>
              <w:t>基槽开挖、基槽混凝土</w:t>
            </w:r>
          </w:p>
          <w:p w14:paraId="1C3D15F1">
            <w:pPr>
              <w:spacing w:line="237" w:lineRule="exact"/>
              <w:ind w:left="108"/>
              <w:rPr>
                <w:rFonts w:hint="eastAsia" w:ascii="宋体" w:hAnsi="宋体" w:eastAsia="宋体" w:cs="宋体"/>
                <w:highlight w:val="none"/>
              </w:rPr>
            </w:pPr>
            <w:r>
              <w:rPr>
                <w:rFonts w:hint="eastAsia" w:ascii="宋体" w:hAnsi="宋体" w:eastAsia="宋体" w:cs="宋体"/>
                <w:spacing w:val="-1"/>
                <w:sz w:val="20"/>
                <w:highlight w:val="none"/>
              </w:rPr>
              <w:t>浇筑、界碑埋设；</w:t>
            </w:r>
          </w:p>
          <w:p w14:paraId="0F75C80B">
            <w:pPr>
              <w:spacing w:line="308" w:lineRule="exact"/>
              <w:ind w:left="281"/>
              <w:rPr>
                <w:rFonts w:hint="eastAsia" w:ascii="宋体" w:hAnsi="宋体" w:eastAsia="宋体" w:cs="宋体"/>
                <w:highlight w:val="none"/>
              </w:rPr>
            </w:pPr>
            <w:r>
              <w:rPr>
                <w:rFonts w:hint="eastAsia" w:ascii="宋体" w:hAnsi="宋体" w:eastAsia="宋体" w:cs="宋体"/>
                <w:sz w:val="20"/>
                <w:highlight w:val="none"/>
              </w:rPr>
              <w:t>3.</w:t>
            </w:r>
            <w:r>
              <w:rPr>
                <w:rFonts w:hint="eastAsia" w:ascii="宋体" w:hAnsi="宋体" w:eastAsia="宋体" w:cs="宋体"/>
                <w:spacing w:val="-1"/>
                <w:position w:val="1"/>
                <w:sz w:val="20"/>
                <w:highlight w:val="none"/>
              </w:rPr>
              <w:t>基坑回填、夯实；</w:t>
            </w:r>
          </w:p>
          <w:p w14:paraId="570D2669">
            <w:pPr>
              <w:spacing w:line="271" w:lineRule="exact"/>
              <w:ind w:left="281"/>
              <w:rPr>
                <w:rFonts w:hint="eastAsia" w:ascii="宋体" w:hAnsi="宋体" w:eastAsia="宋体" w:cs="宋体"/>
                <w:highlight w:val="none"/>
              </w:rPr>
            </w:pPr>
            <w:r>
              <w:rPr>
                <w:rFonts w:hint="eastAsia" w:ascii="宋体" w:hAnsi="宋体" w:eastAsia="宋体" w:cs="宋体"/>
                <w:sz w:val="20"/>
                <w:highlight w:val="none"/>
              </w:rPr>
              <w:t>4.</w:t>
            </w:r>
            <w:r>
              <w:rPr>
                <w:rFonts w:hint="eastAsia" w:ascii="宋体" w:hAnsi="宋体" w:eastAsia="宋体" w:cs="宋体"/>
                <w:spacing w:val="-1"/>
                <w:position w:val="1"/>
                <w:sz w:val="20"/>
                <w:highlight w:val="none"/>
              </w:rPr>
              <w:t>清理，弃方处理</w:t>
            </w:r>
          </w:p>
        </w:tc>
      </w:tr>
      <w:tr w14:paraId="4BD930AE">
        <w:tblPrEx>
          <w:tblCellMar>
            <w:top w:w="0" w:type="dxa"/>
            <w:left w:w="108" w:type="dxa"/>
            <w:bottom w:w="0" w:type="dxa"/>
            <w:right w:w="108" w:type="dxa"/>
          </w:tblCellMar>
        </w:tblPrEx>
        <w:trPr>
          <w:trHeight w:val="109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C905819">
            <w:pPr>
              <w:spacing w:line="748" w:lineRule="exact"/>
              <w:ind w:left="315"/>
              <w:rPr>
                <w:rFonts w:hint="eastAsia" w:ascii="宋体" w:hAnsi="宋体" w:eastAsia="宋体" w:cs="宋体"/>
                <w:highlight w:val="none"/>
              </w:rPr>
            </w:pPr>
            <w:r>
              <w:rPr>
                <w:rFonts w:hint="eastAsia" w:ascii="宋体" w:hAnsi="宋体" w:eastAsia="宋体" w:cs="宋体"/>
                <w:spacing w:val="-1"/>
                <w:sz w:val="20"/>
                <w:highlight w:val="none"/>
              </w:rPr>
              <w:t>709-1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74F3278">
            <w:pPr>
              <w:spacing w:line="698" w:lineRule="exact"/>
              <w:ind w:left="282"/>
              <w:rPr>
                <w:rFonts w:hint="eastAsia" w:ascii="宋体" w:hAnsi="宋体" w:eastAsia="宋体" w:cs="宋体"/>
                <w:highlight w:val="none"/>
              </w:rPr>
            </w:pPr>
            <w:r>
              <w:rPr>
                <w:rFonts w:hint="eastAsia" w:ascii="宋体" w:hAnsi="宋体" w:eastAsia="宋体" w:cs="宋体"/>
                <w:spacing w:val="-1"/>
                <w:sz w:val="20"/>
                <w:highlight w:val="none"/>
              </w:rPr>
              <w:t>百米桩</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ACC246B">
            <w:pPr>
              <w:spacing w:line="698" w:lineRule="exact"/>
              <w:ind w:left="434"/>
              <w:rPr>
                <w:rFonts w:hint="eastAsia" w:ascii="宋体" w:hAnsi="宋体" w:eastAsia="宋体" w:cs="宋体"/>
                <w:highlight w:val="none"/>
              </w:rPr>
            </w:pPr>
            <w:r>
              <w:rPr>
                <w:rFonts w:hint="eastAsia" w:ascii="宋体" w:hAnsi="宋体" w:eastAsia="宋体" w:cs="宋体"/>
                <w:spacing w:val="-1"/>
                <w:sz w:val="20"/>
                <w:highlight w:val="none"/>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76ABB44">
            <w:pPr>
              <w:spacing w:line="245" w:lineRule="exact"/>
              <w:ind w:left="281"/>
              <w:rPr>
                <w:rFonts w:hint="eastAsia" w:ascii="宋体" w:hAnsi="宋体" w:eastAsia="宋体" w:cs="宋体"/>
                <w:highlight w:val="none"/>
              </w:rPr>
            </w:pPr>
            <w:r>
              <w:rPr>
                <w:rFonts w:hint="eastAsia" w:ascii="宋体" w:hAnsi="宋体" w:eastAsia="宋体" w:cs="宋体"/>
                <w:spacing w:val="-1"/>
                <w:sz w:val="20"/>
                <w:highlight w:val="none"/>
              </w:rPr>
              <w:t>依据图纸所示位置和断</w:t>
            </w:r>
          </w:p>
          <w:p w14:paraId="29F1A72F">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面尺寸，分不同类型，按</w:t>
            </w:r>
          </w:p>
          <w:p w14:paraId="432FFA7B">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图示百米桩数量以个为</w:t>
            </w:r>
          </w:p>
          <w:p w14:paraId="2B08D194">
            <w:pPr>
              <w:spacing w:line="274" w:lineRule="exact"/>
              <w:ind w:left="108"/>
              <w:rPr>
                <w:rFonts w:hint="eastAsia" w:ascii="宋体" w:hAnsi="宋体" w:eastAsia="宋体" w:cs="宋体"/>
                <w:highlight w:val="none"/>
              </w:rPr>
            </w:pPr>
            <w:r>
              <w:rPr>
                <w:rFonts w:hint="eastAsia" w:ascii="宋体" w:hAnsi="宋体" w:eastAsia="宋体" w:cs="宋体"/>
                <w:spacing w:val="-1"/>
                <w:sz w:val="20"/>
                <w:highlight w:val="none"/>
              </w:rPr>
              <w:t>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06B025B">
            <w:pPr>
              <w:spacing w:line="518" w:lineRule="exact"/>
              <w:ind w:left="281"/>
              <w:rPr>
                <w:rFonts w:hint="eastAsia" w:ascii="宋体" w:hAnsi="宋体" w:eastAsia="宋体" w:cs="宋体"/>
                <w:highlight w:val="none"/>
              </w:rPr>
            </w:pPr>
            <w:r>
              <w:rPr>
                <w:rFonts w:hint="eastAsia" w:ascii="宋体" w:hAnsi="宋体" w:eastAsia="宋体" w:cs="宋体"/>
                <w:spacing w:val="-1"/>
                <w:sz w:val="20"/>
                <w:highlight w:val="none"/>
              </w:rPr>
              <w:t>百米桩制作、运输、安</w:t>
            </w:r>
          </w:p>
          <w:p w14:paraId="3C344F84">
            <w:pPr>
              <w:spacing w:line="271" w:lineRule="exact"/>
              <w:ind w:left="108"/>
              <w:rPr>
                <w:rFonts w:hint="eastAsia" w:ascii="宋体" w:hAnsi="宋体" w:eastAsia="宋体" w:cs="宋体"/>
                <w:highlight w:val="none"/>
              </w:rPr>
            </w:pPr>
            <w:r>
              <w:rPr>
                <w:rFonts w:hint="eastAsia" w:ascii="宋体" w:hAnsi="宋体" w:eastAsia="宋体" w:cs="宋体"/>
                <w:spacing w:val="-1"/>
                <w:sz w:val="20"/>
                <w:highlight w:val="none"/>
              </w:rPr>
              <w:t>装</w:t>
            </w:r>
          </w:p>
        </w:tc>
      </w:tr>
      <w:tr w14:paraId="3610CF6F">
        <w:tblPrEx>
          <w:tblCellMar>
            <w:top w:w="0" w:type="dxa"/>
            <w:left w:w="108" w:type="dxa"/>
            <w:bottom w:w="0" w:type="dxa"/>
            <w:right w:w="108" w:type="dxa"/>
          </w:tblCellMar>
        </w:tblPrEx>
        <w:trPr>
          <w:trHeight w:val="87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69E7221">
            <w:pPr>
              <w:spacing w:line="748" w:lineRule="exact"/>
              <w:ind w:left="315"/>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710-1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A772F2E">
            <w:pPr>
              <w:spacing w:line="698" w:lineRule="exact"/>
              <w:ind w:left="282"/>
              <w:rPr>
                <w:rFonts w:hint="eastAsia" w:ascii="宋体" w:hAnsi="宋体" w:eastAsia="宋体" w:cs="宋体"/>
                <w:spacing w:val="-1"/>
                <w:sz w:val="20"/>
                <w:highlight w:val="none"/>
              </w:rPr>
            </w:pPr>
            <w:r>
              <w:rPr>
                <w:rFonts w:hint="eastAsia" w:ascii="宋体" w:hAnsi="宋体" w:eastAsia="宋体" w:cs="宋体"/>
                <w:spacing w:val="-1"/>
                <w:sz w:val="20"/>
                <w:highlight w:val="none"/>
              </w:rPr>
              <w:t>减速垄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6ACF423">
            <w:pPr>
              <w:spacing w:line="698" w:lineRule="exact"/>
              <w:ind w:left="434"/>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m</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829B9B5">
            <w:pPr>
              <w:spacing w:line="274" w:lineRule="exact"/>
              <w:ind w:left="108"/>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依据图纸所示位置和断面尺寸，按图示以长度为单位计量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8FEEE60">
            <w:pPr>
              <w:spacing w:line="271" w:lineRule="exact"/>
              <w:ind w:left="108"/>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减速垄的制作，运输、安装</w:t>
            </w:r>
          </w:p>
        </w:tc>
      </w:tr>
      <w:tr w14:paraId="14195E54">
        <w:tblPrEx>
          <w:tblCellMar>
            <w:top w:w="0" w:type="dxa"/>
            <w:left w:w="108" w:type="dxa"/>
            <w:bottom w:w="0" w:type="dxa"/>
            <w:right w:w="108" w:type="dxa"/>
          </w:tblCellMar>
        </w:tblPrEx>
        <w:trPr>
          <w:trHeight w:val="1640"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8F54ADF">
            <w:pPr>
              <w:spacing w:line="748" w:lineRule="exact"/>
              <w:ind w:left="315"/>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711-1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5005A84F">
            <w:pPr>
              <w:widowControl/>
              <w:jc w:val="center"/>
              <w:textAlignment w:val="center"/>
              <w:rPr>
                <w:rFonts w:hint="eastAsia" w:ascii="宋体" w:hAnsi="宋体" w:eastAsia="宋体" w:cs="宋体"/>
                <w:kern w:val="2"/>
                <w:sz w:val="20"/>
                <w:szCs w:val="20"/>
                <w:highlight w:val="none"/>
                <w:lang w:val="en-US" w:bidi="ar-SA"/>
              </w:rPr>
            </w:pPr>
            <w:r>
              <w:rPr>
                <w:rFonts w:hint="eastAsia" w:ascii="宋体" w:hAnsi="宋体" w:eastAsia="宋体" w:cs="宋体"/>
                <w:sz w:val="20"/>
                <w:szCs w:val="20"/>
                <w:highlight w:val="none"/>
                <w:lang w:val="en-US" w:bidi="ar"/>
              </w:rPr>
              <w:t>波形梁护栏（含端头）</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38F2199">
            <w:pPr>
              <w:spacing w:line="698" w:lineRule="exact"/>
              <w:ind w:left="434"/>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m</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616876E">
            <w:pPr>
              <w:spacing w:line="274" w:lineRule="exact"/>
              <w:ind w:left="108"/>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 xml:space="preserve">依据图纸所示位置、防撞 </w:t>
            </w:r>
          </w:p>
          <w:p w14:paraId="3FDB4748">
            <w:pPr>
              <w:spacing w:line="274" w:lineRule="exact"/>
              <w:ind w:left="108"/>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 xml:space="preserve">等级、构造形式代号，按 </w:t>
            </w:r>
          </w:p>
          <w:p w14:paraId="27CD52D5">
            <w:pPr>
              <w:spacing w:line="274" w:lineRule="exact"/>
              <w:ind w:left="108"/>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 xml:space="preserve">图示长度以米为单位计量 </w:t>
            </w:r>
          </w:p>
          <w:p w14:paraId="14F2E9B5">
            <w:pPr>
              <w:spacing w:line="274" w:lineRule="exact"/>
              <w:rPr>
                <w:rFonts w:hint="eastAsia" w:ascii="宋体" w:hAnsi="宋体" w:eastAsia="宋体" w:cs="宋体"/>
                <w:spacing w:val="-1"/>
                <w:sz w:val="20"/>
                <w:highlight w:val="none"/>
                <w:lang w:val="en-US"/>
              </w:rPr>
            </w:pPr>
          </w:p>
          <w:p w14:paraId="344BF1C8">
            <w:pPr>
              <w:spacing w:line="274" w:lineRule="exact"/>
              <w:ind w:left="108"/>
              <w:rPr>
                <w:rFonts w:hint="eastAsia" w:ascii="宋体" w:hAnsi="宋体" w:eastAsia="宋体" w:cs="宋体"/>
                <w:spacing w:val="-1"/>
                <w:sz w:val="20"/>
                <w:highlight w:val="none"/>
                <w:lang w:val="en-US"/>
              </w:rPr>
            </w:pP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4BF4882">
            <w:pPr>
              <w:spacing w:line="274" w:lineRule="exact"/>
              <w:ind w:left="108"/>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 xml:space="preserve">1.基础施工（成孔、埋入 </w:t>
            </w:r>
          </w:p>
          <w:p w14:paraId="5A3ADBC8">
            <w:pPr>
              <w:spacing w:line="274" w:lineRule="exact"/>
              <w:ind w:left="108"/>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 xml:space="preserve">或预埋套筒或预埋地脚 </w:t>
            </w:r>
          </w:p>
          <w:p w14:paraId="16E7D0A4">
            <w:pPr>
              <w:spacing w:line="274" w:lineRule="exact"/>
              <w:ind w:left="108"/>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 xml:space="preserve">螺栓等）； </w:t>
            </w:r>
          </w:p>
          <w:p w14:paraId="7921026F">
            <w:pPr>
              <w:spacing w:line="274" w:lineRule="exact"/>
              <w:ind w:left="108"/>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 xml:space="preserve">2.波形梁及其匹配件安装； </w:t>
            </w:r>
          </w:p>
          <w:p w14:paraId="5517F1DD">
            <w:pPr>
              <w:spacing w:line="274" w:lineRule="exact"/>
              <w:ind w:left="108"/>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 xml:space="preserve">3.场地清理，弃方处理； </w:t>
            </w:r>
          </w:p>
          <w:p w14:paraId="0C4235E8">
            <w:pPr>
              <w:spacing w:line="274" w:lineRule="exact"/>
              <w:ind w:left="108"/>
              <w:rPr>
                <w:rFonts w:hint="eastAsia" w:ascii="宋体" w:hAnsi="宋体" w:eastAsia="宋体" w:cs="宋体"/>
                <w:spacing w:val="-1"/>
                <w:sz w:val="20"/>
                <w:highlight w:val="none"/>
                <w:lang w:val="en-US"/>
              </w:rPr>
            </w:pPr>
            <w:r>
              <w:rPr>
                <w:rFonts w:hint="eastAsia" w:ascii="宋体" w:hAnsi="宋体" w:eastAsia="宋体" w:cs="宋体"/>
                <w:spacing w:val="-1"/>
                <w:sz w:val="20"/>
                <w:highlight w:val="none"/>
                <w:lang w:val="en-US"/>
              </w:rPr>
              <w:t>4.补涂防腐涂装</w:t>
            </w:r>
          </w:p>
          <w:p w14:paraId="76F25DC6">
            <w:pPr>
              <w:spacing w:line="274" w:lineRule="exact"/>
              <w:ind w:left="108"/>
              <w:rPr>
                <w:rFonts w:hint="eastAsia" w:ascii="宋体" w:hAnsi="宋体" w:eastAsia="宋体" w:cs="宋体"/>
                <w:spacing w:val="-1"/>
                <w:sz w:val="20"/>
                <w:highlight w:val="none"/>
                <w:lang w:val="en-US"/>
              </w:rPr>
            </w:pPr>
          </w:p>
        </w:tc>
      </w:tr>
    </w:tbl>
    <w:p w14:paraId="2EE8D0FE">
      <w:pPr>
        <w:pStyle w:val="10"/>
        <w:spacing w:before="6"/>
        <w:rPr>
          <w:rFonts w:hint="eastAsia" w:ascii="宋体" w:hAnsi="宋体" w:eastAsia="宋体" w:cs="宋体"/>
          <w:sz w:val="34"/>
          <w:highlight w:val="none"/>
        </w:rPr>
      </w:pPr>
    </w:p>
    <w:p w14:paraId="4E50B291">
      <w:pPr>
        <w:pStyle w:val="23"/>
        <w:ind w:firstLine="600"/>
        <w:rPr>
          <w:rFonts w:hint="eastAsia" w:ascii="宋体" w:hAnsi="宋体" w:eastAsia="宋体" w:cs="宋体"/>
          <w:sz w:val="30"/>
          <w:szCs w:val="30"/>
          <w:highlight w:val="none"/>
        </w:rPr>
        <w:sectPr>
          <w:headerReference r:id="rId18" w:type="default"/>
          <w:footerReference r:id="rId19" w:type="default"/>
          <w:pgSz w:w="11910" w:h="16840"/>
          <w:pgMar w:top="1440" w:right="1079" w:bottom="1040" w:left="1420" w:header="882" w:footer="845" w:gutter="0"/>
          <w:cols w:space="720" w:num="1"/>
        </w:sectPr>
      </w:pPr>
    </w:p>
    <w:p w14:paraId="14B8EA29">
      <w:pPr>
        <w:tabs>
          <w:tab w:val="left" w:pos="1840"/>
        </w:tabs>
        <w:spacing w:before="38"/>
        <w:ind w:left="81"/>
        <w:jc w:val="center"/>
        <w:rPr>
          <w:rFonts w:hint="eastAsia" w:ascii="宋体" w:hAnsi="宋体" w:eastAsia="宋体" w:cs="宋体"/>
          <w:b/>
          <w:bCs/>
          <w:sz w:val="32"/>
          <w:szCs w:val="32"/>
          <w:highlight w:val="none"/>
        </w:rPr>
      </w:pPr>
    </w:p>
    <w:p w14:paraId="5C01168C">
      <w:pPr>
        <w:tabs>
          <w:tab w:val="left" w:pos="1840"/>
        </w:tabs>
        <w:spacing w:before="38"/>
        <w:ind w:left="81"/>
        <w:jc w:val="center"/>
        <w:rPr>
          <w:rFonts w:hint="eastAsia" w:ascii="宋体" w:hAnsi="宋体" w:eastAsia="宋体" w:cs="宋体"/>
          <w:b/>
          <w:bCs/>
          <w:sz w:val="32"/>
          <w:szCs w:val="32"/>
          <w:highlight w:val="none"/>
        </w:rPr>
      </w:pPr>
    </w:p>
    <w:p w14:paraId="52F82AF5">
      <w:pPr>
        <w:tabs>
          <w:tab w:val="left" w:pos="1840"/>
        </w:tabs>
        <w:spacing w:before="38"/>
        <w:ind w:left="81"/>
        <w:jc w:val="center"/>
        <w:rPr>
          <w:rFonts w:hint="eastAsia" w:ascii="宋体" w:hAnsi="宋体" w:eastAsia="宋体" w:cs="宋体"/>
          <w:b/>
          <w:bCs/>
          <w:sz w:val="32"/>
          <w:szCs w:val="32"/>
          <w:highlight w:val="none"/>
        </w:rPr>
      </w:pPr>
    </w:p>
    <w:p w14:paraId="527A6C67">
      <w:pPr>
        <w:tabs>
          <w:tab w:val="left" w:pos="1840"/>
        </w:tabs>
        <w:spacing w:before="38"/>
        <w:ind w:left="81"/>
        <w:jc w:val="center"/>
        <w:rPr>
          <w:rFonts w:hint="eastAsia" w:ascii="宋体" w:hAnsi="宋体" w:eastAsia="宋体" w:cs="宋体"/>
          <w:b/>
          <w:bCs/>
          <w:sz w:val="32"/>
          <w:szCs w:val="32"/>
          <w:highlight w:val="none"/>
        </w:rPr>
      </w:pPr>
    </w:p>
    <w:p w14:paraId="0963B327">
      <w:pPr>
        <w:tabs>
          <w:tab w:val="left" w:pos="1840"/>
        </w:tabs>
        <w:spacing w:before="38"/>
        <w:ind w:left="81"/>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第七章</w:t>
      </w:r>
      <w:r>
        <w:rPr>
          <w:rFonts w:hint="eastAsia" w:ascii="宋体" w:hAnsi="宋体" w:eastAsia="宋体" w:cs="宋体"/>
          <w:b/>
          <w:bCs/>
          <w:sz w:val="32"/>
          <w:szCs w:val="32"/>
          <w:highlight w:val="none"/>
          <w:lang w:val="en-US"/>
        </w:rPr>
        <w:t xml:space="preserve">  </w:t>
      </w:r>
      <w:r>
        <w:rPr>
          <w:rFonts w:hint="eastAsia" w:ascii="宋体" w:hAnsi="宋体" w:eastAsia="宋体" w:cs="宋体"/>
          <w:b/>
          <w:bCs/>
          <w:sz w:val="32"/>
          <w:szCs w:val="32"/>
          <w:highlight w:val="none"/>
        </w:rPr>
        <w:t>响应文件格式</w:t>
      </w:r>
    </w:p>
    <w:p w14:paraId="5C54FC15">
      <w:pPr>
        <w:jc w:val="center"/>
        <w:rPr>
          <w:rFonts w:hint="eastAsia" w:ascii="宋体" w:hAnsi="宋体" w:eastAsia="宋体" w:cs="宋体"/>
          <w:b/>
          <w:bCs/>
          <w:sz w:val="32"/>
          <w:szCs w:val="32"/>
          <w:highlight w:val="none"/>
        </w:rPr>
        <w:sectPr>
          <w:headerReference r:id="rId20" w:type="default"/>
          <w:pgSz w:w="11910" w:h="16840"/>
          <w:pgMar w:top="1440" w:right="1080" w:bottom="1040" w:left="1420" w:header="882" w:footer="847" w:gutter="0"/>
          <w:cols w:space="720" w:num="1"/>
        </w:sectPr>
      </w:pPr>
    </w:p>
    <w:p w14:paraId="5A8E1FC9">
      <w:pPr>
        <w:pStyle w:val="10"/>
        <w:rPr>
          <w:rFonts w:hint="eastAsia" w:ascii="宋体" w:hAnsi="宋体" w:eastAsia="宋体" w:cs="宋体"/>
          <w:sz w:val="20"/>
          <w:highlight w:val="none"/>
        </w:rPr>
      </w:pPr>
    </w:p>
    <w:p w14:paraId="424166E5">
      <w:pPr>
        <w:pStyle w:val="10"/>
        <w:rPr>
          <w:rFonts w:hint="eastAsia" w:ascii="宋体" w:hAnsi="宋体" w:eastAsia="宋体" w:cs="宋体"/>
          <w:sz w:val="20"/>
          <w:highlight w:val="none"/>
        </w:rPr>
      </w:pPr>
    </w:p>
    <w:p w14:paraId="2D048F3C">
      <w:pPr>
        <w:pStyle w:val="10"/>
        <w:rPr>
          <w:rFonts w:hint="eastAsia" w:ascii="宋体" w:hAnsi="宋体" w:eastAsia="宋体" w:cs="宋体"/>
          <w:sz w:val="20"/>
          <w:highlight w:val="none"/>
        </w:rPr>
      </w:pPr>
    </w:p>
    <w:p w14:paraId="4E44EAED">
      <w:pPr>
        <w:pStyle w:val="10"/>
        <w:rPr>
          <w:rFonts w:hint="eastAsia" w:ascii="宋体" w:hAnsi="宋体" w:eastAsia="宋体" w:cs="宋体"/>
          <w:sz w:val="20"/>
          <w:highlight w:val="none"/>
        </w:rPr>
      </w:pPr>
    </w:p>
    <w:p w14:paraId="7A54AE45">
      <w:pPr>
        <w:pStyle w:val="10"/>
        <w:tabs>
          <w:tab w:val="left" w:pos="3821"/>
          <w:tab w:val="left" w:pos="5981"/>
        </w:tabs>
        <w:spacing w:before="74"/>
        <w:ind w:firstLine="2880" w:firstLineChars="900"/>
        <w:rPr>
          <w:rFonts w:hint="eastAsia" w:ascii="宋体" w:hAnsi="宋体" w:eastAsia="宋体" w:cs="宋体"/>
          <w:sz w:val="32"/>
          <w:szCs w:val="32"/>
          <w:highlight w:val="none"/>
        </w:rPr>
      </w:pP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rPr>
        <w:tab/>
      </w:r>
      <w:r>
        <w:rPr>
          <w:rFonts w:hint="eastAsia" w:ascii="宋体" w:hAnsi="宋体" w:eastAsia="宋体" w:cs="宋体"/>
          <w:sz w:val="32"/>
          <w:szCs w:val="32"/>
          <w:highlight w:val="none"/>
          <w:u w:val="single"/>
          <w:lang w:val="en-US"/>
        </w:rPr>
        <w:t xml:space="preserve">      </w:t>
      </w:r>
      <w:r>
        <w:rPr>
          <w:rFonts w:hint="eastAsia" w:ascii="宋体" w:hAnsi="宋体" w:eastAsia="宋体" w:cs="宋体"/>
          <w:sz w:val="32"/>
          <w:szCs w:val="32"/>
          <w:highlight w:val="none"/>
        </w:rPr>
        <w:t>（项目名称）</w:t>
      </w:r>
    </w:p>
    <w:p w14:paraId="10E1AAF6">
      <w:pPr>
        <w:pStyle w:val="10"/>
        <w:rPr>
          <w:rFonts w:hint="eastAsia" w:ascii="宋体" w:hAnsi="宋体" w:eastAsia="宋体" w:cs="宋体"/>
          <w:sz w:val="32"/>
          <w:szCs w:val="32"/>
          <w:highlight w:val="none"/>
        </w:rPr>
      </w:pPr>
    </w:p>
    <w:p w14:paraId="368F777D">
      <w:pPr>
        <w:pStyle w:val="10"/>
        <w:rPr>
          <w:rFonts w:hint="eastAsia" w:ascii="宋体" w:hAnsi="宋体" w:eastAsia="宋体" w:cs="宋体"/>
          <w:sz w:val="26"/>
          <w:highlight w:val="none"/>
        </w:rPr>
      </w:pPr>
    </w:p>
    <w:p w14:paraId="1636054A">
      <w:pPr>
        <w:pStyle w:val="10"/>
        <w:rPr>
          <w:rFonts w:hint="eastAsia" w:ascii="宋体" w:hAnsi="宋体" w:eastAsia="宋体" w:cs="宋体"/>
          <w:sz w:val="26"/>
          <w:highlight w:val="none"/>
        </w:rPr>
      </w:pPr>
    </w:p>
    <w:p w14:paraId="16D45673">
      <w:pPr>
        <w:pStyle w:val="10"/>
        <w:rPr>
          <w:rFonts w:hint="eastAsia" w:ascii="宋体" w:hAnsi="宋体" w:eastAsia="宋体" w:cs="宋体"/>
          <w:sz w:val="26"/>
          <w:highlight w:val="none"/>
        </w:rPr>
      </w:pPr>
    </w:p>
    <w:p w14:paraId="79A894C6">
      <w:pPr>
        <w:pStyle w:val="10"/>
        <w:rPr>
          <w:rFonts w:hint="eastAsia" w:ascii="宋体" w:hAnsi="宋体" w:eastAsia="宋体" w:cs="宋体"/>
          <w:sz w:val="26"/>
          <w:highlight w:val="none"/>
        </w:rPr>
      </w:pPr>
    </w:p>
    <w:p w14:paraId="7FC968A8">
      <w:pPr>
        <w:pStyle w:val="10"/>
        <w:spacing w:before="3"/>
        <w:rPr>
          <w:rFonts w:hint="eastAsia" w:ascii="宋体" w:hAnsi="宋体" w:eastAsia="宋体" w:cs="宋体"/>
          <w:sz w:val="20"/>
          <w:highlight w:val="none"/>
        </w:rPr>
      </w:pPr>
    </w:p>
    <w:p w14:paraId="7542B308">
      <w:pPr>
        <w:tabs>
          <w:tab w:val="left" w:pos="3648"/>
          <w:tab w:val="left" w:pos="5328"/>
          <w:tab w:val="left" w:pos="7008"/>
        </w:tabs>
        <w:ind w:firstLine="2520" w:firstLineChars="300"/>
        <w:rPr>
          <w:rFonts w:hint="eastAsia" w:ascii="宋体" w:hAnsi="宋体" w:eastAsia="宋体" w:cs="宋体"/>
          <w:sz w:val="84"/>
          <w:highlight w:val="none"/>
        </w:rPr>
      </w:pPr>
      <w:r>
        <w:rPr>
          <w:rFonts w:hint="eastAsia" w:ascii="宋体" w:hAnsi="宋体" w:eastAsia="宋体" w:cs="宋体"/>
          <w:sz w:val="84"/>
          <w:highlight w:val="none"/>
        </w:rPr>
        <w:t>响</w:t>
      </w:r>
      <w:r>
        <w:rPr>
          <w:rFonts w:hint="eastAsia" w:ascii="宋体" w:hAnsi="宋体" w:eastAsia="宋体" w:cs="宋体"/>
          <w:sz w:val="84"/>
          <w:highlight w:val="none"/>
          <w:lang w:val="en-US"/>
        </w:rPr>
        <w:t xml:space="preserve"> </w:t>
      </w:r>
      <w:r>
        <w:rPr>
          <w:rFonts w:hint="eastAsia" w:ascii="宋体" w:hAnsi="宋体" w:eastAsia="宋体" w:cs="宋体"/>
          <w:sz w:val="84"/>
          <w:highlight w:val="none"/>
        </w:rPr>
        <w:t>应</w:t>
      </w:r>
      <w:r>
        <w:rPr>
          <w:rFonts w:hint="eastAsia" w:ascii="宋体" w:hAnsi="宋体" w:eastAsia="宋体" w:cs="宋体"/>
          <w:sz w:val="84"/>
          <w:highlight w:val="none"/>
          <w:lang w:val="en-US"/>
        </w:rPr>
        <w:t xml:space="preserve"> </w:t>
      </w:r>
      <w:r>
        <w:rPr>
          <w:rFonts w:hint="eastAsia" w:ascii="宋体" w:hAnsi="宋体" w:eastAsia="宋体" w:cs="宋体"/>
          <w:sz w:val="84"/>
          <w:highlight w:val="none"/>
        </w:rPr>
        <w:t>文</w:t>
      </w:r>
      <w:r>
        <w:rPr>
          <w:rFonts w:hint="eastAsia" w:ascii="宋体" w:hAnsi="宋体" w:eastAsia="宋体" w:cs="宋体"/>
          <w:sz w:val="84"/>
          <w:highlight w:val="none"/>
          <w:lang w:val="en-US"/>
        </w:rPr>
        <w:t xml:space="preserve"> </w:t>
      </w:r>
      <w:r>
        <w:rPr>
          <w:rFonts w:hint="eastAsia" w:ascii="宋体" w:hAnsi="宋体" w:eastAsia="宋体" w:cs="宋体"/>
          <w:sz w:val="84"/>
          <w:highlight w:val="none"/>
        </w:rPr>
        <w:t>件</w:t>
      </w:r>
    </w:p>
    <w:p w14:paraId="4269DF07">
      <w:pPr>
        <w:spacing w:before="332"/>
        <w:ind w:left="36" w:right="50"/>
        <w:jc w:val="center"/>
        <w:rPr>
          <w:rFonts w:hint="eastAsia" w:ascii="宋体" w:hAnsi="宋体" w:eastAsia="宋体" w:cs="宋体"/>
          <w:b/>
          <w:sz w:val="44"/>
          <w:szCs w:val="44"/>
          <w:highlight w:val="none"/>
        </w:rPr>
      </w:pPr>
      <w:bookmarkStart w:id="89" w:name="_TOC_250017"/>
      <w:bookmarkEnd w:id="89"/>
      <w:r>
        <w:rPr>
          <w:rFonts w:hint="eastAsia" w:ascii="宋体" w:hAnsi="宋体" w:eastAsia="宋体" w:cs="宋体"/>
          <w:b/>
          <w:sz w:val="44"/>
          <w:szCs w:val="44"/>
          <w:highlight w:val="none"/>
        </w:rPr>
        <w:t>（商务及技术文件）</w:t>
      </w:r>
    </w:p>
    <w:p w14:paraId="7C29B290">
      <w:pPr>
        <w:pStyle w:val="10"/>
        <w:rPr>
          <w:rFonts w:hint="eastAsia" w:ascii="宋体" w:hAnsi="宋体" w:eastAsia="宋体" w:cs="宋体"/>
          <w:b/>
          <w:sz w:val="44"/>
          <w:szCs w:val="44"/>
          <w:highlight w:val="none"/>
        </w:rPr>
      </w:pPr>
    </w:p>
    <w:p w14:paraId="79801412">
      <w:pPr>
        <w:pStyle w:val="10"/>
        <w:rPr>
          <w:rFonts w:hint="eastAsia" w:ascii="宋体" w:hAnsi="宋体" w:eastAsia="宋体" w:cs="宋体"/>
          <w:b/>
          <w:sz w:val="32"/>
          <w:highlight w:val="none"/>
        </w:rPr>
      </w:pPr>
    </w:p>
    <w:p w14:paraId="46C6B734">
      <w:pPr>
        <w:pStyle w:val="10"/>
        <w:rPr>
          <w:rFonts w:hint="eastAsia" w:ascii="宋体" w:hAnsi="宋体" w:eastAsia="宋体" w:cs="宋体"/>
          <w:b/>
          <w:sz w:val="32"/>
          <w:highlight w:val="none"/>
        </w:rPr>
      </w:pPr>
    </w:p>
    <w:p w14:paraId="7B36332A">
      <w:pPr>
        <w:pStyle w:val="10"/>
        <w:rPr>
          <w:rFonts w:hint="eastAsia" w:ascii="宋体" w:hAnsi="宋体" w:eastAsia="宋体" w:cs="宋体"/>
          <w:b/>
          <w:sz w:val="32"/>
          <w:highlight w:val="none"/>
        </w:rPr>
      </w:pPr>
    </w:p>
    <w:p w14:paraId="763CC26C">
      <w:pPr>
        <w:pStyle w:val="10"/>
        <w:rPr>
          <w:rFonts w:hint="eastAsia" w:ascii="宋体" w:hAnsi="宋体" w:eastAsia="宋体" w:cs="宋体"/>
          <w:b/>
          <w:sz w:val="32"/>
          <w:highlight w:val="none"/>
        </w:rPr>
      </w:pPr>
    </w:p>
    <w:p w14:paraId="182409E1">
      <w:pPr>
        <w:pStyle w:val="10"/>
        <w:rPr>
          <w:rFonts w:hint="eastAsia" w:ascii="宋体" w:hAnsi="宋体" w:eastAsia="宋体" w:cs="宋体"/>
          <w:b/>
          <w:sz w:val="32"/>
          <w:highlight w:val="none"/>
        </w:rPr>
      </w:pPr>
    </w:p>
    <w:p w14:paraId="7A1383E4">
      <w:pPr>
        <w:pStyle w:val="10"/>
        <w:rPr>
          <w:rFonts w:hint="eastAsia" w:ascii="宋体" w:hAnsi="宋体" w:eastAsia="宋体" w:cs="宋体"/>
          <w:b/>
          <w:sz w:val="32"/>
          <w:highlight w:val="none"/>
        </w:rPr>
      </w:pPr>
    </w:p>
    <w:p w14:paraId="6023685C">
      <w:pPr>
        <w:pStyle w:val="10"/>
        <w:rPr>
          <w:rFonts w:hint="eastAsia" w:ascii="宋体" w:hAnsi="宋体" w:eastAsia="宋体" w:cs="宋体"/>
          <w:b/>
          <w:sz w:val="32"/>
          <w:highlight w:val="none"/>
        </w:rPr>
      </w:pPr>
    </w:p>
    <w:p w14:paraId="7FF029CD">
      <w:pPr>
        <w:pStyle w:val="10"/>
        <w:rPr>
          <w:rFonts w:hint="eastAsia" w:ascii="宋体" w:hAnsi="宋体" w:eastAsia="宋体" w:cs="宋体"/>
          <w:b/>
          <w:sz w:val="32"/>
          <w:highlight w:val="none"/>
        </w:rPr>
      </w:pPr>
    </w:p>
    <w:p w14:paraId="1241231A">
      <w:pPr>
        <w:pStyle w:val="10"/>
        <w:rPr>
          <w:rFonts w:hint="eastAsia" w:ascii="宋体" w:hAnsi="宋体" w:eastAsia="宋体" w:cs="宋体"/>
          <w:b/>
          <w:sz w:val="32"/>
          <w:highlight w:val="none"/>
        </w:rPr>
      </w:pPr>
    </w:p>
    <w:p w14:paraId="504B86AB">
      <w:pPr>
        <w:pStyle w:val="10"/>
        <w:rPr>
          <w:rFonts w:hint="eastAsia" w:ascii="宋体" w:hAnsi="宋体" w:eastAsia="宋体" w:cs="宋体"/>
          <w:b/>
          <w:sz w:val="32"/>
          <w:highlight w:val="none"/>
        </w:rPr>
      </w:pPr>
    </w:p>
    <w:p w14:paraId="0F5EA01D">
      <w:pPr>
        <w:spacing w:line="480" w:lineRule="auto"/>
        <w:ind w:firstLine="2380" w:firstLineChars="850"/>
        <w:rPr>
          <w:rFonts w:hint="eastAsia" w:ascii="宋体" w:hAnsi="宋体" w:eastAsia="宋体" w:cs="宋体"/>
          <w:sz w:val="28"/>
          <w:highlight w:val="none"/>
          <w:u w:val="single"/>
        </w:rPr>
      </w:pPr>
      <w:r>
        <w:rPr>
          <w:rFonts w:hint="eastAsia" w:ascii="宋体" w:hAnsi="宋体" w:eastAsia="宋体" w:cs="宋体"/>
          <w:sz w:val="28"/>
          <w:highlight w:val="none"/>
        </w:rPr>
        <w:t>供应商名称：（盖章）</w:t>
      </w:r>
    </w:p>
    <w:p w14:paraId="1AC73D86">
      <w:pPr>
        <w:spacing w:line="480" w:lineRule="auto"/>
        <w:jc w:val="center"/>
        <w:rPr>
          <w:rFonts w:hint="eastAsia" w:ascii="宋体" w:hAnsi="宋体" w:eastAsia="宋体" w:cs="宋体"/>
          <w:sz w:val="28"/>
          <w:highlight w:val="none"/>
        </w:rPr>
      </w:pPr>
      <w:r>
        <w:rPr>
          <w:rFonts w:hint="eastAsia" w:ascii="宋体" w:hAnsi="宋体" w:eastAsia="宋体" w:cs="宋体"/>
          <w:sz w:val="28"/>
          <w:highlight w:val="none"/>
        </w:rPr>
        <w:t xml:space="preserve">    </w:t>
      </w:r>
      <w:r>
        <w:rPr>
          <w:rFonts w:hint="eastAsia" w:ascii="宋体" w:hAnsi="宋体" w:eastAsia="宋体" w:cs="宋体"/>
          <w:sz w:val="28"/>
          <w:highlight w:val="none"/>
          <w:lang w:val="en-US"/>
        </w:rPr>
        <w:t xml:space="preserve">  </w:t>
      </w:r>
      <w:r>
        <w:rPr>
          <w:rFonts w:hint="eastAsia" w:ascii="宋体" w:hAnsi="宋体" w:eastAsia="宋体" w:cs="宋体"/>
          <w:sz w:val="28"/>
          <w:highlight w:val="none"/>
        </w:rPr>
        <w:t>法定代表人或其委托代理人：（签字或盖章）</w:t>
      </w:r>
    </w:p>
    <w:p w14:paraId="03DDCDC7">
      <w:pPr>
        <w:spacing w:line="480" w:lineRule="auto"/>
        <w:ind w:firstLine="2380" w:firstLineChars="850"/>
        <w:rPr>
          <w:rFonts w:hint="eastAsia" w:ascii="宋体" w:hAnsi="宋体" w:eastAsia="宋体" w:cs="宋体"/>
          <w:sz w:val="28"/>
          <w:highlight w:val="none"/>
        </w:rPr>
      </w:pPr>
      <w:r>
        <w:rPr>
          <w:rFonts w:hint="eastAsia" w:ascii="宋体" w:hAnsi="宋体" w:eastAsia="宋体" w:cs="宋体"/>
          <w:sz w:val="28"/>
          <w:highlight w:val="none"/>
        </w:rPr>
        <w:t>日期：年</w:t>
      </w:r>
      <w:r>
        <w:rPr>
          <w:rFonts w:hint="eastAsia" w:ascii="宋体" w:hAnsi="宋体" w:eastAsia="宋体" w:cs="宋体"/>
          <w:sz w:val="28"/>
          <w:highlight w:val="none"/>
          <w:lang w:val="en-US"/>
        </w:rPr>
        <w:t xml:space="preserve">  </w:t>
      </w:r>
      <w:r>
        <w:rPr>
          <w:rFonts w:hint="eastAsia" w:ascii="宋体" w:hAnsi="宋体" w:eastAsia="宋体" w:cs="宋体"/>
          <w:sz w:val="28"/>
          <w:highlight w:val="none"/>
        </w:rPr>
        <w:t>月</w:t>
      </w:r>
      <w:r>
        <w:rPr>
          <w:rFonts w:hint="eastAsia" w:ascii="宋体" w:hAnsi="宋体" w:eastAsia="宋体" w:cs="宋体"/>
          <w:sz w:val="28"/>
          <w:highlight w:val="none"/>
          <w:lang w:val="en-US"/>
        </w:rPr>
        <w:t xml:space="preserve">  </w:t>
      </w:r>
      <w:r>
        <w:rPr>
          <w:rFonts w:hint="eastAsia" w:ascii="宋体" w:hAnsi="宋体" w:eastAsia="宋体" w:cs="宋体"/>
          <w:sz w:val="28"/>
          <w:highlight w:val="none"/>
        </w:rPr>
        <w:t>日</w:t>
      </w:r>
    </w:p>
    <w:p w14:paraId="76E8966C">
      <w:pPr>
        <w:pStyle w:val="10"/>
        <w:rPr>
          <w:rFonts w:hint="eastAsia" w:ascii="宋体" w:hAnsi="宋体" w:eastAsia="宋体" w:cs="宋体"/>
          <w:sz w:val="20"/>
          <w:highlight w:val="none"/>
        </w:rPr>
      </w:pPr>
    </w:p>
    <w:p w14:paraId="254A9FB2">
      <w:pPr>
        <w:pStyle w:val="28"/>
        <w:rPr>
          <w:rFonts w:hint="eastAsia" w:ascii="宋体" w:hAnsi="宋体" w:eastAsia="宋体" w:cs="宋体"/>
          <w:sz w:val="20"/>
          <w:highlight w:val="none"/>
        </w:rPr>
      </w:pPr>
    </w:p>
    <w:p w14:paraId="561207CA">
      <w:pPr>
        <w:rPr>
          <w:rFonts w:hint="eastAsia" w:ascii="宋体" w:hAnsi="宋体" w:eastAsia="宋体" w:cs="宋体"/>
          <w:sz w:val="20"/>
          <w:highlight w:val="none"/>
        </w:rPr>
      </w:pPr>
    </w:p>
    <w:p w14:paraId="3F825F69">
      <w:pPr>
        <w:pStyle w:val="23"/>
        <w:ind w:firstLine="440"/>
        <w:rPr>
          <w:rFonts w:hint="eastAsia" w:ascii="宋体" w:hAnsi="宋体" w:eastAsia="宋体" w:cs="宋体"/>
          <w:highlight w:val="none"/>
        </w:rPr>
      </w:pPr>
    </w:p>
    <w:p w14:paraId="1F8FEC4B">
      <w:pPr>
        <w:pStyle w:val="10"/>
        <w:rPr>
          <w:rFonts w:hint="eastAsia" w:ascii="宋体" w:hAnsi="宋体" w:eastAsia="宋体" w:cs="宋体"/>
          <w:sz w:val="20"/>
          <w:highlight w:val="none"/>
        </w:rPr>
      </w:pPr>
    </w:p>
    <w:p w14:paraId="4BBA569F">
      <w:pPr>
        <w:pStyle w:val="10"/>
        <w:spacing w:before="10"/>
        <w:rPr>
          <w:rFonts w:hint="eastAsia" w:ascii="宋体" w:hAnsi="宋体" w:eastAsia="宋体" w:cs="宋体"/>
          <w:sz w:val="15"/>
          <w:highlight w:val="none"/>
        </w:rPr>
      </w:pPr>
    </w:p>
    <w:p w14:paraId="4CFE0EDE">
      <w:pPr>
        <w:tabs>
          <w:tab w:val="left" w:pos="1048"/>
        </w:tabs>
        <w:spacing w:before="58"/>
        <w:ind w:right="33"/>
        <w:jc w:val="center"/>
        <w:rPr>
          <w:rFonts w:hint="eastAsia" w:ascii="宋体" w:hAnsi="宋体" w:eastAsia="宋体" w:cs="宋体"/>
          <w:sz w:val="30"/>
          <w:highlight w:val="none"/>
        </w:rPr>
      </w:pPr>
      <w:bookmarkStart w:id="90" w:name="_TOC_250016"/>
      <w:bookmarkEnd w:id="90"/>
      <w:r>
        <w:rPr>
          <w:rFonts w:hint="eastAsia" w:ascii="宋体" w:hAnsi="宋体" w:eastAsia="宋体" w:cs="宋体"/>
          <w:sz w:val="30"/>
          <w:highlight w:val="none"/>
        </w:rPr>
        <w:t>目</w:t>
      </w:r>
      <w:r>
        <w:rPr>
          <w:rFonts w:hint="eastAsia" w:ascii="宋体" w:hAnsi="宋体" w:eastAsia="宋体" w:cs="宋体"/>
          <w:sz w:val="30"/>
          <w:highlight w:val="none"/>
        </w:rPr>
        <w:tab/>
      </w:r>
      <w:r>
        <w:rPr>
          <w:rFonts w:hint="eastAsia" w:ascii="宋体" w:hAnsi="宋体" w:eastAsia="宋体" w:cs="宋体"/>
          <w:sz w:val="30"/>
          <w:highlight w:val="none"/>
        </w:rPr>
        <w:t>录</w:t>
      </w:r>
    </w:p>
    <w:p w14:paraId="126D17BB">
      <w:pPr>
        <w:pStyle w:val="10"/>
        <w:rPr>
          <w:rFonts w:hint="eastAsia" w:ascii="宋体" w:hAnsi="宋体" w:eastAsia="宋体" w:cs="宋体"/>
          <w:sz w:val="30"/>
          <w:highlight w:val="none"/>
        </w:rPr>
      </w:pPr>
    </w:p>
    <w:p w14:paraId="0B42D628">
      <w:pPr>
        <w:pStyle w:val="10"/>
        <w:spacing w:before="3"/>
        <w:rPr>
          <w:rFonts w:hint="eastAsia" w:ascii="宋体" w:hAnsi="宋体" w:eastAsia="宋体" w:cs="宋体"/>
          <w:sz w:val="31"/>
          <w:highlight w:val="none"/>
        </w:rPr>
      </w:pPr>
    </w:p>
    <w:p w14:paraId="4325588D">
      <w:pPr>
        <w:pStyle w:val="10"/>
        <w:ind w:left="1963"/>
        <w:rPr>
          <w:rFonts w:hint="eastAsia" w:ascii="宋体" w:hAnsi="宋体" w:eastAsia="宋体" w:cs="宋体"/>
          <w:highlight w:val="none"/>
        </w:rPr>
      </w:pPr>
      <w:r>
        <w:rPr>
          <w:rFonts w:hint="eastAsia" w:ascii="宋体" w:hAnsi="宋体" w:eastAsia="宋体" w:cs="宋体"/>
          <w:highlight w:val="none"/>
        </w:rPr>
        <w:t>一、投标函及投标函附录</w:t>
      </w:r>
    </w:p>
    <w:p w14:paraId="603785D1">
      <w:pPr>
        <w:pStyle w:val="10"/>
        <w:spacing w:before="132" w:line="343" w:lineRule="auto"/>
        <w:ind w:left="1963" w:right="3362"/>
        <w:rPr>
          <w:rFonts w:hint="eastAsia" w:ascii="宋体" w:hAnsi="宋体" w:eastAsia="宋体" w:cs="宋体"/>
          <w:highlight w:val="none"/>
        </w:rPr>
      </w:pPr>
      <w:r>
        <w:rPr>
          <w:rFonts w:hint="eastAsia" w:ascii="宋体" w:hAnsi="宋体" w:eastAsia="宋体" w:cs="宋体"/>
          <w:highlight w:val="none"/>
        </w:rPr>
        <w:t>二、授权委托书或法定代表人身份证明三、投标保证金</w:t>
      </w:r>
    </w:p>
    <w:p w14:paraId="1A8EA94B">
      <w:pPr>
        <w:pStyle w:val="10"/>
        <w:spacing w:before="1" w:line="343" w:lineRule="auto"/>
        <w:ind w:left="1963" w:right="5522"/>
        <w:rPr>
          <w:rFonts w:hint="eastAsia" w:ascii="宋体" w:hAnsi="宋体" w:eastAsia="宋体" w:cs="宋体"/>
          <w:highlight w:val="none"/>
        </w:rPr>
      </w:pPr>
      <w:r>
        <w:rPr>
          <w:rFonts w:hint="eastAsia" w:ascii="宋体" w:hAnsi="宋体" w:eastAsia="宋体" w:cs="宋体"/>
          <w:spacing w:val="-3"/>
          <w:highlight w:val="none"/>
        </w:rPr>
        <w:t>四、施工组织设计五、项目管理机构</w:t>
      </w:r>
    </w:p>
    <w:p w14:paraId="637479D8">
      <w:pPr>
        <w:pStyle w:val="10"/>
        <w:spacing w:line="345" w:lineRule="auto"/>
        <w:ind w:left="1963" w:right="5042"/>
        <w:rPr>
          <w:rFonts w:hint="eastAsia" w:ascii="宋体" w:hAnsi="宋体" w:eastAsia="宋体" w:cs="宋体"/>
          <w:highlight w:val="none"/>
        </w:rPr>
      </w:pPr>
      <w:r>
        <w:rPr>
          <w:rFonts w:hint="eastAsia" w:ascii="宋体" w:hAnsi="宋体" w:eastAsia="宋体" w:cs="宋体"/>
          <w:spacing w:val="-2"/>
          <w:highlight w:val="none"/>
        </w:rPr>
        <w:t>六、拟分包项目情况表</w:t>
      </w:r>
      <w:r>
        <w:rPr>
          <w:rFonts w:hint="eastAsia" w:ascii="宋体" w:hAnsi="宋体" w:eastAsia="宋体" w:cs="宋体"/>
          <w:highlight w:val="none"/>
        </w:rPr>
        <w:t>七、资格审查资料</w:t>
      </w:r>
    </w:p>
    <w:p w14:paraId="6BB4F0B8">
      <w:pPr>
        <w:pStyle w:val="10"/>
        <w:spacing w:line="303" w:lineRule="exact"/>
        <w:ind w:left="1963"/>
        <w:rPr>
          <w:rFonts w:hint="eastAsia" w:ascii="宋体" w:hAnsi="宋体" w:eastAsia="宋体" w:cs="宋体"/>
          <w:highlight w:val="none"/>
        </w:rPr>
      </w:pPr>
      <w:r>
        <w:rPr>
          <w:rFonts w:hint="eastAsia" w:ascii="宋体" w:hAnsi="宋体" w:eastAsia="宋体" w:cs="宋体"/>
          <w:highlight w:val="none"/>
        </w:rPr>
        <w:t>八、其他资料</w:t>
      </w:r>
    </w:p>
    <w:p w14:paraId="49DDC10A">
      <w:pPr>
        <w:spacing w:line="303" w:lineRule="exact"/>
        <w:rPr>
          <w:rFonts w:hint="eastAsia" w:ascii="宋体" w:hAnsi="宋体" w:eastAsia="宋体" w:cs="宋体"/>
          <w:highlight w:val="none"/>
        </w:rPr>
        <w:sectPr>
          <w:pgSz w:w="11910" w:h="16840"/>
          <w:pgMar w:top="1440" w:right="1080" w:bottom="1040" w:left="1420" w:header="882" w:footer="847" w:gutter="0"/>
          <w:cols w:space="720" w:num="1"/>
        </w:sectPr>
      </w:pPr>
    </w:p>
    <w:p w14:paraId="58D116CB">
      <w:pPr>
        <w:spacing w:before="130"/>
        <w:ind w:left="86" w:right="369"/>
        <w:jc w:val="center"/>
        <w:rPr>
          <w:rFonts w:hint="eastAsia" w:ascii="宋体" w:hAnsi="宋体" w:eastAsia="宋体" w:cs="宋体"/>
          <w:sz w:val="32"/>
          <w:highlight w:val="none"/>
        </w:rPr>
      </w:pPr>
      <w:r>
        <w:rPr>
          <w:rFonts w:hint="eastAsia" w:ascii="宋体" w:hAnsi="宋体" w:eastAsia="宋体" w:cs="宋体"/>
          <w:sz w:val="32"/>
          <w:highlight w:val="none"/>
        </w:rPr>
        <w:t>一、投标函及投标函附录</w:t>
      </w:r>
    </w:p>
    <w:p w14:paraId="7F8B8C04">
      <w:pPr>
        <w:pStyle w:val="10"/>
        <w:spacing w:before="3"/>
        <w:rPr>
          <w:rFonts w:hint="eastAsia" w:ascii="宋体" w:hAnsi="宋体" w:eastAsia="宋体" w:cs="宋体"/>
          <w:sz w:val="29"/>
          <w:highlight w:val="none"/>
        </w:rPr>
      </w:pPr>
    </w:p>
    <w:p w14:paraId="1EF3D327">
      <w:pPr>
        <w:ind w:left="86" w:right="138"/>
        <w:jc w:val="center"/>
        <w:rPr>
          <w:rFonts w:hint="eastAsia" w:ascii="宋体" w:hAnsi="宋体" w:eastAsia="宋体" w:cs="宋体"/>
          <w:sz w:val="28"/>
          <w:highlight w:val="none"/>
        </w:rPr>
      </w:pPr>
      <w:bookmarkStart w:id="91" w:name="_TOC_250015"/>
      <w:bookmarkEnd w:id="91"/>
      <w:r>
        <w:rPr>
          <w:rFonts w:hint="eastAsia" w:ascii="宋体" w:hAnsi="宋体" w:eastAsia="宋体" w:cs="宋体"/>
          <w:sz w:val="28"/>
          <w:highlight w:val="none"/>
        </w:rPr>
        <w:t>（一）投标函</w:t>
      </w:r>
    </w:p>
    <w:p w14:paraId="14F0790A">
      <w:pPr>
        <w:pStyle w:val="10"/>
        <w:spacing w:before="7"/>
        <w:rPr>
          <w:rFonts w:hint="eastAsia" w:ascii="宋体" w:hAnsi="宋体" w:eastAsia="宋体" w:cs="宋体"/>
          <w:sz w:val="16"/>
          <w:highlight w:val="none"/>
        </w:rPr>
      </w:pPr>
    </w:p>
    <w:p w14:paraId="707E5981">
      <w:pPr>
        <w:pStyle w:val="10"/>
        <w:tabs>
          <w:tab w:val="left" w:pos="3303"/>
        </w:tabs>
        <w:spacing w:before="74"/>
        <w:ind w:left="423"/>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（招标人名称）：</w:t>
      </w:r>
    </w:p>
    <w:p w14:paraId="0CFA6885">
      <w:pPr>
        <w:pStyle w:val="29"/>
        <w:numPr>
          <w:ilvl w:val="0"/>
          <w:numId w:val="62"/>
        </w:numPr>
        <w:tabs>
          <w:tab w:val="left" w:pos="1065"/>
          <w:tab w:val="left" w:pos="4903"/>
          <w:tab w:val="left" w:pos="7423"/>
        </w:tabs>
        <w:spacing w:before="172" w:line="280" w:lineRule="auto"/>
        <w:ind w:right="542" w:firstLine="480"/>
        <w:jc w:val="both"/>
        <w:rPr>
          <w:rFonts w:hint="eastAsia" w:ascii="宋体" w:hAnsi="宋体" w:eastAsia="宋体" w:cs="宋体"/>
          <w:sz w:val="24"/>
          <w:highlight w:val="none"/>
        </w:rPr>
      </w:pPr>
      <w:r>
        <w:rPr>
          <w:rFonts w:hint="eastAsia" w:ascii="宋体" w:hAnsi="宋体" w:eastAsia="宋体" w:cs="宋体"/>
          <w:sz w:val="24"/>
          <w:highlight w:val="none"/>
        </w:rPr>
        <w:t>我方已仔细研究</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（项目名称）施工招</w:t>
      </w:r>
      <w:r>
        <w:rPr>
          <w:rFonts w:hint="eastAsia" w:ascii="宋体" w:hAnsi="宋体" w:eastAsia="宋体" w:cs="宋体"/>
          <w:spacing w:val="-18"/>
          <w:sz w:val="24"/>
          <w:highlight w:val="none"/>
        </w:rPr>
        <w:t>标竞争性磋商</w:t>
      </w:r>
      <w:r>
        <w:rPr>
          <w:rFonts w:hint="eastAsia" w:ascii="宋体" w:hAnsi="宋体" w:eastAsia="宋体" w:cs="宋体"/>
          <w:sz w:val="24"/>
          <w:highlight w:val="none"/>
        </w:rPr>
        <w:t>文件的全部内容（含补遗书），在考察工程现场后，愿意以报价文件中的投标总报价，按合同约定实施和完成承包工程，修补工</w:t>
      </w:r>
      <w:r>
        <w:rPr>
          <w:rFonts w:hint="eastAsia" w:ascii="宋体" w:hAnsi="宋体" w:eastAsia="宋体" w:cs="宋体"/>
          <w:spacing w:val="-19"/>
          <w:sz w:val="24"/>
          <w:highlight w:val="none"/>
        </w:rPr>
        <w:t>程</w:t>
      </w:r>
      <w:r>
        <w:rPr>
          <w:rFonts w:hint="eastAsia" w:ascii="宋体" w:hAnsi="宋体" w:eastAsia="宋体" w:cs="宋体"/>
          <w:sz w:val="24"/>
          <w:highlight w:val="none"/>
        </w:rPr>
        <w:t>中的任何缺陷。</w:t>
      </w:r>
    </w:p>
    <w:p w14:paraId="7F862EE2">
      <w:pPr>
        <w:pStyle w:val="29"/>
        <w:numPr>
          <w:ilvl w:val="0"/>
          <w:numId w:val="62"/>
        </w:numPr>
        <w:tabs>
          <w:tab w:val="left" w:pos="1065"/>
        </w:tabs>
        <w:spacing w:before="1"/>
        <w:ind w:left="1065"/>
        <w:rPr>
          <w:rFonts w:hint="eastAsia" w:ascii="宋体" w:hAnsi="宋体" w:eastAsia="宋体" w:cs="宋体"/>
          <w:sz w:val="24"/>
          <w:highlight w:val="none"/>
        </w:rPr>
      </w:pPr>
      <w:r>
        <w:rPr>
          <w:rFonts w:hint="eastAsia" w:ascii="宋体" w:hAnsi="宋体" w:eastAsia="宋体" w:cs="宋体"/>
          <w:sz w:val="24"/>
          <w:highlight w:val="none"/>
        </w:rPr>
        <w:t>我方承诺在磋商文件规定的投标有效期内不撤销响应文件</w:t>
      </w:r>
      <w:r>
        <w:rPr>
          <w:rFonts w:hint="eastAsia" w:cs="宋体"/>
          <w:sz w:val="24"/>
          <w:highlight w:val="none"/>
          <w:lang w:eastAsia="zh-CN"/>
        </w:rPr>
        <w:t>，</w:t>
      </w:r>
      <w:r>
        <w:rPr>
          <w:rFonts w:hint="eastAsia" w:cs="宋体"/>
          <w:sz w:val="24"/>
          <w:highlight w:val="none"/>
          <w:lang w:val="en-US" w:eastAsia="zh-CN"/>
        </w:rPr>
        <w:t>我方承诺的投标有效期为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日历天</w:t>
      </w:r>
      <w:r>
        <w:rPr>
          <w:rFonts w:hint="eastAsia" w:ascii="宋体" w:hAnsi="宋体" w:eastAsia="宋体" w:cs="宋体"/>
          <w:sz w:val="24"/>
          <w:highlight w:val="none"/>
          <w:lang w:eastAsia="zh-CN"/>
        </w:rPr>
        <w:t>。</w:t>
      </w:r>
    </w:p>
    <w:p w14:paraId="32E4F0C4">
      <w:pPr>
        <w:pStyle w:val="29"/>
        <w:numPr>
          <w:ilvl w:val="0"/>
          <w:numId w:val="62"/>
        </w:numPr>
        <w:tabs>
          <w:tab w:val="left" w:pos="1065"/>
          <w:tab w:val="left" w:pos="3583"/>
          <w:tab w:val="left" w:pos="6343"/>
          <w:tab w:val="left" w:pos="7783"/>
        </w:tabs>
        <w:spacing w:before="53"/>
        <w:ind w:left="1065"/>
        <w:rPr>
          <w:rFonts w:hint="eastAsia" w:ascii="宋体" w:hAnsi="宋体" w:eastAsia="宋体" w:cs="宋体"/>
          <w:sz w:val="24"/>
          <w:highlight w:val="none"/>
        </w:rPr>
      </w:pPr>
      <w:r>
        <w:rPr>
          <w:rFonts w:hint="eastAsia" w:ascii="宋体" w:hAnsi="宋体" w:eastAsia="宋体" w:cs="宋体"/>
          <w:sz w:val="24"/>
          <w:highlight w:val="none"/>
        </w:rPr>
        <w:t>工程质量：</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，安全目标：</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日历天。</w:t>
      </w:r>
    </w:p>
    <w:p w14:paraId="2F0E68D3">
      <w:pPr>
        <w:pStyle w:val="29"/>
        <w:numPr>
          <w:ilvl w:val="0"/>
          <w:numId w:val="62"/>
        </w:numPr>
        <w:tabs>
          <w:tab w:val="left" w:pos="1065"/>
        </w:tabs>
        <w:spacing w:before="52"/>
        <w:ind w:left="1065"/>
        <w:rPr>
          <w:rFonts w:hint="eastAsia" w:ascii="宋体" w:hAnsi="宋体" w:eastAsia="宋体" w:cs="宋体"/>
          <w:sz w:val="24"/>
          <w:highlight w:val="none"/>
        </w:rPr>
      </w:pPr>
      <w:r>
        <w:rPr>
          <w:rFonts w:hint="eastAsia" w:ascii="宋体" w:hAnsi="宋体" w:eastAsia="宋体" w:cs="宋体"/>
          <w:sz w:val="24"/>
          <w:highlight w:val="none"/>
        </w:rPr>
        <w:t>如我方中标，我方承诺：</w:t>
      </w:r>
    </w:p>
    <w:p w14:paraId="1F2A2402">
      <w:pPr>
        <w:pStyle w:val="29"/>
        <w:numPr>
          <w:ilvl w:val="0"/>
          <w:numId w:val="63"/>
        </w:numPr>
        <w:tabs>
          <w:tab w:val="left" w:pos="1305"/>
        </w:tabs>
        <w:spacing w:before="53"/>
        <w:rPr>
          <w:rFonts w:hint="eastAsia" w:ascii="宋体" w:hAnsi="宋体" w:eastAsia="宋体" w:cs="宋体"/>
          <w:sz w:val="24"/>
          <w:highlight w:val="none"/>
        </w:rPr>
      </w:pPr>
      <w:r>
        <w:rPr>
          <w:rFonts w:hint="eastAsia" w:ascii="宋体" w:hAnsi="宋体" w:eastAsia="宋体" w:cs="宋体"/>
          <w:sz w:val="24"/>
          <w:highlight w:val="none"/>
        </w:rPr>
        <w:t>在收到中标通知书后，在中标通知书规定的期限内与你方签订合同；</w:t>
      </w:r>
    </w:p>
    <w:p w14:paraId="62180C49">
      <w:pPr>
        <w:pStyle w:val="29"/>
        <w:numPr>
          <w:ilvl w:val="0"/>
          <w:numId w:val="63"/>
        </w:numPr>
        <w:tabs>
          <w:tab w:val="left" w:pos="1305"/>
        </w:tabs>
        <w:spacing w:before="52"/>
        <w:rPr>
          <w:rFonts w:hint="eastAsia" w:ascii="宋体" w:hAnsi="宋体" w:eastAsia="宋体" w:cs="宋体"/>
          <w:sz w:val="24"/>
          <w:highlight w:val="none"/>
        </w:rPr>
      </w:pPr>
      <w:r>
        <w:rPr>
          <w:rFonts w:hint="eastAsia" w:ascii="宋体" w:hAnsi="宋体" w:eastAsia="宋体" w:cs="宋体"/>
          <w:sz w:val="24"/>
          <w:highlight w:val="none"/>
        </w:rPr>
        <w:t>在签订合同时不向你方提出附加条件；</w:t>
      </w:r>
    </w:p>
    <w:p w14:paraId="17D1A8ED">
      <w:pPr>
        <w:pStyle w:val="29"/>
        <w:numPr>
          <w:ilvl w:val="0"/>
          <w:numId w:val="63"/>
        </w:numPr>
        <w:tabs>
          <w:tab w:val="left" w:pos="1305"/>
        </w:tabs>
        <w:spacing w:before="53"/>
        <w:rPr>
          <w:rFonts w:hint="eastAsia" w:ascii="宋体" w:hAnsi="宋体" w:eastAsia="宋体" w:cs="宋体"/>
          <w:sz w:val="24"/>
          <w:highlight w:val="none"/>
        </w:rPr>
      </w:pPr>
      <w:r>
        <w:rPr>
          <w:rFonts w:hint="eastAsia" w:ascii="宋体" w:hAnsi="宋体" w:eastAsia="宋体" w:cs="宋体"/>
          <w:sz w:val="24"/>
          <w:highlight w:val="none"/>
        </w:rPr>
        <w:t>按照</w:t>
      </w:r>
      <w:r>
        <w:rPr>
          <w:rFonts w:hint="eastAsia" w:ascii="宋体" w:hAnsi="宋体" w:eastAsia="宋体" w:cs="宋体"/>
          <w:sz w:val="24"/>
          <w:highlight w:val="none"/>
          <w:lang w:val="en-US"/>
        </w:rPr>
        <w:t>磋商</w:t>
      </w:r>
      <w:r>
        <w:rPr>
          <w:rFonts w:hint="eastAsia" w:ascii="宋体" w:hAnsi="宋体" w:eastAsia="宋体" w:cs="宋体"/>
          <w:sz w:val="24"/>
          <w:highlight w:val="none"/>
        </w:rPr>
        <w:t>文件要求提交履约保证金</w:t>
      </w:r>
      <w:r>
        <w:rPr>
          <w:rFonts w:hint="eastAsia" w:ascii="宋体" w:hAnsi="宋体" w:eastAsia="宋体" w:cs="宋体"/>
          <w:sz w:val="24"/>
          <w:highlight w:val="none"/>
          <w:lang w:val="en-US"/>
        </w:rPr>
        <w:t>和农民工工资保证金</w:t>
      </w:r>
      <w:r>
        <w:rPr>
          <w:rFonts w:hint="eastAsia" w:ascii="宋体" w:hAnsi="宋体" w:eastAsia="宋体" w:cs="宋体"/>
          <w:sz w:val="24"/>
          <w:highlight w:val="none"/>
        </w:rPr>
        <w:t>；</w:t>
      </w:r>
    </w:p>
    <w:p w14:paraId="5A14E2DD">
      <w:pPr>
        <w:pStyle w:val="29"/>
        <w:numPr>
          <w:ilvl w:val="0"/>
          <w:numId w:val="63"/>
        </w:numPr>
        <w:tabs>
          <w:tab w:val="left" w:pos="1305"/>
        </w:tabs>
        <w:spacing w:before="52"/>
        <w:rPr>
          <w:rFonts w:hint="eastAsia" w:ascii="宋体" w:hAnsi="宋体" w:eastAsia="宋体" w:cs="宋体"/>
          <w:sz w:val="24"/>
          <w:highlight w:val="none"/>
        </w:rPr>
      </w:pPr>
      <w:r>
        <w:rPr>
          <w:rFonts w:hint="eastAsia" w:ascii="宋体" w:hAnsi="宋体" w:eastAsia="宋体" w:cs="宋体"/>
          <w:sz w:val="24"/>
          <w:highlight w:val="none"/>
        </w:rPr>
        <w:t>在合同约定的期限内完成合同规定的全部义务；</w:t>
      </w:r>
    </w:p>
    <w:p w14:paraId="396E9366">
      <w:pPr>
        <w:pStyle w:val="29"/>
        <w:numPr>
          <w:ilvl w:val="0"/>
          <w:numId w:val="63"/>
        </w:numPr>
        <w:tabs>
          <w:tab w:val="left" w:pos="1305"/>
        </w:tabs>
        <w:spacing w:before="53" w:line="280" w:lineRule="auto"/>
        <w:ind w:left="224" w:right="506" w:firstLine="480"/>
        <w:jc w:val="both"/>
        <w:rPr>
          <w:rFonts w:hint="eastAsia" w:ascii="宋体" w:hAnsi="宋体" w:eastAsia="宋体" w:cs="宋体"/>
          <w:sz w:val="24"/>
          <w:highlight w:val="none"/>
        </w:rPr>
      </w:pPr>
      <w:r>
        <w:rPr>
          <w:rFonts w:hint="eastAsia" w:ascii="宋体" w:hAnsi="宋体" w:eastAsia="宋体" w:cs="宋体"/>
          <w:spacing w:val="-3"/>
          <w:sz w:val="24"/>
          <w:highlight w:val="none"/>
        </w:rPr>
        <w:t>在你方和我方进行合同谈判之前，我方将按照合同附件提出的最低要求</w:t>
      </w:r>
      <w:r>
        <w:rPr>
          <w:rFonts w:hint="eastAsia" w:ascii="宋体" w:hAnsi="宋体" w:eastAsia="宋体" w:cs="宋体"/>
          <w:spacing w:val="-5"/>
          <w:sz w:val="24"/>
          <w:highlight w:val="none"/>
        </w:rPr>
        <w:t>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p>
    <w:p w14:paraId="0DB8E7EE">
      <w:pPr>
        <w:pStyle w:val="29"/>
        <w:numPr>
          <w:ilvl w:val="0"/>
          <w:numId w:val="62"/>
        </w:numPr>
        <w:tabs>
          <w:tab w:val="left" w:pos="1065"/>
        </w:tabs>
        <w:spacing w:before="1" w:line="280" w:lineRule="auto"/>
        <w:ind w:right="506" w:firstLine="480"/>
        <w:jc w:val="both"/>
        <w:rPr>
          <w:rFonts w:hint="eastAsia" w:ascii="宋体" w:hAnsi="宋体" w:eastAsia="宋体" w:cs="宋体"/>
          <w:sz w:val="24"/>
          <w:highlight w:val="none"/>
        </w:rPr>
      </w:pPr>
      <w:r>
        <w:rPr>
          <w:rFonts w:hint="eastAsia" w:ascii="宋体" w:hAnsi="宋体" w:eastAsia="宋体" w:cs="宋体"/>
          <w:spacing w:val="-7"/>
          <w:sz w:val="24"/>
          <w:highlight w:val="none"/>
        </w:rPr>
        <w:t>我方在此声明，所递交的响应文件及有关资料内容完整、真实和准确</w:t>
      </w:r>
      <w:r>
        <w:rPr>
          <w:rFonts w:hint="eastAsia" w:ascii="宋体" w:hAnsi="宋体" w:eastAsia="宋体" w:cs="宋体"/>
          <w:sz w:val="24"/>
          <w:highlight w:val="none"/>
        </w:rPr>
        <w:t>。</w:t>
      </w:r>
    </w:p>
    <w:p w14:paraId="5BF7EAD6">
      <w:pPr>
        <w:pStyle w:val="29"/>
        <w:numPr>
          <w:ilvl w:val="0"/>
          <w:numId w:val="62"/>
        </w:numPr>
        <w:tabs>
          <w:tab w:val="left" w:pos="1065"/>
        </w:tabs>
        <w:spacing w:line="280" w:lineRule="auto"/>
        <w:ind w:right="506" w:firstLine="480"/>
        <w:rPr>
          <w:rFonts w:hint="eastAsia" w:ascii="宋体" w:hAnsi="宋体" w:eastAsia="宋体" w:cs="宋体"/>
          <w:sz w:val="24"/>
          <w:highlight w:val="none"/>
        </w:rPr>
      </w:pPr>
      <w:r>
        <w:rPr>
          <w:rFonts w:hint="eastAsia" w:ascii="宋体" w:hAnsi="宋体" w:eastAsia="宋体" w:cs="宋体"/>
          <w:spacing w:val="-3"/>
          <w:sz w:val="24"/>
          <w:highlight w:val="none"/>
        </w:rPr>
        <w:t>在合同协议书正式签署生效之前，本投标函连同你方的中标通知书将构成</w:t>
      </w:r>
      <w:r>
        <w:rPr>
          <w:rFonts w:hint="eastAsia" w:ascii="宋体" w:hAnsi="宋体" w:eastAsia="宋体" w:cs="宋体"/>
          <w:spacing w:val="-5"/>
          <w:sz w:val="24"/>
          <w:highlight w:val="none"/>
        </w:rPr>
        <w:t>我们双方之间共同遵守的文件，对双方具有约束力。</w:t>
      </w:r>
    </w:p>
    <w:p w14:paraId="0613F8E7">
      <w:pPr>
        <w:pStyle w:val="29"/>
        <w:numPr>
          <w:ilvl w:val="0"/>
          <w:numId w:val="62"/>
        </w:numPr>
        <w:tabs>
          <w:tab w:val="left" w:pos="1065"/>
          <w:tab w:val="left" w:pos="5743"/>
        </w:tabs>
        <w:spacing w:before="1"/>
        <w:ind w:left="1065"/>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（其他补充说明）。</w:t>
      </w:r>
    </w:p>
    <w:p w14:paraId="4789ACFA">
      <w:pPr>
        <w:pStyle w:val="10"/>
        <w:spacing w:before="2"/>
        <w:rPr>
          <w:rFonts w:hint="eastAsia" w:ascii="宋体" w:hAnsi="宋体" w:eastAsia="宋体" w:cs="宋体"/>
          <w:sz w:val="32"/>
          <w:highlight w:val="none"/>
        </w:rPr>
      </w:pPr>
    </w:p>
    <w:p w14:paraId="32738C5F">
      <w:pPr>
        <w:pStyle w:val="38"/>
        <w:spacing w:after="0" w:line="500" w:lineRule="exact"/>
        <w:rPr>
          <w:rFonts w:hint="eastAsia" w:ascii="宋体" w:hAnsi="宋体" w:eastAsia="宋体" w:cs="宋体"/>
          <w:highlight w:val="none"/>
        </w:rPr>
      </w:pPr>
      <w:r>
        <w:rPr>
          <w:rFonts w:hint="eastAsia" w:ascii="宋体" w:hAnsi="宋体" w:eastAsia="宋体" w:cs="宋体"/>
          <w:spacing w:val="-1"/>
          <w:highlight w:val="none"/>
        </w:rPr>
        <w:t>竞争性磋商响应人</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（盖单位章）</w:t>
      </w:r>
    </w:p>
    <w:p w14:paraId="25485C26">
      <w:pPr>
        <w:pStyle w:val="38"/>
        <w:spacing w:after="0" w:line="500" w:lineRule="exact"/>
        <w:rPr>
          <w:rFonts w:hint="eastAsia" w:ascii="宋体" w:hAnsi="宋体" w:eastAsia="宋体" w:cs="宋体"/>
          <w:highlight w:val="none"/>
        </w:rPr>
      </w:pPr>
      <w:r>
        <w:rPr>
          <w:rFonts w:hint="eastAsia" w:ascii="宋体" w:hAnsi="宋体" w:eastAsia="宋体" w:cs="宋体"/>
          <w:highlight w:val="none"/>
        </w:rPr>
        <w:t>法定代表人或其委托代理人：</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p>
    <w:p w14:paraId="6A11E658">
      <w:pPr>
        <w:pStyle w:val="38"/>
        <w:spacing w:after="0" w:line="500" w:lineRule="exact"/>
        <w:rPr>
          <w:rFonts w:hint="eastAsia" w:ascii="宋体" w:hAnsi="宋体" w:eastAsia="宋体" w:cs="宋体"/>
          <w:highlight w:val="none"/>
          <w:u w:val="single"/>
        </w:rPr>
      </w:pPr>
      <w:r>
        <w:rPr>
          <w:rFonts w:hint="eastAsia" w:ascii="宋体" w:hAnsi="宋体" w:eastAsia="宋体" w:cs="宋体"/>
          <w:highlight w:val="none"/>
        </w:rPr>
        <w:t>地址：</w:t>
      </w:r>
      <w:r>
        <w:rPr>
          <w:rFonts w:hint="eastAsia" w:ascii="宋体" w:hAnsi="宋体" w:eastAsia="宋体" w:cs="宋体"/>
          <w:highlight w:val="none"/>
          <w:u w:val="single"/>
        </w:rPr>
        <w:t xml:space="preserve">                                                 </w:t>
      </w:r>
    </w:p>
    <w:p w14:paraId="0F99148B">
      <w:pPr>
        <w:pStyle w:val="38"/>
        <w:spacing w:after="0" w:line="500" w:lineRule="exact"/>
        <w:rPr>
          <w:rFonts w:hint="eastAsia" w:ascii="宋体" w:hAnsi="宋体" w:eastAsia="宋体" w:cs="宋体"/>
          <w:highlight w:val="none"/>
          <w:u w:val="single"/>
        </w:rPr>
      </w:pPr>
      <w:r>
        <w:rPr>
          <w:rFonts w:hint="eastAsia" w:ascii="宋体" w:hAnsi="宋体" w:eastAsia="宋体" w:cs="宋体"/>
          <w:highlight w:val="none"/>
        </w:rPr>
        <w:t>网址：</w:t>
      </w:r>
      <w:r>
        <w:rPr>
          <w:rFonts w:hint="eastAsia" w:ascii="宋体" w:hAnsi="宋体" w:eastAsia="宋体" w:cs="宋体"/>
          <w:highlight w:val="none"/>
          <w:u w:val="single"/>
        </w:rPr>
        <w:t xml:space="preserve">                                                </w:t>
      </w:r>
    </w:p>
    <w:p w14:paraId="73731ECD">
      <w:pPr>
        <w:pStyle w:val="38"/>
        <w:spacing w:after="0" w:line="500" w:lineRule="exact"/>
        <w:rPr>
          <w:rFonts w:hint="eastAsia" w:ascii="宋体" w:hAnsi="宋体" w:eastAsia="宋体" w:cs="宋体"/>
          <w:highlight w:val="none"/>
          <w:u w:val="single"/>
        </w:rPr>
      </w:pPr>
      <w:r>
        <w:rPr>
          <w:rFonts w:hint="eastAsia" w:ascii="宋体" w:hAnsi="宋体" w:eastAsia="宋体" w:cs="宋体"/>
          <w:highlight w:val="none"/>
        </w:rPr>
        <w:t>电话：</w:t>
      </w:r>
      <w:r>
        <w:rPr>
          <w:rFonts w:hint="eastAsia" w:ascii="宋体" w:hAnsi="宋体" w:eastAsia="宋体" w:cs="宋体"/>
          <w:highlight w:val="none"/>
          <w:u w:val="single"/>
        </w:rPr>
        <w:t xml:space="preserve">                                                 </w:t>
      </w:r>
    </w:p>
    <w:p w14:paraId="168D0E0A">
      <w:pPr>
        <w:pStyle w:val="38"/>
        <w:spacing w:after="0" w:line="500" w:lineRule="exact"/>
        <w:rPr>
          <w:rFonts w:hint="eastAsia" w:ascii="宋体" w:hAnsi="宋体" w:eastAsia="宋体" w:cs="宋体"/>
          <w:highlight w:val="none"/>
          <w:u w:val="single"/>
        </w:rPr>
      </w:pPr>
      <w:r>
        <w:rPr>
          <w:rFonts w:hint="eastAsia" w:ascii="宋体" w:hAnsi="宋体" w:eastAsia="宋体" w:cs="宋体"/>
          <w:highlight w:val="none"/>
        </w:rPr>
        <w:t>传真：</w:t>
      </w:r>
      <w:r>
        <w:rPr>
          <w:rFonts w:hint="eastAsia" w:ascii="宋体" w:hAnsi="宋体" w:eastAsia="宋体" w:cs="宋体"/>
          <w:color w:val="FFFFFF"/>
          <w:highlight w:val="none"/>
          <w:u w:val="single"/>
        </w:rPr>
        <w:t xml:space="preserve"> 。</w:t>
      </w:r>
      <w:r>
        <w:rPr>
          <w:rFonts w:hint="eastAsia" w:ascii="宋体" w:hAnsi="宋体" w:eastAsia="宋体" w:cs="宋体"/>
          <w:highlight w:val="none"/>
          <w:u w:val="single"/>
        </w:rPr>
        <w:t xml:space="preserve">                                    </w:t>
      </w:r>
    </w:p>
    <w:p w14:paraId="7A3C7188">
      <w:pPr>
        <w:pStyle w:val="38"/>
        <w:spacing w:after="0" w:line="500" w:lineRule="exact"/>
        <w:rPr>
          <w:rFonts w:hint="eastAsia" w:ascii="宋体" w:hAnsi="宋体" w:eastAsia="宋体" w:cs="宋体"/>
          <w:highlight w:val="none"/>
        </w:rPr>
      </w:pPr>
      <w:r>
        <w:rPr>
          <w:rFonts w:hint="eastAsia" w:ascii="宋体" w:hAnsi="宋体" w:eastAsia="宋体" w:cs="宋体"/>
          <w:highlight w:val="none"/>
        </w:rPr>
        <w:t>邮政编码：</w:t>
      </w:r>
      <w:r>
        <w:rPr>
          <w:rFonts w:hint="eastAsia" w:ascii="宋体" w:hAnsi="宋体" w:eastAsia="宋体" w:cs="宋体"/>
          <w:color w:val="FFFFFF"/>
          <w:highlight w:val="none"/>
          <w:u w:val="single"/>
        </w:rPr>
        <w:t xml:space="preserve">。 </w:t>
      </w:r>
      <w:r>
        <w:rPr>
          <w:rFonts w:hint="eastAsia" w:ascii="宋体" w:hAnsi="宋体" w:eastAsia="宋体" w:cs="宋体"/>
          <w:highlight w:val="none"/>
          <w:u w:val="single"/>
        </w:rPr>
        <w:t xml:space="preserve">                                </w:t>
      </w:r>
    </w:p>
    <w:p w14:paraId="41FF7EA3">
      <w:pPr>
        <w:pStyle w:val="39"/>
        <w:spacing w:line="500" w:lineRule="exact"/>
        <w:ind w:firstLine="6120" w:firstLineChars="2550"/>
        <w:rPr>
          <w:rFonts w:hint="eastAsia" w:ascii="宋体" w:hAnsi="宋体" w:eastAsia="宋体" w:cs="宋体"/>
          <w:highlight w:val="none"/>
        </w:rPr>
      </w:pPr>
      <w:r>
        <w:rPr>
          <w:rFonts w:hint="eastAsia" w:ascii="宋体" w:hAnsi="宋体" w:eastAsia="宋体" w:cs="宋体"/>
          <w:highlight w:val="none"/>
        </w:rPr>
        <w:t>年      月       日</w:t>
      </w:r>
    </w:p>
    <w:p w14:paraId="33B578A0">
      <w:pPr>
        <w:pStyle w:val="10"/>
        <w:rPr>
          <w:rFonts w:hint="eastAsia" w:ascii="宋体" w:hAnsi="宋体" w:eastAsia="宋体" w:cs="宋体"/>
          <w:sz w:val="20"/>
          <w:highlight w:val="none"/>
        </w:rPr>
      </w:pPr>
    </w:p>
    <w:p w14:paraId="6CE133D8">
      <w:pPr>
        <w:pStyle w:val="10"/>
        <w:rPr>
          <w:rFonts w:hint="eastAsia" w:ascii="宋体" w:hAnsi="宋体" w:eastAsia="宋体" w:cs="宋体"/>
          <w:sz w:val="20"/>
          <w:highlight w:val="none"/>
        </w:rPr>
      </w:pPr>
    </w:p>
    <w:p w14:paraId="257900B3">
      <w:pPr>
        <w:pStyle w:val="10"/>
        <w:rPr>
          <w:rFonts w:hint="eastAsia" w:ascii="宋体" w:hAnsi="宋体" w:eastAsia="宋体" w:cs="宋体"/>
          <w:sz w:val="20"/>
          <w:highlight w:val="none"/>
        </w:rPr>
      </w:pPr>
    </w:p>
    <w:p w14:paraId="2312E6D5">
      <w:pPr>
        <w:pStyle w:val="10"/>
        <w:spacing w:before="3"/>
        <w:rPr>
          <w:rFonts w:hint="eastAsia" w:ascii="宋体" w:hAnsi="宋体" w:eastAsia="宋体" w:cs="宋体"/>
          <w:sz w:val="18"/>
          <w:highlight w:val="none"/>
        </w:rPr>
      </w:pPr>
    </w:p>
    <w:p w14:paraId="04ED780E">
      <w:pPr>
        <w:pStyle w:val="10"/>
        <w:spacing w:before="8"/>
        <w:rPr>
          <w:rFonts w:hint="eastAsia" w:ascii="宋体" w:hAnsi="宋体" w:eastAsia="宋体" w:cs="宋体"/>
          <w:sz w:val="5"/>
          <w:highlight w:val="none"/>
        </w:rPr>
      </w:pPr>
    </w:p>
    <w:p w14:paraId="38838071">
      <w:pPr>
        <w:spacing w:before="161"/>
        <w:ind w:left="2" w:right="50"/>
        <w:jc w:val="center"/>
        <w:rPr>
          <w:rFonts w:hint="eastAsia" w:ascii="宋体" w:hAnsi="宋体" w:eastAsia="宋体" w:cs="宋体"/>
          <w:sz w:val="28"/>
          <w:highlight w:val="none"/>
        </w:rPr>
      </w:pPr>
      <w:bookmarkStart w:id="92" w:name="_TOC_250014"/>
      <w:bookmarkEnd w:id="92"/>
    </w:p>
    <w:p w14:paraId="4100C72C">
      <w:pPr>
        <w:spacing w:before="161"/>
        <w:ind w:left="2" w:right="50"/>
        <w:jc w:val="center"/>
        <w:rPr>
          <w:rFonts w:hint="eastAsia" w:ascii="宋体" w:hAnsi="宋体" w:eastAsia="宋体" w:cs="宋体"/>
          <w:sz w:val="28"/>
          <w:highlight w:val="none"/>
        </w:rPr>
      </w:pPr>
      <w:r>
        <w:rPr>
          <w:rFonts w:hint="eastAsia" w:ascii="宋体" w:hAnsi="宋体" w:eastAsia="宋体" w:cs="宋体"/>
          <w:sz w:val="28"/>
          <w:highlight w:val="none"/>
        </w:rPr>
        <w:t>（二）投标函附录</w:t>
      </w:r>
    </w:p>
    <w:p w14:paraId="693C2FEF">
      <w:pPr>
        <w:pStyle w:val="10"/>
        <w:rPr>
          <w:rFonts w:hint="eastAsia" w:ascii="宋体" w:hAnsi="宋体" w:eastAsia="宋体" w:cs="宋体"/>
          <w:sz w:val="20"/>
          <w:highlight w:val="none"/>
        </w:rPr>
      </w:pPr>
    </w:p>
    <w:p w14:paraId="7E320AB1">
      <w:pPr>
        <w:pStyle w:val="10"/>
        <w:spacing w:before="1"/>
        <w:rPr>
          <w:rFonts w:hint="eastAsia" w:ascii="宋体" w:hAnsi="宋体" w:eastAsia="宋体" w:cs="宋体"/>
          <w:sz w:val="29"/>
          <w:highlight w:val="none"/>
        </w:rPr>
      </w:pPr>
    </w:p>
    <w:tbl>
      <w:tblPr>
        <w:tblStyle w:val="24"/>
        <w:tblW w:w="9039"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2835"/>
        <w:gridCol w:w="1276"/>
        <w:gridCol w:w="3118"/>
        <w:gridCol w:w="993"/>
      </w:tblGrid>
      <w:tr w14:paraId="29F97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17" w:type="dxa"/>
          </w:tcPr>
          <w:p w14:paraId="1E80B922">
            <w:pPr>
              <w:pStyle w:val="30"/>
              <w:spacing w:before="128"/>
              <w:ind w:left="187" w:right="179"/>
              <w:jc w:val="center"/>
              <w:rPr>
                <w:rFonts w:hint="eastAsia" w:ascii="宋体" w:hAnsi="宋体" w:eastAsia="宋体" w:cs="宋体"/>
                <w:sz w:val="20"/>
                <w:highlight w:val="none"/>
              </w:rPr>
            </w:pPr>
            <w:r>
              <w:rPr>
                <w:rFonts w:hint="eastAsia" w:ascii="宋体" w:hAnsi="宋体" w:eastAsia="宋体" w:cs="宋体"/>
                <w:sz w:val="20"/>
                <w:highlight w:val="none"/>
              </w:rPr>
              <w:t>序号</w:t>
            </w:r>
          </w:p>
        </w:tc>
        <w:tc>
          <w:tcPr>
            <w:tcW w:w="2835" w:type="dxa"/>
          </w:tcPr>
          <w:p w14:paraId="4E843C6D">
            <w:pPr>
              <w:pStyle w:val="30"/>
              <w:spacing w:before="128"/>
              <w:ind w:left="995" w:right="989"/>
              <w:jc w:val="center"/>
              <w:rPr>
                <w:rFonts w:hint="eastAsia" w:ascii="宋体" w:hAnsi="宋体" w:eastAsia="宋体" w:cs="宋体"/>
                <w:sz w:val="20"/>
                <w:highlight w:val="none"/>
              </w:rPr>
            </w:pPr>
            <w:r>
              <w:rPr>
                <w:rFonts w:hint="eastAsia" w:ascii="宋体" w:hAnsi="宋体" w:eastAsia="宋体" w:cs="宋体"/>
                <w:sz w:val="20"/>
                <w:highlight w:val="none"/>
              </w:rPr>
              <w:t>条款名称</w:t>
            </w:r>
          </w:p>
        </w:tc>
        <w:tc>
          <w:tcPr>
            <w:tcW w:w="1276" w:type="dxa"/>
          </w:tcPr>
          <w:p w14:paraId="3F94A17E">
            <w:pPr>
              <w:pStyle w:val="30"/>
              <w:spacing w:before="128"/>
              <w:ind w:left="116" w:right="110"/>
              <w:jc w:val="center"/>
              <w:rPr>
                <w:rFonts w:hint="eastAsia" w:ascii="宋体" w:hAnsi="宋体" w:eastAsia="宋体" w:cs="宋体"/>
                <w:sz w:val="20"/>
                <w:highlight w:val="none"/>
              </w:rPr>
            </w:pPr>
            <w:r>
              <w:rPr>
                <w:rFonts w:hint="eastAsia" w:ascii="宋体" w:hAnsi="宋体" w:eastAsia="宋体" w:cs="宋体"/>
                <w:sz w:val="20"/>
                <w:highlight w:val="none"/>
              </w:rPr>
              <w:t>合同条目号</w:t>
            </w:r>
          </w:p>
        </w:tc>
        <w:tc>
          <w:tcPr>
            <w:tcW w:w="3118" w:type="dxa"/>
          </w:tcPr>
          <w:p w14:paraId="24FBD480">
            <w:pPr>
              <w:pStyle w:val="30"/>
              <w:spacing w:before="128"/>
              <w:ind w:right="1148"/>
              <w:jc w:val="right"/>
              <w:rPr>
                <w:rFonts w:hint="eastAsia" w:ascii="宋体" w:hAnsi="宋体" w:eastAsia="宋体" w:cs="宋体"/>
                <w:sz w:val="20"/>
                <w:highlight w:val="none"/>
              </w:rPr>
            </w:pPr>
            <w:r>
              <w:rPr>
                <w:rFonts w:hint="eastAsia" w:ascii="宋体" w:hAnsi="宋体" w:eastAsia="宋体" w:cs="宋体"/>
                <w:w w:val="95"/>
                <w:sz w:val="20"/>
                <w:highlight w:val="none"/>
              </w:rPr>
              <w:t>约定内容</w:t>
            </w:r>
          </w:p>
        </w:tc>
        <w:tc>
          <w:tcPr>
            <w:tcW w:w="993" w:type="dxa"/>
          </w:tcPr>
          <w:p w14:paraId="3A34364D">
            <w:pPr>
              <w:pStyle w:val="30"/>
              <w:spacing w:before="128"/>
              <w:ind w:left="296"/>
              <w:rPr>
                <w:rFonts w:hint="eastAsia" w:ascii="宋体" w:hAnsi="宋体" w:eastAsia="宋体" w:cs="宋体"/>
                <w:sz w:val="20"/>
                <w:highlight w:val="none"/>
              </w:rPr>
            </w:pPr>
            <w:r>
              <w:rPr>
                <w:rFonts w:hint="eastAsia" w:ascii="宋体" w:hAnsi="宋体" w:eastAsia="宋体" w:cs="宋体"/>
                <w:sz w:val="20"/>
                <w:highlight w:val="none"/>
              </w:rPr>
              <w:t>备注</w:t>
            </w:r>
          </w:p>
        </w:tc>
      </w:tr>
      <w:tr w14:paraId="3B1FA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17" w:type="dxa"/>
          </w:tcPr>
          <w:p w14:paraId="18993C4B">
            <w:pPr>
              <w:pStyle w:val="30"/>
              <w:spacing w:before="141"/>
              <w:ind w:left="7"/>
              <w:jc w:val="center"/>
              <w:rPr>
                <w:rFonts w:hint="eastAsia" w:ascii="宋体" w:hAnsi="宋体" w:eastAsia="宋体" w:cs="宋体"/>
                <w:sz w:val="20"/>
                <w:highlight w:val="none"/>
              </w:rPr>
            </w:pPr>
            <w:r>
              <w:rPr>
                <w:rFonts w:hint="eastAsia" w:ascii="宋体" w:hAnsi="宋体" w:eastAsia="宋体" w:cs="宋体"/>
                <w:w w:val="99"/>
                <w:sz w:val="20"/>
                <w:highlight w:val="none"/>
              </w:rPr>
              <w:t>1</w:t>
            </w:r>
          </w:p>
        </w:tc>
        <w:tc>
          <w:tcPr>
            <w:tcW w:w="2835" w:type="dxa"/>
          </w:tcPr>
          <w:p w14:paraId="1098C3F8">
            <w:pPr>
              <w:pStyle w:val="30"/>
              <w:spacing w:before="127"/>
              <w:ind w:left="106"/>
              <w:rPr>
                <w:rFonts w:hint="eastAsia" w:ascii="宋体" w:hAnsi="宋体" w:eastAsia="宋体" w:cs="宋体"/>
                <w:sz w:val="20"/>
                <w:highlight w:val="none"/>
              </w:rPr>
            </w:pPr>
            <w:r>
              <w:rPr>
                <w:rFonts w:hint="eastAsia" w:ascii="宋体" w:hAnsi="宋体" w:eastAsia="宋体" w:cs="宋体"/>
                <w:sz w:val="20"/>
                <w:highlight w:val="none"/>
              </w:rPr>
              <w:t>缺陷责任期</w:t>
            </w:r>
          </w:p>
        </w:tc>
        <w:tc>
          <w:tcPr>
            <w:tcW w:w="1276" w:type="dxa"/>
          </w:tcPr>
          <w:p w14:paraId="75A0DA94">
            <w:pPr>
              <w:pStyle w:val="30"/>
              <w:spacing w:before="141"/>
              <w:ind w:left="116" w:right="106"/>
              <w:jc w:val="center"/>
              <w:rPr>
                <w:rFonts w:hint="eastAsia" w:ascii="宋体" w:hAnsi="宋体" w:eastAsia="宋体" w:cs="宋体"/>
                <w:sz w:val="20"/>
                <w:highlight w:val="none"/>
              </w:rPr>
            </w:pPr>
            <w:r>
              <w:rPr>
                <w:rFonts w:hint="eastAsia" w:ascii="宋体" w:hAnsi="宋体" w:eastAsia="宋体" w:cs="宋体"/>
                <w:sz w:val="20"/>
                <w:highlight w:val="none"/>
              </w:rPr>
              <w:t>21.1</w:t>
            </w:r>
          </w:p>
        </w:tc>
        <w:tc>
          <w:tcPr>
            <w:tcW w:w="3118" w:type="dxa"/>
          </w:tcPr>
          <w:p w14:paraId="7482F065">
            <w:pPr>
              <w:pStyle w:val="30"/>
              <w:spacing w:before="75" w:line="130" w:lineRule="exact"/>
              <w:ind w:right="258"/>
              <w:jc w:val="right"/>
              <w:rPr>
                <w:rFonts w:hint="eastAsia" w:ascii="宋体" w:hAnsi="宋体" w:eastAsia="宋体" w:cs="宋体"/>
                <w:sz w:val="14"/>
                <w:highlight w:val="none"/>
              </w:rPr>
            </w:pPr>
          </w:p>
          <w:p w14:paraId="1549269A">
            <w:pPr>
              <w:pStyle w:val="30"/>
              <w:tabs>
                <w:tab w:val="left" w:pos="2506"/>
              </w:tabs>
              <w:spacing w:line="207" w:lineRule="exact"/>
              <w:ind w:left="106"/>
              <w:rPr>
                <w:rFonts w:hint="eastAsia" w:ascii="宋体" w:hAnsi="宋体" w:eastAsia="宋体" w:cs="宋体"/>
                <w:sz w:val="20"/>
                <w:highlight w:val="none"/>
              </w:rPr>
            </w:pPr>
            <w:r>
              <w:rPr>
                <w:rFonts w:hint="eastAsia" w:ascii="宋体" w:hAnsi="宋体" w:eastAsia="宋体" w:cs="宋体"/>
                <w:sz w:val="20"/>
                <w:highlight w:val="none"/>
              </w:rPr>
              <w:t>自实际交工日期起计算</w:t>
            </w:r>
            <w:r>
              <w:rPr>
                <w:rFonts w:hint="eastAsia" w:ascii="宋体" w:hAnsi="宋体" w:eastAsia="宋体" w:cs="宋体"/>
                <w:sz w:val="20"/>
                <w:highlight w:val="none"/>
                <w:u w:val="single"/>
              </w:rPr>
              <w:t xml:space="preserve"> </w:t>
            </w:r>
            <w:r>
              <w:rPr>
                <w:rFonts w:hint="eastAsia" w:ascii="宋体" w:hAnsi="宋体" w:eastAsia="宋体" w:cs="宋体"/>
                <w:sz w:val="20"/>
                <w:highlight w:val="none"/>
                <w:u w:val="single"/>
                <w:lang w:val="en-US"/>
              </w:rPr>
              <w:t xml:space="preserve">1 </w:t>
            </w:r>
            <w:r>
              <w:rPr>
                <w:rFonts w:hint="eastAsia" w:ascii="宋体" w:hAnsi="宋体" w:eastAsia="宋体" w:cs="宋体"/>
                <w:sz w:val="20"/>
                <w:highlight w:val="none"/>
              </w:rPr>
              <w:t>年</w:t>
            </w:r>
          </w:p>
        </w:tc>
        <w:tc>
          <w:tcPr>
            <w:tcW w:w="993" w:type="dxa"/>
          </w:tcPr>
          <w:p w14:paraId="1208C7EC">
            <w:pPr>
              <w:pStyle w:val="30"/>
              <w:rPr>
                <w:rFonts w:hint="eastAsia" w:ascii="宋体" w:hAnsi="宋体" w:eastAsia="宋体" w:cs="宋体"/>
                <w:sz w:val="18"/>
                <w:highlight w:val="none"/>
              </w:rPr>
            </w:pPr>
          </w:p>
        </w:tc>
      </w:tr>
      <w:tr w14:paraId="14940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817" w:type="dxa"/>
          </w:tcPr>
          <w:p w14:paraId="7E2E8A76">
            <w:pPr>
              <w:pStyle w:val="30"/>
              <w:spacing w:before="142"/>
              <w:ind w:left="7"/>
              <w:jc w:val="center"/>
              <w:rPr>
                <w:rFonts w:hint="eastAsia" w:ascii="宋体" w:hAnsi="宋体" w:eastAsia="宋体" w:cs="宋体"/>
                <w:sz w:val="20"/>
                <w:highlight w:val="none"/>
              </w:rPr>
            </w:pPr>
            <w:r>
              <w:rPr>
                <w:rFonts w:hint="eastAsia" w:ascii="宋体" w:hAnsi="宋体" w:eastAsia="宋体" w:cs="宋体"/>
                <w:w w:val="99"/>
                <w:sz w:val="20"/>
                <w:highlight w:val="none"/>
              </w:rPr>
              <w:t>2</w:t>
            </w:r>
          </w:p>
        </w:tc>
        <w:tc>
          <w:tcPr>
            <w:tcW w:w="2835" w:type="dxa"/>
          </w:tcPr>
          <w:p w14:paraId="6335353F">
            <w:pPr>
              <w:pStyle w:val="30"/>
              <w:spacing w:before="129"/>
              <w:ind w:left="106"/>
              <w:rPr>
                <w:rFonts w:hint="eastAsia" w:ascii="宋体" w:hAnsi="宋体" w:eastAsia="宋体" w:cs="宋体"/>
                <w:sz w:val="20"/>
                <w:highlight w:val="none"/>
              </w:rPr>
            </w:pPr>
            <w:r>
              <w:rPr>
                <w:rFonts w:hint="eastAsia" w:ascii="宋体" w:hAnsi="宋体" w:eastAsia="宋体" w:cs="宋体"/>
                <w:sz w:val="20"/>
                <w:highlight w:val="none"/>
              </w:rPr>
              <w:t>逾期交工违约金</w:t>
            </w:r>
          </w:p>
        </w:tc>
        <w:tc>
          <w:tcPr>
            <w:tcW w:w="1276" w:type="dxa"/>
          </w:tcPr>
          <w:p w14:paraId="4849BC19">
            <w:pPr>
              <w:pStyle w:val="30"/>
              <w:spacing w:before="142"/>
              <w:ind w:left="116" w:right="108"/>
              <w:jc w:val="center"/>
              <w:rPr>
                <w:rFonts w:hint="eastAsia" w:ascii="宋体" w:hAnsi="宋体" w:eastAsia="宋体" w:cs="宋体"/>
                <w:sz w:val="20"/>
                <w:highlight w:val="none"/>
              </w:rPr>
            </w:pPr>
            <w:r>
              <w:rPr>
                <w:rFonts w:hint="eastAsia" w:ascii="宋体" w:hAnsi="宋体" w:eastAsia="宋体" w:cs="宋体"/>
                <w:sz w:val="20"/>
                <w:highlight w:val="none"/>
              </w:rPr>
              <w:t>8.4</w:t>
            </w:r>
          </w:p>
        </w:tc>
        <w:tc>
          <w:tcPr>
            <w:tcW w:w="3118" w:type="dxa"/>
          </w:tcPr>
          <w:p w14:paraId="7D650917">
            <w:pPr>
              <w:pStyle w:val="30"/>
              <w:tabs>
                <w:tab w:val="left" w:pos="400"/>
              </w:tabs>
              <w:spacing w:before="129"/>
              <w:ind w:right="1177"/>
              <w:jc w:val="right"/>
              <w:rPr>
                <w:rFonts w:hint="eastAsia" w:ascii="宋体" w:hAnsi="宋体" w:eastAsia="宋体" w:cs="宋体"/>
                <w:sz w:val="20"/>
                <w:highlight w:val="none"/>
              </w:rPr>
            </w:pPr>
            <w:r>
              <w:rPr>
                <w:rFonts w:hint="eastAsia" w:ascii="宋体" w:hAnsi="宋体" w:eastAsia="宋体" w:cs="宋体"/>
                <w:sz w:val="20"/>
                <w:highlight w:val="none"/>
                <w:lang w:val="en-US"/>
              </w:rPr>
              <w:t>0.3</w:t>
            </w:r>
            <w:r>
              <w:rPr>
                <w:rFonts w:hint="eastAsia" w:ascii="宋体" w:hAnsi="宋体" w:eastAsia="宋体" w:cs="宋体"/>
                <w:sz w:val="20"/>
                <w:highlight w:val="none"/>
              </w:rPr>
              <w:t>%签约合同价/天</w:t>
            </w:r>
          </w:p>
        </w:tc>
        <w:tc>
          <w:tcPr>
            <w:tcW w:w="993" w:type="dxa"/>
          </w:tcPr>
          <w:p w14:paraId="35BC3C10">
            <w:pPr>
              <w:pStyle w:val="30"/>
              <w:rPr>
                <w:rFonts w:hint="eastAsia" w:ascii="宋体" w:hAnsi="宋体" w:eastAsia="宋体" w:cs="宋体"/>
                <w:sz w:val="18"/>
                <w:highlight w:val="none"/>
              </w:rPr>
            </w:pPr>
          </w:p>
        </w:tc>
      </w:tr>
      <w:tr w14:paraId="1A0ED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17" w:type="dxa"/>
          </w:tcPr>
          <w:p w14:paraId="01161AC5">
            <w:pPr>
              <w:pStyle w:val="30"/>
              <w:spacing w:before="141"/>
              <w:ind w:left="7"/>
              <w:jc w:val="center"/>
              <w:rPr>
                <w:rFonts w:hint="eastAsia" w:ascii="宋体" w:hAnsi="宋体" w:eastAsia="宋体" w:cs="宋体"/>
                <w:sz w:val="20"/>
                <w:highlight w:val="none"/>
              </w:rPr>
            </w:pPr>
            <w:r>
              <w:rPr>
                <w:rFonts w:hint="eastAsia" w:ascii="宋体" w:hAnsi="宋体" w:eastAsia="宋体" w:cs="宋体"/>
                <w:w w:val="99"/>
                <w:sz w:val="20"/>
                <w:highlight w:val="none"/>
              </w:rPr>
              <w:t>3</w:t>
            </w:r>
          </w:p>
        </w:tc>
        <w:tc>
          <w:tcPr>
            <w:tcW w:w="2835" w:type="dxa"/>
          </w:tcPr>
          <w:p w14:paraId="1CC42DB7">
            <w:pPr>
              <w:pStyle w:val="30"/>
              <w:spacing w:before="127"/>
              <w:ind w:left="106"/>
              <w:rPr>
                <w:rFonts w:hint="eastAsia" w:ascii="宋体" w:hAnsi="宋体" w:eastAsia="宋体" w:cs="宋体"/>
                <w:sz w:val="20"/>
                <w:highlight w:val="none"/>
              </w:rPr>
            </w:pPr>
            <w:r>
              <w:rPr>
                <w:rFonts w:hint="eastAsia" w:ascii="宋体" w:hAnsi="宋体" w:eastAsia="宋体" w:cs="宋体"/>
                <w:sz w:val="20"/>
                <w:highlight w:val="none"/>
              </w:rPr>
              <w:t>逾期交工违约金限额</w:t>
            </w:r>
          </w:p>
        </w:tc>
        <w:tc>
          <w:tcPr>
            <w:tcW w:w="1276" w:type="dxa"/>
          </w:tcPr>
          <w:p w14:paraId="307F1FD0">
            <w:pPr>
              <w:pStyle w:val="30"/>
              <w:spacing w:before="141"/>
              <w:ind w:left="116" w:right="108"/>
              <w:jc w:val="center"/>
              <w:rPr>
                <w:rFonts w:hint="eastAsia" w:ascii="宋体" w:hAnsi="宋体" w:eastAsia="宋体" w:cs="宋体"/>
                <w:sz w:val="20"/>
                <w:highlight w:val="none"/>
              </w:rPr>
            </w:pPr>
            <w:r>
              <w:rPr>
                <w:rFonts w:hint="eastAsia" w:ascii="宋体" w:hAnsi="宋体" w:eastAsia="宋体" w:cs="宋体"/>
                <w:sz w:val="20"/>
                <w:highlight w:val="none"/>
              </w:rPr>
              <w:t>8.4</w:t>
            </w:r>
          </w:p>
        </w:tc>
        <w:tc>
          <w:tcPr>
            <w:tcW w:w="3118" w:type="dxa"/>
          </w:tcPr>
          <w:p w14:paraId="30226227">
            <w:pPr>
              <w:pStyle w:val="30"/>
              <w:spacing w:before="75" w:line="130" w:lineRule="exact"/>
              <w:ind w:left="379"/>
              <w:jc w:val="center"/>
              <w:rPr>
                <w:rFonts w:hint="eastAsia" w:ascii="宋体" w:hAnsi="宋体" w:eastAsia="宋体" w:cs="宋体"/>
                <w:sz w:val="14"/>
                <w:highlight w:val="none"/>
              </w:rPr>
            </w:pPr>
          </w:p>
          <w:p w14:paraId="0C15BD22">
            <w:pPr>
              <w:pStyle w:val="30"/>
              <w:tabs>
                <w:tab w:val="left" w:pos="507"/>
              </w:tabs>
              <w:spacing w:line="207" w:lineRule="exact"/>
              <w:ind w:firstLine="200" w:firstLineChars="100"/>
              <w:rPr>
                <w:rFonts w:hint="eastAsia" w:ascii="宋体" w:hAnsi="宋体" w:eastAsia="宋体" w:cs="宋体"/>
                <w:sz w:val="20"/>
                <w:highlight w:val="none"/>
              </w:rPr>
            </w:pPr>
            <w:r>
              <w:rPr>
                <w:rFonts w:hint="eastAsia" w:ascii="宋体" w:hAnsi="宋体" w:eastAsia="宋体" w:cs="宋体"/>
                <w:sz w:val="20"/>
                <w:highlight w:val="none"/>
                <w:u w:val="single"/>
                <w:lang w:val="en-US"/>
              </w:rPr>
              <w:t>10</w:t>
            </w:r>
            <w:r>
              <w:rPr>
                <w:rFonts w:hint="eastAsia" w:ascii="宋体" w:hAnsi="宋体" w:eastAsia="宋体" w:cs="宋体"/>
                <w:sz w:val="20"/>
                <w:highlight w:val="none"/>
              </w:rPr>
              <w:t>%签约合同价</w:t>
            </w:r>
          </w:p>
        </w:tc>
        <w:tc>
          <w:tcPr>
            <w:tcW w:w="993" w:type="dxa"/>
          </w:tcPr>
          <w:p w14:paraId="00CC9726">
            <w:pPr>
              <w:pStyle w:val="30"/>
              <w:rPr>
                <w:rFonts w:hint="eastAsia" w:ascii="宋体" w:hAnsi="宋体" w:eastAsia="宋体" w:cs="宋体"/>
                <w:sz w:val="18"/>
                <w:highlight w:val="none"/>
              </w:rPr>
            </w:pPr>
          </w:p>
        </w:tc>
      </w:tr>
      <w:tr w14:paraId="2F681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17" w:type="dxa"/>
          </w:tcPr>
          <w:p w14:paraId="373A6F20">
            <w:pPr>
              <w:pStyle w:val="30"/>
              <w:spacing w:before="142"/>
              <w:ind w:left="7"/>
              <w:jc w:val="center"/>
              <w:rPr>
                <w:rFonts w:hint="eastAsia" w:ascii="宋体" w:hAnsi="宋体" w:eastAsia="宋体" w:cs="宋体"/>
                <w:sz w:val="20"/>
                <w:highlight w:val="none"/>
              </w:rPr>
            </w:pPr>
            <w:r>
              <w:rPr>
                <w:rFonts w:hint="eastAsia" w:ascii="宋体" w:hAnsi="宋体" w:eastAsia="宋体" w:cs="宋体"/>
                <w:w w:val="99"/>
                <w:sz w:val="20"/>
                <w:highlight w:val="none"/>
              </w:rPr>
              <w:t>4</w:t>
            </w:r>
          </w:p>
        </w:tc>
        <w:tc>
          <w:tcPr>
            <w:tcW w:w="2835" w:type="dxa"/>
          </w:tcPr>
          <w:p w14:paraId="61D5D17A">
            <w:pPr>
              <w:pStyle w:val="30"/>
              <w:spacing w:before="129"/>
              <w:ind w:left="106"/>
              <w:rPr>
                <w:rFonts w:hint="eastAsia" w:ascii="宋体" w:hAnsi="宋体" w:eastAsia="宋体" w:cs="宋体"/>
                <w:sz w:val="20"/>
                <w:highlight w:val="none"/>
              </w:rPr>
            </w:pPr>
            <w:r>
              <w:rPr>
                <w:rFonts w:hint="eastAsia" w:ascii="宋体" w:hAnsi="宋体" w:eastAsia="宋体" w:cs="宋体"/>
                <w:sz w:val="20"/>
                <w:highlight w:val="none"/>
              </w:rPr>
              <w:t>开工预付款金额</w:t>
            </w:r>
          </w:p>
        </w:tc>
        <w:tc>
          <w:tcPr>
            <w:tcW w:w="1276" w:type="dxa"/>
          </w:tcPr>
          <w:p w14:paraId="020F75FF">
            <w:pPr>
              <w:pStyle w:val="30"/>
              <w:spacing w:before="142"/>
              <w:ind w:left="116" w:right="108"/>
              <w:jc w:val="center"/>
              <w:rPr>
                <w:rFonts w:hint="eastAsia" w:ascii="宋体" w:hAnsi="宋体" w:eastAsia="宋体" w:cs="宋体"/>
                <w:sz w:val="20"/>
                <w:highlight w:val="none"/>
              </w:rPr>
            </w:pPr>
            <w:r>
              <w:rPr>
                <w:rFonts w:hint="eastAsia" w:ascii="宋体" w:hAnsi="宋体" w:eastAsia="宋体" w:cs="宋体"/>
                <w:sz w:val="20"/>
                <w:highlight w:val="none"/>
              </w:rPr>
              <w:t>5.6</w:t>
            </w:r>
          </w:p>
        </w:tc>
        <w:tc>
          <w:tcPr>
            <w:tcW w:w="3118" w:type="dxa"/>
          </w:tcPr>
          <w:p w14:paraId="122F6EAD">
            <w:pPr>
              <w:pStyle w:val="30"/>
              <w:spacing w:before="73" w:line="132" w:lineRule="exact"/>
              <w:ind w:left="379"/>
              <w:jc w:val="center"/>
              <w:rPr>
                <w:rFonts w:hint="eastAsia" w:ascii="宋体" w:hAnsi="宋体" w:eastAsia="宋体" w:cs="宋体"/>
                <w:sz w:val="14"/>
                <w:highlight w:val="none"/>
              </w:rPr>
            </w:pPr>
          </w:p>
          <w:p w14:paraId="5967A07B">
            <w:pPr>
              <w:pStyle w:val="30"/>
              <w:tabs>
                <w:tab w:val="left" w:pos="507"/>
              </w:tabs>
              <w:spacing w:line="209" w:lineRule="exact"/>
              <w:ind w:firstLine="198" w:firstLineChars="100"/>
              <w:rPr>
                <w:rFonts w:hint="eastAsia" w:ascii="宋体" w:hAnsi="宋体" w:eastAsia="宋体" w:cs="宋体"/>
                <w:sz w:val="20"/>
                <w:highlight w:val="none"/>
              </w:rPr>
            </w:pPr>
            <w:r>
              <w:rPr>
                <w:rFonts w:hint="eastAsia" w:ascii="宋体" w:hAnsi="宋体" w:eastAsia="宋体" w:cs="宋体"/>
                <w:w w:val="99"/>
                <w:sz w:val="20"/>
                <w:highlight w:val="none"/>
                <w:u w:val="single"/>
              </w:rPr>
              <w:t xml:space="preserve"> </w:t>
            </w:r>
            <w:r>
              <w:rPr>
                <w:rFonts w:hint="eastAsia" w:ascii="宋体" w:hAnsi="宋体" w:eastAsia="宋体" w:cs="宋体"/>
                <w:w w:val="99"/>
                <w:sz w:val="20"/>
                <w:highlight w:val="none"/>
                <w:u w:val="single"/>
                <w:lang w:val="en-US"/>
              </w:rPr>
              <w:t>30</w:t>
            </w:r>
            <w:r>
              <w:rPr>
                <w:rFonts w:hint="eastAsia" w:ascii="宋体" w:hAnsi="宋体" w:eastAsia="宋体" w:cs="宋体"/>
                <w:sz w:val="20"/>
                <w:highlight w:val="none"/>
              </w:rPr>
              <w:t>%签约合同价</w:t>
            </w:r>
          </w:p>
        </w:tc>
        <w:tc>
          <w:tcPr>
            <w:tcW w:w="993" w:type="dxa"/>
          </w:tcPr>
          <w:p w14:paraId="0DA374CF">
            <w:pPr>
              <w:pStyle w:val="30"/>
              <w:rPr>
                <w:rFonts w:hint="eastAsia" w:ascii="宋体" w:hAnsi="宋体" w:eastAsia="宋体" w:cs="宋体"/>
                <w:sz w:val="18"/>
                <w:highlight w:val="none"/>
              </w:rPr>
            </w:pPr>
          </w:p>
        </w:tc>
      </w:tr>
      <w:tr w14:paraId="37127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17" w:type="dxa"/>
          </w:tcPr>
          <w:p w14:paraId="3F5E17FB">
            <w:pPr>
              <w:pStyle w:val="30"/>
              <w:spacing w:before="11"/>
              <w:rPr>
                <w:rFonts w:hint="eastAsia" w:ascii="宋体" w:hAnsi="宋体" w:eastAsia="宋体" w:cs="宋体"/>
                <w:sz w:val="15"/>
                <w:highlight w:val="none"/>
              </w:rPr>
            </w:pPr>
          </w:p>
          <w:p w14:paraId="38A88C76">
            <w:pPr>
              <w:pStyle w:val="30"/>
              <w:ind w:left="7"/>
              <w:jc w:val="center"/>
              <w:rPr>
                <w:rFonts w:hint="eastAsia" w:ascii="宋体" w:hAnsi="宋体" w:eastAsia="宋体" w:cs="宋体"/>
                <w:sz w:val="20"/>
                <w:highlight w:val="none"/>
              </w:rPr>
            </w:pPr>
            <w:r>
              <w:rPr>
                <w:rFonts w:hint="eastAsia" w:ascii="宋体" w:hAnsi="宋体" w:eastAsia="宋体" w:cs="宋体"/>
                <w:w w:val="99"/>
                <w:sz w:val="20"/>
                <w:highlight w:val="none"/>
              </w:rPr>
              <w:t>5</w:t>
            </w:r>
          </w:p>
        </w:tc>
        <w:tc>
          <w:tcPr>
            <w:tcW w:w="2835" w:type="dxa"/>
          </w:tcPr>
          <w:p w14:paraId="68BA0D22">
            <w:pPr>
              <w:pStyle w:val="30"/>
              <w:spacing w:before="10"/>
              <w:rPr>
                <w:rFonts w:hint="eastAsia" w:ascii="宋体" w:hAnsi="宋体" w:eastAsia="宋体" w:cs="宋体"/>
                <w:sz w:val="14"/>
                <w:highlight w:val="none"/>
              </w:rPr>
            </w:pPr>
          </w:p>
          <w:p w14:paraId="468B4B85">
            <w:pPr>
              <w:pStyle w:val="30"/>
              <w:ind w:left="106"/>
              <w:rPr>
                <w:rFonts w:hint="eastAsia" w:ascii="宋体" w:hAnsi="宋体" w:eastAsia="宋体" w:cs="宋体"/>
                <w:sz w:val="20"/>
                <w:highlight w:val="none"/>
              </w:rPr>
            </w:pPr>
            <w:r>
              <w:rPr>
                <w:rFonts w:hint="eastAsia" w:ascii="宋体" w:hAnsi="宋体" w:eastAsia="宋体" w:cs="宋体"/>
                <w:sz w:val="20"/>
                <w:highlight w:val="none"/>
              </w:rPr>
              <w:t>材料预付款比例</w:t>
            </w:r>
          </w:p>
        </w:tc>
        <w:tc>
          <w:tcPr>
            <w:tcW w:w="1276" w:type="dxa"/>
          </w:tcPr>
          <w:p w14:paraId="7F17C8F2">
            <w:pPr>
              <w:pStyle w:val="30"/>
              <w:spacing w:before="11"/>
              <w:rPr>
                <w:rFonts w:hint="eastAsia" w:ascii="宋体" w:hAnsi="宋体" w:eastAsia="宋体" w:cs="宋体"/>
                <w:sz w:val="15"/>
                <w:highlight w:val="none"/>
              </w:rPr>
            </w:pPr>
          </w:p>
          <w:p w14:paraId="3C4D759E">
            <w:pPr>
              <w:pStyle w:val="30"/>
              <w:ind w:left="116" w:right="106"/>
              <w:jc w:val="center"/>
              <w:rPr>
                <w:rFonts w:hint="eastAsia" w:ascii="宋体" w:hAnsi="宋体" w:eastAsia="宋体" w:cs="宋体"/>
                <w:sz w:val="20"/>
                <w:highlight w:val="none"/>
              </w:rPr>
            </w:pPr>
            <w:r>
              <w:rPr>
                <w:rFonts w:hint="eastAsia" w:ascii="宋体" w:hAnsi="宋体" w:eastAsia="宋体" w:cs="宋体"/>
                <w:sz w:val="20"/>
                <w:highlight w:val="none"/>
              </w:rPr>
              <w:t>17.5</w:t>
            </w:r>
          </w:p>
        </w:tc>
        <w:tc>
          <w:tcPr>
            <w:tcW w:w="3118" w:type="dxa"/>
          </w:tcPr>
          <w:p w14:paraId="6DAB97AE">
            <w:pPr>
              <w:pStyle w:val="30"/>
              <w:spacing w:before="7"/>
              <w:ind w:left="106"/>
              <w:rPr>
                <w:rFonts w:hint="eastAsia" w:ascii="宋体" w:hAnsi="宋体" w:eastAsia="宋体" w:cs="宋体"/>
                <w:sz w:val="20"/>
                <w:highlight w:val="none"/>
              </w:rPr>
            </w:pPr>
            <w:r>
              <w:rPr>
                <w:rFonts w:hint="eastAsia" w:ascii="宋体" w:hAnsi="宋体" w:eastAsia="宋体" w:cs="宋体"/>
                <w:sz w:val="20"/>
                <w:highlight w:val="none"/>
              </w:rPr>
              <w:t>沥青、水泥、钢筋等主要材料单据</w:t>
            </w:r>
          </w:p>
          <w:p w14:paraId="6E554C5F">
            <w:pPr>
              <w:pStyle w:val="30"/>
              <w:spacing w:before="1" w:line="130" w:lineRule="exact"/>
              <w:ind w:left="576"/>
              <w:jc w:val="center"/>
              <w:rPr>
                <w:rFonts w:hint="eastAsia" w:ascii="宋体" w:hAnsi="宋体" w:eastAsia="宋体" w:cs="宋体"/>
                <w:sz w:val="14"/>
                <w:highlight w:val="none"/>
              </w:rPr>
            </w:pPr>
          </w:p>
          <w:p w14:paraId="2000043B">
            <w:pPr>
              <w:pStyle w:val="30"/>
              <w:tabs>
                <w:tab w:val="left" w:pos="1606"/>
              </w:tabs>
              <w:spacing w:line="207" w:lineRule="exact"/>
              <w:ind w:left="106"/>
              <w:rPr>
                <w:rFonts w:hint="eastAsia" w:ascii="宋体" w:hAnsi="宋体" w:eastAsia="宋体" w:cs="宋体"/>
                <w:sz w:val="20"/>
                <w:highlight w:val="none"/>
              </w:rPr>
            </w:pPr>
            <w:r>
              <w:rPr>
                <w:rFonts w:hint="eastAsia" w:ascii="宋体" w:hAnsi="宋体" w:eastAsia="宋体" w:cs="宋体"/>
                <w:sz w:val="20"/>
                <w:highlight w:val="none"/>
              </w:rPr>
              <w:t>所列费用的</w:t>
            </w:r>
            <w:r>
              <w:rPr>
                <w:rFonts w:hint="eastAsia" w:ascii="宋体" w:hAnsi="宋体" w:eastAsia="宋体" w:cs="宋体"/>
                <w:sz w:val="20"/>
                <w:highlight w:val="none"/>
                <w:u w:val="single"/>
              </w:rPr>
              <w:t xml:space="preserve"> </w:t>
            </w:r>
            <w:r>
              <w:rPr>
                <w:rFonts w:hint="eastAsia" w:ascii="宋体" w:hAnsi="宋体" w:eastAsia="宋体" w:cs="宋体"/>
                <w:sz w:val="20"/>
                <w:highlight w:val="none"/>
                <w:u w:val="single"/>
                <w:lang w:val="en-US"/>
              </w:rPr>
              <w:t xml:space="preserve">/ </w:t>
            </w:r>
            <w:r>
              <w:rPr>
                <w:rFonts w:hint="eastAsia" w:ascii="宋体" w:hAnsi="宋体" w:eastAsia="宋体" w:cs="宋体"/>
                <w:sz w:val="20"/>
                <w:highlight w:val="none"/>
              </w:rPr>
              <w:t>%</w:t>
            </w:r>
          </w:p>
        </w:tc>
        <w:tc>
          <w:tcPr>
            <w:tcW w:w="993" w:type="dxa"/>
          </w:tcPr>
          <w:p w14:paraId="63DD837C">
            <w:pPr>
              <w:pStyle w:val="30"/>
              <w:rPr>
                <w:rFonts w:hint="eastAsia" w:ascii="宋体" w:hAnsi="宋体" w:eastAsia="宋体" w:cs="宋体"/>
                <w:sz w:val="18"/>
                <w:highlight w:val="none"/>
              </w:rPr>
            </w:pPr>
          </w:p>
        </w:tc>
      </w:tr>
      <w:tr w14:paraId="6622C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17" w:type="dxa"/>
          </w:tcPr>
          <w:p w14:paraId="575D2E08">
            <w:pPr>
              <w:pStyle w:val="30"/>
              <w:spacing w:before="157"/>
              <w:ind w:left="7"/>
              <w:jc w:val="center"/>
              <w:rPr>
                <w:rFonts w:hint="eastAsia" w:ascii="宋体" w:hAnsi="宋体" w:eastAsia="宋体" w:cs="宋体"/>
                <w:sz w:val="20"/>
                <w:highlight w:val="none"/>
              </w:rPr>
            </w:pPr>
            <w:r>
              <w:rPr>
                <w:rFonts w:hint="eastAsia" w:ascii="宋体" w:hAnsi="宋体" w:eastAsia="宋体" w:cs="宋体"/>
                <w:w w:val="99"/>
                <w:sz w:val="20"/>
                <w:highlight w:val="none"/>
              </w:rPr>
              <w:t>6</w:t>
            </w:r>
          </w:p>
        </w:tc>
        <w:tc>
          <w:tcPr>
            <w:tcW w:w="2835" w:type="dxa"/>
          </w:tcPr>
          <w:p w14:paraId="4EAF9875">
            <w:pPr>
              <w:pStyle w:val="30"/>
              <w:spacing w:before="143"/>
              <w:ind w:left="106"/>
              <w:rPr>
                <w:rFonts w:hint="eastAsia" w:ascii="宋体" w:hAnsi="宋体" w:eastAsia="宋体" w:cs="宋体"/>
                <w:sz w:val="20"/>
                <w:highlight w:val="none"/>
              </w:rPr>
            </w:pPr>
            <w:r>
              <w:rPr>
                <w:rFonts w:hint="eastAsia" w:ascii="宋体" w:hAnsi="宋体" w:eastAsia="宋体" w:cs="宋体"/>
                <w:sz w:val="20"/>
                <w:highlight w:val="none"/>
              </w:rPr>
              <w:t>逾期付款违约金的利率</w:t>
            </w:r>
          </w:p>
        </w:tc>
        <w:tc>
          <w:tcPr>
            <w:tcW w:w="1276" w:type="dxa"/>
          </w:tcPr>
          <w:p w14:paraId="5FF70A6C">
            <w:pPr>
              <w:pStyle w:val="30"/>
              <w:spacing w:before="157"/>
              <w:ind w:left="116" w:right="106"/>
              <w:jc w:val="center"/>
              <w:rPr>
                <w:rFonts w:hint="eastAsia" w:ascii="宋体" w:hAnsi="宋体" w:eastAsia="宋体" w:cs="宋体"/>
                <w:sz w:val="20"/>
                <w:highlight w:val="none"/>
              </w:rPr>
            </w:pPr>
            <w:r>
              <w:rPr>
                <w:rFonts w:hint="eastAsia" w:ascii="宋体" w:hAnsi="宋体" w:eastAsia="宋体" w:cs="宋体"/>
                <w:sz w:val="20"/>
                <w:highlight w:val="none"/>
              </w:rPr>
              <w:t>18.3</w:t>
            </w:r>
          </w:p>
        </w:tc>
        <w:tc>
          <w:tcPr>
            <w:tcW w:w="3118" w:type="dxa"/>
          </w:tcPr>
          <w:p w14:paraId="729BAA67">
            <w:pPr>
              <w:pStyle w:val="30"/>
              <w:spacing w:before="14"/>
              <w:ind w:left="106"/>
              <w:rPr>
                <w:rFonts w:hint="eastAsia" w:ascii="宋体" w:hAnsi="宋体" w:eastAsia="宋体" w:cs="宋体"/>
                <w:sz w:val="20"/>
                <w:highlight w:val="none"/>
              </w:rPr>
            </w:pPr>
            <w:r>
              <w:rPr>
                <w:rFonts w:hint="eastAsia" w:ascii="宋体" w:hAnsi="宋体" w:eastAsia="宋体" w:cs="宋体"/>
                <w:sz w:val="20"/>
                <w:highlight w:val="none"/>
              </w:rPr>
              <w:t>全国银行间同业拆借中心公布的</w:t>
            </w:r>
          </w:p>
          <w:p w14:paraId="62A2C09B">
            <w:pPr>
              <w:pStyle w:val="30"/>
              <w:spacing w:before="3" w:line="251" w:lineRule="exact"/>
              <w:ind w:left="106"/>
              <w:rPr>
                <w:rFonts w:hint="eastAsia" w:ascii="宋体" w:hAnsi="宋体" w:eastAsia="宋体" w:cs="宋体"/>
                <w:sz w:val="20"/>
                <w:highlight w:val="none"/>
              </w:rPr>
            </w:pPr>
            <w:r>
              <w:rPr>
                <w:rFonts w:hint="eastAsia" w:ascii="宋体" w:hAnsi="宋体" w:eastAsia="宋体" w:cs="宋体"/>
                <w:sz w:val="20"/>
                <w:highlight w:val="none"/>
              </w:rPr>
              <w:t>1 年期贷款市场报价利率</w:t>
            </w:r>
          </w:p>
        </w:tc>
        <w:tc>
          <w:tcPr>
            <w:tcW w:w="993" w:type="dxa"/>
          </w:tcPr>
          <w:p w14:paraId="677B6503">
            <w:pPr>
              <w:pStyle w:val="30"/>
              <w:rPr>
                <w:rFonts w:hint="eastAsia" w:ascii="宋体" w:hAnsi="宋体" w:eastAsia="宋体" w:cs="宋体"/>
                <w:sz w:val="18"/>
                <w:highlight w:val="none"/>
              </w:rPr>
            </w:pPr>
          </w:p>
        </w:tc>
      </w:tr>
      <w:tr w14:paraId="01C59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17" w:type="dxa"/>
          </w:tcPr>
          <w:p w14:paraId="0B05019E">
            <w:pPr>
              <w:pStyle w:val="30"/>
              <w:spacing w:before="163"/>
              <w:ind w:left="7"/>
              <w:jc w:val="center"/>
              <w:rPr>
                <w:rFonts w:hint="eastAsia" w:ascii="宋体" w:hAnsi="宋体" w:eastAsia="宋体" w:cs="宋体"/>
                <w:sz w:val="20"/>
                <w:highlight w:val="none"/>
                <w:lang w:eastAsia="zh-CN"/>
              </w:rPr>
            </w:pPr>
            <w:r>
              <w:rPr>
                <w:rFonts w:hint="eastAsia" w:cs="宋体"/>
                <w:w w:val="99"/>
                <w:sz w:val="20"/>
                <w:highlight w:val="none"/>
                <w:lang w:val="en-US" w:eastAsia="zh-CN"/>
              </w:rPr>
              <w:t>7</w:t>
            </w:r>
          </w:p>
        </w:tc>
        <w:tc>
          <w:tcPr>
            <w:tcW w:w="2835" w:type="dxa"/>
          </w:tcPr>
          <w:p w14:paraId="79FA2B8A">
            <w:pPr>
              <w:pStyle w:val="30"/>
              <w:spacing w:before="150"/>
              <w:ind w:left="106"/>
              <w:rPr>
                <w:rFonts w:hint="eastAsia" w:ascii="宋体" w:hAnsi="宋体" w:eastAsia="宋体" w:cs="宋体"/>
                <w:sz w:val="20"/>
                <w:highlight w:val="none"/>
              </w:rPr>
            </w:pPr>
            <w:r>
              <w:rPr>
                <w:rFonts w:hint="eastAsia" w:ascii="宋体" w:hAnsi="宋体" w:eastAsia="宋体" w:cs="宋体"/>
                <w:sz w:val="20"/>
                <w:highlight w:val="none"/>
              </w:rPr>
              <w:t>保修期</w:t>
            </w:r>
          </w:p>
        </w:tc>
        <w:tc>
          <w:tcPr>
            <w:tcW w:w="1276" w:type="dxa"/>
          </w:tcPr>
          <w:p w14:paraId="05D5E187">
            <w:pPr>
              <w:pStyle w:val="30"/>
              <w:spacing w:before="163"/>
              <w:ind w:left="116" w:right="106"/>
              <w:jc w:val="center"/>
              <w:rPr>
                <w:rFonts w:hint="eastAsia" w:ascii="宋体" w:hAnsi="宋体" w:eastAsia="宋体" w:cs="宋体"/>
                <w:sz w:val="20"/>
                <w:highlight w:val="none"/>
              </w:rPr>
            </w:pPr>
            <w:r>
              <w:rPr>
                <w:rFonts w:hint="eastAsia" w:ascii="宋体" w:hAnsi="宋体" w:eastAsia="宋体" w:cs="宋体"/>
                <w:sz w:val="20"/>
                <w:highlight w:val="none"/>
              </w:rPr>
              <w:t>21.5</w:t>
            </w:r>
          </w:p>
        </w:tc>
        <w:tc>
          <w:tcPr>
            <w:tcW w:w="3118" w:type="dxa"/>
          </w:tcPr>
          <w:p w14:paraId="48419B57">
            <w:pPr>
              <w:pStyle w:val="30"/>
              <w:spacing w:before="95" w:line="132" w:lineRule="exact"/>
              <w:ind w:right="258"/>
              <w:jc w:val="right"/>
              <w:rPr>
                <w:rFonts w:hint="eastAsia" w:ascii="宋体" w:hAnsi="宋体" w:eastAsia="宋体" w:cs="宋体"/>
                <w:sz w:val="14"/>
                <w:highlight w:val="none"/>
              </w:rPr>
            </w:pPr>
          </w:p>
          <w:p w14:paraId="3D7F00BB">
            <w:pPr>
              <w:pStyle w:val="30"/>
              <w:tabs>
                <w:tab w:val="left" w:pos="2506"/>
              </w:tabs>
              <w:spacing w:line="209" w:lineRule="exact"/>
              <w:ind w:left="106"/>
              <w:rPr>
                <w:rFonts w:hint="eastAsia" w:ascii="宋体" w:hAnsi="宋体" w:eastAsia="宋体" w:cs="宋体"/>
                <w:sz w:val="20"/>
                <w:highlight w:val="none"/>
              </w:rPr>
            </w:pPr>
            <w:r>
              <w:rPr>
                <w:rFonts w:hint="eastAsia" w:ascii="宋体" w:hAnsi="宋体" w:eastAsia="宋体" w:cs="宋体"/>
                <w:sz w:val="20"/>
                <w:highlight w:val="none"/>
              </w:rPr>
              <w:t>自实际交工日期起计算</w:t>
            </w:r>
            <w:r>
              <w:rPr>
                <w:rFonts w:hint="eastAsia" w:ascii="宋体" w:hAnsi="宋体" w:eastAsia="宋体" w:cs="宋体"/>
                <w:sz w:val="20"/>
                <w:highlight w:val="none"/>
                <w:u w:val="single"/>
              </w:rPr>
              <w:t xml:space="preserve"> </w:t>
            </w:r>
            <w:r>
              <w:rPr>
                <w:rFonts w:hint="eastAsia" w:ascii="宋体" w:hAnsi="宋体" w:eastAsia="宋体" w:cs="宋体"/>
                <w:sz w:val="20"/>
                <w:highlight w:val="none"/>
                <w:u w:val="single"/>
                <w:lang w:val="en-US"/>
              </w:rPr>
              <w:t xml:space="preserve">1 </w:t>
            </w:r>
            <w:r>
              <w:rPr>
                <w:rFonts w:hint="eastAsia" w:ascii="宋体" w:hAnsi="宋体" w:eastAsia="宋体" w:cs="宋体"/>
                <w:sz w:val="20"/>
                <w:highlight w:val="none"/>
              </w:rPr>
              <w:t>年</w:t>
            </w:r>
          </w:p>
        </w:tc>
        <w:tc>
          <w:tcPr>
            <w:tcW w:w="993" w:type="dxa"/>
          </w:tcPr>
          <w:p w14:paraId="41505D3C">
            <w:pPr>
              <w:pStyle w:val="30"/>
              <w:rPr>
                <w:rFonts w:hint="eastAsia" w:ascii="宋体" w:hAnsi="宋体" w:eastAsia="宋体" w:cs="宋体"/>
                <w:sz w:val="18"/>
                <w:highlight w:val="none"/>
              </w:rPr>
            </w:pPr>
          </w:p>
        </w:tc>
      </w:tr>
    </w:tbl>
    <w:p w14:paraId="4F78ADDF">
      <w:pPr>
        <w:pStyle w:val="10"/>
        <w:rPr>
          <w:rFonts w:hint="eastAsia" w:ascii="宋体" w:hAnsi="宋体" w:eastAsia="宋体" w:cs="宋体"/>
          <w:sz w:val="20"/>
          <w:highlight w:val="none"/>
        </w:rPr>
      </w:pPr>
    </w:p>
    <w:p w14:paraId="0682E991">
      <w:pPr>
        <w:pStyle w:val="10"/>
        <w:rPr>
          <w:rFonts w:hint="eastAsia" w:ascii="宋体" w:hAnsi="宋体" w:eastAsia="宋体" w:cs="宋体"/>
          <w:sz w:val="20"/>
          <w:highlight w:val="none"/>
        </w:rPr>
      </w:pPr>
    </w:p>
    <w:p w14:paraId="7493955B">
      <w:pPr>
        <w:pStyle w:val="10"/>
        <w:rPr>
          <w:rFonts w:hint="eastAsia" w:ascii="宋体" w:hAnsi="宋体" w:eastAsia="宋体" w:cs="宋体"/>
          <w:sz w:val="20"/>
          <w:highlight w:val="none"/>
        </w:rPr>
      </w:pPr>
    </w:p>
    <w:p w14:paraId="58EC4394">
      <w:pPr>
        <w:pStyle w:val="10"/>
        <w:rPr>
          <w:rFonts w:hint="eastAsia" w:ascii="宋体" w:hAnsi="宋体" w:eastAsia="宋体" w:cs="宋体"/>
          <w:sz w:val="20"/>
          <w:highlight w:val="none"/>
        </w:rPr>
      </w:pPr>
    </w:p>
    <w:p w14:paraId="300DDE06">
      <w:pPr>
        <w:pStyle w:val="10"/>
        <w:rPr>
          <w:rFonts w:hint="eastAsia" w:ascii="宋体" w:hAnsi="宋体" w:eastAsia="宋体" w:cs="宋体"/>
          <w:sz w:val="20"/>
          <w:highlight w:val="none"/>
        </w:rPr>
      </w:pPr>
    </w:p>
    <w:p w14:paraId="7D8C3866">
      <w:pPr>
        <w:pStyle w:val="10"/>
        <w:rPr>
          <w:rFonts w:hint="eastAsia" w:ascii="宋体" w:hAnsi="宋体" w:eastAsia="宋体" w:cs="宋体"/>
          <w:sz w:val="20"/>
          <w:highlight w:val="none"/>
        </w:rPr>
      </w:pPr>
    </w:p>
    <w:p w14:paraId="18CF28C6">
      <w:pPr>
        <w:pStyle w:val="10"/>
        <w:rPr>
          <w:rFonts w:hint="eastAsia" w:ascii="宋体" w:hAnsi="宋体" w:eastAsia="宋体" w:cs="宋体"/>
          <w:sz w:val="20"/>
          <w:highlight w:val="none"/>
        </w:rPr>
      </w:pPr>
    </w:p>
    <w:p w14:paraId="1FA9411C">
      <w:pPr>
        <w:spacing w:line="440" w:lineRule="exact"/>
        <w:ind w:firstLine="4905" w:firstLineChars="2250"/>
        <w:rPr>
          <w:rFonts w:hint="eastAsia" w:ascii="宋体" w:hAnsi="宋体" w:eastAsia="宋体" w:cs="宋体"/>
          <w:spacing w:val="-1"/>
          <w:highlight w:val="none"/>
        </w:rPr>
      </w:pPr>
      <w:r>
        <w:rPr>
          <w:rFonts w:hint="eastAsia" w:ascii="宋体" w:hAnsi="宋体" w:eastAsia="宋体" w:cs="宋体"/>
          <w:spacing w:val="-1"/>
          <w:highlight w:val="none"/>
        </w:rPr>
        <w:t>竞争性磋商响应人：（盖章）</w:t>
      </w:r>
    </w:p>
    <w:p w14:paraId="0AB7BD8E">
      <w:pPr>
        <w:spacing w:line="440" w:lineRule="exact"/>
        <w:ind w:firstLine="4796" w:firstLineChars="2200"/>
        <w:rPr>
          <w:rFonts w:hint="eastAsia" w:ascii="宋体" w:hAnsi="宋体" w:eastAsia="宋体" w:cs="宋体"/>
          <w:spacing w:val="-1"/>
          <w:highlight w:val="none"/>
        </w:rPr>
      </w:pPr>
      <w:r>
        <w:rPr>
          <w:rFonts w:hint="eastAsia" w:ascii="宋体" w:hAnsi="宋体" w:eastAsia="宋体" w:cs="宋体"/>
          <w:spacing w:val="-1"/>
          <w:highlight w:val="none"/>
        </w:rPr>
        <w:t>法定代表人或授权委托人：（签字或盖章）</w:t>
      </w:r>
    </w:p>
    <w:p w14:paraId="758C528D">
      <w:pPr>
        <w:spacing w:line="440" w:lineRule="exact"/>
        <w:ind w:firstLine="5777" w:firstLineChars="2650"/>
        <w:rPr>
          <w:rFonts w:hint="eastAsia" w:ascii="宋体" w:hAnsi="宋体" w:eastAsia="宋体" w:cs="宋体"/>
          <w:b/>
          <w:sz w:val="21"/>
          <w:szCs w:val="21"/>
          <w:highlight w:val="none"/>
        </w:rPr>
      </w:pPr>
      <w:r>
        <w:rPr>
          <w:rFonts w:hint="eastAsia" w:ascii="宋体" w:hAnsi="宋体" w:eastAsia="宋体" w:cs="宋体"/>
          <w:spacing w:val="-1"/>
          <w:highlight w:val="none"/>
        </w:rPr>
        <w:t>年</w:t>
      </w:r>
      <w:r>
        <w:rPr>
          <w:rFonts w:hint="eastAsia" w:ascii="宋体" w:hAnsi="宋体" w:eastAsia="宋体" w:cs="宋体"/>
          <w:spacing w:val="-1"/>
          <w:highlight w:val="none"/>
          <w:lang w:val="en-US"/>
        </w:rPr>
        <w:t xml:space="preserve"> </w:t>
      </w:r>
      <w:r>
        <w:rPr>
          <w:rFonts w:hint="eastAsia" w:ascii="宋体" w:hAnsi="宋体" w:eastAsia="宋体" w:cs="宋体"/>
          <w:spacing w:val="-1"/>
          <w:highlight w:val="none"/>
        </w:rPr>
        <w:t>月</w:t>
      </w:r>
      <w:r>
        <w:rPr>
          <w:rFonts w:hint="eastAsia" w:ascii="宋体" w:hAnsi="宋体" w:eastAsia="宋体" w:cs="宋体"/>
          <w:spacing w:val="-1"/>
          <w:highlight w:val="none"/>
          <w:lang w:val="en-US"/>
        </w:rPr>
        <w:t xml:space="preserve">  </w:t>
      </w:r>
      <w:r>
        <w:rPr>
          <w:rFonts w:hint="eastAsia" w:ascii="宋体" w:hAnsi="宋体" w:eastAsia="宋体" w:cs="宋体"/>
          <w:spacing w:val="-1"/>
          <w:highlight w:val="none"/>
        </w:rPr>
        <w:t>日</w:t>
      </w:r>
    </w:p>
    <w:p w14:paraId="40EB4AB1">
      <w:pPr>
        <w:pStyle w:val="10"/>
        <w:rPr>
          <w:rFonts w:hint="eastAsia" w:ascii="宋体" w:hAnsi="宋体" w:eastAsia="宋体" w:cs="宋体"/>
          <w:sz w:val="20"/>
          <w:highlight w:val="none"/>
        </w:rPr>
      </w:pPr>
    </w:p>
    <w:p w14:paraId="2E2F9032">
      <w:pPr>
        <w:pStyle w:val="10"/>
        <w:rPr>
          <w:rFonts w:hint="eastAsia" w:ascii="宋体" w:hAnsi="宋体" w:eastAsia="宋体" w:cs="宋体"/>
          <w:sz w:val="20"/>
          <w:highlight w:val="none"/>
        </w:rPr>
      </w:pPr>
    </w:p>
    <w:p w14:paraId="0D474022">
      <w:pPr>
        <w:pStyle w:val="10"/>
        <w:rPr>
          <w:rFonts w:hint="eastAsia" w:ascii="宋体" w:hAnsi="宋体" w:eastAsia="宋体" w:cs="宋体"/>
          <w:sz w:val="20"/>
          <w:highlight w:val="none"/>
        </w:rPr>
      </w:pPr>
    </w:p>
    <w:p w14:paraId="2AEE58FC">
      <w:pPr>
        <w:pStyle w:val="10"/>
        <w:rPr>
          <w:rFonts w:hint="eastAsia" w:ascii="宋体" w:hAnsi="宋体" w:eastAsia="宋体" w:cs="宋体"/>
          <w:sz w:val="20"/>
          <w:highlight w:val="none"/>
        </w:rPr>
      </w:pPr>
    </w:p>
    <w:p w14:paraId="342A8859">
      <w:pPr>
        <w:pStyle w:val="10"/>
        <w:rPr>
          <w:rFonts w:hint="eastAsia" w:ascii="宋体" w:hAnsi="宋体" w:eastAsia="宋体" w:cs="宋体"/>
          <w:sz w:val="20"/>
          <w:highlight w:val="none"/>
        </w:rPr>
      </w:pPr>
    </w:p>
    <w:p w14:paraId="786380F7">
      <w:pPr>
        <w:pStyle w:val="10"/>
        <w:rPr>
          <w:rFonts w:hint="eastAsia" w:ascii="宋体" w:hAnsi="宋体" w:eastAsia="宋体" w:cs="宋体"/>
          <w:sz w:val="20"/>
          <w:highlight w:val="none"/>
        </w:rPr>
      </w:pPr>
    </w:p>
    <w:p w14:paraId="71081D3B">
      <w:pPr>
        <w:pStyle w:val="10"/>
        <w:spacing w:before="3"/>
        <w:rPr>
          <w:rFonts w:hint="eastAsia" w:ascii="宋体" w:hAnsi="宋体" w:eastAsia="宋体" w:cs="宋体"/>
          <w:sz w:val="29"/>
          <w:highlight w:val="none"/>
        </w:rPr>
      </w:pPr>
    </w:p>
    <w:p w14:paraId="774B9791">
      <w:pPr>
        <w:pStyle w:val="28"/>
        <w:rPr>
          <w:rFonts w:hint="eastAsia" w:ascii="宋体" w:hAnsi="宋体" w:eastAsia="宋体" w:cs="宋体"/>
          <w:sz w:val="29"/>
          <w:highlight w:val="none"/>
        </w:rPr>
      </w:pPr>
    </w:p>
    <w:p w14:paraId="61235E36">
      <w:pPr>
        <w:rPr>
          <w:rFonts w:hint="eastAsia" w:ascii="宋体" w:hAnsi="宋体" w:eastAsia="宋体" w:cs="宋体"/>
          <w:sz w:val="29"/>
          <w:highlight w:val="none"/>
        </w:rPr>
      </w:pPr>
    </w:p>
    <w:p w14:paraId="46C3B234">
      <w:pPr>
        <w:pStyle w:val="23"/>
        <w:ind w:firstLine="580"/>
        <w:rPr>
          <w:rFonts w:hint="eastAsia" w:ascii="宋体" w:hAnsi="宋体" w:eastAsia="宋体" w:cs="宋体"/>
          <w:sz w:val="29"/>
          <w:highlight w:val="none"/>
        </w:rPr>
      </w:pPr>
    </w:p>
    <w:p w14:paraId="29EE12E8">
      <w:pPr>
        <w:pStyle w:val="23"/>
        <w:ind w:firstLine="580"/>
        <w:rPr>
          <w:rFonts w:hint="eastAsia" w:ascii="宋体" w:hAnsi="宋体" w:eastAsia="宋体" w:cs="宋体"/>
          <w:sz w:val="29"/>
          <w:highlight w:val="none"/>
        </w:rPr>
      </w:pPr>
    </w:p>
    <w:p w14:paraId="258EA80D">
      <w:pPr>
        <w:pStyle w:val="10"/>
        <w:spacing w:before="8"/>
        <w:rPr>
          <w:rFonts w:hint="eastAsia" w:ascii="宋体" w:hAnsi="宋体" w:eastAsia="宋体" w:cs="宋体"/>
          <w:sz w:val="5"/>
          <w:highlight w:val="none"/>
        </w:rPr>
      </w:pPr>
    </w:p>
    <w:p w14:paraId="28DA3173">
      <w:pPr>
        <w:pStyle w:val="9"/>
        <w:spacing w:before="130"/>
        <w:ind w:right="369"/>
        <w:rPr>
          <w:rFonts w:hint="eastAsia" w:ascii="宋体" w:hAnsi="宋体" w:eastAsia="宋体" w:cs="宋体"/>
          <w:highlight w:val="none"/>
        </w:rPr>
      </w:pPr>
      <w:bookmarkStart w:id="93" w:name="_TOC_250013"/>
      <w:bookmarkEnd w:id="93"/>
    </w:p>
    <w:p w14:paraId="4475EEEA">
      <w:pPr>
        <w:pStyle w:val="9"/>
        <w:spacing w:before="130"/>
        <w:ind w:right="369"/>
        <w:rPr>
          <w:rFonts w:hint="eastAsia" w:ascii="宋体" w:hAnsi="宋体" w:eastAsia="宋体" w:cs="宋体"/>
          <w:highlight w:val="none"/>
        </w:rPr>
      </w:pPr>
      <w:r>
        <w:rPr>
          <w:rFonts w:hint="eastAsia" w:ascii="宋体" w:hAnsi="宋体" w:eastAsia="宋体" w:cs="宋体"/>
          <w:highlight w:val="none"/>
        </w:rPr>
        <w:t>二、授权委托书或法定代表人身份证明</w:t>
      </w:r>
    </w:p>
    <w:p w14:paraId="1C1BF189">
      <w:pPr>
        <w:pStyle w:val="10"/>
        <w:spacing w:before="3"/>
        <w:rPr>
          <w:rFonts w:hint="eastAsia" w:ascii="宋体" w:hAnsi="宋体" w:eastAsia="宋体" w:cs="宋体"/>
          <w:sz w:val="29"/>
          <w:highlight w:val="none"/>
        </w:rPr>
      </w:pPr>
    </w:p>
    <w:p w14:paraId="67507460">
      <w:pPr>
        <w:ind w:left="3488"/>
        <w:rPr>
          <w:rFonts w:hint="eastAsia" w:ascii="宋体" w:hAnsi="宋体" w:eastAsia="宋体" w:cs="宋体"/>
          <w:sz w:val="14"/>
          <w:highlight w:val="none"/>
        </w:rPr>
      </w:pPr>
      <w:bookmarkStart w:id="94" w:name="_TOC_250012"/>
      <w:r>
        <w:rPr>
          <w:rFonts w:hint="eastAsia" w:ascii="宋体" w:hAnsi="宋体" w:eastAsia="宋体" w:cs="宋体"/>
          <w:sz w:val="28"/>
          <w:highlight w:val="none"/>
        </w:rPr>
        <w:t>（一）授权委托书</w:t>
      </w:r>
      <w:bookmarkEnd w:id="94"/>
    </w:p>
    <w:p w14:paraId="7D89A7C2">
      <w:pPr>
        <w:pStyle w:val="10"/>
        <w:rPr>
          <w:rFonts w:hint="eastAsia" w:ascii="宋体" w:hAnsi="宋体" w:eastAsia="宋体" w:cs="宋体"/>
          <w:sz w:val="30"/>
          <w:highlight w:val="none"/>
        </w:rPr>
      </w:pPr>
    </w:p>
    <w:p w14:paraId="00EC2CB3">
      <w:pPr>
        <w:pStyle w:val="10"/>
        <w:spacing w:before="6"/>
        <w:rPr>
          <w:rFonts w:hint="eastAsia" w:ascii="宋体" w:hAnsi="宋体" w:eastAsia="宋体" w:cs="宋体"/>
          <w:sz w:val="31"/>
          <w:highlight w:val="none"/>
        </w:rPr>
      </w:pPr>
    </w:p>
    <w:p w14:paraId="53F269C0">
      <w:pPr>
        <w:pStyle w:val="10"/>
        <w:tabs>
          <w:tab w:val="left" w:pos="2028"/>
          <w:tab w:val="left" w:pos="3223"/>
          <w:tab w:val="left" w:pos="5983"/>
          <w:tab w:val="left" w:pos="8419"/>
        </w:tabs>
        <w:spacing w:line="343" w:lineRule="auto"/>
        <w:ind w:left="224" w:right="507" w:firstLine="480"/>
        <w:jc w:val="both"/>
        <w:rPr>
          <w:rFonts w:hint="eastAsia" w:ascii="宋体" w:hAnsi="宋体" w:eastAsia="宋体" w:cs="宋体"/>
          <w:highlight w:val="none"/>
        </w:rPr>
      </w:pPr>
      <w:r>
        <w:rPr>
          <w:rFonts w:hint="eastAsia" w:ascii="宋体" w:hAnsi="宋体" w:eastAsia="宋体" w:cs="宋体"/>
          <w:highlight w:val="none"/>
        </w:rPr>
        <w:t>本人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3"/>
          <w:highlight w:val="none"/>
          <w:u w:val="single"/>
        </w:rPr>
        <w:t>（</w:t>
      </w:r>
      <w:r>
        <w:rPr>
          <w:rFonts w:hint="eastAsia" w:ascii="宋体" w:hAnsi="宋体" w:eastAsia="宋体" w:cs="宋体"/>
          <w:highlight w:val="none"/>
        </w:rPr>
        <w:t>姓名</w:t>
      </w:r>
      <w:r>
        <w:rPr>
          <w:rFonts w:hint="eastAsia" w:ascii="宋体" w:hAnsi="宋体" w:eastAsia="宋体" w:cs="宋体"/>
          <w:spacing w:val="-116"/>
          <w:highlight w:val="none"/>
        </w:rPr>
        <w:t>）</w:t>
      </w:r>
      <w:r>
        <w:rPr>
          <w:rFonts w:hint="eastAsia" w:ascii="宋体" w:hAnsi="宋体" w:eastAsia="宋体" w:cs="宋体"/>
          <w:spacing w:val="-116"/>
          <w:highlight w:val="none"/>
          <w:lang w:val="en-US"/>
        </w:rPr>
        <w:t xml:space="preserve">       </w:t>
      </w:r>
      <w:r>
        <w:rPr>
          <w:rFonts w:hint="eastAsia" w:ascii="宋体" w:hAnsi="宋体" w:eastAsia="宋体" w:cs="宋体"/>
          <w:highlight w:val="none"/>
        </w:rPr>
        <w:t xml:space="preserve"> </w:t>
      </w:r>
      <w:r>
        <w:rPr>
          <w:rFonts w:hint="eastAsia" w:ascii="宋体" w:hAnsi="宋体" w:eastAsia="宋体" w:cs="宋体"/>
          <w:highlight w:val="none"/>
          <w:lang w:val="en-US"/>
        </w:rPr>
        <w:t>系</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rPr>
        <w:t xml:space="preserve">    </w:t>
      </w:r>
      <w:r>
        <w:rPr>
          <w:rFonts w:hint="eastAsia" w:ascii="宋体" w:hAnsi="宋体" w:eastAsia="宋体" w:cs="宋体"/>
          <w:highlight w:val="none"/>
          <w:u w:val="single"/>
        </w:rPr>
        <w:t xml:space="preserve"> </w:t>
      </w:r>
      <w:r>
        <w:rPr>
          <w:rFonts w:hint="eastAsia" w:ascii="宋体" w:hAnsi="宋体" w:eastAsia="宋体" w:cs="宋体"/>
          <w:spacing w:val="2"/>
          <w:highlight w:val="none"/>
          <w:u w:val="single"/>
        </w:rPr>
        <w:t xml:space="preserve"> </w:t>
      </w:r>
      <w:r>
        <w:rPr>
          <w:rFonts w:hint="eastAsia" w:ascii="宋体" w:hAnsi="宋体" w:eastAsia="宋体" w:cs="宋体"/>
          <w:highlight w:val="none"/>
          <w:u w:val="single"/>
        </w:rPr>
        <w:t>（</w:t>
      </w:r>
      <w:r>
        <w:rPr>
          <w:rFonts w:hint="eastAsia" w:ascii="宋体" w:hAnsi="宋体" w:eastAsia="宋体" w:cs="宋体"/>
          <w:highlight w:val="none"/>
        </w:rPr>
        <w:t>投标人名称</w:t>
      </w:r>
      <w:r>
        <w:rPr>
          <w:rFonts w:hint="eastAsia" w:ascii="宋体" w:hAnsi="宋体" w:eastAsia="宋体" w:cs="宋体"/>
          <w:spacing w:val="-118"/>
          <w:highlight w:val="none"/>
        </w:rPr>
        <w:t>）</w:t>
      </w:r>
      <w:r>
        <w:rPr>
          <w:rFonts w:hint="eastAsia" w:ascii="宋体" w:hAnsi="宋体" w:eastAsia="宋体" w:cs="宋体"/>
          <w:highlight w:val="none"/>
        </w:rPr>
        <w:t>的法定代表人</w:t>
      </w:r>
      <w:r>
        <w:rPr>
          <w:rFonts w:hint="eastAsia" w:ascii="宋体" w:hAnsi="宋体" w:eastAsia="宋体" w:cs="宋体"/>
          <w:spacing w:val="-116"/>
          <w:highlight w:val="none"/>
        </w:rPr>
        <w:t>，</w:t>
      </w:r>
      <w:r>
        <w:rPr>
          <w:rFonts w:hint="eastAsia" w:ascii="宋体" w:hAnsi="宋体" w:eastAsia="宋体" w:cs="宋体"/>
          <w:highlight w:val="none"/>
        </w:rPr>
        <w:t>现委托</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3"/>
          <w:highlight w:val="none"/>
          <w:u w:val="single"/>
        </w:rPr>
        <w:t>（</w:t>
      </w:r>
      <w:r>
        <w:rPr>
          <w:rFonts w:hint="eastAsia" w:ascii="宋体" w:hAnsi="宋体" w:eastAsia="宋体" w:cs="宋体"/>
          <w:spacing w:val="-16"/>
          <w:highlight w:val="none"/>
        </w:rPr>
        <w:t>姓</w:t>
      </w:r>
      <w:r>
        <w:rPr>
          <w:rFonts w:hint="eastAsia" w:ascii="宋体" w:hAnsi="宋体" w:eastAsia="宋体" w:cs="宋体"/>
          <w:highlight w:val="none"/>
        </w:rPr>
        <w:t>名）为我方代理人。代理人根据授权，以我方名义签署、澄清确认、递交、撤回、修改</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（项目名称）施工投标响应文件、签订合同和处理有关事宜，其法律后果由我方承担。</w:t>
      </w:r>
    </w:p>
    <w:p w14:paraId="6263E955">
      <w:pPr>
        <w:pStyle w:val="10"/>
        <w:spacing w:before="3" w:line="343" w:lineRule="auto"/>
        <w:ind w:left="704" w:right="2861" w:firstLine="79"/>
        <w:rPr>
          <w:rFonts w:hint="eastAsia" w:ascii="宋体" w:hAnsi="宋体" w:eastAsia="宋体" w:cs="宋体"/>
          <w:highlight w:val="none"/>
        </w:rPr>
      </w:pPr>
      <w:r>
        <w:rPr>
          <w:rFonts w:hint="eastAsia" w:ascii="宋体" w:hAnsi="宋体" w:eastAsia="宋体" w:cs="宋体"/>
          <w:highlight w:val="none"/>
        </w:rPr>
        <w:t>委托期限：自本委托书签署之日起至投标有效期期满。代理人无转委托权。</w:t>
      </w:r>
    </w:p>
    <w:p w14:paraId="63633D8B">
      <w:pPr>
        <w:pStyle w:val="10"/>
        <w:rPr>
          <w:rFonts w:hint="eastAsia" w:ascii="宋体" w:hAnsi="宋体" w:eastAsia="宋体" w:cs="宋体"/>
          <w:highlight w:val="none"/>
        </w:rPr>
      </w:pPr>
    </w:p>
    <w:p w14:paraId="4A51751B">
      <w:pPr>
        <w:spacing w:before="173"/>
        <w:ind w:left="389"/>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附：法定代表人身份证及委托代理人身份证。</w:t>
      </w:r>
    </w:p>
    <w:p w14:paraId="0266E06A">
      <w:pPr>
        <w:pStyle w:val="10"/>
        <w:rPr>
          <w:rFonts w:hint="eastAsia" w:ascii="宋体" w:hAnsi="宋体" w:eastAsia="宋体" w:cs="宋体"/>
          <w:sz w:val="20"/>
          <w:highlight w:val="none"/>
        </w:rPr>
      </w:pPr>
    </w:p>
    <w:p w14:paraId="3F1AA862">
      <w:pPr>
        <w:pStyle w:val="10"/>
        <w:spacing w:before="9"/>
        <w:rPr>
          <w:rFonts w:hint="eastAsia" w:ascii="宋体" w:hAnsi="宋体" w:eastAsia="宋体" w:cs="宋体"/>
          <w:sz w:val="23"/>
          <w:highlight w:val="none"/>
        </w:rPr>
      </w:pPr>
    </w:p>
    <w:p w14:paraId="68BD46FA">
      <w:pPr>
        <w:pStyle w:val="10"/>
        <w:tabs>
          <w:tab w:val="left" w:pos="7114"/>
          <w:tab w:val="left" w:pos="7714"/>
          <w:tab w:val="left" w:pos="8373"/>
        </w:tabs>
        <w:spacing w:line="624" w:lineRule="auto"/>
        <w:ind w:left="3514" w:right="730"/>
        <w:rPr>
          <w:rFonts w:hint="eastAsia" w:ascii="宋体" w:hAnsi="宋体" w:eastAsia="宋体" w:cs="宋体"/>
          <w:highlight w:val="none"/>
        </w:rPr>
      </w:pPr>
      <w:r>
        <w:rPr>
          <w:rFonts w:hint="eastAsia" w:ascii="宋体" w:hAnsi="宋体" w:eastAsia="宋体" w:cs="宋体"/>
          <w:spacing w:val="-1"/>
          <w:highlight w:val="none"/>
        </w:rPr>
        <w:t>竞争性磋商响应人</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（盖单位章） 法定代表人：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（签字</w:t>
      </w:r>
      <w:r>
        <w:rPr>
          <w:rFonts w:hint="eastAsia" w:ascii="宋体" w:hAnsi="宋体" w:eastAsia="宋体" w:cs="宋体"/>
          <w:spacing w:val="-17"/>
          <w:highlight w:val="none"/>
        </w:rPr>
        <w:t xml:space="preserve">） </w:t>
      </w:r>
      <w:r>
        <w:rPr>
          <w:rFonts w:hint="eastAsia" w:ascii="宋体" w:hAnsi="宋体" w:eastAsia="宋体" w:cs="宋体"/>
          <w:spacing w:val="-1"/>
          <w:highlight w:val="none"/>
        </w:rPr>
        <w:t>身</w:t>
      </w:r>
      <w:r>
        <w:rPr>
          <w:rFonts w:hint="eastAsia" w:ascii="宋体" w:hAnsi="宋体" w:eastAsia="宋体" w:cs="宋体"/>
          <w:highlight w:val="none"/>
        </w:rPr>
        <w:t>份证号码：</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p>
    <w:p w14:paraId="57093227">
      <w:pPr>
        <w:pStyle w:val="10"/>
        <w:tabs>
          <w:tab w:val="left" w:pos="7834"/>
          <w:tab w:val="left" w:pos="8493"/>
        </w:tabs>
        <w:spacing w:before="2" w:line="624" w:lineRule="auto"/>
        <w:ind w:left="3514" w:right="610"/>
        <w:rPr>
          <w:rFonts w:hint="eastAsia" w:ascii="宋体" w:hAnsi="宋体" w:eastAsia="宋体" w:cs="宋体"/>
          <w:highlight w:val="none"/>
        </w:rPr>
      </w:pPr>
      <w:r>
        <w:rPr>
          <w:rFonts w:hint="eastAsia" w:ascii="宋体" w:hAnsi="宋体" w:eastAsia="宋体" w:cs="宋体"/>
          <w:highlight w:val="none"/>
        </w:rPr>
        <w:t>委托代理人：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（签字</w:t>
      </w:r>
      <w:r>
        <w:rPr>
          <w:rFonts w:hint="eastAsia" w:ascii="宋体" w:hAnsi="宋体" w:eastAsia="宋体" w:cs="宋体"/>
          <w:spacing w:val="-17"/>
          <w:highlight w:val="none"/>
        </w:rPr>
        <w:t xml:space="preserve">） </w:t>
      </w:r>
      <w:r>
        <w:rPr>
          <w:rFonts w:hint="eastAsia" w:ascii="宋体" w:hAnsi="宋体" w:eastAsia="宋体" w:cs="宋体"/>
          <w:spacing w:val="-1"/>
          <w:highlight w:val="none"/>
        </w:rPr>
        <w:t>身</w:t>
      </w:r>
      <w:r>
        <w:rPr>
          <w:rFonts w:hint="eastAsia" w:ascii="宋体" w:hAnsi="宋体" w:eastAsia="宋体" w:cs="宋体"/>
          <w:highlight w:val="none"/>
        </w:rPr>
        <w:t>份证号码：</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p>
    <w:p w14:paraId="11F92476">
      <w:pPr>
        <w:pStyle w:val="10"/>
        <w:tabs>
          <w:tab w:val="left" w:pos="5662"/>
          <w:tab w:val="left" w:pos="6982"/>
          <w:tab w:val="left" w:pos="8121"/>
        </w:tabs>
        <w:spacing w:before="2"/>
        <w:ind w:left="4822"/>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3768784F">
      <w:pPr>
        <w:pStyle w:val="10"/>
        <w:rPr>
          <w:rFonts w:hint="eastAsia" w:ascii="宋体" w:hAnsi="宋体" w:eastAsia="宋体" w:cs="宋体"/>
          <w:sz w:val="26"/>
          <w:highlight w:val="none"/>
        </w:rPr>
      </w:pPr>
    </w:p>
    <w:p w14:paraId="6732BAA5">
      <w:pPr>
        <w:pStyle w:val="10"/>
        <w:spacing w:before="7"/>
        <w:rPr>
          <w:rFonts w:hint="eastAsia" w:ascii="宋体" w:hAnsi="宋体" w:eastAsia="宋体" w:cs="宋体"/>
          <w:sz w:val="19"/>
          <w:highlight w:val="none"/>
        </w:rPr>
      </w:pPr>
    </w:p>
    <w:p w14:paraId="2E8C7B64">
      <w:pPr>
        <w:spacing w:line="372" w:lineRule="auto"/>
        <w:ind w:left="224" w:right="582" w:firstLine="400"/>
        <w:rPr>
          <w:rFonts w:hint="eastAsia" w:ascii="宋体" w:hAnsi="宋体" w:eastAsia="宋体" w:cs="宋体"/>
          <w:w w:val="95"/>
          <w:sz w:val="20"/>
          <w:highlight w:val="none"/>
        </w:rPr>
      </w:pPr>
      <w:r>
        <w:rPr>
          <w:rFonts w:hint="eastAsia" w:ascii="宋体" w:hAnsi="宋体" w:eastAsia="宋体" w:cs="宋体"/>
          <w:w w:val="95"/>
          <w:sz w:val="20"/>
          <w:highlight w:val="none"/>
        </w:rPr>
        <w:t>注：法定代表人和委托代理人必须在授权委托书上签名</w:t>
      </w:r>
      <w:r>
        <w:rPr>
          <w:rFonts w:hint="eastAsia" w:ascii="宋体" w:hAnsi="宋体" w:eastAsia="宋体" w:cs="宋体"/>
          <w:sz w:val="20"/>
          <w:highlight w:val="none"/>
        </w:rPr>
        <w:t>。</w:t>
      </w:r>
      <w:r>
        <w:rPr>
          <w:rFonts w:hint="eastAsia" w:ascii="宋体" w:hAnsi="宋体" w:eastAsia="宋体" w:cs="宋体"/>
          <w:w w:val="95"/>
          <w:sz w:val="20"/>
          <w:highlight w:val="none"/>
        </w:rPr>
        <w:t>如果由投标人的法定代表人签署投标响应文件，则无须提交授权委托书。</w:t>
      </w:r>
    </w:p>
    <w:p w14:paraId="16429F0E">
      <w:pPr>
        <w:pStyle w:val="10"/>
        <w:rPr>
          <w:rFonts w:hint="eastAsia" w:ascii="宋体" w:hAnsi="宋体" w:eastAsia="宋体" w:cs="宋体"/>
          <w:sz w:val="20"/>
          <w:highlight w:val="none"/>
        </w:rPr>
      </w:pPr>
    </w:p>
    <w:p w14:paraId="36204547">
      <w:pPr>
        <w:pStyle w:val="10"/>
        <w:rPr>
          <w:rFonts w:hint="eastAsia" w:ascii="宋体" w:hAnsi="宋体" w:eastAsia="宋体" w:cs="宋体"/>
          <w:sz w:val="20"/>
          <w:highlight w:val="none"/>
        </w:rPr>
      </w:pPr>
    </w:p>
    <w:p w14:paraId="63996444">
      <w:pPr>
        <w:pStyle w:val="10"/>
        <w:rPr>
          <w:rFonts w:hint="eastAsia" w:ascii="宋体" w:hAnsi="宋体" w:eastAsia="宋体" w:cs="宋体"/>
          <w:sz w:val="20"/>
          <w:highlight w:val="none"/>
        </w:rPr>
      </w:pPr>
    </w:p>
    <w:p w14:paraId="5BD2A008">
      <w:pPr>
        <w:pStyle w:val="10"/>
        <w:rPr>
          <w:rFonts w:hint="eastAsia" w:ascii="宋体" w:hAnsi="宋体" w:eastAsia="宋体" w:cs="宋体"/>
          <w:sz w:val="20"/>
          <w:highlight w:val="none"/>
        </w:rPr>
      </w:pPr>
    </w:p>
    <w:p w14:paraId="71EA0FC1">
      <w:pPr>
        <w:pStyle w:val="10"/>
        <w:rPr>
          <w:rFonts w:hint="eastAsia" w:ascii="宋体" w:hAnsi="宋体" w:eastAsia="宋体" w:cs="宋体"/>
          <w:sz w:val="20"/>
          <w:highlight w:val="none"/>
        </w:rPr>
      </w:pPr>
    </w:p>
    <w:p w14:paraId="7F9165A9">
      <w:pPr>
        <w:pStyle w:val="10"/>
        <w:rPr>
          <w:rFonts w:hint="eastAsia" w:ascii="宋体" w:hAnsi="宋体" w:eastAsia="宋体" w:cs="宋体"/>
          <w:sz w:val="20"/>
          <w:highlight w:val="none"/>
        </w:rPr>
      </w:pPr>
    </w:p>
    <w:p w14:paraId="09B13E7D">
      <w:pPr>
        <w:pStyle w:val="10"/>
        <w:spacing w:before="12"/>
        <w:rPr>
          <w:rFonts w:hint="eastAsia" w:ascii="宋体" w:hAnsi="宋体" w:eastAsia="宋体" w:cs="宋体"/>
          <w:sz w:val="17"/>
          <w:highlight w:val="none"/>
        </w:rPr>
      </w:pPr>
    </w:p>
    <w:p w14:paraId="65E0685E">
      <w:pPr>
        <w:spacing w:before="88"/>
        <w:rPr>
          <w:rFonts w:hint="eastAsia" w:ascii="宋体" w:hAnsi="宋体" w:eastAsia="宋体" w:cs="宋体"/>
          <w:sz w:val="18"/>
          <w:highlight w:val="none"/>
        </w:rPr>
        <w:sectPr>
          <w:footerReference r:id="rId21" w:type="default"/>
          <w:pgSz w:w="11910" w:h="16840"/>
          <w:pgMar w:top="1440" w:right="1080" w:bottom="1040" w:left="1420" w:header="882" w:footer="847" w:gutter="0"/>
          <w:cols w:space="720" w:num="1"/>
        </w:sectPr>
      </w:pPr>
    </w:p>
    <w:p w14:paraId="5BD900BB">
      <w:pPr>
        <w:spacing w:before="61"/>
        <w:ind w:right="138"/>
        <w:jc w:val="center"/>
        <w:rPr>
          <w:rFonts w:hint="eastAsia" w:ascii="宋体" w:hAnsi="宋体" w:eastAsia="宋体" w:cs="宋体"/>
          <w:sz w:val="28"/>
          <w:highlight w:val="none"/>
        </w:rPr>
      </w:pPr>
      <w:bookmarkStart w:id="95" w:name="_TOC_250011"/>
      <w:bookmarkEnd w:id="95"/>
    </w:p>
    <w:p w14:paraId="6D4F07D1">
      <w:pPr>
        <w:spacing w:before="61"/>
        <w:ind w:right="138"/>
        <w:jc w:val="center"/>
        <w:rPr>
          <w:rFonts w:hint="eastAsia" w:ascii="宋体" w:hAnsi="宋体" w:eastAsia="宋体" w:cs="宋体"/>
          <w:sz w:val="28"/>
          <w:highlight w:val="none"/>
        </w:rPr>
      </w:pPr>
      <w:r>
        <w:rPr>
          <w:rFonts w:hint="eastAsia" w:ascii="宋体" w:hAnsi="宋体" w:eastAsia="宋体" w:cs="宋体"/>
          <w:sz w:val="28"/>
          <w:highlight w:val="none"/>
        </w:rPr>
        <w:t>（二）法定代表人身份证明</w:t>
      </w:r>
    </w:p>
    <w:p w14:paraId="18F384BC">
      <w:pPr>
        <w:pStyle w:val="10"/>
        <w:rPr>
          <w:rFonts w:hint="eastAsia" w:ascii="宋体" w:hAnsi="宋体" w:eastAsia="宋体" w:cs="宋体"/>
          <w:sz w:val="28"/>
          <w:highlight w:val="none"/>
        </w:rPr>
      </w:pPr>
    </w:p>
    <w:p w14:paraId="063FCC9D">
      <w:pPr>
        <w:pStyle w:val="10"/>
        <w:spacing w:before="9"/>
        <w:rPr>
          <w:rFonts w:hint="eastAsia" w:ascii="宋体" w:hAnsi="宋体" w:eastAsia="宋体" w:cs="宋体"/>
          <w:sz w:val="33"/>
          <w:highlight w:val="none"/>
        </w:rPr>
      </w:pPr>
    </w:p>
    <w:p w14:paraId="7A8BAE8E">
      <w:pPr>
        <w:pStyle w:val="10"/>
        <w:tabs>
          <w:tab w:val="left" w:pos="5282"/>
        </w:tabs>
        <w:ind w:left="423"/>
        <w:rPr>
          <w:rFonts w:hint="eastAsia" w:ascii="宋体" w:hAnsi="宋体" w:eastAsia="宋体" w:cs="宋体"/>
          <w:highlight w:val="none"/>
        </w:rPr>
      </w:pPr>
      <w:r>
        <w:rPr>
          <w:rFonts w:hint="eastAsia" w:ascii="宋体" w:hAnsi="宋体" w:eastAsia="宋体" w:cs="宋体"/>
          <w:spacing w:val="-1"/>
          <w:highlight w:val="none"/>
        </w:rPr>
        <w:t>投</w:t>
      </w:r>
      <w:r>
        <w:rPr>
          <w:rFonts w:hint="eastAsia" w:ascii="宋体" w:hAnsi="宋体" w:eastAsia="宋体" w:cs="宋体"/>
          <w:highlight w:val="none"/>
        </w:rPr>
        <w:t>标人名称：</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p>
    <w:p w14:paraId="7CF7B225">
      <w:pPr>
        <w:pStyle w:val="10"/>
        <w:tabs>
          <w:tab w:val="left" w:pos="4202"/>
          <w:tab w:val="left" w:pos="5642"/>
          <w:tab w:val="left" w:pos="7383"/>
          <w:tab w:val="left" w:pos="8959"/>
        </w:tabs>
        <w:spacing w:before="131" w:line="345" w:lineRule="auto"/>
        <w:ind w:left="423" w:right="445"/>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spacing w:val="119"/>
          <w:highlight w:val="none"/>
          <w:u w:val="single"/>
        </w:rPr>
        <w:t xml:space="preserve"> </w:t>
      </w:r>
      <w:r>
        <w:rPr>
          <w:rFonts w:hint="eastAsia" w:ascii="宋体" w:hAnsi="宋体" w:eastAsia="宋体" w:cs="宋体"/>
          <w:highlight w:val="none"/>
          <w:u w:val="single"/>
        </w:rPr>
        <w:t>（法定代表人亲笔签字）</w:t>
      </w:r>
      <w:r>
        <w:rPr>
          <w:rFonts w:hint="eastAsia" w:ascii="宋体" w:hAnsi="宋体" w:eastAsia="宋体" w:cs="宋体"/>
          <w:spacing w:val="118"/>
          <w:highlight w:val="none"/>
        </w:rPr>
        <w:t xml:space="preserve"> </w:t>
      </w:r>
      <w:r>
        <w:rPr>
          <w:rFonts w:hint="eastAsia" w:ascii="宋体" w:hAnsi="宋体" w:eastAsia="宋体" w:cs="宋体"/>
          <w:highlight w:val="none"/>
        </w:rPr>
        <w:t>性别：</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年龄：</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职</w:t>
      </w:r>
      <w:r>
        <w:rPr>
          <w:rFonts w:hint="eastAsia" w:ascii="宋体" w:hAnsi="宋体" w:eastAsia="宋体" w:cs="宋体"/>
          <w:highlight w:val="none"/>
        </w:rPr>
        <w:t>务：</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系</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（投标人名称）的法定代表人。</w:t>
      </w:r>
    </w:p>
    <w:p w14:paraId="36DF1BBD">
      <w:pPr>
        <w:pStyle w:val="10"/>
        <w:spacing w:line="303" w:lineRule="exact"/>
        <w:ind w:left="704"/>
        <w:rPr>
          <w:rFonts w:hint="eastAsia" w:ascii="宋体" w:hAnsi="宋体" w:eastAsia="宋体" w:cs="宋体"/>
          <w:highlight w:val="none"/>
        </w:rPr>
      </w:pPr>
      <w:r>
        <w:rPr>
          <w:rFonts w:hint="eastAsia" w:ascii="宋体" w:hAnsi="宋体" w:eastAsia="宋体" w:cs="宋体"/>
          <w:highlight w:val="none"/>
        </w:rPr>
        <w:t>特此证明。</w:t>
      </w:r>
    </w:p>
    <w:p w14:paraId="68D84A50">
      <w:pPr>
        <w:pStyle w:val="10"/>
        <w:rPr>
          <w:rFonts w:hint="eastAsia" w:ascii="宋体" w:hAnsi="宋体" w:eastAsia="宋体" w:cs="宋体"/>
          <w:highlight w:val="none"/>
        </w:rPr>
      </w:pPr>
    </w:p>
    <w:p w14:paraId="71402B57">
      <w:pPr>
        <w:pStyle w:val="10"/>
        <w:spacing w:before="11"/>
        <w:rPr>
          <w:rFonts w:hint="eastAsia" w:ascii="宋体" w:hAnsi="宋体" w:eastAsia="宋体" w:cs="宋体"/>
          <w:sz w:val="23"/>
          <w:highlight w:val="none"/>
        </w:rPr>
      </w:pPr>
    </w:p>
    <w:p w14:paraId="7AA366CB">
      <w:pPr>
        <w:spacing w:before="1"/>
        <w:ind w:left="389"/>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w:t>
      </w:r>
    </w:p>
    <w:p w14:paraId="0004F2EA">
      <w:pPr>
        <w:pStyle w:val="10"/>
        <w:rPr>
          <w:rFonts w:hint="eastAsia" w:ascii="宋体" w:hAnsi="宋体" w:eastAsia="宋体" w:cs="宋体"/>
          <w:sz w:val="20"/>
          <w:highlight w:val="none"/>
        </w:rPr>
      </w:pPr>
    </w:p>
    <w:p w14:paraId="726ABE5C">
      <w:pPr>
        <w:pStyle w:val="10"/>
        <w:rPr>
          <w:rFonts w:hint="eastAsia" w:ascii="宋体" w:hAnsi="宋体" w:eastAsia="宋体" w:cs="宋体"/>
          <w:sz w:val="20"/>
          <w:highlight w:val="none"/>
        </w:rPr>
      </w:pPr>
    </w:p>
    <w:p w14:paraId="1C3A0D06">
      <w:pPr>
        <w:pStyle w:val="10"/>
        <w:rPr>
          <w:rFonts w:hint="eastAsia" w:ascii="宋体" w:hAnsi="宋体" w:eastAsia="宋体" w:cs="宋体"/>
          <w:sz w:val="20"/>
          <w:highlight w:val="none"/>
        </w:rPr>
      </w:pPr>
    </w:p>
    <w:p w14:paraId="092F9AA1">
      <w:pPr>
        <w:pStyle w:val="10"/>
        <w:spacing w:before="11"/>
        <w:rPr>
          <w:rFonts w:hint="eastAsia" w:ascii="宋体" w:hAnsi="宋体" w:eastAsia="宋体" w:cs="宋体"/>
          <w:sz w:val="19"/>
          <w:highlight w:val="none"/>
        </w:rPr>
      </w:pPr>
    </w:p>
    <w:p w14:paraId="617A9846">
      <w:pPr>
        <w:pStyle w:val="10"/>
        <w:tabs>
          <w:tab w:val="left" w:pos="6543"/>
        </w:tabs>
        <w:ind w:left="3543"/>
        <w:rPr>
          <w:rFonts w:hint="eastAsia" w:ascii="宋体" w:hAnsi="宋体" w:eastAsia="宋体" w:cs="宋体"/>
          <w:highlight w:val="none"/>
        </w:rPr>
      </w:pPr>
      <w:r>
        <w:rPr>
          <w:rFonts w:hint="eastAsia" w:ascii="宋体" w:hAnsi="宋体" w:eastAsia="宋体" w:cs="宋体"/>
          <w:highlight w:val="none"/>
        </w:rPr>
        <w:t>竞争性磋商响应人：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（盖单位章）</w:t>
      </w:r>
    </w:p>
    <w:p w14:paraId="3A0B9780">
      <w:pPr>
        <w:pStyle w:val="10"/>
        <w:tabs>
          <w:tab w:val="left" w:pos="5823"/>
          <w:tab w:val="left" w:pos="6783"/>
          <w:tab w:val="left" w:pos="7442"/>
        </w:tabs>
        <w:spacing w:before="132"/>
        <w:ind w:left="4742"/>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04631426">
      <w:pPr>
        <w:pStyle w:val="10"/>
        <w:rPr>
          <w:rFonts w:hint="eastAsia" w:ascii="宋体" w:hAnsi="宋体" w:eastAsia="宋体" w:cs="宋体"/>
          <w:sz w:val="26"/>
          <w:highlight w:val="none"/>
        </w:rPr>
      </w:pPr>
    </w:p>
    <w:p w14:paraId="1BE8AF85">
      <w:pPr>
        <w:pStyle w:val="10"/>
        <w:rPr>
          <w:rFonts w:hint="eastAsia" w:ascii="宋体" w:hAnsi="宋体" w:eastAsia="宋体" w:cs="宋体"/>
          <w:sz w:val="26"/>
          <w:highlight w:val="none"/>
        </w:rPr>
      </w:pPr>
    </w:p>
    <w:p w14:paraId="1387164B">
      <w:pPr>
        <w:pStyle w:val="10"/>
        <w:rPr>
          <w:rFonts w:hint="eastAsia" w:ascii="宋体" w:hAnsi="宋体" w:eastAsia="宋体" w:cs="宋体"/>
          <w:sz w:val="26"/>
          <w:highlight w:val="none"/>
        </w:rPr>
      </w:pPr>
    </w:p>
    <w:p w14:paraId="65801CB2">
      <w:pPr>
        <w:pStyle w:val="10"/>
        <w:rPr>
          <w:rFonts w:hint="eastAsia" w:ascii="宋体" w:hAnsi="宋体" w:eastAsia="宋体" w:cs="宋体"/>
          <w:sz w:val="26"/>
          <w:highlight w:val="none"/>
        </w:rPr>
      </w:pPr>
    </w:p>
    <w:p w14:paraId="0116D45F">
      <w:pPr>
        <w:pStyle w:val="10"/>
        <w:rPr>
          <w:rFonts w:hint="eastAsia" w:ascii="宋体" w:hAnsi="宋体" w:eastAsia="宋体" w:cs="宋体"/>
          <w:sz w:val="26"/>
          <w:highlight w:val="none"/>
        </w:rPr>
      </w:pPr>
    </w:p>
    <w:p w14:paraId="50F4EEAA">
      <w:pPr>
        <w:pStyle w:val="10"/>
        <w:spacing w:before="12"/>
        <w:rPr>
          <w:rFonts w:hint="eastAsia" w:ascii="宋体" w:hAnsi="宋体" w:eastAsia="宋体" w:cs="宋体"/>
          <w:sz w:val="19"/>
          <w:highlight w:val="none"/>
        </w:rPr>
      </w:pPr>
    </w:p>
    <w:p w14:paraId="7A850869">
      <w:pPr>
        <w:rPr>
          <w:rFonts w:hint="eastAsia" w:ascii="宋体" w:hAnsi="宋体" w:eastAsia="宋体" w:cs="宋体"/>
          <w:sz w:val="20"/>
          <w:highlight w:val="none"/>
        </w:rPr>
        <w:sectPr>
          <w:pgSz w:w="11910" w:h="16840"/>
          <w:pgMar w:top="1440" w:right="1080" w:bottom="1040" w:left="1420" w:header="882" w:footer="847" w:gutter="0"/>
          <w:cols w:space="720" w:num="1"/>
        </w:sectPr>
      </w:pPr>
    </w:p>
    <w:p w14:paraId="0F04416F">
      <w:pPr>
        <w:pStyle w:val="10"/>
        <w:rPr>
          <w:rFonts w:hint="eastAsia" w:ascii="宋体" w:hAnsi="宋体" w:eastAsia="宋体" w:cs="宋体"/>
          <w:sz w:val="20"/>
          <w:highlight w:val="none"/>
        </w:rPr>
      </w:pPr>
    </w:p>
    <w:p w14:paraId="1C2A52AC">
      <w:pPr>
        <w:pStyle w:val="10"/>
        <w:spacing w:before="11"/>
        <w:rPr>
          <w:rFonts w:hint="eastAsia" w:ascii="宋体" w:hAnsi="宋体" w:eastAsia="宋体" w:cs="宋体"/>
          <w:sz w:val="15"/>
          <w:highlight w:val="none"/>
        </w:rPr>
      </w:pPr>
    </w:p>
    <w:p w14:paraId="7CE0F1DA">
      <w:pPr>
        <w:spacing w:before="61"/>
        <w:ind w:right="50"/>
        <w:jc w:val="center"/>
        <w:rPr>
          <w:rFonts w:hint="eastAsia" w:ascii="宋体" w:hAnsi="宋体" w:eastAsia="宋体" w:cs="宋体"/>
          <w:sz w:val="28"/>
          <w:highlight w:val="none"/>
        </w:rPr>
      </w:pPr>
      <w:bookmarkStart w:id="96" w:name="_TOC_250010"/>
      <w:bookmarkEnd w:id="96"/>
      <w:r>
        <w:rPr>
          <w:rFonts w:hint="eastAsia" w:ascii="宋体" w:hAnsi="宋体" w:eastAsia="宋体" w:cs="宋体"/>
          <w:sz w:val="28"/>
          <w:highlight w:val="none"/>
        </w:rPr>
        <w:t>三、投标保证金</w:t>
      </w:r>
    </w:p>
    <w:p w14:paraId="3D82C8A2">
      <w:pPr>
        <w:pStyle w:val="10"/>
        <w:rPr>
          <w:rFonts w:hint="eastAsia" w:ascii="宋体" w:hAnsi="宋体" w:eastAsia="宋体" w:cs="宋体"/>
          <w:sz w:val="28"/>
          <w:highlight w:val="none"/>
        </w:rPr>
      </w:pPr>
    </w:p>
    <w:p w14:paraId="61E865C4">
      <w:pPr>
        <w:pStyle w:val="10"/>
        <w:rPr>
          <w:rFonts w:hint="eastAsia" w:ascii="宋体" w:hAnsi="宋体" w:eastAsia="宋体" w:cs="宋体"/>
          <w:sz w:val="32"/>
          <w:highlight w:val="none"/>
        </w:rPr>
      </w:pPr>
    </w:p>
    <w:p w14:paraId="7A414595">
      <w:pPr>
        <w:pStyle w:val="10"/>
        <w:ind w:left="732"/>
        <w:rPr>
          <w:rFonts w:hint="eastAsia" w:ascii="宋体" w:hAnsi="宋体" w:eastAsia="宋体" w:cs="宋体"/>
          <w:highlight w:val="none"/>
        </w:rPr>
      </w:pPr>
      <w:r>
        <w:rPr>
          <w:rFonts w:hint="eastAsia" w:ascii="宋体" w:hAnsi="宋体" w:eastAsia="宋体" w:cs="宋体"/>
          <w:highlight w:val="none"/>
        </w:rPr>
        <w:t>若采用电汇或网银，投标人应在此提供汇款凭证。</w:t>
      </w:r>
    </w:p>
    <w:p w14:paraId="17BFC7A1">
      <w:pPr>
        <w:pStyle w:val="10"/>
        <w:spacing w:before="91"/>
        <w:ind w:left="732"/>
        <w:rPr>
          <w:rFonts w:hint="eastAsia" w:ascii="宋体" w:hAnsi="宋体" w:eastAsia="宋体" w:cs="宋体"/>
          <w:highlight w:val="none"/>
        </w:rPr>
      </w:pPr>
      <w:r>
        <w:rPr>
          <w:rFonts w:hint="eastAsia" w:ascii="宋体" w:hAnsi="宋体" w:eastAsia="宋体" w:cs="宋体"/>
          <w:highlight w:val="none"/>
        </w:rPr>
        <w:t>如采用银行保函，银行保函原件的扫描件应装订在投标文件中，格式如下。</w:t>
      </w:r>
    </w:p>
    <w:p w14:paraId="021B3779">
      <w:pPr>
        <w:pStyle w:val="10"/>
        <w:rPr>
          <w:rFonts w:hint="eastAsia" w:ascii="宋体" w:hAnsi="宋体" w:eastAsia="宋体" w:cs="宋体"/>
          <w:sz w:val="20"/>
          <w:highlight w:val="none"/>
        </w:rPr>
      </w:pPr>
    </w:p>
    <w:p w14:paraId="5B3755F0">
      <w:pPr>
        <w:pStyle w:val="10"/>
        <w:spacing w:before="8"/>
        <w:rPr>
          <w:rFonts w:hint="eastAsia" w:ascii="宋体" w:hAnsi="宋体" w:eastAsia="宋体" w:cs="宋体"/>
          <w:sz w:val="17"/>
          <w:highlight w:val="none"/>
        </w:rPr>
      </w:pPr>
    </w:p>
    <w:p w14:paraId="087A8081">
      <w:pPr>
        <w:pStyle w:val="10"/>
        <w:tabs>
          <w:tab w:val="left" w:pos="2563"/>
        </w:tabs>
        <w:spacing w:before="74"/>
        <w:ind w:left="423"/>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（采购人名称）：</w:t>
      </w:r>
    </w:p>
    <w:p w14:paraId="628666C3">
      <w:pPr>
        <w:pStyle w:val="10"/>
        <w:rPr>
          <w:rFonts w:hint="eastAsia" w:ascii="宋体" w:hAnsi="宋体" w:eastAsia="宋体" w:cs="宋体"/>
          <w:sz w:val="26"/>
          <w:highlight w:val="none"/>
        </w:rPr>
      </w:pPr>
    </w:p>
    <w:p w14:paraId="74CD9E66">
      <w:pPr>
        <w:pStyle w:val="10"/>
        <w:spacing w:before="7"/>
        <w:rPr>
          <w:rFonts w:hint="eastAsia" w:ascii="宋体" w:hAnsi="宋体" w:eastAsia="宋体" w:cs="宋体"/>
          <w:sz w:val="18"/>
          <w:highlight w:val="none"/>
        </w:rPr>
      </w:pPr>
    </w:p>
    <w:p w14:paraId="3029B481">
      <w:pPr>
        <w:pStyle w:val="10"/>
        <w:tabs>
          <w:tab w:val="left" w:pos="1663"/>
          <w:tab w:val="left" w:pos="2729"/>
          <w:tab w:val="left" w:pos="3823"/>
          <w:tab w:val="left" w:pos="4543"/>
          <w:tab w:val="left" w:pos="6703"/>
          <w:tab w:val="left" w:pos="7219"/>
          <w:tab w:val="left" w:pos="7819"/>
          <w:tab w:val="left" w:pos="8419"/>
        </w:tabs>
        <w:spacing w:line="343" w:lineRule="auto"/>
        <w:ind w:left="224" w:right="386" w:firstLine="480"/>
        <w:rPr>
          <w:rFonts w:hint="eastAsia" w:ascii="宋体" w:hAnsi="宋体" w:eastAsia="宋体" w:cs="宋体"/>
          <w:highlight w:val="none"/>
        </w:rPr>
      </w:pPr>
      <w:r>
        <w:rPr>
          <w:rFonts w:hint="eastAsia" w:ascii="宋体" w:hAnsi="宋体" w:eastAsia="宋体" w:cs="宋体"/>
          <w:highlight w:val="none"/>
        </w:rPr>
        <w:t>鉴于</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（投标人名称</w:t>
      </w:r>
      <w:r>
        <w:rPr>
          <w:rFonts w:hint="eastAsia" w:ascii="宋体" w:hAnsi="宋体" w:eastAsia="宋体" w:cs="宋体"/>
          <w:spacing w:val="-15"/>
          <w:highlight w:val="none"/>
        </w:rPr>
        <w:t>）（</w:t>
      </w:r>
      <w:r>
        <w:rPr>
          <w:rFonts w:hint="eastAsia" w:ascii="宋体" w:hAnsi="宋体" w:eastAsia="宋体" w:cs="宋体"/>
          <w:highlight w:val="none"/>
        </w:rPr>
        <w:t>以下称“投标人</w:t>
      </w:r>
      <w:r>
        <w:rPr>
          <w:rFonts w:hint="eastAsia" w:ascii="宋体" w:hAnsi="宋体" w:eastAsia="宋体" w:cs="宋体"/>
          <w:spacing w:val="-7"/>
          <w:highlight w:val="none"/>
        </w:rPr>
        <w:t>”）</w:t>
      </w:r>
      <w:r>
        <w:rPr>
          <w:rFonts w:hint="eastAsia" w:ascii="宋体" w:hAnsi="宋体" w:eastAsia="宋体" w:cs="宋体"/>
          <w:highlight w:val="none"/>
        </w:rPr>
        <w:t>于</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日参加</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（项目名称）施工的投标，</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（担保人名称，以下简称“我方</w:t>
      </w:r>
      <w:r>
        <w:rPr>
          <w:rFonts w:hint="eastAsia" w:ascii="宋体" w:hAnsi="宋体" w:eastAsia="宋体" w:cs="宋体"/>
          <w:spacing w:val="-11"/>
          <w:highlight w:val="none"/>
        </w:rPr>
        <w:t>”）</w:t>
      </w:r>
      <w:r>
        <w:rPr>
          <w:rFonts w:hint="eastAsia" w:ascii="宋体" w:hAnsi="宋体" w:eastAsia="宋体" w:cs="宋体"/>
          <w:highlight w:val="none"/>
        </w:rPr>
        <w:t>无条件地</w:t>
      </w:r>
      <w:r>
        <w:rPr>
          <w:rFonts w:hint="eastAsia" w:ascii="宋体" w:hAnsi="宋体" w:eastAsia="宋体" w:cs="宋体"/>
          <w:spacing w:val="-20"/>
          <w:highlight w:val="none"/>
        </w:rPr>
        <w:t>、</w:t>
      </w:r>
      <w:r>
        <w:rPr>
          <w:rFonts w:hint="eastAsia" w:ascii="宋体" w:hAnsi="宋体" w:eastAsia="宋体" w:cs="宋体"/>
          <w:highlight w:val="none"/>
        </w:rPr>
        <w:t>不可撤销地保证</w:t>
      </w:r>
      <w:r>
        <w:rPr>
          <w:rFonts w:hint="eastAsia" w:ascii="宋体" w:hAnsi="宋体" w:eastAsia="宋体" w:cs="宋体"/>
          <w:spacing w:val="-17"/>
          <w:highlight w:val="none"/>
        </w:rPr>
        <w:t>：</w:t>
      </w:r>
      <w:r>
        <w:rPr>
          <w:rFonts w:hint="eastAsia" w:ascii="宋体" w:hAnsi="宋体" w:eastAsia="宋体" w:cs="宋体"/>
          <w:highlight w:val="none"/>
        </w:rPr>
        <w:t>若投标人在投标有效期内撤销投标响应文件</w:t>
      </w:r>
      <w:r>
        <w:rPr>
          <w:rFonts w:hint="eastAsia" w:ascii="宋体" w:hAnsi="宋体" w:eastAsia="宋体" w:cs="宋体"/>
          <w:spacing w:val="-18"/>
          <w:highlight w:val="none"/>
        </w:rPr>
        <w:t>，</w:t>
      </w:r>
      <w:r>
        <w:rPr>
          <w:rFonts w:hint="eastAsia" w:ascii="宋体" w:hAnsi="宋体" w:eastAsia="宋体" w:cs="宋体"/>
          <w:highlight w:val="none"/>
        </w:rPr>
        <w:t>中标后无正当理由不与采购人订立合同，在签订合同时向采购人提出附加条件，不按照磋商文件要求提交履约保证金，或发生磋商文件明确规定可以不予退还投标保证金的其他情形，我方承担保证责任。收到你方书面通知后，我方在</w:t>
      </w:r>
      <w:r>
        <w:rPr>
          <w:rFonts w:hint="eastAsia" w:ascii="宋体" w:hAnsi="宋体" w:eastAsia="宋体" w:cs="宋体"/>
          <w:spacing w:val="-60"/>
          <w:highlight w:val="none"/>
        </w:rPr>
        <w:t xml:space="preserve"> </w:t>
      </w:r>
      <w:r>
        <w:rPr>
          <w:rFonts w:hint="eastAsia" w:ascii="宋体" w:hAnsi="宋体" w:eastAsia="宋体" w:cs="宋体"/>
          <w:highlight w:val="none"/>
        </w:rPr>
        <w:t>7 日内向你方无条件支付人民币（大写）</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元。</w:t>
      </w:r>
    </w:p>
    <w:p w14:paraId="60249C82">
      <w:pPr>
        <w:pStyle w:val="10"/>
        <w:spacing w:before="4" w:line="343" w:lineRule="auto"/>
        <w:ind w:left="224" w:right="542" w:firstLine="480"/>
        <w:rPr>
          <w:rFonts w:hint="eastAsia" w:ascii="宋体" w:hAnsi="宋体" w:eastAsia="宋体" w:cs="宋体"/>
          <w:highlight w:val="none"/>
        </w:rPr>
      </w:pPr>
      <w:r>
        <w:rPr>
          <w:rFonts w:hint="eastAsia" w:ascii="宋体" w:hAnsi="宋体" w:eastAsia="宋体" w:cs="宋体"/>
          <w:highlight w:val="none"/>
        </w:rPr>
        <w:t>本保函在投标有效期或经延长的投标有效期内保持有效。要求我方承担保证责任的通知应在上述期限内送达我方。你方延长投标有效期的决定，应通知我方。</w:t>
      </w:r>
    </w:p>
    <w:p w14:paraId="3AB38BB1">
      <w:pPr>
        <w:pStyle w:val="10"/>
        <w:rPr>
          <w:rFonts w:hint="eastAsia" w:ascii="宋体" w:hAnsi="宋体" w:eastAsia="宋体" w:cs="宋体"/>
          <w:highlight w:val="none"/>
        </w:rPr>
      </w:pPr>
    </w:p>
    <w:p w14:paraId="1F3C6200">
      <w:pPr>
        <w:pStyle w:val="10"/>
        <w:rPr>
          <w:rFonts w:hint="eastAsia" w:ascii="宋体" w:hAnsi="宋体" w:eastAsia="宋体" w:cs="宋体"/>
          <w:highlight w:val="none"/>
        </w:rPr>
      </w:pPr>
    </w:p>
    <w:p w14:paraId="2F0466F4">
      <w:pPr>
        <w:pStyle w:val="10"/>
        <w:rPr>
          <w:rFonts w:hint="eastAsia" w:ascii="宋体" w:hAnsi="宋体" w:eastAsia="宋体" w:cs="宋体"/>
          <w:highlight w:val="none"/>
        </w:rPr>
      </w:pPr>
    </w:p>
    <w:p w14:paraId="29C8FF76">
      <w:pPr>
        <w:pStyle w:val="10"/>
        <w:rPr>
          <w:rFonts w:hint="eastAsia" w:ascii="宋体" w:hAnsi="宋体" w:eastAsia="宋体" w:cs="宋体"/>
          <w:highlight w:val="none"/>
        </w:rPr>
      </w:pPr>
    </w:p>
    <w:p w14:paraId="01734F91">
      <w:pPr>
        <w:pStyle w:val="10"/>
        <w:rPr>
          <w:rFonts w:hint="eastAsia" w:ascii="宋体" w:hAnsi="宋体" w:eastAsia="宋体" w:cs="宋体"/>
          <w:highlight w:val="none"/>
        </w:rPr>
      </w:pPr>
    </w:p>
    <w:p w14:paraId="22D171F9">
      <w:pPr>
        <w:pStyle w:val="10"/>
        <w:spacing w:before="5"/>
        <w:rPr>
          <w:rFonts w:hint="eastAsia" w:ascii="宋体" w:hAnsi="宋体" w:eastAsia="宋体" w:cs="宋体"/>
          <w:sz w:val="17"/>
          <w:highlight w:val="none"/>
        </w:rPr>
      </w:pPr>
    </w:p>
    <w:p w14:paraId="699C2F3D">
      <w:pPr>
        <w:pStyle w:val="10"/>
        <w:tabs>
          <w:tab w:val="left" w:pos="7243"/>
          <w:tab w:val="left" w:pos="7723"/>
          <w:tab w:val="left" w:pos="8263"/>
        </w:tabs>
        <w:spacing w:line="343" w:lineRule="auto"/>
        <w:ind w:left="2203" w:right="722"/>
        <w:jc w:val="both"/>
        <w:rPr>
          <w:rFonts w:hint="eastAsia" w:ascii="宋体" w:hAnsi="宋体" w:eastAsia="宋体" w:cs="宋体"/>
          <w:highlight w:val="none"/>
        </w:rPr>
      </w:pPr>
      <w:r>
        <w:rPr>
          <w:rFonts w:hint="eastAsia" w:ascii="宋体" w:hAnsi="宋体" w:eastAsia="宋体" w:cs="宋体"/>
          <w:highlight w:val="none"/>
        </w:rPr>
        <w:t>担保人名称：</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（盖单位章</w:t>
      </w:r>
      <w:r>
        <w:rPr>
          <w:rFonts w:hint="eastAsia" w:ascii="宋体" w:hAnsi="宋体" w:eastAsia="宋体" w:cs="宋体"/>
          <w:spacing w:val="-18"/>
          <w:highlight w:val="none"/>
        </w:rPr>
        <w:t xml:space="preserve">） </w:t>
      </w:r>
      <w:r>
        <w:rPr>
          <w:rFonts w:hint="eastAsia" w:ascii="宋体" w:hAnsi="宋体" w:eastAsia="宋体" w:cs="宋体"/>
          <w:highlight w:val="none"/>
        </w:rPr>
        <w:t>法定代表人或其委托代理人：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（签字</w:t>
      </w:r>
      <w:r>
        <w:rPr>
          <w:rFonts w:hint="eastAsia" w:ascii="宋体" w:hAnsi="宋体" w:eastAsia="宋体" w:cs="宋体"/>
          <w:spacing w:val="-18"/>
          <w:highlight w:val="none"/>
        </w:rPr>
        <w:t xml:space="preserve">） </w:t>
      </w:r>
      <w:r>
        <w:rPr>
          <w:rFonts w:hint="eastAsia" w:ascii="宋体" w:hAnsi="宋体" w:eastAsia="宋体" w:cs="宋体"/>
          <w:highlight w:val="none"/>
        </w:rPr>
        <w:t>地   址 ：</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p>
    <w:p w14:paraId="317F4D7A">
      <w:pPr>
        <w:pStyle w:val="10"/>
        <w:tabs>
          <w:tab w:val="left" w:pos="8263"/>
        </w:tabs>
        <w:spacing w:before="1" w:line="343" w:lineRule="auto"/>
        <w:ind w:left="2203" w:right="1141"/>
        <w:jc w:val="both"/>
        <w:rPr>
          <w:rFonts w:hint="eastAsia" w:ascii="宋体" w:hAnsi="宋体" w:eastAsia="宋体" w:cs="宋体"/>
          <w:highlight w:val="none"/>
        </w:rPr>
      </w:pPr>
      <w:r>
        <w:rPr>
          <w:rFonts w:hint="eastAsia" w:ascii="宋体" w:hAnsi="宋体" w:eastAsia="宋体" w:cs="宋体"/>
          <w:highlight w:val="none"/>
        </w:rPr>
        <w:t>邮政编码：</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电    话：</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传   真 ：</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p>
    <w:p w14:paraId="220E4EE9">
      <w:pPr>
        <w:pStyle w:val="10"/>
        <w:tabs>
          <w:tab w:val="left" w:pos="6223"/>
          <w:tab w:val="left" w:pos="7183"/>
          <w:tab w:val="left" w:pos="8143"/>
        </w:tabs>
        <w:spacing w:before="1"/>
        <w:ind w:left="5264"/>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52CB64C3">
      <w:pPr>
        <w:rPr>
          <w:rFonts w:hint="eastAsia" w:ascii="宋体" w:hAnsi="宋体" w:eastAsia="宋体" w:cs="宋体"/>
          <w:highlight w:val="none"/>
        </w:rPr>
        <w:sectPr>
          <w:pgSz w:w="11910" w:h="16840"/>
          <w:pgMar w:top="1440" w:right="1080" w:bottom="1040" w:left="1420" w:header="882" w:footer="847" w:gutter="0"/>
          <w:cols w:space="720" w:num="1"/>
        </w:sectPr>
      </w:pPr>
    </w:p>
    <w:p w14:paraId="25735C50">
      <w:pPr>
        <w:pStyle w:val="10"/>
        <w:rPr>
          <w:rFonts w:hint="eastAsia" w:ascii="宋体" w:hAnsi="宋体" w:eastAsia="宋体" w:cs="宋体"/>
          <w:sz w:val="20"/>
          <w:highlight w:val="none"/>
        </w:rPr>
      </w:pPr>
    </w:p>
    <w:p w14:paraId="6EF1924D">
      <w:pPr>
        <w:pStyle w:val="10"/>
        <w:spacing w:before="11"/>
        <w:rPr>
          <w:rFonts w:hint="eastAsia" w:ascii="宋体" w:hAnsi="宋体" w:eastAsia="宋体" w:cs="宋体"/>
          <w:sz w:val="15"/>
          <w:highlight w:val="none"/>
        </w:rPr>
      </w:pPr>
    </w:p>
    <w:p w14:paraId="66997BB0">
      <w:pPr>
        <w:spacing w:before="61"/>
        <w:ind w:left="2" w:right="50"/>
        <w:jc w:val="center"/>
        <w:rPr>
          <w:rFonts w:hint="eastAsia" w:ascii="宋体" w:hAnsi="宋体" w:eastAsia="宋体" w:cs="宋体"/>
          <w:sz w:val="28"/>
          <w:highlight w:val="none"/>
        </w:rPr>
      </w:pPr>
      <w:bookmarkStart w:id="97" w:name="_TOC_250009"/>
      <w:bookmarkEnd w:id="97"/>
      <w:r>
        <w:rPr>
          <w:rFonts w:hint="eastAsia" w:ascii="宋体" w:hAnsi="宋体" w:eastAsia="宋体" w:cs="宋体"/>
          <w:sz w:val="28"/>
          <w:highlight w:val="none"/>
        </w:rPr>
        <w:t>四、施工组织设计</w:t>
      </w:r>
    </w:p>
    <w:p w14:paraId="60ED61AB">
      <w:pPr>
        <w:pStyle w:val="10"/>
        <w:rPr>
          <w:rFonts w:hint="eastAsia" w:ascii="宋体" w:hAnsi="宋体" w:eastAsia="宋体" w:cs="宋体"/>
          <w:sz w:val="20"/>
          <w:highlight w:val="none"/>
        </w:rPr>
      </w:pPr>
    </w:p>
    <w:p w14:paraId="6106E59F">
      <w:pPr>
        <w:pStyle w:val="10"/>
        <w:spacing w:before="2"/>
        <w:rPr>
          <w:rFonts w:hint="eastAsia" w:ascii="宋体" w:hAnsi="宋体" w:eastAsia="宋体" w:cs="宋体"/>
          <w:sz w:val="23"/>
          <w:highlight w:val="none"/>
        </w:rPr>
      </w:pPr>
    </w:p>
    <w:p w14:paraId="7C235150">
      <w:pPr>
        <w:widowControl/>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bidi="ar"/>
        </w:rPr>
        <w:t xml:space="preserve">1. 投标人应按以下要点编制施工组织设计（文字宜精炼、内容具有针对性）： </w:t>
      </w:r>
    </w:p>
    <w:p w14:paraId="0997A799">
      <w:pPr>
        <w:widowControl/>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bidi="ar"/>
        </w:rPr>
        <w:t xml:space="preserve">（1）总体施工组织布置及规划 </w:t>
      </w:r>
    </w:p>
    <w:p w14:paraId="02764E39">
      <w:pPr>
        <w:widowControl/>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bidi="ar"/>
        </w:rPr>
        <w:t xml:space="preserve">（2）主要工程项目的施工方案、方法与技术措施（尤其对重点、关键和难点工 </w:t>
      </w:r>
    </w:p>
    <w:p w14:paraId="6250A1A0">
      <w:pPr>
        <w:widowControl/>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bidi="ar"/>
        </w:rPr>
        <w:t xml:space="preserve">程的施工方案、方法及措施） </w:t>
      </w:r>
    </w:p>
    <w:p w14:paraId="7CB4C606">
      <w:pPr>
        <w:widowControl/>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bidi="ar"/>
        </w:rPr>
        <w:t xml:space="preserve">（3）工期保证体系及保证措施 </w:t>
      </w:r>
    </w:p>
    <w:p w14:paraId="07AC99A6">
      <w:pPr>
        <w:widowControl/>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bidi="ar"/>
        </w:rPr>
        <w:t xml:space="preserve">（4）工程质量管理体系及保证措施 </w:t>
      </w:r>
    </w:p>
    <w:p w14:paraId="2D5B21B1">
      <w:pPr>
        <w:widowControl/>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bidi="ar"/>
        </w:rPr>
        <w:t xml:space="preserve">（5）安全生产管理体系及保证措施 </w:t>
      </w:r>
    </w:p>
    <w:p w14:paraId="759D062A">
      <w:pPr>
        <w:widowControl/>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bidi="ar"/>
        </w:rPr>
        <w:t xml:space="preserve">（6）环境保护、水土保持保证体系及保证措施 </w:t>
      </w:r>
    </w:p>
    <w:p w14:paraId="48231704">
      <w:pPr>
        <w:widowControl/>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bidi="ar"/>
        </w:rPr>
        <w:t xml:space="preserve">（7）文明施工、文物保护保证体系及保证措施 </w:t>
      </w:r>
    </w:p>
    <w:p w14:paraId="63ABEDF3">
      <w:pPr>
        <w:widowControl/>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bidi="ar"/>
        </w:rPr>
        <w:t xml:space="preserve">（8）项目风险预测与防范，事故应急预案 </w:t>
      </w:r>
    </w:p>
    <w:p w14:paraId="41E66685">
      <w:pPr>
        <w:widowControl/>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bidi="ar"/>
        </w:rPr>
        <w:t xml:space="preserve">（9）其他应说明的事项 </w:t>
      </w:r>
    </w:p>
    <w:p w14:paraId="672CEBA7">
      <w:pPr>
        <w:widowControl/>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bidi="ar"/>
        </w:rPr>
        <w:t xml:space="preserve">2. 施工组织设计除采用文字表述外可附下列图表，图表及格式要求附后。 </w:t>
      </w:r>
    </w:p>
    <w:p w14:paraId="6D81841A">
      <w:pPr>
        <w:widowControl/>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bidi="ar"/>
        </w:rPr>
        <w:t xml:space="preserve">附表一 施工总体计划表 </w:t>
      </w:r>
    </w:p>
    <w:p w14:paraId="6C26DC51">
      <w:pPr>
        <w:widowControl/>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bidi="ar"/>
        </w:rPr>
        <w:t>附表二 施工总平面图</w:t>
      </w:r>
    </w:p>
    <w:p w14:paraId="7A68544E">
      <w:pPr>
        <w:pStyle w:val="10"/>
        <w:rPr>
          <w:rFonts w:hint="eastAsia" w:ascii="宋体" w:hAnsi="宋体" w:eastAsia="宋体" w:cs="宋体"/>
          <w:sz w:val="20"/>
          <w:highlight w:val="none"/>
        </w:rPr>
      </w:pPr>
    </w:p>
    <w:p w14:paraId="6E4C25BE">
      <w:pPr>
        <w:pStyle w:val="10"/>
        <w:rPr>
          <w:rFonts w:hint="eastAsia" w:ascii="宋体" w:hAnsi="宋体" w:eastAsia="宋体" w:cs="宋体"/>
          <w:sz w:val="26"/>
          <w:highlight w:val="none"/>
        </w:rPr>
      </w:pPr>
      <w:bookmarkStart w:id="98" w:name="附表一_施工总体计划表"/>
      <w:bookmarkEnd w:id="98"/>
    </w:p>
    <w:p w14:paraId="5405F269">
      <w:pPr>
        <w:pStyle w:val="28"/>
        <w:rPr>
          <w:rFonts w:hint="eastAsia" w:ascii="宋体" w:hAnsi="宋体" w:eastAsia="宋体" w:cs="宋体"/>
          <w:sz w:val="26"/>
          <w:highlight w:val="none"/>
        </w:rPr>
      </w:pPr>
    </w:p>
    <w:p w14:paraId="0F7675F5">
      <w:pPr>
        <w:rPr>
          <w:rFonts w:hint="eastAsia" w:ascii="宋体" w:hAnsi="宋体" w:eastAsia="宋体" w:cs="宋体"/>
          <w:sz w:val="26"/>
          <w:highlight w:val="none"/>
        </w:rPr>
      </w:pPr>
    </w:p>
    <w:p w14:paraId="5AEB0101">
      <w:pPr>
        <w:pStyle w:val="23"/>
        <w:ind w:firstLine="520"/>
        <w:rPr>
          <w:rFonts w:hint="eastAsia" w:ascii="宋体" w:hAnsi="宋体" w:eastAsia="宋体" w:cs="宋体"/>
          <w:sz w:val="26"/>
          <w:highlight w:val="none"/>
        </w:rPr>
      </w:pPr>
    </w:p>
    <w:p w14:paraId="25FD4A29">
      <w:pPr>
        <w:pStyle w:val="23"/>
        <w:ind w:firstLine="520"/>
        <w:rPr>
          <w:rFonts w:hint="eastAsia" w:ascii="宋体" w:hAnsi="宋体" w:eastAsia="宋体" w:cs="宋体"/>
          <w:sz w:val="26"/>
          <w:highlight w:val="none"/>
        </w:rPr>
      </w:pPr>
    </w:p>
    <w:p w14:paraId="5125D0A8">
      <w:pPr>
        <w:pStyle w:val="23"/>
        <w:ind w:firstLine="520"/>
        <w:rPr>
          <w:rFonts w:hint="eastAsia" w:ascii="宋体" w:hAnsi="宋体" w:eastAsia="宋体" w:cs="宋体"/>
          <w:sz w:val="26"/>
          <w:highlight w:val="none"/>
        </w:rPr>
      </w:pPr>
    </w:p>
    <w:p w14:paraId="1B1FF52E">
      <w:pPr>
        <w:pStyle w:val="23"/>
        <w:ind w:firstLine="520"/>
        <w:rPr>
          <w:rFonts w:hint="eastAsia" w:ascii="宋体" w:hAnsi="宋体" w:eastAsia="宋体" w:cs="宋体"/>
          <w:sz w:val="26"/>
          <w:highlight w:val="none"/>
        </w:rPr>
      </w:pPr>
    </w:p>
    <w:p w14:paraId="62FD4398">
      <w:pPr>
        <w:pStyle w:val="23"/>
        <w:ind w:firstLine="520"/>
        <w:rPr>
          <w:rFonts w:hint="eastAsia" w:ascii="宋体" w:hAnsi="宋体" w:eastAsia="宋体" w:cs="宋体"/>
          <w:sz w:val="26"/>
          <w:highlight w:val="none"/>
        </w:rPr>
      </w:pPr>
    </w:p>
    <w:p w14:paraId="26192E98">
      <w:pPr>
        <w:pStyle w:val="23"/>
        <w:ind w:firstLine="520"/>
        <w:rPr>
          <w:rFonts w:hint="eastAsia" w:ascii="宋体" w:hAnsi="宋体" w:eastAsia="宋体" w:cs="宋体"/>
          <w:sz w:val="26"/>
          <w:highlight w:val="none"/>
        </w:rPr>
      </w:pPr>
    </w:p>
    <w:p w14:paraId="5C60D540">
      <w:pPr>
        <w:pStyle w:val="23"/>
        <w:ind w:firstLine="520"/>
        <w:rPr>
          <w:rFonts w:hint="eastAsia" w:ascii="宋体" w:hAnsi="宋体" w:eastAsia="宋体" w:cs="宋体"/>
          <w:sz w:val="26"/>
          <w:highlight w:val="none"/>
        </w:rPr>
      </w:pPr>
    </w:p>
    <w:p w14:paraId="7F2FA9CF">
      <w:pPr>
        <w:pStyle w:val="23"/>
        <w:ind w:firstLine="520"/>
        <w:rPr>
          <w:rFonts w:hint="eastAsia" w:ascii="宋体" w:hAnsi="宋体" w:eastAsia="宋体" w:cs="宋体"/>
          <w:sz w:val="26"/>
          <w:highlight w:val="none"/>
        </w:rPr>
      </w:pPr>
    </w:p>
    <w:p w14:paraId="15229CFF">
      <w:pPr>
        <w:spacing w:before="62"/>
        <w:ind w:left="35" w:right="199"/>
        <w:jc w:val="center"/>
        <w:rPr>
          <w:rFonts w:hint="eastAsia" w:ascii="宋体" w:hAnsi="宋体" w:eastAsia="宋体" w:cs="宋体"/>
          <w:sz w:val="28"/>
          <w:highlight w:val="none"/>
        </w:rPr>
      </w:pPr>
      <w:r>
        <w:rPr>
          <w:rFonts w:hint="eastAsia" w:ascii="宋体" w:hAnsi="宋体" w:eastAsia="宋体" w:cs="宋体"/>
          <w:highlight w:val="none"/>
        </w:rPr>
        <mc:AlternateContent>
          <mc:Choice Requires="wps">
            <w:drawing>
              <wp:anchor distT="0" distB="0" distL="114300" distR="114300" simplePos="0" relativeHeight="251667456" behindDoc="1" locked="0" layoutInCell="1" allowOverlap="1">
                <wp:simplePos x="0" y="0"/>
                <wp:positionH relativeFrom="page">
                  <wp:posOffset>1137920</wp:posOffset>
                </wp:positionH>
                <wp:positionV relativeFrom="paragraph">
                  <wp:posOffset>474345</wp:posOffset>
                </wp:positionV>
                <wp:extent cx="5549265" cy="7501255"/>
                <wp:effectExtent l="0" t="0" r="13335" b="272415"/>
                <wp:wrapNone/>
                <wp:docPr id="3" name="自选图形 105"/>
                <wp:cNvGraphicFramePr/>
                <a:graphic xmlns:a="http://schemas.openxmlformats.org/drawingml/2006/main">
                  <a:graphicData uri="http://schemas.microsoft.com/office/word/2010/wordprocessingShape">
                    <wps:wsp>
                      <wps:cNvSpPr/>
                      <wps:spPr>
                        <a:xfrm>
                          <a:off x="0" y="0"/>
                          <a:ext cx="5549265" cy="7501255"/>
                        </a:xfrm>
                        <a:custGeom>
                          <a:avLst/>
                          <a:gdLst/>
                          <a:ahLst/>
                          <a:cxnLst/>
                          <a:rect l="0" t="0" r="0" b="0"/>
                          <a:pathLst>
                            <a:path w="8739" h="11813">
                              <a:moveTo>
                                <a:pt x="0" y="417"/>
                              </a:moveTo>
                              <a:lnTo>
                                <a:pt x="8738" y="417"/>
                              </a:lnTo>
                              <a:moveTo>
                                <a:pt x="0" y="9102"/>
                              </a:moveTo>
                              <a:lnTo>
                                <a:pt x="8738" y="9102"/>
                              </a:lnTo>
                              <a:moveTo>
                                <a:pt x="0" y="12222"/>
                              </a:moveTo>
                              <a:lnTo>
                                <a:pt x="8738" y="12222"/>
                              </a:lnTo>
                              <a:moveTo>
                                <a:pt x="7" y="410"/>
                              </a:moveTo>
                              <a:lnTo>
                                <a:pt x="7" y="12215"/>
                              </a:lnTo>
                              <a:moveTo>
                                <a:pt x="8731" y="410"/>
                              </a:moveTo>
                              <a:lnTo>
                                <a:pt x="8731" y="12215"/>
                              </a:lnTo>
                            </a:path>
                          </a:pathLst>
                        </a:custGeom>
                        <a:noFill/>
                        <a:ln w="9144" cap="flat" cmpd="sng">
                          <a:solidFill>
                            <a:srgbClr val="000000"/>
                          </a:solidFill>
                          <a:prstDash val="solid"/>
                          <a:round/>
                          <a:headEnd type="none" w="med" len="med"/>
                          <a:tailEnd type="none" w="med" len="med"/>
                        </a:ln>
                      </wps:spPr>
                      <wps:txbx>
                        <w:txbxContent>
                          <w:p w14:paraId="4D61B669"/>
                        </w:txbxContent>
                      </wps:txbx>
                      <wps:bodyPr upright="1"/>
                    </wps:wsp>
                  </a:graphicData>
                </a:graphic>
              </wp:anchor>
            </w:drawing>
          </mc:Choice>
          <mc:Fallback>
            <w:pict>
              <v:shape id="自选图形 105" o:spid="_x0000_s1026" o:spt="100" style="position:absolute;left:0pt;margin-left:89.6pt;margin-top:37.35pt;height:590.65pt;width:436.95pt;mso-position-horizontal-relative:page;z-index:-251649024;mso-width-relative:page;mso-height-relative:page;" filled="f" stroked="t" coordsize="8739,11813" o:gfxdata="UEsDBAoAAAAAAIdO4kAAAAAAAAAAAAAAAAAEAAAAZHJzL1BLAwQUAAAACACHTuJA9771oNsAAAAM&#10;AQAADwAAAGRycy9kb3ducmV2LnhtbE2PTU/DMAyG70j8h8hI3FjSwtZRmk4CwYELaB8guGWN11Y0&#10;Tmmybvx7vBPc/MqPXj8uFkfXiRGH0HrSkEwUCKTK25ZqDZv109UcRIiGrOk8oYYfDLAoz88Kk1t/&#10;oCWOq1gLLqGQGw1NjH0uZagadCZMfI/Eu50fnIkch1rawRy43HUyVWomnWmJLzSmx4cGq6/V3mlQ&#10;n7h7npN9eX37eLfjva2/H5e11pcXiboDEfEY/2A46bM6lOy09XuyQXScs9uUUQ3ZTQbiBKjpdQJi&#10;y1M6nSmQZSH/P1H+AlBLAwQUAAAACACHTuJAX0uy44QCAAAhBgAADgAAAGRycy9lMm9Eb2MueG1s&#10;rVRLbtswEN0X6B0I7huJjh1/EDmLuummaAMkPQBNUhYB/kDStrzrrugZuuuyd2huE6C9RYeUf02Q&#10;wItqIQ05j0/zZjhzedVqhVbCB2lNhclZiZEwzHJpFhX+fHf9ZoRRiNRwqqwRFd6IgK+mr19drt1E&#10;9GxjFRceAYkJk7WrcBOjmxRFYI3QNJxZJww4a+s1jbD0i4J7ugZ2rYpeWV4Ua+u585aJEGB31jnx&#10;ltGfQmjrWjIxs2yphYkdqxeKRpAUGukCnuZo61qw+Kmug4hIVRiUxvyGn4A9T+9iekknC09dI9k2&#10;BHpKCI80aSoN/HRPNaORoqWXT6i0ZN4GW8czZnXRCckZARWkfJSb24Y6kbVAqoPbJz38P1r2cXXj&#10;keQVPsfIUA0F//31558v3x6+3z/8+oFIOUg5WrswAeitu/HbVQAzCW5rr9MXpKA253Wzz6toI2Kw&#10;ORj0x72LAUYMfMNBSXqDzFocjrNliO+FzVR09SHErjB8Z9FmZ7HW7EwP5X2xsI7GdC7Fl0y0rvBo&#10;eD7GqIGbT0bkPNdM25W4sxkUDxr6ZJiUQ4wHvzLHOKCCXgFJB+gOcDjijijHpOydynmEfZmU9OA5&#10;lfUY/BztcKspN8cL8jscMJJdMZ9jhESRE0n30Ke8EEoqYi7JvrCweXx1jL2WSuW7o0wq95j0+3Dv&#10;KAyqGgYEmNrBZQ9mkUsfrJI8HUnVD34xf6s8WtE0LPKzzes/MOdDnNHQdLjsSjA68XZpeLYaQfk7&#10;w1HcOGgoA3MUp2C04BgpAWM3WRkZqVSnIEGnMiA9NWLXesmK7bwFmmTOLd9AJy+dl4sGxhzJoScP&#10;TI6cs+2US6PpeJ1JD5N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3vvWg2wAAAAwBAAAPAAAA&#10;AAAAAAEAIAAAACIAAABkcnMvZG93bnJldi54bWxQSwECFAAUAAAACACHTuJAX0uy44QCAAAhBgAA&#10;DgAAAAAAAAABACAAAAAqAQAAZHJzL2Uyb0RvYy54bWxQSwUGAAAAAAYABgBZAQAAIAYAAAAA&#10;" path="m0,417l8738,417m0,9102l8738,9102m0,12222l8738,12222m7,410l7,12215m8731,410l8731,12215e">
                <v:path textboxrect="0,0,8739,11813"/>
                <v:fill on="f" focussize="0,0"/>
                <v:stroke weight="0.72pt" color="#000000" joinstyle="round"/>
                <v:imagedata o:title=""/>
                <o:lock v:ext="edit" aspectratio="f"/>
                <v:textbox>
                  <w:txbxContent>
                    <w:p w14:paraId="4D61B669"/>
                  </w:txbxContent>
                </v:textbox>
              </v:shape>
            </w:pict>
          </mc:Fallback>
        </mc:AlternateContent>
      </w:r>
      <w:bookmarkStart w:id="99" w:name="_TOC_250008"/>
      <w:bookmarkEnd w:id="99"/>
      <w:r>
        <w:rPr>
          <w:rFonts w:hint="eastAsia" w:ascii="宋体" w:hAnsi="宋体" w:eastAsia="宋体" w:cs="宋体"/>
          <w:sz w:val="28"/>
          <w:highlight w:val="none"/>
        </w:rPr>
        <w:t>五、项目管理机构</w:t>
      </w:r>
    </w:p>
    <w:p w14:paraId="7BBE2C7D">
      <w:pPr>
        <w:pStyle w:val="10"/>
        <w:rPr>
          <w:rFonts w:hint="eastAsia" w:ascii="宋体" w:hAnsi="宋体" w:eastAsia="宋体" w:cs="宋体"/>
          <w:sz w:val="28"/>
          <w:highlight w:val="none"/>
        </w:rPr>
      </w:pPr>
    </w:p>
    <w:p w14:paraId="11E015E8">
      <w:pPr>
        <w:pStyle w:val="10"/>
        <w:rPr>
          <w:rFonts w:hint="eastAsia" w:ascii="宋体" w:hAnsi="宋体" w:eastAsia="宋体" w:cs="宋体"/>
          <w:sz w:val="28"/>
          <w:highlight w:val="none"/>
        </w:rPr>
      </w:pPr>
    </w:p>
    <w:p w14:paraId="0B02D220">
      <w:pPr>
        <w:pStyle w:val="10"/>
        <w:rPr>
          <w:rFonts w:hint="eastAsia" w:ascii="宋体" w:hAnsi="宋体" w:eastAsia="宋体" w:cs="宋体"/>
          <w:sz w:val="28"/>
          <w:highlight w:val="none"/>
        </w:rPr>
      </w:pPr>
    </w:p>
    <w:p w14:paraId="1652C5AB">
      <w:pPr>
        <w:pStyle w:val="10"/>
        <w:spacing w:before="11"/>
        <w:rPr>
          <w:rFonts w:hint="eastAsia" w:ascii="宋体" w:hAnsi="宋体" w:eastAsia="宋体" w:cs="宋体"/>
          <w:sz w:val="35"/>
          <w:highlight w:val="none"/>
        </w:rPr>
      </w:pPr>
    </w:p>
    <w:p w14:paraId="123ADEEC">
      <w:pPr>
        <w:ind w:left="1020"/>
        <w:rPr>
          <w:rFonts w:hint="eastAsia" w:ascii="宋体" w:hAnsi="宋体" w:eastAsia="宋体" w:cs="宋体"/>
          <w:sz w:val="20"/>
          <w:highlight w:val="none"/>
        </w:rPr>
      </w:pPr>
      <w:r>
        <w:rPr>
          <w:rFonts w:hint="eastAsia" w:ascii="宋体" w:hAnsi="宋体" w:eastAsia="宋体" w:cs="宋体"/>
          <w:sz w:val="20"/>
          <w:highlight w:val="none"/>
        </w:rPr>
        <w:t>拟为承包本标段工程设立的组织机构以框图方式表示。</w:t>
      </w:r>
    </w:p>
    <w:p w14:paraId="143BD639">
      <w:pPr>
        <w:pStyle w:val="10"/>
        <w:rPr>
          <w:rFonts w:hint="eastAsia" w:ascii="宋体" w:hAnsi="宋体" w:eastAsia="宋体" w:cs="宋体"/>
          <w:sz w:val="20"/>
          <w:highlight w:val="none"/>
        </w:rPr>
      </w:pPr>
    </w:p>
    <w:p w14:paraId="1F88C4F9">
      <w:pPr>
        <w:pStyle w:val="10"/>
        <w:rPr>
          <w:rFonts w:hint="eastAsia" w:ascii="宋体" w:hAnsi="宋体" w:eastAsia="宋体" w:cs="宋体"/>
          <w:sz w:val="20"/>
          <w:highlight w:val="none"/>
        </w:rPr>
      </w:pPr>
    </w:p>
    <w:p w14:paraId="598A4714">
      <w:pPr>
        <w:pStyle w:val="10"/>
        <w:rPr>
          <w:rFonts w:hint="eastAsia" w:ascii="宋体" w:hAnsi="宋体" w:eastAsia="宋体" w:cs="宋体"/>
          <w:sz w:val="20"/>
          <w:highlight w:val="none"/>
        </w:rPr>
      </w:pPr>
    </w:p>
    <w:p w14:paraId="36CA38B6">
      <w:pPr>
        <w:pStyle w:val="10"/>
        <w:rPr>
          <w:rFonts w:hint="eastAsia" w:ascii="宋体" w:hAnsi="宋体" w:eastAsia="宋体" w:cs="宋体"/>
          <w:sz w:val="20"/>
          <w:highlight w:val="none"/>
        </w:rPr>
      </w:pPr>
    </w:p>
    <w:p w14:paraId="6EFDD738">
      <w:pPr>
        <w:pStyle w:val="10"/>
        <w:rPr>
          <w:rFonts w:hint="eastAsia" w:ascii="宋体" w:hAnsi="宋体" w:eastAsia="宋体" w:cs="宋体"/>
          <w:sz w:val="20"/>
          <w:highlight w:val="none"/>
        </w:rPr>
      </w:pPr>
    </w:p>
    <w:p w14:paraId="0832A016">
      <w:pPr>
        <w:pStyle w:val="10"/>
        <w:rPr>
          <w:rFonts w:hint="eastAsia" w:ascii="宋体" w:hAnsi="宋体" w:eastAsia="宋体" w:cs="宋体"/>
          <w:sz w:val="20"/>
          <w:highlight w:val="none"/>
        </w:rPr>
      </w:pPr>
    </w:p>
    <w:p w14:paraId="4CBEA66B">
      <w:pPr>
        <w:pStyle w:val="10"/>
        <w:rPr>
          <w:rFonts w:hint="eastAsia" w:ascii="宋体" w:hAnsi="宋体" w:eastAsia="宋体" w:cs="宋体"/>
          <w:sz w:val="20"/>
          <w:highlight w:val="none"/>
        </w:rPr>
      </w:pPr>
    </w:p>
    <w:p w14:paraId="4A7C213D">
      <w:pPr>
        <w:pStyle w:val="10"/>
        <w:rPr>
          <w:rFonts w:hint="eastAsia" w:ascii="宋体" w:hAnsi="宋体" w:eastAsia="宋体" w:cs="宋体"/>
          <w:sz w:val="20"/>
          <w:highlight w:val="none"/>
        </w:rPr>
      </w:pPr>
    </w:p>
    <w:p w14:paraId="3CEA0C97">
      <w:pPr>
        <w:pStyle w:val="10"/>
        <w:rPr>
          <w:rFonts w:hint="eastAsia" w:ascii="宋体" w:hAnsi="宋体" w:eastAsia="宋体" w:cs="宋体"/>
          <w:sz w:val="20"/>
          <w:highlight w:val="none"/>
        </w:rPr>
      </w:pPr>
    </w:p>
    <w:p w14:paraId="329E3492">
      <w:pPr>
        <w:pStyle w:val="10"/>
        <w:rPr>
          <w:rFonts w:hint="eastAsia" w:ascii="宋体" w:hAnsi="宋体" w:eastAsia="宋体" w:cs="宋体"/>
          <w:sz w:val="20"/>
          <w:highlight w:val="none"/>
        </w:rPr>
      </w:pPr>
    </w:p>
    <w:p w14:paraId="28940A0B">
      <w:pPr>
        <w:pStyle w:val="10"/>
        <w:rPr>
          <w:rFonts w:hint="eastAsia" w:ascii="宋体" w:hAnsi="宋体" w:eastAsia="宋体" w:cs="宋体"/>
          <w:sz w:val="20"/>
          <w:highlight w:val="none"/>
        </w:rPr>
      </w:pPr>
    </w:p>
    <w:p w14:paraId="65809B28">
      <w:pPr>
        <w:pStyle w:val="10"/>
        <w:rPr>
          <w:rFonts w:hint="eastAsia" w:ascii="宋体" w:hAnsi="宋体" w:eastAsia="宋体" w:cs="宋体"/>
          <w:sz w:val="20"/>
          <w:highlight w:val="none"/>
        </w:rPr>
      </w:pPr>
    </w:p>
    <w:p w14:paraId="0F0BF4F7">
      <w:pPr>
        <w:pStyle w:val="10"/>
        <w:rPr>
          <w:rFonts w:hint="eastAsia" w:ascii="宋体" w:hAnsi="宋体" w:eastAsia="宋体" w:cs="宋体"/>
          <w:sz w:val="20"/>
          <w:highlight w:val="none"/>
        </w:rPr>
      </w:pPr>
    </w:p>
    <w:p w14:paraId="5564A0E6">
      <w:pPr>
        <w:pStyle w:val="10"/>
        <w:rPr>
          <w:rFonts w:hint="eastAsia" w:ascii="宋体" w:hAnsi="宋体" w:eastAsia="宋体" w:cs="宋体"/>
          <w:sz w:val="20"/>
          <w:highlight w:val="none"/>
        </w:rPr>
      </w:pPr>
    </w:p>
    <w:p w14:paraId="7814FF1F">
      <w:pPr>
        <w:pStyle w:val="10"/>
        <w:rPr>
          <w:rFonts w:hint="eastAsia" w:ascii="宋体" w:hAnsi="宋体" w:eastAsia="宋体" w:cs="宋体"/>
          <w:sz w:val="20"/>
          <w:highlight w:val="none"/>
        </w:rPr>
      </w:pPr>
    </w:p>
    <w:p w14:paraId="2E38C062">
      <w:pPr>
        <w:pStyle w:val="10"/>
        <w:rPr>
          <w:rFonts w:hint="eastAsia" w:ascii="宋体" w:hAnsi="宋体" w:eastAsia="宋体" w:cs="宋体"/>
          <w:sz w:val="20"/>
          <w:highlight w:val="none"/>
        </w:rPr>
      </w:pPr>
    </w:p>
    <w:p w14:paraId="7F7912F7">
      <w:pPr>
        <w:pStyle w:val="10"/>
        <w:rPr>
          <w:rFonts w:hint="eastAsia" w:ascii="宋体" w:hAnsi="宋体" w:eastAsia="宋体" w:cs="宋体"/>
          <w:sz w:val="20"/>
          <w:highlight w:val="none"/>
        </w:rPr>
      </w:pPr>
    </w:p>
    <w:p w14:paraId="44C0575F">
      <w:pPr>
        <w:pStyle w:val="10"/>
        <w:rPr>
          <w:rFonts w:hint="eastAsia" w:ascii="宋体" w:hAnsi="宋体" w:eastAsia="宋体" w:cs="宋体"/>
          <w:sz w:val="20"/>
          <w:highlight w:val="none"/>
        </w:rPr>
      </w:pPr>
    </w:p>
    <w:p w14:paraId="33E38536">
      <w:pPr>
        <w:pStyle w:val="10"/>
        <w:rPr>
          <w:rFonts w:hint="eastAsia" w:ascii="宋体" w:hAnsi="宋体" w:eastAsia="宋体" w:cs="宋体"/>
          <w:sz w:val="20"/>
          <w:highlight w:val="none"/>
        </w:rPr>
      </w:pPr>
    </w:p>
    <w:p w14:paraId="1312EAB8">
      <w:pPr>
        <w:pStyle w:val="10"/>
        <w:rPr>
          <w:rFonts w:hint="eastAsia" w:ascii="宋体" w:hAnsi="宋体" w:eastAsia="宋体" w:cs="宋体"/>
          <w:sz w:val="20"/>
          <w:highlight w:val="none"/>
        </w:rPr>
      </w:pPr>
    </w:p>
    <w:p w14:paraId="393FA9B6">
      <w:pPr>
        <w:pStyle w:val="10"/>
        <w:rPr>
          <w:rFonts w:hint="eastAsia" w:ascii="宋体" w:hAnsi="宋体" w:eastAsia="宋体" w:cs="宋体"/>
          <w:sz w:val="20"/>
          <w:highlight w:val="none"/>
        </w:rPr>
      </w:pPr>
    </w:p>
    <w:p w14:paraId="0EA923B7">
      <w:pPr>
        <w:pStyle w:val="10"/>
        <w:rPr>
          <w:rFonts w:hint="eastAsia" w:ascii="宋体" w:hAnsi="宋体" w:eastAsia="宋体" w:cs="宋体"/>
          <w:sz w:val="20"/>
          <w:highlight w:val="none"/>
        </w:rPr>
      </w:pPr>
    </w:p>
    <w:p w14:paraId="5511DCDB">
      <w:pPr>
        <w:pStyle w:val="10"/>
        <w:rPr>
          <w:rFonts w:hint="eastAsia" w:ascii="宋体" w:hAnsi="宋体" w:eastAsia="宋体" w:cs="宋体"/>
          <w:sz w:val="20"/>
          <w:highlight w:val="none"/>
        </w:rPr>
      </w:pPr>
    </w:p>
    <w:p w14:paraId="052B1E63">
      <w:pPr>
        <w:pStyle w:val="10"/>
        <w:rPr>
          <w:rFonts w:hint="eastAsia" w:ascii="宋体" w:hAnsi="宋体" w:eastAsia="宋体" w:cs="宋体"/>
          <w:sz w:val="20"/>
          <w:highlight w:val="none"/>
        </w:rPr>
      </w:pPr>
    </w:p>
    <w:p w14:paraId="2BBBFD2D">
      <w:pPr>
        <w:pStyle w:val="10"/>
        <w:rPr>
          <w:rFonts w:hint="eastAsia" w:ascii="宋体" w:hAnsi="宋体" w:eastAsia="宋体" w:cs="宋体"/>
          <w:sz w:val="20"/>
          <w:highlight w:val="none"/>
        </w:rPr>
      </w:pPr>
    </w:p>
    <w:p w14:paraId="247A4D9D">
      <w:pPr>
        <w:pStyle w:val="10"/>
        <w:rPr>
          <w:rFonts w:hint="eastAsia" w:ascii="宋体" w:hAnsi="宋体" w:eastAsia="宋体" w:cs="宋体"/>
          <w:sz w:val="20"/>
          <w:highlight w:val="none"/>
        </w:rPr>
      </w:pPr>
    </w:p>
    <w:p w14:paraId="583D96C9">
      <w:pPr>
        <w:pStyle w:val="10"/>
        <w:rPr>
          <w:rFonts w:hint="eastAsia" w:ascii="宋体" w:hAnsi="宋体" w:eastAsia="宋体" w:cs="宋体"/>
          <w:sz w:val="20"/>
          <w:highlight w:val="none"/>
        </w:rPr>
      </w:pPr>
    </w:p>
    <w:p w14:paraId="76B2CBE8">
      <w:pPr>
        <w:pStyle w:val="10"/>
        <w:rPr>
          <w:rFonts w:hint="eastAsia" w:ascii="宋体" w:hAnsi="宋体" w:eastAsia="宋体" w:cs="宋体"/>
          <w:sz w:val="20"/>
          <w:highlight w:val="none"/>
        </w:rPr>
      </w:pPr>
    </w:p>
    <w:p w14:paraId="2BC47902">
      <w:pPr>
        <w:pStyle w:val="10"/>
        <w:rPr>
          <w:rFonts w:hint="eastAsia" w:ascii="宋体" w:hAnsi="宋体" w:eastAsia="宋体" w:cs="宋体"/>
          <w:sz w:val="20"/>
          <w:highlight w:val="none"/>
        </w:rPr>
      </w:pPr>
    </w:p>
    <w:p w14:paraId="4778CD5A">
      <w:pPr>
        <w:pStyle w:val="10"/>
        <w:rPr>
          <w:rFonts w:hint="eastAsia" w:ascii="宋体" w:hAnsi="宋体" w:eastAsia="宋体" w:cs="宋体"/>
          <w:sz w:val="20"/>
          <w:highlight w:val="none"/>
        </w:rPr>
      </w:pPr>
    </w:p>
    <w:p w14:paraId="5F4D5B24">
      <w:pPr>
        <w:pStyle w:val="10"/>
        <w:spacing w:before="3"/>
        <w:rPr>
          <w:rFonts w:hint="eastAsia" w:ascii="宋体" w:hAnsi="宋体" w:eastAsia="宋体" w:cs="宋体"/>
          <w:sz w:val="17"/>
          <w:highlight w:val="none"/>
        </w:rPr>
      </w:pPr>
    </w:p>
    <w:p w14:paraId="4534EB3C">
      <w:pPr>
        <w:ind w:left="1020"/>
        <w:rPr>
          <w:rFonts w:hint="eastAsia" w:ascii="宋体" w:hAnsi="宋体" w:eastAsia="宋体" w:cs="宋体"/>
          <w:sz w:val="20"/>
          <w:highlight w:val="none"/>
        </w:rPr>
      </w:pPr>
      <w:r>
        <w:rPr>
          <w:rFonts w:hint="eastAsia" w:ascii="宋体" w:hAnsi="宋体" w:eastAsia="宋体" w:cs="宋体"/>
          <w:sz w:val="20"/>
          <w:highlight w:val="none"/>
        </w:rPr>
        <w:t>说明</w:t>
      </w:r>
    </w:p>
    <w:p w14:paraId="6B6A17FC">
      <w:pPr>
        <w:rPr>
          <w:rFonts w:hint="eastAsia" w:ascii="宋体" w:hAnsi="宋体" w:eastAsia="宋体" w:cs="宋体"/>
          <w:sz w:val="20"/>
          <w:highlight w:val="none"/>
        </w:rPr>
        <w:sectPr>
          <w:headerReference r:id="rId22" w:type="default"/>
          <w:footerReference r:id="rId23" w:type="default"/>
          <w:pgSz w:w="11910" w:h="16840"/>
          <w:pgMar w:top="1220" w:right="920" w:bottom="1180" w:left="1320" w:header="882" w:footer="989" w:gutter="0"/>
          <w:cols w:space="720" w:num="1"/>
        </w:sectPr>
      </w:pPr>
    </w:p>
    <w:p w14:paraId="51C4F940">
      <w:pPr>
        <w:pStyle w:val="10"/>
        <w:rPr>
          <w:rFonts w:hint="eastAsia" w:ascii="宋体" w:hAnsi="宋体" w:eastAsia="宋体" w:cs="宋体"/>
          <w:sz w:val="26"/>
          <w:highlight w:val="none"/>
        </w:rPr>
      </w:pPr>
    </w:p>
    <w:p w14:paraId="77E2DECB">
      <w:pPr>
        <w:spacing w:before="62"/>
        <w:ind w:left="32" w:right="199"/>
        <w:jc w:val="center"/>
        <w:rPr>
          <w:rFonts w:hint="eastAsia" w:ascii="宋体" w:hAnsi="宋体" w:eastAsia="宋体" w:cs="宋体"/>
          <w:sz w:val="28"/>
          <w:highlight w:val="none"/>
        </w:rPr>
      </w:pPr>
      <w:bookmarkStart w:id="100" w:name="_TOC_250007"/>
      <w:bookmarkEnd w:id="100"/>
      <w:r>
        <w:rPr>
          <w:rFonts w:hint="eastAsia" w:ascii="宋体" w:hAnsi="宋体" w:eastAsia="宋体" w:cs="宋体"/>
          <w:sz w:val="28"/>
          <w:highlight w:val="none"/>
        </w:rPr>
        <w:t>六、拟分包项目情况表</w:t>
      </w:r>
    </w:p>
    <w:p w14:paraId="581705B2">
      <w:pPr>
        <w:pStyle w:val="10"/>
        <w:rPr>
          <w:rFonts w:hint="eastAsia" w:ascii="宋体" w:hAnsi="宋体" w:eastAsia="宋体" w:cs="宋体"/>
          <w:sz w:val="20"/>
          <w:highlight w:val="none"/>
        </w:rPr>
      </w:pPr>
    </w:p>
    <w:p w14:paraId="1F8061B0">
      <w:pPr>
        <w:pStyle w:val="10"/>
        <w:spacing w:before="2"/>
        <w:rPr>
          <w:rFonts w:hint="eastAsia" w:ascii="宋体" w:hAnsi="宋体" w:eastAsia="宋体" w:cs="宋体"/>
          <w:sz w:val="14"/>
          <w:highlight w:val="none"/>
        </w:rPr>
      </w:pPr>
    </w:p>
    <w:tbl>
      <w:tblPr>
        <w:tblStyle w:val="24"/>
        <w:tblW w:w="9477" w:type="dxa"/>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6"/>
        <w:gridCol w:w="2534"/>
        <w:gridCol w:w="1923"/>
        <w:gridCol w:w="2664"/>
      </w:tblGrid>
      <w:tr w14:paraId="049EA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356" w:type="dxa"/>
          </w:tcPr>
          <w:p w14:paraId="176C6D83">
            <w:pPr>
              <w:pStyle w:val="30"/>
              <w:spacing w:before="152"/>
              <w:ind w:left="309"/>
              <w:rPr>
                <w:rFonts w:hint="eastAsia" w:ascii="宋体" w:hAnsi="宋体" w:eastAsia="宋体" w:cs="宋体"/>
                <w:sz w:val="20"/>
                <w:highlight w:val="none"/>
              </w:rPr>
            </w:pPr>
            <w:r>
              <w:rPr>
                <w:rFonts w:hint="eastAsia" w:ascii="宋体" w:hAnsi="宋体" w:eastAsia="宋体" w:cs="宋体"/>
                <w:sz w:val="20"/>
                <w:highlight w:val="none"/>
              </w:rPr>
              <w:t>拟分包的工程项目</w:t>
            </w:r>
          </w:p>
        </w:tc>
        <w:tc>
          <w:tcPr>
            <w:tcW w:w="2534" w:type="dxa"/>
          </w:tcPr>
          <w:p w14:paraId="05E170CC">
            <w:pPr>
              <w:pStyle w:val="30"/>
              <w:spacing w:before="152"/>
              <w:ind w:left="749"/>
              <w:rPr>
                <w:rFonts w:hint="eastAsia" w:ascii="宋体" w:hAnsi="宋体" w:eastAsia="宋体" w:cs="宋体"/>
                <w:sz w:val="20"/>
                <w:highlight w:val="none"/>
              </w:rPr>
            </w:pPr>
            <w:r>
              <w:rPr>
                <w:rFonts w:hint="eastAsia" w:ascii="宋体" w:hAnsi="宋体" w:eastAsia="宋体" w:cs="宋体"/>
                <w:sz w:val="20"/>
                <w:highlight w:val="none"/>
              </w:rPr>
              <w:t>主要工程内容</w:t>
            </w:r>
          </w:p>
        </w:tc>
        <w:tc>
          <w:tcPr>
            <w:tcW w:w="1923" w:type="dxa"/>
          </w:tcPr>
          <w:p w14:paraId="191EACC6">
            <w:pPr>
              <w:pStyle w:val="30"/>
              <w:spacing w:before="152"/>
              <w:ind w:left="272"/>
              <w:rPr>
                <w:rFonts w:hint="eastAsia" w:ascii="宋体" w:hAnsi="宋体" w:eastAsia="宋体" w:cs="宋体"/>
                <w:sz w:val="20"/>
                <w:highlight w:val="none"/>
              </w:rPr>
            </w:pPr>
            <w:r>
              <w:rPr>
                <w:rFonts w:hint="eastAsia" w:ascii="宋体" w:hAnsi="宋体" w:eastAsia="宋体" w:cs="宋体"/>
                <w:sz w:val="20"/>
                <w:highlight w:val="none"/>
              </w:rPr>
              <w:t>预计造价（万元）</w:t>
            </w:r>
          </w:p>
        </w:tc>
        <w:tc>
          <w:tcPr>
            <w:tcW w:w="2664" w:type="dxa"/>
          </w:tcPr>
          <w:p w14:paraId="7A3D70B5">
            <w:pPr>
              <w:pStyle w:val="30"/>
              <w:spacing w:before="152"/>
              <w:ind w:left="1144" w:right="970"/>
              <w:jc w:val="center"/>
              <w:rPr>
                <w:rFonts w:hint="eastAsia" w:ascii="宋体" w:hAnsi="宋体" w:eastAsia="宋体" w:cs="宋体"/>
                <w:sz w:val="20"/>
                <w:highlight w:val="none"/>
              </w:rPr>
            </w:pPr>
            <w:r>
              <w:rPr>
                <w:rFonts w:hint="eastAsia" w:ascii="宋体" w:hAnsi="宋体" w:eastAsia="宋体" w:cs="宋体"/>
                <w:sz w:val="20"/>
                <w:highlight w:val="none"/>
              </w:rPr>
              <w:t>备 注</w:t>
            </w:r>
          </w:p>
        </w:tc>
      </w:tr>
      <w:tr w14:paraId="234D9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356" w:type="dxa"/>
          </w:tcPr>
          <w:p w14:paraId="120B80EE">
            <w:pPr>
              <w:pStyle w:val="30"/>
              <w:rPr>
                <w:rFonts w:hint="eastAsia" w:ascii="宋体" w:hAnsi="宋体" w:eastAsia="宋体" w:cs="宋体"/>
                <w:sz w:val="20"/>
                <w:highlight w:val="none"/>
              </w:rPr>
            </w:pPr>
          </w:p>
        </w:tc>
        <w:tc>
          <w:tcPr>
            <w:tcW w:w="2534" w:type="dxa"/>
          </w:tcPr>
          <w:p w14:paraId="20EC932F">
            <w:pPr>
              <w:pStyle w:val="30"/>
              <w:rPr>
                <w:rFonts w:hint="eastAsia" w:ascii="宋体" w:hAnsi="宋体" w:eastAsia="宋体" w:cs="宋体"/>
                <w:sz w:val="20"/>
                <w:highlight w:val="none"/>
              </w:rPr>
            </w:pPr>
          </w:p>
        </w:tc>
        <w:tc>
          <w:tcPr>
            <w:tcW w:w="1923" w:type="dxa"/>
          </w:tcPr>
          <w:p w14:paraId="5B965EED">
            <w:pPr>
              <w:pStyle w:val="30"/>
              <w:rPr>
                <w:rFonts w:hint="eastAsia" w:ascii="宋体" w:hAnsi="宋体" w:eastAsia="宋体" w:cs="宋体"/>
                <w:sz w:val="20"/>
                <w:highlight w:val="none"/>
              </w:rPr>
            </w:pPr>
          </w:p>
        </w:tc>
        <w:tc>
          <w:tcPr>
            <w:tcW w:w="2664" w:type="dxa"/>
            <w:vMerge w:val="restart"/>
          </w:tcPr>
          <w:p w14:paraId="483A0503">
            <w:pPr>
              <w:pStyle w:val="30"/>
              <w:rPr>
                <w:rFonts w:hint="eastAsia" w:ascii="宋体" w:hAnsi="宋体" w:eastAsia="宋体" w:cs="宋体"/>
                <w:highlight w:val="none"/>
              </w:rPr>
            </w:pPr>
          </w:p>
          <w:p w14:paraId="089E169B">
            <w:pPr>
              <w:pStyle w:val="30"/>
              <w:rPr>
                <w:rFonts w:hint="eastAsia" w:ascii="宋体" w:hAnsi="宋体" w:eastAsia="宋体" w:cs="宋体"/>
                <w:highlight w:val="none"/>
              </w:rPr>
            </w:pPr>
          </w:p>
          <w:p w14:paraId="1F8FDA13">
            <w:pPr>
              <w:pStyle w:val="30"/>
              <w:rPr>
                <w:rFonts w:hint="eastAsia" w:ascii="宋体" w:hAnsi="宋体" w:eastAsia="宋体" w:cs="宋体"/>
                <w:highlight w:val="none"/>
              </w:rPr>
            </w:pPr>
          </w:p>
          <w:p w14:paraId="5F261B5D">
            <w:pPr>
              <w:pStyle w:val="30"/>
              <w:rPr>
                <w:rFonts w:hint="eastAsia" w:ascii="宋体" w:hAnsi="宋体" w:eastAsia="宋体" w:cs="宋体"/>
                <w:highlight w:val="none"/>
              </w:rPr>
            </w:pPr>
          </w:p>
          <w:p w14:paraId="7AFCB353">
            <w:pPr>
              <w:pStyle w:val="30"/>
              <w:rPr>
                <w:rFonts w:hint="eastAsia" w:ascii="宋体" w:hAnsi="宋体" w:eastAsia="宋体" w:cs="宋体"/>
                <w:highlight w:val="none"/>
              </w:rPr>
            </w:pPr>
          </w:p>
          <w:p w14:paraId="08955C74">
            <w:pPr>
              <w:pStyle w:val="30"/>
              <w:rPr>
                <w:rFonts w:hint="eastAsia" w:ascii="宋体" w:hAnsi="宋体" w:eastAsia="宋体" w:cs="宋体"/>
                <w:highlight w:val="none"/>
              </w:rPr>
            </w:pPr>
          </w:p>
          <w:p w14:paraId="773875C7">
            <w:pPr>
              <w:pStyle w:val="30"/>
              <w:rPr>
                <w:rFonts w:hint="eastAsia" w:ascii="宋体" w:hAnsi="宋体" w:eastAsia="宋体" w:cs="宋体"/>
                <w:highlight w:val="none"/>
              </w:rPr>
            </w:pPr>
          </w:p>
          <w:p w14:paraId="60C43C54">
            <w:pPr>
              <w:pStyle w:val="30"/>
              <w:rPr>
                <w:rFonts w:hint="eastAsia" w:ascii="宋体" w:hAnsi="宋体" w:eastAsia="宋体" w:cs="宋体"/>
                <w:highlight w:val="none"/>
              </w:rPr>
            </w:pPr>
          </w:p>
          <w:p w14:paraId="79A92156">
            <w:pPr>
              <w:pStyle w:val="30"/>
              <w:rPr>
                <w:rFonts w:hint="eastAsia" w:ascii="宋体" w:hAnsi="宋体" w:eastAsia="宋体" w:cs="宋体"/>
                <w:highlight w:val="none"/>
              </w:rPr>
            </w:pPr>
          </w:p>
          <w:p w14:paraId="25C3ACB1">
            <w:pPr>
              <w:pStyle w:val="30"/>
              <w:rPr>
                <w:rFonts w:hint="eastAsia" w:ascii="宋体" w:hAnsi="宋体" w:eastAsia="宋体" w:cs="宋体"/>
                <w:highlight w:val="none"/>
              </w:rPr>
            </w:pPr>
          </w:p>
          <w:p w14:paraId="13A3D9F9">
            <w:pPr>
              <w:pStyle w:val="30"/>
              <w:rPr>
                <w:rFonts w:hint="eastAsia" w:ascii="宋体" w:hAnsi="宋体" w:eastAsia="宋体" w:cs="宋体"/>
                <w:highlight w:val="none"/>
              </w:rPr>
            </w:pPr>
          </w:p>
          <w:p w14:paraId="4684416F">
            <w:pPr>
              <w:pStyle w:val="30"/>
              <w:rPr>
                <w:rFonts w:hint="eastAsia" w:ascii="宋体" w:hAnsi="宋体" w:eastAsia="宋体" w:cs="宋体"/>
                <w:highlight w:val="none"/>
              </w:rPr>
            </w:pPr>
          </w:p>
          <w:p w14:paraId="2934769E">
            <w:pPr>
              <w:pStyle w:val="30"/>
              <w:rPr>
                <w:rFonts w:hint="eastAsia" w:ascii="宋体" w:hAnsi="宋体" w:eastAsia="宋体" w:cs="宋体"/>
                <w:highlight w:val="none"/>
              </w:rPr>
            </w:pPr>
          </w:p>
          <w:p w14:paraId="1A82B8A7">
            <w:pPr>
              <w:pStyle w:val="30"/>
              <w:rPr>
                <w:rFonts w:hint="eastAsia" w:ascii="宋体" w:hAnsi="宋体" w:eastAsia="宋体" w:cs="宋体"/>
                <w:highlight w:val="none"/>
              </w:rPr>
            </w:pPr>
          </w:p>
          <w:p w14:paraId="724CE90C">
            <w:pPr>
              <w:pStyle w:val="30"/>
              <w:rPr>
                <w:rFonts w:hint="eastAsia" w:ascii="宋体" w:hAnsi="宋体" w:eastAsia="宋体" w:cs="宋体"/>
                <w:highlight w:val="none"/>
              </w:rPr>
            </w:pPr>
          </w:p>
          <w:p w14:paraId="3AC9CF6F">
            <w:pPr>
              <w:pStyle w:val="30"/>
              <w:spacing w:before="195" w:line="410" w:lineRule="auto"/>
              <w:ind w:left="106" w:right="179" w:firstLine="168"/>
              <w:rPr>
                <w:rFonts w:hint="eastAsia" w:ascii="宋体" w:hAnsi="宋体" w:eastAsia="宋体" w:cs="宋体"/>
                <w:sz w:val="20"/>
                <w:highlight w:val="none"/>
              </w:rPr>
            </w:pPr>
            <w:r>
              <w:rPr>
                <w:rFonts w:hint="eastAsia" w:ascii="宋体" w:hAnsi="宋体" w:eastAsia="宋体" w:cs="宋体"/>
                <w:sz w:val="20"/>
                <w:highlight w:val="none"/>
              </w:rPr>
              <w:t>注：若无分包计划，则投标人应在本表填写“无”</w:t>
            </w:r>
          </w:p>
        </w:tc>
      </w:tr>
      <w:tr w14:paraId="21EFD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356" w:type="dxa"/>
          </w:tcPr>
          <w:p w14:paraId="3C8CC678">
            <w:pPr>
              <w:pStyle w:val="30"/>
              <w:rPr>
                <w:rFonts w:hint="eastAsia" w:ascii="宋体" w:hAnsi="宋体" w:eastAsia="宋体" w:cs="宋体"/>
                <w:sz w:val="20"/>
                <w:highlight w:val="none"/>
              </w:rPr>
            </w:pPr>
          </w:p>
        </w:tc>
        <w:tc>
          <w:tcPr>
            <w:tcW w:w="2534" w:type="dxa"/>
          </w:tcPr>
          <w:p w14:paraId="3FA3F111">
            <w:pPr>
              <w:pStyle w:val="30"/>
              <w:rPr>
                <w:rFonts w:hint="eastAsia" w:ascii="宋体" w:hAnsi="宋体" w:eastAsia="宋体" w:cs="宋体"/>
                <w:sz w:val="20"/>
                <w:highlight w:val="none"/>
              </w:rPr>
            </w:pPr>
          </w:p>
        </w:tc>
        <w:tc>
          <w:tcPr>
            <w:tcW w:w="1923" w:type="dxa"/>
          </w:tcPr>
          <w:p w14:paraId="78FE2D53">
            <w:pPr>
              <w:pStyle w:val="30"/>
              <w:rPr>
                <w:rFonts w:hint="eastAsia" w:ascii="宋体" w:hAnsi="宋体" w:eastAsia="宋体" w:cs="宋体"/>
                <w:sz w:val="20"/>
                <w:highlight w:val="none"/>
              </w:rPr>
            </w:pPr>
          </w:p>
        </w:tc>
        <w:tc>
          <w:tcPr>
            <w:tcW w:w="2664" w:type="dxa"/>
            <w:vMerge w:val="continue"/>
            <w:tcBorders>
              <w:top w:val="nil"/>
            </w:tcBorders>
          </w:tcPr>
          <w:p w14:paraId="11A78196">
            <w:pPr>
              <w:rPr>
                <w:rFonts w:hint="eastAsia" w:ascii="宋体" w:hAnsi="宋体" w:eastAsia="宋体" w:cs="宋体"/>
                <w:sz w:val="2"/>
                <w:szCs w:val="2"/>
                <w:highlight w:val="none"/>
              </w:rPr>
            </w:pPr>
          </w:p>
        </w:tc>
      </w:tr>
      <w:tr w14:paraId="3DBA9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6" w:type="dxa"/>
          </w:tcPr>
          <w:p w14:paraId="18ACBCE7">
            <w:pPr>
              <w:pStyle w:val="30"/>
              <w:rPr>
                <w:rFonts w:hint="eastAsia" w:ascii="宋体" w:hAnsi="宋体" w:eastAsia="宋体" w:cs="宋体"/>
                <w:sz w:val="20"/>
                <w:highlight w:val="none"/>
              </w:rPr>
            </w:pPr>
          </w:p>
        </w:tc>
        <w:tc>
          <w:tcPr>
            <w:tcW w:w="2534" w:type="dxa"/>
          </w:tcPr>
          <w:p w14:paraId="253CF713">
            <w:pPr>
              <w:pStyle w:val="30"/>
              <w:rPr>
                <w:rFonts w:hint="eastAsia" w:ascii="宋体" w:hAnsi="宋体" w:eastAsia="宋体" w:cs="宋体"/>
                <w:sz w:val="20"/>
                <w:highlight w:val="none"/>
              </w:rPr>
            </w:pPr>
          </w:p>
        </w:tc>
        <w:tc>
          <w:tcPr>
            <w:tcW w:w="1923" w:type="dxa"/>
          </w:tcPr>
          <w:p w14:paraId="2ECEC930">
            <w:pPr>
              <w:pStyle w:val="30"/>
              <w:rPr>
                <w:rFonts w:hint="eastAsia" w:ascii="宋体" w:hAnsi="宋体" w:eastAsia="宋体" w:cs="宋体"/>
                <w:sz w:val="20"/>
                <w:highlight w:val="none"/>
              </w:rPr>
            </w:pPr>
          </w:p>
        </w:tc>
        <w:tc>
          <w:tcPr>
            <w:tcW w:w="2664" w:type="dxa"/>
            <w:vMerge w:val="continue"/>
            <w:tcBorders>
              <w:top w:val="nil"/>
            </w:tcBorders>
          </w:tcPr>
          <w:p w14:paraId="2123B49D">
            <w:pPr>
              <w:rPr>
                <w:rFonts w:hint="eastAsia" w:ascii="宋体" w:hAnsi="宋体" w:eastAsia="宋体" w:cs="宋体"/>
                <w:sz w:val="2"/>
                <w:szCs w:val="2"/>
                <w:highlight w:val="none"/>
              </w:rPr>
            </w:pPr>
          </w:p>
        </w:tc>
      </w:tr>
      <w:tr w14:paraId="61F6E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356" w:type="dxa"/>
          </w:tcPr>
          <w:p w14:paraId="27289C2B">
            <w:pPr>
              <w:pStyle w:val="30"/>
              <w:rPr>
                <w:rFonts w:hint="eastAsia" w:ascii="宋体" w:hAnsi="宋体" w:eastAsia="宋体" w:cs="宋体"/>
                <w:sz w:val="20"/>
                <w:highlight w:val="none"/>
              </w:rPr>
            </w:pPr>
          </w:p>
        </w:tc>
        <w:tc>
          <w:tcPr>
            <w:tcW w:w="2534" w:type="dxa"/>
          </w:tcPr>
          <w:p w14:paraId="7F5C94A2">
            <w:pPr>
              <w:pStyle w:val="30"/>
              <w:rPr>
                <w:rFonts w:hint="eastAsia" w:ascii="宋体" w:hAnsi="宋体" w:eastAsia="宋体" w:cs="宋体"/>
                <w:sz w:val="20"/>
                <w:highlight w:val="none"/>
              </w:rPr>
            </w:pPr>
          </w:p>
        </w:tc>
        <w:tc>
          <w:tcPr>
            <w:tcW w:w="1923" w:type="dxa"/>
          </w:tcPr>
          <w:p w14:paraId="7B80E1D8">
            <w:pPr>
              <w:pStyle w:val="30"/>
              <w:rPr>
                <w:rFonts w:hint="eastAsia" w:ascii="宋体" w:hAnsi="宋体" w:eastAsia="宋体" w:cs="宋体"/>
                <w:sz w:val="20"/>
                <w:highlight w:val="none"/>
              </w:rPr>
            </w:pPr>
          </w:p>
        </w:tc>
        <w:tc>
          <w:tcPr>
            <w:tcW w:w="2664" w:type="dxa"/>
            <w:vMerge w:val="continue"/>
            <w:tcBorders>
              <w:top w:val="nil"/>
            </w:tcBorders>
          </w:tcPr>
          <w:p w14:paraId="22CC7D03">
            <w:pPr>
              <w:rPr>
                <w:rFonts w:hint="eastAsia" w:ascii="宋体" w:hAnsi="宋体" w:eastAsia="宋体" w:cs="宋体"/>
                <w:sz w:val="2"/>
                <w:szCs w:val="2"/>
                <w:highlight w:val="none"/>
              </w:rPr>
            </w:pPr>
          </w:p>
        </w:tc>
      </w:tr>
      <w:tr w14:paraId="48C3D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356" w:type="dxa"/>
          </w:tcPr>
          <w:p w14:paraId="0BE99AFE">
            <w:pPr>
              <w:pStyle w:val="30"/>
              <w:rPr>
                <w:rFonts w:hint="eastAsia" w:ascii="宋体" w:hAnsi="宋体" w:eastAsia="宋体" w:cs="宋体"/>
                <w:sz w:val="20"/>
                <w:highlight w:val="none"/>
              </w:rPr>
            </w:pPr>
          </w:p>
        </w:tc>
        <w:tc>
          <w:tcPr>
            <w:tcW w:w="2534" w:type="dxa"/>
          </w:tcPr>
          <w:p w14:paraId="753D5F71">
            <w:pPr>
              <w:pStyle w:val="30"/>
              <w:rPr>
                <w:rFonts w:hint="eastAsia" w:ascii="宋体" w:hAnsi="宋体" w:eastAsia="宋体" w:cs="宋体"/>
                <w:sz w:val="20"/>
                <w:highlight w:val="none"/>
              </w:rPr>
            </w:pPr>
          </w:p>
        </w:tc>
        <w:tc>
          <w:tcPr>
            <w:tcW w:w="1923" w:type="dxa"/>
          </w:tcPr>
          <w:p w14:paraId="2E835A17">
            <w:pPr>
              <w:pStyle w:val="30"/>
              <w:rPr>
                <w:rFonts w:hint="eastAsia" w:ascii="宋体" w:hAnsi="宋体" w:eastAsia="宋体" w:cs="宋体"/>
                <w:sz w:val="20"/>
                <w:highlight w:val="none"/>
              </w:rPr>
            </w:pPr>
          </w:p>
        </w:tc>
        <w:tc>
          <w:tcPr>
            <w:tcW w:w="2664" w:type="dxa"/>
            <w:vMerge w:val="continue"/>
            <w:tcBorders>
              <w:top w:val="nil"/>
            </w:tcBorders>
          </w:tcPr>
          <w:p w14:paraId="74627BF4">
            <w:pPr>
              <w:rPr>
                <w:rFonts w:hint="eastAsia" w:ascii="宋体" w:hAnsi="宋体" w:eastAsia="宋体" w:cs="宋体"/>
                <w:sz w:val="2"/>
                <w:szCs w:val="2"/>
                <w:highlight w:val="none"/>
              </w:rPr>
            </w:pPr>
          </w:p>
        </w:tc>
      </w:tr>
      <w:tr w14:paraId="5EC6D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6" w:type="dxa"/>
          </w:tcPr>
          <w:p w14:paraId="24C83403">
            <w:pPr>
              <w:pStyle w:val="30"/>
              <w:rPr>
                <w:rFonts w:hint="eastAsia" w:ascii="宋体" w:hAnsi="宋体" w:eastAsia="宋体" w:cs="宋体"/>
                <w:sz w:val="20"/>
                <w:highlight w:val="none"/>
              </w:rPr>
            </w:pPr>
          </w:p>
        </w:tc>
        <w:tc>
          <w:tcPr>
            <w:tcW w:w="2534" w:type="dxa"/>
          </w:tcPr>
          <w:p w14:paraId="726487B7">
            <w:pPr>
              <w:pStyle w:val="30"/>
              <w:rPr>
                <w:rFonts w:hint="eastAsia" w:ascii="宋体" w:hAnsi="宋体" w:eastAsia="宋体" w:cs="宋体"/>
                <w:sz w:val="20"/>
                <w:highlight w:val="none"/>
              </w:rPr>
            </w:pPr>
          </w:p>
        </w:tc>
        <w:tc>
          <w:tcPr>
            <w:tcW w:w="1923" w:type="dxa"/>
          </w:tcPr>
          <w:p w14:paraId="26925331">
            <w:pPr>
              <w:pStyle w:val="30"/>
              <w:rPr>
                <w:rFonts w:hint="eastAsia" w:ascii="宋体" w:hAnsi="宋体" w:eastAsia="宋体" w:cs="宋体"/>
                <w:sz w:val="20"/>
                <w:highlight w:val="none"/>
              </w:rPr>
            </w:pPr>
          </w:p>
        </w:tc>
        <w:tc>
          <w:tcPr>
            <w:tcW w:w="2664" w:type="dxa"/>
            <w:vMerge w:val="continue"/>
            <w:tcBorders>
              <w:top w:val="nil"/>
            </w:tcBorders>
          </w:tcPr>
          <w:p w14:paraId="0A28DDAB">
            <w:pPr>
              <w:rPr>
                <w:rFonts w:hint="eastAsia" w:ascii="宋体" w:hAnsi="宋体" w:eastAsia="宋体" w:cs="宋体"/>
                <w:sz w:val="2"/>
                <w:szCs w:val="2"/>
                <w:highlight w:val="none"/>
              </w:rPr>
            </w:pPr>
          </w:p>
        </w:tc>
      </w:tr>
      <w:tr w14:paraId="403E9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6" w:type="dxa"/>
          </w:tcPr>
          <w:p w14:paraId="568E0A77">
            <w:pPr>
              <w:pStyle w:val="30"/>
              <w:rPr>
                <w:rFonts w:hint="eastAsia" w:ascii="宋体" w:hAnsi="宋体" w:eastAsia="宋体" w:cs="宋体"/>
                <w:sz w:val="20"/>
                <w:highlight w:val="none"/>
              </w:rPr>
            </w:pPr>
          </w:p>
        </w:tc>
        <w:tc>
          <w:tcPr>
            <w:tcW w:w="2534" w:type="dxa"/>
          </w:tcPr>
          <w:p w14:paraId="22325140">
            <w:pPr>
              <w:pStyle w:val="30"/>
              <w:rPr>
                <w:rFonts w:hint="eastAsia" w:ascii="宋体" w:hAnsi="宋体" w:eastAsia="宋体" w:cs="宋体"/>
                <w:sz w:val="20"/>
                <w:highlight w:val="none"/>
              </w:rPr>
            </w:pPr>
          </w:p>
        </w:tc>
        <w:tc>
          <w:tcPr>
            <w:tcW w:w="1923" w:type="dxa"/>
          </w:tcPr>
          <w:p w14:paraId="3525BDF5">
            <w:pPr>
              <w:pStyle w:val="30"/>
              <w:rPr>
                <w:rFonts w:hint="eastAsia" w:ascii="宋体" w:hAnsi="宋体" w:eastAsia="宋体" w:cs="宋体"/>
                <w:sz w:val="20"/>
                <w:highlight w:val="none"/>
              </w:rPr>
            </w:pPr>
          </w:p>
        </w:tc>
        <w:tc>
          <w:tcPr>
            <w:tcW w:w="2664" w:type="dxa"/>
            <w:vMerge w:val="continue"/>
            <w:tcBorders>
              <w:top w:val="nil"/>
            </w:tcBorders>
          </w:tcPr>
          <w:p w14:paraId="5D8C3548">
            <w:pPr>
              <w:rPr>
                <w:rFonts w:hint="eastAsia" w:ascii="宋体" w:hAnsi="宋体" w:eastAsia="宋体" w:cs="宋体"/>
                <w:sz w:val="2"/>
                <w:szCs w:val="2"/>
                <w:highlight w:val="none"/>
              </w:rPr>
            </w:pPr>
          </w:p>
        </w:tc>
      </w:tr>
      <w:tr w14:paraId="6F64C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6" w:type="dxa"/>
          </w:tcPr>
          <w:p w14:paraId="578CEDA3">
            <w:pPr>
              <w:pStyle w:val="30"/>
              <w:rPr>
                <w:rFonts w:hint="eastAsia" w:ascii="宋体" w:hAnsi="宋体" w:eastAsia="宋体" w:cs="宋体"/>
                <w:sz w:val="20"/>
                <w:highlight w:val="none"/>
              </w:rPr>
            </w:pPr>
          </w:p>
        </w:tc>
        <w:tc>
          <w:tcPr>
            <w:tcW w:w="2534" w:type="dxa"/>
          </w:tcPr>
          <w:p w14:paraId="53D13F69">
            <w:pPr>
              <w:pStyle w:val="30"/>
              <w:rPr>
                <w:rFonts w:hint="eastAsia" w:ascii="宋体" w:hAnsi="宋体" w:eastAsia="宋体" w:cs="宋体"/>
                <w:sz w:val="20"/>
                <w:highlight w:val="none"/>
              </w:rPr>
            </w:pPr>
          </w:p>
        </w:tc>
        <w:tc>
          <w:tcPr>
            <w:tcW w:w="1923" w:type="dxa"/>
          </w:tcPr>
          <w:p w14:paraId="23078CAC">
            <w:pPr>
              <w:pStyle w:val="30"/>
              <w:rPr>
                <w:rFonts w:hint="eastAsia" w:ascii="宋体" w:hAnsi="宋体" w:eastAsia="宋体" w:cs="宋体"/>
                <w:sz w:val="20"/>
                <w:highlight w:val="none"/>
              </w:rPr>
            </w:pPr>
          </w:p>
        </w:tc>
        <w:tc>
          <w:tcPr>
            <w:tcW w:w="2664" w:type="dxa"/>
            <w:vMerge w:val="continue"/>
            <w:tcBorders>
              <w:top w:val="nil"/>
            </w:tcBorders>
          </w:tcPr>
          <w:p w14:paraId="623675A1">
            <w:pPr>
              <w:rPr>
                <w:rFonts w:hint="eastAsia" w:ascii="宋体" w:hAnsi="宋体" w:eastAsia="宋体" w:cs="宋体"/>
                <w:sz w:val="2"/>
                <w:szCs w:val="2"/>
                <w:highlight w:val="none"/>
              </w:rPr>
            </w:pPr>
          </w:p>
        </w:tc>
      </w:tr>
      <w:tr w14:paraId="6F080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6" w:type="dxa"/>
          </w:tcPr>
          <w:p w14:paraId="597570F4">
            <w:pPr>
              <w:pStyle w:val="30"/>
              <w:rPr>
                <w:rFonts w:hint="eastAsia" w:ascii="宋体" w:hAnsi="宋体" w:eastAsia="宋体" w:cs="宋体"/>
                <w:sz w:val="20"/>
                <w:highlight w:val="none"/>
              </w:rPr>
            </w:pPr>
          </w:p>
        </w:tc>
        <w:tc>
          <w:tcPr>
            <w:tcW w:w="2534" w:type="dxa"/>
          </w:tcPr>
          <w:p w14:paraId="1FFE54EC">
            <w:pPr>
              <w:pStyle w:val="30"/>
              <w:rPr>
                <w:rFonts w:hint="eastAsia" w:ascii="宋体" w:hAnsi="宋体" w:eastAsia="宋体" w:cs="宋体"/>
                <w:sz w:val="20"/>
                <w:highlight w:val="none"/>
              </w:rPr>
            </w:pPr>
          </w:p>
        </w:tc>
        <w:tc>
          <w:tcPr>
            <w:tcW w:w="1923" w:type="dxa"/>
          </w:tcPr>
          <w:p w14:paraId="1DC3762B">
            <w:pPr>
              <w:pStyle w:val="30"/>
              <w:rPr>
                <w:rFonts w:hint="eastAsia" w:ascii="宋体" w:hAnsi="宋体" w:eastAsia="宋体" w:cs="宋体"/>
                <w:sz w:val="20"/>
                <w:highlight w:val="none"/>
              </w:rPr>
            </w:pPr>
          </w:p>
        </w:tc>
        <w:tc>
          <w:tcPr>
            <w:tcW w:w="2664" w:type="dxa"/>
            <w:vMerge w:val="continue"/>
            <w:tcBorders>
              <w:top w:val="nil"/>
            </w:tcBorders>
          </w:tcPr>
          <w:p w14:paraId="6A6ABDF2">
            <w:pPr>
              <w:rPr>
                <w:rFonts w:hint="eastAsia" w:ascii="宋体" w:hAnsi="宋体" w:eastAsia="宋体" w:cs="宋体"/>
                <w:sz w:val="2"/>
                <w:szCs w:val="2"/>
                <w:highlight w:val="none"/>
              </w:rPr>
            </w:pPr>
          </w:p>
        </w:tc>
      </w:tr>
      <w:tr w14:paraId="1B681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6" w:type="dxa"/>
          </w:tcPr>
          <w:p w14:paraId="6DA428D8">
            <w:pPr>
              <w:pStyle w:val="30"/>
              <w:rPr>
                <w:rFonts w:hint="eastAsia" w:ascii="宋体" w:hAnsi="宋体" w:eastAsia="宋体" w:cs="宋体"/>
                <w:sz w:val="20"/>
                <w:highlight w:val="none"/>
              </w:rPr>
            </w:pPr>
          </w:p>
        </w:tc>
        <w:tc>
          <w:tcPr>
            <w:tcW w:w="2534" w:type="dxa"/>
          </w:tcPr>
          <w:p w14:paraId="1CCCCB1D">
            <w:pPr>
              <w:pStyle w:val="30"/>
              <w:rPr>
                <w:rFonts w:hint="eastAsia" w:ascii="宋体" w:hAnsi="宋体" w:eastAsia="宋体" w:cs="宋体"/>
                <w:sz w:val="20"/>
                <w:highlight w:val="none"/>
              </w:rPr>
            </w:pPr>
          </w:p>
        </w:tc>
        <w:tc>
          <w:tcPr>
            <w:tcW w:w="1923" w:type="dxa"/>
          </w:tcPr>
          <w:p w14:paraId="11715940">
            <w:pPr>
              <w:pStyle w:val="30"/>
              <w:rPr>
                <w:rFonts w:hint="eastAsia" w:ascii="宋体" w:hAnsi="宋体" w:eastAsia="宋体" w:cs="宋体"/>
                <w:sz w:val="20"/>
                <w:highlight w:val="none"/>
              </w:rPr>
            </w:pPr>
          </w:p>
        </w:tc>
        <w:tc>
          <w:tcPr>
            <w:tcW w:w="2664" w:type="dxa"/>
            <w:vMerge w:val="continue"/>
            <w:tcBorders>
              <w:top w:val="nil"/>
            </w:tcBorders>
          </w:tcPr>
          <w:p w14:paraId="3D31492D">
            <w:pPr>
              <w:rPr>
                <w:rFonts w:hint="eastAsia" w:ascii="宋体" w:hAnsi="宋体" w:eastAsia="宋体" w:cs="宋体"/>
                <w:sz w:val="2"/>
                <w:szCs w:val="2"/>
                <w:highlight w:val="none"/>
              </w:rPr>
            </w:pPr>
          </w:p>
        </w:tc>
      </w:tr>
      <w:tr w14:paraId="4CF91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6" w:type="dxa"/>
          </w:tcPr>
          <w:p w14:paraId="32E4676D">
            <w:pPr>
              <w:pStyle w:val="30"/>
              <w:rPr>
                <w:rFonts w:hint="eastAsia" w:ascii="宋体" w:hAnsi="宋体" w:eastAsia="宋体" w:cs="宋体"/>
                <w:sz w:val="20"/>
                <w:highlight w:val="none"/>
              </w:rPr>
            </w:pPr>
          </w:p>
        </w:tc>
        <w:tc>
          <w:tcPr>
            <w:tcW w:w="2534" w:type="dxa"/>
          </w:tcPr>
          <w:p w14:paraId="6A7F3857">
            <w:pPr>
              <w:pStyle w:val="30"/>
              <w:rPr>
                <w:rFonts w:hint="eastAsia" w:ascii="宋体" w:hAnsi="宋体" w:eastAsia="宋体" w:cs="宋体"/>
                <w:sz w:val="20"/>
                <w:highlight w:val="none"/>
              </w:rPr>
            </w:pPr>
          </w:p>
        </w:tc>
        <w:tc>
          <w:tcPr>
            <w:tcW w:w="1923" w:type="dxa"/>
          </w:tcPr>
          <w:p w14:paraId="4D989292">
            <w:pPr>
              <w:pStyle w:val="30"/>
              <w:rPr>
                <w:rFonts w:hint="eastAsia" w:ascii="宋体" w:hAnsi="宋体" w:eastAsia="宋体" w:cs="宋体"/>
                <w:sz w:val="20"/>
                <w:highlight w:val="none"/>
              </w:rPr>
            </w:pPr>
          </w:p>
        </w:tc>
        <w:tc>
          <w:tcPr>
            <w:tcW w:w="2664" w:type="dxa"/>
            <w:vMerge w:val="continue"/>
            <w:tcBorders>
              <w:top w:val="nil"/>
            </w:tcBorders>
          </w:tcPr>
          <w:p w14:paraId="7A38DD56">
            <w:pPr>
              <w:rPr>
                <w:rFonts w:hint="eastAsia" w:ascii="宋体" w:hAnsi="宋体" w:eastAsia="宋体" w:cs="宋体"/>
                <w:sz w:val="2"/>
                <w:szCs w:val="2"/>
                <w:highlight w:val="none"/>
              </w:rPr>
            </w:pPr>
          </w:p>
        </w:tc>
      </w:tr>
      <w:tr w14:paraId="4E790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6" w:type="dxa"/>
          </w:tcPr>
          <w:p w14:paraId="7F2FA417">
            <w:pPr>
              <w:pStyle w:val="30"/>
              <w:rPr>
                <w:rFonts w:hint="eastAsia" w:ascii="宋体" w:hAnsi="宋体" w:eastAsia="宋体" w:cs="宋体"/>
                <w:sz w:val="20"/>
                <w:highlight w:val="none"/>
              </w:rPr>
            </w:pPr>
          </w:p>
        </w:tc>
        <w:tc>
          <w:tcPr>
            <w:tcW w:w="2534" w:type="dxa"/>
          </w:tcPr>
          <w:p w14:paraId="7232A671">
            <w:pPr>
              <w:pStyle w:val="30"/>
              <w:rPr>
                <w:rFonts w:hint="eastAsia" w:ascii="宋体" w:hAnsi="宋体" w:eastAsia="宋体" w:cs="宋体"/>
                <w:sz w:val="20"/>
                <w:highlight w:val="none"/>
              </w:rPr>
            </w:pPr>
          </w:p>
        </w:tc>
        <w:tc>
          <w:tcPr>
            <w:tcW w:w="1923" w:type="dxa"/>
          </w:tcPr>
          <w:p w14:paraId="7EFCD45B">
            <w:pPr>
              <w:pStyle w:val="30"/>
              <w:rPr>
                <w:rFonts w:hint="eastAsia" w:ascii="宋体" w:hAnsi="宋体" w:eastAsia="宋体" w:cs="宋体"/>
                <w:sz w:val="20"/>
                <w:highlight w:val="none"/>
              </w:rPr>
            </w:pPr>
          </w:p>
        </w:tc>
        <w:tc>
          <w:tcPr>
            <w:tcW w:w="2664" w:type="dxa"/>
            <w:vMerge w:val="continue"/>
            <w:tcBorders>
              <w:top w:val="nil"/>
            </w:tcBorders>
          </w:tcPr>
          <w:p w14:paraId="251B3090">
            <w:pPr>
              <w:rPr>
                <w:rFonts w:hint="eastAsia" w:ascii="宋体" w:hAnsi="宋体" w:eastAsia="宋体" w:cs="宋体"/>
                <w:sz w:val="2"/>
                <w:szCs w:val="2"/>
                <w:highlight w:val="none"/>
              </w:rPr>
            </w:pPr>
          </w:p>
        </w:tc>
      </w:tr>
      <w:tr w14:paraId="439AE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6" w:type="dxa"/>
          </w:tcPr>
          <w:p w14:paraId="74E69B2C">
            <w:pPr>
              <w:pStyle w:val="30"/>
              <w:rPr>
                <w:rFonts w:hint="eastAsia" w:ascii="宋体" w:hAnsi="宋体" w:eastAsia="宋体" w:cs="宋体"/>
                <w:sz w:val="20"/>
                <w:highlight w:val="none"/>
              </w:rPr>
            </w:pPr>
          </w:p>
        </w:tc>
        <w:tc>
          <w:tcPr>
            <w:tcW w:w="2534" w:type="dxa"/>
          </w:tcPr>
          <w:p w14:paraId="254073FB">
            <w:pPr>
              <w:pStyle w:val="30"/>
              <w:rPr>
                <w:rFonts w:hint="eastAsia" w:ascii="宋体" w:hAnsi="宋体" w:eastAsia="宋体" w:cs="宋体"/>
                <w:sz w:val="20"/>
                <w:highlight w:val="none"/>
              </w:rPr>
            </w:pPr>
          </w:p>
        </w:tc>
        <w:tc>
          <w:tcPr>
            <w:tcW w:w="1923" w:type="dxa"/>
          </w:tcPr>
          <w:p w14:paraId="41DD68F6">
            <w:pPr>
              <w:pStyle w:val="30"/>
              <w:rPr>
                <w:rFonts w:hint="eastAsia" w:ascii="宋体" w:hAnsi="宋体" w:eastAsia="宋体" w:cs="宋体"/>
                <w:sz w:val="20"/>
                <w:highlight w:val="none"/>
              </w:rPr>
            </w:pPr>
          </w:p>
        </w:tc>
        <w:tc>
          <w:tcPr>
            <w:tcW w:w="2664" w:type="dxa"/>
            <w:vMerge w:val="continue"/>
            <w:tcBorders>
              <w:top w:val="nil"/>
            </w:tcBorders>
          </w:tcPr>
          <w:p w14:paraId="14B420E7">
            <w:pPr>
              <w:rPr>
                <w:rFonts w:hint="eastAsia" w:ascii="宋体" w:hAnsi="宋体" w:eastAsia="宋体" w:cs="宋体"/>
                <w:sz w:val="2"/>
                <w:szCs w:val="2"/>
                <w:highlight w:val="none"/>
              </w:rPr>
            </w:pPr>
          </w:p>
        </w:tc>
      </w:tr>
      <w:tr w14:paraId="59E6E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6" w:type="dxa"/>
          </w:tcPr>
          <w:p w14:paraId="0B05CF1F">
            <w:pPr>
              <w:pStyle w:val="30"/>
              <w:rPr>
                <w:rFonts w:hint="eastAsia" w:ascii="宋体" w:hAnsi="宋体" w:eastAsia="宋体" w:cs="宋体"/>
                <w:sz w:val="20"/>
                <w:highlight w:val="none"/>
              </w:rPr>
            </w:pPr>
          </w:p>
        </w:tc>
        <w:tc>
          <w:tcPr>
            <w:tcW w:w="2534" w:type="dxa"/>
          </w:tcPr>
          <w:p w14:paraId="0F5E5409">
            <w:pPr>
              <w:pStyle w:val="30"/>
              <w:rPr>
                <w:rFonts w:hint="eastAsia" w:ascii="宋体" w:hAnsi="宋体" w:eastAsia="宋体" w:cs="宋体"/>
                <w:sz w:val="20"/>
                <w:highlight w:val="none"/>
              </w:rPr>
            </w:pPr>
          </w:p>
        </w:tc>
        <w:tc>
          <w:tcPr>
            <w:tcW w:w="1923" w:type="dxa"/>
          </w:tcPr>
          <w:p w14:paraId="6B2A8C6A">
            <w:pPr>
              <w:pStyle w:val="30"/>
              <w:rPr>
                <w:rFonts w:hint="eastAsia" w:ascii="宋体" w:hAnsi="宋体" w:eastAsia="宋体" w:cs="宋体"/>
                <w:sz w:val="20"/>
                <w:highlight w:val="none"/>
              </w:rPr>
            </w:pPr>
          </w:p>
        </w:tc>
        <w:tc>
          <w:tcPr>
            <w:tcW w:w="2664" w:type="dxa"/>
            <w:vMerge w:val="continue"/>
            <w:tcBorders>
              <w:top w:val="nil"/>
            </w:tcBorders>
          </w:tcPr>
          <w:p w14:paraId="32BE469F">
            <w:pPr>
              <w:rPr>
                <w:rFonts w:hint="eastAsia" w:ascii="宋体" w:hAnsi="宋体" w:eastAsia="宋体" w:cs="宋体"/>
                <w:sz w:val="2"/>
                <w:szCs w:val="2"/>
                <w:highlight w:val="none"/>
              </w:rPr>
            </w:pPr>
          </w:p>
        </w:tc>
      </w:tr>
      <w:tr w14:paraId="5744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6" w:type="dxa"/>
          </w:tcPr>
          <w:p w14:paraId="5DBC32A7">
            <w:pPr>
              <w:pStyle w:val="30"/>
              <w:rPr>
                <w:rFonts w:hint="eastAsia" w:ascii="宋体" w:hAnsi="宋体" w:eastAsia="宋体" w:cs="宋体"/>
                <w:sz w:val="20"/>
                <w:highlight w:val="none"/>
              </w:rPr>
            </w:pPr>
          </w:p>
        </w:tc>
        <w:tc>
          <w:tcPr>
            <w:tcW w:w="2534" w:type="dxa"/>
          </w:tcPr>
          <w:p w14:paraId="7E7F0A68">
            <w:pPr>
              <w:pStyle w:val="30"/>
              <w:rPr>
                <w:rFonts w:hint="eastAsia" w:ascii="宋体" w:hAnsi="宋体" w:eastAsia="宋体" w:cs="宋体"/>
                <w:sz w:val="20"/>
                <w:highlight w:val="none"/>
              </w:rPr>
            </w:pPr>
          </w:p>
        </w:tc>
        <w:tc>
          <w:tcPr>
            <w:tcW w:w="1923" w:type="dxa"/>
          </w:tcPr>
          <w:p w14:paraId="09D7532E">
            <w:pPr>
              <w:pStyle w:val="30"/>
              <w:rPr>
                <w:rFonts w:hint="eastAsia" w:ascii="宋体" w:hAnsi="宋体" w:eastAsia="宋体" w:cs="宋体"/>
                <w:sz w:val="20"/>
                <w:highlight w:val="none"/>
              </w:rPr>
            </w:pPr>
          </w:p>
        </w:tc>
        <w:tc>
          <w:tcPr>
            <w:tcW w:w="2664" w:type="dxa"/>
            <w:vMerge w:val="continue"/>
            <w:tcBorders>
              <w:top w:val="nil"/>
            </w:tcBorders>
          </w:tcPr>
          <w:p w14:paraId="48C36772">
            <w:pPr>
              <w:rPr>
                <w:rFonts w:hint="eastAsia" w:ascii="宋体" w:hAnsi="宋体" w:eastAsia="宋体" w:cs="宋体"/>
                <w:sz w:val="2"/>
                <w:szCs w:val="2"/>
                <w:highlight w:val="none"/>
              </w:rPr>
            </w:pPr>
          </w:p>
        </w:tc>
      </w:tr>
      <w:tr w14:paraId="78B2C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6" w:type="dxa"/>
          </w:tcPr>
          <w:p w14:paraId="5F221FFB">
            <w:pPr>
              <w:pStyle w:val="30"/>
              <w:rPr>
                <w:rFonts w:hint="eastAsia" w:ascii="宋体" w:hAnsi="宋体" w:eastAsia="宋体" w:cs="宋体"/>
                <w:sz w:val="20"/>
                <w:highlight w:val="none"/>
              </w:rPr>
            </w:pPr>
          </w:p>
        </w:tc>
        <w:tc>
          <w:tcPr>
            <w:tcW w:w="2534" w:type="dxa"/>
          </w:tcPr>
          <w:p w14:paraId="6244508B">
            <w:pPr>
              <w:pStyle w:val="30"/>
              <w:rPr>
                <w:rFonts w:hint="eastAsia" w:ascii="宋体" w:hAnsi="宋体" w:eastAsia="宋体" w:cs="宋体"/>
                <w:sz w:val="20"/>
                <w:highlight w:val="none"/>
              </w:rPr>
            </w:pPr>
          </w:p>
        </w:tc>
        <w:tc>
          <w:tcPr>
            <w:tcW w:w="1923" w:type="dxa"/>
          </w:tcPr>
          <w:p w14:paraId="0E2C9534">
            <w:pPr>
              <w:pStyle w:val="30"/>
              <w:rPr>
                <w:rFonts w:hint="eastAsia" w:ascii="宋体" w:hAnsi="宋体" w:eastAsia="宋体" w:cs="宋体"/>
                <w:sz w:val="20"/>
                <w:highlight w:val="none"/>
              </w:rPr>
            </w:pPr>
          </w:p>
        </w:tc>
        <w:tc>
          <w:tcPr>
            <w:tcW w:w="2664" w:type="dxa"/>
            <w:vMerge w:val="continue"/>
            <w:tcBorders>
              <w:top w:val="nil"/>
            </w:tcBorders>
          </w:tcPr>
          <w:p w14:paraId="24B19965">
            <w:pPr>
              <w:rPr>
                <w:rFonts w:hint="eastAsia" w:ascii="宋体" w:hAnsi="宋体" w:eastAsia="宋体" w:cs="宋体"/>
                <w:sz w:val="2"/>
                <w:szCs w:val="2"/>
                <w:highlight w:val="none"/>
              </w:rPr>
            </w:pPr>
          </w:p>
        </w:tc>
      </w:tr>
      <w:tr w14:paraId="5C131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6" w:type="dxa"/>
          </w:tcPr>
          <w:p w14:paraId="03B34EC3">
            <w:pPr>
              <w:pStyle w:val="30"/>
              <w:rPr>
                <w:rFonts w:hint="eastAsia" w:ascii="宋体" w:hAnsi="宋体" w:eastAsia="宋体" w:cs="宋体"/>
                <w:sz w:val="20"/>
                <w:highlight w:val="none"/>
              </w:rPr>
            </w:pPr>
          </w:p>
        </w:tc>
        <w:tc>
          <w:tcPr>
            <w:tcW w:w="2534" w:type="dxa"/>
          </w:tcPr>
          <w:p w14:paraId="20393B1D">
            <w:pPr>
              <w:pStyle w:val="30"/>
              <w:rPr>
                <w:rFonts w:hint="eastAsia" w:ascii="宋体" w:hAnsi="宋体" w:eastAsia="宋体" w:cs="宋体"/>
                <w:sz w:val="20"/>
                <w:highlight w:val="none"/>
              </w:rPr>
            </w:pPr>
          </w:p>
        </w:tc>
        <w:tc>
          <w:tcPr>
            <w:tcW w:w="1923" w:type="dxa"/>
          </w:tcPr>
          <w:p w14:paraId="3A60A938">
            <w:pPr>
              <w:pStyle w:val="30"/>
              <w:rPr>
                <w:rFonts w:hint="eastAsia" w:ascii="宋体" w:hAnsi="宋体" w:eastAsia="宋体" w:cs="宋体"/>
                <w:sz w:val="20"/>
                <w:highlight w:val="none"/>
              </w:rPr>
            </w:pPr>
          </w:p>
        </w:tc>
        <w:tc>
          <w:tcPr>
            <w:tcW w:w="2664" w:type="dxa"/>
            <w:vMerge w:val="continue"/>
            <w:tcBorders>
              <w:top w:val="nil"/>
            </w:tcBorders>
          </w:tcPr>
          <w:p w14:paraId="54653417">
            <w:pPr>
              <w:rPr>
                <w:rFonts w:hint="eastAsia" w:ascii="宋体" w:hAnsi="宋体" w:eastAsia="宋体" w:cs="宋体"/>
                <w:sz w:val="2"/>
                <w:szCs w:val="2"/>
                <w:highlight w:val="none"/>
              </w:rPr>
            </w:pPr>
          </w:p>
        </w:tc>
      </w:tr>
      <w:tr w14:paraId="16E83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6" w:type="dxa"/>
          </w:tcPr>
          <w:p w14:paraId="70902A41">
            <w:pPr>
              <w:pStyle w:val="30"/>
              <w:rPr>
                <w:rFonts w:hint="eastAsia" w:ascii="宋体" w:hAnsi="宋体" w:eastAsia="宋体" w:cs="宋体"/>
                <w:sz w:val="20"/>
                <w:highlight w:val="none"/>
              </w:rPr>
            </w:pPr>
          </w:p>
        </w:tc>
        <w:tc>
          <w:tcPr>
            <w:tcW w:w="2534" w:type="dxa"/>
          </w:tcPr>
          <w:p w14:paraId="53D221F2">
            <w:pPr>
              <w:pStyle w:val="30"/>
              <w:rPr>
                <w:rFonts w:hint="eastAsia" w:ascii="宋体" w:hAnsi="宋体" w:eastAsia="宋体" w:cs="宋体"/>
                <w:sz w:val="20"/>
                <w:highlight w:val="none"/>
              </w:rPr>
            </w:pPr>
          </w:p>
        </w:tc>
        <w:tc>
          <w:tcPr>
            <w:tcW w:w="1923" w:type="dxa"/>
          </w:tcPr>
          <w:p w14:paraId="6E163C17">
            <w:pPr>
              <w:pStyle w:val="30"/>
              <w:rPr>
                <w:rFonts w:hint="eastAsia" w:ascii="宋体" w:hAnsi="宋体" w:eastAsia="宋体" w:cs="宋体"/>
                <w:sz w:val="20"/>
                <w:highlight w:val="none"/>
              </w:rPr>
            </w:pPr>
          </w:p>
        </w:tc>
        <w:tc>
          <w:tcPr>
            <w:tcW w:w="2664" w:type="dxa"/>
            <w:vMerge w:val="continue"/>
            <w:tcBorders>
              <w:top w:val="nil"/>
            </w:tcBorders>
          </w:tcPr>
          <w:p w14:paraId="59C588E5">
            <w:pPr>
              <w:rPr>
                <w:rFonts w:hint="eastAsia" w:ascii="宋体" w:hAnsi="宋体" w:eastAsia="宋体" w:cs="宋体"/>
                <w:sz w:val="2"/>
                <w:szCs w:val="2"/>
                <w:highlight w:val="none"/>
              </w:rPr>
            </w:pPr>
          </w:p>
        </w:tc>
      </w:tr>
      <w:tr w14:paraId="4DA61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6" w:type="dxa"/>
          </w:tcPr>
          <w:p w14:paraId="50B25541">
            <w:pPr>
              <w:pStyle w:val="30"/>
              <w:rPr>
                <w:rFonts w:hint="eastAsia" w:ascii="宋体" w:hAnsi="宋体" w:eastAsia="宋体" w:cs="宋体"/>
                <w:sz w:val="20"/>
                <w:highlight w:val="none"/>
              </w:rPr>
            </w:pPr>
          </w:p>
        </w:tc>
        <w:tc>
          <w:tcPr>
            <w:tcW w:w="2534" w:type="dxa"/>
          </w:tcPr>
          <w:p w14:paraId="02A39822">
            <w:pPr>
              <w:pStyle w:val="30"/>
              <w:rPr>
                <w:rFonts w:hint="eastAsia" w:ascii="宋体" w:hAnsi="宋体" w:eastAsia="宋体" w:cs="宋体"/>
                <w:sz w:val="20"/>
                <w:highlight w:val="none"/>
              </w:rPr>
            </w:pPr>
          </w:p>
        </w:tc>
        <w:tc>
          <w:tcPr>
            <w:tcW w:w="1923" w:type="dxa"/>
          </w:tcPr>
          <w:p w14:paraId="2B926752">
            <w:pPr>
              <w:pStyle w:val="30"/>
              <w:rPr>
                <w:rFonts w:hint="eastAsia" w:ascii="宋体" w:hAnsi="宋体" w:eastAsia="宋体" w:cs="宋体"/>
                <w:sz w:val="20"/>
                <w:highlight w:val="none"/>
              </w:rPr>
            </w:pPr>
          </w:p>
        </w:tc>
        <w:tc>
          <w:tcPr>
            <w:tcW w:w="2664" w:type="dxa"/>
            <w:vMerge w:val="continue"/>
            <w:tcBorders>
              <w:top w:val="nil"/>
            </w:tcBorders>
          </w:tcPr>
          <w:p w14:paraId="7FDDCA29">
            <w:pPr>
              <w:rPr>
                <w:rFonts w:hint="eastAsia" w:ascii="宋体" w:hAnsi="宋体" w:eastAsia="宋体" w:cs="宋体"/>
                <w:sz w:val="2"/>
                <w:szCs w:val="2"/>
                <w:highlight w:val="none"/>
              </w:rPr>
            </w:pPr>
          </w:p>
        </w:tc>
      </w:tr>
      <w:tr w14:paraId="745EE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890" w:type="dxa"/>
            <w:gridSpan w:val="2"/>
          </w:tcPr>
          <w:p w14:paraId="4E1FFE3F">
            <w:pPr>
              <w:pStyle w:val="30"/>
              <w:spacing w:before="157"/>
              <w:ind w:left="1074"/>
              <w:rPr>
                <w:rFonts w:hint="eastAsia" w:ascii="宋体" w:hAnsi="宋体" w:eastAsia="宋体" w:cs="宋体"/>
                <w:sz w:val="20"/>
                <w:highlight w:val="none"/>
              </w:rPr>
            </w:pPr>
            <w:r>
              <w:rPr>
                <w:rFonts w:hint="eastAsia" w:ascii="宋体" w:hAnsi="宋体" w:eastAsia="宋体" w:cs="宋体"/>
                <w:sz w:val="20"/>
                <w:highlight w:val="none"/>
              </w:rPr>
              <w:t>拟分包工程造价合计（万元）</w:t>
            </w:r>
          </w:p>
        </w:tc>
        <w:tc>
          <w:tcPr>
            <w:tcW w:w="1923" w:type="dxa"/>
          </w:tcPr>
          <w:p w14:paraId="790F800C">
            <w:pPr>
              <w:pStyle w:val="30"/>
              <w:rPr>
                <w:rFonts w:hint="eastAsia" w:ascii="宋体" w:hAnsi="宋体" w:eastAsia="宋体" w:cs="宋体"/>
                <w:sz w:val="20"/>
                <w:highlight w:val="none"/>
              </w:rPr>
            </w:pPr>
          </w:p>
        </w:tc>
        <w:tc>
          <w:tcPr>
            <w:tcW w:w="2664" w:type="dxa"/>
            <w:vMerge w:val="continue"/>
            <w:tcBorders>
              <w:top w:val="nil"/>
            </w:tcBorders>
          </w:tcPr>
          <w:p w14:paraId="454ABE38">
            <w:pPr>
              <w:rPr>
                <w:rFonts w:hint="eastAsia" w:ascii="宋体" w:hAnsi="宋体" w:eastAsia="宋体" w:cs="宋体"/>
                <w:sz w:val="2"/>
                <w:szCs w:val="2"/>
                <w:highlight w:val="none"/>
              </w:rPr>
            </w:pPr>
          </w:p>
        </w:tc>
      </w:tr>
    </w:tbl>
    <w:p w14:paraId="6B190A29">
      <w:pPr>
        <w:rPr>
          <w:rFonts w:hint="eastAsia" w:ascii="宋体" w:hAnsi="宋体" w:eastAsia="宋体" w:cs="宋体"/>
          <w:sz w:val="2"/>
          <w:szCs w:val="2"/>
          <w:highlight w:val="none"/>
        </w:rPr>
      </w:pPr>
    </w:p>
    <w:p w14:paraId="6CC26D3F">
      <w:pPr>
        <w:rPr>
          <w:rFonts w:hint="eastAsia" w:ascii="宋体" w:hAnsi="宋体" w:eastAsia="宋体" w:cs="宋体"/>
          <w:highlight w:val="none"/>
        </w:rPr>
      </w:pPr>
    </w:p>
    <w:p w14:paraId="4E2297B1">
      <w:pPr>
        <w:rPr>
          <w:rFonts w:hint="eastAsia" w:ascii="宋体" w:hAnsi="宋体" w:eastAsia="宋体" w:cs="宋体"/>
          <w:highlight w:val="none"/>
        </w:rPr>
      </w:pPr>
    </w:p>
    <w:p w14:paraId="5B87E8C7">
      <w:pPr>
        <w:rPr>
          <w:rFonts w:hint="eastAsia" w:ascii="宋体" w:hAnsi="宋体" w:eastAsia="宋体" w:cs="宋体"/>
          <w:highlight w:val="none"/>
        </w:rPr>
      </w:pPr>
    </w:p>
    <w:p w14:paraId="4A3602C6">
      <w:pPr>
        <w:rPr>
          <w:rFonts w:hint="eastAsia" w:ascii="宋体" w:hAnsi="宋体" w:eastAsia="宋体" w:cs="宋体"/>
          <w:highlight w:val="none"/>
        </w:rPr>
      </w:pPr>
    </w:p>
    <w:p w14:paraId="0EBACA26">
      <w:pPr>
        <w:spacing w:line="440" w:lineRule="exact"/>
        <w:ind w:firstLine="4950" w:firstLineChars="2250"/>
        <w:rPr>
          <w:rFonts w:hint="eastAsia" w:ascii="宋体" w:hAnsi="宋体" w:eastAsia="宋体" w:cs="宋体"/>
          <w:spacing w:val="-1"/>
          <w:highlight w:val="none"/>
        </w:rPr>
      </w:pPr>
      <w:r>
        <w:rPr>
          <w:rFonts w:hint="eastAsia" w:ascii="宋体" w:hAnsi="宋体" w:eastAsia="宋体" w:cs="宋体"/>
          <w:highlight w:val="none"/>
        </w:rPr>
        <w:tab/>
      </w:r>
      <w:r>
        <w:rPr>
          <w:rFonts w:hint="eastAsia" w:ascii="宋体" w:hAnsi="宋体" w:eastAsia="宋体" w:cs="宋体"/>
          <w:spacing w:val="-1"/>
          <w:highlight w:val="none"/>
        </w:rPr>
        <w:t>竞争性磋商响应人：（盖章）</w:t>
      </w:r>
    </w:p>
    <w:p w14:paraId="032CBBA5">
      <w:pPr>
        <w:spacing w:line="440" w:lineRule="exact"/>
        <w:ind w:firstLine="4796" w:firstLineChars="2200"/>
        <w:rPr>
          <w:rFonts w:hint="eastAsia" w:ascii="宋体" w:hAnsi="宋体" w:eastAsia="宋体" w:cs="宋体"/>
          <w:spacing w:val="-1"/>
          <w:highlight w:val="none"/>
        </w:rPr>
      </w:pPr>
      <w:r>
        <w:rPr>
          <w:rFonts w:hint="eastAsia" w:ascii="宋体" w:hAnsi="宋体" w:eastAsia="宋体" w:cs="宋体"/>
          <w:spacing w:val="-1"/>
          <w:highlight w:val="none"/>
        </w:rPr>
        <w:t>法定代表人或授权委托人：（签字或盖章）</w:t>
      </w:r>
    </w:p>
    <w:p w14:paraId="53AA7635">
      <w:pPr>
        <w:spacing w:line="440" w:lineRule="exact"/>
        <w:ind w:firstLine="5777" w:firstLineChars="2650"/>
        <w:rPr>
          <w:rFonts w:hint="eastAsia" w:ascii="宋体" w:hAnsi="宋体" w:eastAsia="宋体" w:cs="宋体"/>
          <w:b/>
          <w:sz w:val="21"/>
          <w:szCs w:val="21"/>
          <w:highlight w:val="none"/>
        </w:rPr>
      </w:pPr>
      <w:r>
        <w:rPr>
          <w:rFonts w:hint="eastAsia" w:ascii="宋体" w:hAnsi="宋体" w:eastAsia="宋体" w:cs="宋体"/>
          <w:spacing w:val="-1"/>
          <w:highlight w:val="none"/>
        </w:rPr>
        <w:t>年</w:t>
      </w:r>
      <w:r>
        <w:rPr>
          <w:rFonts w:hint="eastAsia" w:ascii="宋体" w:hAnsi="宋体" w:eastAsia="宋体" w:cs="宋体"/>
          <w:spacing w:val="-1"/>
          <w:highlight w:val="none"/>
          <w:lang w:val="en-US"/>
        </w:rPr>
        <w:t xml:space="preserve"> </w:t>
      </w:r>
      <w:r>
        <w:rPr>
          <w:rFonts w:hint="eastAsia" w:ascii="宋体" w:hAnsi="宋体" w:eastAsia="宋体" w:cs="宋体"/>
          <w:spacing w:val="-1"/>
          <w:highlight w:val="none"/>
        </w:rPr>
        <w:t>月</w:t>
      </w:r>
      <w:r>
        <w:rPr>
          <w:rFonts w:hint="eastAsia" w:ascii="宋体" w:hAnsi="宋体" w:eastAsia="宋体" w:cs="宋体"/>
          <w:spacing w:val="-1"/>
          <w:highlight w:val="none"/>
          <w:lang w:val="en-US"/>
        </w:rPr>
        <w:t xml:space="preserve">  </w:t>
      </w:r>
      <w:r>
        <w:rPr>
          <w:rFonts w:hint="eastAsia" w:ascii="宋体" w:hAnsi="宋体" w:eastAsia="宋体" w:cs="宋体"/>
          <w:spacing w:val="-1"/>
          <w:highlight w:val="none"/>
        </w:rPr>
        <w:t>日</w:t>
      </w:r>
    </w:p>
    <w:p w14:paraId="453A5AC4">
      <w:pPr>
        <w:tabs>
          <w:tab w:val="left" w:pos="3746"/>
        </w:tabs>
        <w:rPr>
          <w:rFonts w:hint="eastAsia" w:ascii="宋体" w:hAnsi="宋体" w:eastAsia="宋体" w:cs="宋体"/>
          <w:highlight w:val="none"/>
        </w:rPr>
        <w:sectPr>
          <w:pgSz w:w="11910" w:h="16840"/>
          <w:pgMar w:top="1220" w:right="920" w:bottom="1180" w:left="1320" w:header="882" w:footer="989" w:gutter="0"/>
          <w:cols w:space="720" w:num="1"/>
        </w:sectPr>
      </w:pPr>
    </w:p>
    <w:p w14:paraId="748CD120">
      <w:pPr>
        <w:pStyle w:val="10"/>
        <w:rPr>
          <w:rFonts w:hint="eastAsia" w:ascii="宋体" w:hAnsi="宋体" w:eastAsia="宋体" w:cs="宋体"/>
          <w:sz w:val="26"/>
          <w:highlight w:val="none"/>
        </w:rPr>
      </w:pPr>
    </w:p>
    <w:p w14:paraId="10E490ED">
      <w:pPr>
        <w:spacing w:before="62"/>
        <w:ind w:left="35" w:right="199"/>
        <w:jc w:val="center"/>
        <w:rPr>
          <w:rFonts w:hint="eastAsia" w:ascii="宋体" w:hAnsi="宋体" w:eastAsia="宋体" w:cs="宋体"/>
          <w:sz w:val="28"/>
          <w:highlight w:val="none"/>
        </w:rPr>
      </w:pPr>
      <w:bookmarkStart w:id="101" w:name="_TOC_250006"/>
      <w:bookmarkEnd w:id="101"/>
      <w:r>
        <w:rPr>
          <w:rFonts w:hint="eastAsia" w:ascii="宋体" w:hAnsi="宋体" w:eastAsia="宋体" w:cs="宋体"/>
          <w:sz w:val="28"/>
          <w:highlight w:val="none"/>
        </w:rPr>
        <w:t>七、资格审查资料</w:t>
      </w:r>
    </w:p>
    <w:p w14:paraId="0C902108">
      <w:pPr>
        <w:pStyle w:val="10"/>
        <w:spacing w:before="63" w:after="7"/>
        <w:ind w:left="1" w:right="199"/>
        <w:jc w:val="center"/>
        <w:rPr>
          <w:rFonts w:hint="eastAsia" w:ascii="宋体" w:hAnsi="宋体" w:eastAsia="宋体" w:cs="宋体"/>
          <w:highlight w:val="none"/>
        </w:rPr>
      </w:pPr>
      <w:bookmarkStart w:id="102" w:name="（一）投标人基本情况表"/>
      <w:bookmarkEnd w:id="102"/>
      <w:r>
        <w:rPr>
          <w:rFonts w:hint="eastAsia" w:ascii="宋体" w:hAnsi="宋体" w:eastAsia="宋体" w:cs="宋体"/>
          <w:highlight w:val="none"/>
        </w:rPr>
        <w:t>（一）投标人基本情况表</w:t>
      </w:r>
    </w:p>
    <w:tbl>
      <w:tblPr>
        <w:tblStyle w:val="24"/>
        <w:tblW w:w="9546"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5"/>
        <w:gridCol w:w="900"/>
        <w:gridCol w:w="1080"/>
        <w:gridCol w:w="529"/>
        <w:gridCol w:w="731"/>
        <w:gridCol w:w="1078"/>
        <w:gridCol w:w="182"/>
        <w:gridCol w:w="901"/>
        <w:gridCol w:w="1870"/>
      </w:tblGrid>
      <w:tr w14:paraId="3E119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75" w:type="dxa"/>
          </w:tcPr>
          <w:p w14:paraId="2473EB60">
            <w:pPr>
              <w:pStyle w:val="30"/>
              <w:spacing w:before="152"/>
              <w:ind w:left="130" w:right="125"/>
              <w:jc w:val="center"/>
              <w:rPr>
                <w:rFonts w:hint="eastAsia" w:ascii="宋体" w:hAnsi="宋体" w:eastAsia="宋体" w:cs="宋体"/>
                <w:sz w:val="20"/>
                <w:highlight w:val="none"/>
              </w:rPr>
            </w:pPr>
            <w:r>
              <w:rPr>
                <w:rFonts w:hint="eastAsia" w:ascii="宋体" w:hAnsi="宋体" w:eastAsia="宋体" w:cs="宋体"/>
                <w:sz w:val="20"/>
                <w:highlight w:val="none"/>
              </w:rPr>
              <w:t>投标人名称</w:t>
            </w:r>
          </w:p>
        </w:tc>
        <w:tc>
          <w:tcPr>
            <w:tcW w:w="7271" w:type="dxa"/>
            <w:gridSpan w:val="8"/>
          </w:tcPr>
          <w:p w14:paraId="584C3590">
            <w:pPr>
              <w:pStyle w:val="30"/>
              <w:rPr>
                <w:rFonts w:hint="eastAsia" w:ascii="宋体" w:hAnsi="宋体" w:eastAsia="宋体" w:cs="宋体"/>
                <w:sz w:val="20"/>
                <w:highlight w:val="none"/>
              </w:rPr>
            </w:pPr>
          </w:p>
        </w:tc>
      </w:tr>
      <w:tr w14:paraId="15599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75" w:type="dxa"/>
          </w:tcPr>
          <w:p w14:paraId="5B9D1A02">
            <w:pPr>
              <w:pStyle w:val="30"/>
              <w:spacing w:before="153"/>
              <w:ind w:left="130" w:right="123"/>
              <w:jc w:val="center"/>
              <w:rPr>
                <w:rFonts w:hint="eastAsia" w:ascii="宋体" w:hAnsi="宋体" w:eastAsia="宋体" w:cs="宋体"/>
                <w:sz w:val="20"/>
                <w:highlight w:val="none"/>
              </w:rPr>
            </w:pPr>
            <w:r>
              <w:rPr>
                <w:rFonts w:hint="eastAsia" w:ascii="宋体" w:hAnsi="宋体" w:eastAsia="宋体" w:cs="宋体"/>
                <w:sz w:val="20"/>
                <w:highlight w:val="none"/>
              </w:rPr>
              <w:t>注册地址</w:t>
            </w:r>
          </w:p>
        </w:tc>
        <w:tc>
          <w:tcPr>
            <w:tcW w:w="3240" w:type="dxa"/>
            <w:gridSpan w:val="4"/>
          </w:tcPr>
          <w:p w14:paraId="59ED8A26">
            <w:pPr>
              <w:pStyle w:val="30"/>
              <w:rPr>
                <w:rFonts w:hint="eastAsia" w:ascii="宋体" w:hAnsi="宋体" w:eastAsia="宋体" w:cs="宋体"/>
                <w:sz w:val="20"/>
                <w:highlight w:val="none"/>
              </w:rPr>
            </w:pPr>
          </w:p>
        </w:tc>
        <w:tc>
          <w:tcPr>
            <w:tcW w:w="1078" w:type="dxa"/>
          </w:tcPr>
          <w:p w14:paraId="46159BFC">
            <w:pPr>
              <w:pStyle w:val="30"/>
              <w:spacing w:before="153"/>
              <w:ind w:left="119" w:right="109"/>
              <w:jc w:val="center"/>
              <w:rPr>
                <w:rFonts w:hint="eastAsia" w:ascii="宋体" w:hAnsi="宋体" w:eastAsia="宋体" w:cs="宋体"/>
                <w:sz w:val="20"/>
                <w:highlight w:val="none"/>
              </w:rPr>
            </w:pPr>
            <w:r>
              <w:rPr>
                <w:rFonts w:hint="eastAsia" w:ascii="宋体" w:hAnsi="宋体" w:eastAsia="宋体" w:cs="宋体"/>
                <w:sz w:val="20"/>
                <w:highlight w:val="none"/>
              </w:rPr>
              <w:t>邮政编码</w:t>
            </w:r>
          </w:p>
        </w:tc>
        <w:tc>
          <w:tcPr>
            <w:tcW w:w="2953" w:type="dxa"/>
            <w:gridSpan w:val="3"/>
          </w:tcPr>
          <w:p w14:paraId="3F757B4D">
            <w:pPr>
              <w:pStyle w:val="30"/>
              <w:rPr>
                <w:rFonts w:hint="eastAsia" w:ascii="宋体" w:hAnsi="宋体" w:eastAsia="宋体" w:cs="宋体"/>
                <w:sz w:val="20"/>
                <w:highlight w:val="none"/>
              </w:rPr>
            </w:pPr>
          </w:p>
        </w:tc>
      </w:tr>
      <w:tr w14:paraId="4BB35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75" w:type="dxa"/>
            <w:vMerge w:val="restart"/>
          </w:tcPr>
          <w:p w14:paraId="6D52C3AB">
            <w:pPr>
              <w:pStyle w:val="30"/>
              <w:spacing w:before="6"/>
              <w:rPr>
                <w:rFonts w:hint="eastAsia" w:ascii="宋体" w:hAnsi="宋体" w:eastAsia="宋体" w:cs="宋体"/>
                <w:sz w:val="29"/>
                <w:highlight w:val="none"/>
              </w:rPr>
            </w:pPr>
          </w:p>
          <w:p w14:paraId="151BCD50">
            <w:pPr>
              <w:pStyle w:val="30"/>
              <w:ind w:left="551"/>
              <w:rPr>
                <w:rFonts w:hint="eastAsia" w:ascii="宋体" w:hAnsi="宋体" w:eastAsia="宋体" w:cs="宋体"/>
                <w:sz w:val="20"/>
                <w:highlight w:val="none"/>
              </w:rPr>
            </w:pPr>
            <w:r>
              <w:rPr>
                <w:rFonts w:hint="eastAsia" w:ascii="宋体" w:hAnsi="宋体" w:eastAsia="宋体" w:cs="宋体"/>
                <w:sz w:val="20"/>
                <w:highlight w:val="none"/>
              </w:rPr>
              <w:t>联系方式</w:t>
            </w:r>
          </w:p>
        </w:tc>
        <w:tc>
          <w:tcPr>
            <w:tcW w:w="900" w:type="dxa"/>
          </w:tcPr>
          <w:p w14:paraId="250C2FCE">
            <w:pPr>
              <w:pStyle w:val="30"/>
              <w:spacing w:before="152"/>
              <w:ind w:left="8"/>
              <w:jc w:val="center"/>
              <w:rPr>
                <w:rFonts w:hint="eastAsia" w:ascii="宋体" w:hAnsi="宋体" w:eastAsia="宋体" w:cs="宋体"/>
                <w:sz w:val="20"/>
                <w:highlight w:val="none"/>
              </w:rPr>
            </w:pPr>
            <w:r>
              <w:rPr>
                <w:rFonts w:hint="eastAsia" w:ascii="宋体" w:hAnsi="宋体" w:eastAsia="宋体" w:cs="宋体"/>
                <w:sz w:val="20"/>
                <w:highlight w:val="none"/>
              </w:rPr>
              <w:t>联系人</w:t>
            </w:r>
          </w:p>
        </w:tc>
        <w:tc>
          <w:tcPr>
            <w:tcW w:w="2340" w:type="dxa"/>
            <w:gridSpan w:val="3"/>
          </w:tcPr>
          <w:p w14:paraId="26F6ECA9">
            <w:pPr>
              <w:pStyle w:val="30"/>
              <w:rPr>
                <w:rFonts w:hint="eastAsia" w:ascii="宋体" w:hAnsi="宋体" w:eastAsia="宋体" w:cs="宋体"/>
                <w:sz w:val="20"/>
                <w:highlight w:val="none"/>
              </w:rPr>
            </w:pPr>
          </w:p>
        </w:tc>
        <w:tc>
          <w:tcPr>
            <w:tcW w:w="1078" w:type="dxa"/>
          </w:tcPr>
          <w:p w14:paraId="0B9E83C7">
            <w:pPr>
              <w:pStyle w:val="30"/>
              <w:spacing w:before="152"/>
              <w:ind w:left="116" w:right="109"/>
              <w:jc w:val="center"/>
              <w:rPr>
                <w:rFonts w:hint="eastAsia" w:ascii="宋体" w:hAnsi="宋体" w:eastAsia="宋体" w:cs="宋体"/>
                <w:sz w:val="20"/>
                <w:highlight w:val="none"/>
              </w:rPr>
            </w:pPr>
            <w:r>
              <w:rPr>
                <w:rFonts w:hint="eastAsia" w:ascii="宋体" w:hAnsi="宋体" w:eastAsia="宋体" w:cs="宋体"/>
                <w:sz w:val="20"/>
                <w:highlight w:val="none"/>
              </w:rPr>
              <w:t>电 话</w:t>
            </w:r>
          </w:p>
        </w:tc>
        <w:tc>
          <w:tcPr>
            <w:tcW w:w="2953" w:type="dxa"/>
            <w:gridSpan w:val="3"/>
          </w:tcPr>
          <w:p w14:paraId="169D41EE">
            <w:pPr>
              <w:pStyle w:val="30"/>
              <w:rPr>
                <w:rFonts w:hint="eastAsia" w:ascii="宋体" w:hAnsi="宋体" w:eastAsia="宋体" w:cs="宋体"/>
                <w:sz w:val="20"/>
                <w:highlight w:val="none"/>
              </w:rPr>
            </w:pPr>
          </w:p>
        </w:tc>
      </w:tr>
      <w:tr w14:paraId="23F70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75" w:type="dxa"/>
            <w:vMerge w:val="continue"/>
            <w:tcBorders>
              <w:top w:val="nil"/>
            </w:tcBorders>
          </w:tcPr>
          <w:p w14:paraId="57C0B774">
            <w:pPr>
              <w:rPr>
                <w:rFonts w:hint="eastAsia" w:ascii="宋体" w:hAnsi="宋体" w:eastAsia="宋体" w:cs="宋体"/>
                <w:sz w:val="2"/>
                <w:szCs w:val="2"/>
                <w:highlight w:val="none"/>
              </w:rPr>
            </w:pPr>
          </w:p>
        </w:tc>
        <w:tc>
          <w:tcPr>
            <w:tcW w:w="900" w:type="dxa"/>
          </w:tcPr>
          <w:p w14:paraId="02B62136">
            <w:pPr>
              <w:pStyle w:val="30"/>
              <w:tabs>
                <w:tab w:val="left" w:pos="408"/>
              </w:tabs>
              <w:spacing w:before="153"/>
              <w:ind w:left="8"/>
              <w:jc w:val="center"/>
              <w:rPr>
                <w:rFonts w:hint="eastAsia" w:ascii="宋体" w:hAnsi="宋体" w:eastAsia="宋体" w:cs="宋体"/>
                <w:sz w:val="20"/>
                <w:highlight w:val="none"/>
              </w:rPr>
            </w:pPr>
            <w:r>
              <w:rPr>
                <w:rFonts w:hint="eastAsia" w:ascii="宋体" w:hAnsi="宋体" w:eastAsia="宋体" w:cs="宋体"/>
                <w:sz w:val="20"/>
                <w:highlight w:val="none"/>
              </w:rPr>
              <w:t>传</w:t>
            </w:r>
            <w:r>
              <w:rPr>
                <w:rFonts w:hint="eastAsia" w:ascii="宋体" w:hAnsi="宋体" w:eastAsia="宋体" w:cs="宋体"/>
                <w:sz w:val="20"/>
                <w:highlight w:val="none"/>
              </w:rPr>
              <w:tab/>
            </w:r>
            <w:r>
              <w:rPr>
                <w:rFonts w:hint="eastAsia" w:ascii="宋体" w:hAnsi="宋体" w:eastAsia="宋体" w:cs="宋体"/>
                <w:sz w:val="20"/>
                <w:highlight w:val="none"/>
              </w:rPr>
              <w:t>真</w:t>
            </w:r>
          </w:p>
        </w:tc>
        <w:tc>
          <w:tcPr>
            <w:tcW w:w="2340" w:type="dxa"/>
            <w:gridSpan w:val="3"/>
          </w:tcPr>
          <w:p w14:paraId="0098798A">
            <w:pPr>
              <w:pStyle w:val="30"/>
              <w:rPr>
                <w:rFonts w:hint="eastAsia" w:ascii="宋体" w:hAnsi="宋体" w:eastAsia="宋体" w:cs="宋体"/>
                <w:sz w:val="20"/>
                <w:highlight w:val="none"/>
              </w:rPr>
            </w:pPr>
          </w:p>
        </w:tc>
        <w:tc>
          <w:tcPr>
            <w:tcW w:w="1078" w:type="dxa"/>
          </w:tcPr>
          <w:p w14:paraId="5A46D183">
            <w:pPr>
              <w:pStyle w:val="30"/>
              <w:spacing w:before="153"/>
              <w:ind w:left="119" w:right="109"/>
              <w:jc w:val="center"/>
              <w:rPr>
                <w:rFonts w:hint="eastAsia" w:ascii="宋体" w:hAnsi="宋体" w:eastAsia="宋体" w:cs="宋体"/>
                <w:sz w:val="20"/>
                <w:highlight w:val="none"/>
              </w:rPr>
            </w:pPr>
            <w:r>
              <w:rPr>
                <w:rFonts w:hint="eastAsia" w:ascii="宋体" w:hAnsi="宋体" w:eastAsia="宋体" w:cs="宋体"/>
                <w:sz w:val="20"/>
                <w:highlight w:val="none"/>
              </w:rPr>
              <w:t>电子邮件</w:t>
            </w:r>
          </w:p>
        </w:tc>
        <w:tc>
          <w:tcPr>
            <w:tcW w:w="2953" w:type="dxa"/>
            <w:gridSpan w:val="3"/>
          </w:tcPr>
          <w:p w14:paraId="1A6F6B0A">
            <w:pPr>
              <w:pStyle w:val="30"/>
              <w:rPr>
                <w:rFonts w:hint="eastAsia" w:ascii="宋体" w:hAnsi="宋体" w:eastAsia="宋体" w:cs="宋体"/>
                <w:sz w:val="20"/>
                <w:highlight w:val="none"/>
              </w:rPr>
            </w:pPr>
          </w:p>
        </w:tc>
      </w:tr>
      <w:tr w14:paraId="67970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75" w:type="dxa"/>
          </w:tcPr>
          <w:p w14:paraId="64C27C55">
            <w:pPr>
              <w:pStyle w:val="30"/>
              <w:spacing w:before="152"/>
              <w:ind w:left="130" w:right="125"/>
              <w:jc w:val="center"/>
              <w:rPr>
                <w:rFonts w:hint="eastAsia" w:ascii="宋体" w:hAnsi="宋体" w:eastAsia="宋体" w:cs="宋体"/>
                <w:sz w:val="20"/>
                <w:highlight w:val="none"/>
              </w:rPr>
            </w:pPr>
            <w:r>
              <w:rPr>
                <w:rFonts w:hint="eastAsia" w:ascii="宋体" w:hAnsi="宋体" w:eastAsia="宋体" w:cs="宋体"/>
                <w:sz w:val="20"/>
                <w:highlight w:val="none"/>
              </w:rPr>
              <w:t>法定代表人</w:t>
            </w:r>
          </w:p>
        </w:tc>
        <w:tc>
          <w:tcPr>
            <w:tcW w:w="900" w:type="dxa"/>
          </w:tcPr>
          <w:p w14:paraId="3A4159FD">
            <w:pPr>
              <w:pStyle w:val="30"/>
              <w:spacing w:before="152"/>
              <w:ind w:left="8"/>
              <w:jc w:val="center"/>
              <w:rPr>
                <w:rFonts w:hint="eastAsia" w:ascii="宋体" w:hAnsi="宋体" w:eastAsia="宋体" w:cs="宋体"/>
                <w:sz w:val="20"/>
                <w:highlight w:val="none"/>
              </w:rPr>
            </w:pPr>
            <w:r>
              <w:rPr>
                <w:rFonts w:hint="eastAsia" w:ascii="宋体" w:hAnsi="宋体" w:eastAsia="宋体" w:cs="宋体"/>
                <w:sz w:val="20"/>
                <w:highlight w:val="none"/>
              </w:rPr>
              <w:t>姓名</w:t>
            </w:r>
          </w:p>
        </w:tc>
        <w:tc>
          <w:tcPr>
            <w:tcW w:w="1080" w:type="dxa"/>
          </w:tcPr>
          <w:p w14:paraId="06514F05">
            <w:pPr>
              <w:pStyle w:val="30"/>
              <w:rPr>
                <w:rFonts w:hint="eastAsia" w:ascii="宋体" w:hAnsi="宋体" w:eastAsia="宋体" w:cs="宋体"/>
                <w:sz w:val="20"/>
                <w:highlight w:val="none"/>
              </w:rPr>
            </w:pPr>
          </w:p>
        </w:tc>
        <w:tc>
          <w:tcPr>
            <w:tcW w:w="1260" w:type="dxa"/>
            <w:gridSpan w:val="2"/>
          </w:tcPr>
          <w:p w14:paraId="199FEC35">
            <w:pPr>
              <w:pStyle w:val="30"/>
              <w:spacing w:before="152"/>
              <w:ind w:left="230"/>
              <w:rPr>
                <w:rFonts w:hint="eastAsia" w:ascii="宋体" w:hAnsi="宋体" w:eastAsia="宋体" w:cs="宋体"/>
                <w:sz w:val="20"/>
                <w:highlight w:val="none"/>
              </w:rPr>
            </w:pPr>
            <w:r>
              <w:rPr>
                <w:rFonts w:hint="eastAsia" w:ascii="宋体" w:hAnsi="宋体" w:eastAsia="宋体" w:cs="宋体"/>
                <w:sz w:val="20"/>
                <w:highlight w:val="none"/>
              </w:rPr>
              <w:t>技术职称</w:t>
            </w:r>
          </w:p>
        </w:tc>
        <w:tc>
          <w:tcPr>
            <w:tcW w:w="1078" w:type="dxa"/>
          </w:tcPr>
          <w:p w14:paraId="5822B5EB">
            <w:pPr>
              <w:pStyle w:val="30"/>
              <w:rPr>
                <w:rFonts w:hint="eastAsia" w:ascii="宋体" w:hAnsi="宋体" w:eastAsia="宋体" w:cs="宋体"/>
                <w:sz w:val="20"/>
                <w:highlight w:val="none"/>
              </w:rPr>
            </w:pPr>
          </w:p>
        </w:tc>
        <w:tc>
          <w:tcPr>
            <w:tcW w:w="1083" w:type="dxa"/>
            <w:gridSpan w:val="2"/>
          </w:tcPr>
          <w:p w14:paraId="0CEF8EF8">
            <w:pPr>
              <w:pStyle w:val="30"/>
              <w:spacing w:before="152"/>
              <w:ind w:left="340"/>
              <w:rPr>
                <w:rFonts w:hint="eastAsia" w:ascii="宋体" w:hAnsi="宋体" w:eastAsia="宋体" w:cs="宋体"/>
                <w:sz w:val="20"/>
                <w:highlight w:val="none"/>
              </w:rPr>
            </w:pPr>
            <w:r>
              <w:rPr>
                <w:rFonts w:hint="eastAsia" w:ascii="宋体" w:hAnsi="宋体" w:eastAsia="宋体" w:cs="宋体"/>
                <w:sz w:val="20"/>
                <w:highlight w:val="none"/>
              </w:rPr>
              <w:t>电话</w:t>
            </w:r>
          </w:p>
        </w:tc>
        <w:tc>
          <w:tcPr>
            <w:tcW w:w="1870" w:type="dxa"/>
          </w:tcPr>
          <w:p w14:paraId="307DEDFA">
            <w:pPr>
              <w:pStyle w:val="30"/>
              <w:rPr>
                <w:rFonts w:hint="eastAsia" w:ascii="宋体" w:hAnsi="宋体" w:eastAsia="宋体" w:cs="宋体"/>
                <w:sz w:val="20"/>
                <w:highlight w:val="none"/>
              </w:rPr>
            </w:pPr>
          </w:p>
        </w:tc>
      </w:tr>
      <w:tr w14:paraId="03599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75" w:type="dxa"/>
          </w:tcPr>
          <w:p w14:paraId="0582CF98">
            <w:pPr>
              <w:pStyle w:val="30"/>
              <w:spacing w:before="153"/>
              <w:ind w:left="130" w:right="125"/>
              <w:jc w:val="center"/>
              <w:rPr>
                <w:rFonts w:hint="eastAsia" w:ascii="宋体" w:hAnsi="宋体" w:eastAsia="宋体" w:cs="宋体"/>
                <w:sz w:val="20"/>
                <w:highlight w:val="none"/>
              </w:rPr>
            </w:pPr>
            <w:r>
              <w:rPr>
                <w:rFonts w:hint="eastAsia" w:ascii="宋体" w:hAnsi="宋体" w:eastAsia="宋体" w:cs="宋体"/>
                <w:sz w:val="20"/>
                <w:highlight w:val="none"/>
              </w:rPr>
              <w:t>技术负责人</w:t>
            </w:r>
          </w:p>
        </w:tc>
        <w:tc>
          <w:tcPr>
            <w:tcW w:w="900" w:type="dxa"/>
          </w:tcPr>
          <w:p w14:paraId="1B4FD671">
            <w:pPr>
              <w:pStyle w:val="30"/>
              <w:spacing w:before="153"/>
              <w:ind w:left="8"/>
              <w:jc w:val="center"/>
              <w:rPr>
                <w:rFonts w:hint="eastAsia" w:ascii="宋体" w:hAnsi="宋体" w:eastAsia="宋体" w:cs="宋体"/>
                <w:sz w:val="20"/>
                <w:highlight w:val="none"/>
              </w:rPr>
            </w:pPr>
            <w:r>
              <w:rPr>
                <w:rFonts w:hint="eastAsia" w:ascii="宋体" w:hAnsi="宋体" w:eastAsia="宋体" w:cs="宋体"/>
                <w:sz w:val="20"/>
                <w:highlight w:val="none"/>
              </w:rPr>
              <w:t>姓名</w:t>
            </w:r>
          </w:p>
        </w:tc>
        <w:tc>
          <w:tcPr>
            <w:tcW w:w="1080" w:type="dxa"/>
          </w:tcPr>
          <w:p w14:paraId="1FC82CCB">
            <w:pPr>
              <w:pStyle w:val="30"/>
              <w:rPr>
                <w:rFonts w:hint="eastAsia" w:ascii="宋体" w:hAnsi="宋体" w:eastAsia="宋体" w:cs="宋体"/>
                <w:sz w:val="20"/>
                <w:highlight w:val="none"/>
              </w:rPr>
            </w:pPr>
          </w:p>
        </w:tc>
        <w:tc>
          <w:tcPr>
            <w:tcW w:w="1260" w:type="dxa"/>
            <w:gridSpan w:val="2"/>
          </w:tcPr>
          <w:p w14:paraId="4BCD9930">
            <w:pPr>
              <w:pStyle w:val="30"/>
              <w:spacing w:before="153"/>
              <w:ind w:left="230"/>
              <w:rPr>
                <w:rFonts w:hint="eastAsia" w:ascii="宋体" w:hAnsi="宋体" w:eastAsia="宋体" w:cs="宋体"/>
                <w:sz w:val="20"/>
                <w:highlight w:val="none"/>
              </w:rPr>
            </w:pPr>
            <w:r>
              <w:rPr>
                <w:rFonts w:hint="eastAsia" w:ascii="宋体" w:hAnsi="宋体" w:eastAsia="宋体" w:cs="宋体"/>
                <w:sz w:val="20"/>
                <w:highlight w:val="none"/>
              </w:rPr>
              <w:t>技术职称</w:t>
            </w:r>
          </w:p>
        </w:tc>
        <w:tc>
          <w:tcPr>
            <w:tcW w:w="1078" w:type="dxa"/>
          </w:tcPr>
          <w:p w14:paraId="5763AAB4">
            <w:pPr>
              <w:pStyle w:val="30"/>
              <w:rPr>
                <w:rFonts w:hint="eastAsia" w:ascii="宋体" w:hAnsi="宋体" w:eastAsia="宋体" w:cs="宋体"/>
                <w:sz w:val="20"/>
                <w:highlight w:val="none"/>
              </w:rPr>
            </w:pPr>
          </w:p>
        </w:tc>
        <w:tc>
          <w:tcPr>
            <w:tcW w:w="1083" w:type="dxa"/>
            <w:gridSpan w:val="2"/>
          </w:tcPr>
          <w:p w14:paraId="0994B46F">
            <w:pPr>
              <w:pStyle w:val="30"/>
              <w:spacing w:before="153"/>
              <w:ind w:left="340"/>
              <w:rPr>
                <w:rFonts w:hint="eastAsia" w:ascii="宋体" w:hAnsi="宋体" w:eastAsia="宋体" w:cs="宋体"/>
                <w:sz w:val="20"/>
                <w:highlight w:val="none"/>
              </w:rPr>
            </w:pPr>
            <w:r>
              <w:rPr>
                <w:rFonts w:hint="eastAsia" w:ascii="宋体" w:hAnsi="宋体" w:eastAsia="宋体" w:cs="宋体"/>
                <w:sz w:val="20"/>
                <w:highlight w:val="none"/>
              </w:rPr>
              <w:t>电话</w:t>
            </w:r>
          </w:p>
        </w:tc>
        <w:tc>
          <w:tcPr>
            <w:tcW w:w="1870" w:type="dxa"/>
          </w:tcPr>
          <w:p w14:paraId="7F1E152C">
            <w:pPr>
              <w:pStyle w:val="30"/>
              <w:rPr>
                <w:rFonts w:hint="eastAsia" w:ascii="宋体" w:hAnsi="宋体" w:eastAsia="宋体" w:cs="宋体"/>
                <w:sz w:val="20"/>
                <w:highlight w:val="none"/>
              </w:rPr>
            </w:pPr>
          </w:p>
        </w:tc>
      </w:tr>
      <w:tr w14:paraId="08197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75" w:type="dxa"/>
          </w:tcPr>
          <w:p w14:paraId="1447CBCA">
            <w:pPr>
              <w:pStyle w:val="30"/>
              <w:spacing w:before="152"/>
              <w:ind w:left="130" w:right="125"/>
              <w:jc w:val="center"/>
              <w:rPr>
                <w:rFonts w:hint="eastAsia" w:ascii="宋体" w:hAnsi="宋体" w:eastAsia="宋体" w:cs="宋体"/>
                <w:sz w:val="20"/>
                <w:highlight w:val="none"/>
              </w:rPr>
            </w:pPr>
            <w:r>
              <w:rPr>
                <w:rFonts w:hint="eastAsia" w:ascii="宋体" w:hAnsi="宋体" w:eastAsia="宋体" w:cs="宋体"/>
                <w:sz w:val="20"/>
                <w:highlight w:val="none"/>
              </w:rPr>
              <w:t>营业执照号</w:t>
            </w:r>
          </w:p>
        </w:tc>
        <w:tc>
          <w:tcPr>
            <w:tcW w:w="1980" w:type="dxa"/>
            <w:gridSpan w:val="2"/>
          </w:tcPr>
          <w:p w14:paraId="6BBE2A81">
            <w:pPr>
              <w:pStyle w:val="30"/>
              <w:rPr>
                <w:rFonts w:hint="eastAsia" w:ascii="宋体" w:hAnsi="宋体" w:eastAsia="宋体" w:cs="宋体"/>
                <w:sz w:val="20"/>
                <w:highlight w:val="none"/>
              </w:rPr>
            </w:pPr>
          </w:p>
        </w:tc>
        <w:tc>
          <w:tcPr>
            <w:tcW w:w="5291" w:type="dxa"/>
            <w:gridSpan w:val="6"/>
          </w:tcPr>
          <w:p w14:paraId="50DDBD4A">
            <w:pPr>
              <w:pStyle w:val="30"/>
              <w:spacing w:before="152"/>
              <w:ind w:left="1950" w:right="1839"/>
              <w:jc w:val="center"/>
              <w:rPr>
                <w:rFonts w:hint="eastAsia" w:ascii="宋体" w:hAnsi="宋体" w:eastAsia="宋体" w:cs="宋体"/>
                <w:sz w:val="20"/>
                <w:highlight w:val="none"/>
              </w:rPr>
            </w:pPr>
            <w:r>
              <w:rPr>
                <w:rFonts w:hint="eastAsia" w:ascii="宋体" w:hAnsi="宋体" w:eastAsia="宋体" w:cs="宋体"/>
                <w:sz w:val="20"/>
                <w:highlight w:val="none"/>
              </w:rPr>
              <w:t>员工总人数：</w:t>
            </w:r>
          </w:p>
        </w:tc>
      </w:tr>
      <w:tr w14:paraId="0C6DC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75" w:type="dxa"/>
          </w:tcPr>
          <w:p w14:paraId="79DF5A4A">
            <w:pPr>
              <w:pStyle w:val="30"/>
              <w:spacing w:before="153"/>
              <w:ind w:left="130" w:right="121"/>
              <w:jc w:val="center"/>
              <w:rPr>
                <w:rFonts w:hint="eastAsia" w:ascii="宋体" w:hAnsi="宋体" w:eastAsia="宋体" w:cs="宋体"/>
                <w:sz w:val="20"/>
                <w:highlight w:val="none"/>
              </w:rPr>
            </w:pPr>
            <w:r>
              <w:rPr>
                <w:rFonts w:hint="eastAsia" w:ascii="宋体" w:hAnsi="宋体" w:eastAsia="宋体" w:cs="宋体"/>
                <w:sz w:val="20"/>
                <w:highlight w:val="none"/>
              </w:rPr>
              <w:t>企业资质等级</w:t>
            </w:r>
          </w:p>
        </w:tc>
        <w:tc>
          <w:tcPr>
            <w:tcW w:w="1980" w:type="dxa"/>
            <w:gridSpan w:val="2"/>
          </w:tcPr>
          <w:p w14:paraId="6427E28B">
            <w:pPr>
              <w:pStyle w:val="30"/>
              <w:rPr>
                <w:rFonts w:hint="eastAsia" w:ascii="宋体" w:hAnsi="宋体" w:eastAsia="宋体" w:cs="宋体"/>
                <w:sz w:val="20"/>
                <w:highlight w:val="none"/>
              </w:rPr>
            </w:pPr>
          </w:p>
        </w:tc>
        <w:tc>
          <w:tcPr>
            <w:tcW w:w="529" w:type="dxa"/>
            <w:vMerge w:val="restart"/>
          </w:tcPr>
          <w:p w14:paraId="70D1CE93">
            <w:pPr>
              <w:pStyle w:val="30"/>
              <w:rPr>
                <w:rFonts w:hint="eastAsia" w:ascii="宋体" w:hAnsi="宋体" w:eastAsia="宋体" w:cs="宋体"/>
                <w:sz w:val="20"/>
                <w:highlight w:val="none"/>
              </w:rPr>
            </w:pPr>
          </w:p>
          <w:p w14:paraId="1DD9F7E5">
            <w:pPr>
              <w:pStyle w:val="30"/>
              <w:rPr>
                <w:rFonts w:hint="eastAsia" w:ascii="宋体" w:hAnsi="宋体" w:eastAsia="宋体" w:cs="宋体"/>
                <w:sz w:val="20"/>
                <w:highlight w:val="none"/>
              </w:rPr>
            </w:pPr>
          </w:p>
          <w:p w14:paraId="6A3053DD">
            <w:pPr>
              <w:pStyle w:val="30"/>
              <w:spacing w:before="12"/>
              <w:rPr>
                <w:rFonts w:hint="eastAsia" w:ascii="宋体" w:hAnsi="宋体" w:eastAsia="宋体" w:cs="宋体"/>
                <w:sz w:val="24"/>
                <w:highlight w:val="none"/>
              </w:rPr>
            </w:pPr>
          </w:p>
          <w:p w14:paraId="2743F6CE">
            <w:pPr>
              <w:pStyle w:val="30"/>
              <w:spacing w:before="1" w:line="410" w:lineRule="auto"/>
              <w:ind w:left="108" w:right="209"/>
              <w:rPr>
                <w:rFonts w:hint="eastAsia" w:ascii="宋体" w:hAnsi="宋体" w:eastAsia="宋体" w:cs="宋体"/>
                <w:sz w:val="20"/>
                <w:highlight w:val="none"/>
              </w:rPr>
            </w:pPr>
            <w:r>
              <w:rPr>
                <w:rFonts w:hint="eastAsia" w:ascii="宋体" w:hAnsi="宋体" w:eastAsia="宋体" w:cs="宋体"/>
                <w:sz w:val="20"/>
                <w:highlight w:val="none"/>
              </w:rPr>
              <w:t>其中</w:t>
            </w:r>
          </w:p>
        </w:tc>
        <w:tc>
          <w:tcPr>
            <w:tcW w:w="1991" w:type="dxa"/>
            <w:gridSpan w:val="3"/>
          </w:tcPr>
          <w:p w14:paraId="40AF7F54">
            <w:pPr>
              <w:pStyle w:val="30"/>
              <w:spacing w:before="153"/>
              <w:ind w:left="594"/>
              <w:rPr>
                <w:rFonts w:hint="eastAsia" w:ascii="宋体" w:hAnsi="宋体" w:eastAsia="宋体" w:cs="宋体"/>
                <w:sz w:val="20"/>
                <w:highlight w:val="none"/>
              </w:rPr>
            </w:pPr>
            <w:r>
              <w:rPr>
                <w:rFonts w:hint="eastAsia" w:ascii="宋体" w:hAnsi="宋体" w:eastAsia="宋体" w:cs="宋体"/>
                <w:sz w:val="20"/>
                <w:highlight w:val="none"/>
              </w:rPr>
              <w:t>项目经理</w:t>
            </w:r>
          </w:p>
        </w:tc>
        <w:tc>
          <w:tcPr>
            <w:tcW w:w="2771" w:type="dxa"/>
            <w:gridSpan w:val="2"/>
          </w:tcPr>
          <w:p w14:paraId="229C167E">
            <w:pPr>
              <w:pStyle w:val="30"/>
              <w:rPr>
                <w:rFonts w:hint="eastAsia" w:ascii="宋体" w:hAnsi="宋体" w:eastAsia="宋体" w:cs="宋体"/>
                <w:sz w:val="20"/>
                <w:highlight w:val="none"/>
              </w:rPr>
            </w:pPr>
          </w:p>
        </w:tc>
      </w:tr>
      <w:tr w14:paraId="6EED1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75" w:type="dxa"/>
          </w:tcPr>
          <w:p w14:paraId="0C0E5258">
            <w:pPr>
              <w:pStyle w:val="30"/>
              <w:spacing w:before="152"/>
              <w:ind w:left="130" w:right="123"/>
              <w:jc w:val="center"/>
              <w:rPr>
                <w:rFonts w:hint="eastAsia" w:ascii="宋体" w:hAnsi="宋体" w:eastAsia="宋体" w:cs="宋体"/>
                <w:sz w:val="20"/>
                <w:highlight w:val="none"/>
              </w:rPr>
            </w:pPr>
            <w:r>
              <w:rPr>
                <w:rFonts w:hint="eastAsia" w:ascii="宋体" w:hAnsi="宋体" w:eastAsia="宋体" w:cs="宋体"/>
                <w:sz w:val="20"/>
                <w:highlight w:val="none"/>
              </w:rPr>
              <w:t>注册资本</w:t>
            </w:r>
          </w:p>
        </w:tc>
        <w:tc>
          <w:tcPr>
            <w:tcW w:w="1980" w:type="dxa"/>
            <w:gridSpan w:val="2"/>
          </w:tcPr>
          <w:p w14:paraId="325E1994">
            <w:pPr>
              <w:pStyle w:val="30"/>
              <w:rPr>
                <w:rFonts w:hint="eastAsia" w:ascii="宋体" w:hAnsi="宋体" w:eastAsia="宋体" w:cs="宋体"/>
                <w:sz w:val="20"/>
                <w:highlight w:val="none"/>
              </w:rPr>
            </w:pPr>
          </w:p>
        </w:tc>
        <w:tc>
          <w:tcPr>
            <w:tcW w:w="529" w:type="dxa"/>
            <w:vMerge w:val="continue"/>
            <w:tcBorders>
              <w:top w:val="nil"/>
            </w:tcBorders>
          </w:tcPr>
          <w:p w14:paraId="5BA90BD7">
            <w:pPr>
              <w:rPr>
                <w:rFonts w:hint="eastAsia" w:ascii="宋体" w:hAnsi="宋体" w:eastAsia="宋体" w:cs="宋体"/>
                <w:sz w:val="2"/>
                <w:szCs w:val="2"/>
                <w:highlight w:val="none"/>
              </w:rPr>
            </w:pPr>
          </w:p>
        </w:tc>
        <w:tc>
          <w:tcPr>
            <w:tcW w:w="1991" w:type="dxa"/>
            <w:gridSpan w:val="3"/>
          </w:tcPr>
          <w:p w14:paraId="4ADB8657">
            <w:pPr>
              <w:pStyle w:val="30"/>
              <w:spacing w:before="152"/>
              <w:ind w:left="395"/>
              <w:rPr>
                <w:rFonts w:hint="eastAsia" w:ascii="宋体" w:hAnsi="宋体" w:eastAsia="宋体" w:cs="宋体"/>
                <w:sz w:val="20"/>
                <w:highlight w:val="none"/>
              </w:rPr>
            </w:pPr>
            <w:r>
              <w:rPr>
                <w:rFonts w:hint="eastAsia" w:ascii="宋体" w:hAnsi="宋体" w:eastAsia="宋体" w:cs="宋体"/>
                <w:sz w:val="20"/>
                <w:highlight w:val="none"/>
              </w:rPr>
              <w:t>高级职称人员</w:t>
            </w:r>
          </w:p>
        </w:tc>
        <w:tc>
          <w:tcPr>
            <w:tcW w:w="2771" w:type="dxa"/>
            <w:gridSpan w:val="2"/>
          </w:tcPr>
          <w:p w14:paraId="0D3AED59">
            <w:pPr>
              <w:pStyle w:val="30"/>
              <w:rPr>
                <w:rFonts w:hint="eastAsia" w:ascii="宋体" w:hAnsi="宋体" w:eastAsia="宋体" w:cs="宋体"/>
                <w:sz w:val="20"/>
                <w:highlight w:val="none"/>
              </w:rPr>
            </w:pPr>
          </w:p>
        </w:tc>
      </w:tr>
      <w:tr w14:paraId="2E27C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75" w:type="dxa"/>
          </w:tcPr>
          <w:p w14:paraId="06F1311E">
            <w:pPr>
              <w:pStyle w:val="30"/>
              <w:spacing w:before="153"/>
              <w:ind w:left="130" w:right="123"/>
              <w:jc w:val="center"/>
              <w:rPr>
                <w:rFonts w:hint="eastAsia" w:ascii="宋体" w:hAnsi="宋体" w:eastAsia="宋体" w:cs="宋体"/>
                <w:sz w:val="20"/>
                <w:highlight w:val="none"/>
              </w:rPr>
            </w:pPr>
            <w:r>
              <w:rPr>
                <w:rFonts w:hint="eastAsia" w:ascii="宋体" w:hAnsi="宋体" w:eastAsia="宋体" w:cs="宋体"/>
                <w:sz w:val="20"/>
                <w:highlight w:val="none"/>
              </w:rPr>
              <w:t>成立日期</w:t>
            </w:r>
          </w:p>
        </w:tc>
        <w:tc>
          <w:tcPr>
            <w:tcW w:w="1980" w:type="dxa"/>
            <w:gridSpan w:val="2"/>
          </w:tcPr>
          <w:p w14:paraId="51328B74">
            <w:pPr>
              <w:pStyle w:val="30"/>
              <w:rPr>
                <w:rFonts w:hint="eastAsia" w:ascii="宋体" w:hAnsi="宋体" w:eastAsia="宋体" w:cs="宋体"/>
                <w:sz w:val="20"/>
                <w:highlight w:val="none"/>
              </w:rPr>
            </w:pPr>
          </w:p>
        </w:tc>
        <w:tc>
          <w:tcPr>
            <w:tcW w:w="529" w:type="dxa"/>
            <w:vMerge w:val="continue"/>
            <w:tcBorders>
              <w:top w:val="nil"/>
            </w:tcBorders>
          </w:tcPr>
          <w:p w14:paraId="37312724">
            <w:pPr>
              <w:rPr>
                <w:rFonts w:hint="eastAsia" w:ascii="宋体" w:hAnsi="宋体" w:eastAsia="宋体" w:cs="宋体"/>
                <w:sz w:val="2"/>
                <w:szCs w:val="2"/>
                <w:highlight w:val="none"/>
              </w:rPr>
            </w:pPr>
          </w:p>
        </w:tc>
        <w:tc>
          <w:tcPr>
            <w:tcW w:w="1991" w:type="dxa"/>
            <w:gridSpan w:val="3"/>
          </w:tcPr>
          <w:p w14:paraId="48B1F0A3">
            <w:pPr>
              <w:pStyle w:val="30"/>
              <w:spacing w:before="153"/>
              <w:ind w:left="395"/>
              <w:rPr>
                <w:rFonts w:hint="eastAsia" w:ascii="宋体" w:hAnsi="宋体" w:eastAsia="宋体" w:cs="宋体"/>
                <w:sz w:val="20"/>
                <w:highlight w:val="none"/>
              </w:rPr>
            </w:pPr>
            <w:r>
              <w:rPr>
                <w:rFonts w:hint="eastAsia" w:ascii="宋体" w:hAnsi="宋体" w:eastAsia="宋体" w:cs="宋体"/>
                <w:sz w:val="20"/>
                <w:highlight w:val="none"/>
              </w:rPr>
              <w:t>中级职称人员</w:t>
            </w:r>
          </w:p>
        </w:tc>
        <w:tc>
          <w:tcPr>
            <w:tcW w:w="2771" w:type="dxa"/>
            <w:gridSpan w:val="2"/>
          </w:tcPr>
          <w:p w14:paraId="3A5E6A05">
            <w:pPr>
              <w:pStyle w:val="30"/>
              <w:rPr>
                <w:rFonts w:hint="eastAsia" w:ascii="宋体" w:hAnsi="宋体" w:eastAsia="宋体" w:cs="宋体"/>
                <w:sz w:val="20"/>
                <w:highlight w:val="none"/>
              </w:rPr>
            </w:pPr>
          </w:p>
        </w:tc>
      </w:tr>
      <w:tr w14:paraId="6C559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75" w:type="dxa"/>
          </w:tcPr>
          <w:p w14:paraId="5479B3AA">
            <w:pPr>
              <w:pStyle w:val="30"/>
              <w:spacing w:before="152"/>
              <w:ind w:left="130" w:right="125"/>
              <w:jc w:val="center"/>
              <w:rPr>
                <w:rFonts w:hint="eastAsia" w:ascii="宋体" w:hAnsi="宋体" w:eastAsia="宋体" w:cs="宋体"/>
                <w:sz w:val="20"/>
                <w:highlight w:val="none"/>
              </w:rPr>
            </w:pPr>
            <w:r>
              <w:rPr>
                <w:rFonts w:hint="eastAsia" w:ascii="宋体" w:hAnsi="宋体" w:eastAsia="宋体" w:cs="宋体"/>
                <w:sz w:val="20"/>
                <w:highlight w:val="none"/>
              </w:rPr>
              <w:t>基本账户开户银行</w:t>
            </w:r>
          </w:p>
        </w:tc>
        <w:tc>
          <w:tcPr>
            <w:tcW w:w="1980" w:type="dxa"/>
            <w:gridSpan w:val="2"/>
          </w:tcPr>
          <w:p w14:paraId="25828F3E">
            <w:pPr>
              <w:pStyle w:val="30"/>
              <w:rPr>
                <w:rFonts w:hint="eastAsia" w:ascii="宋体" w:hAnsi="宋体" w:eastAsia="宋体" w:cs="宋体"/>
                <w:sz w:val="20"/>
                <w:highlight w:val="none"/>
              </w:rPr>
            </w:pPr>
          </w:p>
        </w:tc>
        <w:tc>
          <w:tcPr>
            <w:tcW w:w="529" w:type="dxa"/>
            <w:vMerge w:val="continue"/>
            <w:tcBorders>
              <w:top w:val="nil"/>
            </w:tcBorders>
          </w:tcPr>
          <w:p w14:paraId="2CACF5EC">
            <w:pPr>
              <w:rPr>
                <w:rFonts w:hint="eastAsia" w:ascii="宋体" w:hAnsi="宋体" w:eastAsia="宋体" w:cs="宋体"/>
                <w:sz w:val="2"/>
                <w:szCs w:val="2"/>
                <w:highlight w:val="none"/>
              </w:rPr>
            </w:pPr>
          </w:p>
        </w:tc>
        <w:tc>
          <w:tcPr>
            <w:tcW w:w="1991" w:type="dxa"/>
            <w:gridSpan w:val="3"/>
          </w:tcPr>
          <w:p w14:paraId="286A9BD0">
            <w:pPr>
              <w:pStyle w:val="30"/>
              <w:spacing w:before="152"/>
              <w:ind w:left="395"/>
              <w:rPr>
                <w:rFonts w:hint="eastAsia" w:ascii="宋体" w:hAnsi="宋体" w:eastAsia="宋体" w:cs="宋体"/>
                <w:sz w:val="20"/>
                <w:highlight w:val="none"/>
              </w:rPr>
            </w:pPr>
            <w:r>
              <w:rPr>
                <w:rFonts w:hint="eastAsia" w:ascii="宋体" w:hAnsi="宋体" w:eastAsia="宋体" w:cs="宋体"/>
                <w:sz w:val="20"/>
                <w:highlight w:val="none"/>
              </w:rPr>
              <w:t>初级职称人员</w:t>
            </w:r>
          </w:p>
        </w:tc>
        <w:tc>
          <w:tcPr>
            <w:tcW w:w="2771" w:type="dxa"/>
            <w:gridSpan w:val="2"/>
          </w:tcPr>
          <w:p w14:paraId="0FE0ADA9">
            <w:pPr>
              <w:pStyle w:val="30"/>
              <w:rPr>
                <w:rFonts w:hint="eastAsia" w:ascii="宋体" w:hAnsi="宋体" w:eastAsia="宋体" w:cs="宋体"/>
                <w:sz w:val="20"/>
                <w:highlight w:val="none"/>
              </w:rPr>
            </w:pPr>
          </w:p>
        </w:tc>
      </w:tr>
      <w:tr w14:paraId="24069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75" w:type="dxa"/>
          </w:tcPr>
          <w:p w14:paraId="3B9D1375">
            <w:pPr>
              <w:pStyle w:val="30"/>
              <w:spacing w:before="153"/>
              <w:ind w:left="130" w:right="125"/>
              <w:jc w:val="center"/>
              <w:rPr>
                <w:rFonts w:hint="eastAsia" w:ascii="宋体" w:hAnsi="宋体" w:eastAsia="宋体" w:cs="宋体"/>
                <w:sz w:val="20"/>
                <w:highlight w:val="none"/>
              </w:rPr>
            </w:pPr>
            <w:r>
              <w:rPr>
                <w:rFonts w:hint="eastAsia" w:ascii="宋体" w:hAnsi="宋体" w:eastAsia="宋体" w:cs="宋体"/>
                <w:sz w:val="20"/>
                <w:highlight w:val="none"/>
              </w:rPr>
              <w:t>基本账户银行账号</w:t>
            </w:r>
          </w:p>
        </w:tc>
        <w:tc>
          <w:tcPr>
            <w:tcW w:w="1980" w:type="dxa"/>
            <w:gridSpan w:val="2"/>
          </w:tcPr>
          <w:p w14:paraId="662FBBDC">
            <w:pPr>
              <w:pStyle w:val="30"/>
              <w:rPr>
                <w:rFonts w:hint="eastAsia" w:ascii="宋体" w:hAnsi="宋体" w:eastAsia="宋体" w:cs="宋体"/>
                <w:sz w:val="20"/>
                <w:highlight w:val="none"/>
              </w:rPr>
            </w:pPr>
          </w:p>
        </w:tc>
        <w:tc>
          <w:tcPr>
            <w:tcW w:w="529" w:type="dxa"/>
            <w:vMerge w:val="continue"/>
            <w:tcBorders>
              <w:top w:val="nil"/>
            </w:tcBorders>
          </w:tcPr>
          <w:p w14:paraId="35137218">
            <w:pPr>
              <w:rPr>
                <w:rFonts w:hint="eastAsia" w:ascii="宋体" w:hAnsi="宋体" w:eastAsia="宋体" w:cs="宋体"/>
                <w:sz w:val="2"/>
                <w:szCs w:val="2"/>
                <w:highlight w:val="none"/>
              </w:rPr>
            </w:pPr>
          </w:p>
        </w:tc>
        <w:tc>
          <w:tcPr>
            <w:tcW w:w="1991" w:type="dxa"/>
            <w:gridSpan w:val="3"/>
          </w:tcPr>
          <w:p w14:paraId="58ADB440">
            <w:pPr>
              <w:pStyle w:val="30"/>
              <w:spacing w:before="91"/>
              <w:ind w:left="772" w:right="768"/>
              <w:jc w:val="center"/>
              <w:rPr>
                <w:rFonts w:hint="eastAsia" w:ascii="宋体" w:hAnsi="宋体" w:eastAsia="宋体" w:cs="宋体"/>
                <w:sz w:val="20"/>
                <w:highlight w:val="none"/>
              </w:rPr>
            </w:pPr>
            <w:r>
              <w:rPr>
                <w:rFonts w:hint="eastAsia" w:ascii="宋体" w:hAnsi="宋体" w:eastAsia="宋体" w:cs="宋体"/>
                <w:sz w:val="20"/>
                <w:highlight w:val="none"/>
              </w:rPr>
              <w:t>技工</w:t>
            </w:r>
          </w:p>
        </w:tc>
        <w:tc>
          <w:tcPr>
            <w:tcW w:w="2771" w:type="dxa"/>
            <w:gridSpan w:val="2"/>
          </w:tcPr>
          <w:p w14:paraId="3E005A9C">
            <w:pPr>
              <w:pStyle w:val="30"/>
              <w:rPr>
                <w:rFonts w:hint="eastAsia" w:ascii="宋体" w:hAnsi="宋体" w:eastAsia="宋体" w:cs="宋体"/>
                <w:sz w:val="20"/>
                <w:highlight w:val="none"/>
              </w:rPr>
            </w:pPr>
          </w:p>
        </w:tc>
      </w:tr>
      <w:tr w14:paraId="7B6C9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trPr>
        <w:tc>
          <w:tcPr>
            <w:tcW w:w="2275" w:type="dxa"/>
          </w:tcPr>
          <w:p w14:paraId="5C6E4C39">
            <w:pPr>
              <w:pStyle w:val="30"/>
              <w:rPr>
                <w:rFonts w:hint="eastAsia" w:ascii="宋体" w:hAnsi="宋体" w:eastAsia="宋体" w:cs="宋体"/>
                <w:sz w:val="20"/>
                <w:highlight w:val="none"/>
              </w:rPr>
            </w:pPr>
          </w:p>
          <w:p w14:paraId="5C5D0506">
            <w:pPr>
              <w:pStyle w:val="30"/>
              <w:rPr>
                <w:rFonts w:hint="eastAsia" w:ascii="宋体" w:hAnsi="宋体" w:eastAsia="宋体" w:cs="宋体"/>
                <w:sz w:val="20"/>
                <w:highlight w:val="none"/>
              </w:rPr>
            </w:pPr>
          </w:p>
          <w:p w14:paraId="41752F04">
            <w:pPr>
              <w:pStyle w:val="30"/>
              <w:spacing w:before="5"/>
              <w:rPr>
                <w:rFonts w:hint="eastAsia" w:ascii="宋体" w:hAnsi="宋体" w:eastAsia="宋体" w:cs="宋体"/>
                <w:sz w:val="23"/>
                <w:highlight w:val="none"/>
              </w:rPr>
            </w:pPr>
          </w:p>
          <w:p w14:paraId="26C0EF98">
            <w:pPr>
              <w:pStyle w:val="30"/>
              <w:ind w:left="130" w:right="123"/>
              <w:jc w:val="center"/>
              <w:rPr>
                <w:rFonts w:hint="eastAsia" w:ascii="宋体" w:hAnsi="宋体" w:eastAsia="宋体" w:cs="宋体"/>
                <w:sz w:val="20"/>
                <w:highlight w:val="none"/>
              </w:rPr>
            </w:pPr>
            <w:r>
              <w:rPr>
                <w:rFonts w:hint="eastAsia" w:ascii="宋体" w:hAnsi="宋体" w:eastAsia="宋体" w:cs="宋体"/>
                <w:sz w:val="20"/>
                <w:highlight w:val="none"/>
              </w:rPr>
              <w:t>经营范围</w:t>
            </w:r>
          </w:p>
        </w:tc>
        <w:tc>
          <w:tcPr>
            <w:tcW w:w="7271" w:type="dxa"/>
            <w:gridSpan w:val="8"/>
          </w:tcPr>
          <w:p w14:paraId="1E0549E3">
            <w:pPr>
              <w:pStyle w:val="30"/>
              <w:rPr>
                <w:rFonts w:hint="eastAsia" w:ascii="宋体" w:hAnsi="宋体" w:eastAsia="宋体" w:cs="宋体"/>
                <w:sz w:val="20"/>
                <w:highlight w:val="none"/>
              </w:rPr>
            </w:pPr>
          </w:p>
        </w:tc>
      </w:tr>
      <w:tr w14:paraId="4ED16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0" w:hRule="atLeast"/>
        </w:trPr>
        <w:tc>
          <w:tcPr>
            <w:tcW w:w="2275" w:type="dxa"/>
          </w:tcPr>
          <w:p w14:paraId="24940D33">
            <w:pPr>
              <w:pStyle w:val="30"/>
              <w:rPr>
                <w:rFonts w:hint="eastAsia" w:ascii="宋体" w:hAnsi="宋体" w:eastAsia="宋体" w:cs="宋体"/>
                <w:sz w:val="20"/>
                <w:highlight w:val="none"/>
              </w:rPr>
            </w:pPr>
          </w:p>
          <w:p w14:paraId="3F545B78">
            <w:pPr>
              <w:pStyle w:val="30"/>
              <w:rPr>
                <w:rFonts w:hint="eastAsia" w:ascii="宋体" w:hAnsi="宋体" w:eastAsia="宋体" w:cs="宋体"/>
                <w:sz w:val="20"/>
                <w:highlight w:val="none"/>
              </w:rPr>
            </w:pPr>
          </w:p>
          <w:p w14:paraId="38C5B37C">
            <w:pPr>
              <w:pStyle w:val="30"/>
              <w:spacing w:before="1"/>
              <w:rPr>
                <w:rFonts w:hint="eastAsia" w:ascii="宋体" w:hAnsi="宋体" w:eastAsia="宋体" w:cs="宋体"/>
                <w:sz w:val="17"/>
                <w:highlight w:val="none"/>
              </w:rPr>
            </w:pPr>
          </w:p>
          <w:p w14:paraId="693929CB">
            <w:pPr>
              <w:pStyle w:val="30"/>
              <w:spacing w:line="412" w:lineRule="auto"/>
              <w:ind w:left="750" w:right="242" w:hanging="500"/>
              <w:rPr>
                <w:rFonts w:hint="eastAsia" w:ascii="宋体" w:hAnsi="宋体" w:eastAsia="宋体" w:cs="宋体"/>
                <w:sz w:val="20"/>
                <w:highlight w:val="none"/>
              </w:rPr>
            </w:pPr>
            <w:r>
              <w:rPr>
                <w:rFonts w:hint="eastAsia" w:ascii="宋体" w:hAnsi="宋体" w:eastAsia="宋体" w:cs="宋体"/>
                <w:sz w:val="20"/>
                <w:highlight w:val="none"/>
              </w:rPr>
              <w:t>投标人关联企业情况</w:t>
            </w:r>
          </w:p>
        </w:tc>
        <w:tc>
          <w:tcPr>
            <w:tcW w:w="7271" w:type="dxa"/>
            <w:gridSpan w:val="8"/>
          </w:tcPr>
          <w:p w14:paraId="43E34B81">
            <w:pPr>
              <w:pStyle w:val="30"/>
              <w:spacing w:before="144"/>
              <w:ind w:left="108"/>
              <w:rPr>
                <w:rFonts w:hint="eastAsia" w:ascii="宋体" w:hAnsi="宋体" w:eastAsia="宋体" w:cs="宋体"/>
                <w:sz w:val="20"/>
                <w:highlight w:val="none"/>
              </w:rPr>
            </w:pPr>
            <w:r>
              <w:rPr>
                <w:rFonts w:hint="eastAsia" w:ascii="宋体" w:hAnsi="宋体" w:eastAsia="宋体" w:cs="宋体"/>
                <w:sz w:val="20"/>
                <w:highlight w:val="none"/>
              </w:rPr>
              <w:t>投标人应提供关联企业情况，包括：</w:t>
            </w:r>
          </w:p>
          <w:p w14:paraId="3C697821">
            <w:pPr>
              <w:pStyle w:val="30"/>
              <w:numPr>
                <w:ilvl w:val="0"/>
                <w:numId w:val="64"/>
              </w:numPr>
              <w:tabs>
                <w:tab w:val="left" w:pos="508"/>
              </w:tabs>
              <w:spacing w:before="142"/>
              <w:ind w:hanging="501"/>
              <w:rPr>
                <w:rFonts w:hint="eastAsia" w:ascii="宋体" w:hAnsi="宋体" w:eastAsia="宋体" w:cs="宋体"/>
                <w:sz w:val="20"/>
                <w:highlight w:val="none"/>
              </w:rPr>
            </w:pPr>
            <w:r>
              <w:rPr>
                <w:rFonts w:hint="eastAsia" w:ascii="宋体" w:hAnsi="宋体" w:eastAsia="宋体" w:cs="宋体"/>
                <w:sz w:val="20"/>
                <w:highlight w:val="none"/>
              </w:rPr>
              <w:t>投标人的所有股东名称及相应股权（出资额）比例</w:t>
            </w:r>
          </w:p>
          <w:p w14:paraId="6DD577FB">
            <w:pPr>
              <w:pStyle w:val="30"/>
              <w:numPr>
                <w:ilvl w:val="0"/>
                <w:numId w:val="64"/>
              </w:numPr>
              <w:tabs>
                <w:tab w:val="left" w:pos="508"/>
              </w:tabs>
              <w:spacing w:before="144"/>
              <w:ind w:hanging="501"/>
              <w:rPr>
                <w:rFonts w:hint="eastAsia" w:ascii="宋体" w:hAnsi="宋体" w:eastAsia="宋体" w:cs="宋体"/>
                <w:sz w:val="20"/>
                <w:highlight w:val="none"/>
              </w:rPr>
            </w:pPr>
            <w:r>
              <w:rPr>
                <w:rFonts w:hint="eastAsia" w:ascii="宋体" w:hAnsi="宋体" w:eastAsia="宋体" w:cs="宋体"/>
                <w:sz w:val="20"/>
                <w:highlight w:val="none"/>
              </w:rPr>
              <w:t>投标人投资（控股）或管理的下属企业名称、持有股权（出资额）比例；</w:t>
            </w:r>
          </w:p>
          <w:p w14:paraId="0AF25A62">
            <w:pPr>
              <w:pStyle w:val="30"/>
              <w:numPr>
                <w:ilvl w:val="0"/>
                <w:numId w:val="64"/>
              </w:numPr>
              <w:tabs>
                <w:tab w:val="left" w:pos="508"/>
              </w:tabs>
              <w:spacing w:before="145"/>
              <w:ind w:hanging="501"/>
              <w:rPr>
                <w:rFonts w:hint="eastAsia" w:ascii="宋体" w:hAnsi="宋体" w:eastAsia="宋体" w:cs="宋体"/>
                <w:sz w:val="20"/>
                <w:highlight w:val="none"/>
              </w:rPr>
            </w:pPr>
            <w:r>
              <w:rPr>
                <w:rFonts w:hint="eastAsia" w:ascii="宋体" w:hAnsi="宋体" w:eastAsia="宋体" w:cs="宋体"/>
                <w:sz w:val="20"/>
                <w:highlight w:val="none"/>
              </w:rPr>
              <w:t>与投标人单位负责人（即法定代表人）为同一人的其他单位名称</w:t>
            </w:r>
          </w:p>
        </w:tc>
      </w:tr>
      <w:tr w14:paraId="57E95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75" w:type="dxa"/>
          </w:tcPr>
          <w:p w14:paraId="39027A0B">
            <w:pPr>
              <w:pStyle w:val="30"/>
              <w:spacing w:before="153"/>
              <w:ind w:left="130" w:right="125"/>
              <w:jc w:val="center"/>
              <w:rPr>
                <w:rFonts w:hint="eastAsia" w:ascii="宋体" w:hAnsi="宋体" w:eastAsia="宋体" w:cs="宋体"/>
                <w:sz w:val="20"/>
                <w:highlight w:val="none"/>
              </w:rPr>
            </w:pPr>
            <w:r>
              <w:rPr>
                <w:rFonts w:hint="eastAsia" w:ascii="宋体" w:hAnsi="宋体" w:eastAsia="宋体" w:cs="宋体"/>
                <w:sz w:val="20"/>
                <w:highlight w:val="none"/>
              </w:rPr>
              <w:t>备注</w:t>
            </w:r>
          </w:p>
        </w:tc>
        <w:tc>
          <w:tcPr>
            <w:tcW w:w="7271" w:type="dxa"/>
            <w:gridSpan w:val="8"/>
          </w:tcPr>
          <w:p w14:paraId="4DFF464E">
            <w:pPr>
              <w:pStyle w:val="30"/>
              <w:rPr>
                <w:rFonts w:hint="eastAsia" w:ascii="宋体" w:hAnsi="宋体" w:eastAsia="宋体" w:cs="宋体"/>
                <w:sz w:val="20"/>
                <w:highlight w:val="none"/>
              </w:rPr>
            </w:pPr>
          </w:p>
        </w:tc>
      </w:tr>
    </w:tbl>
    <w:p w14:paraId="131EBF64">
      <w:pPr>
        <w:pStyle w:val="10"/>
        <w:kinsoku w:val="0"/>
        <w:overflowPunct w:val="0"/>
        <w:adjustRightInd w:val="0"/>
        <w:spacing w:before="57" w:line="440" w:lineRule="exact"/>
        <w:ind w:left="111" w:right="232" w:firstLine="480"/>
        <w:jc w:val="both"/>
        <w:rPr>
          <w:rFonts w:hint="eastAsia" w:ascii="宋体" w:hAnsi="宋体" w:eastAsia="宋体" w:cs="宋体"/>
          <w:sz w:val="20"/>
          <w:highlight w:val="none"/>
        </w:rPr>
      </w:pPr>
      <w:r>
        <w:rPr>
          <w:rFonts w:hint="eastAsia" w:ascii="宋体" w:hAnsi="宋体" w:eastAsia="宋体" w:cs="宋体"/>
          <w:sz w:val="20"/>
          <w:highlight w:val="none"/>
        </w:rPr>
        <w:t>注：投标人应附统一社会信用代码的营业执照副本、施工资质证书副本、安全生产许可证副本、基本账户开户许可证、</w:t>
      </w:r>
      <w:r>
        <w:rPr>
          <w:rFonts w:hint="eastAsia" w:ascii="宋体" w:hAnsi="宋体" w:eastAsia="宋体" w:cs="宋体"/>
          <w:sz w:val="20"/>
          <w:highlight w:val="none"/>
          <w:lang w:val="en-US"/>
        </w:rPr>
        <w:t>自治区外企业进疆信息报送册（如有）等</w:t>
      </w:r>
      <w:r>
        <w:rPr>
          <w:rFonts w:hint="eastAsia" w:ascii="宋体" w:hAnsi="宋体" w:eastAsia="宋体" w:cs="宋体"/>
          <w:sz w:val="20"/>
          <w:highlight w:val="none"/>
        </w:rPr>
        <w:t>原件的扫描件</w:t>
      </w:r>
      <w:r>
        <w:rPr>
          <w:rFonts w:hint="eastAsia" w:ascii="宋体" w:hAnsi="宋体" w:eastAsia="宋体" w:cs="宋体"/>
          <w:sz w:val="20"/>
          <w:highlight w:val="none"/>
          <w:lang w:val="en-US"/>
        </w:rPr>
        <w:t>。</w:t>
      </w:r>
    </w:p>
    <w:p w14:paraId="206AFA4F">
      <w:pPr>
        <w:pStyle w:val="10"/>
        <w:spacing w:before="10"/>
        <w:rPr>
          <w:rFonts w:hint="eastAsia" w:ascii="宋体" w:hAnsi="宋体" w:eastAsia="宋体" w:cs="宋体"/>
          <w:sz w:val="28"/>
          <w:highlight w:val="none"/>
        </w:rPr>
      </w:pPr>
    </w:p>
    <w:p w14:paraId="28583E65">
      <w:pPr>
        <w:pStyle w:val="28"/>
        <w:rPr>
          <w:rFonts w:hint="eastAsia" w:ascii="宋体" w:hAnsi="宋体" w:eastAsia="宋体" w:cs="宋体"/>
          <w:sz w:val="28"/>
          <w:highlight w:val="none"/>
        </w:rPr>
      </w:pPr>
    </w:p>
    <w:p w14:paraId="78DC6AD4">
      <w:pPr>
        <w:rPr>
          <w:rFonts w:hint="eastAsia" w:ascii="宋体" w:hAnsi="宋体" w:eastAsia="宋体" w:cs="宋体"/>
          <w:sz w:val="28"/>
          <w:highlight w:val="none"/>
        </w:rPr>
      </w:pPr>
    </w:p>
    <w:p w14:paraId="35C5F037">
      <w:pPr>
        <w:pStyle w:val="5"/>
        <w:rPr>
          <w:rFonts w:hint="eastAsia" w:ascii="宋体" w:hAnsi="宋体" w:eastAsia="宋体" w:cs="宋体"/>
          <w:highlight w:val="none"/>
        </w:rPr>
      </w:pPr>
    </w:p>
    <w:p w14:paraId="4C6A7FE8">
      <w:pPr>
        <w:rPr>
          <w:rFonts w:hint="eastAsia" w:ascii="宋体" w:hAnsi="宋体" w:eastAsia="宋体" w:cs="宋体"/>
          <w:sz w:val="28"/>
          <w:highlight w:val="none"/>
        </w:rPr>
      </w:pPr>
    </w:p>
    <w:p w14:paraId="1A8AD8BB">
      <w:pPr>
        <w:pStyle w:val="5"/>
        <w:rPr>
          <w:rFonts w:hint="eastAsia" w:ascii="宋体" w:hAnsi="宋体" w:eastAsia="宋体" w:cs="宋体"/>
          <w:highlight w:val="none"/>
        </w:rPr>
      </w:pPr>
    </w:p>
    <w:p w14:paraId="15C20DE4">
      <w:pPr>
        <w:rPr>
          <w:rFonts w:hint="eastAsia" w:ascii="宋体" w:hAnsi="宋体" w:eastAsia="宋体" w:cs="宋体"/>
          <w:highlight w:val="none"/>
        </w:rPr>
      </w:pPr>
    </w:p>
    <w:p w14:paraId="4149F63D">
      <w:pPr>
        <w:pStyle w:val="10"/>
        <w:spacing w:before="66"/>
        <w:ind w:left="1" w:right="199"/>
        <w:jc w:val="center"/>
        <w:rPr>
          <w:rFonts w:hint="eastAsia" w:ascii="宋体" w:hAnsi="宋体" w:eastAsia="宋体" w:cs="宋体"/>
          <w:highlight w:val="none"/>
        </w:rPr>
      </w:pPr>
      <w:bookmarkStart w:id="103" w:name="（二）投标人企业组织机构框图"/>
      <w:bookmarkEnd w:id="103"/>
      <w:r>
        <w:rPr>
          <w:rFonts w:hint="eastAsia" w:ascii="宋体" w:hAnsi="宋体" w:eastAsia="宋体" w:cs="宋体"/>
          <w:highlight w:val="none"/>
        </w:rPr>
        <w:t>（二）投标人企业组织机构框图</w:t>
      </w:r>
    </w:p>
    <w:p w14:paraId="7E6671D4">
      <w:pPr>
        <w:pStyle w:val="10"/>
        <w:spacing w:before="3"/>
        <w:rPr>
          <w:rFonts w:hint="eastAsia" w:ascii="宋体" w:hAnsi="宋体" w:eastAsia="宋体" w:cs="宋体"/>
          <w:sz w:val="28"/>
          <w:highlight w:val="none"/>
        </w:rPr>
      </w:pPr>
      <w:r>
        <w:rPr>
          <w:rFonts w:hint="eastAsia" w:ascii="宋体" w:hAnsi="宋体" w:eastAsia="宋体" w:cs="宋体"/>
          <w:highlight w:val="none"/>
        </w:rPr>
        <mc:AlternateContent>
          <mc:Choice Requires="wpg">
            <w:drawing>
              <wp:anchor distT="0" distB="0" distL="114300" distR="114300" simplePos="0" relativeHeight="251672576" behindDoc="1" locked="0" layoutInCell="1" allowOverlap="1">
                <wp:simplePos x="0" y="0"/>
                <wp:positionH relativeFrom="page">
                  <wp:posOffset>1069340</wp:posOffset>
                </wp:positionH>
                <wp:positionV relativeFrom="paragraph">
                  <wp:posOffset>259715</wp:posOffset>
                </wp:positionV>
                <wp:extent cx="5605145" cy="6966585"/>
                <wp:effectExtent l="0" t="0" r="3175" b="13335"/>
                <wp:wrapTopAndBottom/>
                <wp:docPr id="1" name="组合 106"/>
                <wp:cNvGraphicFramePr/>
                <a:graphic xmlns:a="http://schemas.openxmlformats.org/drawingml/2006/main">
                  <a:graphicData uri="http://schemas.microsoft.com/office/word/2010/wordprocessingGroup">
                    <wpg:wgp>
                      <wpg:cNvGrpSpPr/>
                      <wpg:grpSpPr>
                        <a:xfrm>
                          <a:off x="0" y="0"/>
                          <a:ext cx="5605145" cy="6966585"/>
                          <a:chOff x="1685" y="409"/>
                          <a:chExt cx="8827" cy="10971"/>
                        </a:xfrm>
                      </wpg:grpSpPr>
                      <wps:wsp>
                        <wps:cNvPr id="25" name="直线 107"/>
                        <wps:cNvCnPr/>
                        <wps:spPr>
                          <a:xfrm>
                            <a:off x="1685" y="417"/>
                            <a:ext cx="8826" cy="0"/>
                          </a:xfrm>
                          <a:prstGeom prst="line">
                            <a:avLst/>
                          </a:prstGeom>
                          <a:ln w="9144" cap="flat" cmpd="sng">
                            <a:solidFill>
                              <a:srgbClr val="000000"/>
                            </a:solidFill>
                            <a:prstDash val="solid"/>
                            <a:headEnd type="none" w="med" len="med"/>
                            <a:tailEnd type="none" w="med" len="med"/>
                          </a:ln>
                        </wps:spPr>
                        <wps:bodyPr/>
                      </wps:wsp>
                      <wps:wsp>
                        <wps:cNvPr id="26" name="直线 108"/>
                        <wps:cNvCnPr/>
                        <wps:spPr>
                          <a:xfrm>
                            <a:off x="1685" y="7956"/>
                            <a:ext cx="8826" cy="0"/>
                          </a:xfrm>
                          <a:prstGeom prst="line">
                            <a:avLst/>
                          </a:prstGeom>
                          <a:ln w="9144" cap="flat" cmpd="sng">
                            <a:solidFill>
                              <a:srgbClr val="000000"/>
                            </a:solidFill>
                            <a:prstDash val="solid"/>
                            <a:headEnd type="none" w="med" len="med"/>
                            <a:tailEnd type="none" w="med" len="med"/>
                          </a:ln>
                        </wps:spPr>
                        <wps:bodyPr/>
                      </wps:wsp>
                      <wps:wsp>
                        <wps:cNvPr id="27" name="直线 109"/>
                        <wps:cNvCnPr/>
                        <wps:spPr>
                          <a:xfrm>
                            <a:off x="1685" y="11373"/>
                            <a:ext cx="8826" cy="0"/>
                          </a:xfrm>
                          <a:prstGeom prst="line">
                            <a:avLst/>
                          </a:prstGeom>
                          <a:ln w="9144" cap="flat" cmpd="sng">
                            <a:solidFill>
                              <a:srgbClr val="000000"/>
                            </a:solidFill>
                            <a:prstDash val="solid"/>
                            <a:headEnd type="none" w="med" len="med"/>
                            <a:tailEnd type="none" w="med" len="med"/>
                          </a:ln>
                        </wps:spPr>
                        <wps:bodyPr/>
                      </wps:wsp>
                      <wps:wsp>
                        <wps:cNvPr id="28" name="直线 110"/>
                        <wps:cNvCnPr/>
                        <wps:spPr>
                          <a:xfrm>
                            <a:off x="1692" y="409"/>
                            <a:ext cx="0" cy="10956"/>
                          </a:xfrm>
                          <a:prstGeom prst="line">
                            <a:avLst/>
                          </a:prstGeom>
                          <a:ln w="9144" cap="flat" cmpd="sng">
                            <a:solidFill>
                              <a:srgbClr val="000000"/>
                            </a:solidFill>
                            <a:prstDash val="solid"/>
                            <a:headEnd type="none" w="med" len="med"/>
                            <a:tailEnd type="none" w="med" len="med"/>
                          </a:ln>
                        </wps:spPr>
                        <wps:bodyPr/>
                      </wps:wsp>
                      <wps:wsp>
                        <wps:cNvPr id="29" name="直线 111"/>
                        <wps:cNvCnPr/>
                        <wps:spPr>
                          <a:xfrm>
                            <a:off x="10504" y="409"/>
                            <a:ext cx="0" cy="10956"/>
                          </a:xfrm>
                          <a:prstGeom prst="line">
                            <a:avLst/>
                          </a:prstGeom>
                          <a:ln w="9144" cap="flat" cmpd="sng">
                            <a:solidFill>
                              <a:srgbClr val="000000"/>
                            </a:solidFill>
                            <a:prstDash val="solid"/>
                            <a:headEnd type="none" w="med" len="med"/>
                            <a:tailEnd type="none" w="med" len="med"/>
                          </a:ln>
                        </wps:spPr>
                        <wps:bodyPr/>
                      </wps:wsp>
                      <wps:wsp>
                        <wps:cNvPr id="30" name="文本框 112"/>
                        <wps:cNvSpPr txBox="1"/>
                        <wps:spPr>
                          <a:xfrm>
                            <a:off x="2232" y="8135"/>
                            <a:ext cx="419" cy="199"/>
                          </a:xfrm>
                          <a:prstGeom prst="rect">
                            <a:avLst/>
                          </a:prstGeom>
                          <a:noFill/>
                          <a:ln>
                            <a:noFill/>
                          </a:ln>
                        </wps:spPr>
                        <wps:txbx>
                          <w:txbxContent>
                            <w:p w14:paraId="13AD9728">
                              <w:pPr>
                                <w:spacing w:line="199" w:lineRule="exact"/>
                                <w:rPr>
                                  <w:sz w:val="20"/>
                                </w:rPr>
                              </w:pPr>
                              <w:r>
                                <w:rPr>
                                  <w:sz w:val="20"/>
                                </w:rPr>
                                <w:t>说明</w:t>
                              </w:r>
                            </w:p>
                          </w:txbxContent>
                        </wps:txbx>
                        <wps:bodyPr lIns="0" tIns="0" rIns="0" bIns="0" upright="1"/>
                      </wps:wsp>
                      <wps:wsp>
                        <wps:cNvPr id="31" name="文本框 113"/>
                        <wps:cNvSpPr txBox="1"/>
                        <wps:spPr>
                          <a:xfrm>
                            <a:off x="2232" y="1115"/>
                            <a:ext cx="1619" cy="199"/>
                          </a:xfrm>
                          <a:prstGeom prst="rect">
                            <a:avLst/>
                          </a:prstGeom>
                          <a:noFill/>
                          <a:ln>
                            <a:noFill/>
                          </a:ln>
                        </wps:spPr>
                        <wps:txbx>
                          <w:txbxContent>
                            <w:p w14:paraId="398C0DBE">
                              <w:pPr>
                                <w:spacing w:line="199" w:lineRule="exact"/>
                                <w:rPr>
                                  <w:sz w:val="22"/>
                                  <w:szCs w:val="28"/>
                                </w:rPr>
                              </w:pPr>
                              <w:r>
                                <w:rPr>
                                  <w:sz w:val="20"/>
                                </w:rPr>
                                <w:t>以框图方式表示。</w:t>
                              </w:r>
                            </w:p>
                          </w:txbxContent>
                        </wps:txbx>
                        <wps:bodyPr lIns="0" tIns="0" rIns="0" bIns="0" upright="1"/>
                      </wps:wsp>
                    </wpg:wgp>
                  </a:graphicData>
                </a:graphic>
              </wp:anchor>
            </w:drawing>
          </mc:Choice>
          <mc:Fallback>
            <w:pict>
              <v:group id="组合 106" o:spid="_x0000_s1026" o:spt="203" style="position:absolute;left:0pt;margin-left:84.2pt;margin-top:20.45pt;height:548.55pt;width:441.35pt;mso-position-horizontal-relative:page;mso-wrap-distance-bottom:0pt;mso-wrap-distance-top:0pt;z-index:-251643904;mso-width-relative:page;mso-height-relative:page;" coordorigin="1685,409" coordsize="8827,10971" o:gfxdata="UEsDBAoAAAAAAIdO4kAAAAAAAAAAAAAAAAAEAAAAZHJzL1BLAwQUAAAACACHTuJAMIhTKtsAAAAM&#10;AQAADwAAAGRycy9kb3ducmV2LnhtbE2PTWvDMAyG74P9B6PBbqvt9YM0i1NG2XYqg7WD0ZubqElo&#10;LIfYTdp/P/W03fSih1ePstXFtWLAPjSeDOiJAoFU+LKhysD37v0pARGipdK2ntDAFQOs8vu7zKal&#10;H+kLh22sBJdQSK2BOsYulTIUNTobJr5D4t3R985Gjn0ly96OXO5a+azUQjrbEF+obYfrGovT9uwM&#10;fIx2fJ3qt2FzOq6v+93882ej0ZjHB61eQES8xD8YbvqsDjk7HfyZyiBazotkxqiBmVqCuAFqrjWI&#10;A096miiQeSb/P5H/AlBLAwQUAAAACACHTuJAveOGfWMDAAASEAAADgAAAGRycy9lMm9Eb2MueG1s&#10;7VfLbhMxFN0j8Q/W7OmM85gkoyaVaEqFhKBS4QOcGc9DmrEt222SPQKWrNjAhj1LVrDga2h/g2t7&#10;Jk3TFKVFoAili9Tjx/W95/heH+8fzKoSnVOpCs6GHt4LPERZzJOCZUPv1csnj/oeUpqwhJSc0aE3&#10;p8o7GD18sD8VEW3xnJcJlQiMMBVNxdDLtRaR76s4pxVRe1xQBoMplxXR8CkzP5FkCtar0m8FQehP&#10;uUyE5DFVCnrHbtCrLcpNDPI0LWI65vFZRZl2ViUtiYaQVF4I5Y2st2lKY/0iTRXVqBx6EKm2v7AJ&#10;tCfm1x/tkyiTRORFXLtANnFhJaaKFAw2XZgaE03QmSxumKqKWHLFU70X88p3gVhEIAocrGBzLPmZ&#10;sLFk0TQTC9CBqBXU7202fn5+IlGRwEnwECMVEH75/fXP9+8QDkKDzlRkEUw6luJUnMi6I3NfJuBZ&#10;KivzH0JBM4vrfIErnWkUQ2c3DLq40/VQDGPhIAy7/a5DPs6BHrMOh9CFYLgTDJqho3p5v9/qubU4&#10;GPSwGfabjX3j38KdqYAzqa6AUn8G1GlOBLX4K4NBDVQLHK2R+vj18tsPQKpnfDKbw6xDVsOkIgWI&#10;rcHoKlZsF5KoAQoiDV2k9mQuoiSRkEofU14h0xh6ZcGMYyQi58+UdoA0U0x3ydB06A1wpwPmCGRp&#10;CtkBzUoA04pldq3iZZE8KcrSrFAymxyWEp0Tkyn2rwb62jSzyZio3M2zQ46unJLkiCVIzwWcIQal&#10;wzMuVDTxUEmh0pgWOEoiTYpyk5kQfcmAaoOrQ9K0JjyZW4BtP5DtgP/7rAMxK6z378d6b9C1mbWj&#10;fe0B2TLaofKs0G7r092THeN2r+0yYJfuawrDlvEOKug679iW5DvwPmhdv9Aa1kF6mHsQ7jJXB3ZV&#10;fouq/OAG7VZvbE570A3gzl0WMjve1+mA7Ur3NiSlS/eLD28vPn25+PwGYdxauuCN+kV69pgbsdr0&#10;3yLwWq22y/0+btdCtzkEHQwnzKb/wN4jtye/hLfL7yQe40a6WUVlZBKJFh3rodWzyaxWqU5DofIp&#10;A4FsXkVNQzaNSdM4E7LIclCcTnabPPh3mqu9eJMss2Iv0Toh78UKxniFFRz+J7TY5xA8Fe0LqX7W&#10;mrfo8reV1FdP+dE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1wUAAFtDb250ZW50X1R5cGVzXS54bWxQSwECFAAKAAAAAACHTuJAAAAAAAAAAAAA&#10;AAAABgAAAAAAAAAAABAAAAC5BAAAX3JlbHMvUEsBAhQAFAAAAAgAh07iQIoUZjzRAAAAlAEAAAsA&#10;AAAAAAAAAQAgAAAA3QQAAF9yZWxzLy5yZWxzUEsBAhQACgAAAAAAh07iQAAAAAAAAAAAAAAAAAQA&#10;AAAAAAAAAAAQAAAAAAAAAGRycy9QSwECFAAUAAAACACHTuJAMIhTKtsAAAAMAQAADwAAAAAAAAAB&#10;ACAAAAAiAAAAZHJzL2Rvd25yZXYueG1sUEsBAhQAFAAAAAgAh07iQL3jhn1jAwAAEhAAAA4AAAAA&#10;AAAAAQAgAAAAKgEAAGRycy9lMm9Eb2MueG1sUEsFBgAAAAAGAAYAWQEAAP8GAAAAAA==&#10;">
                <o:lock v:ext="edit" aspectratio="f"/>
                <v:line id="直线 107" o:spid="_x0000_s1026" o:spt="20" style="position:absolute;left:1685;top:417;height:0;width:8826;" filled="f" stroked="t" coordsize="21600,21600" o:gfxdata="UEsDBAoAAAAAAIdO4kAAAAAAAAAAAAAAAAAEAAAAZHJzL1BLAwQUAAAACACHTuJAJcQVKr0AAADb&#10;AAAADwAAAGRycy9kb3ducmV2LnhtbEWPQWsCMRSE70L/Q3hCb5pVqJat0YOsIKWHuvYHPDavm+Dm&#10;Zdm8utZf3xQKPQ4z8w2z2d1Cp640JB/ZwGJegCJuovXcGvg4H2bPoJIgW+wik4FvSrDbPkw2WNo4&#10;8omutbQqQziVaMCJ9KXWqXEUMM1jT5y9zzgElCyHVtsBxwwPnV4WxUoH9JwXHPa0d9Rc6q9goH5/&#10;G1ev9/tYrWuPScS7qtob8zhdFC+ghG7yH/5rH62B5RP8fsk/QG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xBUq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v:line id="直线 108" o:spid="_x0000_s1026" o:spt="20" style="position:absolute;left:1685;top:7956;height:0;width:8826;" filled="f" stroked="t" coordsize="21600,21600" o:gfxdata="UEsDBAoAAAAAAIdO4kAAAAAAAAAAAAAAAAAEAAAAZHJzL1BLAwQUAAAACACHTuJA1RaLXbwAAADb&#10;AAAADwAAAGRycy9kb3ducmV2LnhtbEWPwWrDMBBE74H+g9hCbomcHJziRskhuBBCD43bD1isrSVq&#10;rYy1jdN8fVQo9DjMzBtmu7+GXl1oTD6ygdWyAEXcRuu5M/Dx/rJ4ApUE2WIfmQz8UIL97mG2xcrG&#10;ic90aaRTGcKpQgNOZKi0Tq2jgGkZB+LsfcYxoGQ5dtqOOGV46PW6KEod0HNecDjQwVH71XwHA83b&#10;61Sebrep3jQek4h3dX0wZv64Kp5BCV3lP/zXPloD6xJ+v+QfoH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UWi12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直线 109" o:spid="_x0000_s1026" o:spt="20" style="position:absolute;left:1685;top:11373;height:0;width:8826;" filled="f" stroked="t" coordsize="21600,21600" o:gfxdata="UEsDBAoAAAAAAIdO4kAAAAAAAAAAAAAAAAAEAAAAZHJzL1BLAwQUAAAACACHTuJAulouxrwAAADb&#10;AAAADwAAAGRycy9kb3ducmV2LnhtbEWPwWrDMBBE74X+g9hCb7WcHJLiRskhuBBKD4mbD1isrSVq&#10;rYy1idN8fVQo5DjMzBtmtbmEXp1pTD6ygVlRgiJuo/XcGTh+vb+8gkqCbLGPTAZ+KcFm/fiwwsrG&#10;iQ90bqRTGcKpQgNOZKi0Tq2jgKmIA3H2vuMYULIcO21HnDI89Hpelgsd0HNecDjQ1lH705yCgWb/&#10;OS0+rtepXjYek4h3db015vlpVr6BErrIPfzf3lkD8yX8fck/QK9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aLsa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直线 110" o:spid="_x0000_s1026" o:spt="20" style="position:absolute;left:1692;top:409;height:10956;width:0;" filled="f" stroked="t" coordsize="21600,21600" o:gfxdata="UEsDBAoAAAAAAIdO4kAAAAAAAAAAAAAAAAAEAAAAZHJzL1BLAwQUAAAACACHTuJAy8W6tLkAAADb&#10;AAAADwAAAGRycy9kb3ducmV2LnhtbEVPvW7CMBDeK/UdrKvUDRwYKEoxDCiVEOpAAw9wiq+x1fgc&#10;xQcBnh4PSB0/ff+rzTV06kJD8pENzKYFKOImWs+tgdPxa7IElQTZYheZDNwowWb9+rLC0saRf+hS&#10;S6tyCKcSDTiRvtQ6NY4CpmnsiTP3G4eAkuHQajvgmMNDp+dFsdABPecGhz1tHTV/9TkYqA/f42J/&#10;v4/VR+0xiXhXVVtj3t9mxScooav8i5/unTUwz2Pzl/wD9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vFurS5AAAA2wAA&#10;AA8AAAAAAAAAAQAgAAAAIgAAAGRycy9kb3ducmV2LnhtbFBLAQIUABQAAAAIAIdO4kAzLwWeOwAA&#10;ADkAAAAQAAAAAAAAAAEAIAAAAAgBAABkcnMvc2hhcGV4bWwueG1sUEsFBgAAAAAGAAYAWwEAALID&#10;AAAAAA==&#10;">
                  <v:fill on="f" focussize="0,0"/>
                  <v:stroke weight="0.72pt" color="#000000" joinstyle="round"/>
                  <v:imagedata o:title=""/>
                  <o:lock v:ext="edit" aspectratio="f"/>
                </v:line>
                <v:line id="直线 111" o:spid="_x0000_s1026" o:spt="20" style="position:absolute;left:10504;top:409;height:10956;width:0;" filled="f" stroked="t" coordsize="21600,21600" o:gfxdata="UEsDBAoAAAAAAIdO4kAAAAAAAAAAAAAAAAAEAAAAZHJzL1BLAwQUAAAACACHTuJApIkfL70AAADb&#10;AAAADwAAAGRycy9kb3ducmV2LnhtbEWPwW7CMBBE75X6D9Yi9VYcOFCaYjigVKoqDiX0A1bxNraI&#10;11G8JZSvr5GQOI5m5o1mtTmHTp1oSD6ygdm0AEXcROu5NfB9eH9egkqCbLGLTAb+KMFm/fiwwtLG&#10;kfd0qqVVGcKpRANOpC+1To2jgGkae+Ls/cQhoGQ5tNoOOGZ46PS8KBY6oOe84LCnraPmWP8GA/XX&#10;blx8Xi5j9VJ7TCLeVdXWmKfJrHgDJXSWe/jW/rAG5q9w/ZJ/gF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iR8v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v:shape id="文本框 112" o:spid="_x0000_s1026" o:spt="202" type="#_x0000_t202" style="position:absolute;left:2232;top:8135;height:199;width:419;"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13AD9728">
                        <w:pPr>
                          <w:spacing w:line="199" w:lineRule="exact"/>
                          <w:rPr>
                            <w:sz w:val="20"/>
                          </w:rPr>
                        </w:pPr>
                        <w:r>
                          <w:rPr>
                            <w:sz w:val="20"/>
                          </w:rPr>
                          <w:t>说明</w:t>
                        </w:r>
                      </w:p>
                    </w:txbxContent>
                  </v:textbox>
                </v:shape>
                <v:shape id="文本框 113" o:spid="_x0000_s1026" o:spt="202" type="#_x0000_t202" style="position:absolute;left:2232;top:1115;height:199;width:1619;"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98C0DBE">
                        <w:pPr>
                          <w:spacing w:line="199" w:lineRule="exact"/>
                          <w:rPr>
                            <w:sz w:val="22"/>
                            <w:szCs w:val="28"/>
                          </w:rPr>
                        </w:pPr>
                        <w:r>
                          <w:rPr>
                            <w:sz w:val="20"/>
                          </w:rPr>
                          <w:t>以框图方式表示。</w:t>
                        </w:r>
                      </w:p>
                    </w:txbxContent>
                  </v:textbox>
                </v:shape>
                <w10:wrap type="topAndBottom"/>
              </v:group>
            </w:pict>
          </mc:Fallback>
        </mc:AlternateContent>
      </w:r>
    </w:p>
    <w:p w14:paraId="32CC58E0">
      <w:pPr>
        <w:rPr>
          <w:rFonts w:hint="eastAsia" w:ascii="宋体" w:hAnsi="宋体" w:eastAsia="宋体" w:cs="宋体"/>
          <w:sz w:val="28"/>
          <w:highlight w:val="none"/>
        </w:rPr>
      </w:pPr>
    </w:p>
    <w:p w14:paraId="40391134">
      <w:pPr>
        <w:rPr>
          <w:rFonts w:hint="eastAsia" w:ascii="宋体" w:hAnsi="宋体" w:eastAsia="宋体" w:cs="宋体"/>
          <w:highlight w:val="none"/>
        </w:rPr>
      </w:pPr>
    </w:p>
    <w:p w14:paraId="3ED63B76">
      <w:pPr>
        <w:rPr>
          <w:rFonts w:hint="eastAsia" w:ascii="宋体" w:hAnsi="宋体" w:eastAsia="宋体" w:cs="宋体"/>
          <w:highlight w:val="none"/>
        </w:rPr>
      </w:pPr>
    </w:p>
    <w:p w14:paraId="5C5FD040">
      <w:pPr>
        <w:rPr>
          <w:rFonts w:hint="eastAsia" w:ascii="宋体" w:hAnsi="宋体" w:eastAsia="宋体" w:cs="宋体"/>
          <w:highlight w:val="none"/>
        </w:rPr>
      </w:pPr>
    </w:p>
    <w:p w14:paraId="3D6B90B1">
      <w:pPr>
        <w:rPr>
          <w:rFonts w:hint="eastAsia" w:ascii="宋体" w:hAnsi="宋体" w:eastAsia="宋体" w:cs="宋体"/>
          <w:highlight w:val="none"/>
        </w:rPr>
      </w:pPr>
    </w:p>
    <w:p w14:paraId="66A9E936">
      <w:pPr>
        <w:rPr>
          <w:rFonts w:hint="eastAsia" w:ascii="宋体" w:hAnsi="宋体" w:eastAsia="宋体" w:cs="宋体"/>
          <w:highlight w:val="none"/>
        </w:rPr>
      </w:pPr>
    </w:p>
    <w:p w14:paraId="62CBDDBD">
      <w:pPr>
        <w:tabs>
          <w:tab w:val="center" w:pos="4835"/>
        </w:tabs>
        <w:rPr>
          <w:rFonts w:hint="eastAsia" w:ascii="宋体" w:hAnsi="宋体" w:eastAsia="宋体" w:cs="宋体"/>
          <w:highlight w:val="none"/>
        </w:rPr>
        <w:sectPr>
          <w:footerReference r:id="rId24" w:type="default"/>
          <w:pgSz w:w="11910" w:h="16840"/>
          <w:pgMar w:top="1220" w:right="920" w:bottom="1180" w:left="1320" w:header="882" w:footer="989" w:gutter="0"/>
          <w:cols w:space="720" w:num="1"/>
        </w:sectPr>
      </w:pPr>
      <w:r>
        <w:rPr>
          <w:rFonts w:hint="eastAsia" w:ascii="宋体" w:hAnsi="宋体" w:eastAsia="宋体" w:cs="宋体"/>
          <w:highlight w:val="none"/>
        </w:rPr>
        <w:tab/>
      </w:r>
    </w:p>
    <w:p w14:paraId="5D60513C">
      <w:pPr>
        <w:pStyle w:val="10"/>
        <w:spacing w:before="10"/>
        <w:rPr>
          <w:rFonts w:hint="eastAsia" w:ascii="宋体" w:hAnsi="宋体" w:eastAsia="宋体" w:cs="宋体"/>
          <w:sz w:val="28"/>
          <w:highlight w:val="none"/>
        </w:rPr>
      </w:pPr>
    </w:p>
    <w:p w14:paraId="36581D0C">
      <w:pPr>
        <w:numPr>
          <w:ilvl w:val="0"/>
          <w:numId w:val="65"/>
        </w:numPr>
        <w:spacing w:line="560" w:lineRule="exact"/>
        <w:ind w:firstLine="480" w:firstLineChars="200"/>
        <w:jc w:val="center"/>
        <w:rPr>
          <w:rFonts w:hint="eastAsia" w:ascii="宋体" w:hAnsi="宋体" w:eastAsia="宋体" w:cs="宋体"/>
          <w:sz w:val="24"/>
          <w:szCs w:val="24"/>
          <w:highlight w:val="none"/>
        </w:rPr>
      </w:pPr>
      <w:bookmarkStart w:id="104" w:name="（三）近年财务状况"/>
      <w:bookmarkEnd w:id="104"/>
      <w:r>
        <w:rPr>
          <w:rFonts w:hint="eastAsia" w:ascii="宋体" w:hAnsi="宋体" w:eastAsia="宋体" w:cs="宋体"/>
          <w:sz w:val="24"/>
          <w:szCs w:val="24"/>
          <w:highlight w:val="none"/>
        </w:rPr>
        <w:t>财务状况、缴纳税收和社会保障资金证明材料</w:t>
      </w:r>
    </w:p>
    <w:p w14:paraId="149500F7">
      <w:pPr>
        <w:pStyle w:val="5"/>
        <w:ind w:firstLine="0" w:firstLineChars="0"/>
        <w:rPr>
          <w:rFonts w:hint="eastAsia" w:ascii="宋体" w:hAnsi="宋体" w:eastAsia="宋体" w:cs="宋体"/>
          <w:highlight w:val="none"/>
        </w:rPr>
      </w:pPr>
    </w:p>
    <w:p w14:paraId="66E4F37C">
      <w:pPr>
        <w:rPr>
          <w:rFonts w:hint="eastAsia" w:ascii="宋体" w:hAnsi="宋体" w:eastAsia="宋体" w:cs="宋体"/>
          <w:highlight w:val="none"/>
        </w:rPr>
      </w:pPr>
    </w:p>
    <w:p w14:paraId="75B6E83F">
      <w:pPr>
        <w:pStyle w:val="5"/>
        <w:ind w:firstLine="0" w:firstLineChars="0"/>
        <w:rPr>
          <w:rFonts w:hint="eastAsia" w:ascii="宋体" w:hAnsi="宋体" w:eastAsia="宋体" w:cs="宋体"/>
          <w:highlight w:val="none"/>
        </w:rPr>
      </w:pPr>
    </w:p>
    <w:p w14:paraId="4E40DB43">
      <w:pPr>
        <w:pStyle w:val="28"/>
        <w:rPr>
          <w:rFonts w:hint="eastAsia" w:ascii="宋体" w:hAnsi="宋体" w:eastAsia="宋体" w:cs="宋体"/>
          <w:highlight w:val="none"/>
        </w:rPr>
      </w:pPr>
    </w:p>
    <w:p w14:paraId="28D07C9F">
      <w:pPr>
        <w:rPr>
          <w:rFonts w:hint="eastAsia" w:ascii="宋体" w:hAnsi="宋体" w:eastAsia="宋体" w:cs="宋体"/>
          <w:highlight w:val="none"/>
        </w:rPr>
      </w:pPr>
    </w:p>
    <w:p w14:paraId="7EED1514">
      <w:pPr>
        <w:pStyle w:val="5"/>
        <w:rPr>
          <w:rFonts w:hint="eastAsia" w:ascii="宋体" w:hAnsi="宋体" w:eastAsia="宋体" w:cs="宋体"/>
          <w:highlight w:val="none"/>
        </w:rPr>
      </w:pPr>
    </w:p>
    <w:p w14:paraId="1D6918A0">
      <w:pPr>
        <w:rPr>
          <w:rFonts w:hint="eastAsia" w:ascii="宋体" w:hAnsi="宋体" w:eastAsia="宋体" w:cs="宋体"/>
          <w:highlight w:val="none"/>
        </w:rPr>
      </w:pPr>
    </w:p>
    <w:p w14:paraId="477D0A92">
      <w:pPr>
        <w:pStyle w:val="5"/>
        <w:rPr>
          <w:rFonts w:hint="eastAsia" w:ascii="宋体" w:hAnsi="宋体" w:eastAsia="宋体" w:cs="宋体"/>
          <w:highlight w:val="none"/>
        </w:rPr>
      </w:pPr>
    </w:p>
    <w:p w14:paraId="23334B3E">
      <w:pPr>
        <w:rPr>
          <w:rFonts w:hint="eastAsia" w:ascii="宋体" w:hAnsi="宋体" w:eastAsia="宋体" w:cs="宋体"/>
          <w:highlight w:val="none"/>
        </w:rPr>
      </w:pPr>
    </w:p>
    <w:p w14:paraId="5854A004">
      <w:pPr>
        <w:pStyle w:val="10"/>
        <w:rPr>
          <w:rFonts w:hint="eastAsia" w:ascii="宋体" w:hAnsi="宋体" w:eastAsia="宋体" w:cs="宋体"/>
          <w:highlight w:val="none"/>
        </w:rPr>
      </w:pPr>
    </w:p>
    <w:p w14:paraId="0DE9934F">
      <w:pPr>
        <w:pStyle w:val="10"/>
        <w:rPr>
          <w:rFonts w:hint="eastAsia" w:ascii="宋体" w:hAnsi="宋体" w:eastAsia="宋体" w:cs="宋体"/>
          <w:highlight w:val="none"/>
        </w:rPr>
      </w:pPr>
    </w:p>
    <w:p w14:paraId="566467BD">
      <w:pPr>
        <w:pStyle w:val="10"/>
        <w:rPr>
          <w:rFonts w:hint="eastAsia" w:ascii="宋体" w:hAnsi="宋体" w:eastAsia="宋体" w:cs="宋体"/>
          <w:highlight w:val="none"/>
        </w:rPr>
      </w:pPr>
    </w:p>
    <w:p w14:paraId="73EF62A4">
      <w:pPr>
        <w:pStyle w:val="10"/>
        <w:rPr>
          <w:rFonts w:hint="eastAsia" w:ascii="宋体" w:hAnsi="宋体" w:eastAsia="宋体" w:cs="宋体"/>
          <w:highlight w:val="none"/>
        </w:rPr>
      </w:pPr>
    </w:p>
    <w:p w14:paraId="68BC333F">
      <w:pPr>
        <w:pStyle w:val="10"/>
        <w:rPr>
          <w:rFonts w:hint="eastAsia" w:ascii="宋体" w:hAnsi="宋体" w:eastAsia="宋体" w:cs="宋体"/>
          <w:highlight w:val="none"/>
        </w:rPr>
      </w:pPr>
    </w:p>
    <w:p w14:paraId="1A90A015">
      <w:pPr>
        <w:pStyle w:val="10"/>
        <w:rPr>
          <w:rFonts w:hint="eastAsia" w:ascii="宋体" w:hAnsi="宋体" w:eastAsia="宋体" w:cs="宋体"/>
          <w:highlight w:val="none"/>
        </w:rPr>
      </w:pPr>
    </w:p>
    <w:p w14:paraId="04D4C711">
      <w:pPr>
        <w:pStyle w:val="10"/>
        <w:rPr>
          <w:rFonts w:hint="eastAsia" w:ascii="宋体" w:hAnsi="宋体" w:eastAsia="宋体" w:cs="宋体"/>
          <w:highlight w:val="none"/>
        </w:rPr>
      </w:pPr>
    </w:p>
    <w:p w14:paraId="281F493E">
      <w:pPr>
        <w:pStyle w:val="10"/>
        <w:rPr>
          <w:rFonts w:hint="eastAsia" w:ascii="宋体" w:hAnsi="宋体" w:eastAsia="宋体" w:cs="宋体"/>
          <w:highlight w:val="none"/>
        </w:rPr>
      </w:pPr>
    </w:p>
    <w:p w14:paraId="22055BF8">
      <w:pPr>
        <w:pStyle w:val="10"/>
        <w:rPr>
          <w:rFonts w:hint="eastAsia" w:ascii="宋体" w:hAnsi="宋体" w:eastAsia="宋体" w:cs="宋体"/>
          <w:highlight w:val="none"/>
        </w:rPr>
      </w:pPr>
    </w:p>
    <w:p w14:paraId="7B85D039">
      <w:pPr>
        <w:pStyle w:val="10"/>
        <w:rPr>
          <w:rFonts w:hint="eastAsia" w:ascii="宋体" w:hAnsi="宋体" w:eastAsia="宋体" w:cs="宋体"/>
          <w:highlight w:val="none"/>
        </w:rPr>
      </w:pPr>
    </w:p>
    <w:p w14:paraId="0E64CBF9">
      <w:pPr>
        <w:pStyle w:val="10"/>
        <w:rPr>
          <w:rFonts w:hint="eastAsia" w:ascii="宋体" w:hAnsi="宋体" w:eastAsia="宋体" w:cs="宋体"/>
          <w:highlight w:val="none"/>
        </w:rPr>
      </w:pPr>
    </w:p>
    <w:p w14:paraId="7A304E45">
      <w:pPr>
        <w:pStyle w:val="10"/>
        <w:rPr>
          <w:rFonts w:hint="eastAsia" w:ascii="宋体" w:hAnsi="宋体" w:eastAsia="宋体" w:cs="宋体"/>
          <w:highlight w:val="none"/>
        </w:rPr>
      </w:pPr>
    </w:p>
    <w:p w14:paraId="2D1D926F">
      <w:pPr>
        <w:pStyle w:val="10"/>
        <w:rPr>
          <w:rFonts w:hint="eastAsia" w:ascii="宋体" w:hAnsi="宋体" w:eastAsia="宋体" w:cs="宋体"/>
          <w:highlight w:val="none"/>
        </w:rPr>
      </w:pPr>
    </w:p>
    <w:p w14:paraId="4303CC30">
      <w:pPr>
        <w:pStyle w:val="10"/>
        <w:rPr>
          <w:rFonts w:hint="eastAsia" w:ascii="宋体" w:hAnsi="宋体" w:eastAsia="宋体" w:cs="宋体"/>
          <w:highlight w:val="none"/>
        </w:rPr>
      </w:pPr>
    </w:p>
    <w:p w14:paraId="333408D9">
      <w:pPr>
        <w:pStyle w:val="10"/>
        <w:rPr>
          <w:rFonts w:hint="eastAsia" w:ascii="宋体" w:hAnsi="宋体" w:eastAsia="宋体" w:cs="宋体"/>
          <w:highlight w:val="none"/>
        </w:rPr>
      </w:pPr>
    </w:p>
    <w:p w14:paraId="12624641">
      <w:pPr>
        <w:pStyle w:val="10"/>
        <w:rPr>
          <w:rFonts w:hint="eastAsia" w:ascii="宋体" w:hAnsi="宋体" w:eastAsia="宋体" w:cs="宋体"/>
          <w:highlight w:val="none"/>
        </w:rPr>
      </w:pPr>
    </w:p>
    <w:p w14:paraId="71EA574F">
      <w:pPr>
        <w:pStyle w:val="10"/>
        <w:rPr>
          <w:rFonts w:hint="eastAsia" w:ascii="宋体" w:hAnsi="宋体" w:eastAsia="宋体" w:cs="宋体"/>
          <w:highlight w:val="none"/>
        </w:rPr>
      </w:pPr>
    </w:p>
    <w:p w14:paraId="3F8F4D84">
      <w:pPr>
        <w:pStyle w:val="10"/>
        <w:rPr>
          <w:rFonts w:hint="eastAsia" w:ascii="宋体" w:hAnsi="宋体" w:eastAsia="宋体" w:cs="宋体"/>
          <w:highlight w:val="none"/>
        </w:rPr>
      </w:pPr>
    </w:p>
    <w:p w14:paraId="25B29CFA">
      <w:pPr>
        <w:pStyle w:val="10"/>
        <w:rPr>
          <w:rFonts w:hint="eastAsia" w:ascii="宋体" w:hAnsi="宋体" w:eastAsia="宋体" w:cs="宋体"/>
          <w:highlight w:val="none"/>
        </w:rPr>
      </w:pPr>
    </w:p>
    <w:p w14:paraId="77715C1E">
      <w:pPr>
        <w:pStyle w:val="10"/>
        <w:spacing w:before="8"/>
        <w:rPr>
          <w:rFonts w:hint="eastAsia" w:ascii="宋体" w:hAnsi="宋体" w:eastAsia="宋体" w:cs="宋体"/>
          <w:highlight w:val="none"/>
        </w:rPr>
      </w:pPr>
    </w:p>
    <w:p w14:paraId="49755367">
      <w:pPr>
        <w:pStyle w:val="10"/>
        <w:spacing w:before="56"/>
        <w:ind w:left="1" w:right="199"/>
        <w:jc w:val="center"/>
        <w:rPr>
          <w:rFonts w:hint="eastAsia" w:ascii="宋体" w:hAnsi="宋体" w:eastAsia="宋体" w:cs="宋体"/>
          <w:highlight w:val="none"/>
        </w:rPr>
      </w:pPr>
      <w:bookmarkStart w:id="105" w:name="（四）近年完成的类似项目情况表"/>
      <w:bookmarkEnd w:id="105"/>
    </w:p>
    <w:p w14:paraId="7AC353B3">
      <w:pPr>
        <w:pStyle w:val="10"/>
        <w:spacing w:before="56"/>
        <w:ind w:left="1" w:right="199"/>
        <w:jc w:val="center"/>
        <w:rPr>
          <w:rFonts w:hint="eastAsia" w:ascii="宋体" w:hAnsi="宋体" w:eastAsia="宋体" w:cs="宋体"/>
          <w:highlight w:val="none"/>
        </w:rPr>
      </w:pPr>
    </w:p>
    <w:p w14:paraId="6F27F519">
      <w:pPr>
        <w:pStyle w:val="10"/>
        <w:spacing w:before="56"/>
        <w:ind w:left="1" w:right="199"/>
        <w:jc w:val="center"/>
        <w:rPr>
          <w:rFonts w:hint="eastAsia" w:ascii="宋体" w:hAnsi="宋体" w:eastAsia="宋体" w:cs="宋体"/>
          <w:highlight w:val="none"/>
        </w:rPr>
      </w:pPr>
    </w:p>
    <w:p w14:paraId="1A3B1482">
      <w:pPr>
        <w:pStyle w:val="10"/>
        <w:spacing w:before="56"/>
        <w:ind w:left="1" w:right="199"/>
        <w:jc w:val="center"/>
        <w:rPr>
          <w:rFonts w:hint="eastAsia" w:ascii="宋体" w:hAnsi="宋体" w:eastAsia="宋体" w:cs="宋体"/>
          <w:highlight w:val="none"/>
        </w:rPr>
      </w:pPr>
    </w:p>
    <w:p w14:paraId="47EE0BBD">
      <w:pPr>
        <w:pStyle w:val="10"/>
        <w:spacing w:before="56"/>
        <w:ind w:left="1" w:right="199"/>
        <w:jc w:val="center"/>
        <w:rPr>
          <w:rFonts w:hint="eastAsia" w:ascii="宋体" w:hAnsi="宋体" w:eastAsia="宋体" w:cs="宋体"/>
          <w:highlight w:val="none"/>
        </w:rPr>
      </w:pPr>
    </w:p>
    <w:p w14:paraId="73E64E07">
      <w:pPr>
        <w:pStyle w:val="10"/>
        <w:spacing w:before="56"/>
        <w:ind w:left="1" w:right="199"/>
        <w:jc w:val="center"/>
        <w:rPr>
          <w:rFonts w:hint="eastAsia" w:ascii="宋体" w:hAnsi="宋体" w:eastAsia="宋体" w:cs="宋体"/>
          <w:highlight w:val="none"/>
        </w:rPr>
      </w:pPr>
    </w:p>
    <w:p w14:paraId="26D48840">
      <w:pPr>
        <w:pStyle w:val="10"/>
        <w:spacing w:before="56"/>
        <w:ind w:left="1" w:right="199"/>
        <w:jc w:val="center"/>
        <w:rPr>
          <w:rFonts w:hint="eastAsia" w:ascii="宋体" w:hAnsi="宋体" w:eastAsia="宋体" w:cs="宋体"/>
          <w:highlight w:val="none"/>
        </w:rPr>
      </w:pPr>
    </w:p>
    <w:p w14:paraId="03790095">
      <w:pPr>
        <w:pStyle w:val="10"/>
        <w:spacing w:before="56"/>
        <w:ind w:left="1" w:right="199"/>
        <w:jc w:val="center"/>
        <w:rPr>
          <w:rFonts w:hint="eastAsia" w:ascii="宋体" w:hAnsi="宋体" w:eastAsia="宋体" w:cs="宋体"/>
          <w:highlight w:val="none"/>
        </w:rPr>
      </w:pPr>
    </w:p>
    <w:p w14:paraId="20C68763">
      <w:pPr>
        <w:pStyle w:val="10"/>
        <w:spacing w:before="56"/>
        <w:ind w:left="1" w:right="199"/>
        <w:jc w:val="center"/>
        <w:rPr>
          <w:rFonts w:hint="eastAsia" w:ascii="宋体" w:hAnsi="宋体" w:eastAsia="宋体" w:cs="宋体"/>
          <w:highlight w:val="none"/>
        </w:rPr>
      </w:pPr>
    </w:p>
    <w:p w14:paraId="29778144">
      <w:pPr>
        <w:pStyle w:val="10"/>
        <w:spacing w:before="56"/>
        <w:ind w:right="199"/>
        <w:jc w:val="both"/>
        <w:rPr>
          <w:rFonts w:hint="eastAsia" w:ascii="宋体" w:hAnsi="宋体" w:eastAsia="宋体" w:cs="宋体"/>
          <w:highlight w:val="none"/>
        </w:rPr>
      </w:pPr>
    </w:p>
    <w:p w14:paraId="3FE4A0D3">
      <w:pPr>
        <w:pStyle w:val="10"/>
        <w:spacing w:before="56"/>
        <w:ind w:left="1" w:right="199"/>
        <w:jc w:val="center"/>
        <w:rPr>
          <w:rFonts w:hint="eastAsia" w:ascii="宋体" w:hAnsi="宋体" w:eastAsia="宋体" w:cs="宋体"/>
          <w:highlight w:val="none"/>
        </w:rPr>
      </w:pPr>
      <w:r>
        <w:rPr>
          <w:rFonts w:hint="eastAsia" w:ascii="宋体" w:hAnsi="宋体" w:eastAsia="宋体" w:cs="宋体"/>
          <w:highlight w:val="none"/>
        </w:rPr>
        <w:t>（四）近三年完成的类似项目情况表</w:t>
      </w:r>
    </w:p>
    <w:p w14:paraId="1060DC45">
      <w:pPr>
        <w:pStyle w:val="10"/>
        <w:rPr>
          <w:rFonts w:hint="eastAsia" w:ascii="宋体" w:hAnsi="宋体" w:eastAsia="宋体" w:cs="宋体"/>
          <w:sz w:val="20"/>
          <w:highlight w:val="none"/>
        </w:rPr>
      </w:pPr>
    </w:p>
    <w:p w14:paraId="7D44B909">
      <w:pPr>
        <w:pStyle w:val="10"/>
        <w:spacing w:before="12"/>
        <w:rPr>
          <w:rFonts w:hint="eastAsia" w:ascii="宋体" w:hAnsi="宋体" w:eastAsia="宋体" w:cs="宋体"/>
          <w:sz w:val="14"/>
          <w:highlight w:val="none"/>
        </w:rPr>
      </w:pPr>
    </w:p>
    <w:tbl>
      <w:tblPr>
        <w:tblStyle w:val="24"/>
        <w:tblW w:w="9368" w:type="dxa"/>
        <w:tblInd w:w="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59"/>
        <w:gridCol w:w="6609"/>
      </w:tblGrid>
      <w:tr w14:paraId="5174A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759" w:type="dxa"/>
          </w:tcPr>
          <w:p w14:paraId="27FAB619">
            <w:pPr>
              <w:pStyle w:val="30"/>
              <w:spacing w:before="12"/>
              <w:rPr>
                <w:rFonts w:hint="eastAsia" w:ascii="宋体" w:hAnsi="宋体" w:eastAsia="宋体" w:cs="宋体"/>
                <w:sz w:val="20"/>
                <w:highlight w:val="none"/>
              </w:rPr>
            </w:pPr>
          </w:p>
          <w:p w14:paraId="40B821D6">
            <w:pPr>
              <w:pStyle w:val="30"/>
              <w:tabs>
                <w:tab w:val="left" w:pos="608"/>
              </w:tabs>
              <w:ind w:left="8"/>
              <w:jc w:val="center"/>
              <w:rPr>
                <w:rFonts w:hint="eastAsia" w:ascii="宋体" w:hAnsi="宋体" w:eastAsia="宋体" w:cs="宋体"/>
                <w:sz w:val="20"/>
                <w:highlight w:val="none"/>
              </w:rPr>
            </w:pPr>
            <w:r>
              <w:rPr>
                <w:rFonts w:hint="eastAsia" w:ascii="宋体" w:hAnsi="宋体" w:eastAsia="宋体" w:cs="宋体"/>
                <w:sz w:val="20"/>
                <w:highlight w:val="none"/>
              </w:rPr>
              <w:t>序</w:t>
            </w:r>
            <w:r>
              <w:rPr>
                <w:rFonts w:hint="eastAsia" w:ascii="宋体" w:hAnsi="宋体" w:eastAsia="宋体" w:cs="宋体"/>
                <w:sz w:val="20"/>
                <w:highlight w:val="none"/>
              </w:rPr>
              <w:tab/>
            </w:r>
            <w:r>
              <w:rPr>
                <w:rFonts w:hint="eastAsia" w:ascii="宋体" w:hAnsi="宋体" w:eastAsia="宋体" w:cs="宋体"/>
                <w:sz w:val="20"/>
                <w:highlight w:val="none"/>
              </w:rPr>
              <w:t>号</w:t>
            </w:r>
          </w:p>
        </w:tc>
        <w:tc>
          <w:tcPr>
            <w:tcW w:w="6609" w:type="dxa"/>
          </w:tcPr>
          <w:p w14:paraId="69596CDB">
            <w:pPr>
              <w:pStyle w:val="30"/>
              <w:rPr>
                <w:rFonts w:hint="eastAsia" w:ascii="宋体" w:hAnsi="宋体" w:eastAsia="宋体" w:cs="宋体"/>
                <w:sz w:val="20"/>
                <w:highlight w:val="none"/>
              </w:rPr>
            </w:pPr>
          </w:p>
        </w:tc>
      </w:tr>
      <w:tr w14:paraId="6540D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759" w:type="dxa"/>
          </w:tcPr>
          <w:p w14:paraId="6B5BD338">
            <w:pPr>
              <w:pStyle w:val="30"/>
              <w:spacing w:before="11"/>
              <w:rPr>
                <w:rFonts w:hint="eastAsia" w:ascii="宋体" w:hAnsi="宋体" w:eastAsia="宋体" w:cs="宋体"/>
                <w:sz w:val="20"/>
                <w:highlight w:val="none"/>
              </w:rPr>
            </w:pPr>
          </w:p>
          <w:p w14:paraId="77539505">
            <w:pPr>
              <w:pStyle w:val="30"/>
              <w:ind w:left="8"/>
              <w:jc w:val="center"/>
              <w:rPr>
                <w:rFonts w:hint="eastAsia" w:ascii="宋体" w:hAnsi="宋体" w:eastAsia="宋体" w:cs="宋体"/>
                <w:sz w:val="20"/>
                <w:highlight w:val="none"/>
              </w:rPr>
            </w:pPr>
            <w:r>
              <w:rPr>
                <w:rFonts w:hint="eastAsia" w:ascii="宋体" w:hAnsi="宋体" w:eastAsia="宋体" w:cs="宋体"/>
                <w:sz w:val="20"/>
                <w:highlight w:val="none"/>
              </w:rPr>
              <w:t>项目名称</w:t>
            </w:r>
          </w:p>
        </w:tc>
        <w:tc>
          <w:tcPr>
            <w:tcW w:w="6609" w:type="dxa"/>
          </w:tcPr>
          <w:p w14:paraId="1A24CC32">
            <w:pPr>
              <w:pStyle w:val="30"/>
              <w:rPr>
                <w:rFonts w:hint="eastAsia" w:ascii="宋体" w:hAnsi="宋体" w:eastAsia="宋体" w:cs="宋体"/>
                <w:sz w:val="20"/>
                <w:highlight w:val="none"/>
              </w:rPr>
            </w:pPr>
          </w:p>
        </w:tc>
      </w:tr>
      <w:tr w14:paraId="13991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759" w:type="dxa"/>
          </w:tcPr>
          <w:p w14:paraId="1EE06C30">
            <w:pPr>
              <w:pStyle w:val="30"/>
              <w:spacing w:before="4"/>
              <w:rPr>
                <w:rFonts w:hint="eastAsia" w:ascii="宋体" w:hAnsi="宋体" w:eastAsia="宋体" w:cs="宋体"/>
                <w:sz w:val="18"/>
                <w:highlight w:val="none"/>
              </w:rPr>
            </w:pPr>
          </w:p>
          <w:p w14:paraId="73FAB31F">
            <w:pPr>
              <w:pStyle w:val="30"/>
              <w:spacing w:before="1"/>
              <w:ind w:left="5"/>
              <w:jc w:val="center"/>
              <w:rPr>
                <w:rFonts w:hint="eastAsia" w:ascii="宋体" w:hAnsi="宋体" w:eastAsia="宋体" w:cs="宋体"/>
                <w:sz w:val="20"/>
                <w:highlight w:val="none"/>
              </w:rPr>
            </w:pPr>
            <w:r>
              <w:rPr>
                <w:rFonts w:hint="eastAsia" w:ascii="宋体" w:hAnsi="宋体" w:eastAsia="宋体" w:cs="宋体"/>
                <w:sz w:val="20"/>
                <w:highlight w:val="none"/>
              </w:rPr>
              <w:t>项目所在地</w:t>
            </w:r>
          </w:p>
        </w:tc>
        <w:tc>
          <w:tcPr>
            <w:tcW w:w="6609" w:type="dxa"/>
          </w:tcPr>
          <w:p w14:paraId="1E93F3EC">
            <w:pPr>
              <w:pStyle w:val="30"/>
              <w:rPr>
                <w:rFonts w:hint="eastAsia" w:ascii="宋体" w:hAnsi="宋体" w:eastAsia="宋体" w:cs="宋体"/>
                <w:sz w:val="20"/>
                <w:highlight w:val="none"/>
              </w:rPr>
            </w:pPr>
          </w:p>
        </w:tc>
      </w:tr>
      <w:tr w14:paraId="77F48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759" w:type="dxa"/>
          </w:tcPr>
          <w:p w14:paraId="74E6973F">
            <w:pPr>
              <w:pStyle w:val="30"/>
              <w:spacing w:before="10"/>
              <w:rPr>
                <w:rFonts w:hint="eastAsia" w:ascii="宋体" w:hAnsi="宋体" w:eastAsia="宋体" w:cs="宋体"/>
                <w:sz w:val="18"/>
                <w:highlight w:val="none"/>
              </w:rPr>
            </w:pPr>
          </w:p>
          <w:p w14:paraId="68EF33FC">
            <w:pPr>
              <w:pStyle w:val="30"/>
              <w:ind w:left="5"/>
              <w:jc w:val="center"/>
              <w:rPr>
                <w:rFonts w:hint="eastAsia" w:ascii="宋体" w:hAnsi="宋体" w:eastAsia="宋体" w:cs="宋体"/>
                <w:sz w:val="20"/>
                <w:highlight w:val="none"/>
              </w:rPr>
            </w:pPr>
            <w:r>
              <w:rPr>
                <w:rFonts w:hint="eastAsia" w:ascii="宋体" w:hAnsi="宋体" w:eastAsia="宋体" w:cs="宋体"/>
                <w:sz w:val="20"/>
                <w:highlight w:val="none"/>
              </w:rPr>
              <w:t>发包人名称</w:t>
            </w:r>
          </w:p>
        </w:tc>
        <w:tc>
          <w:tcPr>
            <w:tcW w:w="6609" w:type="dxa"/>
          </w:tcPr>
          <w:p w14:paraId="083E7E35">
            <w:pPr>
              <w:pStyle w:val="30"/>
              <w:rPr>
                <w:rFonts w:hint="eastAsia" w:ascii="宋体" w:hAnsi="宋体" w:eastAsia="宋体" w:cs="宋体"/>
                <w:sz w:val="20"/>
                <w:highlight w:val="none"/>
              </w:rPr>
            </w:pPr>
          </w:p>
        </w:tc>
      </w:tr>
      <w:tr w14:paraId="1B224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759" w:type="dxa"/>
          </w:tcPr>
          <w:p w14:paraId="245020A4">
            <w:pPr>
              <w:pStyle w:val="30"/>
              <w:spacing w:before="5"/>
              <w:rPr>
                <w:rFonts w:hint="eastAsia" w:ascii="宋体" w:hAnsi="宋体" w:eastAsia="宋体" w:cs="宋体"/>
                <w:sz w:val="18"/>
                <w:highlight w:val="none"/>
              </w:rPr>
            </w:pPr>
          </w:p>
          <w:p w14:paraId="1A4DC823">
            <w:pPr>
              <w:pStyle w:val="30"/>
              <w:ind w:left="5"/>
              <w:jc w:val="center"/>
              <w:rPr>
                <w:rFonts w:hint="eastAsia" w:ascii="宋体" w:hAnsi="宋体" w:eastAsia="宋体" w:cs="宋体"/>
                <w:sz w:val="20"/>
                <w:highlight w:val="none"/>
              </w:rPr>
            </w:pPr>
            <w:r>
              <w:rPr>
                <w:rFonts w:hint="eastAsia" w:ascii="宋体" w:hAnsi="宋体" w:eastAsia="宋体" w:cs="宋体"/>
                <w:sz w:val="20"/>
                <w:highlight w:val="none"/>
              </w:rPr>
              <w:t>发包人地址</w:t>
            </w:r>
          </w:p>
        </w:tc>
        <w:tc>
          <w:tcPr>
            <w:tcW w:w="6609" w:type="dxa"/>
          </w:tcPr>
          <w:p w14:paraId="27248DD7">
            <w:pPr>
              <w:pStyle w:val="30"/>
              <w:rPr>
                <w:rFonts w:hint="eastAsia" w:ascii="宋体" w:hAnsi="宋体" w:eastAsia="宋体" w:cs="宋体"/>
                <w:sz w:val="20"/>
                <w:highlight w:val="none"/>
              </w:rPr>
            </w:pPr>
          </w:p>
        </w:tc>
      </w:tr>
      <w:tr w14:paraId="4A52E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759" w:type="dxa"/>
          </w:tcPr>
          <w:p w14:paraId="1D240190">
            <w:pPr>
              <w:pStyle w:val="30"/>
              <w:spacing w:before="9"/>
              <w:rPr>
                <w:rFonts w:hint="eastAsia" w:ascii="宋体" w:hAnsi="宋体" w:eastAsia="宋体" w:cs="宋体"/>
                <w:sz w:val="18"/>
                <w:highlight w:val="none"/>
              </w:rPr>
            </w:pPr>
          </w:p>
          <w:p w14:paraId="6C3E1D47">
            <w:pPr>
              <w:pStyle w:val="30"/>
              <w:ind w:left="5"/>
              <w:jc w:val="center"/>
              <w:rPr>
                <w:rFonts w:hint="eastAsia" w:ascii="宋体" w:hAnsi="宋体" w:eastAsia="宋体" w:cs="宋体"/>
                <w:sz w:val="20"/>
                <w:highlight w:val="none"/>
              </w:rPr>
            </w:pPr>
            <w:r>
              <w:rPr>
                <w:rFonts w:hint="eastAsia" w:ascii="宋体" w:hAnsi="宋体" w:eastAsia="宋体" w:cs="宋体"/>
                <w:sz w:val="20"/>
                <w:highlight w:val="none"/>
              </w:rPr>
              <w:t>发包人电话</w:t>
            </w:r>
          </w:p>
        </w:tc>
        <w:tc>
          <w:tcPr>
            <w:tcW w:w="6609" w:type="dxa"/>
          </w:tcPr>
          <w:p w14:paraId="1C7DA125">
            <w:pPr>
              <w:pStyle w:val="30"/>
              <w:rPr>
                <w:rFonts w:hint="eastAsia" w:ascii="宋体" w:hAnsi="宋体" w:eastAsia="宋体" w:cs="宋体"/>
                <w:sz w:val="20"/>
                <w:highlight w:val="none"/>
              </w:rPr>
            </w:pPr>
          </w:p>
        </w:tc>
      </w:tr>
      <w:tr w14:paraId="7DC7E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759" w:type="dxa"/>
          </w:tcPr>
          <w:p w14:paraId="7B2CCCD4">
            <w:pPr>
              <w:pStyle w:val="30"/>
              <w:spacing w:before="7"/>
              <w:rPr>
                <w:rFonts w:hint="eastAsia" w:ascii="宋体" w:hAnsi="宋体" w:eastAsia="宋体" w:cs="宋体"/>
                <w:sz w:val="18"/>
                <w:highlight w:val="none"/>
              </w:rPr>
            </w:pPr>
          </w:p>
          <w:p w14:paraId="32C95ED5">
            <w:pPr>
              <w:pStyle w:val="30"/>
              <w:ind w:left="8"/>
              <w:jc w:val="center"/>
              <w:rPr>
                <w:rFonts w:hint="eastAsia" w:ascii="宋体" w:hAnsi="宋体" w:eastAsia="宋体" w:cs="宋体"/>
                <w:sz w:val="20"/>
                <w:highlight w:val="none"/>
              </w:rPr>
            </w:pPr>
            <w:r>
              <w:rPr>
                <w:rFonts w:hint="eastAsia" w:ascii="宋体" w:hAnsi="宋体" w:eastAsia="宋体" w:cs="宋体"/>
                <w:sz w:val="20"/>
                <w:highlight w:val="none"/>
              </w:rPr>
              <w:t>合同价格</w:t>
            </w:r>
          </w:p>
        </w:tc>
        <w:tc>
          <w:tcPr>
            <w:tcW w:w="6609" w:type="dxa"/>
          </w:tcPr>
          <w:p w14:paraId="57ED5035">
            <w:pPr>
              <w:pStyle w:val="30"/>
              <w:rPr>
                <w:rFonts w:hint="eastAsia" w:ascii="宋体" w:hAnsi="宋体" w:eastAsia="宋体" w:cs="宋体"/>
                <w:sz w:val="20"/>
                <w:highlight w:val="none"/>
              </w:rPr>
            </w:pPr>
          </w:p>
        </w:tc>
      </w:tr>
      <w:tr w14:paraId="40033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759" w:type="dxa"/>
          </w:tcPr>
          <w:p w14:paraId="74C4E997">
            <w:pPr>
              <w:pStyle w:val="30"/>
              <w:spacing w:before="3"/>
              <w:rPr>
                <w:rFonts w:hint="eastAsia" w:ascii="宋体" w:hAnsi="宋体" w:eastAsia="宋体" w:cs="宋体"/>
                <w:sz w:val="19"/>
                <w:highlight w:val="none"/>
              </w:rPr>
            </w:pPr>
          </w:p>
          <w:p w14:paraId="63D1368A">
            <w:pPr>
              <w:pStyle w:val="30"/>
              <w:ind w:left="8"/>
              <w:jc w:val="center"/>
              <w:rPr>
                <w:rFonts w:hint="eastAsia" w:ascii="宋体" w:hAnsi="宋体" w:eastAsia="宋体" w:cs="宋体"/>
                <w:sz w:val="20"/>
                <w:highlight w:val="none"/>
              </w:rPr>
            </w:pPr>
            <w:r>
              <w:rPr>
                <w:rFonts w:hint="eastAsia" w:ascii="宋体" w:hAnsi="宋体" w:eastAsia="宋体" w:cs="宋体"/>
                <w:sz w:val="20"/>
                <w:highlight w:val="none"/>
              </w:rPr>
              <w:t>交工日期</w:t>
            </w:r>
          </w:p>
        </w:tc>
        <w:tc>
          <w:tcPr>
            <w:tcW w:w="6609" w:type="dxa"/>
          </w:tcPr>
          <w:p w14:paraId="63017355">
            <w:pPr>
              <w:pStyle w:val="30"/>
              <w:rPr>
                <w:rFonts w:hint="eastAsia" w:ascii="宋体" w:hAnsi="宋体" w:eastAsia="宋体" w:cs="宋体"/>
                <w:sz w:val="20"/>
                <w:highlight w:val="none"/>
              </w:rPr>
            </w:pPr>
          </w:p>
        </w:tc>
      </w:tr>
      <w:tr w14:paraId="7EDDB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759" w:type="dxa"/>
          </w:tcPr>
          <w:p w14:paraId="3EEF49CA">
            <w:pPr>
              <w:pStyle w:val="30"/>
              <w:spacing w:before="5"/>
              <w:rPr>
                <w:rFonts w:hint="eastAsia" w:ascii="宋体" w:hAnsi="宋体" w:eastAsia="宋体" w:cs="宋体"/>
                <w:sz w:val="18"/>
                <w:highlight w:val="none"/>
              </w:rPr>
            </w:pPr>
          </w:p>
          <w:p w14:paraId="7EAC06A9">
            <w:pPr>
              <w:pStyle w:val="30"/>
              <w:spacing w:before="1"/>
              <w:ind w:left="5"/>
              <w:jc w:val="center"/>
              <w:rPr>
                <w:rFonts w:hint="eastAsia" w:ascii="宋体" w:hAnsi="宋体" w:eastAsia="宋体" w:cs="宋体"/>
                <w:sz w:val="20"/>
                <w:highlight w:val="none"/>
              </w:rPr>
            </w:pPr>
            <w:r>
              <w:rPr>
                <w:rFonts w:hint="eastAsia" w:ascii="宋体" w:hAnsi="宋体" w:eastAsia="宋体" w:cs="宋体"/>
                <w:sz w:val="20"/>
                <w:highlight w:val="none"/>
              </w:rPr>
              <w:t>承担的工作</w:t>
            </w:r>
          </w:p>
        </w:tc>
        <w:tc>
          <w:tcPr>
            <w:tcW w:w="6609" w:type="dxa"/>
          </w:tcPr>
          <w:p w14:paraId="283BADF0">
            <w:pPr>
              <w:pStyle w:val="30"/>
              <w:rPr>
                <w:rFonts w:hint="eastAsia" w:ascii="宋体" w:hAnsi="宋体" w:eastAsia="宋体" w:cs="宋体"/>
                <w:sz w:val="20"/>
                <w:highlight w:val="none"/>
              </w:rPr>
            </w:pPr>
          </w:p>
        </w:tc>
      </w:tr>
      <w:tr w14:paraId="7393C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759" w:type="dxa"/>
          </w:tcPr>
          <w:p w14:paraId="2A1B95B1">
            <w:pPr>
              <w:pStyle w:val="30"/>
              <w:spacing w:before="10"/>
              <w:rPr>
                <w:rFonts w:hint="eastAsia" w:ascii="宋体" w:hAnsi="宋体" w:eastAsia="宋体" w:cs="宋体"/>
                <w:sz w:val="18"/>
                <w:highlight w:val="none"/>
              </w:rPr>
            </w:pPr>
          </w:p>
          <w:p w14:paraId="77F630BD">
            <w:pPr>
              <w:pStyle w:val="30"/>
              <w:ind w:left="8"/>
              <w:jc w:val="center"/>
              <w:rPr>
                <w:rFonts w:hint="eastAsia" w:ascii="宋体" w:hAnsi="宋体" w:eastAsia="宋体" w:cs="宋体"/>
                <w:sz w:val="20"/>
                <w:highlight w:val="none"/>
              </w:rPr>
            </w:pPr>
            <w:r>
              <w:rPr>
                <w:rFonts w:hint="eastAsia" w:ascii="宋体" w:hAnsi="宋体" w:eastAsia="宋体" w:cs="宋体"/>
                <w:sz w:val="20"/>
                <w:highlight w:val="none"/>
              </w:rPr>
              <w:t>工程质量</w:t>
            </w:r>
          </w:p>
        </w:tc>
        <w:tc>
          <w:tcPr>
            <w:tcW w:w="6609" w:type="dxa"/>
          </w:tcPr>
          <w:p w14:paraId="7AE26213">
            <w:pPr>
              <w:pStyle w:val="30"/>
              <w:rPr>
                <w:rFonts w:hint="eastAsia" w:ascii="宋体" w:hAnsi="宋体" w:eastAsia="宋体" w:cs="宋体"/>
                <w:sz w:val="20"/>
                <w:highlight w:val="none"/>
              </w:rPr>
            </w:pPr>
          </w:p>
        </w:tc>
      </w:tr>
      <w:tr w14:paraId="5C9B4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759" w:type="dxa"/>
          </w:tcPr>
          <w:p w14:paraId="2F5D0A7E">
            <w:pPr>
              <w:pStyle w:val="30"/>
              <w:spacing w:before="7"/>
              <w:rPr>
                <w:rFonts w:hint="eastAsia" w:ascii="宋体" w:hAnsi="宋体" w:eastAsia="宋体" w:cs="宋体"/>
                <w:sz w:val="18"/>
                <w:highlight w:val="none"/>
              </w:rPr>
            </w:pPr>
          </w:p>
          <w:p w14:paraId="3A321A71">
            <w:pPr>
              <w:pStyle w:val="30"/>
              <w:ind w:left="8"/>
              <w:jc w:val="center"/>
              <w:rPr>
                <w:rFonts w:hint="eastAsia" w:ascii="宋体" w:hAnsi="宋体" w:eastAsia="宋体" w:cs="宋体"/>
                <w:sz w:val="20"/>
                <w:highlight w:val="none"/>
              </w:rPr>
            </w:pPr>
            <w:r>
              <w:rPr>
                <w:rFonts w:hint="eastAsia" w:ascii="宋体" w:hAnsi="宋体" w:eastAsia="宋体" w:cs="宋体"/>
                <w:sz w:val="20"/>
                <w:highlight w:val="none"/>
              </w:rPr>
              <w:t>项目经理</w:t>
            </w:r>
          </w:p>
        </w:tc>
        <w:tc>
          <w:tcPr>
            <w:tcW w:w="6609" w:type="dxa"/>
          </w:tcPr>
          <w:p w14:paraId="41B359B2">
            <w:pPr>
              <w:pStyle w:val="30"/>
              <w:rPr>
                <w:rFonts w:hint="eastAsia" w:ascii="宋体" w:hAnsi="宋体" w:eastAsia="宋体" w:cs="宋体"/>
                <w:sz w:val="20"/>
                <w:highlight w:val="none"/>
              </w:rPr>
            </w:pPr>
          </w:p>
        </w:tc>
      </w:tr>
      <w:tr w14:paraId="26001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759" w:type="dxa"/>
          </w:tcPr>
          <w:p w14:paraId="6BB2C968">
            <w:pPr>
              <w:pStyle w:val="30"/>
              <w:spacing w:before="9"/>
              <w:rPr>
                <w:rFonts w:hint="eastAsia" w:ascii="宋体" w:hAnsi="宋体" w:eastAsia="宋体" w:cs="宋体"/>
                <w:sz w:val="18"/>
                <w:highlight w:val="none"/>
              </w:rPr>
            </w:pPr>
          </w:p>
          <w:p w14:paraId="22C0AB4B">
            <w:pPr>
              <w:pStyle w:val="30"/>
              <w:ind w:left="8"/>
              <w:jc w:val="center"/>
              <w:rPr>
                <w:rFonts w:hint="eastAsia" w:ascii="宋体" w:hAnsi="宋体" w:eastAsia="宋体" w:cs="宋体"/>
                <w:sz w:val="20"/>
                <w:highlight w:val="none"/>
              </w:rPr>
            </w:pPr>
            <w:r>
              <w:rPr>
                <w:rFonts w:hint="eastAsia" w:ascii="宋体" w:hAnsi="宋体" w:eastAsia="宋体" w:cs="宋体"/>
                <w:sz w:val="20"/>
                <w:highlight w:val="none"/>
              </w:rPr>
              <w:t>项目总工</w:t>
            </w:r>
          </w:p>
        </w:tc>
        <w:tc>
          <w:tcPr>
            <w:tcW w:w="6609" w:type="dxa"/>
          </w:tcPr>
          <w:p w14:paraId="78F1D0FB">
            <w:pPr>
              <w:pStyle w:val="30"/>
              <w:rPr>
                <w:rFonts w:hint="eastAsia" w:ascii="宋体" w:hAnsi="宋体" w:eastAsia="宋体" w:cs="宋体"/>
                <w:sz w:val="20"/>
                <w:highlight w:val="none"/>
              </w:rPr>
            </w:pPr>
          </w:p>
        </w:tc>
      </w:tr>
      <w:tr w14:paraId="52D60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759" w:type="dxa"/>
          </w:tcPr>
          <w:p w14:paraId="531DE32D">
            <w:pPr>
              <w:pStyle w:val="30"/>
              <w:spacing w:before="6"/>
              <w:rPr>
                <w:rFonts w:hint="eastAsia" w:ascii="宋体" w:hAnsi="宋体" w:eastAsia="宋体" w:cs="宋体"/>
                <w:sz w:val="18"/>
                <w:highlight w:val="none"/>
              </w:rPr>
            </w:pPr>
          </w:p>
          <w:p w14:paraId="65328C9C">
            <w:pPr>
              <w:pStyle w:val="30"/>
              <w:ind w:left="10"/>
              <w:jc w:val="center"/>
              <w:rPr>
                <w:rFonts w:hint="eastAsia" w:ascii="宋体" w:hAnsi="宋体" w:eastAsia="宋体" w:cs="宋体"/>
                <w:sz w:val="20"/>
                <w:highlight w:val="none"/>
              </w:rPr>
            </w:pPr>
            <w:r>
              <w:rPr>
                <w:rFonts w:hint="eastAsia" w:ascii="宋体" w:hAnsi="宋体" w:eastAsia="宋体" w:cs="宋体"/>
                <w:sz w:val="20"/>
                <w:highlight w:val="none"/>
              </w:rPr>
              <w:t>总监理工程师及电话</w:t>
            </w:r>
          </w:p>
        </w:tc>
        <w:tc>
          <w:tcPr>
            <w:tcW w:w="6609" w:type="dxa"/>
          </w:tcPr>
          <w:p w14:paraId="451D3FD6">
            <w:pPr>
              <w:pStyle w:val="30"/>
              <w:rPr>
                <w:rFonts w:hint="eastAsia" w:ascii="宋体" w:hAnsi="宋体" w:eastAsia="宋体" w:cs="宋体"/>
                <w:sz w:val="20"/>
                <w:highlight w:val="none"/>
              </w:rPr>
            </w:pPr>
          </w:p>
        </w:tc>
      </w:tr>
      <w:tr w14:paraId="514D4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2759" w:type="dxa"/>
          </w:tcPr>
          <w:p w14:paraId="607E7116">
            <w:pPr>
              <w:pStyle w:val="30"/>
              <w:rPr>
                <w:rFonts w:hint="eastAsia" w:ascii="宋体" w:hAnsi="宋体" w:eastAsia="宋体" w:cs="宋体"/>
                <w:sz w:val="20"/>
                <w:highlight w:val="none"/>
              </w:rPr>
            </w:pPr>
          </w:p>
          <w:p w14:paraId="70C4CD93">
            <w:pPr>
              <w:pStyle w:val="30"/>
              <w:spacing w:before="4"/>
              <w:rPr>
                <w:rFonts w:hint="eastAsia" w:ascii="宋体" w:hAnsi="宋体" w:eastAsia="宋体" w:cs="宋体"/>
                <w:sz w:val="26"/>
                <w:highlight w:val="none"/>
              </w:rPr>
            </w:pPr>
          </w:p>
          <w:p w14:paraId="2BB33B1F">
            <w:pPr>
              <w:pStyle w:val="30"/>
              <w:spacing w:before="1"/>
              <w:ind w:left="8"/>
              <w:jc w:val="center"/>
              <w:rPr>
                <w:rFonts w:hint="eastAsia" w:ascii="宋体" w:hAnsi="宋体" w:eastAsia="宋体" w:cs="宋体"/>
                <w:sz w:val="20"/>
                <w:highlight w:val="none"/>
              </w:rPr>
            </w:pPr>
            <w:r>
              <w:rPr>
                <w:rFonts w:hint="eastAsia" w:ascii="宋体" w:hAnsi="宋体" w:eastAsia="宋体" w:cs="宋体"/>
                <w:sz w:val="20"/>
                <w:highlight w:val="none"/>
              </w:rPr>
              <w:t>项目描述</w:t>
            </w:r>
          </w:p>
        </w:tc>
        <w:tc>
          <w:tcPr>
            <w:tcW w:w="6609" w:type="dxa"/>
          </w:tcPr>
          <w:p w14:paraId="00503A63">
            <w:pPr>
              <w:pStyle w:val="30"/>
              <w:rPr>
                <w:rFonts w:hint="eastAsia" w:ascii="宋体" w:hAnsi="宋体" w:eastAsia="宋体" w:cs="宋体"/>
                <w:sz w:val="20"/>
                <w:highlight w:val="none"/>
              </w:rPr>
            </w:pPr>
          </w:p>
        </w:tc>
      </w:tr>
      <w:tr w14:paraId="1DCEE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759" w:type="dxa"/>
          </w:tcPr>
          <w:p w14:paraId="49BDA0EA">
            <w:pPr>
              <w:pStyle w:val="30"/>
              <w:spacing w:before="5"/>
              <w:rPr>
                <w:rFonts w:hint="eastAsia" w:ascii="宋体" w:hAnsi="宋体" w:eastAsia="宋体" w:cs="宋体"/>
                <w:sz w:val="18"/>
                <w:highlight w:val="none"/>
              </w:rPr>
            </w:pPr>
          </w:p>
          <w:p w14:paraId="5EE75C48">
            <w:pPr>
              <w:pStyle w:val="30"/>
              <w:ind w:left="5"/>
              <w:jc w:val="center"/>
              <w:rPr>
                <w:rFonts w:hint="eastAsia" w:ascii="宋体" w:hAnsi="宋体" w:eastAsia="宋体" w:cs="宋体"/>
                <w:sz w:val="20"/>
                <w:highlight w:val="none"/>
              </w:rPr>
            </w:pPr>
            <w:r>
              <w:rPr>
                <w:rFonts w:hint="eastAsia" w:ascii="宋体" w:hAnsi="宋体" w:eastAsia="宋体" w:cs="宋体"/>
                <w:sz w:val="20"/>
                <w:highlight w:val="none"/>
              </w:rPr>
              <w:t>备注</w:t>
            </w:r>
          </w:p>
        </w:tc>
        <w:tc>
          <w:tcPr>
            <w:tcW w:w="6609" w:type="dxa"/>
          </w:tcPr>
          <w:p w14:paraId="7B05941D">
            <w:pPr>
              <w:pStyle w:val="30"/>
              <w:rPr>
                <w:rFonts w:hint="eastAsia" w:ascii="宋体" w:hAnsi="宋体" w:eastAsia="宋体" w:cs="宋体"/>
                <w:sz w:val="20"/>
                <w:highlight w:val="none"/>
              </w:rPr>
            </w:pPr>
          </w:p>
        </w:tc>
      </w:tr>
    </w:tbl>
    <w:p w14:paraId="00A63FBA">
      <w:pPr>
        <w:spacing w:before="143" w:line="360" w:lineRule="auto"/>
        <w:rPr>
          <w:rFonts w:hint="eastAsia" w:ascii="宋体" w:hAnsi="宋体" w:eastAsia="宋体" w:cs="宋体"/>
          <w:sz w:val="20"/>
          <w:highlight w:val="none"/>
        </w:rPr>
      </w:pPr>
      <w:r>
        <w:rPr>
          <w:rFonts w:hint="eastAsia" w:ascii="宋体" w:hAnsi="宋体" w:eastAsia="宋体" w:cs="宋体"/>
          <w:sz w:val="20"/>
          <w:highlight w:val="none"/>
        </w:rPr>
        <w:t>注：每张表格只填写一个项目，并标明序号，表后须附近三年</w:t>
      </w:r>
      <w:r>
        <w:rPr>
          <w:rFonts w:hint="eastAsia" w:ascii="宋体" w:hAnsi="宋体" w:eastAsia="宋体" w:cs="宋体"/>
          <w:sz w:val="20"/>
          <w:highlight w:val="red"/>
        </w:rPr>
        <w:t>（20</w:t>
      </w:r>
      <w:r>
        <w:rPr>
          <w:rFonts w:hint="eastAsia" w:cs="宋体"/>
          <w:sz w:val="20"/>
          <w:highlight w:val="red"/>
          <w:lang w:val="en-US" w:eastAsia="zh-CN"/>
        </w:rPr>
        <w:t>23</w:t>
      </w:r>
      <w:r>
        <w:rPr>
          <w:rFonts w:hint="eastAsia" w:ascii="宋体" w:hAnsi="宋体" w:eastAsia="宋体" w:cs="宋体"/>
          <w:sz w:val="20"/>
          <w:highlight w:val="red"/>
        </w:rPr>
        <w:t>年</w:t>
      </w:r>
      <w:r>
        <w:rPr>
          <w:rFonts w:hint="eastAsia" w:cs="宋体"/>
          <w:sz w:val="20"/>
          <w:highlight w:val="red"/>
          <w:lang w:val="en-US" w:eastAsia="zh-CN"/>
        </w:rPr>
        <w:t>5</w:t>
      </w:r>
      <w:r>
        <w:rPr>
          <w:rFonts w:hint="eastAsia" w:ascii="宋体" w:hAnsi="宋体" w:eastAsia="宋体" w:cs="宋体"/>
          <w:sz w:val="20"/>
          <w:highlight w:val="red"/>
        </w:rPr>
        <w:t>月-至今）</w:t>
      </w:r>
      <w:r>
        <w:rPr>
          <w:rFonts w:hint="eastAsia" w:ascii="宋体" w:hAnsi="宋体" w:eastAsia="宋体" w:cs="宋体"/>
          <w:sz w:val="20"/>
          <w:highlight w:val="none"/>
        </w:rPr>
        <w:t>的业绩证明材料的扫描件（如合同协议书等）。</w:t>
      </w:r>
    </w:p>
    <w:p w14:paraId="0A411A08">
      <w:pPr>
        <w:spacing w:before="143" w:line="360" w:lineRule="auto"/>
        <w:ind w:left="482"/>
        <w:rPr>
          <w:rFonts w:hint="eastAsia" w:ascii="宋体" w:hAnsi="宋体" w:eastAsia="宋体" w:cs="宋体"/>
          <w:color w:val="FF0000"/>
          <w:sz w:val="20"/>
          <w:highlight w:val="none"/>
        </w:rPr>
      </w:pPr>
    </w:p>
    <w:p w14:paraId="38BB0E45">
      <w:pPr>
        <w:rPr>
          <w:rFonts w:hint="eastAsia" w:ascii="宋体" w:hAnsi="宋体" w:eastAsia="宋体" w:cs="宋体"/>
          <w:sz w:val="28"/>
          <w:highlight w:val="none"/>
        </w:rPr>
      </w:pPr>
    </w:p>
    <w:p w14:paraId="7F8DF3A9">
      <w:pPr>
        <w:pStyle w:val="5"/>
        <w:rPr>
          <w:rFonts w:hint="eastAsia" w:ascii="宋体" w:hAnsi="宋体" w:eastAsia="宋体" w:cs="宋体"/>
          <w:highlight w:val="none"/>
        </w:rPr>
      </w:pPr>
    </w:p>
    <w:p w14:paraId="14C0364B">
      <w:pPr>
        <w:rPr>
          <w:rFonts w:hint="eastAsia" w:ascii="宋体" w:hAnsi="宋体" w:eastAsia="宋体" w:cs="宋体"/>
          <w:sz w:val="28"/>
          <w:highlight w:val="none"/>
        </w:rPr>
      </w:pPr>
    </w:p>
    <w:p w14:paraId="45B144D8">
      <w:pPr>
        <w:pStyle w:val="5"/>
        <w:rPr>
          <w:rFonts w:hint="eastAsia" w:ascii="宋体" w:hAnsi="宋体" w:eastAsia="宋体" w:cs="宋体"/>
          <w:highlight w:val="none"/>
        </w:rPr>
      </w:pPr>
    </w:p>
    <w:p w14:paraId="16CAAC0B">
      <w:pPr>
        <w:pStyle w:val="10"/>
        <w:spacing w:before="66"/>
        <w:ind w:left="1" w:right="199"/>
        <w:jc w:val="center"/>
        <w:rPr>
          <w:rFonts w:hint="eastAsia" w:ascii="宋体" w:hAnsi="宋体" w:eastAsia="宋体" w:cs="宋体"/>
          <w:highlight w:val="none"/>
        </w:rPr>
      </w:pPr>
      <w:bookmarkStart w:id="106" w:name="（五）投标人的信誉情况表"/>
      <w:bookmarkEnd w:id="106"/>
      <w:r>
        <w:rPr>
          <w:rFonts w:hint="eastAsia" w:ascii="宋体" w:hAnsi="宋体" w:eastAsia="宋体" w:cs="宋体"/>
          <w:highlight w:val="none"/>
        </w:rPr>
        <w:t>（五）投标人的信誉情况表</w:t>
      </w:r>
    </w:p>
    <w:p w14:paraId="1481D670">
      <w:pPr>
        <w:pStyle w:val="10"/>
        <w:rPr>
          <w:rFonts w:hint="eastAsia" w:ascii="宋体" w:hAnsi="宋体" w:eastAsia="宋体" w:cs="宋体"/>
          <w:sz w:val="20"/>
          <w:highlight w:val="none"/>
        </w:rPr>
      </w:pPr>
    </w:p>
    <w:p w14:paraId="7417A8E5">
      <w:pPr>
        <w:pStyle w:val="10"/>
        <w:spacing w:before="12"/>
        <w:rPr>
          <w:rFonts w:hint="eastAsia" w:ascii="宋体" w:hAnsi="宋体" w:eastAsia="宋体" w:cs="宋体"/>
          <w:sz w:val="11"/>
          <w:highlight w:val="none"/>
        </w:rPr>
      </w:pPr>
    </w:p>
    <w:tbl>
      <w:tblPr>
        <w:tblStyle w:val="24"/>
        <w:tblW w:w="8522" w:type="dxa"/>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1"/>
        <w:gridCol w:w="4261"/>
      </w:tblGrid>
      <w:tr w14:paraId="36881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4261" w:type="dxa"/>
          </w:tcPr>
          <w:p w14:paraId="36453564">
            <w:pPr>
              <w:pStyle w:val="30"/>
              <w:rPr>
                <w:rFonts w:hint="eastAsia" w:ascii="宋体" w:hAnsi="宋体" w:eastAsia="宋体" w:cs="宋体"/>
                <w:sz w:val="20"/>
                <w:highlight w:val="none"/>
              </w:rPr>
            </w:pPr>
          </w:p>
          <w:p w14:paraId="797655D2">
            <w:pPr>
              <w:pStyle w:val="30"/>
              <w:spacing w:before="9"/>
              <w:rPr>
                <w:rFonts w:hint="eastAsia" w:ascii="宋体" w:hAnsi="宋体" w:eastAsia="宋体" w:cs="宋体"/>
                <w:sz w:val="16"/>
                <w:highlight w:val="none"/>
              </w:rPr>
            </w:pPr>
          </w:p>
          <w:p w14:paraId="0A573300">
            <w:pPr>
              <w:pStyle w:val="30"/>
              <w:ind w:left="1942" w:right="1769"/>
              <w:jc w:val="center"/>
              <w:rPr>
                <w:rFonts w:hint="eastAsia" w:ascii="宋体" w:hAnsi="宋体" w:eastAsia="宋体" w:cs="宋体"/>
                <w:sz w:val="20"/>
                <w:highlight w:val="none"/>
              </w:rPr>
            </w:pPr>
            <w:r>
              <w:rPr>
                <w:rFonts w:hint="eastAsia" w:ascii="宋体" w:hAnsi="宋体" w:eastAsia="宋体" w:cs="宋体"/>
                <w:sz w:val="20"/>
                <w:highlight w:val="none"/>
              </w:rPr>
              <w:t>项 目</w:t>
            </w:r>
          </w:p>
        </w:tc>
        <w:tc>
          <w:tcPr>
            <w:tcW w:w="4261" w:type="dxa"/>
          </w:tcPr>
          <w:p w14:paraId="683B93BB">
            <w:pPr>
              <w:pStyle w:val="30"/>
              <w:rPr>
                <w:rFonts w:hint="eastAsia" w:ascii="宋体" w:hAnsi="宋体" w:eastAsia="宋体" w:cs="宋体"/>
                <w:sz w:val="20"/>
                <w:highlight w:val="none"/>
              </w:rPr>
            </w:pPr>
          </w:p>
          <w:p w14:paraId="04EA724C">
            <w:pPr>
              <w:pStyle w:val="30"/>
              <w:spacing w:before="9"/>
              <w:rPr>
                <w:rFonts w:hint="eastAsia" w:ascii="宋体" w:hAnsi="宋体" w:eastAsia="宋体" w:cs="宋体"/>
                <w:sz w:val="16"/>
                <w:highlight w:val="none"/>
              </w:rPr>
            </w:pPr>
          </w:p>
          <w:p w14:paraId="0EE26CE2">
            <w:pPr>
              <w:pStyle w:val="30"/>
              <w:ind w:left="1513"/>
              <w:rPr>
                <w:rFonts w:hint="eastAsia" w:ascii="宋体" w:hAnsi="宋体" w:eastAsia="宋体" w:cs="宋体"/>
                <w:sz w:val="20"/>
                <w:highlight w:val="none"/>
              </w:rPr>
            </w:pPr>
            <w:r>
              <w:rPr>
                <w:rFonts w:hint="eastAsia" w:ascii="宋体" w:hAnsi="宋体" w:eastAsia="宋体" w:cs="宋体"/>
                <w:sz w:val="20"/>
                <w:highlight w:val="none"/>
              </w:rPr>
              <w:t>投标人情况说明</w:t>
            </w:r>
          </w:p>
        </w:tc>
      </w:tr>
      <w:tr w14:paraId="12CAB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14:paraId="4B3613F6">
            <w:pPr>
              <w:pStyle w:val="30"/>
              <w:rPr>
                <w:rFonts w:hint="eastAsia" w:ascii="宋体" w:hAnsi="宋体" w:eastAsia="宋体" w:cs="宋体"/>
                <w:sz w:val="20"/>
                <w:highlight w:val="none"/>
              </w:rPr>
            </w:pPr>
          </w:p>
        </w:tc>
        <w:tc>
          <w:tcPr>
            <w:tcW w:w="4261" w:type="dxa"/>
          </w:tcPr>
          <w:p w14:paraId="09273652">
            <w:pPr>
              <w:pStyle w:val="30"/>
              <w:rPr>
                <w:rFonts w:hint="eastAsia" w:ascii="宋体" w:hAnsi="宋体" w:eastAsia="宋体" w:cs="宋体"/>
                <w:sz w:val="20"/>
                <w:highlight w:val="none"/>
              </w:rPr>
            </w:pPr>
          </w:p>
        </w:tc>
      </w:tr>
      <w:tr w14:paraId="6776A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14:paraId="241C080B">
            <w:pPr>
              <w:pStyle w:val="30"/>
              <w:rPr>
                <w:rFonts w:hint="eastAsia" w:ascii="宋体" w:hAnsi="宋体" w:eastAsia="宋体" w:cs="宋体"/>
                <w:sz w:val="20"/>
                <w:highlight w:val="none"/>
              </w:rPr>
            </w:pPr>
          </w:p>
        </w:tc>
        <w:tc>
          <w:tcPr>
            <w:tcW w:w="4261" w:type="dxa"/>
          </w:tcPr>
          <w:p w14:paraId="0417E3AA">
            <w:pPr>
              <w:pStyle w:val="30"/>
              <w:rPr>
                <w:rFonts w:hint="eastAsia" w:ascii="宋体" w:hAnsi="宋体" w:eastAsia="宋体" w:cs="宋体"/>
                <w:sz w:val="20"/>
                <w:highlight w:val="none"/>
              </w:rPr>
            </w:pPr>
          </w:p>
        </w:tc>
      </w:tr>
      <w:tr w14:paraId="7E88E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14:paraId="628E58E9">
            <w:pPr>
              <w:pStyle w:val="30"/>
              <w:rPr>
                <w:rFonts w:hint="eastAsia" w:ascii="宋体" w:hAnsi="宋体" w:eastAsia="宋体" w:cs="宋体"/>
                <w:sz w:val="20"/>
                <w:highlight w:val="none"/>
              </w:rPr>
            </w:pPr>
          </w:p>
        </w:tc>
        <w:tc>
          <w:tcPr>
            <w:tcW w:w="4261" w:type="dxa"/>
          </w:tcPr>
          <w:p w14:paraId="06FF5449">
            <w:pPr>
              <w:pStyle w:val="30"/>
              <w:rPr>
                <w:rFonts w:hint="eastAsia" w:ascii="宋体" w:hAnsi="宋体" w:eastAsia="宋体" w:cs="宋体"/>
                <w:sz w:val="20"/>
                <w:highlight w:val="none"/>
              </w:rPr>
            </w:pPr>
          </w:p>
        </w:tc>
      </w:tr>
      <w:tr w14:paraId="45A0A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14:paraId="28C1C02A">
            <w:pPr>
              <w:pStyle w:val="30"/>
              <w:rPr>
                <w:rFonts w:hint="eastAsia" w:ascii="宋体" w:hAnsi="宋体" w:eastAsia="宋体" w:cs="宋体"/>
                <w:sz w:val="20"/>
                <w:highlight w:val="none"/>
              </w:rPr>
            </w:pPr>
          </w:p>
        </w:tc>
        <w:tc>
          <w:tcPr>
            <w:tcW w:w="4261" w:type="dxa"/>
          </w:tcPr>
          <w:p w14:paraId="5007A029">
            <w:pPr>
              <w:pStyle w:val="30"/>
              <w:rPr>
                <w:rFonts w:hint="eastAsia" w:ascii="宋体" w:hAnsi="宋体" w:eastAsia="宋体" w:cs="宋体"/>
                <w:sz w:val="20"/>
                <w:highlight w:val="none"/>
              </w:rPr>
            </w:pPr>
          </w:p>
        </w:tc>
      </w:tr>
      <w:tr w14:paraId="641C1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14:paraId="481665ED">
            <w:pPr>
              <w:pStyle w:val="30"/>
              <w:rPr>
                <w:rFonts w:hint="eastAsia" w:ascii="宋体" w:hAnsi="宋体" w:eastAsia="宋体" w:cs="宋体"/>
                <w:sz w:val="20"/>
                <w:highlight w:val="none"/>
              </w:rPr>
            </w:pPr>
          </w:p>
        </w:tc>
        <w:tc>
          <w:tcPr>
            <w:tcW w:w="4261" w:type="dxa"/>
          </w:tcPr>
          <w:p w14:paraId="70298724">
            <w:pPr>
              <w:pStyle w:val="30"/>
              <w:rPr>
                <w:rFonts w:hint="eastAsia" w:ascii="宋体" w:hAnsi="宋体" w:eastAsia="宋体" w:cs="宋体"/>
                <w:sz w:val="20"/>
                <w:highlight w:val="none"/>
              </w:rPr>
            </w:pPr>
          </w:p>
        </w:tc>
      </w:tr>
      <w:tr w14:paraId="78EC3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14:paraId="186E030A">
            <w:pPr>
              <w:pStyle w:val="30"/>
              <w:rPr>
                <w:rFonts w:hint="eastAsia" w:ascii="宋体" w:hAnsi="宋体" w:eastAsia="宋体" w:cs="宋体"/>
                <w:sz w:val="20"/>
                <w:highlight w:val="none"/>
              </w:rPr>
            </w:pPr>
          </w:p>
        </w:tc>
        <w:tc>
          <w:tcPr>
            <w:tcW w:w="4261" w:type="dxa"/>
          </w:tcPr>
          <w:p w14:paraId="57822B01">
            <w:pPr>
              <w:pStyle w:val="30"/>
              <w:rPr>
                <w:rFonts w:hint="eastAsia" w:ascii="宋体" w:hAnsi="宋体" w:eastAsia="宋体" w:cs="宋体"/>
                <w:sz w:val="20"/>
                <w:highlight w:val="none"/>
              </w:rPr>
            </w:pPr>
          </w:p>
        </w:tc>
      </w:tr>
      <w:tr w14:paraId="4A3EC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14:paraId="581D56A3">
            <w:pPr>
              <w:pStyle w:val="30"/>
              <w:rPr>
                <w:rFonts w:hint="eastAsia" w:ascii="宋体" w:hAnsi="宋体" w:eastAsia="宋体" w:cs="宋体"/>
                <w:sz w:val="20"/>
                <w:highlight w:val="none"/>
              </w:rPr>
            </w:pPr>
          </w:p>
        </w:tc>
        <w:tc>
          <w:tcPr>
            <w:tcW w:w="4261" w:type="dxa"/>
          </w:tcPr>
          <w:p w14:paraId="1C7CC6F3">
            <w:pPr>
              <w:pStyle w:val="30"/>
              <w:rPr>
                <w:rFonts w:hint="eastAsia" w:ascii="宋体" w:hAnsi="宋体" w:eastAsia="宋体" w:cs="宋体"/>
                <w:sz w:val="20"/>
                <w:highlight w:val="none"/>
              </w:rPr>
            </w:pPr>
          </w:p>
        </w:tc>
      </w:tr>
      <w:tr w14:paraId="488B9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14:paraId="48FF0A62">
            <w:pPr>
              <w:pStyle w:val="30"/>
              <w:rPr>
                <w:rFonts w:hint="eastAsia" w:ascii="宋体" w:hAnsi="宋体" w:eastAsia="宋体" w:cs="宋体"/>
                <w:sz w:val="20"/>
                <w:highlight w:val="none"/>
              </w:rPr>
            </w:pPr>
          </w:p>
        </w:tc>
        <w:tc>
          <w:tcPr>
            <w:tcW w:w="4261" w:type="dxa"/>
          </w:tcPr>
          <w:p w14:paraId="0AFB14D8">
            <w:pPr>
              <w:pStyle w:val="30"/>
              <w:rPr>
                <w:rFonts w:hint="eastAsia" w:ascii="宋体" w:hAnsi="宋体" w:eastAsia="宋体" w:cs="宋体"/>
                <w:sz w:val="20"/>
                <w:highlight w:val="none"/>
              </w:rPr>
            </w:pPr>
          </w:p>
        </w:tc>
      </w:tr>
    </w:tbl>
    <w:p w14:paraId="4D77012A">
      <w:pPr>
        <w:pStyle w:val="10"/>
        <w:spacing w:line="360" w:lineRule="auto"/>
        <w:ind w:firstLine="360" w:firstLineChars="200"/>
        <w:rPr>
          <w:rFonts w:hint="eastAsia" w:ascii="宋体" w:hAnsi="宋体" w:eastAsia="宋体" w:cs="宋体"/>
          <w:sz w:val="18"/>
          <w:szCs w:val="18"/>
          <w:highlight w:val="none"/>
        </w:rPr>
      </w:pPr>
    </w:p>
    <w:p w14:paraId="78E847B7">
      <w:pPr>
        <w:pStyle w:val="10"/>
        <w:spacing w:line="360" w:lineRule="auto"/>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注：“投标人的信誉情况表”应附投标人</w:t>
      </w:r>
      <w:r>
        <w:rPr>
          <w:rFonts w:hint="eastAsia" w:ascii="宋体" w:hAnsi="宋体" w:eastAsia="宋体" w:cs="宋体"/>
          <w:spacing w:val="-6"/>
          <w:sz w:val="18"/>
          <w:szCs w:val="18"/>
          <w:highlight w:val="none"/>
        </w:rPr>
        <w:t>在</w:t>
      </w:r>
      <w:r>
        <w:rPr>
          <w:rFonts w:hint="eastAsia" w:ascii="宋体" w:hAnsi="宋体" w:eastAsia="宋体" w:cs="宋体"/>
          <w:sz w:val="18"/>
          <w:szCs w:val="18"/>
          <w:highlight w:val="none"/>
        </w:rPr>
        <w:t>“信用中国”</w:t>
      </w:r>
      <w:r>
        <w:rPr>
          <w:rFonts w:hint="eastAsia" w:ascii="宋体" w:hAnsi="宋体" w:eastAsia="宋体" w:cs="宋体"/>
          <w:sz w:val="20"/>
          <w:highlight w:val="none"/>
          <w:lang w:val="en-US"/>
        </w:rPr>
        <w:t>和</w:t>
      </w:r>
      <w:r>
        <w:rPr>
          <w:rFonts w:hint="eastAsia" w:ascii="宋体" w:hAnsi="宋体" w:eastAsia="宋体" w:cs="宋体"/>
          <w:sz w:val="18"/>
          <w:szCs w:val="18"/>
          <w:highlight w:val="none"/>
          <w:lang w:val="en-US"/>
        </w:rPr>
        <w:t>“中国政府采购网”</w:t>
      </w:r>
      <w:r>
        <w:rPr>
          <w:rFonts w:hint="eastAsia" w:ascii="宋体" w:hAnsi="宋体" w:eastAsia="宋体" w:cs="宋体"/>
          <w:spacing w:val="-1"/>
          <w:sz w:val="18"/>
          <w:szCs w:val="18"/>
          <w:highlight w:val="none"/>
        </w:rPr>
        <w:t>网站中未被列入失信被执行人名单的网页截</w:t>
      </w:r>
      <w:r>
        <w:rPr>
          <w:rFonts w:hint="eastAsia" w:ascii="宋体" w:hAnsi="宋体" w:eastAsia="宋体" w:cs="宋体"/>
          <w:spacing w:val="-11"/>
          <w:sz w:val="18"/>
          <w:szCs w:val="18"/>
          <w:highlight w:val="none"/>
        </w:rPr>
        <w:t>图，对投标人、法定代表人、拟委任的</w:t>
      </w:r>
      <w:r>
        <w:rPr>
          <w:rFonts w:hint="eastAsia" w:ascii="宋体" w:hAnsi="宋体" w:eastAsia="宋体" w:cs="宋体"/>
          <w:sz w:val="18"/>
          <w:szCs w:val="18"/>
          <w:highlight w:val="none"/>
        </w:rPr>
        <w:t>项目经理近三年</w:t>
      </w:r>
      <w:r>
        <w:rPr>
          <w:rFonts w:hint="eastAsia" w:ascii="宋体" w:hAnsi="宋体" w:eastAsia="宋体" w:cs="宋体"/>
          <w:b w:val="0"/>
          <w:bCs/>
          <w:color w:val="auto"/>
          <w:sz w:val="18"/>
          <w:szCs w:val="18"/>
          <w:highlight w:val="red"/>
          <w:lang w:val="en-US" w:eastAsia="zh-CN"/>
        </w:rPr>
        <w:t>（2023年</w:t>
      </w:r>
      <w:r>
        <w:rPr>
          <w:rFonts w:hint="eastAsia" w:cs="宋体"/>
          <w:b w:val="0"/>
          <w:bCs/>
          <w:color w:val="auto"/>
          <w:sz w:val="18"/>
          <w:szCs w:val="18"/>
          <w:highlight w:val="red"/>
          <w:lang w:val="en-US" w:eastAsia="zh-CN"/>
        </w:rPr>
        <w:t>5</w:t>
      </w:r>
      <w:r>
        <w:rPr>
          <w:rFonts w:hint="eastAsia" w:ascii="宋体" w:hAnsi="宋体" w:eastAsia="宋体" w:cs="宋体"/>
          <w:b w:val="0"/>
          <w:bCs/>
          <w:color w:val="auto"/>
          <w:sz w:val="18"/>
          <w:szCs w:val="18"/>
          <w:highlight w:val="red"/>
          <w:lang w:val="en-US" w:eastAsia="zh-CN"/>
        </w:rPr>
        <w:t>月至投标响应截止时间内）</w:t>
      </w:r>
      <w:r>
        <w:rPr>
          <w:rFonts w:hint="eastAsia" w:ascii="宋体" w:hAnsi="宋体" w:eastAsia="宋体" w:cs="宋体"/>
          <w:sz w:val="18"/>
          <w:szCs w:val="18"/>
          <w:highlight w:val="none"/>
        </w:rPr>
        <w:t>无行贿犯罪行为进行承诺。</w:t>
      </w:r>
    </w:p>
    <w:p w14:paraId="55C6679D">
      <w:pPr>
        <w:pStyle w:val="28"/>
        <w:spacing w:line="360" w:lineRule="auto"/>
        <w:rPr>
          <w:rFonts w:hint="eastAsia" w:ascii="宋体" w:hAnsi="宋体" w:eastAsia="宋体" w:cs="宋体"/>
          <w:szCs w:val="18"/>
          <w:highlight w:val="none"/>
        </w:rPr>
      </w:pPr>
    </w:p>
    <w:p w14:paraId="34E7D772">
      <w:pPr>
        <w:rPr>
          <w:rFonts w:hint="eastAsia" w:ascii="宋体" w:hAnsi="宋体" w:eastAsia="宋体" w:cs="宋体"/>
          <w:sz w:val="24"/>
          <w:highlight w:val="none"/>
        </w:rPr>
      </w:pPr>
    </w:p>
    <w:p w14:paraId="7703664D">
      <w:pPr>
        <w:pStyle w:val="5"/>
        <w:ind w:firstLine="480"/>
        <w:rPr>
          <w:rFonts w:hint="eastAsia" w:ascii="宋体" w:hAnsi="宋体" w:eastAsia="宋体" w:cs="宋体"/>
          <w:sz w:val="24"/>
          <w:highlight w:val="none"/>
        </w:rPr>
      </w:pPr>
    </w:p>
    <w:p w14:paraId="1F19C278">
      <w:pPr>
        <w:rPr>
          <w:rFonts w:hint="eastAsia" w:ascii="宋体" w:hAnsi="宋体" w:eastAsia="宋体" w:cs="宋体"/>
          <w:sz w:val="24"/>
          <w:highlight w:val="none"/>
        </w:rPr>
      </w:pPr>
    </w:p>
    <w:p w14:paraId="563B1AC4">
      <w:pPr>
        <w:pStyle w:val="5"/>
        <w:ind w:firstLine="480"/>
        <w:rPr>
          <w:rFonts w:hint="eastAsia" w:ascii="宋体" w:hAnsi="宋体" w:eastAsia="宋体" w:cs="宋体"/>
          <w:sz w:val="24"/>
          <w:highlight w:val="none"/>
        </w:rPr>
      </w:pPr>
    </w:p>
    <w:p w14:paraId="24373D47">
      <w:pPr>
        <w:rPr>
          <w:rFonts w:hint="eastAsia" w:ascii="宋体" w:hAnsi="宋体" w:eastAsia="宋体" w:cs="宋体"/>
          <w:highlight w:val="none"/>
        </w:rPr>
      </w:pPr>
    </w:p>
    <w:p w14:paraId="7008A50A">
      <w:pPr>
        <w:pStyle w:val="10"/>
        <w:spacing w:before="9"/>
        <w:rPr>
          <w:rFonts w:hint="eastAsia" w:ascii="宋体" w:hAnsi="宋体" w:eastAsia="宋体" w:cs="宋体"/>
          <w:sz w:val="17"/>
          <w:highlight w:val="none"/>
        </w:rPr>
      </w:pPr>
    </w:p>
    <w:p w14:paraId="6FBBB577">
      <w:pPr>
        <w:pStyle w:val="10"/>
        <w:ind w:left="1" w:right="199"/>
        <w:jc w:val="center"/>
        <w:rPr>
          <w:rFonts w:hint="eastAsia" w:ascii="宋体" w:hAnsi="宋体" w:eastAsia="宋体" w:cs="宋体"/>
          <w:highlight w:val="none"/>
        </w:rPr>
      </w:pPr>
    </w:p>
    <w:p w14:paraId="4F877A70">
      <w:pPr>
        <w:pStyle w:val="10"/>
        <w:ind w:left="1" w:right="199"/>
        <w:jc w:val="center"/>
        <w:rPr>
          <w:rFonts w:hint="eastAsia" w:ascii="宋体" w:hAnsi="宋体" w:eastAsia="宋体" w:cs="宋体"/>
          <w:highlight w:val="none"/>
        </w:rPr>
      </w:pPr>
      <w:r>
        <w:rPr>
          <w:rFonts w:hint="eastAsia" w:ascii="宋体" w:hAnsi="宋体" w:eastAsia="宋体" w:cs="宋体"/>
          <w:highlight w:val="none"/>
        </w:rPr>
        <w:t>投标无行贿犯罪记录承诺函</w:t>
      </w:r>
    </w:p>
    <w:p w14:paraId="6EBCCD7D">
      <w:pPr>
        <w:pStyle w:val="10"/>
        <w:rPr>
          <w:rFonts w:hint="eastAsia" w:ascii="宋体" w:hAnsi="宋体" w:eastAsia="宋体" w:cs="宋体"/>
          <w:sz w:val="20"/>
          <w:highlight w:val="none"/>
        </w:rPr>
      </w:pPr>
    </w:p>
    <w:p w14:paraId="205D6C16">
      <w:pPr>
        <w:pStyle w:val="10"/>
        <w:tabs>
          <w:tab w:val="left" w:pos="3359"/>
        </w:tabs>
        <w:spacing w:before="228"/>
        <w:ind w:left="480"/>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（采购人名称）：</w:t>
      </w:r>
    </w:p>
    <w:p w14:paraId="26DC0B73">
      <w:pPr>
        <w:pStyle w:val="10"/>
        <w:spacing w:before="5"/>
        <w:rPr>
          <w:rFonts w:hint="eastAsia" w:ascii="宋体" w:hAnsi="宋体" w:eastAsia="宋体" w:cs="宋体"/>
          <w:sz w:val="38"/>
          <w:highlight w:val="none"/>
        </w:rPr>
      </w:pPr>
    </w:p>
    <w:p w14:paraId="2C1F6ED3">
      <w:pPr>
        <w:pStyle w:val="10"/>
        <w:tabs>
          <w:tab w:val="left" w:pos="3146"/>
          <w:tab w:val="left" w:pos="6146"/>
        </w:tabs>
        <w:spacing w:line="312" w:lineRule="auto"/>
        <w:ind w:left="480" w:right="877" w:firstLine="480"/>
        <w:jc w:val="both"/>
        <w:rPr>
          <w:rFonts w:hint="eastAsia" w:ascii="宋体" w:hAnsi="宋体" w:eastAsia="宋体" w:cs="宋体"/>
          <w:highlight w:val="none"/>
        </w:rPr>
      </w:pPr>
      <w:r>
        <w:rPr>
          <w:rFonts w:hint="eastAsia" w:ascii="宋体" w:hAnsi="宋体" w:eastAsia="宋体" w:cs="宋体"/>
          <w:highlight w:val="none"/>
        </w:rPr>
        <w:t>我方参加了</w:t>
      </w:r>
      <w:r>
        <w:rPr>
          <w:rFonts w:hint="eastAsia" w:ascii="宋体" w:hAnsi="宋体" w:eastAsia="宋体" w:cs="宋体"/>
          <w:spacing w:val="96"/>
          <w:highlight w:val="none"/>
          <w:u w:val="single"/>
        </w:rPr>
        <w:t xml:space="preserve"> </w:t>
      </w:r>
      <w:r>
        <w:rPr>
          <w:rFonts w:hint="eastAsia" w:ascii="宋体" w:hAnsi="宋体" w:eastAsia="宋体" w:cs="宋体"/>
          <w:highlight w:val="none"/>
          <w:u w:val="single"/>
        </w:rPr>
        <w:t>（项目名称）</w:t>
      </w:r>
      <w:r>
        <w:rPr>
          <w:rFonts w:hint="eastAsia" w:ascii="宋体" w:hAnsi="宋体" w:eastAsia="宋体" w:cs="宋体"/>
          <w:spacing w:val="96"/>
          <w:highlight w:val="none"/>
          <w:u w:val="single"/>
        </w:rPr>
        <w:t xml:space="preserve"> </w:t>
      </w:r>
      <w:r>
        <w:rPr>
          <w:rFonts w:hint="eastAsia" w:ascii="宋体" w:hAnsi="宋体" w:eastAsia="宋体" w:cs="宋体"/>
          <w:highlight w:val="none"/>
        </w:rPr>
        <w:t>投标</w:t>
      </w:r>
      <w:r>
        <w:rPr>
          <w:rFonts w:hint="eastAsia" w:ascii="宋体" w:hAnsi="宋体" w:eastAsia="宋体" w:cs="宋体"/>
          <w:spacing w:val="-24"/>
          <w:highlight w:val="none"/>
        </w:rPr>
        <w:t>，</w:t>
      </w:r>
      <w:r>
        <w:rPr>
          <w:rFonts w:hint="eastAsia" w:ascii="宋体" w:hAnsi="宋体" w:eastAsia="宋体" w:cs="宋体"/>
          <w:highlight w:val="none"/>
        </w:rPr>
        <w:t>我方承诺</w:t>
      </w:r>
      <w:r>
        <w:rPr>
          <w:rFonts w:hint="eastAsia" w:ascii="宋体" w:hAnsi="宋体" w:eastAsia="宋体" w:cs="宋体"/>
          <w:spacing w:val="-22"/>
          <w:highlight w:val="none"/>
        </w:rPr>
        <w:t>，</w:t>
      </w:r>
      <w:r>
        <w:rPr>
          <w:rFonts w:hint="eastAsia" w:ascii="宋体" w:hAnsi="宋体" w:eastAsia="宋体" w:cs="宋体"/>
          <w:highlight w:val="none"/>
        </w:rPr>
        <w:t>我公司近三年内无行贿犯</w:t>
      </w:r>
      <w:r>
        <w:rPr>
          <w:rFonts w:hint="eastAsia" w:ascii="宋体" w:hAnsi="宋体" w:eastAsia="宋体" w:cs="宋体"/>
          <w:spacing w:val="-17"/>
          <w:highlight w:val="none"/>
        </w:rPr>
        <w:t>罪</w:t>
      </w:r>
      <w:r>
        <w:rPr>
          <w:rFonts w:hint="eastAsia" w:ascii="宋体" w:hAnsi="宋体" w:eastAsia="宋体" w:cs="宋体"/>
          <w:highlight w:val="none"/>
        </w:rPr>
        <w:t>行为</w:t>
      </w:r>
      <w:r>
        <w:rPr>
          <w:rFonts w:hint="eastAsia" w:ascii="宋体" w:hAnsi="宋体" w:eastAsia="宋体" w:cs="宋体"/>
          <w:spacing w:val="-94"/>
          <w:highlight w:val="none"/>
        </w:rPr>
        <w:t>，</w:t>
      </w:r>
      <w:r>
        <w:rPr>
          <w:rFonts w:hint="eastAsia" w:ascii="宋体" w:hAnsi="宋体" w:eastAsia="宋体" w:cs="宋体"/>
          <w:highlight w:val="none"/>
        </w:rPr>
        <w:t>法定代表人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及拟委任的项目经理</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近三年内也无行贿犯罪</w:t>
      </w:r>
      <w:r>
        <w:rPr>
          <w:rFonts w:hint="eastAsia" w:ascii="宋体" w:hAnsi="宋体" w:eastAsia="宋体" w:cs="宋体"/>
          <w:spacing w:val="-17"/>
          <w:highlight w:val="none"/>
        </w:rPr>
        <w:t>行</w:t>
      </w:r>
      <w:r>
        <w:rPr>
          <w:rFonts w:hint="eastAsia" w:ascii="宋体" w:hAnsi="宋体" w:eastAsia="宋体" w:cs="宋体"/>
          <w:highlight w:val="none"/>
        </w:rPr>
        <w:t>为。</w:t>
      </w:r>
    </w:p>
    <w:p w14:paraId="4300B130">
      <w:pPr>
        <w:pStyle w:val="10"/>
        <w:spacing w:before="1" w:line="312" w:lineRule="auto"/>
        <w:ind w:left="480" w:right="877" w:firstLine="480"/>
        <w:jc w:val="both"/>
        <w:rPr>
          <w:rFonts w:hint="eastAsia" w:ascii="宋体" w:hAnsi="宋体" w:eastAsia="宋体" w:cs="宋体"/>
          <w:highlight w:val="none"/>
        </w:rPr>
      </w:pPr>
      <w:r>
        <w:rPr>
          <w:rFonts w:hint="eastAsia" w:ascii="宋体" w:hAnsi="宋体" w:eastAsia="宋体" w:cs="宋体"/>
          <w:spacing w:val="-8"/>
          <w:highlight w:val="none"/>
        </w:rPr>
        <w:t>如我方上述承诺不实，采购人可认为我方弄虚作假骗取中标，按照相关规定</w:t>
      </w:r>
      <w:r>
        <w:rPr>
          <w:rFonts w:hint="eastAsia" w:ascii="宋体" w:hAnsi="宋体" w:eastAsia="宋体" w:cs="宋体"/>
          <w:spacing w:val="-10"/>
          <w:highlight w:val="none"/>
        </w:rPr>
        <w:t>进行处理，并由采购人将我方的违约行为上报行业主管部门，作为不良记录</w:t>
      </w:r>
      <w:r>
        <w:rPr>
          <w:rFonts w:hint="eastAsia" w:ascii="宋体" w:hAnsi="宋体" w:eastAsia="宋体" w:cs="宋体"/>
          <w:highlight w:val="none"/>
        </w:rPr>
        <w:t>纳入行业建设市场信息管理系统。</w:t>
      </w:r>
    </w:p>
    <w:p w14:paraId="38141454">
      <w:pPr>
        <w:pStyle w:val="10"/>
        <w:rPr>
          <w:rFonts w:hint="eastAsia" w:ascii="宋体" w:hAnsi="宋体" w:eastAsia="宋体" w:cs="宋体"/>
          <w:highlight w:val="none"/>
        </w:rPr>
      </w:pPr>
    </w:p>
    <w:p w14:paraId="00048F9A">
      <w:pPr>
        <w:pStyle w:val="10"/>
        <w:rPr>
          <w:rFonts w:hint="eastAsia" w:ascii="宋体" w:hAnsi="宋体" w:eastAsia="宋体" w:cs="宋体"/>
          <w:highlight w:val="none"/>
        </w:rPr>
      </w:pPr>
    </w:p>
    <w:p w14:paraId="1D7A2546">
      <w:pPr>
        <w:pStyle w:val="10"/>
        <w:tabs>
          <w:tab w:val="left" w:pos="7667"/>
          <w:tab w:val="left" w:pos="8147"/>
        </w:tabs>
        <w:spacing w:before="185" w:line="312" w:lineRule="auto"/>
        <w:ind w:left="3827" w:right="876"/>
        <w:rPr>
          <w:rFonts w:hint="eastAsia" w:ascii="宋体" w:hAnsi="宋体" w:eastAsia="宋体" w:cs="宋体"/>
          <w:highlight w:val="none"/>
        </w:rPr>
      </w:pPr>
      <w:r>
        <w:rPr>
          <w:rFonts w:hint="eastAsia" w:ascii="宋体" w:hAnsi="宋体" w:eastAsia="宋体" w:cs="宋体"/>
          <w:spacing w:val="-1"/>
          <w:highlight w:val="none"/>
        </w:rPr>
        <w:t>竞争性磋商响应人</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(盖单位章</w:t>
      </w:r>
      <w:r>
        <w:rPr>
          <w:rFonts w:hint="eastAsia" w:ascii="宋体" w:hAnsi="宋体" w:eastAsia="宋体" w:cs="宋体"/>
          <w:spacing w:val="-16"/>
          <w:highlight w:val="none"/>
        </w:rPr>
        <w:t xml:space="preserve">) </w:t>
      </w:r>
      <w:r>
        <w:rPr>
          <w:rFonts w:hint="eastAsia" w:ascii="宋体" w:hAnsi="宋体" w:eastAsia="宋体" w:cs="宋体"/>
          <w:highlight w:val="none"/>
        </w:rPr>
        <w:t>法定代表人或其委托代理人：</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rPr>
        <w:t xml:space="preserve">   </w:t>
      </w:r>
      <w:r>
        <w:rPr>
          <w:rFonts w:hint="eastAsia" w:ascii="宋体" w:hAnsi="宋体" w:eastAsia="宋体" w:cs="宋体"/>
          <w:spacing w:val="-1"/>
          <w:highlight w:val="none"/>
        </w:rPr>
        <w:t>(</w:t>
      </w:r>
      <w:r>
        <w:rPr>
          <w:rFonts w:hint="eastAsia" w:ascii="宋体" w:hAnsi="宋体" w:eastAsia="宋体" w:cs="宋体"/>
          <w:highlight w:val="none"/>
        </w:rPr>
        <w:t>签字或盖章</w:t>
      </w:r>
      <w:r>
        <w:rPr>
          <w:rFonts w:hint="eastAsia" w:ascii="宋体" w:hAnsi="宋体" w:eastAsia="宋体" w:cs="宋体"/>
          <w:spacing w:val="-16"/>
          <w:highlight w:val="none"/>
        </w:rPr>
        <w:t>)</w:t>
      </w:r>
    </w:p>
    <w:p w14:paraId="49CE4BCA">
      <w:pPr>
        <w:pStyle w:val="10"/>
        <w:rPr>
          <w:rFonts w:hint="eastAsia" w:ascii="宋体" w:hAnsi="宋体" w:eastAsia="宋体" w:cs="宋体"/>
          <w:sz w:val="29"/>
          <w:highlight w:val="none"/>
        </w:rPr>
      </w:pPr>
    </w:p>
    <w:p w14:paraId="20D6D7AA">
      <w:pPr>
        <w:pStyle w:val="10"/>
        <w:tabs>
          <w:tab w:val="left" w:pos="6866"/>
          <w:tab w:val="left" w:pos="7706"/>
          <w:tab w:val="left" w:pos="8546"/>
        </w:tabs>
        <w:spacing w:before="67"/>
        <w:ind w:left="5786"/>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28BCC640">
      <w:pPr>
        <w:rPr>
          <w:rFonts w:hint="eastAsia" w:ascii="宋体" w:hAnsi="宋体" w:eastAsia="宋体" w:cs="宋体"/>
          <w:highlight w:val="none"/>
        </w:rPr>
        <w:sectPr>
          <w:pgSz w:w="11910" w:h="16840"/>
          <w:pgMar w:top="1220" w:right="920" w:bottom="1180" w:left="1320" w:header="882" w:footer="989" w:gutter="0"/>
          <w:cols w:space="720" w:num="1"/>
        </w:sectPr>
      </w:pPr>
    </w:p>
    <w:p w14:paraId="3FB74D0C">
      <w:pPr>
        <w:pStyle w:val="10"/>
        <w:spacing w:before="3"/>
        <w:rPr>
          <w:rFonts w:hint="eastAsia" w:ascii="宋体" w:hAnsi="宋体" w:eastAsia="宋体" w:cs="宋体"/>
          <w:sz w:val="19"/>
          <w:highlight w:val="none"/>
        </w:rPr>
      </w:pPr>
    </w:p>
    <w:p w14:paraId="5639D8BA">
      <w:pPr>
        <w:pStyle w:val="10"/>
        <w:numPr>
          <w:ilvl w:val="0"/>
          <w:numId w:val="6"/>
        </w:numPr>
        <w:spacing w:before="66"/>
        <w:ind w:left="591" w:right="199"/>
        <w:jc w:val="center"/>
        <w:rPr>
          <w:rFonts w:hint="eastAsia" w:ascii="宋体" w:hAnsi="宋体" w:eastAsia="宋体" w:cs="宋体"/>
          <w:highlight w:val="none"/>
        </w:rPr>
      </w:pPr>
      <w:bookmarkStart w:id="107" w:name="（六）拟委任的项目经理和项目总工资历表"/>
      <w:bookmarkEnd w:id="107"/>
      <w:r>
        <w:rPr>
          <w:rFonts w:hint="eastAsia" w:ascii="宋体" w:hAnsi="宋体" w:eastAsia="宋体" w:cs="宋体"/>
          <w:highlight w:val="none"/>
        </w:rPr>
        <w:t>拟委任的项目经理简历</w:t>
      </w:r>
    </w:p>
    <w:p w14:paraId="79149F07">
      <w:pPr>
        <w:pStyle w:val="28"/>
        <w:adjustRightInd w:val="0"/>
        <w:ind w:left="0"/>
        <w:rPr>
          <w:rFonts w:hint="eastAsia" w:ascii="宋体" w:hAnsi="宋体" w:eastAsia="宋体" w:cs="宋体"/>
          <w:highlight w:val="none"/>
        </w:rPr>
      </w:pPr>
    </w:p>
    <w:p w14:paraId="2507530F">
      <w:pPr>
        <w:spacing w:line="360" w:lineRule="auto"/>
        <w:rPr>
          <w:rFonts w:hint="eastAsia" w:ascii="宋体" w:hAnsi="宋体" w:eastAsia="宋体" w:cs="宋体"/>
          <w:highlight w:val="none"/>
        </w:rPr>
      </w:pPr>
      <w:r>
        <w:rPr>
          <w:rFonts w:hint="eastAsia" w:ascii="宋体" w:hAnsi="宋体" w:eastAsia="宋体" w:cs="宋体"/>
          <w:highlight w:val="none"/>
        </w:rPr>
        <w:t>1、项目经理介绍应包括：姓名、性别、年龄、职称 、学历、参加工作时间、从事项目管理年限以及其他内容。</w:t>
      </w:r>
    </w:p>
    <w:p w14:paraId="649EDB37">
      <w:pPr>
        <w:spacing w:line="360" w:lineRule="auto"/>
        <w:rPr>
          <w:rFonts w:hint="eastAsia" w:ascii="宋体" w:hAnsi="宋体" w:eastAsia="宋体" w:cs="宋体"/>
          <w:highlight w:val="none"/>
        </w:rPr>
      </w:pPr>
      <w:r>
        <w:rPr>
          <w:rFonts w:hint="eastAsia" w:ascii="宋体" w:hAnsi="宋体" w:eastAsia="宋体" w:cs="宋体"/>
          <w:highlight w:val="none"/>
        </w:rPr>
        <w:t>2、项目经理近3年内工程经历应按下表提供。</w:t>
      </w:r>
    </w:p>
    <w:p w14:paraId="0AA91FE9">
      <w:pPr>
        <w:spacing w:line="360" w:lineRule="auto"/>
        <w:jc w:val="center"/>
        <w:rPr>
          <w:rFonts w:hint="eastAsia" w:ascii="宋体" w:hAnsi="宋体" w:eastAsia="宋体" w:cs="宋体"/>
          <w:highlight w:val="none"/>
        </w:rPr>
      </w:pPr>
      <w:r>
        <w:rPr>
          <w:rFonts w:hint="eastAsia" w:ascii="宋体" w:hAnsi="宋体" w:eastAsia="宋体" w:cs="宋体"/>
          <w:highlight w:val="none"/>
        </w:rPr>
        <w:t>项目经理近3年内工程经历一览表</w:t>
      </w:r>
    </w:p>
    <w:tbl>
      <w:tblPr>
        <w:tblStyle w:val="24"/>
        <w:tblW w:w="0" w:type="auto"/>
        <w:tblInd w:w="-103" w:type="dxa"/>
        <w:tblLayout w:type="fixed"/>
        <w:tblCellMar>
          <w:top w:w="0" w:type="dxa"/>
          <w:left w:w="10" w:type="dxa"/>
          <w:bottom w:w="0" w:type="dxa"/>
          <w:right w:w="10" w:type="dxa"/>
        </w:tblCellMar>
      </w:tblPr>
      <w:tblGrid>
        <w:gridCol w:w="1472"/>
        <w:gridCol w:w="1574"/>
        <w:gridCol w:w="1470"/>
        <w:gridCol w:w="2099"/>
        <w:gridCol w:w="2106"/>
        <w:gridCol w:w="1152"/>
      </w:tblGrid>
      <w:tr w14:paraId="26DDB5BE">
        <w:tblPrEx>
          <w:tblCellMar>
            <w:top w:w="0" w:type="dxa"/>
            <w:left w:w="10" w:type="dxa"/>
            <w:bottom w:w="0" w:type="dxa"/>
            <w:right w:w="10"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vAlign w:val="center"/>
          </w:tcPr>
          <w:p w14:paraId="004E9F43">
            <w:pPr>
              <w:spacing w:line="360" w:lineRule="auto"/>
              <w:jc w:val="center"/>
              <w:rPr>
                <w:rFonts w:hint="eastAsia" w:ascii="宋体" w:hAnsi="宋体" w:eastAsia="宋体" w:cs="宋体"/>
                <w:highlight w:val="none"/>
              </w:rPr>
            </w:pPr>
            <w:r>
              <w:rPr>
                <w:rFonts w:hint="eastAsia" w:ascii="宋体" w:hAnsi="宋体" w:eastAsia="宋体" w:cs="宋体"/>
                <w:highlight w:val="none"/>
              </w:rPr>
              <w:t>建设单位</w:t>
            </w:r>
          </w:p>
        </w:tc>
        <w:tc>
          <w:tcPr>
            <w:tcW w:w="1574" w:type="dxa"/>
            <w:tcBorders>
              <w:top w:val="single" w:color="auto" w:sz="12" w:space="0"/>
              <w:left w:val="single" w:color="auto" w:sz="6" w:space="0"/>
              <w:bottom w:val="single" w:color="auto" w:sz="6" w:space="0"/>
              <w:right w:val="single" w:color="auto" w:sz="6" w:space="0"/>
            </w:tcBorders>
            <w:vAlign w:val="center"/>
          </w:tcPr>
          <w:p w14:paraId="2C2D71F5">
            <w:pPr>
              <w:spacing w:line="360" w:lineRule="auto"/>
              <w:jc w:val="center"/>
              <w:rPr>
                <w:rFonts w:hint="eastAsia" w:ascii="宋体" w:hAnsi="宋体" w:eastAsia="宋体" w:cs="宋体"/>
                <w:highlight w:val="none"/>
              </w:rPr>
            </w:pPr>
            <w:r>
              <w:rPr>
                <w:rFonts w:hint="eastAsia" w:ascii="宋体" w:hAnsi="宋体" w:eastAsia="宋体" w:cs="宋体"/>
                <w:highlight w:val="none"/>
              </w:rPr>
              <w:t>项目名称</w:t>
            </w:r>
          </w:p>
        </w:tc>
        <w:tc>
          <w:tcPr>
            <w:tcW w:w="1470" w:type="dxa"/>
            <w:tcBorders>
              <w:top w:val="single" w:color="auto" w:sz="12" w:space="0"/>
              <w:left w:val="single" w:color="auto" w:sz="6" w:space="0"/>
              <w:bottom w:val="single" w:color="auto" w:sz="6" w:space="0"/>
              <w:right w:val="single" w:color="auto" w:sz="6" w:space="0"/>
            </w:tcBorders>
            <w:vAlign w:val="center"/>
          </w:tcPr>
          <w:p w14:paraId="38C25B9A">
            <w:pPr>
              <w:spacing w:line="360" w:lineRule="auto"/>
              <w:jc w:val="center"/>
              <w:rPr>
                <w:rFonts w:hint="eastAsia" w:ascii="宋体" w:hAnsi="宋体" w:eastAsia="宋体" w:cs="宋体"/>
                <w:highlight w:val="none"/>
              </w:rPr>
            </w:pPr>
            <w:r>
              <w:rPr>
                <w:rFonts w:hint="eastAsia" w:ascii="宋体" w:hAnsi="宋体" w:eastAsia="宋体" w:cs="宋体"/>
                <w:highlight w:val="none"/>
              </w:rPr>
              <w:t>建设规模</w:t>
            </w:r>
          </w:p>
        </w:tc>
        <w:tc>
          <w:tcPr>
            <w:tcW w:w="2099" w:type="dxa"/>
            <w:tcBorders>
              <w:top w:val="single" w:color="auto" w:sz="12" w:space="0"/>
              <w:left w:val="single" w:color="auto" w:sz="6" w:space="0"/>
              <w:bottom w:val="single" w:color="auto" w:sz="6" w:space="0"/>
              <w:right w:val="single" w:color="auto" w:sz="6" w:space="0"/>
            </w:tcBorders>
            <w:vAlign w:val="center"/>
          </w:tcPr>
          <w:p w14:paraId="5E0BA82C">
            <w:pPr>
              <w:spacing w:line="360" w:lineRule="auto"/>
              <w:jc w:val="center"/>
              <w:rPr>
                <w:rFonts w:hint="eastAsia" w:ascii="宋体" w:hAnsi="宋体" w:eastAsia="宋体" w:cs="宋体"/>
                <w:highlight w:val="none"/>
              </w:rPr>
            </w:pPr>
            <w:r>
              <w:rPr>
                <w:rFonts w:hint="eastAsia" w:ascii="宋体" w:hAnsi="宋体" w:eastAsia="宋体" w:cs="宋体"/>
                <w:highlight w:val="none"/>
              </w:rPr>
              <w:t>开竣工日期</w:t>
            </w:r>
          </w:p>
        </w:tc>
        <w:tc>
          <w:tcPr>
            <w:tcW w:w="2106" w:type="dxa"/>
            <w:tcBorders>
              <w:top w:val="single" w:color="auto" w:sz="12" w:space="0"/>
              <w:left w:val="single" w:color="auto" w:sz="6" w:space="0"/>
              <w:bottom w:val="single" w:color="auto" w:sz="6" w:space="0"/>
              <w:right w:val="single" w:color="auto" w:sz="6" w:space="0"/>
            </w:tcBorders>
            <w:vAlign w:val="center"/>
          </w:tcPr>
          <w:p w14:paraId="33B728A0">
            <w:pPr>
              <w:spacing w:line="360" w:lineRule="auto"/>
              <w:jc w:val="center"/>
              <w:rPr>
                <w:rFonts w:hint="eastAsia" w:ascii="宋体" w:hAnsi="宋体" w:eastAsia="宋体" w:cs="宋体"/>
                <w:highlight w:val="none"/>
              </w:rPr>
            </w:pPr>
            <w:r>
              <w:rPr>
                <w:rFonts w:hint="eastAsia" w:ascii="宋体" w:hAnsi="宋体" w:eastAsia="宋体" w:cs="宋体"/>
                <w:highlight w:val="none"/>
              </w:rPr>
              <w:t>质量</w:t>
            </w:r>
          </w:p>
        </w:tc>
        <w:tc>
          <w:tcPr>
            <w:tcW w:w="1152" w:type="dxa"/>
            <w:tcBorders>
              <w:top w:val="single" w:color="auto" w:sz="12" w:space="0"/>
              <w:left w:val="single" w:color="auto" w:sz="6" w:space="0"/>
              <w:bottom w:val="single" w:color="auto" w:sz="6" w:space="0"/>
              <w:right w:val="single" w:color="auto" w:sz="12" w:space="0"/>
            </w:tcBorders>
            <w:vAlign w:val="center"/>
          </w:tcPr>
          <w:p w14:paraId="1D6694B8">
            <w:pPr>
              <w:spacing w:line="360" w:lineRule="auto"/>
              <w:jc w:val="center"/>
              <w:rPr>
                <w:rFonts w:hint="eastAsia" w:ascii="宋体" w:hAnsi="宋体" w:eastAsia="宋体" w:cs="宋体"/>
                <w:highlight w:val="none"/>
              </w:rPr>
            </w:pPr>
            <w:r>
              <w:rPr>
                <w:rFonts w:hint="eastAsia" w:ascii="宋体" w:hAnsi="宋体" w:eastAsia="宋体" w:cs="宋体"/>
                <w:highlight w:val="none"/>
              </w:rPr>
              <w:t>备注</w:t>
            </w:r>
          </w:p>
        </w:tc>
      </w:tr>
      <w:tr w14:paraId="3206EC30">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14:paraId="51F7AEFA">
            <w:pPr>
              <w:spacing w:line="360" w:lineRule="auto"/>
              <w:rPr>
                <w:rFonts w:hint="eastAsia" w:ascii="宋体" w:hAnsi="宋体" w:eastAsia="宋体" w:cs="宋体"/>
                <w:highlight w:val="none"/>
              </w:rPr>
            </w:pPr>
          </w:p>
        </w:tc>
        <w:tc>
          <w:tcPr>
            <w:tcW w:w="1574" w:type="dxa"/>
            <w:tcBorders>
              <w:top w:val="single" w:color="auto" w:sz="6" w:space="0"/>
              <w:left w:val="single" w:color="auto" w:sz="6" w:space="0"/>
              <w:bottom w:val="single" w:color="auto" w:sz="6" w:space="0"/>
              <w:right w:val="single" w:color="auto" w:sz="6" w:space="0"/>
            </w:tcBorders>
            <w:vAlign w:val="center"/>
          </w:tcPr>
          <w:p w14:paraId="47A6EB59">
            <w:pPr>
              <w:spacing w:line="360" w:lineRule="auto"/>
              <w:rPr>
                <w:rFonts w:hint="eastAsia" w:ascii="宋体" w:hAnsi="宋体" w:eastAsia="宋体" w:cs="宋体"/>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2D2F32A4">
            <w:pPr>
              <w:spacing w:line="360" w:lineRule="auto"/>
              <w:rPr>
                <w:rFonts w:hint="eastAsia" w:ascii="宋体" w:hAnsi="宋体" w:eastAsia="宋体" w:cs="宋体"/>
                <w:highlight w:val="none"/>
              </w:rPr>
            </w:pPr>
          </w:p>
        </w:tc>
        <w:tc>
          <w:tcPr>
            <w:tcW w:w="2099" w:type="dxa"/>
            <w:tcBorders>
              <w:top w:val="single" w:color="auto" w:sz="6" w:space="0"/>
              <w:left w:val="single" w:color="auto" w:sz="6" w:space="0"/>
              <w:bottom w:val="single" w:color="auto" w:sz="6" w:space="0"/>
              <w:right w:val="single" w:color="auto" w:sz="6" w:space="0"/>
            </w:tcBorders>
            <w:vAlign w:val="center"/>
          </w:tcPr>
          <w:p w14:paraId="06EE1560">
            <w:pPr>
              <w:spacing w:line="360" w:lineRule="auto"/>
              <w:rPr>
                <w:rFonts w:hint="eastAsia" w:ascii="宋体" w:hAnsi="宋体" w:eastAsia="宋体" w:cs="宋体"/>
                <w:highlight w:val="none"/>
              </w:rPr>
            </w:pPr>
          </w:p>
        </w:tc>
        <w:tc>
          <w:tcPr>
            <w:tcW w:w="2106" w:type="dxa"/>
            <w:tcBorders>
              <w:top w:val="single" w:color="auto" w:sz="6" w:space="0"/>
              <w:left w:val="single" w:color="auto" w:sz="6" w:space="0"/>
              <w:bottom w:val="single" w:color="auto" w:sz="6" w:space="0"/>
              <w:right w:val="single" w:color="auto" w:sz="6" w:space="0"/>
            </w:tcBorders>
            <w:vAlign w:val="center"/>
          </w:tcPr>
          <w:p w14:paraId="3711495A">
            <w:pPr>
              <w:spacing w:line="360" w:lineRule="auto"/>
              <w:rPr>
                <w:rFonts w:hint="eastAsia" w:ascii="宋体" w:hAnsi="宋体" w:eastAsia="宋体" w:cs="宋体"/>
                <w:highlight w:val="none"/>
              </w:rPr>
            </w:pPr>
          </w:p>
        </w:tc>
        <w:tc>
          <w:tcPr>
            <w:tcW w:w="1152" w:type="dxa"/>
            <w:tcBorders>
              <w:top w:val="single" w:color="auto" w:sz="6" w:space="0"/>
              <w:left w:val="single" w:color="auto" w:sz="6" w:space="0"/>
              <w:bottom w:val="single" w:color="auto" w:sz="6" w:space="0"/>
              <w:right w:val="single" w:color="auto" w:sz="12" w:space="0"/>
            </w:tcBorders>
            <w:vAlign w:val="center"/>
          </w:tcPr>
          <w:p w14:paraId="7325DB80">
            <w:pPr>
              <w:spacing w:line="360" w:lineRule="auto"/>
              <w:rPr>
                <w:rFonts w:hint="eastAsia" w:ascii="宋体" w:hAnsi="宋体" w:eastAsia="宋体" w:cs="宋体"/>
                <w:highlight w:val="none"/>
              </w:rPr>
            </w:pPr>
          </w:p>
        </w:tc>
      </w:tr>
      <w:tr w14:paraId="49B82510">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14:paraId="23F184A4">
            <w:pPr>
              <w:spacing w:line="360" w:lineRule="auto"/>
              <w:rPr>
                <w:rFonts w:hint="eastAsia" w:ascii="宋体" w:hAnsi="宋体" w:eastAsia="宋体" w:cs="宋体"/>
                <w:highlight w:val="none"/>
              </w:rPr>
            </w:pPr>
          </w:p>
        </w:tc>
        <w:tc>
          <w:tcPr>
            <w:tcW w:w="1574" w:type="dxa"/>
            <w:tcBorders>
              <w:top w:val="single" w:color="auto" w:sz="6" w:space="0"/>
              <w:left w:val="single" w:color="auto" w:sz="6" w:space="0"/>
              <w:bottom w:val="single" w:color="auto" w:sz="6" w:space="0"/>
              <w:right w:val="single" w:color="auto" w:sz="6" w:space="0"/>
            </w:tcBorders>
            <w:vAlign w:val="center"/>
          </w:tcPr>
          <w:p w14:paraId="617D3F43">
            <w:pPr>
              <w:spacing w:line="360" w:lineRule="auto"/>
              <w:rPr>
                <w:rFonts w:hint="eastAsia" w:ascii="宋体" w:hAnsi="宋体" w:eastAsia="宋体" w:cs="宋体"/>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3E29FBB9">
            <w:pPr>
              <w:spacing w:line="360" w:lineRule="auto"/>
              <w:rPr>
                <w:rFonts w:hint="eastAsia" w:ascii="宋体" w:hAnsi="宋体" w:eastAsia="宋体" w:cs="宋体"/>
                <w:highlight w:val="none"/>
              </w:rPr>
            </w:pPr>
          </w:p>
        </w:tc>
        <w:tc>
          <w:tcPr>
            <w:tcW w:w="2099" w:type="dxa"/>
            <w:tcBorders>
              <w:top w:val="single" w:color="auto" w:sz="6" w:space="0"/>
              <w:left w:val="single" w:color="auto" w:sz="6" w:space="0"/>
              <w:bottom w:val="single" w:color="auto" w:sz="6" w:space="0"/>
              <w:right w:val="single" w:color="auto" w:sz="6" w:space="0"/>
            </w:tcBorders>
            <w:vAlign w:val="center"/>
          </w:tcPr>
          <w:p w14:paraId="0124401E">
            <w:pPr>
              <w:spacing w:line="360" w:lineRule="auto"/>
              <w:rPr>
                <w:rFonts w:hint="eastAsia" w:ascii="宋体" w:hAnsi="宋体" w:eastAsia="宋体" w:cs="宋体"/>
                <w:highlight w:val="none"/>
              </w:rPr>
            </w:pPr>
          </w:p>
        </w:tc>
        <w:tc>
          <w:tcPr>
            <w:tcW w:w="2106" w:type="dxa"/>
            <w:tcBorders>
              <w:top w:val="single" w:color="auto" w:sz="6" w:space="0"/>
              <w:left w:val="single" w:color="auto" w:sz="6" w:space="0"/>
              <w:bottom w:val="single" w:color="auto" w:sz="6" w:space="0"/>
              <w:right w:val="single" w:color="auto" w:sz="6" w:space="0"/>
            </w:tcBorders>
            <w:vAlign w:val="center"/>
          </w:tcPr>
          <w:p w14:paraId="2A78DC79">
            <w:pPr>
              <w:spacing w:line="360" w:lineRule="auto"/>
              <w:rPr>
                <w:rFonts w:hint="eastAsia" w:ascii="宋体" w:hAnsi="宋体" w:eastAsia="宋体" w:cs="宋体"/>
                <w:highlight w:val="none"/>
              </w:rPr>
            </w:pPr>
          </w:p>
        </w:tc>
        <w:tc>
          <w:tcPr>
            <w:tcW w:w="1152" w:type="dxa"/>
            <w:tcBorders>
              <w:top w:val="single" w:color="auto" w:sz="6" w:space="0"/>
              <w:left w:val="single" w:color="auto" w:sz="6" w:space="0"/>
              <w:bottom w:val="single" w:color="auto" w:sz="6" w:space="0"/>
              <w:right w:val="single" w:color="auto" w:sz="12" w:space="0"/>
            </w:tcBorders>
            <w:vAlign w:val="center"/>
          </w:tcPr>
          <w:p w14:paraId="65147506">
            <w:pPr>
              <w:spacing w:line="360" w:lineRule="auto"/>
              <w:rPr>
                <w:rFonts w:hint="eastAsia" w:ascii="宋体" w:hAnsi="宋体" w:eastAsia="宋体" w:cs="宋体"/>
                <w:highlight w:val="none"/>
              </w:rPr>
            </w:pPr>
          </w:p>
        </w:tc>
      </w:tr>
      <w:tr w14:paraId="3AE89E5C">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14:paraId="17183691">
            <w:pPr>
              <w:spacing w:line="360" w:lineRule="auto"/>
              <w:rPr>
                <w:rFonts w:hint="eastAsia" w:ascii="宋体" w:hAnsi="宋体" w:eastAsia="宋体" w:cs="宋体"/>
                <w:highlight w:val="none"/>
              </w:rPr>
            </w:pPr>
          </w:p>
        </w:tc>
        <w:tc>
          <w:tcPr>
            <w:tcW w:w="1574" w:type="dxa"/>
            <w:tcBorders>
              <w:top w:val="single" w:color="auto" w:sz="6" w:space="0"/>
              <w:left w:val="single" w:color="auto" w:sz="6" w:space="0"/>
              <w:bottom w:val="single" w:color="auto" w:sz="6" w:space="0"/>
              <w:right w:val="single" w:color="auto" w:sz="6" w:space="0"/>
            </w:tcBorders>
            <w:vAlign w:val="center"/>
          </w:tcPr>
          <w:p w14:paraId="61FD53EB">
            <w:pPr>
              <w:spacing w:line="360" w:lineRule="auto"/>
              <w:rPr>
                <w:rFonts w:hint="eastAsia" w:ascii="宋体" w:hAnsi="宋体" w:eastAsia="宋体" w:cs="宋体"/>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07FF2F41">
            <w:pPr>
              <w:spacing w:line="360" w:lineRule="auto"/>
              <w:rPr>
                <w:rFonts w:hint="eastAsia" w:ascii="宋体" w:hAnsi="宋体" w:eastAsia="宋体" w:cs="宋体"/>
                <w:highlight w:val="none"/>
              </w:rPr>
            </w:pPr>
          </w:p>
        </w:tc>
        <w:tc>
          <w:tcPr>
            <w:tcW w:w="2099" w:type="dxa"/>
            <w:tcBorders>
              <w:top w:val="single" w:color="auto" w:sz="6" w:space="0"/>
              <w:left w:val="single" w:color="auto" w:sz="6" w:space="0"/>
              <w:bottom w:val="single" w:color="auto" w:sz="6" w:space="0"/>
              <w:right w:val="single" w:color="auto" w:sz="6" w:space="0"/>
            </w:tcBorders>
            <w:vAlign w:val="center"/>
          </w:tcPr>
          <w:p w14:paraId="02723930">
            <w:pPr>
              <w:spacing w:line="360" w:lineRule="auto"/>
              <w:rPr>
                <w:rFonts w:hint="eastAsia" w:ascii="宋体" w:hAnsi="宋体" w:eastAsia="宋体" w:cs="宋体"/>
                <w:highlight w:val="none"/>
              </w:rPr>
            </w:pPr>
          </w:p>
        </w:tc>
        <w:tc>
          <w:tcPr>
            <w:tcW w:w="2106" w:type="dxa"/>
            <w:tcBorders>
              <w:top w:val="single" w:color="auto" w:sz="6" w:space="0"/>
              <w:left w:val="single" w:color="auto" w:sz="6" w:space="0"/>
              <w:bottom w:val="single" w:color="auto" w:sz="6" w:space="0"/>
              <w:right w:val="single" w:color="auto" w:sz="6" w:space="0"/>
            </w:tcBorders>
            <w:vAlign w:val="center"/>
          </w:tcPr>
          <w:p w14:paraId="667C1FAE">
            <w:pPr>
              <w:spacing w:line="360" w:lineRule="auto"/>
              <w:rPr>
                <w:rFonts w:hint="eastAsia" w:ascii="宋体" w:hAnsi="宋体" w:eastAsia="宋体" w:cs="宋体"/>
                <w:highlight w:val="none"/>
              </w:rPr>
            </w:pPr>
          </w:p>
        </w:tc>
        <w:tc>
          <w:tcPr>
            <w:tcW w:w="1152" w:type="dxa"/>
            <w:tcBorders>
              <w:top w:val="single" w:color="auto" w:sz="6" w:space="0"/>
              <w:left w:val="single" w:color="auto" w:sz="6" w:space="0"/>
              <w:bottom w:val="single" w:color="auto" w:sz="6" w:space="0"/>
              <w:right w:val="single" w:color="auto" w:sz="12" w:space="0"/>
            </w:tcBorders>
            <w:vAlign w:val="center"/>
          </w:tcPr>
          <w:p w14:paraId="0F70CE29">
            <w:pPr>
              <w:spacing w:line="360" w:lineRule="auto"/>
              <w:rPr>
                <w:rFonts w:hint="eastAsia" w:ascii="宋体" w:hAnsi="宋体" w:eastAsia="宋体" w:cs="宋体"/>
                <w:highlight w:val="none"/>
              </w:rPr>
            </w:pPr>
          </w:p>
        </w:tc>
      </w:tr>
      <w:tr w14:paraId="1B0C1848">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14:paraId="3E3064BF">
            <w:pPr>
              <w:spacing w:line="360" w:lineRule="auto"/>
              <w:rPr>
                <w:rFonts w:hint="eastAsia" w:ascii="宋体" w:hAnsi="宋体" w:eastAsia="宋体" w:cs="宋体"/>
                <w:highlight w:val="none"/>
              </w:rPr>
            </w:pPr>
          </w:p>
        </w:tc>
        <w:tc>
          <w:tcPr>
            <w:tcW w:w="1574" w:type="dxa"/>
            <w:tcBorders>
              <w:top w:val="single" w:color="auto" w:sz="6" w:space="0"/>
              <w:left w:val="single" w:color="auto" w:sz="6" w:space="0"/>
              <w:bottom w:val="single" w:color="auto" w:sz="6" w:space="0"/>
              <w:right w:val="single" w:color="auto" w:sz="6" w:space="0"/>
            </w:tcBorders>
            <w:vAlign w:val="center"/>
          </w:tcPr>
          <w:p w14:paraId="48E3994D">
            <w:pPr>
              <w:spacing w:line="360" w:lineRule="auto"/>
              <w:rPr>
                <w:rFonts w:hint="eastAsia" w:ascii="宋体" w:hAnsi="宋体" w:eastAsia="宋体" w:cs="宋体"/>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1D7099E9">
            <w:pPr>
              <w:spacing w:line="360" w:lineRule="auto"/>
              <w:rPr>
                <w:rFonts w:hint="eastAsia" w:ascii="宋体" w:hAnsi="宋体" w:eastAsia="宋体" w:cs="宋体"/>
                <w:highlight w:val="none"/>
              </w:rPr>
            </w:pPr>
          </w:p>
        </w:tc>
        <w:tc>
          <w:tcPr>
            <w:tcW w:w="2099" w:type="dxa"/>
            <w:tcBorders>
              <w:top w:val="single" w:color="auto" w:sz="6" w:space="0"/>
              <w:left w:val="single" w:color="auto" w:sz="6" w:space="0"/>
              <w:bottom w:val="single" w:color="auto" w:sz="6" w:space="0"/>
              <w:right w:val="single" w:color="auto" w:sz="6" w:space="0"/>
            </w:tcBorders>
            <w:vAlign w:val="center"/>
          </w:tcPr>
          <w:p w14:paraId="1A0D97BD">
            <w:pPr>
              <w:spacing w:line="360" w:lineRule="auto"/>
              <w:rPr>
                <w:rFonts w:hint="eastAsia" w:ascii="宋体" w:hAnsi="宋体" w:eastAsia="宋体" w:cs="宋体"/>
                <w:highlight w:val="none"/>
              </w:rPr>
            </w:pPr>
          </w:p>
        </w:tc>
        <w:tc>
          <w:tcPr>
            <w:tcW w:w="2106" w:type="dxa"/>
            <w:tcBorders>
              <w:top w:val="single" w:color="auto" w:sz="6" w:space="0"/>
              <w:left w:val="single" w:color="auto" w:sz="6" w:space="0"/>
              <w:bottom w:val="single" w:color="auto" w:sz="6" w:space="0"/>
              <w:right w:val="single" w:color="auto" w:sz="6" w:space="0"/>
            </w:tcBorders>
            <w:vAlign w:val="center"/>
          </w:tcPr>
          <w:p w14:paraId="219D6324">
            <w:pPr>
              <w:spacing w:line="360" w:lineRule="auto"/>
              <w:rPr>
                <w:rFonts w:hint="eastAsia" w:ascii="宋体" w:hAnsi="宋体" w:eastAsia="宋体" w:cs="宋体"/>
                <w:highlight w:val="none"/>
              </w:rPr>
            </w:pPr>
          </w:p>
        </w:tc>
        <w:tc>
          <w:tcPr>
            <w:tcW w:w="1152" w:type="dxa"/>
            <w:tcBorders>
              <w:top w:val="single" w:color="auto" w:sz="6" w:space="0"/>
              <w:left w:val="single" w:color="auto" w:sz="6" w:space="0"/>
              <w:bottom w:val="single" w:color="auto" w:sz="6" w:space="0"/>
              <w:right w:val="single" w:color="auto" w:sz="12" w:space="0"/>
            </w:tcBorders>
            <w:vAlign w:val="center"/>
          </w:tcPr>
          <w:p w14:paraId="66EE3BB2">
            <w:pPr>
              <w:spacing w:line="360" w:lineRule="auto"/>
              <w:rPr>
                <w:rFonts w:hint="eastAsia" w:ascii="宋体" w:hAnsi="宋体" w:eastAsia="宋体" w:cs="宋体"/>
                <w:highlight w:val="none"/>
              </w:rPr>
            </w:pPr>
          </w:p>
        </w:tc>
      </w:tr>
      <w:tr w14:paraId="739A4880">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14:paraId="39C746C7">
            <w:pPr>
              <w:spacing w:line="360" w:lineRule="auto"/>
              <w:rPr>
                <w:rFonts w:hint="eastAsia" w:ascii="宋体" w:hAnsi="宋体" w:eastAsia="宋体" w:cs="宋体"/>
                <w:highlight w:val="none"/>
              </w:rPr>
            </w:pPr>
          </w:p>
        </w:tc>
        <w:tc>
          <w:tcPr>
            <w:tcW w:w="1574" w:type="dxa"/>
            <w:tcBorders>
              <w:top w:val="single" w:color="auto" w:sz="6" w:space="0"/>
              <w:left w:val="single" w:color="auto" w:sz="6" w:space="0"/>
              <w:bottom w:val="single" w:color="auto" w:sz="6" w:space="0"/>
              <w:right w:val="single" w:color="auto" w:sz="6" w:space="0"/>
            </w:tcBorders>
            <w:vAlign w:val="center"/>
          </w:tcPr>
          <w:p w14:paraId="7629F955">
            <w:pPr>
              <w:spacing w:line="360" w:lineRule="auto"/>
              <w:rPr>
                <w:rFonts w:hint="eastAsia" w:ascii="宋体" w:hAnsi="宋体" w:eastAsia="宋体" w:cs="宋体"/>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758F6762">
            <w:pPr>
              <w:spacing w:line="360" w:lineRule="auto"/>
              <w:rPr>
                <w:rFonts w:hint="eastAsia" w:ascii="宋体" w:hAnsi="宋体" w:eastAsia="宋体" w:cs="宋体"/>
                <w:highlight w:val="none"/>
              </w:rPr>
            </w:pPr>
          </w:p>
        </w:tc>
        <w:tc>
          <w:tcPr>
            <w:tcW w:w="2099" w:type="dxa"/>
            <w:tcBorders>
              <w:top w:val="single" w:color="auto" w:sz="6" w:space="0"/>
              <w:left w:val="single" w:color="auto" w:sz="6" w:space="0"/>
              <w:bottom w:val="single" w:color="auto" w:sz="6" w:space="0"/>
              <w:right w:val="single" w:color="auto" w:sz="6" w:space="0"/>
            </w:tcBorders>
            <w:vAlign w:val="center"/>
          </w:tcPr>
          <w:p w14:paraId="7D9B2D01">
            <w:pPr>
              <w:spacing w:line="360" w:lineRule="auto"/>
              <w:rPr>
                <w:rFonts w:hint="eastAsia" w:ascii="宋体" w:hAnsi="宋体" w:eastAsia="宋体" w:cs="宋体"/>
                <w:highlight w:val="none"/>
              </w:rPr>
            </w:pPr>
          </w:p>
        </w:tc>
        <w:tc>
          <w:tcPr>
            <w:tcW w:w="2106" w:type="dxa"/>
            <w:tcBorders>
              <w:top w:val="single" w:color="auto" w:sz="6" w:space="0"/>
              <w:left w:val="single" w:color="auto" w:sz="6" w:space="0"/>
              <w:bottom w:val="single" w:color="auto" w:sz="6" w:space="0"/>
              <w:right w:val="single" w:color="auto" w:sz="6" w:space="0"/>
            </w:tcBorders>
            <w:vAlign w:val="center"/>
          </w:tcPr>
          <w:p w14:paraId="798C0211">
            <w:pPr>
              <w:spacing w:line="360" w:lineRule="auto"/>
              <w:rPr>
                <w:rFonts w:hint="eastAsia" w:ascii="宋体" w:hAnsi="宋体" w:eastAsia="宋体" w:cs="宋体"/>
                <w:highlight w:val="none"/>
              </w:rPr>
            </w:pPr>
          </w:p>
        </w:tc>
        <w:tc>
          <w:tcPr>
            <w:tcW w:w="1152" w:type="dxa"/>
            <w:tcBorders>
              <w:top w:val="single" w:color="auto" w:sz="6" w:space="0"/>
              <w:left w:val="single" w:color="auto" w:sz="6" w:space="0"/>
              <w:bottom w:val="single" w:color="auto" w:sz="6" w:space="0"/>
              <w:right w:val="single" w:color="auto" w:sz="12" w:space="0"/>
            </w:tcBorders>
            <w:vAlign w:val="center"/>
          </w:tcPr>
          <w:p w14:paraId="2D0534F0">
            <w:pPr>
              <w:spacing w:line="360" w:lineRule="auto"/>
              <w:rPr>
                <w:rFonts w:hint="eastAsia" w:ascii="宋体" w:hAnsi="宋体" w:eastAsia="宋体" w:cs="宋体"/>
                <w:highlight w:val="none"/>
              </w:rPr>
            </w:pPr>
          </w:p>
        </w:tc>
      </w:tr>
      <w:tr w14:paraId="5E58CD24">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14:paraId="0A26302A">
            <w:pPr>
              <w:spacing w:line="360" w:lineRule="auto"/>
              <w:rPr>
                <w:rFonts w:hint="eastAsia" w:ascii="宋体" w:hAnsi="宋体" w:eastAsia="宋体" w:cs="宋体"/>
                <w:highlight w:val="none"/>
              </w:rPr>
            </w:pPr>
          </w:p>
        </w:tc>
        <w:tc>
          <w:tcPr>
            <w:tcW w:w="1574" w:type="dxa"/>
            <w:tcBorders>
              <w:top w:val="single" w:color="auto" w:sz="6" w:space="0"/>
              <w:left w:val="single" w:color="auto" w:sz="6" w:space="0"/>
              <w:bottom w:val="single" w:color="auto" w:sz="6" w:space="0"/>
              <w:right w:val="single" w:color="auto" w:sz="6" w:space="0"/>
            </w:tcBorders>
            <w:vAlign w:val="center"/>
          </w:tcPr>
          <w:p w14:paraId="6E51A75B">
            <w:pPr>
              <w:spacing w:line="360" w:lineRule="auto"/>
              <w:rPr>
                <w:rFonts w:hint="eastAsia" w:ascii="宋体" w:hAnsi="宋体" w:eastAsia="宋体" w:cs="宋体"/>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140C6596">
            <w:pPr>
              <w:spacing w:line="360" w:lineRule="auto"/>
              <w:rPr>
                <w:rFonts w:hint="eastAsia" w:ascii="宋体" w:hAnsi="宋体" w:eastAsia="宋体" w:cs="宋体"/>
                <w:highlight w:val="none"/>
              </w:rPr>
            </w:pPr>
          </w:p>
        </w:tc>
        <w:tc>
          <w:tcPr>
            <w:tcW w:w="2099" w:type="dxa"/>
            <w:tcBorders>
              <w:top w:val="single" w:color="auto" w:sz="6" w:space="0"/>
              <w:left w:val="single" w:color="auto" w:sz="6" w:space="0"/>
              <w:bottom w:val="single" w:color="auto" w:sz="6" w:space="0"/>
              <w:right w:val="single" w:color="auto" w:sz="6" w:space="0"/>
            </w:tcBorders>
            <w:vAlign w:val="center"/>
          </w:tcPr>
          <w:p w14:paraId="2B43170F">
            <w:pPr>
              <w:spacing w:line="360" w:lineRule="auto"/>
              <w:rPr>
                <w:rFonts w:hint="eastAsia" w:ascii="宋体" w:hAnsi="宋体" w:eastAsia="宋体" w:cs="宋体"/>
                <w:highlight w:val="none"/>
              </w:rPr>
            </w:pPr>
          </w:p>
        </w:tc>
        <w:tc>
          <w:tcPr>
            <w:tcW w:w="2106" w:type="dxa"/>
            <w:tcBorders>
              <w:top w:val="single" w:color="auto" w:sz="6" w:space="0"/>
              <w:left w:val="single" w:color="auto" w:sz="6" w:space="0"/>
              <w:bottom w:val="single" w:color="auto" w:sz="6" w:space="0"/>
              <w:right w:val="single" w:color="auto" w:sz="6" w:space="0"/>
            </w:tcBorders>
            <w:vAlign w:val="center"/>
          </w:tcPr>
          <w:p w14:paraId="7BA489BB">
            <w:pPr>
              <w:spacing w:line="360" w:lineRule="auto"/>
              <w:rPr>
                <w:rFonts w:hint="eastAsia" w:ascii="宋体" w:hAnsi="宋体" w:eastAsia="宋体" w:cs="宋体"/>
                <w:highlight w:val="none"/>
              </w:rPr>
            </w:pPr>
          </w:p>
        </w:tc>
        <w:tc>
          <w:tcPr>
            <w:tcW w:w="1152" w:type="dxa"/>
            <w:tcBorders>
              <w:top w:val="single" w:color="auto" w:sz="6" w:space="0"/>
              <w:left w:val="single" w:color="auto" w:sz="6" w:space="0"/>
              <w:bottom w:val="single" w:color="auto" w:sz="6" w:space="0"/>
              <w:right w:val="single" w:color="auto" w:sz="12" w:space="0"/>
            </w:tcBorders>
            <w:vAlign w:val="center"/>
          </w:tcPr>
          <w:p w14:paraId="11294341">
            <w:pPr>
              <w:spacing w:line="360" w:lineRule="auto"/>
              <w:rPr>
                <w:rFonts w:hint="eastAsia" w:ascii="宋体" w:hAnsi="宋体" w:eastAsia="宋体" w:cs="宋体"/>
                <w:highlight w:val="none"/>
              </w:rPr>
            </w:pPr>
          </w:p>
        </w:tc>
      </w:tr>
      <w:tr w14:paraId="02E27B31">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14:paraId="00291DD4">
            <w:pPr>
              <w:spacing w:line="360" w:lineRule="auto"/>
              <w:rPr>
                <w:rFonts w:hint="eastAsia" w:ascii="宋体" w:hAnsi="宋体" w:eastAsia="宋体" w:cs="宋体"/>
                <w:highlight w:val="none"/>
              </w:rPr>
            </w:pPr>
          </w:p>
        </w:tc>
        <w:tc>
          <w:tcPr>
            <w:tcW w:w="1574" w:type="dxa"/>
            <w:tcBorders>
              <w:top w:val="single" w:color="auto" w:sz="6" w:space="0"/>
              <w:left w:val="single" w:color="auto" w:sz="6" w:space="0"/>
              <w:bottom w:val="single" w:color="auto" w:sz="6" w:space="0"/>
              <w:right w:val="single" w:color="auto" w:sz="6" w:space="0"/>
            </w:tcBorders>
            <w:vAlign w:val="center"/>
          </w:tcPr>
          <w:p w14:paraId="2AEFB4A0">
            <w:pPr>
              <w:spacing w:line="360" w:lineRule="auto"/>
              <w:rPr>
                <w:rFonts w:hint="eastAsia" w:ascii="宋体" w:hAnsi="宋体" w:eastAsia="宋体" w:cs="宋体"/>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7F53868C">
            <w:pPr>
              <w:spacing w:line="360" w:lineRule="auto"/>
              <w:rPr>
                <w:rFonts w:hint="eastAsia" w:ascii="宋体" w:hAnsi="宋体" w:eastAsia="宋体" w:cs="宋体"/>
                <w:highlight w:val="none"/>
              </w:rPr>
            </w:pPr>
          </w:p>
        </w:tc>
        <w:tc>
          <w:tcPr>
            <w:tcW w:w="2099" w:type="dxa"/>
            <w:tcBorders>
              <w:top w:val="single" w:color="auto" w:sz="6" w:space="0"/>
              <w:left w:val="single" w:color="auto" w:sz="6" w:space="0"/>
              <w:bottom w:val="single" w:color="auto" w:sz="6" w:space="0"/>
              <w:right w:val="single" w:color="auto" w:sz="6" w:space="0"/>
            </w:tcBorders>
            <w:vAlign w:val="center"/>
          </w:tcPr>
          <w:p w14:paraId="7B515F64">
            <w:pPr>
              <w:spacing w:line="360" w:lineRule="auto"/>
              <w:rPr>
                <w:rFonts w:hint="eastAsia" w:ascii="宋体" w:hAnsi="宋体" w:eastAsia="宋体" w:cs="宋体"/>
                <w:highlight w:val="none"/>
              </w:rPr>
            </w:pPr>
          </w:p>
        </w:tc>
        <w:tc>
          <w:tcPr>
            <w:tcW w:w="2106" w:type="dxa"/>
            <w:tcBorders>
              <w:top w:val="single" w:color="auto" w:sz="6" w:space="0"/>
              <w:left w:val="single" w:color="auto" w:sz="6" w:space="0"/>
              <w:bottom w:val="single" w:color="auto" w:sz="6" w:space="0"/>
              <w:right w:val="single" w:color="auto" w:sz="6" w:space="0"/>
            </w:tcBorders>
            <w:vAlign w:val="center"/>
          </w:tcPr>
          <w:p w14:paraId="1A37B466">
            <w:pPr>
              <w:spacing w:line="360" w:lineRule="auto"/>
              <w:rPr>
                <w:rFonts w:hint="eastAsia" w:ascii="宋体" w:hAnsi="宋体" w:eastAsia="宋体" w:cs="宋体"/>
                <w:highlight w:val="none"/>
              </w:rPr>
            </w:pPr>
          </w:p>
        </w:tc>
        <w:tc>
          <w:tcPr>
            <w:tcW w:w="1152" w:type="dxa"/>
            <w:tcBorders>
              <w:top w:val="single" w:color="auto" w:sz="6" w:space="0"/>
              <w:left w:val="single" w:color="auto" w:sz="6" w:space="0"/>
              <w:bottom w:val="single" w:color="auto" w:sz="6" w:space="0"/>
              <w:right w:val="single" w:color="auto" w:sz="12" w:space="0"/>
            </w:tcBorders>
            <w:vAlign w:val="center"/>
          </w:tcPr>
          <w:p w14:paraId="71E1B43A">
            <w:pPr>
              <w:spacing w:line="360" w:lineRule="auto"/>
              <w:rPr>
                <w:rFonts w:hint="eastAsia" w:ascii="宋体" w:hAnsi="宋体" w:eastAsia="宋体" w:cs="宋体"/>
                <w:highlight w:val="none"/>
              </w:rPr>
            </w:pPr>
          </w:p>
        </w:tc>
      </w:tr>
      <w:tr w14:paraId="5E5A791E">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vAlign w:val="center"/>
          </w:tcPr>
          <w:p w14:paraId="38920EB9">
            <w:pPr>
              <w:spacing w:line="360" w:lineRule="auto"/>
              <w:rPr>
                <w:rFonts w:hint="eastAsia" w:ascii="宋体" w:hAnsi="宋体" w:eastAsia="宋体" w:cs="宋体"/>
                <w:highlight w:val="none"/>
              </w:rPr>
            </w:pPr>
          </w:p>
        </w:tc>
        <w:tc>
          <w:tcPr>
            <w:tcW w:w="1574" w:type="dxa"/>
            <w:tcBorders>
              <w:top w:val="single" w:color="auto" w:sz="6" w:space="0"/>
              <w:left w:val="single" w:color="auto" w:sz="6" w:space="0"/>
              <w:bottom w:val="single" w:color="auto" w:sz="12" w:space="0"/>
              <w:right w:val="single" w:color="auto" w:sz="6" w:space="0"/>
            </w:tcBorders>
            <w:vAlign w:val="center"/>
          </w:tcPr>
          <w:p w14:paraId="6D41894A">
            <w:pPr>
              <w:spacing w:line="360" w:lineRule="auto"/>
              <w:rPr>
                <w:rFonts w:hint="eastAsia" w:ascii="宋体" w:hAnsi="宋体" w:eastAsia="宋体" w:cs="宋体"/>
                <w:highlight w:val="none"/>
              </w:rPr>
            </w:pPr>
          </w:p>
        </w:tc>
        <w:tc>
          <w:tcPr>
            <w:tcW w:w="1470" w:type="dxa"/>
            <w:tcBorders>
              <w:top w:val="single" w:color="auto" w:sz="6" w:space="0"/>
              <w:left w:val="single" w:color="auto" w:sz="6" w:space="0"/>
              <w:bottom w:val="single" w:color="auto" w:sz="12" w:space="0"/>
              <w:right w:val="single" w:color="auto" w:sz="6" w:space="0"/>
            </w:tcBorders>
            <w:vAlign w:val="center"/>
          </w:tcPr>
          <w:p w14:paraId="3D6FBD47">
            <w:pPr>
              <w:spacing w:line="360" w:lineRule="auto"/>
              <w:rPr>
                <w:rFonts w:hint="eastAsia" w:ascii="宋体" w:hAnsi="宋体" w:eastAsia="宋体" w:cs="宋体"/>
                <w:highlight w:val="none"/>
              </w:rPr>
            </w:pPr>
          </w:p>
        </w:tc>
        <w:tc>
          <w:tcPr>
            <w:tcW w:w="2099" w:type="dxa"/>
            <w:tcBorders>
              <w:top w:val="single" w:color="auto" w:sz="6" w:space="0"/>
              <w:left w:val="single" w:color="auto" w:sz="6" w:space="0"/>
              <w:bottom w:val="single" w:color="auto" w:sz="12" w:space="0"/>
              <w:right w:val="single" w:color="auto" w:sz="6" w:space="0"/>
            </w:tcBorders>
            <w:vAlign w:val="center"/>
          </w:tcPr>
          <w:p w14:paraId="10A43305">
            <w:pPr>
              <w:spacing w:line="360" w:lineRule="auto"/>
              <w:rPr>
                <w:rFonts w:hint="eastAsia" w:ascii="宋体" w:hAnsi="宋体" w:eastAsia="宋体" w:cs="宋体"/>
                <w:highlight w:val="none"/>
              </w:rPr>
            </w:pPr>
          </w:p>
        </w:tc>
        <w:tc>
          <w:tcPr>
            <w:tcW w:w="2106" w:type="dxa"/>
            <w:tcBorders>
              <w:top w:val="single" w:color="auto" w:sz="6" w:space="0"/>
              <w:left w:val="single" w:color="auto" w:sz="6" w:space="0"/>
              <w:bottom w:val="single" w:color="auto" w:sz="12" w:space="0"/>
              <w:right w:val="single" w:color="auto" w:sz="6" w:space="0"/>
            </w:tcBorders>
            <w:vAlign w:val="center"/>
          </w:tcPr>
          <w:p w14:paraId="4E4D14B9">
            <w:pPr>
              <w:spacing w:line="360" w:lineRule="auto"/>
              <w:rPr>
                <w:rFonts w:hint="eastAsia" w:ascii="宋体" w:hAnsi="宋体" w:eastAsia="宋体" w:cs="宋体"/>
                <w:highlight w:val="none"/>
              </w:rPr>
            </w:pPr>
          </w:p>
        </w:tc>
        <w:tc>
          <w:tcPr>
            <w:tcW w:w="1152" w:type="dxa"/>
            <w:tcBorders>
              <w:top w:val="single" w:color="auto" w:sz="6" w:space="0"/>
              <w:left w:val="single" w:color="auto" w:sz="6" w:space="0"/>
              <w:bottom w:val="single" w:color="auto" w:sz="12" w:space="0"/>
              <w:right w:val="single" w:color="auto" w:sz="12" w:space="0"/>
            </w:tcBorders>
            <w:vAlign w:val="center"/>
          </w:tcPr>
          <w:p w14:paraId="0C36F63C">
            <w:pPr>
              <w:spacing w:line="360" w:lineRule="auto"/>
              <w:rPr>
                <w:rFonts w:hint="eastAsia" w:ascii="宋体" w:hAnsi="宋体" w:eastAsia="宋体" w:cs="宋体"/>
                <w:highlight w:val="none"/>
              </w:rPr>
            </w:pPr>
          </w:p>
        </w:tc>
      </w:tr>
    </w:tbl>
    <w:p w14:paraId="5BD29595">
      <w:pPr>
        <w:tabs>
          <w:tab w:val="left" w:pos="9453"/>
        </w:tabs>
        <w:spacing w:line="360" w:lineRule="auto"/>
        <w:ind w:left="330" w:hanging="330" w:hangingChars="150"/>
        <w:rPr>
          <w:rFonts w:hint="eastAsia" w:ascii="宋体" w:hAnsi="宋体" w:eastAsia="宋体" w:cs="宋体"/>
          <w:highlight w:val="none"/>
        </w:rPr>
      </w:pPr>
    </w:p>
    <w:p w14:paraId="69EAD143">
      <w:pPr>
        <w:tabs>
          <w:tab w:val="left" w:pos="9453"/>
        </w:tabs>
        <w:spacing w:line="360" w:lineRule="auto"/>
        <w:ind w:left="330" w:hanging="330" w:hangingChars="150"/>
        <w:rPr>
          <w:rFonts w:hint="eastAsia" w:ascii="宋体" w:hAnsi="宋体" w:eastAsia="宋体" w:cs="宋体"/>
          <w:highlight w:val="none"/>
        </w:rPr>
      </w:pPr>
      <w:r>
        <w:rPr>
          <w:rFonts w:hint="eastAsia" w:ascii="宋体" w:hAnsi="宋体" w:eastAsia="宋体" w:cs="宋体"/>
          <w:highlight w:val="none"/>
        </w:rPr>
        <w:t>3、项目经理简历中须附身份证、职称证、建造师注册证书、安全生产考核合格证书及其本单位社保证明等原件的扫描件；近三年</w:t>
      </w:r>
      <w:r>
        <w:rPr>
          <w:rFonts w:hint="eastAsia" w:ascii="宋体" w:hAnsi="宋体" w:eastAsia="宋体" w:cs="宋体"/>
          <w:highlight w:val="red"/>
        </w:rPr>
        <w:t>（20</w:t>
      </w:r>
      <w:r>
        <w:rPr>
          <w:rFonts w:hint="eastAsia" w:cs="宋体"/>
          <w:highlight w:val="red"/>
          <w:lang w:val="en-US" w:eastAsia="zh-CN"/>
        </w:rPr>
        <w:t>23</w:t>
      </w:r>
      <w:r>
        <w:rPr>
          <w:rFonts w:hint="eastAsia" w:ascii="宋体" w:hAnsi="宋体" w:eastAsia="宋体" w:cs="宋体"/>
          <w:highlight w:val="red"/>
        </w:rPr>
        <w:t>年</w:t>
      </w:r>
      <w:r>
        <w:rPr>
          <w:rFonts w:hint="eastAsia" w:cs="宋体"/>
          <w:highlight w:val="red"/>
          <w:lang w:val="en-US" w:eastAsia="zh-CN"/>
        </w:rPr>
        <w:t>5</w:t>
      </w:r>
      <w:r>
        <w:rPr>
          <w:rFonts w:hint="eastAsia" w:ascii="宋体" w:hAnsi="宋体" w:eastAsia="宋体" w:cs="宋体"/>
          <w:highlight w:val="red"/>
        </w:rPr>
        <w:t>月-至今）</w:t>
      </w:r>
      <w:r>
        <w:rPr>
          <w:rFonts w:hint="eastAsia" w:ascii="宋体" w:hAnsi="宋体" w:eastAsia="宋体" w:cs="宋体"/>
          <w:highlight w:val="none"/>
        </w:rPr>
        <w:t>的业绩证明材料的扫描件（如合同协议书等）。</w:t>
      </w:r>
    </w:p>
    <w:p w14:paraId="6AA19483">
      <w:pPr>
        <w:rPr>
          <w:rFonts w:hint="eastAsia" w:ascii="宋体" w:hAnsi="宋体" w:eastAsia="宋体" w:cs="宋体"/>
          <w:highlight w:val="none"/>
        </w:rPr>
      </w:pPr>
    </w:p>
    <w:p w14:paraId="22D21725">
      <w:pPr>
        <w:pStyle w:val="5"/>
        <w:rPr>
          <w:rFonts w:hint="eastAsia" w:ascii="宋体" w:hAnsi="宋体" w:eastAsia="宋体" w:cs="宋体"/>
          <w:highlight w:val="none"/>
        </w:rPr>
      </w:pPr>
    </w:p>
    <w:p w14:paraId="1009F87A">
      <w:pPr>
        <w:pStyle w:val="5"/>
        <w:rPr>
          <w:rFonts w:hint="eastAsia" w:ascii="宋体" w:hAnsi="宋体" w:eastAsia="宋体" w:cs="宋体"/>
          <w:highlight w:val="none"/>
        </w:rPr>
      </w:pPr>
    </w:p>
    <w:p w14:paraId="318C0209">
      <w:pPr>
        <w:spacing w:line="440" w:lineRule="exact"/>
        <w:ind w:firstLine="4905" w:firstLineChars="2250"/>
        <w:rPr>
          <w:rFonts w:hint="eastAsia" w:ascii="宋体" w:hAnsi="宋体" w:eastAsia="宋体" w:cs="宋体"/>
          <w:spacing w:val="-1"/>
          <w:highlight w:val="none"/>
        </w:rPr>
      </w:pPr>
      <w:r>
        <w:rPr>
          <w:rFonts w:hint="eastAsia" w:ascii="宋体" w:hAnsi="宋体" w:eastAsia="宋体" w:cs="宋体"/>
          <w:spacing w:val="-1"/>
          <w:highlight w:val="none"/>
        </w:rPr>
        <w:t>竞争性磋商响应人：（盖章）</w:t>
      </w:r>
    </w:p>
    <w:p w14:paraId="275A690D">
      <w:pPr>
        <w:spacing w:line="440" w:lineRule="exact"/>
        <w:ind w:firstLine="4796" w:firstLineChars="2200"/>
        <w:rPr>
          <w:rFonts w:hint="eastAsia" w:ascii="宋体" w:hAnsi="宋体" w:eastAsia="宋体" w:cs="宋体"/>
          <w:spacing w:val="-1"/>
          <w:highlight w:val="none"/>
        </w:rPr>
      </w:pPr>
      <w:r>
        <w:rPr>
          <w:rFonts w:hint="eastAsia" w:ascii="宋体" w:hAnsi="宋体" w:eastAsia="宋体" w:cs="宋体"/>
          <w:spacing w:val="-1"/>
          <w:highlight w:val="none"/>
        </w:rPr>
        <w:t>法定代表人或授权委托人：（签字或盖章）</w:t>
      </w:r>
    </w:p>
    <w:p w14:paraId="4ACAF289">
      <w:pPr>
        <w:spacing w:line="440" w:lineRule="exact"/>
        <w:ind w:firstLine="5777" w:firstLineChars="2650"/>
        <w:rPr>
          <w:rFonts w:hint="eastAsia" w:ascii="宋体" w:hAnsi="宋体" w:eastAsia="宋体" w:cs="宋体"/>
          <w:b/>
          <w:sz w:val="21"/>
          <w:szCs w:val="21"/>
          <w:highlight w:val="none"/>
        </w:rPr>
      </w:pPr>
      <w:r>
        <w:rPr>
          <w:rFonts w:hint="eastAsia" w:ascii="宋体" w:hAnsi="宋体" w:eastAsia="宋体" w:cs="宋体"/>
          <w:spacing w:val="-1"/>
          <w:highlight w:val="none"/>
        </w:rPr>
        <w:t>年</w:t>
      </w:r>
      <w:r>
        <w:rPr>
          <w:rFonts w:hint="eastAsia" w:ascii="宋体" w:hAnsi="宋体" w:eastAsia="宋体" w:cs="宋体"/>
          <w:spacing w:val="-1"/>
          <w:highlight w:val="none"/>
          <w:lang w:val="en-US"/>
        </w:rPr>
        <w:t xml:space="preserve"> </w:t>
      </w:r>
      <w:r>
        <w:rPr>
          <w:rFonts w:hint="eastAsia" w:ascii="宋体" w:hAnsi="宋体" w:eastAsia="宋体" w:cs="宋体"/>
          <w:spacing w:val="-1"/>
          <w:highlight w:val="none"/>
        </w:rPr>
        <w:t>月</w:t>
      </w:r>
      <w:r>
        <w:rPr>
          <w:rFonts w:hint="eastAsia" w:ascii="宋体" w:hAnsi="宋体" w:eastAsia="宋体" w:cs="宋体"/>
          <w:spacing w:val="-1"/>
          <w:highlight w:val="none"/>
          <w:lang w:val="en-US"/>
        </w:rPr>
        <w:t xml:space="preserve">  </w:t>
      </w:r>
      <w:r>
        <w:rPr>
          <w:rFonts w:hint="eastAsia" w:ascii="宋体" w:hAnsi="宋体" w:eastAsia="宋体" w:cs="宋体"/>
          <w:spacing w:val="-1"/>
          <w:highlight w:val="none"/>
        </w:rPr>
        <w:t>日</w:t>
      </w:r>
    </w:p>
    <w:p w14:paraId="1C4C66EA">
      <w:pPr>
        <w:pStyle w:val="10"/>
        <w:kinsoku w:val="0"/>
        <w:overflowPunct w:val="0"/>
        <w:adjustRightInd w:val="0"/>
        <w:spacing w:before="57" w:line="440" w:lineRule="exact"/>
        <w:ind w:left="111" w:right="232" w:firstLine="480"/>
        <w:jc w:val="both"/>
        <w:rPr>
          <w:rFonts w:hint="eastAsia" w:ascii="宋体" w:hAnsi="宋体" w:eastAsia="宋体" w:cs="宋体"/>
          <w:b/>
          <w:bCs/>
          <w:color w:val="000000" w:themeColor="text1"/>
          <w:sz w:val="30"/>
          <w:szCs w:val="30"/>
          <w:highlight w:val="none"/>
          <w:lang w:val="en-US"/>
          <w14:textFill>
            <w14:solidFill>
              <w14:schemeClr w14:val="tx1"/>
            </w14:solidFill>
          </w14:textFill>
        </w:rPr>
      </w:pPr>
    </w:p>
    <w:p w14:paraId="58987C8A">
      <w:pPr>
        <w:pStyle w:val="5"/>
        <w:rPr>
          <w:rFonts w:hint="eastAsia" w:ascii="宋体" w:hAnsi="宋体" w:eastAsia="宋体" w:cs="宋体"/>
          <w:highlight w:val="none"/>
        </w:rPr>
      </w:pPr>
    </w:p>
    <w:p w14:paraId="0AAE7095">
      <w:pPr>
        <w:pStyle w:val="28"/>
        <w:ind w:left="0"/>
        <w:rPr>
          <w:rFonts w:hint="eastAsia" w:ascii="宋体" w:hAnsi="宋体" w:eastAsia="宋体" w:cs="宋体"/>
          <w:highlight w:val="none"/>
        </w:rPr>
      </w:pPr>
    </w:p>
    <w:p w14:paraId="0130A1DA">
      <w:pPr>
        <w:pStyle w:val="10"/>
        <w:rPr>
          <w:rFonts w:hint="eastAsia" w:ascii="宋体" w:hAnsi="宋体" w:eastAsia="宋体" w:cs="宋体"/>
          <w:sz w:val="20"/>
          <w:highlight w:val="none"/>
        </w:rPr>
      </w:pPr>
    </w:p>
    <w:p w14:paraId="7775AD21">
      <w:pPr>
        <w:pStyle w:val="10"/>
        <w:spacing w:before="10"/>
        <w:rPr>
          <w:rFonts w:hint="eastAsia" w:ascii="宋体" w:hAnsi="宋体" w:eastAsia="宋体" w:cs="宋体"/>
          <w:sz w:val="11"/>
          <w:highlight w:val="none"/>
        </w:rPr>
      </w:pPr>
    </w:p>
    <w:p w14:paraId="2BE0AA28">
      <w:pPr>
        <w:pStyle w:val="10"/>
        <w:numPr>
          <w:ilvl w:val="0"/>
          <w:numId w:val="6"/>
        </w:numPr>
        <w:spacing w:before="66"/>
        <w:ind w:left="591" w:right="199"/>
        <w:jc w:val="center"/>
        <w:rPr>
          <w:rFonts w:hint="eastAsia" w:ascii="宋体" w:hAnsi="宋体" w:eastAsia="宋体" w:cs="宋体"/>
          <w:highlight w:val="none"/>
          <w:lang w:val="en-US"/>
        </w:rPr>
      </w:pPr>
      <w:r>
        <w:rPr>
          <w:rFonts w:hint="eastAsia" w:ascii="宋体" w:hAnsi="宋体" w:eastAsia="宋体" w:cs="宋体"/>
          <w:highlight w:val="none"/>
          <w:lang w:val="en-US"/>
        </w:rPr>
        <w:t>项目管理机构配备情况表</w:t>
      </w:r>
    </w:p>
    <w:p w14:paraId="0FCEFF7D">
      <w:pPr>
        <w:pStyle w:val="28"/>
        <w:adjustRightInd w:val="0"/>
        <w:ind w:left="0"/>
        <w:rPr>
          <w:rFonts w:hint="eastAsia" w:ascii="宋体" w:hAnsi="宋体" w:eastAsia="宋体" w:cs="宋体"/>
          <w:highlight w:val="none"/>
          <w:lang w:val="en-US"/>
        </w:rPr>
      </w:pPr>
    </w:p>
    <w:tbl>
      <w:tblPr>
        <w:tblStyle w:val="24"/>
        <w:tblpPr w:leftFromText="180" w:rightFromText="180" w:vertAnchor="text" w:horzAnchor="page" w:tblpX="1624" w:tblpY="1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0"/>
        <w:gridCol w:w="1173"/>
        <w:gridCol w:w="1053"/>
        <w:gridCol w:w="750"/>
        <w:gridCol w:w="796"/>
        <w:gridCol w:w="753"/>
        <w:gridCol w:w="1381"/>
        <w:gridCol w:w="1243"/>
        <w:gridCol w:w="1280"/>
      </w:tblGrid>
      <w:tr w14:paraId="5400E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10" w:type="dxa"/>
            <w:tcBorders>
              <w:top w:val="single" w:color="auto" w:sz="4" w:space="0"/>
              <w:left w:val="single" w:color="auto" w:sz="4" w:space="0"/>
              <w:bottom w:val="single" w:color="auto" w:sz="4" w:space="0"/>
              <w:right w:val="single" w:color="auto" w:sz="4" w:space="0"/>
            </w:tcBorders>
            <w:vAlign w:val="center"/>
          </w:tcPr>
          <w:p w14:paraId="3385C3B9">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173" w:type="dxa"/>
            <w:tcBorders>
              <w:top w:val="single" w:color="auto" w:sz="4" w:space="0"/>
              <w:left w:val="single" w:color="auto" w:sz="4" w:space="0"/>
              <w:bottom w:val="single" w:color="auto" w:sz="4" w:space="0"/>
              <w:right w:val="single" w:color="auto" w:sz="4" w:space="0"/>
            </w:tcBorders>
            <w:vAlign w:val="center"/>
          </w:tcPr>
          <w:p w14:paraId="55B72E06">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项目组所任职务</w:t>
            </w:r>
          </w:p>
        </w:tc>
        <w:tc>
          <w:tcPr>
            <w:tcW w:w="1053" w:type="dxa"/>
            <w:tcBorders>
              <w:top w:val="single" w:color="auto" w:sz="4" w:space="0"/>
              <w:left w:val="single" w:color="auto" w:sz="4" w:space="0"/>
              <w:bottom w:val="single" w:color="auto" w:sz="4" w:space="0"/>
              <w:right w:val="single" w:color="auto" w:sz="4" w:space="0"/>
            </w:tcBorders>
            <w:vAlign w:val="center"/>
          </w:tcPr>
          <w:p w14:paraId="5D2D4962">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750" w:type="dxa"/>
            <w:tcBorders>
              <w:top w:val="single" w:color="auto" w:sz="4" w:space="0"/>
              <w:left w:val="single" w:color="auto" w:sz="4" w:space="0"/>
              <w:bottom w:val="single" w:color="auto" w:sz="4" w:space="0"/>
              <w:right w:val="single" w:color="auto" w:sz="4" w:space="0"/>
            </w:tcBorders>
            <w:vAlign w:val="center"/>
          </w:tcPr>
          <w:p w14:paraId="713AC34D">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性别</w:t>
            </w:r>
          </w:p>
        </w:tc>
        <w:tc>
          <w:tcPr>
            <w:tcW w:w="796" w:type="dxa"/>
            <w:tcBorders>
              <w:top w:val="single" w:color="auto" w:sz="4" w:space="0"/>
              <w:left w:val="single" w:color="auto" w:sz="4" w:space="0"/>
              <w:bottom w:val="single" w:color="auto" w:sz="4" w:space="0"/>
              <w:right w:val="single" w:color="auto" w:sz="4" w:space="0"/>
            </w:tcBorders>
            <w:vAlign w:val="center"/>
          </w:tcPr>
          <w:p w14:paraId="680C5E09">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年龄</w:t>
            </w:r>
          </w:p>
        </w:tc>
        <w:tc>
          <w:tcPr>
            <w:tcW w:w="753" w:type="dxa"/>
            <w:tcBorders>
              <w:top w:val="single" w:color="auto" w:sz="4" w:space="0"/>
              <w:left w:val="single" w:color="auto" w:sz="4" w:space="0"/>
              <w:bottom w:val="single" w:color="auto" w:sz="4" w:space="0"/>
              <w:right w:val="single" w:color="auto" w:sz="4" w:space="0"/>
            </w:tcBorders>
            <w:vAlign w:val="center"/>
          </w:tcPr>
          <w:p w14:paraId="11069390">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职称</w:t>
            </w:r>
          </w:p>
        </w:tc>
        <w:tc>
          <w:tcPr>
            <w:tcW w:w="1381" w:type="dxa"/>
            <w:tcBorders>
              <w:top w:val="single" w:color="auto" w:sz="4" w:space="0"/>
              <w:left w:val="single" w:color="auto" w:sz="4" w:space="0"/>
              <w:bottom w:val="single" w:color="auto" w:sz="4" w:space="0"/>
              <w:right w:val="single" w:color="auto" w:sz="4" w:space="0"/>
            </w:tcBorders>
            <w:vAlign w:val="center"/>
          </w:tcPr>
          <w:p w14:paraId="2108C28F">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专业/资格</w:t>
            </w:r>
          </w:p>
        </w:tc>
        <w:tc>
          <w:tcPr>
            <w:tcW w:w="1243" w:type="dxa"/>
            <w:tcBorders>
              <w:top w:val="single" w:color="auto" w:sz="4" w:space="0"/>
              <w:left w:val="single" w:color="auto" w:sz="4" w:space="0"/>
              <w:bottom w:val="single" w:color="auto" w:sz="4" w:space="0"/>
              <w:right w:val="single" w:color="auto" w:sz="4" w:space="0"/>
            </w:tcBorders>
            <w:vAlign w:val="center"/>
          </w:tcPr>
          <w:p w14:paraId="18C037C2">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从事本工作时间</w:t>
            </w:r>
          </w:p>
        </w:tc>
        <w:tc>
          <w:tcPr>
            <w:tcW w:w="1280" w:type="dxa"/>
            <w:tcBorders>
              <w:top w:val="single" w:color="auto" w:sz="4" w:space="0"/>
              <w:left w:val="single" w:color="auto" w:sz="4" w:space="0"/>
              <w:bottom w:val="single" w:color="auto" w:sz="4" w:space="0"/>
              <w:right w:val="single" w:color="auto" w:sz="4" w:space="0"/>
            </w:tcBorders>
            <w:vAlign w:val="center"/>
          </w:tcPr>
          <w:p w14:paraId="47A33043">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典型业务</w:t>
            </w:r>
          </w:p>
          <w:p w14:paraId="7EB9FD40">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与技术专长</w:t>
            </w:r>
          </w:p>
        </w:tc>
      </w:tr>
      <w:tr w14:paraId="7CF30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14:paraId="71F14B06">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73" w:type="dxa"/>
            <w:tcBorders>
              <w:top w:val="single" w:color="auto" w:sz="4" w:space="0"/>
              <w:left w:val="single" w:color="auto" w:sz="4" w:space="0"/>
              <w:bottom w:val="single" w:color="auto" w:sz="4" w:space="0"/>
              <w:right w:val="single" w:color="auto" w:sz="4" w:space="0"/>
            </w:tcBorders>
            <w:vAlign w:val="center"/>
          </w:tcPr>
          <w:p w14:paraId="25B00517">
            <w:pPr>
              <w:pStyle w:val="14"/>
              <w:jc w:val="center"/>
              <w:rPr>
                <w:rFonts w:hint="eastAsia" w:ascii="宋体" w:hAnsi="宋体" w:eastAsia="宋体" w:cs="宋体"/>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75250E2E">
            <w:pPr>
              <w:pStyle w:val="14"/>
              <w:jc w:val="center"/>
              <w:rPr>
                <w:rFonts w:hint="eastAsia" w:ascii="宋体" w:hAnsi="宋体" w:eastAsia="宋体" w:cs="宋体"/>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23ABC754">
            <w:pPr>
              <w:pStyle w:val="14"/>
              <w:jc w:val="center"/>
              <w:rPr>
                <w:rFonts w:hint="eastAsia" w:ascii="宋体" w:hAnsi="宋体" w:eastAsia="宋体" w:cs="宋体"/>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50D2C8F7">
            <w:pPr>
              <w:pStyle w:val="14"/>
              <w:jc w:val="center"/>
              <w:rPr>
                <w:rFonts w:hint="eastAsia" w:ascii="宋体" w:hAnsi="宋体" w:eastAsia="宋体" w:cs="宋体"/>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14:paraId="0B5A3F79">
            <w:pPr>
              <w:pStyle w:val="14"/>
              <w:jc w:val="center"/>
              <w:rPr>
                <w:rFonts w:hint="eastAsia" w:ascii="宋体" w:hAnsi="宋体" w:eastAsia="宋体" w:cs="宋体"/>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2B33EAB6">
            <w:pPr>
              <w:pStyle w:val="14"/>
              <w:jc w:val="center"/>
              <w:rPr>
                <w:rFonts w:hint="eastAsia" w:ascii="宋体" w:hAnsi="宋体" w:eastAsia="宋体" w:cs="宋体"/>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4BF9CED7">
            <w:pPr>
              <w:pStyle w:val="14"/>
              <w:jc w:val="center"/>
              <w:rPr>
                <w:rFonts w:hint="eastAsia" w:ascii="宋体" w:hAnsi="宋体" w:eastAsia="宋体" w:cs="宋体"/>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65769160">
            <w:pPr>
              <w:pStyle w:val="14"/>
              <w:jc w:val="center"/>
              <w:rPr>
                <w:rFonts w:hint="eastAsia" w:ascii="宋体" w:hAnsi="宋体" w:eastAsia="宋体" w:cs="宋体"/>
                <w:sz w:val="21"/>
                <w:szCs w:val="21"/>
                <w:highlight w:val="none"/>
              </w:rPr>
            </w:pPr>
          </w:p>
        </w:tc>
      </w:tr>
      <w:tr w14:paraId="1465E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14:paraId="37A4488D">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173" w:type="dxa"/>
            <w:tcBorders>
              <w:top w:val="single" w:color="auto" w:sz="4" w:space="0"/>
              <w:left w:val="single" w:color="auto" w:sz="4" w:space="0"/>
              <w:bottom w:val="single" w:color="auto" w:sz="4" w:space="0"/>
              <w:right w:val="single" w:color="auto" w:sz="4" w:space="0"/>
            </w:tcBorders>
            <w:vAlign w:val="center"/>
          </w:tcPr>
          <w:p w14:paraId="702C907F">
            <w:pPr>
              <w:pStyle w:val="14"/>
              <w:jc w:val="center"/>
              <w:rPr>
                <w:rFonts w:hint="eastAsia" w:ascii="宋体" w:hAnsi="宋体" w:eastAsia="宋体" w:cs="宋体"/>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0AFAF727">
            <w:pPr>
              <w:pStyle w:val="14"/>
              <w:jc w:val="center"/>
              <w:rPr>
                <w:rFonts w:hint="eastAsia" w:ascii="宋体" w:hAnsi="宋体" w:eastAsia="宋体" w:cs="宋体"/>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5A529FDE">
            <w:pPr>
              <w:pStyle w:val="14"/>
              <w:jc w:val="center"/>
              <w:rPr>
                <w:rFonts w:hint="eastAsia" w:ascii="宋体" w:hAnsi="宋体" w:eastAsia="宋体" w:cs="宋体"/>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5B09AD94">
            <w:pPr>
              <w:pStyle w:val="14"/>
              <w:jc w:val="center"/>
              <w:rPr>
                <w:rFonts w:hint="eastAsia" w:ascii="宋体" w:hAnsi="宋体" w:eastAsia="宋体" w:cs="宋体"/>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14:paraId="4420B601">
            <w:pPr>
              <w:pStyle w:val="14"/>
              <w:jc w:val="center"/>
              <w:rPr>
                <w:rFonts w:hint="eastAsia" w:ascii="宋体" w:hAnsi="宋体" w:eastAsia="宋体" w:cs="宋体"/>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2CA7F781">
            <w:pPr>
              <w:pStyle w:val="14"/>
              <w:jc w:val="center"/>
              <w:rPr>
                <w:rFonts w:hint="eastAsia" w:ascii="宋体" w:hAnsi="宋体" w:eastAsia="宋体" w:cs="宋体"/>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79680B87">
            <w:pPr>
              <w:pStyle w:val="14"/>
              <w:jc w:val="center"/>
              <w:rPr>
                <w:rFonts w:hint="eastAsia" w:ascii="宋体" w:hAnsi="宋体" w:eastAsia="宋体" w:cs="宋体"/>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3B98E0D3">
            <w:pPr>
              <w:pStyle w:val="14"/>
              <w:jc w:val="center"/>
              <w:rPr>
                <w:rFonts w:hint="eastAsia" w:ascii="宋体" w:hAnsi="宋体" w:eastAsia="宋体" w:cs="宋体"/>
                <w:sz w:val="21"/>
                <w:szCs w:val="21"/>
                <w:highlight w:val="none"/>
              </w:rPr>
            </w:pPr>
          </w:p>
        </w:tc>
      </w:tr>
      <w:tr w14:paraId="0A4A2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14:paraId="4BB899A2">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173" w:type="dxa"/>
            <w:tcBorders>
              <w:top w:val="single" w:color="auto" w:sz="4" w:space="0"/>
              <w:left w:val="single" w:color="auto" w:sz="4" w:space="0"/>
              <w:bottom w:val="single" w:color="auto" w:sz="4" w:space="0"/>
              <w:right w:val="single" w:color="auto" w:sz="4" w:space="0"/>
            </w:tcBorders>
            <w:vAlign w:val="center"/>
          </w:tcPr>
          <w:p w14:paraId="30FA0B40">
            <w:pPr>
              <w:pStyle w:val="14"/>
              <w:jc w:val="center"/>
              <w:rPr>
                <w:rFonts w:hint="eastAsia" w:ascii="宋体" w:hAnsi="宋体" w:eastAsia="宋体" w:cs="宋体"/>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5C382865">
            <w:pPr>
              <w:pStyle w:val="14"/>
              <w:jc w:val="center"/>
              <w:rPr>
                <w:rFonts w:hint="eastAsia" w:ascii="宋体" w:hAnsi="宋体" w:eastAsia="宋体" w:cs="宋体"/>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7CA98941">
            <w:pPr>
              <w:pStyle w:val="14"/>
              <w:jc w:val="center"/>
              <w:rPr>
                <w:rFonts w:hint="eastAsia" w:ascii="宋体" w:hAnsi="宋体" w:eastAsia="宋体" w:cs="宋体"/>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731A432E">
            <w:pPr>
              <w:pStyle w:val="14"/>
              <w:jc w:val="center"/>
              <w:rPr>
                <w:rFonts w:hint="eastAsia" w:ascii="宋体" w:hAnsi="宋体" w:eastAsia="宋体" w:cs="宋体"/>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14:paraId="0F47A069">
            <w:pPr>
              <w:pStyle w:val="14"/>
              <w:jc w:val="center"/>
              <w:rPr>
                <w:rFonts w:hint="eastAsia" w:ascii="宋体" w:hAnsi="宋体" w:eastAsia="宋体" w:cs="宋体"/>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710E6FDD">
            <w:pPr>
              <w:pStyle w:val="14"/>
              <w:jc w:val="center"/>
              <w:rPr>
                <w:rFonts w:hint="eastAsia" w:ascii="宋体" w:hAnsi="宋体" w:eastAsia="宋体" w:cs="宋体"/>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16CECA62">
            <w:pPr>
              <w:pStyle w:val="14"/>
              <w:jc w:val="center"/>
              <w:rPr>
                <w:rFonts w:hint="eastAsia" w:ascii="宋体" w:hAnsi="宋体" w:eastAsia="宋体" w:cs="宋体"/>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5FE158B4">
            <w:pPr>
              <w:pStyle w:val="14"/>
              <w:jc w:val="center"/>
              <w:rPr>
                <w:rFonts w:hint="eastAsia" w:ascii="宋体" w:hAnsi="宋体" w:eastAsia="宋体" w:cs="宋体"/>
                <w:sz w:val="21"/>
                <w:szCs w:val="21"/>
                <w:highlight w:val="none"/>
              </w:rPr>
            </w:pPr>
          </w:p>
        </w:tc>
      </w:tr>
      <w:tr w14:paraId="6265C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14:paraId="78ECF7C8">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173" w:type="dxa"/>
            <w:tcBorders>
              <w:top w:val="single" w:color="auto" w:sz="4" w:space="0"/>
              <w:left w:val="single" w:color="auto" w:sz="4" w:space="0"/>
              <w:bottom w:val="single" w:color="auto" w:sz="4" w:space="0"/>
              <w:right w:val="single" w:color="auto" w:sz="4" w:space="0"/>
            </w:tcBorders>
            <w:vAlign w:val="center"/>
          </w:tcPr>
          <w:p w14:paraId="1FB5500F">
            <w:pPr>
              <w:pStyle w:val="14"/>
              <w:jc w:val="center"/>
              <w:rPr>
                <w:rFonts w:hint="eastAsia" w:ascii="宋体" w:hAnsi="宋体" w:eastAsia="宋体" w:cs="宋体"/>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66741DFD">
            <w:pPr>
              <w:pStyle w:val="14"/>
              <w:jc w:val="center"/>
              <w:rPr>
                <w:rFonts w:hint="eastAsia" w:ascii="宋体" w:hAnsi="宋体" w:eastAsia="宋体" w:cs="宋体"/>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711BDBC5">
            <w:pPr>
              <w:pStyle w:val="14"/>
              <w:jc w:val="center"/>
              <w:rPr>
                <w:rFonts w:hint="eastAsia" w:ascii="宋体" w:hAnsi="宋体" w:eastAsia="宋体" w:cs="宋体"/>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25E2BCFF">
            <w:pPr>
              <w:pStyle w:val="14"/>
              <w:jc w:val="center"/>
              <w:rPr>
                <w:rFonts w:hint="eastAsia" w:ascii="宋体" w:hAnsi="宋体" w:eastAsia="宋体" w:cs="宋体"/>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14:paraId="4F6BEE0F">
            <w:pPr>
              <w:pStyle w:val="14"/>
              <w:jc w:val="center"/>
              <w:rPr>
                <w:rFonts w:hint="eastAsia" w:ascii="宋体" w:hAnsi="宋体" w:eastAsia="宋体" w:cs="宋体"/>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5BF62261">
            <w:pPr>
              <w:pStyle w:val="14"/>
              <w:jc w:val="center"/>
              <w:rPr>
                <w:rFonts w:hint="eastAsia" w:ascii="宋体" w:hAnsi="宋体" w:eastAsia="宋体" w:cs="宋体"/>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204CF2BC">
            <w:pPr>
              <w:pStyle w:val="14"/>
              <w:jc w:val="center"/>
              <w:rPr>
                <w:rFonts w:hint="eastAsia" w:ascii="宋体" w:hAnsi="宋体" w:eastAsia="宋体" w:cs="宋体"/>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651AE9A5">
            <w:pPr>
              <w:pStyle w:val="14"/>
              <w:jc w:val="center"/>
              <w:rPr>
                <w:rFonts w:hint="eastAsia" w:ascii="宋体" w:hAnsi="宋体" w:eastAsia="宋体" w:cs="宋体"/>
                <w:sz w:val="21"/>
                <w:szCs w:val="21"/>
                <w:highlight w:val="none"/>
              </w:rPr>
            </w:pPr>
          </w:p>
        </w:tc>
      </w:tr>
      <w:tr w14:paraId="4397B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14:paraId="0EFB40DD">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173" w:type="dxa"/>
            <w:tcBorders>
              <w:top w:val="single" w:color="auto" w:sz="4" w:space="0"/>
              <w:left w:val="single" w:color="auto" w:sz="4" w:space="0"/>
              <w:bottom w:val="single" w:color="auto" w:sz="4" w:space="0"/>
              <w:right w:val="single" w:color="auto" w:sz="4" w:space="0"/>
            </w:tcBorders>
            <w:vAlign w:val="center"/>
          </w:tcPr>
          <w:p w14:paraId="5BAA9027">
            <w:pPr>
              <w:pStyle w:val="14"/>
              <w:jc w:val="center"/>
              <w:rPr>
                <w:rFonts w:hint="eastAsia" w:ascii="宋体" w:hAnsi="宋体" w:eastAsia="宋体" w:cs="宋体"/>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51E21832">
            <w:pPr>
              <w:pStyle w:val="14"/>
              <w:jc w:val="center"/>
              <w:rPr>
                <w:rFonts w:hint="eastAsia" w:ascii="宋体" w:hAnsi="宋体" w:eastAsia="宋体" w:cs="宋体"/>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3721AAA2">
            <w:pPr>
              <w:pStyle w:val="14"/>
              <w:jc w:val="center"/>
              <w:rPr>
                <w:rFonts w:hint="eastAsia" w:ascii="宋体" w:hAnsi="宋体" w:eastAsia="宋体" w:cs="宋体"/>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766000FD">
            <w:pPr>
              <w:pStyle w:val="14"/>
              <w:jc w:val="center"/>
              <w:rPr>
                <w:rFonts w:hint="eastAsia" w:ascii="宋体" w:hAnsi="宋体" w:eastAsia="宋体" w:cs="宋体"/>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14:paraId="1C726FCF">
            <w:pPr>
              <w:pStyle w:val="14"/>
              <w:jc w:val="center"/>
              <w:rPr>
                <w:rFonts w:hint="eastAsia" w:ascii="宋体" w:hAnsi="宋体" w:eastAsia="宋体" w:cs="宋体"/>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6CFCC2CA">
            <w:pPr>
              <w:pStyle w:val="14"/>
              <w:jc w:val="center"/>
              <w:rPr>
                <w:rFonts w:hint="eastAsia" w:ascii="宋体" w:hAnsi="宋体" w:eastAsia="宋体" w:cs="宋体"/>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4D648613">
            <w:pPr>
              <w:pStyle w:val="14"/>
              <w:jc w:val="center"/>
              <w:rPr>
                <w:rFonts w:hint="eastAsia" w:ascii="宋体" w:hAnsi="宋体" w:eastAsia="宋体" w:cs="宋体"/>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17A202B4">
            <w:pPr>
              <w:pStyle w:val="14"/>
              <w:jc w:val="center"/>
              <w:rPr>
                <w:rFonts w:hint="eastAsia" w:ascii="宋体" w:hAnsi="宋体" w:eastAsia="宋体" w:cs="宋体"/>
                <w:sz w:val="21"/>
                <w:szCs w:val="21"/>
                <w:highlight w:val="none"/>
              </w:rPr>
            </w:pPr>
          </w:p>
        </w:tc>
      </w:tr>
      <w:tr w14:paraId="7E5E2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14:paraId="42631BC9">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173" w:type="dxa"/>
            <w:tcBorders>
              <w:top w:val="single" w:color="auto" w:sz="4" w:space="0"/>
              <w:left w:val="single" w:color="auto" w:sz="4" w:space="0"/>
              <w:bottom w:val="single" w:color="auto" w:sz="4" w:space="0"/>
              <w:right w:val="single" w:color="auto" w:sz="4" w:space="0"/>
            </w:tcBorders>
            <w:vAlign w:val="center"/>
          </w:tcPr>
          <w:p w14:paraId="725466E1">
            <w:pPr>
              <w:pStyle w:val="14"/>
              <w:jc w:val="center"/>
              <w:rPr>
                <w:rFonts w:hint="eastAsia" w:ascii="宋体" w:hAnsi="宋体" w:eastAsia="宋体" w:cs="宋体"/>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10A2FC24">
            <w:pPr>
              <w:pStyle w:val="14"/>
              <w:jc w:val="center"/>
              <w:rPr>
                <w:rFonts w:hint="eastAsia" w:ascii="宋体" w:hAnsi="宋体" w:eastAsia="宋体" w:cs="宋体"/>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1234AEDE">
            <w:pPr>
              <w:pStyle w:val="14"/>
              <w:jc w:val="center"/>
              <w:rPr>
                <w:rFonts w:hint="eastAsia" w:ascii="宋体" w:hAnsi="宋体" w:eastAsia="宋体" w:cs="宋体"/>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2357B59D">
            <w:pPr>
              <w:pStyle w:val="14"/>
              <w:jc w:val="center"/>
              <w:rPr>
                <w:rFonts w:hint="eastAsia" w:ascii="宋体" w:hAnsi="宋体" w:eastAsia="宋体" w:cs="宋体"/>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14:paraId="5228737F">
            <w:pPr>
              <w:pStyle w:val="14"/>
              <w:jc w:val="center"/>
              <w:rPr>
                <w:rFonts w:hint="eastAsia" w:ascii="宋体" w:hAnsi="宋体" w:eastAsia="宋体" w:cs="宋体"/>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67CAAB0A">
            <w:pPr>
              <w:pStyle w:val="14"/>
              <w:jc w:val="center"/>
              <w:rPr>
                <w:rFonts w:hint="eastAsia" w:ascii="宋体" w:hAnsi="宋体" w:eastAsia="宋体" w:cs="宋体"/>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22FA3AE6">
            <w:pPr>
              <w:pStyle w:val="14"/>
              <w:jc w:val="center"/>
              <w:rPr>
                <w:rFonts w:hint="eastAsia" w:ascii="宋体" w:hAnsi="宋体" w:eastAsia="宋体" w:cs="宋体"/>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28AA83BD">
            <w:pPr>
              <w:pStyle w:val="14"/>
              <w:jc w:val="center"/>
              <w:rPr>
                <w:rFonts w:hint="eastAsia" w:ascii="宋体" w:hAnsi="宋体" w:eastAsia="宋体" w:cs="宋体"/>
                <w:sz w:val="21"/>
                <w:szCs w:val="21"/>
                <w:highlight w:val="none"/>
              </w:rPr>
            </w:pPr>
          </w:p>
        </w:tc>
      </w:tr>
      <w:tr w14:paraId="4072B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14:paraId="5A5FCECC">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173" w:type="dxa"/>
            <w:tcBorders>
              <w:top w:val="single" w:color="auto" w:sz="4" w:space="0"/>
              <w:left w:val="single" w:color="auto" w:sz="4" w:space="0"/>
              <w:bottom w:val="single" w:color="auto" w:sz="4" w:space="0"/>
              <w:right w:val="single" w:color="auto" w:sz="4" w:space="0"/>
            </w:tcBorders>
            <w:vAlign w:val="center"/>
          </w:tcPr>
          <w:p w14:paraId="12B2F0C9">
            <w:pPr>
              <w:pStyle w:val="14"/>
              <w:jc w:val="center"/>
              <w:rPr>
                <w:rFonts w:hint="eastAsia" w:ascii="宋体" w:hAnsi="宋体" w:eastAsia="宋体" w:cs="宋体"/>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45AA739C">
            <w:pPr>
              <w:pStyle w:val="14"/>
              <w:jc w:val="center"/>
              <w:rPr>
                <w:rFonts w:hint="eastAsia" w:ascii="宋体" w:hAnsi="宋体" w:eastAsia="宋体" w:cs="宋体"/>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76D8602B">
            <w:pPr>
              <w:pStyle w:val="14"/>
              <w:jc w:val="center"/>
              <w:rPr>
                <w:rFonts w:hint="eastAsia" w:ascii="宋体" w:hAnsi="宋体" w:eastAsia="宋体" w:cs="宋体"/>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1A5B1EA8">
            <w:pPr>
              <w:pStyle w:val="14"/>
              <w:jc w:val="center"/>
              <w:rPr>
                <w:rFonts w:hint="eastAsia" w:ascii="宋体" w:hAnsi="宋体" w:eastAsia="宋体" w:cs="宋体"/>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14:paraId="7B081EC8">
            <w:pPr>
              <w:pStyle w:val="14"/>
              <w:jc w:val="center"/>
              <w:rPr>
                <w:rFonts w:hint="eastAsia" w:ascii="宋体" w:hAnsi="宋体" w:eastAsia="宋体" w:cs="宋体"/>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138D001C">
            <w:pPr>
              <w:pStyle w:val="14"/>
              <w:jc w:val="center"/>
              <w:rPr>
                <w:rFonts w:hint="eastAsia" w:ascii="宋体" w:hAnsi="宋体" w:eastAsia="宋体" w:cs="宋体"/>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5F701AD3">
            <w:pPr>
              <w:pStyle w:val="14"/>
              <w:jc w:val="center"/>
              <w:rPr>
                <w:rFonts w:hint="eastAsia" w:ascii="宋体" w:hAnsi="宋体" w:eastAsia="宋体" w:cs="宋体"/>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4922A36F">
            <w:pPr>
              <w:pStyle w:val="14"/>
              <w:jc w:val="center"/>
              <w:rPr>
                <w:rFonts w:hint="eastAsia" w:ascii="宋体" w:hAnsi="宋体" w:eastAsia="宋体" w:cs="宋体"/>
                <w:sz w:val="21"/>
                <w:szCs w:val="21"/>
                <w:highlight w:val="none"/>
              </w:rPr>
            </w:pPr>
          </w:p>
        </w:tc>
      </w:tr>
      <w:tr w14:paraId="78870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14:paraId="22375052">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173" w:type="dxa"/>
            <w:tcBorders>
              <w:top w:val="single" w:color="auto" w:sz="4" w:space="0"/>
              <w:left w:val="single" w:color="auto" w:sz="4" w:space="0"/>
              <w:bottom w:val="single" w:color="auto" w:sz="4" w:space="0"/>
              <w:right w:val="single" w:color="auto" w:sz="4" w:space="0"/>
            </w:tcBorders>
            <w:vAlign w:val="center"/>
          </w:tcPr>
          <w:p w14:paraId="2C5AADE3">
            <w:pPr>
              <w:pStyle w:val="14"/>
              <w:jc w:val="center"/>
              <w:rPr>
                <w:rFonts w:hint="eastAsia" w:ascii="宋体" w:hAnsi="宋体" w:eastAsia="宋体" w:cs="宋体"/>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4370769E">
            <w:pPr>
              <w:pStyle w:val="14"/>
              <w:jc w:val="center"/>
              <w:rPr>
                <w:rFonts w:hint="eastAsia" w:ascii="宋体" w:hAnsi="宋体" w:eastAsia="宋体" w:cs="宋体"/>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04229F9B">
            <w:pPr>
              <w:pStyle w:val="14"/>
              <w:jc w:val="center"/>
              <w:rPr>
                <w:rFonts w:hint="eastAsia" w:ascii="宋体" w:hAnsi="宋体" w:eastAsia="宋体" w:cs="宋体"/>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77BA4868">
            <w:pPr>
              <w:pStyle w:val="14"/>
              <w:jc w:val="center"/>
              <w:rPr>
                <w:rFonts w:hint="eastAsia" w:ascii="宋体" w:hAnsi="宋体" w:eastAsia="宋体" w:cs="宋体"/>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14:paraId="2E4F4357">
            <w:pPr>
              <w:pStyle w:val="14"/>
              <w:jc w:val="center"/>
              <w:rPr>
                <w:rFonts w:hint="eastAsia" w:ascii="宋体" w:hAnsi="宋体" w:eastAsia="宋体" w:cs="宋体"/>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032CB1C2">
            <w:pPr>
              <w:pStyle w:val="14"/>
              <w:jc w:val="center"/>
              <w:rPr>
                <w:rFonts w:hint="eastAsia" w:ascii="宋体" w:hAnsi="宋体" w:eastAsia="宋体" w:cs="宋体"/>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4B2331A6">
            <w:pPr>
              <w:pStyle w:val="14"/>
              <w:jc w:val="center"/>
              <w:rPr>
                <w:rFonts w:hint="eastAsia" w:ascii="宋体" w:hAnsi="宋体" w:eastAsia="宋体" w:cs="宋体"/>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3302D8CB">
            <w:pPr>
              <w:pStyle w:val="14"/>
              <w:jc w:val="center"/>
              <w:rPr>
                <w:rFonts w:hint="eastAsia" w:ascii="宋体" w:hAnsi="宋体" w:eastAsia="宋体" w:cs="宋体"/>
                <w:sz w:val="21"/>
                <w:szCs w:val="21"/>
                <w:highlight w:val="none"/>
              </w:rPr>
            </w:pPr>
          </w:p>
        </w:tc>
      </w:tr>
      <w:tr w14:paraId="2451E2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14:paraId="730AD96C">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1173" w:type="dxa"/>
            <w:tcBorders>
              <w:top w:val="single" w:color="auto" w:sz="4" w:space="0"/>
              <w:left w:val="single" w:color="auto" w:sz="4" w:space="0"/>
              <w:bottom w:val="single" w:color="auto" w:sz="4" w:space="0"/>
              <w:right w:val="single" w:color="auto" w:sz="4" w:space="0"/>
            </w:tcBorders>
            <w:vAlign w:val="center"/>
          </w:tcPr>
          <w:p w14:paraId="0F7FF20F">
            <w:pPr>
              <w:pStyle w:val="14"/>
              <w:jc w:val="center"/>
              <w:rPr>
                <w:rFonts w:hint="eastAsia" w:ascii="宋体" w:hAnsi="宋体" w:eastAsia="宋体" w:cs="宋体"/>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211514CC">
            <w:pPr>
              <w:pStyle w:val="14"/>
              <w:jc w:val="center"/>
              <w:rPr>
                <w:rFonts w:hint="eastAsia" w:ascii="宋体" w:hAnsi="宋体" w:eastAsia="宋体" w:cs="宋体"/>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0A184E83">
            <w:pPr>
              <w:pStyle w:val="14"/>
              <w:jc w:val="center"/>
              <w:rPr>
                <w:rFonts w:hint="eastAsia" w:ascii="宋体" w:hAnsi="宋体" w:eastAsia="宋体" w:cs="宋体"/>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24C22621">
            <w:pPr>
              <w:pStyle w:val="14"/>
              <w:jc w:val="center"/>
              <w:rPr>
                <w:rFonts w:hint="eastAsia" w:ascii="宋体" w:hAnsi="宋体" w:eastAsia="宋体" w:cs="宋体"/>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14:paraId="30F082EF">
            <w:pPr>
              <w:pStyle w:val="14"/>
              <w:jc w:val="center"/>
              <w:rPr>
                <w:rFonts w:hint="eastAsia" w:ascii="宋体" w:hAnsi="宋体" w:eastAsia="宋体" w:cs="宋体"/>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40B426B8">
            <w:pPr>
              <w:pStyle w:val="14"/>
              <w:jc w:val="center"/>
              <w:rPr>
                <w:rFonts w:hint="eastAsia" w:ascii="宋体" w:hAnsi="宋体" w:eastAsia="宋体" w:cs="宋体"/>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7E7B1B26">
            <w:pPr>
              <w:pStyle w:val="14"/>
              <w:jc w:val="center"/>
              <w:rPr>
                <w:rFonts w:hint="eastAsia" w:ascii="宋体" w:hAnsi="宋体" w:eastAsia="宋体" w:cs="宋体"/>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2012F5C4">
            <w:pPr>
              <w:pStyle w:val="14"/>
              <w:jc w:val="center"/>
              <w:rPr>
                <w:rFonts w:hint="eastAsia" w:ascii="宋体" w:hAnsi="宋体" w:eastAsia="宋体" w:cs="宋体"/>
                <w:sz w:val="21"/>
                <w:szCs w:val="21"/>
                <w:highlight w:val="none"/>
              </w:rPr>
            </w:pPr>
          </w:p>
        </w:tc>
      </w:tr>
      <w:tr w14:paraId="67A93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14:paraId="76303675">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1173" w:type="dxa"/>
            <w:tcBorders>
              <w:top w:val="single" w:color="auto" w:sz="4" w:space="0"/>
              <w:left w:val="single" w:color="auto" w:sz="4" w:space="0"/>
              <w:bottom w:val="single" w:color="auto" w:sz="4" w:space="0"/>
              <w:right w:val="single" w:color="auto" w:sz="4" w:space="0"/>
            </w:tcBorders>
            <w:vAlign w:val="center"/>
          </w:tcPr>
          <w:p w14:paraId="4EC0DCC7">
            <w:pPr>
              <w:pStyle w:val="14"/>
              <w:jc w:val="center"/>
              <w:rPr>
                <w:rFonts w:hint="eastAsia" w:ascii="宋体" w:hAnsi="宋体" w:eastAsia="宋体" w:cs="宋体"/>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667D11A6">
            <w:pPr>
              <w:pStyle w:val="14"/>
              <w:jc w:val="center"/>
              <w:rPr>
                <w:rFonts w:hint="eastAsia" w:ascii="宋体" w:hAnsi="宋体" w:eastAsia="宋体" w:cs="宋体"/>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66088ED5">
            <w:pPr>
              <w:pStyle w:val="14"/>
              <w:jc w:val="center"/>
              <w:rPr>
                <w:rFonts w:hint="eastAsia" w:ascii="宋体" w:hAnsi="宋体" w:eastAsia="宋体" w:cs="宋体"/>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0E714E32">
            <w:pPr>
              <w:pStyle w:val="14"/>
              <w:jc w:val="center"/>
              <w:rPr>
                <w:rFonts w:hint="eastAsia" w:ascii="宋体" w:hAnsi="宋体" w:eastAsia="宋体" w:cs="宋体"/>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14:paraId="65849E62">
            <w:pPr>
              <w:pStyle w:val="14"/>
              <w:jc w:val="center"/>
              <w:rPr>
                <w:rFonts w:hint="eastAsia" w:ascii="宋体" w:hAnsi="宋体" w:eastAsia="宋体" w:cs="宋体"/>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414FA8F0">
            <w:pPr>
              <w:pStyle w:val="14"/>
              <w:jc w:val="center"/>
              <w:rPr>
                <w:rFonts w:hint="eastAsia" w:ascii="宋体" w:hAnsi="宋体" w:eastAsia="宋体" w:cs="宋体"/>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749655CD">
            <w:pPr>
              <w:pStyle w:val="14"/>
              <w:jc w:val="center"/>
              <w:rPr>
                <w:rFonts w:hint="eastAsia" w:ascii="宋体" w:hAnsi="宋体" w:eastAsia="宋体" w:cs="宋体"/>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7174247E">
            <w:pPr>
              <w:pStyle w:val="14"/>
              <w:jc w:val="center"/>
              <w:rPr>
                <w:rFonts w:hint="eastAsia" w:ascii="宋体" w:hAnsi="宋体" w:eastAsia="宋体" w:cs="宋体"/>
                <w:sz w:val="21"/>
                <w:szCs w:val="21"/>
                <w:highlight w:val="none"/>
              </w:rPr>
            </w:pPr>
          </w:p>
        </w:tc>
      </w:tr>
      <w:tr w14:paraId="648C2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14:paraId="33449BEC">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173" w:type="dxa"/>
            <w:tcBorders>
              <w:top w:val="single" w:color="auto" w:sz="4" w:space="0"/>
              <w:left w:val="single" w:color="auto" w:sz="4" w:space="0"/>
              <w:bottom w:val="single" w:color="auto" w:sz="4" w:space="0"/>
              <w:right w:val="single" w:color="auto" w:sz="4" w:space="0"/>
            </w:tcBorders>
            <w:vAlign w:val="center"/>
          </w:tcPr>
          <w:p w14:paraId="2D6C4669">
            <w:pPr>
              <w:pStyle w:val="14"/>
              <w:jc w:val="center"/>
              <w:rPr>
                <w:rFonts w:hint="eastAsia" w:ascii="宋体" w:hAnsi="宋体" w:eastAsia="宋体" w:cs="宋体"/>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76FC3176">
            <w:pPr>
              <w:pStyle w:val="14"/>
              <w:jc w:val="center"/>
              <w:rPr>
                <w:rFonts w:hint="eastAsia" w:ascii="宋体" w:hAnsi="宋体" w:eastAsia="宋体" w:cs="宋体"/>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67FD8E37">
            <w:pPr>
              <w:pStyle w:val="14"/>
              <w:jc w:val="center"/>
              <w:rPr>
                <w:rFonts w:hint="eastAsia" w:ascii="宋体" w:hAnsi="宋体" w:eastAsia="宋体" w:cs="宋体"/>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773571E0">
            <w:pPr>
              <w:pStyle w:val="14"/>
              <w:jc w:val="center"/>
              <w:rPr>
                <w:rFonts w:hint="eastAsia" w:ascii="宋体" w:hAnsi="宋体" w:eastAsia="宋体" w:cs="宋体"/>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14:paraId="1939B2D1">
            <w:pPr>
              <w:pStyle w:val="14"/>
              <w:jc w:val="center"/>
              <w:rPr>
                <w:rFonts w:hint="eastAsia" w:ascii="宋体" w:hAnsi="宋体" w:eastAsia="宋体" w:cs="宋体"/>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0F2B3808">
            <w:pPr>
              <w:pStyle w:val="14"/>
              <w:jc w:val="center"/>
              <w:rPr>
                <w:rFonts w:hint="eastAsia" w:ascii="宋体" w:hAnsi="宋体" w:eastAsia="宋体" w:cs="宋体"/>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601F8886">
            <w:pPr>
              <w:pStyle w:val="14"/>
              <w:jc w:val="center"/>
              <w:rPr>
                <w:rFonts w:hint="eastAsia" w:ascii="宋体" w:hAnsi="宋体" w:eastAsia="宋体" w:cs="宋体"/>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1D7E9BE2">
            <w:pPr>
              <w:pStyle w:val="14"/>
              <w:jc w:val="center"/>
              <w:rPr>
                <w:rFonts w:hint="eastAsia" w:ascii="宋体" w:hAnsi="宋体" w:eastAsia="宋体" w:cs="宋体"/>
                <w:sz w:val="21"/>
                <w:szCs w:val="21"/>
                <w:highlight w:val="none"/>
              </w:rPr>
            </w:pPr>
          </w:p>
        </w:tc>
      </w:tr>
    </w:tbl>
    <w:p w14:paraId="22183931">
      <w:pPr>
        <w:spacing w:line="360" w:lineRule="auto"/>
        <w:ind w:firstLine="220" w:firstLineChars="100"/>
        <w:rPr>
          <w:rFonts w:hint="eastAsia" w:ascii="宋体" w:hAnsi="宋体" w:eastAsia="宋体" w:cs="宋体"/>
          <w:highlight w:val="none"/>
        </w:rPr>
      </w:pPr>
    </w:p>
    <w:p w14:paraId="06BCBA01">
      <w:pPr>
        <w:spacing w:line="360" w:lineRule="auto"/>
        <w:ind w:firstLine="220" w:firstLineChars="100"/>
        <w:rPr>
          <w:rFonts w:hint="eastAsia" w:ascii="宋体" w:hAnsi="宋体" w:eastAsia="宋体" w:cs="宋体"/>
          <w:highlight w:val="none"/>
        </w:rPr>
      </w:pPr>
      <w:r>
        <w:rPr>
          <w:rFonts w:hint="eastAsia" w:ascii="宋体" w:hAnsi="宋体" w:eastAsia="宋体" w:cs="宋体"/>
          <w:highlight w:val="none"/>
        </w:rPr>
        <w:t>注：1、“项目组人员”指投标人完成本项目所配备的人员。</w:t>
      </w:r>
    </w:p>
    <w:p w14:paraId="559D0EFF">
      <w:pPr>
        <w:spacing w:line="360" w:lineRule="auto"/>
        <w:ind w:firstLine="660" w:firstLineChars="300"/>
        <w:rPr>
          <w:rFonts w:hint="eastAsia" w:ascii="宋体" w:hAnsi="宋体" w:eastAsia="宋体" w:cs="宋体"/>
          <w:highlight w:val="none"/>
        </w:rPr>
      </w:pPr>
      <w:r>
        <w:rPr>
          <w:rFonts w:hint="eastAsia" w:ascii="宋体" w:hAnsi="宋体" w:eastAsia="宋体" w:cs="宋体"/>
          <w:highlight w:val="none"/>
        </w:rPr>
        <w:t>2、各专业人员简历中附身份证、职称证（</w:t>
      </w:r>
      <w:r>
        <w:rPr>
          <w:rFonts w:hint="eastAsia" w:ascii="宋体" w:hAnsi="宋体" w:eastAsia="宋体" w:cs="宋体"/>
          <w:highlight w:val="none"/>
          <w:lang w:val="en-US"/>
        </w:rPr>
        <w:t>如有</w:t>
      </w:r>
      <w:r>
        <w:rPr>
          <w:rFonts w:hint="eastAsia" w:ascii="宋体" w:hAnsi="宋体" w:eastAsia="宋体" w:cs="宋体"/>
          <w:highlight w:val="none"/>
        </w:rPr>
        <w:t>）、执业注册证（如有）、上岗证、本单位社保证明及业绩等相关证明材料原件的扫描件；</w:t>
      </w:r>
    </w:p>
    <w:p w14:paraId="43608A76">
      <w:pPr>
        <w:spacing w:line="360" w:lineRule="auto"/>
        <w:ind w:firstLine="660" w:firstLineChars="300"/>
        <w:rPr>
          <w:rFonts w:hint="eastAsia" w:ascii="宋体" w:hAnsi="宋体" w:eastAsia="宋体" w:cs="宋体"/>
          <w:highlight w:val="none"/>
        </w:rPr>
      </w:pPr>
      <w:r>
        <w:rPr>
          <w:rFonts w:hint="eastAsia" w:ascii="宋体" w:hAnsi="宋体" w:eastAsia="宋体" w:cs="宋体"/>
          <w:highlight w:val="none"/>
        </w:rPr>
        <w:t>3、表格不够填写可添加。</w:t>
      </w:r>
    </w:p>
    <w:p w14:paraId="5DAC219A">
      <w:pPr>
        <w:pStyle w:val="5"/>
        <w:ind w:firstLine="562"/>
        <w:rPr>
          <w:rFonts w:hint="eastAsia" w:ascii="宋体" w:hAnsi="宋体" w:eastAsia="宋体" w:cs="宋体"/>
          <w:b/>
          <w:color w:val="000000" w:themeColor="text1"/>
          <w:highlight w:val="none"/>
          <w14:textFill>
            <w14:solidFill>
              <w14:schemeClr w14:val="tx1"/>
            </w14:solidFill>
          </w14:textFill>
        </w:rPr>
      </w:pPr>
    </w:p>
    <w:p w14:paraId="67D7459F">
      <w:pPr>
        <w:pStyle w:val="5"/>
        <w:ind w:firstLine="0" w:firstLineChars="0"/>
        <w:rPr>
          <w:rFonts w:hint="eastAsia" w:ascii="宋体" w:hAnsi="宋体" w:eastAsia="宋体" w:cs="宋体"/>
          <w:highlight w:val="none"/>
          <w:lang w:val="en-US"/>
        </w:rPr>
      </w:pPr>
    </w:p>
    <w:p w14:paraId="5F52CC15">
      <w:pPr>
        <w:spacing w:line="440" w:lineRule="exact"/>
        <w:ind w:firstLine="4905" w:firstLineChars="2250"/>
        <w:rPr>
          <w:rFonts w:hint="eastAsia" w:ascii="宋体" w:hAnsi="宋体" w:eastAsia="宋体" w:cs="宋体"/>
          <w:spacing w:val="-1"/>
          <w:highlight w:val="none"/>
        </w:rPr>
      </w:pPr>
      <w:r>
        <w:rPr>
          <w:rFonts w:hint="eastAsia" w:ascii="宋体" w:hAnsi="宋体" w:eastAsia="宋体" w:cs="宋体"/>
          <w:spacing w:val="-1"/>
          <w:highlight w:val="none"/>
        </w:rPr>
        <w:t>竞争性磋商响应人：（盖章）</w:t>
      </w:r>
    </w:p>
    <w:p w14:paraId="73AA1030">
      <w:pPr>
        <w:spacing w:line="440" w:lineRule="exact"/>
        <w:ind w:firstLine="4796" w:firstLineChars="2200"/>
        <w:rPr>
          <w:rFonts w:hint="eastAsia" w:ascii="宋体" w:hAnsi="宋体" w:eastAsia="宋体" w:cs="宋体"/>
          <w:spacing w:val="-1"/>
          <w:highlight w:val="none"/>
        </w:rPr>
      </w:pPr>
      <w:r>
        <w:rPr>
          <w:rFonts w:hint="eastAsia" w:ascii="宋体" w:hAnsi="宋体" w:eastAsia="宋体" w:cs="宋体"/>
          <w:spacing w:val="-1"/>
          <w:highlight w:val="none"/>
        </w:rPr>
        <w:t>法定代表人或授权委托人：（签字或盖章）</w:t>
      </w:r>
    </w:p>
    <w:p w14:paraId="1FB9FB7B">
      <w:pPr>
        <w:spacing w:line="440" w:lineRule="exact"/>
        <w:ind w:firstLine="5777" w:firstLineChars="2650"/>
        <w:rPr>
          <w:rFonts w:hint="eastAsia" w:ascii="宋体" w:hAnsi="宋体" w:eastAsia="宋体" w:cs="宋体"/>
          <w:b/>
          <w:sz w:val="21"/>
          <w:szCs w:val="21"/>
          <w:highlight w:val="none"/>
        </w:rPr>
      </w:pPr>
      <w:r>
        <w:rPr>
          <w:rFonts w:hint="eastAsia" w:ascii="宋体" w:hAnsi="宋体" w:eastAsia="宋体" w:cs="宋体"/>
          <w:spacing w:val="-1"/>
          <w:highlight w:val="none"/>
        </w:rPr>
        <w:t>年</w:t>
      </w:r>
      <w:r>
        <w:rPr>
          <w:rFonts w:hint="eastAsia" w:ascii="宋体" w:hAnsi="宋体" w:eastAsia="宋体" w:cs="宋体"/>
          <w:spacing w:val="-1"/>
          <w:highlight w:val="none"/>
          <w:lang w:val="en-US"/>
        </w:rPr>
        <w:t xml:space="preserve"> </w:t>
      </w:r>
      <w:r>
        <w:rPr>
          <w:rFonts w:hint="eastAsia" w:ascii="宋体" w:hAnsi="宋体" w:eastAsia="宋体" w:cs="宋体"/>
          <w:spacing w:val="-1"/>
          <w:highlight w:val="none"/>
        </w:rPr>
        <w:t>月</w:t>
      </w:r>
      <w:r>
        <w:rPr>
          <w:rFonts w:hint="eastAsia" w:ascii="宋体" w:hAnsi="宋体" w:eastAsia="宋体" w:cs="宋体"/>
          <w:spacing w:val="-1"/>
          <w:highlight w:val="none"/>
          <w:lang w:val="en-US"/>
        </w:rPr>
        <w:t xml:space="preserve">  </w:t>
      </w:r>
      <w:r>
        <w:rPr>
          <w:rFonts w:hint="eastAsia" w:ascii="宋体" w:hAnsi="宋体" w:eastAsia="宋体" w:cs="宋体"/>
          <w:spacing w:val="-1"/>
          <w:highlight w:val="none"/>
        </w:rPr>
        <w:t>日</w:t>
      </w:r>
    </w:p>
    <w:p w14:paraId="1269D57C">
      <w:pPr>
        <w:pStyle w:val="10"/>
        <w:rPr>
          <w:rFonts w:hint="eastAsia" w:ascii="宋体" w:hAnsi="宋体" w:eastAsia="宋体" w:cs="宋体"/>
          <w:sz w:val="20"/>
          <w:highlight w:val="none"/>
        </w:rPr>
      </w:pPr>
    </w:p>
    <w:p w14:paraId="567C98F7">
      <w:pPr>
        <w:pStyle w:val="10"/>
        <w:rPr>
          <w:rFonts w:hint="eastAsia" w:ascii="宋体" w:hAnsi="宋体" w:eastAsia="宋体" w:cs="宋体"/>
          <w:sz w:val="20"/>
          <w:highlight w:val="none"/>
        </w:rPr>
      </w:pPr>
    </w:p>
    <w:p w14:paraId="42D8575C">
      <w:pPr>
        <w:pStyle w:val="10"/>
        <w:spacing w:before="7"/>
        <w:rPr>
          <w:rFonts w:hint="eastAsia" w:ascii="宋体" w:hAnsi="宋体" w:eastAsia="宋体" w:cs="宋体"/>
          <w:sz w:val="17"/>
          <w:highlight w:val="none"/>
        </w:rPr>
      </w:pPr>
    </w:p>
    <w:p w14:paraId="1AB67E95">
      <w:pPr>
        <w:pStyle w:val="10"/>
        <w:rPr>
          <w:rFonts w:hint="eastAsia" w:ascii="宋体" w:hAnsi="宋体" w:eastAsia="宋体" w:cs="宋体"/>
          <w:sz w:val="20"/>
          <w:highlight w:val="none"/>
        </w:rPr>
      </w:pPr>
    </w:p>
    <w:p w14:paraId="3C7E1380">
      <w:pPr>
        <w:pStyle w:val="10"/>
        <w:spacing w:before="1"/>
        <w:rPr>
          <w:rFonts w:hint="eastAsia" w:ascii="宋体" w:hAnsi="宋体" w:eastAsia="宋体" w:cs="宋体"/>
          <w:sz w:val="26"/>
          <w:highlight w:val="none"/>
        </w:rPr>
      </w:pPr>
    </w:p>
    <w:p w14:paraId="0A9C3D09">
      <w:pPr>
        <w:spacing w:before="62"/>
        <w:ind w:left="35" w:right="199"/>
        <w:jc w:val="center"/>
        <w:rPr>
          <w:rFonts w:hint="eastAsia" w:ascii="宋体" w:hAnsi="宋体" w:eastAsia="宋体" w:cs="宋体"/>
          <w:sz w:val="28"/>
          <w:highlight w:val="none"/>
        </w:rPr>
      </w:pPr>
      <w:bookmarkStart w:id="108" w:name="_TOC_250005"/>
      <w:bookmarkEnd w:id="108"/>
    </w:p>
    <w:p w14:paraId="142E9014">
      <w:pPr>
        <w:numPr>
          <w:ilvl w:val="0"/>
          <w:numId w:val="66"/>
        </w:numPr>
        <w:spacing w:before="62"/>
        <w:ind w:left="35" w:right="199"/>
        <w:jc w:val="center"/>
        <w:rPr>
          <w:rFonts w:hint="eastAsia" w:ascii="宋体" w:hAnsi="宋体" w:eastAsia="宋体" w:cs="宋体"/>
          <w:sz w:val="28"/>
          <w:highlight w:val="none"/>
        </w:rPr>
      </w:pPr>
      <w:r>
        <w:rPr>
          <w:rFonts w:hint="eastAsia" w:ascii="宋体" w:hAnsi="宋体" w:eastAsia="宋体" w:cs="宋体"/>
          <w:sz w:val="28"/>
          <w:highlight w:val="none"/>
        </w:rPr>
        <w:t>其他资料</w:t>
      </w:r>
    </w:p>
    <w:p w14:paraId="365CD207">
      <w:pPr>
        <w:pStyle w:val="23"/>
        <w:ind w:firstLine="0" w:firstLineChars="0"/>
        <w:rPr>
          <w:rFonts w:hint="eastAsia" w:ascii="宋体" w:hAnsi="宋体" w:eastAsia="宋体" w:cs="宋体"/>
          <w:highlight w:val="none"/>
        </w:rPr>
      </w:pPr>
    </w:p>
    <w:p w14:paraId="0ABA5E35">
      <w:pPr>
        <w:widowControl/>
        <w:jc w:val="center"/>
        <w:rPr>
          <w:rFonts w:hint="eastAsia" w:ascii="宋体" w:hAnsi="宋体" w:eastAsia="宋体" w:cs="宋体"/>
          <w:highlight w:val="none"/>
        </w:rPr>
      </w:pPr>
      <w:r>
        <w:rPr>
          <w:rFonts w:hint="eastAsia" w:ascii="宋体" w:hAnsi="宋体" w:eastAsia="宋体" w:cs="宋体"/>
          <w:b/>
          <w:szCs w:val="21"/>
          <w:highlight w:val="none"/>
          <w:lang w:val="en-US"/>
        </w:rPr>
        <w:t>中小企业声明函（工程）</w:t>
      </w:r>
    </w:p>
    <w:p w14:paraId="6277E69C">
      <w:pPr>
        <w:widowControl/>
        <w:snapToGrid w:val="0"/>
        <w:spacing w:before="100" w:beforeAutospacing="1" w:after="100" w:afterAutospacing="1" w:line="400" w:lineRule="exact"/>
        <w:ind w:firstLine="660" w:firstLineChars="300"/>
        <w:rPr>
          <w:rFonts w:hint="eastAsia" w:ascii="宋体" w:hAnsi="宋体" w:eastAsia="宋体" w:cs="宋体"/>
          <w:szCs w:val="21"/>
          <w:highlight w:val="none"/>
        </w:rPr>
      </w:pPr>
      <w:r>
        <w:rPr>
          <w:rFonts w:hint="eastAsia" w:ascii="宋体" w:hAnsi="宋体" w:eastAsia="宋体" w:cs="宋体"/>
          <w:szCs w:val="21"/>
          <w:highlight w:val="none"/>
          <w:lang w:val="en-US"/>
        </w:rPr>
        <w:t>本公司郑重声明，根据《政府采购促进中小企业发展管理办法》（财库﹝2020﹞46 号）的规定，本公司参加</w:t>
      </w:r>
      <w:r>
        <w:rPr>
          <w:rFonts w:hint="eastAsia" w:ascii="宋体" w:hAnsi="宋体" w:eastAsia="宋体" w:cs="宋体"/>
          <w:szCs w:val="21"/>
          <w:highlight w:val="none"/>
          <w:u w:val="single"/>
          <w:lang w:val="en-US"/>
        </w:rPr>
        <w:t>（单位名称）</w:t>
      </w:r>
      <w:r>
        <w:rPr>
          <w:rFonts w:hint="eastAsia" w:ascii="宋体" w:hAnsi="宋体" w:eastAsia="宋体" w:cs="宋体"/>
          <w:szCs w:val="21"/>
          <w:highlight w:val="none"/>
          <w:lang w:val="en-US"/>
        </w:rPr>
        <w:t>的</w:t>
      </w:r>
      <w:r>
        <w:rPr>
          <w:rFonts w:hint="eastAsia" w:ascii="宋体" w:hAnsi="宋体" w:eastAsia="宋体" w:cs="宋体"/>
          <w:szCs w:val="21"/>
          <w:highlight w:val="none"/>
          <w:u w:val="single"/>
          <w:lang w:val="en-US"/>
        </w:rPr>
        <w:t>（项目名称）</w:t>
      </w:r>
      <w:r>
        <w:rPr>
          <w:rFonts w:hint="eastAsia" w:ascii="宋体" w:hAnsi="宋体" w:eastAsia="宋体" w:cs="宋体"/>
          <w:szCs w:val="21"/>
          <w:highlight w:val="none"/>
          <w:lang w:val="en-US"/>
        </w:rPr>
        <w:t>采购活动，工程的施工单位全部为符合政策要求的中小企业。相关企业的具体情况如下：</w:t>
      </w:r>
    </w:p>
    <w:p w14:paraId="027568CA">
      <w:pPr>
        <w:widowControl/>
        <w:snapToGrid w:val="0"/>
        <w:spacing w:before="100" w:beforeAutospacing="1" w:after="100" w:afterAutospacing="1" w:line="400" w:lineRule="exact"/>
        <w:rPr>
          <w:rFonts w:hint="eastAsia" w:ascii="宋体" w:hAnsi="宋体" w:eastAsia="宋体" w:cs="宋体"/>
          <w:szCs w:val="21"/>
          <w:highlight w:val="none"/>
        </w:rPr>
      </w:pPr>
      <w:r>
        <w:rPr>
          <w:rFonts w:hint="eastAsia" w:ascii="宋体" w:hAnsi="宋体" w:eastAsia="宋体" w:cs="宋体"/>
          <w:szCs w:val="21"/>
          <w:highlight w:val="none"/>
          <w:lang w:val="en-US"/>
        </w:rPr>
        <w:t xml:space="preserve">1. </w:t>
      </w:r>
      <w:r>
        <w:rPr>
          <w:rFonts w:hint="eastAsia" w:ascii="宋体" w:hAnsi="宋体" w:eastAsia="宋体" w:cs="宋体"/>
          <w:szCs w:val="21"/>
          <w:highlight w:val="none"/>
          <w:u w:val="single"/>
          <w:lang w:val="en-US"/>
        </w:rPr>
        <w:t>（标的名称）</w:t>
      </w:r>
      <w:r>
        <w:rPr>
          <w:rFonts w:hint="eastAsia" w:ascii="宋体" w:hAnsi="宋体" w:eastAsia="宋体" w:cs="宋体"/>
          <w:szCs w:val="21"/>
          <w:highlight w:val="none"/>
          <w:lang w:val="en-US"/>
        </w:rPr>
        <w:t xml:space="preserve"> ，属于</w:t>
      </w:r>
      <w:r>
        <w:rPr>
          <w:rFonts w:hint="eastAsia" w:ascii="宋体" w:hAnsi="宋体" w:eastAsia="宋体" w:cs="宋体"/>
          <w:szCs w:val="21"/>
          <w:highlight w:val="none"/>
          <w:u w:val="single"/>
          <w:lang w:val="en-US"/>
        </w:rPr>
        <w:t>建筑业</w:t>
      </w:r>
      <w:r>
        <w:rPr>
          <w:rFonts w:hint="eastAsia" w:ascii="宋体" w:hAnsi="宋体" w:eastAsia="宋体" w:cs="宋体"/>
          <w:szCs w:val="21"/>
          <w:highlight w:val="none"/>
          <w:lang w:val="en-US"/>
        </w:rPr>
        <w:t>；承建企业为</w:t>
      </w:r>
      <w:r>
        <w:rPr>
          <w:rFonts w:hint="eastAsia" w:ascii="宋体" w:hAnsi="宋体" w:eastAsia="宋体" w:cs="宋体"/>
          <w:szCs w:val="21"/>
          <w:highlight w:val="none"/>
          <w:u w:val="single"/>
          <w:lang w:val="en-US"/>
        </w:rPr>
        <w:t>（企业名称）</w:t>
      </w:r>
      <w:r>
        <w:rPr>
          <w:rFonts w:hint="eastAsia" w:ascii="宋体" w:hAnsi="宋体" w:eastAsia="宋体" w:cs="宋体"/>
          <w:szCs w:val="21"/>
          <w:highlight w:val="none"/>
          <w:lang w:val="en-US"/>
        </w:rPr>
        <w:t>，从业人员</w:t>
      </w:r>
      <w:r>
        <w:rPr>
          <w:rFonts w:hint="eastAsia" w:ascii="宋体" w:hAnsi="宋体" w:eastAsia="宋体" w:cs="宋体"/>
          <w:szCs w:val="21"/>
          <w:highlight w:val="none"/>
          <w:u w:val="single"/>
          <w:lang w:val="en-US"/>
        </w:rPr>
        <w:t xml:space="preserve">    </w:t>
      </w:r>
      <w:r>
        <w:rPr>
          <w:rFonts w:hint="eastAsia" w:ascii="宋体" w:hAnsi="宋体" w:eastAsia="宋体" w:cs="宋体"/>
          <w:szCs w:val="21"/>
          <w:highlight w:val="none"/>
          <w:lang w:val="en-US"/>
        </w:rPr>
        <w:t>人，营业收入为</w:t>
      </w:r>
      <w:r>
        <w:rPr>
          <w:rFonts w:hint="eastAsia" w:ascii="宋体" w:hAnsi="宋体" w:eastAsia="宋体" w:cs="宋体"/>
          <w:szCs w:val="21"/>
          <w:highlight w:val="none"/>
          <w:u w:val="single"/>
          <w:lang w:val="en-US"/>
        </w:rPr>
        <w:t xml:space="preserve">         </w:t>
      </w:r>
      <w:r>
        <w:rPr>
          <w:rFonts w:hint="eastAsia" w:ascii="宋体" w:hAnsi="宋体" w:eastAsia="宋体" w:cs="宋体"/>
          <w:szCs w:val="21"/>
          <w:highlight w:val="none"/>
          <w:lang w:val="en-US"/>
        </w:rPr>
        <w:t>万元，资产总额为</w:t>
      </w:r>
      <w:r>
        <w:rPr>
          <w:rFonts w:hint="eastAsia" w:ascii="宋体" w:hAnsi="宋体" w:eastAsia="宋体" w:cs="宋体"/>
          <w:szCs w:val="21"/>
          <w:highlight w:val="none"/>
          <w:u w:val="single"/>
          <w:lang w:val="en-US"/>
        </w:rPr>
        <w:t xml:space="preserve">       </w:t>
      </w:r>
      <w:r>
        <w:rPr>
          <w:rFonts w:hint="eastAsia" w:ascii="宋体" w:hAnsi="宋体" w:eastAsia="宋体" w:cs="宋体"/>
          <w:szCs w:val="21"/>
          <w:highlight w:val="none"/>
          <w:lang w:val="en-US"/>
        </w:rPr>
        <w:t>万元</w:t>
      </w:r>
      <w:r>
        <w:rPr>
          <w:rFonts w:hint="eastAsia" w:ascii="宋体" w:hAnsi="宋体" w:eastAsia="宋体" w:cs="宋体"/>
          <w:szCs w:val="21"/>
          <w:highlight w:val="none"/>
          <w:vertAlign w:val="superscript"/>
          <w:lang w:val="en-US"/>
        </w:rPr>
        <w:t>1</w:t>
      </w:r>
      <w:r>
        <w:rPr>
          <w:rFonts w:hint="eastAsia" w:ascii="宋体" w:hAnsi="宋体" w:eastAsia="宋体" w:cs="宋体"/>
          <w:szCs w:val="21"/>
          <w:highlight w:val="none"/>
          <w:lang w:val="en-US"/>
        </w:rPr>
        <w:t>，属于</w:t>
      </w:r>
      <w:r>
        <w:rPr>
          <w:rFonts w:hint="eastAsia" w:ascii="宋体" w:hAnsi="宋体" w:eastAsia="宋体" w:cs="宋体"/>
          <w:szCs w:val="21"/>
          <w:highlight w:val="none"/>
          <w:u w:val="single"/>
          <w:lang w:val="en-US"/>
        </w:rPr>
        <w:t>（中型企业、小型企业、微型企业）</w:t>
      </w:r>
      <w:r>
        <w:rPr>
          <w:rFonts w:hint="eastAsia" w:ascii="宋体" w:hAnsi="宋体" w:eastAsia="宋体" w:cs="宋体"/>
          <w:szCs w:val="21"/>
          <w:highlight w:val="none"/>
          <w:lang w:val="en-US"/>
        </w:rPr>
        <w:t xml:space="preserve">； </w:t>
      </w:r>
    </w:p>
    <w:p w14:paraId="61E67257">
      <w:pPr>
        <w:widowControl/>
        <w:snapToGrid w:val="0"/>
        <w:spacing w:before="100" w:beforeAutospacing="1" w:after="100" w:afterAutospacing="1" w:line="400" w:lineRule="exact"/>
        <w:rPr>
          <w:rFonts w:hint="eastAsia" w:ascii="宋体" w:hAnsi="宋体" w:eastAsia="宋体" w:cs="宋体"/>
          <w:szCs w:val="21"/>
          <w:highlight w:val="none"/>
        </w:rPr>
      </w:pPr>
      <w:r>
        <w:rPr>
          <w:rFonts w:hint="eastAsia" w:ascii="宋体" w:hAnsi="宋体" w:eastAsia="宋体" w:cs="宋体"/>
          <w:szCs w:val="21"/>
          <w:highlight w:val="none"/>
          <w:lang w:val="en-US"/>
        </w:rPr>
        <w:t xml:space="preserve">2.  </w:t>
      </w:r>
      <w:r>
        <w:rPr>
          <w:rFonts w:hint="eastAsia" w:ascii="宋体" w:hAnsi="宋体" w:eastAsia="宋体" w:cs="宋体"/>
          <w:szCs w:val="21"/>
          <w:highlight w:val="none"/>
          <w:u w:val="single"/>
          <w:lang w:val="en-US"/>
        </w:rPr>
        <w:t>（标的名称）</w:t>
      </w:r>
      <w:r>
        <w:rPr>
          <w:rFonts w:hint="eastAsia" w:ascii="宋体" w:hAnsi="宋体" w:eastAsia="宋体" w:cs="宋体"/>
          <w:szCs w:val="21"/>
          <w:highlight w:val="none"/>
          <w:lang w:val="en-US"/>
        </w:rPr>
        <w:t xml:space="preserve"> ，属于</w:t>
      </w:r>
      <w:r>
        <w:rPr>
          <w:rFonts w:hint="eastAsia" w:ascii="宋体" w:hAnsi="宋体" w:eastAsia="宋体" w:cs="宋体"/>
          <w:szCs w:val="21"/>
          <w:highlight w:val="none"/>
          <w:u w:val="single"/>
          <w:lang w:val="en-US"/>
        </w:rPr>
        <w:t>建筑业</w:t>
      </w:r>
      <w:r>
        <w:rPr>
          <w:rFonts w:hint="eastAsia" w:ascii="宋体" w:hAnsi="宋体" w:eastAsia="宋体" w:cs="宋体"/>
          <w:szCs w:val="21"/>
          <w:highlight w:val="none"/>
          <w:lang w:val="en-US"/>
        </w:rPr>
        <w:t>；承建企业为</w:t>
      </w:r>
      <w:r>
        <w:rPr>
          <w:rFonts w:hint="eastAsia" w:ascii="宋体" w:hAnsi="宋体" w:eastAsia="宋体" w:cs="宋体"/>
          <w:szCs w:val="21"/>
          <w:highlight w:val="none"/>
          <w:u w:val="single"/>
          <w:lang w:val="en-US"/>
        </w:rPr>
        <w:t>（企业名称）</w:t>
      </w:r>
      <w:r>
        <w:rPr>
          <w:rFonts w:hint="eastAsia" w:ascii="宋体" w:hAnsi="宋体" w:eastAsia="宋体" w:cs="宋体"/>
          <w:szCs w:val="21"/>
          <w:highlight w:val="none"/>
          <w:lang w:val="en-US"/>
        </w:rPr>
        <w:t>，从业人员</w:t>
      </w:r>
      <w:r>
        <w:rPr>
          <w:rFonts w:hint="eastAsia" w:ascii="宋体" w:hAnsi="宋体" w:eastAsia="宋体" w:cs="宋体"/>
          <w:szCs w:val="21"/>
          <w:highlight w:val="none"/>
          <w:u w:val="single"/>
          <w:lang w:val="en-US"/>
        </w:rPr>
        <w:t xml:space="preserve">    </w:t>
      </w:r>
      <w:r>
        <w:rPr>
          <w:rFonts w:hint="eastAsia" w:ascii="宋体" w:hAnsi="宋体" w:eastAsia="宋体" w:cs="宋体"/>
          <w:szCs w:val="21"/>
          <w:highlight w:val="none"/>
          <w:lang w:val="en-US"/>
        </w:rPr>
        <w:t>人，营业收入为</w:t>
      </w:r>
      <w:r>
        <w:rPr>
          <w:rFonts w:hint="eastAsia" w:ascii="宋体" w:hAnsi="宋体" w:eastAsia="宋体" w:cs="宋体"/>
          <w:szCs w:val="21"/>
          <w:highlight w:val="none"/>
          <w:u w:val="single"/>
          <w:lang w:val="en-US"/>
        </w:rPr>
        <w:t xml:space="preserve">         </w:t>
      </w:r>
      <w:r>
        <w:rPr>
          <w:rFonts w:hint="eastAsia" w:ascii="宋体" w:hAnsi="宋体" w:eastAsia="宋体" w:cs="宋体"/>
          <w:szCs w:val="21"/>
          <w:highlight w:val="none"/>
          <w:lang w:val="en-US"/>
        </w:rPr>
        <w:t>万元，资产总额为</w:t>
      </w:r>
      <w:r>
        <w:rPr>
          <w:rFonts w:hint="eastAsia" w:ascii="宋体" w:hAnsi="宋体" w:eastAsia="宋体" w:cs="宋体"/>
          <w:szCs w:val="21"/>
          <w:highlight w:val="none"/>
          <w:u w:val="single"/>
          <w:lang w:val="en-US"/>
        </w:rPr>
        <w:t xml:space="preserve">       </w:t>
      </w:r>
      <w:r>
        <w:rPr>
          <w:rFonts w:hint="eastAsia" w:ascii="宋体" w:hAnsi="宋体" w:eastAsia="宋体" w:cs="宋体"/>
          <w:szCs w:val="21"/>
          <w:highlight w:val="none"/>
          <w:lang w:val="en-US"/>
        </w:rPr>
        <w:t>万元</w:t>
      </w:r>
      <w:r>
        <w:rPr>
          <w:rFonts w:hint="eastAsia" w:ascii="宋体" w:hAnsi="宋体" w:eastAsia="宋体" w:cs="宋体"/>
          <w:szCs w:val="21"/>
          <w:highlight w:val="none"/>
          <w:vertAlign w:val="superscript"/>
          <w:lang w:val="en-US"/>
        </w:rPr>
        <w:t>1</w:t>
      </w:r>
      <w:r>
        <w:rPr>
          <w:rFonts w:hint="eastAsia" w:ascii="宋体" w:hAnsi="宋体" w:eastAsia="宋体" w:cs="宋体"/>
          <w:szCs w:val="21"/>
          <w:highlight w:val="none"/>
          <w:lang w:val="en-US"/>
        </w:rPr>
        <w:t>，属于</w:t>
      </w:r>
      <w:r>
        <w:rPr>
          <w:rFonts w:hint="eastAsia" w:ascii="宋体" w:hAnsi="宋体" w:eastAsia="宋体" w:cs="宋体"/>
          <w:szCs w:val="21"/>
          <w:highlight w:val="none"/>
          <w:u w:val="single"/>
          <w:lang w:val="en-US"/>
        </w:rPr>
        <w:t>（中型企业、小型企业、微型企业）</w:t>
      </w:r>
      <w:r>
        <w:rPr>
          <w:rFonts w:hint="eastAsia" w:ascii="宋体" w:hAnsi="宋体" w:eastAsia="宋体" w:cs="宋体"/>
          <w:szCs w:val="21"/>
          <w:highlight w:val="none"/>
          <w:lang w:val="en-US"/>
        </w:rPr>
        <w:t>；</w:t>
      </w:r>
    </w:p>
    <w:p w14:paraId="43B46874">
      <w:pPr>
        <w:widowControl/>
        <w:snapToGrid w:val="0"/>
        <w:spacing w:before="100" w:beforeAutospacing="1" w:after="100" w:afterAutospacing="1" w:line="400" w:lineRule="exact"/>
        <w:rPr>
          <w:rFonts w:hint="eastAsia" w:ascii="宋体" w:hAnsi="宋体" w:eastAsia="宋体" w:cs="宋体"/>
          <w:szCs w:val="21"/>
          <w:highlight w:val="none"/>
        </w:rPr>
      </w:pPr>
      <w:r>
        <w:rPr>
          <w:rFonts w:hint="eastAsia" w:ascii="宋体" w:hAnsi="宋体" w:eastAsia="宋体" w:cs="宋体"/>
          <w:szCs w:val="21"/>
          <w:highlight w:val="none"/>
          <w:lang w:val="en-US"/>
        </w:rPr>
        <w:t>……</w:t>
      </w:r>
    </w:p>
    <w:p w14:paraId="414607FE">
      <w:pPr>
        <w:widowControl/>
        <w:snapToGrid w:val="0"/>
        <w:spacing w:before="100" w:beforeAutospacing="1" w:after="100" w:afterAutospacing="1" w:line="400" w:lineRule="exact"/>
        <w:ind w:firstLine="440" w:firstLineChars="200"/>
        <w:rPr>
          <w:rFonts w:hint="eastAsia" w:ascii="宋体" w:hAnsi="宋体" w:eastAsia="宋体" w:cs="宋体"/>
          <w:szCs w:val="21"/>
          <w:highlight w:val="none"/>
        </w:rPr>
      </w:pPr>
      <w:r>
        <w:rPr>
          <w:rFonts w:hint="eastAsia" w:ascii="宋体" w:hAnsi="宋体" w:eastAsia="宋体" w:cs="宋体"/>
          <w:szCs w:val="21"/>
          <w:highlight w:val="none"/>
          <w:lang w:val="en-US"/>
        </w:rPr>
        <w:t>以上企业，不属于大企业的分支机构，不存在控股股东为大企业的情形，也不存在与大企业的负责人为同一人的情形。</w:t>
      </w:r>
    </w:p>
    <w:p w14:paraId="40496DFF">
      <w:pPr>
        <w:widowControl/>
        <w:snapToGrid w:val="0"/>
        <w:spacing w:before="100" w:beforeAutospacing="1" w:after="100" w:afterAutospacing="1" w:line="400" w:lineRule="exact"/>
        <w:ind w:firstLine="440" w:firstLineChars="200"/>
        <w:rPr>
          <w:rFonts w:hint="eastAsia" w:ascii="宋体" w:hAnsi="宋体" w:eastAsia="宋体" w:cs="宋体"/>
          <w:szCs w:val="21"/>
          <w:highlight w:val="none"/>
        </w:rPr>
      </w:pPr>
      <w:r>
        <w:rPr>
          <w:rFonts w:hint="eastAsia" w:ascii="宋体" w:hAnsi="宋体" w:eastAsia="宋体" w:cs="宋体"/>
          <w:szCs w:val="21"/>
          <w:highlight w:val="none"/>
          <w:lang w:val="en-US"/>
        </w:rPr>
        <w:t xml:space="preserve">本企业对上述声明内容的真实性负责。如有虚假，将依法承担相应责任。 </w:t>
      </w:r>
    </w:p>
    <w:p w14:paraId="77767583">
      <w:pPr>
        <w:widowControl/>
        <w:snapToGrid w:val="0"/>
        <w:spacing w:before="100" w:beforeAutospacing="1" w:after="100" w:afterAutospacing="1" w:line="400" w:lineRule="exact"/>
        <w:ind w:firstLine="5500" w:firstLineChars="2500"/>
        <w:rPr>
          <w:rFonts w:hint="eastAsia" w:ascii="宋体" w:hAnsi="宋体" w:eastAsia="宋体" w:cs="宋体"/>
          <w:szCs w:val="21"/>
          <w:highlight w:val="none"/>
        </w:rPr>
      </w:pPr>
      <w:r>
        <w:rPr>
          <w:rFonts w:hint="eastAsia" w:ascii="宋体" w:hAnsi="宋体" w:eastAsia="宋体" w:cs="宋体"/>
          <w:szCs w:val="21"/>
          <w:highlight w:val="none"/>
          <w:lang w:val="en-US"/>
        </w:rPr>
        <w:t xml:space="preserve">企业名称（盖章）： </w:t>
      </w:r>
    </w:p>
    <w:p w14:paraId="7E411791">
      <w:pPr>
        <w:widowControl/>
        <w:snapToGrid w:val="0"/>
        <w:spacing w:before="100" w:beforeAutospacing="1" w:after="100" w:afterAutospacing="1" w:line="400" w:lineRule="exact"/>
        <w:ind w:firstLine="5500" w:firstLineChars="2500"/>
        <w:rPr>
          <w:rFonts w:hint="eastAsia" w:ascii="宋体" w:hAnsi="宋体" w:eastAsia="宋体" w:cs="宋体"/>
          <w:szCs w:val="21"/>
          <w:highlight w:val="none"/>
        </w:rPr>
      </w:pPr>
      <w:r>
        <w:rPr>
          <w:rFonts w:hint="eastAsia" w:ascii="宋体" w:hAnsi="宋体" w:eastAsia="宋体" w:cs="宋体"/>
          <w:szCs w:val="21"/>
          <w:highlight w:val="none"/>
          <w:lang w:val="en-US"/>
        </w:rPr>
        <w:t xml:space="preserve">日 期： </w:t>
      </w:r>
    </w:p>
    <w:p w14:paraId="2A2D14BD">
      <w:pPr>
        <w:widowControl/>
        <w:rPr>
          <w:rFonts w:hint="eastAsia" w:ascii="宋体" w:hAnsi="宋体" w:eastAsia="宋体" w:cs="宋体"/>
          <w:b/>
          <w:bCs/>
          <w:color w:val="000000"/>
          <w:sz w:val="11"/>
          <w:szCs w:val="11"/>
          <w:highlight w:val="none"/>
          <w:lang w:val="en-US" w:bidi="ar"/>
        </w:rPr>
      </w:pPr>
    </w:p>
    <w:p w14:paraId="68EFAA3D">
      <w:pPr>
        <w:widowControl/>
        <w:rPr>
          <w:rFonts w:hint="eastAsia" w:ascii="宋体" w:hAnsi="宋体" w:eastAsia="宋体" w:cs="宋体"/>
          <w:b/>
          <w:bCs/>
          <w:color w:val="000000"/>
          <w:sz w:val="11"/>
          <w:szCs w:val="11"/>
          <w:highlight w:val="none"/>
          <w:lang w:val="en-US" w:bidi="ar"/>
        </w:rPr>
      </w:pPr>
    </w:p>
    <w:p w14:paraId="41713B29">
      <w:pPr>
        <w:widowControl/>
        <w:rPr>
          <w:rFonts w:hint="eastAsia" w:ascii="宋体" w:hAnsi="宋体" w:eastAsia="宋体" w:cs="宋体"/>
          <w:b/>
          <w:bCs/>
          <w:color w:val="000000"/>
          <w:sz w:val="11"/>
          <w:szCs w:val="11"/>
          <w:highlight w:val="none"/>
          <w:lang w:val="en-US" w:bidi="ar"/>
        </w:rPr>
      </w:pPr>
    </w:p>
    <w:p w14:paraId="3114D6E2">
      <w:pPr>
        <w:widowControl/>
        <w:rPr>
          <w:rFonts w:hint="eastAsia" w:ascii="宋体" w:hAnsi="宋体" w:eastAsia="宋体" w:cs="宋体"/>
          <w:b/>
          <w:bCs/>
          <w:color w:val="000000"/>
          <w:sz w:val="11"/>
          <w:szCs w:val="11"/>
          <w:highlight w:val="none"/>
          <w:lang w:val="en-US" w:bidi="ar"/>
        </w:rPr>
      </w:pPr>
    </w:p>
    <w:p w14:paraId="7DD72ECF">
      <w:pPr>
        <w:widowControl/>
        <w:rPr>
          <w:rFonts w:hint="eastAsia" w:ascii="宋体" w:hAnsi="宋体" w:eastAsia="宋体" w:cs="宋体"/>
          <w:b/>
          <w:bCs/>
          <w:color w:val="000000"/>
          <w:sz w:val="11"/>
          <w:szCs w:val="11"/>
          <w:highlight w:val="none"/>
          <w:lang w:val="en-US" w:bidi="ar"/>
        </w:rPr>
      </w:pPr>
    </w:p>
    <w:p w14:paraId="4591B79D">
      <w:pPr>
        <w:widowControl/>
        <w:rPr>
          <w:rFonts w:hint="eastAsia" w:ascii="宋体" w:hAnsi="宋体" w:eastAsia="宋体" w:cs="宋体"/>
          <w:b/>
          <w:bCs/>
          <w:color w:val="000000"/>
          <w:sz w:val="11"/>
          <w:szCs w:val="11"/>
          <w:highlight w:val="none"/>
          <w:lang w:val="en-US" w:bidi="ar"/>
        </w:rPr>
      </w:pPr>
    </w:p>
    <w:p w14:paraId="5FFD01D4">
      <w:pPr>
        <w:widowControl/>
        <w:rPr>
          <w:rFonts w:hint="eastAsia" w:ascii="宋体" w:hAnsi="宋体" w:eastAsia="宋体" w:cs="宋体"/>
          <w:b/>
          <w:bCs/>
          <w:color w:val="000000"/>
          <w:sz w:val="11"/>
          <w:szCs w:val="11"/>
          <w:highlight w:val="none"/>
          <w:lang w:val="en-US" w:bidi="ar"/>
        </w:rPr>
      </w:pPr>
    </w:p>
    <w:p w14:paraId="397E54FE">
      <w:pPr>
        <w:widowControl/>
        <w:rPr>
          <w:rFonts w:hint="eastAsia" w:ascii="宋体" w:hAnsi="宋体" w:eastAsia="宋体" w:cs="宋体"/>
          <w:b/>
          <w:bCs/>
          <w:color w:val="000000"/>
          <w:sz w:val="11"/>
          <w:szCs w:val="11"/>
          <w:highlight w:val="none"/>
          <w:lang w:val="en-US" w:bidi="ar"/>
        </w:rPr>
      </w:pPr>
    </w:p>
    <w:p w14:paraId="106B8F03">
      <w:pPr>
        <w:widowControl/>
        <w:rPr>
          <w:rFonts w:hint="eastAsia" w:ascii="宋体" w:hAnsi="宋体" w:eastAsia="宋体" w:cs="宋体"/>
          <w:b/>
          <w:bCs/>
          <w:color w:val="000000"/>
          <w:sz w:val="11"/>
          <w:szCs w:val="11"/>
          <w:highlight w:val="none"/>
          <w:lang w:val="en-US" w:bidi="ar"/>
        </w:rPr>
      </w:pPr>
    </w:p>
    <w:p w14:paraId="1ECBCB81">
      <w:pPr>
        <w:widowControl/>
        <w:rPr>
          <w:rFonts w:hint="eastAsia" w:ascii="宋体" w:hAnsi="宋体" w:eastAsia="宋体" w:cs="宋体"/>
          <w:b/>
          <w:bCs/>
          <w:color w:val="000000"/>
          <w:sz w:val="21"/>
          <w:szCs w:val="21"/>
          <w:highlight w:val="none"/>
          <w:lang w:val="en-US" w:bidi="ar"/>
        </w:rPr>
      </w:pPr>
      <w:r>
        <w:rPr>
          <w:rFonts w:hint="eastAsia" w:ascii="宋体" w:hAnsi="宋体" w:eastAsia="宋体" w:cs="宋体"/>
          <w:b/>
          <w:bCs/>
          <w:color w:val="000000"/>
          <w:sz w:val="21"/>
          <w:szCs w:val="21"/>
          <w:highlight w:val="none"/>
          <w:lang w:val="en-US" w:bidi="ar"/>
        </w:rPr>
        <w:t xml:space="preserve">1 </w:t>
      </w:r>
      <w:r>
        <w:rPr>
          <w:rFonts w:hint="eastAsia" w:cs="宋体"/>
          <w:b/>
          <w:bCs/>
          <w:color w:val="000000"/>
          <w:sz w:val="21"/>
          <w:szCs w:val="21"/>
          <w:highlight w:val="none"/>
          <w:lang w:val="en-US" w:eastAsia="zh-CN" w:bidi="ar"/>
        </w:rPr>
        <w:t>.</w:t>
      </w:r>
      <w:r>
        <w:rPr>
          <w:rFonts w:hint="eastAsia" w:ascii="宋体" w:hAnsi="宋体" w:eastAsia="宋体" w:cs="宋体"/>
          <w:b/>
          <w:bCs/>
          <w:color w:val="000000"/>
          <w:sz w:val="21"/>
          <w:szCs w:val="21"/>
          <w:highlight w:val="none"/>
          <w:lang w:val="en-US" w:bidi="ar"/>
        </w:rPr>
        <w:t>从业人员、营业收入、资产总额填报上一年度数据，无上一年度数据的新成立企业可不填报。</w:t>
      </w:r>
    </w:p>
    <w:p w14:paraId="608C8113">
      <w:pPr>
        <w:widowControl/>
        <w:rPr>
          <w:rFonts w:hint="default" w:ascii="宋体" w:hAnsi="宋体" w:eastAsia="宋体" w:cs="宋体"/>
          <w:b/>
          <w:bCs/>
          <w:color w:val="000000"/>
          <w:sz w:val="21"/>
          <w:szCs w:val="21"/>
          <w:highlight w:val="none"/>
          <w:lang w:val="en-US" w:eastAsia="zh-CN" w:bidi="ar"/>
        </w:rPr>
      </w:pPr>
      <w:r>
        <w:rPr>
          <w:rFonts w:hint="eastAsia" w:cs="宋体"/>
          <w:b/>
          <w:bCs/>
          <w:color w:val="000000"/>
          <w:sz w:val="21"/>
          <w:szCs w:val="21"/>
          <w:highlight w:val="none"/>
          <w:lang w:val="en-US" w:eastAsia="zh-CN" w:bidi="ar"/>
        </w:rPr>
        <w:t>2.本项目专门面向小微企业采购，敬请供应商注意！</w:t>
      </w:r>
    </w:p>
    <w:p w14:paraId="651D148C">
      <w:pPr>
        <w:ind w:firstLine="442" w:firstLineChars="200"/>
        <w:rPr>
          <w:rFonts w:hint="eastAsia" w:ascii="宋体" w:hAnsi="宋体" w:eastAsia="宋体" w:cs="宋体"/>
          <w:b/>
          <w:szCs w:val="21"/>
          <w:highlight w:val="none"/>
        </w:rPr>
      </w:pPr>
    </w:p>
    <w:p w14:paraId="1B31569A">
      <w:pPr>
        <w:pStyle w:val="10"/>
        <w:kinsoku w:val="0"/>
        <w:overflowPunct w:val="0"/>
        <w:adjustRightInd w:val="0"/>
        <w:spacing w:before="57" w:line="440" w:lineRule="exact"/>
        <w:ind w:left="111" w:right="232" w:firstLine="480"/>
        <w:jc w:val="both"/>
        <w:rPr>
          <w:rFonts w:hint="eastAsia" w:ascii="宋体" w:hAnsi="宋体" w:eastAsia="宋体" w:cs="宋体"/>
          <w:b/>
          <w:bCs/>
          <w:color w:val="000000" w:themeColor="text1"/>
          <w:sz w:val="30"/>
          <w:szCs w:val="30"/>
          <w:highlight w:val="none"/>
          <w:lang w:val="en-US"/>
          <w14:textFill>
            <w14:solidFill>
              <w14:schemeClr w14:val="tx1"/>
            </w14:solidFill>
          </w14:textFill>
        </w:rPr>
      </w:pPr>
      <w:r>
        <w:rPr>
          <w:rFonts w:hint="eastAsia" w:ascii="宋体" w:hAnsi="宋体" w:eastAsia="宋体" w:cs="宋体"/>
          <w:b/>
          <w:szCs w:val="21"/>
          <w:highlight w:val="none"/>
        </w:rPr>
        <w:br w:type="page"/>
      </w:r>
    </w:p>
    <w:p w14:paraId="5BFFF303">
      <w:pPr>
        <w:pStyle w:val="23"/>
        <w:ind w:firstLine="560"/>
        <w:rPr>
          <w:rFonts w:hint="eastAsia" w:ascii="宋体" w:hAnsi="宋体" w:eastAsia="宋体" w:cs="宋体"/>
          <w:sz w:val="28"/>
          <w:highlight w:val="none"/>
        </w:rPr>
        <w:sectPr>
          <w:headerReference r:id="rId25" w:type="default"/>
          <w:footerReference r:id="rId26" w:type="default"/>
          <w:pgSz w:w="11910" w:h="16840"/>
          <w:pgMar w:top="1220" w:right="920" w:bottom="1040" w:left="1320" w:header="882" w:footer="845" w:gutter="0"/>
          <w:cols w:space="720" w:num="1"/>
        </w:sectPr>
      </w:pPr>
    </w:p>
    <w:p w14:paraId="21C24610">
      <w:pPr>
        <w:pStyle w:val="10"/>
        <w:tabs>
          <w:tab w:val="left" w:pos="567"/>
        </w:tabs>
        <w:spacing w:before="75" w:line="231" w:lineRule="auto"/>
        <w:ind w:left="3401"/>
        <w:rPr>
          <w:sz w:val="23"/>
          <w:szCs w:val="23"/>
        </w:rPr>
      </w:pPr>
      <w:r>
        <w:rPr>
          <w:spacing w:val="6"/>
          <w:sz w:val="23"/>
          <w:szCs w:val="23"/>
        </w:rPr>
        <w:t>《分包意向协议》</w:t>
      </w:r>
    </w:p>
    <w:p w14:paraId="41625AF0">
      <w:pPr>
        <w:pStyle w:val="10"/>
        <w:tabs>
          <w:tab w:val="left" w:pos="567"/>
        </w:tabs>
        <w:spacing w:before="25" w:line="241" w:lineRule="auto"/>
        <w:ind w:left="42" w:right="156" w:firstLine="475"/>
        <w:rPr>
          <w:sz w:val="23"/>
          <w:szCs w:val="23"/>
        </w:rPr>
      </w:pPr>
      <w:r>
        <w:rPr>
          <w:spacing w:val="6"/>
          <w:sz w:val="23"/>
          <w:szCs w:val="23"/>
        </w:rPr>
        <w:t>1、供应商所</w:t>
      </w:r>
      <w:r>
        <w:rPr>
          <w:rFonts w:hint="eastAsia"/>
          <w:spacing w:val="6"/>
          <w:sz w:val="23"/>
          <w:szCs w:val="23"/>
          <w:lang w:val="en-US" w:eastAsia="zh-CN"/>
        </w:rPr>
        <w:t>提供工程</w:t>
      </w:r>
      <w:r>
        <w:rPr>
          <w:spacing w:val="6"/>
          <w:sz w:val="23"/>
          <w:szCs w:val="23"/>
        </w:rPr>
        <w:t>全部由小微企业</w:t>
      </w:r>
      <w:r>
        <w:rPr>
          <w:rFonts w:hint="eastAsia"/>
          <w:spacing w:val="6"/>
          <w:sz w:val="23"/>
          <w:szCs w:val="23"/>
          <w:lang w:val="en-US" w:eastAsia="zh-CN"/>
        </w:rPr>
        <w:t>提供</w:t>
      </w:r>
      <w:r>
        <w:rPr>
          <w:spacing w:val="6"/>
          <w:sz w:val="23"/>
          <w:szCs w:val="23"/>
        </w:rPr>
        <w:t>的，请根据要求提供《中小企业声</w:t>
      </w:r>
      <w:r>
        <w:rPr>
          <w:spacing w:val="-6"/>
          <w:sz w:val="23"/>
          <w:szCs w:val="23"/>
        </w:rPr>
        <w:t>明函》。</w:t>
      </w:r>
    </w:p>
    <w:p w14:paraId="4FD49682">
      <w:pPr>
        <w:pStyle w:val="10"/>
        <w:tabs>
          <w:tab w:val="left" w:pos="567"/>
        </w:tabs>
        <w:spacing w:before="23" w:line="245" w:lineRule="auto"/>
        <w:ind w:left="27" w:firstLine="475"/>
        <w:rPr>
          <w:rFonts w:ascii="Arial"/>
          <w:sz w:val="21"/>
        </w:rPr>
      </w:pPr>
      <w:r>
        <w:rPr>
          <w:spacing w:val="4"/>
          <w:sz w:val="23"/>
          <w:szCs w:val="23"/>
        </w:rPr>
        <w:t>2、供应商所</w:t>
      </w:r>
      <w:r>
        <w:rPr>
          <w:rFonts w:hint="eastAsia"/>
          <w:spacing w:val="6"/>
          <w:sz w:val="23"/>
          <w:szCs w:val="23"/>
          <w:lang w:val="en-US" w:eastAsia="zh-CN"/>
        </w:rPr>
        <w:t>提供工程</w:t>
      </w:r>
      <w:r>
        <w:rPr>
          <w:spacing w:val="4"/>
          <w:sz w:val="23"/>
          <w:szCs w:val="23"/>
        </w:rPr>
        <w:t>为大</w:t>
      </w:r>
      <w:r>
        <w:rPr>
          <w:rFonts w:hint="eastAsia"/>
          <w:spacing w:val="4"/>
          <w:sz w:val="23"/>
          <w:szCs w:val="23"/>
          <w:lang w:val="en-US" w:eastAsia="zh-CN"/>
        </w:rPr>
        <w:t>中</w:t>
      </w:r>
      <w:r>
        <w:rPr>
          <w:spacing w:val="4"/>
          <w:sz w:val="23"/>
          <w:szCs w:val="23"/>
        </w:rPr>
        <w:t>型企业</w:t>
      </w:r>
      <w:r>
        <w:rPr>
          <w:rFonts w:hint="eastAsia"/>
          <w:spacing w:val="4"/>
          <w:sz w:val="23"/>
          <w:szCs w:val="23"/>
          <w:lang w:val="en-US" w:eastAsia="zh-CN"/>
        </w:rPr>
        <w:t>提供</w:t>
      </w:r>
      <w:r>
        <w:rPr>
          <w:spacing w:val="4"/>
          <w:sz w:val="23"/>
          <w:szCs w:val="23"/>
        </w:rPr>
        <w:t>的，请根据要求提供《分包意向协议》，</w:t>
      </w:r>
      <w:r>
        <w:rPr>
          <w:spacing w:val="9"/>
          <w:sz w:val="23"/>
          <w:szCs w:val="23"/>
        </w:rPr>
        <w:t>并在分包意向协议中进行相关比例说明。应预留至少</w:t>
      </w:r>
      <w:r>
        <w:rPr>
          <w:rFonts w:hint="eastAsia"/>
          <w:spacing w:val="9"/>
          <w:sz w:val="23"/>
          <w:szCs w:val="23"/>
          <w:lang w:val="en-US" w:eastAsia="zh-CN"/>
        </w:rPr>
        <w:t>4</w:t>
      </w:r>
      <w:r>
        <w:rPr>
          <w:spacing w:val="9"/>
          <w:sz w:val="23"/>
          <w:szCs w:val="23"/>
        </w:rPr>
        <w:t>0%的份额由</w:t>
      </w:r>
      <w:r>
        <w:rPr>
          <w:spacing w:val="8"/>
          <w:sz w:val="23"/>
          <w:szCs w:val="23"/>
        </w:rPr>
        <w:t>中小企业提供，其中预留给小微企业的比例不低于60%，并提供《中小企业声明函》。如果不按照要求提供预留份额将视为没有实质性响应招</w:t>
      </w:r>
      <w:r>
        <w:rPr>
          <w:spacing w:val="7"/>
          <w:sz w:val="23"/>
          <w:szCs w:val="23"/>
        </w:rPr>
        <w:t>标文件，</w:t>
      </w:r>
      <w:r>
        <w:rPr>
          <w:spacing w:val="6"/>
          <w:sz w:val="23"/>
          <w:szCs w:val="23"/>
        </w:rPr>
        <w:t>将做无效投标处理。）</w:t>
      </w:r>
    </w:p>
    <w:p w14:paraId="54990F3E">
      <w:pPr>
        <w:pStyle w:val="10"/>
        <w:tabs>
          <w:tab w:val="left" w:pos="567"/>
        </w:tabs>
        <w:spacing w:before="76" w:line="231" w:lineRule="auto"/>
        <w:ind w:left="3524"/>
        <w:rPr>
          <w:sz w:val="23"/>
          <w:szCs w:val="23"/>
        </w:rPr>
      </w:pPr>
      <w:r>
        <w:rPr>
          <w:spacing w:val="7"/>
          <w:sz w:val="23"/>
          <w:szCs w:val="23"/>
        </w:rPr>
        <w:t>分包意向协议书</w:t>
      </w:r>
    </w:p>
    <w:p w14:paraId="6511255F">
      <w:pPr>
        <w:spacing w:line="260" w:lineRule="auto"/>
        <w:rPr>
          <w:rFonts w:ascii="Arial"/>
          <w:sz w:val="21"/>
        </w:rPr>
      </w:pPr>
    </w:p>
    <w:p w14:paraId="7C4E502B">
      <w:pPr>
        <w:pStyle w:val="10"/>
        <w:tabs>
          <w:tab w:val="left" w:pos="567"/>
        </w:tabs>
        <w:spacing w:before="75" w:line="229" w:lineRule="auto"/>
        <w:ind w:left="513"/>
        <w:rPr>
          <w:spacing w:val="6"/>
          <w:sz w:val="23"/>
          <w:szCs w:val="23"/>
        </w:rPr>
      </w:pPr>
      <w:r>
        <w:rPr>
          <w:spacing w:val="6"/>
          <w:sz w:val="23"/>
          <w:szCs w:val="23"/>
        </w:rPr>
        <w:t>立约方：</w:t>
      </w:r>
    </w:p>
    <w:p w14:paraId="403B1D36">
      <w:pPr>
        <w:pStyle w:val="10"/>
        <w:tabs>
          <w:tab w:val="left" w:pos="567"/>
        </w:tabs>
        <w:spacing w:before="75" w:line="229" w:lineRule="auto"/>
        <w:ind w:left="513"/>
        <w:rPr>
          <w:sz w:val="23"/>
          <w:szCs w:val="23"/>
        </w:rPr>
      </w:pPr>
      <w:r>
        <w:rPr>
          <w:spacing w:val="6"/>
          <w:sz w:val="23"/>
          <w:szCs w:val="23"/>
        </w:rPr>
        <w:t>（甲公司全称）</w:t>
      </w:r>
    </w:p>
    <w:p w14:paraId="13940F2B">
      <w:pPr>
        <w:pStyle w:val="10"/>
        <w:tabs>
          <w:tab w:val="left" w:pos="567"/>
        </w:tabs>
        <w:spacing w:before="49" w:line="229" w:lineRule="auto"/>
        <w:ind w:left="512"/>
        <w:rPr>
          <w:sz w:val="23"/>
          <w:szCs w:val="23"/>
        </w:rPr>
      </w:pPr>
      <w:r>
        <w:rPr>
          <w:spacing w:val="4"/>
          <w:sz w:val="23"/>
          <w:szCs w:val="23"/>
        </w:rPr>
        <w:t>（乙公司全称）</w:t>
      </w:r>
    </w:p>
    <w:p w14:paraId="6A7E6306">
      <w:pPr>
        <w:pStyle w:val="10"/>
        <w:tabs>
          <w:tab w:val="left" w:pos="567"/>
        </w:tabs>
        <w:spacing w:before="26" w:line="229" w:lineRule="auto"/>
        <w:ind w:left="0" w:leftChars="0" w:firstLine="512" w:firstLineChars="244"/>
        <w:rPr>
          <w:sz w:val="23"/>
          <w:szCs w:val="23"/>
        </w:rPr>
      </w:pPr>
      <w:r>
        <w:rPr>
          <w:spacing w:val="-10"/>
          <w:sz w:val="23"/>
          <w:szCs w:val="23"/>
        </w:rPr>
        <w:t>（</w:t>
      </w:r>
      <w:r>
        <w:rPr>
          <w:spacing w:val="8"/>
          <w:sz w:val="23"/>
          <w:szCs w:val="23"/>
        </w:rPr>
        <w:t>……公司全称</w:t>
      </w:r>
      <w:r>
        <w:rPr>
          <w:spacing w:val="-10"/>
          <w:sz w:val="23"/>
          <w:szCs w:val="23"/>
        </w:rPr>
        <w:t>）</w:t>
      </w:r>
    </w:p>
    <w:p w14:paraId="4E60D379">
      <w:pPr>
        <w:pStyle w:val="10"/>
        <w:tabs>
          <w:tab w:val="left" w:pos="567"/>
        </w:tabs>
        <w:spacing w:before="24" w:line="244" w:lineRule="auto"/>
        <w:ind w:left="27" w:right="65" w:firstLine="484"/>
        <w:jc w:val="both"/>
        <w:rPr>
          <w:sz w:val="23"/>
          <w:szCs w:val="23"/>
        </w:rPr>
      </w:pPr>
      <w:r>
        <w:rPr>
          <w:spacing w:val="2"/>
          <w:sz w:val="23"/>
          <w:szCs w:val="23"/>
        </w:rPr>
        <w:t>（甲公司全称）、（乙公司全称）、（……</w:t>
      </w:r>
      <w:r>
        <w:rPr>
          <w:spacing w:val="1"/>
          <w:sz w:val="23"/>
          <w:szCs w:val="23"/>
        </w:rPr>
        <w:t>公司全称）自愿达成分包意向，</w:t>
      </w:r>
      <w:r>
        <w:rPr>
          <w:spacing w:val="2"/>
          <w:sz w:val="23"/>
          <w:szCs w:val="23"/>
        </w:rPr>
        <w:t>参加（采购项目名称</w:t>
      </w:r>
      <w:r>
        <w:rPr>
          <w:spacing w:val="7"/>
          <w:sz w:val="23"/>
          <w:szCs w:val="23"/>
        </w:rPr>
        <w:t>）（</w:t>
      </w:r>
      <w:r>
        <w:rPr>
          <w:spacing w:val="2"/>
          <w:sz w:val="23"/>
          <w:szCs w:val="23"/>
        </w:rPr>
        <w:t>采购项目编号）的响应活动。经各方充分协商一致，</w:t>
      </w:r>
      <w:r>
        <w:rPr>
          <w:spacing w:val="7"/>
          <w:sz w:val="23"/>
          <w:szCs w:val="23"/>
        </w:rPr>
        <w:t>就项目的响应和合同实施阶段的有关事务协商一致订立意向如下：</w:t>
      </w:r>
    </w:p>
    <w:p w14:paraId="322C2D50">
      <w:pPr>
        <w:pStyle w:val="10"/>
        <w:tabs>
          <w:tab w:val="left" w:pos="567"/>
        </w:tabs>
        <w:spacing w:before="25" w:line="232" w:lineRule="auto"/>
        <w:ind w:left="511"/>
        <w:rPr>
          <w:sz w:val="23"/>
          <w:szCs w:val="23"/>
        </w:rPr>
      </w:pPr>
      <w:r>
        <w:rPr>
          <w:spacing w:val="4"/>
          <w:sz w:val="23"/>
          <w:szCs w:val="23"/>
        </w:rPr>
        <w:t>一、分包意向各方关系</w:t>
      </w:r>
    </w:p>
    <w:p w14:paraId="606B68E7">
      <w:pPr>
        <w:pStyle w:val="10"/>
        <w:tabs>
          <w:tab w:val="left" w:pos="567"/>
        </w:tabs>
        <w:spacing w:before="20" w:line="247" w:lineRule="auto"/>
        <w:ind w:left="29" w:right="162" w:firstLine="483"/>
        <w:rPr>
          <w:sz w:val="23"/>
          <w:szCs w:val="23"/>
        </w:rPr>
      </w:pPr>
      <w:r>
        <w:rPr>
          <w:spacing w:val="9"/>
          <w:sz w:val="23"/>
          <w:szCs w:val="23"/>
        </w:rPr>
        <w:t>（甲公司全称）为投标方、（乙公司全称）、（……公司全称）为分包意</w:t>
      </w:r>
      <w:r>
        <w:rPr>
          <w:spacing w:val="8"/>
          <w:sz w:val="23"/>
          <w:szCs w:val="23"/>
        </w:rPr>
        <w:t>向供应商，（甲公司全称）以投标供应商的身份参加本项目的响</w:t>
      </w:r>
      <w:r>
        <w:rPr>
          <w:spacing w:val="7"/>
          <w:sz w:val="23"/>
          <w:szCs w:val="23"/>
        </w:rPr>
        <w:t>应。若中标，</w:t>
      </w:r>
      <w:r>
        <w:rPr>
          <w:spacing w:val="8"/>
          <w:sz w:val="23"/>
          <w:szCs w:val="23"/>
        </w:rPr>
        <w:t>（甲公司全称）与采购人签订政府采购合同。承接分包意向的各供应商与（甲</w:t>
      </w:r>
      <w:r>
        <w:rPr>
          <w:spacing w:val="9"/>
          <w:sz w:val="23"/>
          <w:szCs w:val="23"/>
        </w:rPr>
        <w:t>公司全称）签订分包合同。（甲公司全称）就采购项目和分包项目向采购人负</w:t>
      </w:r>
      <w:r>
        <w:rPr>
          <w:spacing w:val="6"/>
          <w:sz w:val="23"/>
          <w:szCs w:val="23"/>
        </w:rPr>
        <w:t>责，分包供应商就分包项目承担责任。</w:t>
      </w:r>
    </w:p>
    <w:p w14:paraId="079E0428">
      <w:pPr>
        <w:pStyle w:val="10"/>
        <w:tabs>
          <w:tab w:val="left" w:pos="567"/>
        </w:tabs>
        <w:spacing w:before="24" w:line="231" w:lineRule="auto"/>
        <w:ind w:left="515"/>
        <w:rPr>
          <w:sz w:val="23"/>
          <w:szCs w:val="23"/>
        </w:rPr>
      </w:pPr>
      <w:r>
        <w:rPr>
          <w:spacing w:val="2"/>
          <w:sz w:val="23"/>
          <w:szCs w:val="23"/>
        </w:rPr>
        <w:t>二、有关事项约定如下：</w:t>
      </w:r>
    </w:p>
    <w:p w14:paraId="7B6B2D8F">
      <w:pPr>
        <w:pStyle w:val="10"/>
        <w:tabs>
          <w:tab w:val="left" w:pos="567"/>
        </w:tabs>
        <w:spacing w:before="26" w:line="239" w:lineRule="auto"/>
        <w:ind w:left="30" w:right="162" w:firstLine="487"/>
        <w:rPr>
          <w:sz w:val="23"/>
          <w:szCs w:val="23"/>
        </w:rPr>
      </w:pPr>
      <w:r>
        <w:rPr>
          <w:spacing w:val="9"/>
          <w:sz w:val="23"/>
          <w:szCs w:val="23"/>
        </w:rPr>
        <w:t>1.如中标，分包供应商分别与（甲公司全称）签订合同书，并</w:t>
      </w:r>
      <w:r>
        <w:rPr>
          <w:spacing w:val="8"/>
          <w:sz w:val="23"/>
          <w:szCs w:val="23"/>
        </w:rPr>
        <w:t>就中标项目</w:t>
      </w:r>
      <w:r>
        <w:rPr>
          <w:spacing w:val="6"/>
          <w:sz w:val="23"/>
          <w:szCs w:val="23"/>
        </w:rPr>
        <w:t>分包部分向采购人负责有连带的和各自的法律责任；</w:t>
      </w:r>
    </w:p>
    <w:p w14:paraId="6F92F817">
      <w:pPr>
        <w:pStyle w:val="10"/>
        <w:tabs>
          <w:tab w:val="left" w:pos="567"/>
        </w:tabs>
        <w:spacing w:before="26" w:line="244" w:lineRule="auto"/>
        <w:ind w:left="26" w:right="162" w:firstLine="476"/>
        <w:rPr>
          <w:sz w:val="23"/>
          <w:szCs w:val="23"/>
        </w:rPr>
      </w:pPr>
      <w:r>
        <w:rPr>
          <w:spacing w:val="4"/>
          <w:sz w:val="23"/>
          <w:szCs w:val="23"/>
        </w:rPr>
        <w:t>2.分包意向供应商1（公司全称）为（请填写：大型、中型、小型、</w:t>
      </w:r>
      <w:r>
        <w:rPr>
          <w:spacing w:val="5"/>
          <w:sz w:val="23"/>
          <w:szCs w:val="23"/>
        </w:rPr>
        <w:t>微型）企业，将承担适宜分包部分（具体分包内容）合同总金额</w:t>
      </w:r>
      <w:r>
        <w:rPr>
          <w:rFonts w:hint="eastAsia"/>
          <w:spacing w:val="5"/>
          <w:sz w:val="23"/>
          <w:szCs w:val="23"/>
          <w:u w:val="single"/>
          <w:lang w:val="en-US" w:eastAsia="zh-CN"/>
        </w:rPr>
        <w:t xml:space="preserve">   </w:t>
      </w:r>
      <w:r>
        <w:rPr>
          <w:spacing w:val="5"/>
          <w:sz w:val="23"/>
          <w:szCs w:val="23"/>
        </w:rPr>
        <w:t>%的工作</w:t>
      </w:r>
      <w:r>
        <w:rPr>
          <w:spacing w:val="-5"/>
          <w:sz w:val="23"/>
          <w:szCs w:val="23"/>
        </w:rPr>
        <w:t>内容。</w:t>
      </w:r>
    </w:p>
    <w:p w14:paraId="0A471531">
      <w:pPr>
        <w:pStyle w:val="10"/>
        <w:tabs>
          <w:tab w:val="left" w:pos="567"/>
        </w:tabs>
        <w:spacing w:before="26" w:line="228" w:lineRule="auto"/>
        <w:ind w:firstLine="480" w:firstLineChars="200"/>
        <w:rPr>
          <w:sz w:val="23"/>
          <w:szCs w:val="23"/>
        </w:rPr>
      </w:pPr>
      <w:r>
        <w:rPr>
          <w:spacing w:val="5"/>
          <w:sz w:val="23"/>
          <w:szCs w:val="23"/>
        </w:rPr>
        <w:t>3.分包意向供应商2（公司全称）为（请填写：大</w:t>
      </w:r>
      <w:r>
        <w:rPr>
          <w:spacing w:val="4"/>
          <w:sz w:val="23"/>
          <w:szCs w:val="23"/>
        </w:rPr>
        <w:t>型、中型、小型、</w:t>
      </w:r>
      <w:r>
        <w:rPr>
          <w:spacing w:val="6"/>
          <w:sz w:val="23"/>
          <w:szCs w:val="23"/>
        </w:rPr>
        <w:t>微型）企业，将承担适宜分包部分（具体分包内容）合同总金额</w:t>
      </w:r>
      <w:r>
        <w:rPr>
          <w:rFonts w:hint="eastAsia"/>
          <w:spacing w:val="6"/>
          <w:sz w:val="23"/>
          <w:szCs w:val="23"/>
          <w:u w:val="single"/>
          <w:lang w:val="en-US" w:eastAsia="zh-CN"/>
        </w:rPr>
        <w:t xml:space="preserve">   </w:t>
      </w:r>
      <w:r>
        <w:rPr>
          <w:spacing w:val="6"/>
          <w:sz w:val="23"/>
          <w:szCs w:val="23"/>
        </w:rPr>
        <w:t>%的工作内</w:t>
      </w:r>
      <w:r>
        <w:rPr>
          <w:spacing w:val="-9"/>
          <w:sz w:val="23"/>
          <w:szCs w:val="23"/>
        </w:rPr>
        <w:t>容。</w:t>
      </w:r>
    </w:p>
    <w:p w14:paraId="2F2C5DE6">
      <w:pPr>
        <w:pStyle w:val="10"/>
        <w:tabs>
          <w:tab w:val="left" w:pos="567"/>
        </w:tabs>
        <w:spacing w:before="23" w:line="228" w:lineRule="auto"/>
        <w:ind w:left="0" w:leftChars="0" w:firstLine="480" w:firstLineChars="200"/>
        <w:rPr>
          <w:sz w:val="23"/>
          <w:szCs w:val="23"/>
        </w:rPr>
      </w:pPr>
      <w:r>
        <w:rPr>
          <w:spacing w:val="5"/>
          <w:sz w:val="23"/>
          <w:szCs w:val="23"/>
        </w:rPr>
        <w:t>4.分包意向供应商3（公司全称）为（请填写：大型、中</w:t>
      </w:r>
      <w:r>
        <w:rPr>
          <w:spacing w:val="4"/>
          <w:sz w:val="23"/>
          <w:szCs w:val="23"/>
        </w:rPr>
        <w:t>型、小型、</w:t>
      </w:r>
      <w:r>
        <w:rPr>
          <w:spacing w:val="6"/>
          <w:sz w:val="23"/>
          <w:szCs w:val="23"/>
        </w:rPr>
        <w:t>微型）企业，将承担适宜分包部分（具体分包内容）合同总金额</w:t>
      </w:r>
      <w:r>
        <w:rPr>
          <w:rFonts w:hint="eastAsia"/>
          <w:spacing w:val="6"/>
          <w:sz w:val="23"/>
          <w:szCs w:val="23"/>
          <w:u w:val="single"/>
          <w:lang w:val="en-US" w:eastAsia="zh-CN"/>
        </w:rPr>
        <w:t xml:space="preserve">   </w:t>
      </w:r>
      <w:r>
        <w:rPr>
          <w:spacing w:val="6"/>
          <w:sz w:val="23"/>
          <w:szCs w:val="23"/>
        </w:rPr>
        <w:t>%的工作内</w:t>
      </w:r>
      <w:r>
        <w:rPr>
          <w:spacing w:val="-9"/>
          <w:sz w:val="23"/>
          <w:szCs w:val="23"/>
        </w:rPr>
        <w:t>容。</w:t>
      </w:r>
    </w:p>
    <w:p w14:paraId="396EE9BA">
      <w:pPr>
        <w:pStyle w:val="10"/>
        <w:tabs>
          <w:tab w:val="left" w:pos="567"/>
        </w:tabs>
        <w:spacing w:before="23" w:line="312" w:lineRule="exact"/>
        <w:ind w:left="516"/>
        <w:rPr>
          <w:sz w:val="23"/>
          <w:szCs w:val="23"/>
        </w:rPr>
      </w:pPr>
      <w:r>
        <w:rPr>
          <w:position w:val="1"/>
          <w:sz w:val="23"/>
          <w:szCs w:val="23"/>
        </w:rPr>
        <w:t>…</w:t>
      </w:r>
    </w:p>
    <w:p w14:paraId="6D926B4C">
      <w:pPr>
        <w:pStyle w:val="10"/>
        <w:tabs>
          <w:tab w:val="left" w:pos="567"/>
        </w:tabs>
        <w:spacing w:before="24"/>
        <w:ind w:left="55" w:right="34" w:firstLine="479"/>
        <w:rPr>
          <w:spacing w:val="9"/>
          <w:sz w:val="23"/>
          <w:szCs w:val="23"/>
        </w:rPr>
      </w:pPr>
      <w:r>
        <w:rPr>
          <w:spacing w:val="9"/>
          <w:sz w:val="23"/>
          <w:szCs w:val="23"/>
        </w:rPr>
        <w:t>三、接受分包合同的中小企业与分包企业之间（请填写：是否存在）直接</w:t>
      </w:r>
      <w:r>
        <w:rPr>
          <w:spacing w:val="8"/>
          <w:sz w:val="23"/>
          <w:szCs w:val="23"/>
        </w:rPr>
        <w:t>控股、管理关系的情形。（分包中有中小企业时适用）</w:t>
      </w:r>
    </w:p>
    <w:p w14:paraId="092DE296">
      <w:pPr>
        <w:pStyle w:val="10"/>
        <w:tabs>
          <w:tab w:val="left" w:pos="567"/>
        </w:tabs>
        <w:spacing w:before="24"/>
        <w:ind w:left="55" w:right="34" w:firstLine="479"/>
        <w:rPr>
          <w:spacing w:val="9"/>
          <w:sz w:val="23"/>
          <w:szCs w:val="23"/>
        </w:rPr>
      </w:pPr>
      <w:r>
        <w:rPr>
          <w:spacing w:val="9"/>
          <w:sz w:val="23"/>
          <w:szCs w:val="23"/>
        </w:rPr>
        <w:t>四、如因违约过失责任而导致采购人经济损失或被索赔时，（甲公司全称）同意无条件优先清偿采购人的一切债务和经济赔偿。</w:t>
      </w:r>
    </w:p>
    <w:p w14:paraId="4ECD8675">
      <w:pPr>
        <w:pStyle w:val="10"/>
        <w:tabs>
          <w:tab w:val="left" w:pos="567"/>
        </w:tabs>
        <w:spacing w:before="26" w:line="231" w:lineRule="auto"/>
        <w:ind w:left="511"/>
        <w:rPr>
          <w:sz w:val="23"/>
          <w:szCs w:val="23"/>
        </w:rPr>
      </w:pPr>
      <w:r>
        <w:rPr>
          <w:spacing w:val="8"/>
          <w:sz w:val="23"/>
          <w:szCs w:val="23"/>
        </w:rPr>
        <w:t>五、如中标，分包意向供应商不得以任何理由提出终止本意向协议。</w:t>
      </w:r>
    </w:p>
    <w:p w14:paraId="59D40AE4">
      <w:pPr>
        <w:pStyle w:val="10"/>
        <w:tabs>
          <w:tab w:val="left" w:pos="567"/>
        </w:tabs>
        <w:spacing w:before="24"/>
        <w:ind w:left="27" w:right="162" w:firstLine="481"/>
        <w:rPr>
          <w:sz w:val="23"/>
          <w:szCs w:val="23"/>
        </w:rPr>
      </w:pPr>
      <w:r>
        <w:rPr>
          <w:spacing w:val="9"/>
          <w:sz w:val="23"/>
          <w:szCs w:val="23"/>
        </w:rPr>
        <w:t>六、本意向书在自签署之日起生效，有效期内有效，如获中标资格，有效</w:t>
      </w:r>
      <w:r>
        <w:rPr>
          <w:spacing w:val="5"/>
          <w:sz w:val="23"/>
          <w:szCs w:val="23"/>
        </w:rPr>
        <w:t>期延续至合同履行完毕之日。</w:t>
      </w:r>
    </w:p>
    <w:p w14:paraId="1E1F4AB3">
      <w:pPr>
        <w:pStyle w:val="10"/>
        <w:tabs>
          <w:tab w:val="left" w:pos="567"/>
        </w:tabs>
        <w:spacing w:before="28"/>
        <w:ind w:left="30" w:right="131" w:firstLine="481"/>
        <w:rPr>
          <w:sz w:val="23"/>
          <w:szCs w:val="23"/>
        </w:rPr>
      </w:pPr>
      <w:r>
        <w:rPr>
          <w:spacing w:val="9"/>
          <w:sz w:val="23"/>
          <w:szCs w:val="23"/>
        </w:rPr>
        <w:t>七、本意向书正本一式</w:t>
      </w:r>
      <w:r>
        <w:rPr>
          <w:rFonts w:hint="eastAsia"/>
          <w:spacing w:val="9"/>
          <w:sz w:val="23"/>
          <w:szCs w:val="23"/>
          <w:u w:val="single"/>
          <w:lang w:val="en-US" w:eastAsia="zh-CN"/>
        </w:rPr>
        <w:t xml:space="preserve">   </w:t>
      </w:r>
      <w:r>
        <w:rPr>
          <w:spacing w:val="9"/>
          <w:sz w:val="23"/>
          <w:szCs w:val="23"/>
        </w:rPr>
        <w:t>份，随投标文件装订</w:t>
      </w:r>
      <w:r>
        <w:rPr>
          <w:rFonts w:hint="eastAsia"/>
          <w:spacing w:val="9"/>
          <w:sz w:val="23"/>
          <w:szCs w:val="23"/>
          <w:u w:val="single"/>
          <w:lang w:val="en-US" w:eastAsia="zh-CN"/>
        </w:rPr>
        <w:t xml:space="preserve">   </w:t>
      </w:r>
      <w:r>
        <w:rPr>
          <w:spacing w:val="9"/>
          <w:sz w:val="23"/>
          <w:szCs w:val="23"/>
        </w:rPr>
        <w:t>份，（甲公司全称）及各分包</w:t>
      </w:r>
      <w:r>
        <w:rPr>
          <w:spacing w:val="5"/>
          <w:sz w:val="23"/>
          <w:szCs w:val="23"/>
        </w:rPr>
        <w:t>意向供应商各</w:t>
      </w:r>
      <w:r>
        <w:rPr>
          <w:rFonts w:hint="eastAsia"/>
          <w:spacing w:val="9"/>
          <w:sz w:val="23"/>
          <w:szCs w:val="23"/>
          <w:u w:val="single"/>
          <w:lang w:val="en-US" w:eastAsia="zh-CN"/>
        </w:rPr>
        <w:t xml:space="preserve">   </w:t>
      </w:r>
      <w:r>
        <w:rPr>
          <w:spacing w:val="5"/>
          <w:sz w:val="23"/>
          <w:szCs w:val="23"/>
        </w:rPr>
        <w:t>份。</w:t>
      </w:r>
    </w:p>
    <w:p w14:paraId="62AC2926">
      <w:pPr>
        <w:spacing w:line="293" w:lineRule="auto"/>
        <w:rPr>
          <w:rFonts w:ascii="Arial"/>
          <w:sz w:val="21"/>
        </w:rPr>
      </w:pPr>
    </w:p>
    <w:p w14:paraId="08ACFDB9">
      <w:pPr>
        <w:spacing w:line="293" w:lineRule="auto"/>
        <w:rPr>
          <w:rFonts w:ascii="Arial"/>
          <w:sz w:val="21"/>
        </w:rPr>
      </w:pPr>
    </w:p>
    <w:p w14:paraId="2288E557">
      <w:pPr>
        <w:spacing w:line="294" w:lineRule="auto"/>
        <w:rPr>
          <w:rFonts w:ascii="Arial"/>
          <w:sz w:val="21"/>
        </w:rPr>
      </w:pPr>
    </w:p>
    <w:p w14:paraId="184D1B14">
      <w:pPr>
        <w:pStyle w:val="10"/>
        <w:tabs>
          <w:tab w:val="left" w:pos="567"/>
        </w:tabs>
        <w:spacing w:before="76" w:line="229" w:lineRule="auto"/>
        <w:ind w:left="539"/>
        <w:rPr>
          <w:sz w:val="23"/>
          <w:szCs w:val="23"/>
        </w:rPr>
      </w:pPr>
      <w:r>
        <w:rPr>
          <w:spacing w:val="3"/>
          <w:sz w:val="23"/>
          <w:szCs w:val="23"/>
        </w:rPr>
        <w:t>甲公司全称：（盖章）</w:t>
      </w:r>
    </w:p>
    <w:p w14:paraId="25421522">
      <w:pPr>
        <w:pStyle w:val="10"/>
        <w:tabs>
          <w:tab w:val="left" w:pos="567"/>
        </w:tabs>
        <w:spacing w:before="27"/>
        <w:ind w:left="992" w:right="4983" w:hanging="477"/>
        <w:rPr>
          <w:spacing w:val="6"/>
          <w:sz w:val="23"/>
          <w:szCs w:val="23"/>
        </w:rPr>
      </w:pPr>
      <w:r>
        <w:rPr>
          <w:spacing w:val="6"/>
          <w:sz w:val="23"/>
          <w:szCs w:val="23"/>
        </w:rPr>
        <w:t>法定代表人（签字或盖章）</w:t>
      </w:r>
    </w:p>
    <w:p w14:paraId="2BB13756">
      <w:pPr>
        <w:pStyle w:val="10"/>
        <w:tabs>
          <w:tab w:val="left" w:pos="567"/>
        </w:tabs>
        <w:spacing w:before="27"/>
        <w:ind w:left="992" w:right="4983" w:hanging="477"/>
        <w:rPr>
          <w:sz w:val="23"/>
          <w:szCs w:val="23"/>
        </w:rPr>
      </w:pPr>
      <w:r>
        <w:rPr>
          <w:spacing w:val="9"/>
          <w:sz w:val="23"/>
          <w:szCs w:val="23"/>
        </w:rPr>
        <w:t>年</w:t>
      </w:r>
      <w:r>
        <w:rPr>
          <w:rFonts w:hint="eastAsia"/>
          <w:spacing w:val="9"/>
          <w:sz w:val="23"/>
          <w:szCs w:val="23"/>
          <w:lang w:val="en-US" w:eastAsia="zh-CN"/>
        </w:rPr>
        <w:t xml:space="preserve">   </w:t>
      </w:r>
      <w:r>
        <w:rPr>
          <w:spacing w:val="9"/>
          <w:sz w:val="23"/>
          <w:szCs w:val="23"/>
        </w:rPr>
        <w:t>月</w:t>
      </w:r>
      <w:r>
        <w:rPr>
          <w:rFonts w:hint="eastAsia"/>
          <w:spacing w:val="9"/>
          <w:sz w:val="23"/>
          <w:szCs w:val="23"/>
          <w:lang w:val="en-US" w:eastAsia="zh-CN"/>
        </w:rPr>
        <w:t xml:space="preserve">  </w:t>
      </w:r>
      <w:r>
        <w:rPr>
          <w:spacing w:val="9"/>
          <w:sz w:val="23"/>
          <w:szCs w:val="23"/>
        </w:rPr>
        <w:t>日</w:t>
      </w:r>
    </w:p>
    <w:p w14:paraId="56631BE3">
      <w:pPr>
        <w:spacing w:line="260" w:lineRule="auto"/>
        <w:rPr>
          <w:rFonts w:ascii="Arial"/>
          <w:sz w:val="21"/>
        </w:rPr>
      </w:pPr>
    </w:p>
    <w:p w14:paraId="5F43991B">
      <w:pPr>
        <w:pStyle w:val="10"/>
        <w:tabs>
          <w:tab w:val="left" w:pos="567"/>
        </w:tabs>
        <w:spacing w:before="76" w:line="229" w:lineRule="auto"/>
        <w:ind w:left="524"/>
        <w:rPr>
          <w:sz w:val="23"/>
          <w:szCs w:val="23"/>
        </w:rPr>
      </w:pPr>
      <w:r>
        <w:rPr>
          <w:spacing w:val="4"/>
          <w:sz w:val="23"/>
          <w:szCs w:val="23"/>
        </w:rPr>
        <w:t>乙公司全称</w:t>
      </w:r>
      <w:r>
        <w:rPr>
          <w:spacing w:val="6"/>
          <w:sz w:val="23"/>
          <w:szCs w:val="23"/>
        </w:rPr>
        <w:t>：（</w:t>
      </w:r>
      <w:r>
        <w:rPr>
          <w:spacing w:val="4"/>
          <w:sz w:val="23"/>
          <w:szCs w:val="23"/>
        </w:rPr>
        <w:t>盖章）</w:t>
      </w:r>
    </w:p>
    <w:p w14:paraId="4C43DF39">
      <w:pPr>
        <w:pStyle w:val="10"/>
        <w:tabs>
          <w:tab w:val="left" w:pos="567"/>
        </w:tabs>
        <w:spacing w:before="27"/>
        <w:ind w:left="992" w:right="4983" w:hanging="477"/>
        <w:rPr>
          <w:spacing w:val="6"/>
          <w:sz w:val="23"/>
          <w:szCs w:val="23"/>
        </w:rPr>
      </w:pPr>
      <w:r>
        <w:rPr>
          <w:spacing w:val="6"/>
          <w:sz w:val="23"/>
          <w:szCs w:val="23"/>
        </w:rPr>
        <w:t>法定代表人（签字或盖章）</w:t>
      </w:r>
    </w:p>
    <w:p w14:paraId="3C5160CC">
      <w:pPr>
        <w:pStyle w:val="10"/>
        <w:tabs>
          <w:tab w:val="left" w:pos="567"/>
        </w:tabs>
        <w:spacing w:before="27"/>
        <w:ind w:left="992" w:right="4983" w:hanging="477"/>
        <w:rPr>
          <w:spacing w:val="6"/>
          <w:sz w:val="23"/>
          <w:szCs w:val="23"/>
        </w:rPr>
      </w:pPr>
      <w:r>
        <w:rPr>
          <w:spacing w:val="6"/>
          <w:sz w:val="23"/>
          <w:szCs w:val="23"/>
        </w:rPr>
        <w:t>年</w:t>
      </w:r>
      <w:r>
        <w:rPr>
          <w:rFonts w:hint="eastAsia"/>
          <w:spacing w:val="6"/>
          <w:sz w:val="23"/>
          <w:szCs w:val="23"/>
          <w:lang w:val="en-US" w:eastAsia="zh-CN"/>
        </w:rPr>
        <w:t xml:space="preserve">   </w:t>
      </w:r>
      <w:r>
        <w:rPr>
          <w:spacing w:val="6"/>
          <w:sz w:val="23"/>
          <w:szCs w:val="23"/>
        </w:rPr>
        <w:t>月</w:t>
      </w:r>
      <w:r>
        <w:rPr>
          <w:rFonts w:hint="eastAsia"/>
          <w:spacing w:val="6"/>
          <w:sz w:val="23"/>
          <w:szCs w:val="23"/>
          <w:lang w:val="en-US" w:eastAsia="zh-CN"/>
        </w:rPr>
        <w:t xml:space="preserve">   </w:t>
      </w:r>
      <w:r>
        <w:rPr>
          <w:spacing w:val="6"/>
          <w:sz w:val="23"/>
          <w:szCs w:val="23"/>
        </w:rPr>
        <w:t>日</w:t>
      </w:r>
    </w:p>
    <w:p w14:paraId="55360871">
      <w:pPr>
        <w:pStyle w:val="10"/>
        <w:tabs>
          <w:tab w:val="left" w:pos="567"/>
        </w:tabs>
        <w:spacing w:before="27"/>
        <w:ind w:left="992" w:right="4983" w:hanging="477"/>
        <w:rPr>
          <w:spacing w:val="-10"/>
          <w:sz w:val="23"/>
          <w:szCs w:val="23"/>
        </w:rPr>
      </w:pPr>
    </w:p>
    <w:p w14:paraId="161D5E02">
      <w:pPr>
        <w:pStyle w:val="10"/>
        <w:tabs>
          <w:tab w:val="left" w:pos="567"/>
        </w:tabs>
        <w:spacing w:before="27"/>
        <w:ind w:left="992" w:right="4983" w:hanging="477"/>
        <w:rPr>
          <w:spacing w:val="4"/>
          <w:sz w:val="23"/>
          <w:szCs w:val="23"/>
        </w:rPr>
      </w:pPr>
      <w:r>
        <w:rPr>
          <w:spacing w:val="-10"/>
          <w:sz w:val="23"/>
          <w:szCs w:val="23"/>
        </w:rPr>
        <w:t>……</w:t>
      </w:r>
      <w:r>
        <w:rPr>
          <w:spacing w:val="4"/>
          <w:sz w:val="23"/>
          <w:szCs w:val="23"/>
        </w:rPr>
        <w:t>公司全称</w:t>
      </w:r>
      <w:r>
        <w:rPr>
          <w:spacing w:val="6"/>
          <w:sz w:val="23"/>
          <w:szCs w:val="23"/>
        </w:rPr>
        <w:t>：（</w:t>
      </w:r>
      <w:r>
        <w:rPr>
          <w:spacing w:val="4"/>
          <w:sz w:val="23"/>
          <w:szCs w:val="23"/>
        </w:rPr>
        <w:t>盖章）</w:t>
      </w:r>
    </w:p>
    <w:p w14:paraId="4E394040">
      <w:pPr>
        <w:pStyle w:val="10"/>
        <w:tabs>
          <w:tab w:val="left" w:pos="567"/>
        </w:tabs>
        <w:spacing w:before="27"/>
        <w:ind w:left="992" w:right="4983" w:hanging="477"/>
        <w:rPr>
          <w:spacing w:val="6"/>
          <w:sz w:val="23"/>
          <w:szCs w:val="23"/>
        </w:rPr>
      </w:pPr>
      <w:r>
        <w:rPr>
          <w:spacing w:val="6"/>
          <w:sz w:val="23"/>
          <w:szCs w:val="23"/>
        </w:rPr>
        <w:t>法定代表人（签字或盖章）</w:t>
      </w:r>
    </w:p>
    <w:p w14:paraId="72ACD410">
      <w:pPr>
        <w:pStyle w:val="10"/>
        <w:tabs>
          <w:tab w:val="left" w:pos="567"/>
        </w:tabs>
        <w:spacing w:before="27"/>
        <w:ind w:left="992" w:right="4983" w:hanging="477"/>
        <w:rPr>
          <w:spacing w:val="6"/>
          <w:sz w:val="23"/>
          <w:szCs w:val="23"/>
        </w:rPr>
      </w:pPr>
      <w:r>
        <w:rPr>
          <w:spacing w:val="6"/>
          <w:sz w:val="23"/>
          <w:szCs w:val="23"/>
        </w:rPr>
        <w:t>年</w:t>
      </w:r>
      <w:r>
        <w:rPr>
          <w:rFonts w:hint="eastAsia"/>
          <w:spacing w:val="6"/>
          <w:sz w:val="23"/>
          <w:szCs w:val="23"/>
          <w:lang w:val="en-US" w:eastAsia="zh-CN"/>
        </w:rPr>
        <w:t xml:space="preserve">   </w:t>
      </w:r>
      <w:r>
        <w:rPr>
          <w:spacing w:val="6"/>
          <w:sz w:val="23"/>
          <w:szCs w:val="23"/>
        </w:rPr>
        <w:t>月</w:t>
      </w:r>
      <w:r>
        <w:rPr>
          <w:rFonts w:hint="eastAsia"/>
          <w:spacing w:val="6"/>
          <w:sz w:val="23"/>
          <w:szCs w:val="23"/>
          <w:lang w:val="en-US" w:eastAsia="zh-CN"/>
        </w:rPr>
        <w:t xml:space="preserve">   </w:t>
      </w:r>
      <w:r>
        <w:rPr>
          <w:spacing w:val="6"/>
          <w:sz w:val="23"/>
          <w:szCs w:val="23"/>
        </w:rPr>
        <w:t>日</w:t>
      </w:r>
    </w:p>
    <w:p w14:paraId="77B90747">
      <w:pPr>
        <w:pStyle w:val="10"/>
        <w:rPr>
          <w:rFonts w:hint="eastAsia" w:ascii="宋体" w:hAnsi="宋体" w:eastAsia="宋体" w:cs="宋体"/>
          <w:sz w:val="20"/>
          <w:highlight w:val="none"/>
        </w:rPr>
      </w:pPr>
    </w:p>
    <w:p w14:paraId="32C6DCD6">
      <w:pPr>
        <w:pStyle w:val="10"/>
        <w:rPr>
          <w:rFonts w:hint="eastAsia" w:ascii="宋体" w:hAnsi="宋体" w:eastAsia="宋体" w:cs="宋体"/>
          <w:sz w:val="20"/>
          <w:highlight w:val="none"/>
        </w:rPr>
      </w:pPr>
    </w:p>
    <w:p w14:paraId="5E618673">
      <w:pPr>
        <w:pStyle w:val="10"/>
        <w:rPr>
          <w:rFonts w:hint="eastAsia" w:ascii="宋体" w:hAnsi="宋体" w:eastAsia="宋体" w:cs="宋体"/>
          <w:sz w:val="20"/>
          <w:highlight w:val="none"/>
        </w:rPr>
      </w:pPr>
    </w:p>
    <w:p w14:paraId="77564706">
      <w:pPr>
        <w:pStyle w:val="10"/>
        <w:rPr>
          <w:rFonts w:hint="eastAsia" w:ascii="宋体" w:hAnsi="宋体" w:eastAsia="宋体" w:cs="宋体"/>
          <w:sz w:val="20"/>
          <w:highlight w:val="none"/>
        </w:rPr>
      </w:pPr>
    </w:p>
    <w:p w14:paraId="7FE21F3E">
      <w:pPr>
        <w:pStyle w:val="10"/>
        <w:rPr>
          <w:rFonts w:hint="eastAsia" w:ascii="宋体" w:hAnsi="宋体" w:eastAsia="宋体" w:cs="宋体"/>
          <w:sz w:val="20"/>
          <w:highlight w:val="none"/>
        </w:rPr>
      </w:pPr>
    </w:p>
    <w:p w14:paraId="3089913D">
      <w:pPr>
        <w:rPr>
          <w:rFonts w:hint="eastAsia" w:ascii="宋体" w:hAnsi="宋体" w:eastAsia="宋体" w:cs="宋体"/>
          <w:sz w:val="20"/>
          <w:highlight w:val="none"/>
        </w:rPr>
      </w:pPr>
      <w:r>
        <w:rPr>
          <w:rFonts w:hint="eastAsia" w:ascii="宋体" w:hAnsi="宋体" w:eastAsia="宋体" w:cs="宋体"/>
          <w:sz w:val="20"/>
          <w:highlight w:val="none"/>
        </w:rPr>
        <w:br w:type="page"/>
      </w:r>
    </w:p>
    <w:p w14:paraId="09AF8C3D">
      <w:pPr>
        <w:pStyle w:val="10"/>
        <w:rPr>
          <w:rFonts w:hint="eastAsia" w:ascii="宋体" w:hAnsi="宋体" w:eastAsia="宋体" w:cs="宋体"/>
          <w:sz w:val="20"/>
          <w:highlight w:val="none"/>
        </w:rPr>
      </w:pPr>
    </w:p>
    <w:p w14:paraId="5A12C2D2">
      <w:pPr>
        <w:pStyle w:val="10"/>
        <w:spacing w:before="3"/>
        <w:rPr>
          <w:rFonts w:hint="eastAsia" w:ascii="宋体" w:hAnsi="宋体" w:eastAsia="宋体" w:cs="宋体"/>
          <w:sz w:val="19"/>
          <w:highlight w:val="none"/>
        </w:rPr>
      </w:pPr>
    </w:p>
    <w:p w14:paraId="52F2D550">
      <w:pPr>
        <w:pStyle w:val="10"/>
        <w:tabs>
          <w:tab w:val="left" w:pos="1920"/>
          <w:tab w:val="left" w:pos="4080"/>
        </w:tabs>
        <w:spacing w:before="74"/>
        <w:ind w:right="199"/>
        <w:jc w:val="center"/>
        <w:rPr>
          <w:rFonts w:hint="eastAsia" w:ascii="宋体" w:hAnsi="宋体" w:eastAsia="宋体" w:cs="宋体"/>
          <w:sz w:val="32"/>
          <w:szCs w:val="32"/>
          <w:highlight w:val="none"/>
        </w:rPr>
      </w:pP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rPr>
        <w:tab/>
      </w:r>
      <w:r>
        <w:rPr>
          <w:rFonts w:hint="eastAsia" w:ascii="宋体" w:hAnsi="宋体" w:eastAsia="宋体" w:cs="宋体"/>
          <w:sz w:val="32"/>
          <w:szCs w:val="32"/>
          <w:highlight w:val="none"/>
        </w:rPr>
        <w:t>（项目名称）</w:t>
      </w:r>
    </w:p>
    <w:p w14:paraId="00C8F3D4">
      <w:pPr>
        <w:pStyle w:val="10"/>
        <w:rPr>
          <w:rFonts w:hint="eastAsia" w:ascii="宋体" w:hAnsi="宋体" w:eastAsia="宋体" w:cs="宋体"/>
          <w:sz w:val="26"/>
          <w:highlight w:val="none"/>
        </w:rPr>
      </w:pPr>
    </w:p>
    <w:p w14:paraId="1B3E485A">
      <w:pPr>
        <w:pStyle w:val="10"/>
        <w:rPr>
          <w:rFonts w:hint="eastAsia" w:ascii="宋体" w:hAnsi="宋体" w:eastAsia="宋体" w:cs="宋体"/>
          <w:sz w:val="26"/>
          <w:highlight w:val="none"/>
        </w:rPr>
      </w:pPr>
    </w:p>
    <w:p w14:paraId="4C9A18AB">
      <w:pPr>
        <w:pStyle w:val="10"/>
        <w:rPr>
          <w:rFonts w:hint="eastAsia" w:ascii="宋体" w:hAnsi="宋体" w:eastAsia="宋体" w:cs="宋体"/>
          <w:sz w:val="26"/>
          <w:highlight w:val="none"/>
        </w:rPr>
      </w:pPr>
    </w:p>
    <w:p w14:paraId="2F337E5B">
      <w:pPr>
        <w:pStyle w:val="10"/>
        <w:rPr>
          <w:rFonts w:hint="eastAsia" w:ascii="宋体" w:hAnsi="宋体" w:eastAsia="宋体" w:cs="宋体"/>
          <w:sz w:val="26"/>
          <w:highlight w:val="none"/>
        </w:rPr>
      </w:pPr>
    </w:p>
    <w:p w14:paraId="0B95CDCE">
      <w:pPr>
        <w:pStyle w:val="10"/>
        <w:spacing w:before="4"/>
        <w:rPr>
          <w:rFonts w:hint="eastAsia" w:ascii="宋体" w:hAnsi="宋体" w:eastAsia="宋体" w:cs="宋体"/>
          <w:sz w:val="35"/>
          <w:highlight w:val="none"/>
        </w:rPr>
      </w:pPr>
    </w:p>
    <w:p w14:paraId="55729C97">
      <w:pPr>
        <w:pStyle w:val="2"/>
        <w:tabs>
          <w:tab w:val="left" w:pos="1637"/>
          <w:tab w:val="left" w:pos="3077"/>
          <w:tab w:val="left" w:pos="4517"/>
        </w:tabs>
        <w:jc w:val="center"/>
        <w:rPr>
          <w:rFonts w:hint="eastAsia" w:ascii="宋体" w:hAnsi="宋体" w:eastAsia="宋体" w:cs="宋体"/>
          <w:highlight w:val="none"/>
        </w:rPr>
      </w:pPr>
      <w:bookmarkStart w:id="109" w:name="投__标__文__件_"/>
      <w:bookmarkEnd w:id="109"/>
      <w:r>
        <w:rPr>
          <w:rFonts w:hint="eastAsia" w:ascii="宋体" w:hAnsi="宋体" w:eastAsia="宋体" w:cs="宋体"/>
          <w:highlight w:val="none"/>
        </w:rPr>
        <w:t>响</w:t>
      </w:r>
      <w:r>
        <w:rPr>
          <w:rFonts w:hint="eastAsia" w:ascii="宋体" w:hAnsi="宋体" w:eastAsia="宋体" w:cs="宋体"/>
          <w:highlight w:val="none"/>
          <w:lang w:val="en-US"/>
        </w:rPr>
        <w:t xml:space="preserve"> </w:t>
      </w:r>
      <w:r>
        <w:rPr>
          <w:rFonts w:hint="eastAsia" w:ascii="宋体" w:hAnsi="宋体" w:eastAsia="宋体" w:cs="宋体"/>
          <w:highlight w:val="none"/>
        </w:rPr>
        <w:t>应</w:t>
      </w:r>
      <w:r>
        <w:rPr>
          <w:rFonts w:hint="eastAsia" w:ascii="宋体" w:hAnsi="宋体" w:eastAsia="宋体" w:cs="宋体"/>
          <w:highlight w:val="none"/>
          <w:lang w:val="en-US"/>
        </w:rPr>
        <w:t xml:space="preserve"> </w:t>
      </w:r>
      <w:r>
        <w:rPr>
          <w:rFonts w:hint="eastAsia" w:ascii="宋体" w:hAnsi="宋体" w:eastAsia="宋体" w:cs="宋体"/>
          <w:highlight w:val="none"/>
        </w:rPr>
        <w:t>文</w:t>
      </w:r>
      <w:r>
        <w:rPr>
          <w:rFonts w:hint="eastAsia" w:ascii="宋体" w:hAnsi="宋体" w:eastAsia="宋体" w:cs="宋体"/>
          <w:highlight w:val="none"/>
          <w:lang w:val="en-US"/>
        </w:rPr>
        <w:t xml:space="preserve"> </w:t>
      </w:r>
      <w:r>
        <w:rPr>
          <w:rFonts w:hint="eastAsia" w:ascii="宋体" w:hAnsi="宋体" w:eastAsia="宋体" w:cs="宋体"/>
          <w:highlight w:val="none"/>
        </w:rPr>
        <w:t>件</w:t>
      </w:r>
    </w:p>
    <w:p w14:paraId="65645F61">
      <w:pPr>
        <w:pStyle w:val="9"/>
        <w:spacing w:before="476"/>
        <w:ind w:left="68" w:right="199"/>
        <w:rPr>
          <w:rFonts w:hint="eastAsia" w:ascii="宋体" w:hAnsi="宋体" w:eastAsia="宋体" w:cs="宋体"/>
          <w:b/>
          <w:bCs/>
          <w:sz w:val="44"/>
          <w:szCs w:val="44"/>
          <w:highlight w:val="none"/>
        </w:rPr>
      </w:pPr>
      <w:bookmarkStart w:id="110" w:name="_TOC_250004"/>
      <w:bookmarkEnd w:id="110"/>
      <w:r>
        <w:rPr>
          <w:rFonts w:hint="eastAsia" w:ascii="宋体" w:hAnsi="宋体" w:eastAsia="宋体" w:cs="宋体"/>
          <w:b/>
          <w:bCs/>
          <w:sz w:val="44"/>
          <w:szCs w:val="44"/>
          <w:highlight w:val="none"/>
        </w:rPr>
        <w:t>（报价文件）</w:t>
      </w:r>
    </w:p>
    <w:p w14:paraId="40DA6445">
      <w:pPr>
        <w:pStyle w:val="10"/>
        <w:rPr>
          <w:rFonts w:hint="eastAsia" w:ascii="宋体" w:hAnsi="宋体" w:eastAsia="宋体" w:cs="宋体"/>
          <w:b/>
          <w:bCs/>
          <w:sz w:val="32"/>
          <w:highlight w:val="none"/>
        </w:rPr>
      </w:pPr>
    </w:p>
    <w:p w14:paraId="0BF4EE0B">
      <w:pPr>
        <w:pStyle w:val="10"/>
        <w:rPr>
          <w:rFonts w:hint="eastAsia" w:ascii="宋体" w:hAnsi="宋体" w:eastAsia="宋体" w:cs="宋体"/>
          <w:sz w:val="32"/>
          <w:highlight w:val="none"/>
        </w:rPr>
      </w:pPr>
    </w:p>
    <w:p w14:paraId="0A6E586C">
      <w:pPr>
        <w:pStyle w:val="10"/>
        <w:rPr>
          <w:rFonts w:hint="eastAsia" w:ascii="宋体" w:hAnsi="宋体" w:eastAsia="宋体" w:cs="宋体"/>
          <w:sz w:val="32"/>
          <w:highlight w:val="none"/>
        </w:rPr>
      </w:pPr>
    </w:p>
    <w:p w14:paraId="3A22DF16">
      <w:pPr>
        <w:pStyle w:val="10"/>
        <w:rPr>
          <w:rFonts w:hint="eastAsia" w:ascii="宋体" w:hAnsi="宋体" w:eastAsia="宋体" w:cs="宋体"/>
          <w:sz w:val="32"/>
          <w:highlight w:val="none"/>
        </w:rPr>
      </w:pPr>
    </w:p>
    <w:p w14:paraId="1B2BC043">
      <w:pPr>
        <w:pStyle w:val="10"/>
        <w:rPr>
          <w:rFonts w:hint="eastAsia" w:ascii="宋体" w:hAnsi="宋体" w:eastAsia="宋体" w:cs="宋体"/>
          <w:sz w:val="32"/>
          <w:highlight w:val="none"/>
        </w:rPr>
      </w:pPr>
    </w:p>
    <w:p w14:paraId="3DACC2F2">
      <w:pPr>
        <w:pStyle w:val="10"/>
        <w:rPr>
          <w:rFonts w:hint="eastAsia" w:ascii="宋体" w:hAnsi="宋体" w:eastAsia="宋体" w:cs="宋体"/>
          <w:sz w:val="32"/>
          <w:highlight w:val="none"/>
        </w:rPr>
      </w:pPr>
    </w:p>
    <w:p w14:paraId="4A599CDB">
      <w:pPr>
        <w:pStyle w:val="10"/>
        <w:rPr>
          <w:rFonts w:hint="eastAsia" w:ascii="宋体" w:hAnsi="宋体" w:eastAsia="宋体" w:cs="宋体"/>
          <w:sz w:val="32"/>
          <w:highlight w:val="none"/>
        </w:rPr>
      </w:pPr>
    </w:p>
    <w:p w14:paraId="65568E67">
      <w:pPr>
        <w:pStyle w:val="10"/>
        <w:rPr>
          <w:rFonts w:hint="eastAsia" w:ascii="宋体" w:hAnsi="宋体" w:eastAsia="宋体" w:cs="宋体"/>
          <w:sz w:val="32"/>
          <w:highlight w:val="none"/>
        </w:rPr>
      </w:pPr>
    </w:p>
    <w:p w14:paraId="583A517D">
      <w:pPr>
        <w:pStyle w:val="10"/>
        <w:rPr>
          <w:rFonts w:hint="eastAsia" w:ascii="宋体" w:hAnsi="宋体" w:eastAsia="宋体" w:cs="宋体"/>
          <w:sz w:val="32"/>
          <w:highlight w:val="none"/>
        </w:rPr>
      </w:pPr>
    </w:p>
    <w:p w14:paraId="1DABE546">
      <w:pPr>
        <w:pStyle w:val="10"/>
        <w:rPr>
          <w:rFonts w:hint="eastAsia" w:ascii="宋体" w:hAnsi="宋体" w:eastAsia="宋体" w:cs="宋体"/>
          <w:sz w:val="32"/>
          <w:highlight w:val="none"/>
        </w:rPr>
      </w:pPr>
    </w:p>
    <w:p w14:paraId="545FB417">
      <w:pPr>
        <w:spacing w:line="480" w:lineRule="auto"/>
        <w:ind w:firstLine="2380" w:firstLineChars="850"/>
        <w:rPr>
          <w:rFonts w:hint="eastAsia" w:ascii="宋体" w:hAnsi="宋体" w:eastAsia="宋体" w:cs="宋体"/>
          <w:sz w:val="28"/>
          <w:highlight w:val="none"/>
          <w:u w:val="single"/>
        </w:rPr>
      </w:pPr>
      <w:r>
        <w:rPr>
          <w:rFonts w:hint="eastAsia" w:ascii="宋体" w:hAnsi="宋体" w:eastAsia="宋体" w:cs="宋体"/>
          <w:sz w:val="28"/>
          <w:highlight w:val="none"/>
        </w:rPr>
        <w:t>供应商名称：（盖章）</w:t>
      </w:r>
    </w:p>
    <w:p w14:paraId="37B9ED07">
      <w:pPr>
        <w:spacing w:line="480" w:lineRule="auto"/>
        <w:jc w:val="center"/>
        <w:rPr>
          <w:rFonts w:hint="eastAsia" w:ascii="宋体" w:hAnsi="宋体" w:eastAsia="宋体" w:cs="宋体"/>
          <w:sz w:val="28"/>
          <w:highlight w:val="none"/>
        </w:rPr>
      </w:pPr>
      <w:r>
        <w:rPr>
          <w:rFonts w:hint="eastAsia" w:ascii="宋体" w:hAnsi="宋体" w:eastAsia="宋体" w:cs="宋体"/>
          <w:sz w:val="28"/>
          <w:highlight w:val="none"/>
        </w:rPr>
        <w:t xml:space="preserve">    法定代表人或其委托代理人：（签字或盖章）</w:t>
      </w:r>
    </w:p>
    <w:p w14:paraId="31F4BB6D">
      <w:pPr>
        <w:spacing w:line="480" w:lineRule="auto"/>
        <w:ind w:firstLine="2380" w:firstLineChars="850"/>
        <w:rPr>
          <w:rFonts w:hint="eastAsia" w:ascii="宋体" w:hAnsi="宋体" w:eastAsia="宋体" w:cs="宋体"/>
          <w:sz w:val="28"/>
          <w:highlight w:val="none"/>
        </w:rPr>
      </w:pPr>
      <w:r>
        <w:rPr>
          <w:rFonts w:hint="eastAsia" w:ascii="宋体" w:hAnsi="宋体" w:eastAsia="宋体" w:cs="宋体"/>
          <w:sz w:val="28"/>
          <w:highlight w:val="none"/>
        </w:rPr>
        <w:t>日期：年</w:t>
      </w:r>
      <w:r>
        <w:rPr>
          <w:rFonts w:hint="eastAsia" w:ascii="宋体" w:hAnsi="宋体" w:eastAsia="宋体" w:cs="宋体"/>
          <w:sz w:val="28"/>
          <w:highlight w:val="none"/>
          <w:lang w:val="en-US"/>
        </w:rPr>
        <w:t xml:space="preserve">  </w:t>
      </w:r>
      <w:r>
        <w:rPr>
          <w:rFonts w:hint="eastAsia" w:ascii="宋体" w:hAnsi="宋体" w:eastAsia="宋体" w:cs="宋体"/>
          <w:sz w:val="28"/>
          <w:highlight w:val="none"/>
        </w:rPr>
        <w:t>月</w:t>
      </w:r>
      <w:r>
        <w:rPr>
          <w:rFonts w:hint="eastAsia" w:ascii="宋体" w:hAnsi="宋体" w:eastAsia="宋体" w:cs="宋体"/>
          <w:sz w:val="28"/>
          <w:highlight w:val="none"/>
          <w:lang w:val="en-US"/>
        </w:rPr>
        <w:t xml:space="preserve">  </w:t>
      </w:r>
      <w:r>
        <w:rPr>
          <w:rFonts w:hint="eastAsia" w:ascii="宋体" w:hAnsi="宋体" w:eastAsia="宋体" w:cs="宋体"/>
          <w:sz w:val="28"/>
          <w:highlight w:val="none"/>
        </w:rPr>
        <w:t>日</w:t>
      </w:r>
    </w:p>
    <w:p w14:paraId="5277B12D">
      <w:pPr>
        <w:pStyle w:val="10"/>
        <w:rPr>
          <w:rFonts w:hint="eastAsia" w:ascii="宋体" w:hAnsi="宋体" w:eastAsia="宋体" w:cs="宋体"/>
          <w:sz w:val="20"/>
          <w:highlight w:val="none"/>
        </w:rPr>
      </w:pPr>
    </w:p>
    <w:p w14:paraId="088C9CBA">
      <w:pPr>
        <w:pStyle w:val="28"/>
        <w:rPr>
          <w:rFonts w:hint="eastAsia" w:ascii="宋体" w:hAnsi="宋体" w:eastAsia="宋体" w:cs="宋体"/>
          <w:sz w:val="20"/>
          <w:highlight w:val="none"/>
        </w:rPr>
      </w:pPr>
    </w:p>
    <w:p w14:paraId="5696CFB7">
      <w:pPr>
        <w:rPr>
          <w:rFonts w:hint="eastAsia" w:ascii="宋体" w:hAnsi="宋体" w:eastAsia="宋体" w:cs="宋体"/>
          <w:sz w:val="20"/>
          <w:highlight w:val="none"/>
        </w:rPr>
      </w:pPr>
    </w:p>
    <w:p w14:paraId="0D117DD8">
      <w:pPr>
        <w:pStyle w:val="23"/>
        <w:ind w:firstLine="440"/>
        <w:rPr>
          <w:rFonts w:hint="eastAsia" w:ascii="宋体" w:hAnsi="宋体" w:eastAsia="宋体" w:cs="宋体"/>
          <w:highlight w:val="none"/>
        </w:rPr>
      </w:pPr>
    </w:p>
    <w:p w14:paraId="663F01FC">
      <w:pPr>
        <w:pStyle w:val="10"/>
        <w:rPr>
          <w:rFonts w:hint="eastAsia" w:ascii="宋体" w:hAnsi="宋体" w:eastAsia="宋体" w:cs="宋体"/>
          <w:sz w:val="20"/>
          <w:highlight w:val="none"/>
        </w:rPr>
      </w:pPr>
    </w:p>
    <w:p w14:paraId="0EC8484E">
      <w:pPr>
        <w:tabs>
          <w:tab w:val="left" w:pos="1051"/>
        </w:tabs>
        <w:spacing w:before="227"/>
        <w:ind w:right="248"/>
        <w:jc w:val="center"/>
        <w:rPr>
          <w:rFonts w:hint="eastAsia" w:ascii="宋体" w:hAnsi="宋体" w:eastAsia="宋体" w:cs="宋体"/>
          <w:b/>
          <w:sz w:val="30"/>
          <w:highlight w:val="none"/>
        </w:rPr>
      </w:pPr>
      <w:bookmarkStart w:id="111" w:name="_TOC_250003"/>
      <w:bookmarkEnd w:id="111"/>
    </w:p>
    <w:p w14:paraId="788CACAD">
      <w:pPr>
        <w:tabs>
          <w:tab w:val="left" w:pos="1051"/>
        </w:tabs>
        <w:spacing w:before="227"/>
        <w:ind w:right="248"/>
        <w:jc w:val="center"/>
        <w:rPr>
          <w:rFonts w:hint="eastAsia" w:ascii="宋体" w:hAnsi="宋体" w:eastAsia="宋体" w:cs="宋体"/>
          <w:b/>
          <w:sz w:val="30"/>
          <w:highlight w:val="none"/>
        </w:rPr>
      </w:pPr>
    </w:p>
    <w:p w14:paraId="6E4ED245">
      <w:pPr>
        <w:tabs>
          <w:tab w:val="left" w:pos="1051"/>
        </w:tabs>
        <w:spacing w:before="227"/>
        <w:ind w:right="248"/>
        <w:jc w:val="center"/>
        <w:rPr>
          <w:rFonts w:hint="eastAsia" w:ascii="宋体" w:hAnsi="宋体" w:eastAsia="宋体" w:cs="宋体"/>
          <w:b/>
          <w:sz w:val="30"/>
          <w:highlight w:val="none"/>
        </w:rPr>
      </w:pPr>
      <w:r>
        <w:rPr>
          <w:rFonts w:hint="eastAsia" w:ascii="宋体" w:hAnsi="宋体" w:eastAsia="宋体" w:cs="宋体"/>
          <w:b/>
          <w:sz w:val="30"/>
          <w:highlight w:val="none"/>
        </w:rPr>
        <w:t>目</w:t>
      </w:r>
      <w:r>
        <w:rPr>
          <w:rFonts w:hint="eastAsia" w:ascii="宋体" w:hAnsi="宋体" w:eastAsia="宋体" w:cs="宋体"/>
          <w:b/>
          <w:sz w:val="30"/>
          <w:highlight w:val="none"/>
        </w:rPr>
        <w:tab/>
      </w:r>
      <w:r>
        <w:rPr>
          <w:rFonts w:hint="eastAsia" w:ascii="宋体" w:hAnsi="宋体" w:eastAsia="宋体" w:cs="宋体"/>
          <w:b/>
          <w:sz w:val="30"/>
          <w:highlight w:val="none"/>
        </w:rPr>
        <w:t>录</w:t>
      </w:r>
    </w:p>
    <w:p w14:paraId="45E8E997">
      <w:pPr>
        <w:pStyle w:val="10"/>
        <w:spacing w:before="6"/>
        <w:rPr>
          <w:rFonts w:hint="eastAsia" w:ascii="宋体" w:hAnsi="宋体" w:eastAsia="宋体" w:cs="宋体"/>
          <w:b/>
          <w:sz w:val="43"/>
          <w:highlight w:val="none"/>
        </w:rPr>
      </w:pPr>
    </w:p>
    <w:p w14:paraId="7490017A">
      <w:pPr>
        <w:pStyle w:val="10"/>
        <w:spacing w:line="360" w:lineRule="auto"/>
        <w:ind w:left="1894"/>
        <w:rPr>
          <w:rFonts w:hint="eastAsia" w:ascii="宋体" w:hAnsi="宋体" w:eastAsia="宋体" w:cs="宋体"/>
          <w:highlight w:val="none"/>
        </w:rPr>
      </w:pPr>
      <w:r>
        <w:rPr>
          <w:rFonts w:hint="eastAsia" w:ascii="宋体" w:hAnsi="宋体" w:eastAsia="宋体" w:cs="宋体"/>
          <w:highlight w:val="none"/>
        </w:rPr>
        <w:t>一、投标函</w:t>
      </w:r>
    </w:p>
    <w:p w14:paraId="664E71E3">
      <w:pPr>
        <w:pStyle w:val="10"/>
        <w:spacing w:before="132" w:line="360" w:lineRule="auto"/>
        <w:ind w:left="1894" w:right="5369"/>
        <w:rPr>
          <w:rFonts w:hint="eastAsia" w:ascii="宋体" w:hAnsi="宋体" w:eastAsia="宋体" w:cs="宋体"/>
          <w:highlight w:val="none"/>
        </w:rPr>
      </w:pPr>
      <w:r>
        <w:rPr>
          <w:rFonts w:hint="eastAsia" w:ascii="宋体" w:hAnsi="宋体" w:eastAsia="宋体" w:cs="宋体"/>
          <w:highlight w:val="none"/>
        </w:rPr>
        <w:t>二、工程量清单</w:t>
      </w:r>
    </w:p>
    <w:p w14:paraId="180AFE3A">
      <w:pPr>
        <w:pStyle w:val="10"/>
        <w:spacing w:before="132" w:line="360" w:lineRule="auto"/>
        <w:ind w:left="1894" w:right="5369"/>
        <w:rPr>
          <w:rFonts w:hint="eastAsia" w:ascii="宋体" w:hAnsi="宋体" w:eastAsia="宋体" w:cs="宋体"/>
          <w:highlight w:val="none"/>
        </w:rPr>
      </w:pPr>
      <w:r>
        <w:rPr>
          <w:rFonts w:hint="eastAsia" w:ascii="宋体" w:hAnsi="宋体" w:eastAsia="宋体" w:cs="宋体"/>
          <w:highlight w:val="none"/>
        </w:rPr>
        <w:t>三、合同用款估算表</w:t>
      </w:r>
    </w:p>
    <w:p w14:paraId="6BE34E61">
      <w:pPr>
        <w:pStyle w:val="10"/>
        <w:spacing w:before="132" w:line="360" w:lineRule="auto"/>
        <w:ind w:left="1894" w:right="5369"/>
        <w:rPr>
          <w:rFonts w:hint="eastAsia" w:ascii="宋体" w:hAnsi="宋体" w:eastAsia="宋体" w:cs="宋体"/>
          <w:highlight w:val="none"/>
          <w:lang w:val="en-US"/>
        </w:rPr>
      </w:pPr>
      <w:r>
        <w:rPr>
          <w:rFonts w:hint="eastAsia" w:ascii="宋体" w:hAnsi="宋体" w:eastAsia="宋体" w:cs="宋体"/>
          <w:highlight w:val="none"/>
          <w:lang w:val="en-US"/>
        </w:rPr>
        <w:t>四、最终报价单</w:t>
      </w:r>
    </w:p>
    <w:p w14:paraId="2E24A32B">
      <w:pPr>
        <w:spacing w:line="343" w:lineRule="auto"/>
        <w:rPr>
          <w:rFonts w:hint="eastAsia" w:ascii="宋体" w:hAnsi="宋体" w:eastAsia="宋体" w:cs="宋体"/>
          <w:sz w:val="24"/>
          <w:szCs w:val="24"/>
          <w:highlight w:val="none"/>
        </w:rPr>
      </w:pPr>
    </w:p>
    <w:p w14:paraId="31595531">
      <w:pPr>
        <w:pStyle w:val="23"/>
        <w:ind w:firstLine="440"/>
        <w:rPr>
          <w:rFonts w:hint="eastAsia" w:ascii="宋体" w:hAnsi="宋体" w:eastAsia="宋体" w:cs="宋体"/>
          <w:highlight w:val="none"/>
          <w:lang w:val="en-US"/>
        </w:rPr>
        <w:sectPr>
          <w:footerReference r:id="rId27" w:type="default"/>
          <w:pgSz w:w="11910" w:h="16840"/>
          <w:pgMar w:top="1220" w:right="920" w:bottom="1040" w:left="1320" w:header="882" w:footer="845" w:gutter="0"/>
          <w:cols w:space="720" w:num="1"/>
        </w:sectPr>
      </w:pPr>
      <w:r>
        <w:rPr>
          <w:rFonts w:hint="eastAsia" w:ascii="宋体" w:hAnsi="宋体" w:eastAsia="宋体" w:cs="宋体"/>
          <w:highlight w:val="none"/>
          <w:lang w:val="en-US"/>
        </w:rPr>
        <w:t xml:space="preserve">       </w:t>
      </w:r>
    </w:p>
    <w:p w14:paraId="6C62E37D">
      <w:pPr>
        <w:pStyle w:val="10"/>
        <w:spacing w:before="4"/>
        <w:rPr>
          <w:rFonts w:hint="eastAsia" w:ascii="宋体" w:hAnsi="宋体" w:eastAsia="宋体" w:cs="宋体"/>
          <w:sz w:val="16"/>
          <w:highlight w:val="none"/>
        </w:rPr>
      </w:pPr>
    </w:p>
    <w:p w14:paraId="1C8BC37C">
      <w:pPr>
        <w:spacing w:before="58"/>
        <w:ind w:left="50" w:right="199"/>
        <w:jc w:val="center"/>
        <w:rPr>
          <w:rFonts w:hint="eastAsia" w:ascii="宋体" w:hAnsi="宋体" w:eastAsia="宋体" w:cs="宋体"/>
          <w:sz w:val="30"/>
          <w:highlight w:val="none"/>
        </w:rPr>
      </w:pPr>
      <w:bookmarkStart w:id="112" w:name="_TOC_250002"/>
      <w:bookmarkEnd w:id="112"/>
      <w:r>
        <w:rPr>
          <w:rFonts w:hint="eastAsia" w:ascii="宋体" w:hAnsi="宋体" w:eastAsia="宋体" w:cs="宋体"/>
          <w:sz w:val="30"/>
          <w:highlight w:val="none"/>
        </w:rPr>
        <w:t>一、投标函</w:t>
      </w:r>
    </w:p>
    <w:p w14:paraId="224A6B34">
      <w:pPr>
        <w:pStyle w:val="10"/>
        <w:rPr>
          <w:rFonts w:hint="eastAsia" w:ascii="宋体" w:hAnsi="宋体" w:eastAsia="宋体" w:cs="宋体"/>
          <w:sz w:val="20"/>
          <w:highlight w:val="none"/>
        </w:rPr>
      </w:pPr>
    </w:p>
    <w:p w14:paraId="7A8993E4">
      <w:pPr>
        <w:pStyle w:val="10"/>
        <w:rPr>
          <w:rFonts w:hint="eastAsia" w:ascii="宋体" w:hAnsi="宋体" w:eastAsia="宋体" w:cs="宋体"/>
          <w:sz w:val="20"/>
          <w:highlight w:val="none"/>
        </w:rPr>
      </w:pPr>
    </w:p>
    <w:p w14:paraId="2D6A8CFC">
      <w:pPr>
        <w:pStyle w:val="10"/>
        <w:rPr>
          <w:rFonts w:hint="eastAsia" w:ascii="宋体" w:hAnsi="宋体" w:eastAsia="宋体" w:cs="宋体"/>
          <w:sz w:val="20"/>
          <w:highlight w:val="none"/>
        </w:rPr>
      </w:pPr>
    </w:p>
    <w:p w14:paraId="3186BA93">
      <w:pPr>
        <w:pStyle w:val="10"/>
        <w:spacing w:before="1"/>
        <w:rPr>
          <w:rFonts w:hint="eastAsia" w:ascii="宋体" w:hAnsi="宋体" w:eastAsia="宋体" w:cs="宋体"/>
          <w:sz w:val="19"/>
          <w:highlight w:val="none"/>
        </w:rPr>
      </w:pPr>
    </w:p>
    <w:p w14:paraId="60BB132E">
      <w:pPr>
        <w:pStyle w:val="10"/>
        <w:tabs>
          <w:tab w:val="left" w:pos="3352"/>
        </w:tabs>
        <w:spacing w:before="74"/>
        <w:ind w:left="471"/>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（招标人名称）：</w:t>
      </w:r>
    </w:p>
    <w:p w14:paraId="6B00BA0A">
      <w:pPr>
        <w:pStyle w:val="29"/>
        <w:numPr>
          <w:ilvl w:val="0"/>
          <w:numId w:val="67"/>
        </w:numPr>
        <w:tabs>
          <w:tab w:val="left" w:pos="995"/>
          <w:tab w:val="left" w:pos="1953"/>
          <w:tab w:val="left" w:pos="3273"/>
          <w:tab w:val="left" w:pos="3359"/>
          <w:tab w:val="left" w:pos="4439"/>
          <w:tab w:val="left" w:pos="4833"/>
          <w:tab w:val="left" w:pos="7353"/>
        </w:tabs>
        <w:spacing w:before="213" w:line="312" w:lineRule="auto"/>
        <w:ind w:right="551" w:firstLine="480"/>
        <w:rPr>
          <w:rFonts w:hint="eastAsia" w:ascii="宋体" w:hAnsi="宋体" w:eastAsia="宋体" w:cs="宋体"/>
          <w:sz w:val="24"/>
          <w:highlight w:val="none"/>
        </w:rPr>
      </w:pPr>
      <w:r>
        <w:rPr>
          <w:rFonts w:hint="eastAsia" w:ascii="宋体" w:hAnsi="宋体" w:eastAsia="宋体" w:cs="宋体"/>
          <w:sz w:val="24"/>
          <w:highlight w:val="none"/>
        </w:rPr>
        <w:t>我方已仔细研究</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rPr>
        <w:t>（项目名称）施工招标竞争性磋商文件的全部内</w:t>
      </w:r>
      <w:r>
        <w:rPr>
          <w:rFonts w:hint="eastAsia" w:ascii="宋体" w:hAnsi="宋体" w:eastAsia="宋体" w:cs="宋体"/>
          <w:spacing w:val="-32"/>
          <w:sz w:val="24"/>
          <w:highlight w:val="none"/>
        </w:rPr>
        <w:t>容</w:t>
      </w:r>
      <w:r>
        <w:rPr>
          <w:rFonts w:hint="eastAsia" w:ascii="宋体" w:hAnsi="宋体" w:eastAsia="宋体" w:cs="宋体"/>
          <w:spacing w:val="-3"/>
          <w:sz w:val="24"/>
          <w:highlight w:val="none"/>
        </w:rPr>
        <w:t>（</w:t>
      </w:r>
      <w:r>
        <w:rPr>
          <w:rFonts w:hint="eastAsia" w:ascii="宋体" w:hAnsi="宋体" w:eastAsia="宋体" w:cs="宋体"/>
          <w:sz w:val="24"/>
          <w:highlight w:val="none"/>
        </w:rPr>
        <w:t>含补遗书</w:t>
      </w:r>
      <w:r>
        <w:rPr>
          <w:rFonts w:hint="eastAsia" w:ascii="宋体" w:hAnsi="宋体" w:eastAsia="宋体" w:cs="宋体"/>
          <w:spacing w:val="-33"/>
          <w:sz w:val="24"/>
          <w:highlight w:val="none"/>
        </w:rPr>
        <w:t>），</w:t>
      </w:r>
      <w:r>
        <w:rPr>
          <w:rFonts w:hint="eastAsia" w:ascii="宋体" w:hAnsi="宋体" w:eastAsia="宋体" w:cs="宋体"/>
          <w:sz w:val="24"/>
          <w:highlight w:val="none"/>
        </w:rPr>
        <w:t>在考察工程现场后</w:t>
      </w:r>
      <w:r>
        <w:rPr>
          <w:rFonts w:hint="eastAsia" w:ascii="宋体" w:hAnsi="宋体" w:eastAsia="宋体" w:cs="宋体"/>
          <w:spacing w:val="-32"/>
          <w:sz w:val="24"/>
          <w:highlight w:val="none"/>
        </w:rPr>
        <w:t>，</w:t>
      </w:r>
      <w:r>
        <w:rPr>
          <w:rFonts w:hint="eastAsia" w:ascii="宋体" w:hAnsi="宋体" w:eastAsia="宋体" w:cs="宋体"/>
          <w:sz w:val="24"/>
          <w:highlight w:val="none"/>
        </w:rPr>
        <w:t>愿意以人民</w:t>
      </w:r>
      <w:r>
        <w:rPr>
          <w:rFonts w:hint="eastAsia" w:ascii="宋体" w:hAnsi="宋体" w:eastAsia="宋体" w:cs="宋体"/>
          <w:spacing w:val="-32"/>
          <w:sz w:val="24"/>
          <w:highlight w:val="none"/>
        </w:rPr>
        <w:t>币</w:t>
      </w:r>
      <w:r>
        <w:rPr>
          <w:rFonts w:hint="eastAsia" w:ascii="宋体" w:hAnsi="宋体" w:eastAsia="宋体" w:cs="宋体"/>
          <w:sz w:val="24"/>
          <w:highlight w:val="none"/>
        </w:rPr>
        <w:t>（</w:t>
      </w:r>
      <w:r>
        <w:rPr>
          <w:rFonts w:hint="eastAsia" w:ascii="宋体" w:hAnsi="宋体" w:eastAsia="宋体" w:cs="宋体"/>
          <w:spacing w:val="-14"/>
          <w:sz w:val="24"/>
          <w:highlight w:val="none"/>
        </w:rPr>
        <w:t>大</w:t>
      </w:r>
      <w:r>
        <w:rPr>
          <w:rFonts w:hint="eastAsia" w:ascii="宋体" w:hAnsi="宋体" w:eastAsia="宋体" w:cs="宋体"/>
          <w:sz w:val="24"/>
          <w:highlight w:val="none"/>
        </w:rPr>
        <w:t>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）的投标总报价（增值税税率按国家规定的相关税率执行），按合同约定实施和完成承包工程，修补工程中的任何缺陷。</w:t>
      </w:r>
    </w:p>
    <w:p w14:paraId="380B8F10">
      <w:pPr>
        <w:pStyle w:val="29"/>
        <w:numPr>
          <w:ilvl w:val="0"/>
          <w:numId w:val="67"/>
        </w:numPr>
        <w:tabs>
          <w:tab w:val="left" w:pos="995"/>
        </w:tabs>
        <w:spacing w:line="312" w:lineRule="auto"/>
        <w:ind w:right="551" w:firstLine="480"/>
        <w:rPr>
          <w:rFonts w:hint="eastAsia" w:ascii="宋体" w:hAnsi="宋体" w:eastAsia="宋体" w:cs="宋体"/>
          <w:sz w:val="24"/>
          <w:highlight w:val="none"/>
        </w:rPr>
      </w:pPr>
      <w:r>
        <w:rPr>
          <w:rFonts w:hint="eastAsia" w:ascii="宋体" w:hAnsi="宋体" w:eastAsia="宋体" w:cs="宋体"/>
          <w:spacing w:val="-3"/>
          <w:sz w:val="24"/>
          <w:highlight w:val="none"/>
        </w:rPr>
        <w:t>在合同协议书正式签署生效之前，本投标函连同你方的中标通知书将构成我们</w:t>
      </w:r>
      <w:r>
        <w:rPr>
          <w:rFonts w:hint="eastAsia" w:ascii="宋体" w:hAnsi="宋体" w:eastAsia="宋体" w:cs="宋体"/>
          <w:sz w:val="24"/>
          <w:highlight w:val="none"/>
        </w:rPr>
        <w:t>双方之间共同遵守的文件，对双方具有约束力。</w:t>
      </w:r>
    </w:p>
    <w:p w14:paraId="4FBBA22A">
      <w:pPr>
        <w:pStyle w:val="29"/>
        <w:numPr>
          <w:ilvl w:val="0"/>
          <w:numId w:val="67"/>
        </w:numPr>
        <w:tabs>
          <w:tab w:val="left" w:pos="995"/>
          <w:tab w:val="left" w:pos="5673"/>
        </w:tabs>
        <w:spacing w:before="2"/>
        <w:ind w:left="994" w:hanging="362"/>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（其他补充说明）。</w:t>
      </w:r>
    </w:p>
    <w:p w14:paraId="3AAEF58F">
      <w:pPr>
        <w:pStyle w:val="10"/>
        <w:spacing w:before="4"/>
        <w:rPr>
          <w:rFonts w:hint="eastAsia" w:ascii="宋体" w:hAnsi="宋体" w:eastAsia="宋体" w:cs="宋体"/>
          <w:sz w:val="38"/>
          <w:highlight w:val="none"/>
        </w:rPr>
      </w:pPr>
    </w:p>
    <w:p w14:paraId="09FBA99F">
      <w:pPr>
        <w:pStyle w:val="10"/>
        <w:tabs>
          <w:tab w:val="left" w:pos="7293"/>
          <w:tab w:val="left" w:pos="8013"/>
        </w:tabs>
        <w:spacing w:line="312" w:lineRule="auto"/>
        <w:ind w:left="3573" w:right="690"/>
        <w:jc w:val="both"/>
        <w:rPr>
          <w:rFonts w:hint="eastAsia" w:ascii="宋体" w:hAnsi="宋体" w:eastAsia="宋体" w:cs="宋体"/>
          <w:highlight w:val="none"/>
        </w:rPr>
      </w:pPr>
      <w:r>
        <w:rPr>
          <w:rFonts w:hint="eastAsia" w:ascii="宋体" w:hAnsi="宋体" w:eastAsia="宋体" w:cs="宋体"/>
          <w:spacing w:val="-1"/>
          <w:highlight w:val="none"/>
        </w:rPr>
        <w:t>竞争性磋商响应人</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（盖单位章）</w:t>
      </w:r>
    </w:p>
    <w:p w14:paraId="497D499C">
      <w:pPr>
        <w:pStyle w:val="10"/>
        <w:tabs>
          <w:tab w:val="left" w:pos="7293"/>
          <w:tab w:val="left" w:pos="8013"/>
        </w:tabs>
        <w:spacing w:line="312" w:lineRule="auto"/>
        <w:ind w:left="3573" w:right="690"/>
        <w:jc w:val="both"/>
        <w:rPr>
          <w:rFonts w:hint="eastAsia" w:ascii="宋体" w:hAnsi="宋体" w:eastAsia="宋体" w:cs="宋体"/>
          <w:highlight w:val="none"/>
        </w:rPr>
      </w:pPr>
      <w:r>
        <w:rPr>
          <w:rFonts w:hint="eastAsia" w:ascii="宋体" w:hAnsi="宋体" w:eastAsia="宋体" w:cs="宋体"/>
          <w:highlight w:val="none"/>
        </w:rPr>
        <w:t>法定代表人或其委托代理人：</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rPr>
        <w:t xml:space="preserve">      </w:t>
      </w:r>
      <w:r>
        <w:rPr>
          <w:rFonts w:hint="eastAsia" w:ascii="宋体" w:hAnsi="宋体" w:eastAsia="宋体" w:cs="宋体"/>
          <w:highlight w:val="none"/>
        </w:rPr>
        <w:t>（签字或盖章</w:t>
      </w:r>
      <w:r>
        <w:rPr>
          <w:rFonts w:hint="eastAsia" w:ascii="宋体" w:hAnsi="宋体" w:eastAsia="宋体" w:cs="宋体"/>
          <w:spacing w:val="-17"/>
          <w:highlight w:val="none"/>
        </w:rPr>
        <w:t>）</w:t>
      </w:r>
    </w:p>
    <w:p w14:paraId="4933B7B3">
      <w:pPr>
        <w:pStyle w:val="10"/>
        <w:tabs>
          <w:tab w:val="left" w:pos="9171"/>
        </w:tabs>
        <w:spacing w:line="312" w:lineRule="auto"/>
        <w:ind w:left="3573" w:right="492"/>
        <w:jc w:val="both"/>
        <w:rPr>
          <w:rFonts w:hint="eastAsia" w:ascii="宋体" w:hAnsi="宋体" w:eastAsia="宋体" w:cs="宋体"/>
          <w:highlight w:val="none"/>
        </w:rPr>
      </w:pPr>
      <w:r>
        <w:rPr>
          <w:rFonts w:hint="eastAsia" w:ascii="宋体" w:hAnsi="宋体" w:eastAsia="宋体" w:cs="宋体"/>
          <w:highlight w:val="none"/>
        </w:rPr>
        <w:t xml:space="preserve">地  </w:t>
      </w:r>
      <w:r>
        <w:rPr>
          <w:rFonts w:hint="eastAsia" w:ascii="宋体" w:hAnsi="宋体" w:eastAsia="宋体" w:cs="宋体"/>
          <w:spacing w:val="119"/>
          <w:highlight w:val="none"/>
        </w:rPr>
        <w:t xml:space="preserve"> </w:t>
      </w:r>
      <w:r>
        <w:rPr>
          <w:rFonts w:hint="eastAsia" w:ascii="宋体" w:hAnsi="宋体" w:eastAsia="宋体" w:cs="宋体"/>
          <w:highlight w:val="none"/>
        </w:rPr>
        <w:t>址：</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 xml:space="preserve">网  </w:t>
      </w:r>
      <w:r>
        <w:rPr>
          <w:rFonts w:hint="eastAsia" w:ascii="宋体" w:hAnsi="宋体" w:eastAsia="宋体" w:cs="宋体"/>
          <w:spacing w:val="119"/>
          <w:highlight w:val="none"/>
        </w:rPr>
        <w:t xml:space="preserve"> </w:t>
      </w:r>
      <w:r>
        <w:rPr>
          <w:rFonts w:hint="eastAsia" w:ascii="宋体" w:hAnsi="宋体" w:eastAsia="宋体" w:cs="宋体"/>
          <w:highlight w:val="none"/>
        </w:rPr>
        <w:t>址：</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 xml:space="preserve">电  </w:t>
      </w:r>
      <w:r>
        <w:rPr>
          <w:rFonts w:hint="eastAsia" w:ascii="宋体" w:hAnsi="宋体" w:eastAsia="宋体" w:cs="宋体"/>
          <w:spacing w:val="119"/>
          <w:highlight w:val="none"/>
        </w:rPr>
        <w:t xml:space="preserve"> </w:t>
      </w:r>
      <w:r>
        <w:rPr>
          <w:rFonts w:hint="eastAsia" w:ascii="宋体" w:hAnsi="宋体" w:eastAsia="宋体" w:cs="宋体"/>
          <w:highlight w:val="none"/>
        </w:rPr>
        <w:t>话：</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 xml:space="preserve">传  </w:t>
      </w:r>
      <w:r>
        <w:rPr>
          <w:rFonts w:hint="eastAsia" w:ascii="宋体" w:hAnsi="宋体" w:eastAsia="宋体" w:cs="宋体"/>
          <w:spacing w:val="119"/>
          <w:highlight w:val="none"/>
        </w:rPr>
        <w:t xml:space="preserve"> </w:t>
      </w:r>
      <w:r>
        <w:rPr>
          <w:rFonts w:hint="eastAsia" w:ascii="宋体" w:hAnsi="宋体" w:eastAsia="宋体" w:cs="宋体"/>
          <w:highlight w:val="none"/>
        </w:rPr>
        <w:t>真：</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34"/>
          <w:highlight w:val="none"/>
          <w:u w:val="single"/>
        </w:rPr>
        <w:t xml:space="preserve"> </w:t>
      </w:r>
      <w:r>
        <w:rPr>
          <w:rFonts w:hint="eastAsia" w:ascii="宋体" w:hAnsi="宋体" w:eastAsia="宋体" w:cs="宋体"/>
          <w:spacing w:val="-1"/>
          <w:highlight w:val="none"/>
        </w:rPr>
        <w:t>邮</w:t>
      </w:r>
      <w:r>
        <w:rPr>
          <w:rFonts w:hint="eastAsia" w:ascii="宋体" w:hAnsi="宋体" w:eastAsia="宋体" w:cs="宋体"/>
          <w:highlight w:val="none"/>
        </w:rPr>
        <w:t>政编码：</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p>
    <w:p w14:paraId="60AC9276">
      <w:pPr>
        <w:pStyle w:val="10"/>
        <w:spacing w:before="5"/>
        <w:rPr>
          <w:rFonts w:hint="eastAsia" w:ascii="宋体" w:hAnsi="宋体" w:eastAsia="宋体" w:cs="宋体"/>
          <w:sz w:val="28"/>
          <w:highlight w:val="none"/>
        </w:rPr>
      </w:pPr>
    </w:p>
    <w:p w14:paraId="3A6F03C1">
      <w:pPr>
        <w:pStyle w:val="10"/>
        <w:tabs>
          <w:tab w:val="left" w:pos="5973"/>
          <w:tab w:val="left" w:pos="7053"/>
          <w:tab w:val="left" w:pos="8133"/>
        </w:tabs>
        <w:spacing w:before="74"/>
        <w:ind w:left="4892"/>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431E1DF5">
      <w:pPr>
        <w:pStyle w:val="10"/>
        <w:rPr>
          <w:rFonts w:hint="eastAsia" w:ascii="宋体" w:hAnsi="宋体" w:eastAsia="宋体" w:cs="宋体"/>
          <w:sz w:val="20"/>
          <w:highlight w:val="none"/>
        </w:rPr>
      </w:pPr>
    </w:p>
    <w:p w14:paraId="662732A2">
      <w:pPr>
        <w:pStyle w:val="10"/>
        <w:rPr>
          <w:rFonts w:hint="eastAsia" w:ascii="宋体" w:hAnsi="宋体" w:eastAsia="宋体" w:cs="宋体"/>
          <w:sz w:val="20"/>
          <w:highlight w:val="none"/>
        </w:rPr>
      </w:pPr>
    </w:p>
    <w:p w14:paraId="226D864A">
      <w:pPr>
        <w:pStyle w:val="10"/>
        <w:rPr>
          <w:rFonts w:hint="eastAsia" w:ascii="宋体" w:hAnsi="宋体" w:eastAsia="宋体" w:cs="宋体"/>
          <w:sz w:val="20"/>
          <w:highlight w:val="none"/>
        </w:rPr>
      </w:pPr>
    </w:p>
    <w:p w14:paraId="408292DF">
      <w:pPr>
        <w:pStyle w:val="10"/>
        <w:rPr>
          <w:rFonts w:hint="eastAsia" w:ascii="宋体" w:hAnsi="宋体" w:eastAsia="宋体" w:cs="宋体"/>
          <w:sz w:val="20"/>
          <w:highlight w:val="none"/>
        </w:rPr>
      </w:pPr>
    </w:p>
    <w:p w14:paraId="7A8EB1AA">
      <w:pPr>
        <w:pStyle w:val="10"/>
        <w:rPr>
          <w:rFonts w:hint="eastAsia" w:ascii="宋体" w:hAnsi="宋体" w:eastAsia="宋体" w:cs="宋体"/>
          <w:sz w:val="20"/>
          <w:highlight w:val="none"/>
        </w:rPr>
      </w:pPr>
    </w:p>
    <w:p w14:paraId="7E6D47EC">
      <w:pPr>
        <w:pStyle w:val="10"/>
        <w:rPr>
          <w:rFonts w:hint="eastAsia" w:ascii="宋体" w:hAnsi="宋体" w:eastAsia="宋体" w:cs="宋体"/>
          <w:sz w:val="20"/>
          <w:highlight w:val="none"/>
        </w:rPr>
      </w:pPr>
    </w:p>
    <w:p w14:paraId="4D6FF01F">
      <w:pPr>
        <w:pStyle w:val="10"/>
        <w:rPr>
          <w:rFonts w:hint="eastAsia" w:ascii="宋体" w:hAnsi="宋体" w:eastAsia="宋体" w:cs="宋体"/>
          <w:sz w:val="20"/>
          <w:highlight w:val="none"/>
        </w:rPr>
      </w:pPr>
    </w:p>
    <w:p w14:paraId="2532F77E">
      <w:pPr>
        <w:pStyle w:val="10"/>
        <w:rPr>
          <w:rFonts w:hint="eastAsia" w:ascii="宋体" w:hAnsi="宋体" w:eastAsia="宋体" w:cs="宋体"/>
          <w:sz w:val="20"/>
          <w:highlight w:val="none"/>
        </w:rPr>
      </w:pPr>
    </w:p>
    <w:p w14:paraId="2C3872F1">
      <w:pPr>
        <w:pStyle w:val="10"/>
        <w:rPr>
          <w:rFonts w:hint="eastAsia" w:ascii="宋体" w:hAnsi="宋体" w:eastAsia="宋体" w:cs="宋体"/>
          <w:sz w:val="20"/>
          <w:highlight w:val="none"/>
        </w:rPr>
      </w:pPr>
    </w:p>
    <w:p w14:paraId="1B99C78A">
      <w:pPr>
        <w:pStyle w:val="10"/>
        <w:rPr>
          <w:rFonts w:hint="eastAsia" w:ascii="宋体" w:hAnsi="宋体" w:eastAsia="宋体" w:cs="宋体"/>
          <w:sz w:val="20"/>
          <w:highlight w:val="none"/>
        </w:rPr>
      </w:pPr>
    </w:p>
    <w:p w14:paraId="4D614EDC">
      <w:pPr>
        <w:pStyle w:val="10"/>
        <w:rPr>
          <w:rFonts w:hint="eastAsia" w:ascii="宋体" w:hAnsi="宋体" w:eastAsia="宋体" w:cs="宋体"/>
          <w:sz w:val="20"/>
          <w:highlight w:val="none"/>
        </w:rPr>
      </w:pPr>
    </w:p>
    <w:p w14:paraId="724F6308">
      <w:pPr>
        <w:pStyle w:val="10"/>
        <w:rPr>
          <w:rFonts w:hint="eastAsia" w:ascii="宋体" w:hAnsi="宋体" w:eastAsia="宋体" w:cs="宋体"/>
          <w:sz w:val="20"/>
          <w:highlight w:val="none"/>
        </w:rPr>
      </w:pPr>
    </w:p>
    <w:p w14:paraId="385EF6F9">
      <w:pPr>
        <w:pStyle w:val="10"/>
        <w:rPr>
          <w:rFonts w:hint="eastAsia" w:ascii="宋体" w:hAnsi="宋体" w:eastAsia="宋体" w:cs="宋体"/>
          <w:sz w:val="20"/>
          <w:highlight w:val="none"/>
        </w:rPr>
      </w:pPr>
    </w:p>
    <w:p w14:paraId="6933ED8B">
      <w:pPr>
        <w:pStyle w:val="10"/>
        <w:rPr>
          <w:rFonts w:hint="eastAsia" w:ascii="宋体" w:hAnsi="宋体" w:eastAsia="宋体" w:cs="宋体"/>
          <w:sz w:val="20"/>
          <w:highlight w:val="none"/>
        </w:rPr>
      </w:pPr>
    </w:p>
    <w:p w14:paraId="798D1A85">
      <w:pPr>
        <w:pStyle w:val="28"/>
        <w:rPr>
          <w:rFonts w:hint="eastAsia" w:ascii="宋体" w:hAnsi="宋体" w:eastAsia="宋体" w:cs="宋体"/>
          <w:sz w:val="20"/>
          <w:highlight w:val="none"/>
        </w:rPr>
      </w:pPr>
    </w:p>
    <w:p w14:paraId="59347CF6">
      <w:pPr>
        <w:rPr>
          <w:rFonts w:hint="eastAsia" w:ascii="宋体" w:hAnsi="宋体" w:eastAsia="宋体" w:cs="宋体"/>
          <w:sz w:val="20"/>
          <w:highlight w:val="none"/>
        </w:rPr>
      </w:pPr>
    </w:p>
    <w:p w14:paraId="6A05B3A5">
      <w:pPr>
        <w:pStyle w:val="23"/>
        <w:ind w:firstLine="440"/>
        <w:rPr>
          <w:rFonts w:hint="eastAsia" w:ascii="宋体" w:hAnsi="宋体" w:eastAsia="宋体" w:cs="宋体"/>
          <w:highlight w:val="none"/>
        </w:rPr>
      </w:pPr>
    </w:p>
    <w:p w14:paraId="1FC9AE07">
      <w:pPr>
        <w:pStyle w:val="10"/>
        <w:spacing w:before="10"/>
        <w:rPr>
          <w:rFonts w:hint="eastAsia" w:ascii="宋体" w:hAnsi="宋体" w:eastAsia="宋体" w:cs="宋体"/>
          <w:sz w:val="29"/>
          <w:highlight w:val="none"/>
        </w:rPr>
      </w:pPr>
    </w:p>
    <w:p w14:paraId="6C8FFD7B">
      <w:pPr>
        <w:pStyle w:val="10"/>
        <w:spacing w:before="8"/>
        <w:rPr>
          <w:rFonts w:hint="eastAsia" w:ascii="宋体" w:hAnsi="宋体" w:eastAsia="宋体" w:cs="宋体"/>
          <w:sz w:val="5"/>
          <w:highlight w:val="none"/>
        </w:rPr>
      </w:pPr>
    </w:p>
    <w:p w14:paraId="35033F19">
      <w:pPr>
        <w:pStyle w:val="10"/>
        <w:spacing w:before="3"/>
        <w:rPr>
          <w:rFonts w:hint="eastAsia" w:ascii="宋体" w:hAnsi="宋体" w:eastAsia="宋体" w:cs="宋体"/>
          <w:sz w:val="17"/>
          <w:highlight w:val="none"/>
        </w:rPr>
      </w:pPr>
    </w:p>
    <w:p w14:paraId="5400CD0B">
      <w:pPr>
        <w:spacing w:before="62"/>
        <w:ind w:left="2" w:right="397"/>
        <w:jc w:val="center"/>
        <w:rPr>
          <w:rFonts w:hint="eastAsia" w:ascii="宋体" w:hAnsi="宋体" w:eastAsia="宋体" w:cs="宋体"/>
          <w:sz w:val="28"/>
          <w:highlight w:val="none"/>
        </w:rPr>
      </w:pPr>
      <w:bookmarkStart w:id="113" w:name="_TOC_250001"/>
      <w:bookmarkEnd w:id="113"/>
    </w:p>
    <w:p w14:paraId="76E0C7A4">
      <w:pPr>
        <w:spacing w:before="62"/>
        <w:ind w:left="2" w:right="397"/>
        <w:jc w:val="center"/>
        <w:rPr>
          <w:rFonts w:hint="eastAsia" w:ascii="宋体" w:hAnsi="宋体" w:eastAsia="宋体" w:cs="宋体"/>
          <w:sz w:val="28"/>
          <w:highlight w:val="none"/>
        </w:rPr>
      </w:pPr>
      <w:r>
        <w:rPr>
          <w:rFonts w:hint="eastAsia" w:ascii="宋体" w:hAnsi="宋体" w:eastAsia="宋体" w:cs="宋体"/>
          <w:sz w:val="28"/>
          <w:highlight w:val="none"/>
        </w:rPr>
        <w:t>二、工程量清单</w:t>
      </w:r>
    </w:p>
    <w:p w14:paraId="67DB1734">
      <w:pPr>
        <w:pStyle w:val="10"/>
        <w:spacing w:before="2"/>
        <w:rPr>
          <w:rFonts w:hint="eastAsia" w:ascii="宋体" w:hAnsi="宋体" w:eastAsia="宋体" w:cs="宋体"/>
          <w:sz w:val="36"/>
          <w:highlight w:val="none"/>
        </w:rPr>
      </w:pPr>
    </w:p>
    <w:p w14:paraId="27D35BBC">
      <w:pPr>
        <w:pStyle w:val="10"/>
        <w:ind w:left="633"/>
        <w:rPr>
          <w:rFonts w:hint="eastAsia" w:ascii="宋体" w:hAnsi="宋体" w:eastAsia="宋体" w:cs="宋体"/>
          <w:highlight w:val="none"/>
        </w:rPr>
      </w:pPr>
      <w:r>
        <w:rPr>
          <w:rFonts w:hint="eastAsia" w:ascii="宋体" w:hAnsi="宋体" w:eastAsia="宋体" w:cs="宋体"/>
          <w:highlight w:val="none"/>
        </w:rPr>
        <w:t>按照采购人提供的工程量固化清单填入单价。</w:t>
      </w:r>
    </w:p>
    <w:p w14:paraId="71B2C32B">
      <w:pPr>
        <w:rPr>
          <w:rFonts w:hint="eastAsia" w:ascii="宋体" w:hAnsi="宋体" w:eastAsia="宋体" w:cs="宋体"/>
          <w:highlight w:val="none"/>
        </w:rPr>
        <w:sectPr>
          <w:pgSz w:w="11910" w:h="16840"/>
          <w:pgMar w:top="1220" w:right="920" w:bottom="1040" w:left="1320" w:header="882" w:footer="845" w:gutter="0"/>
          <w:cols w:space="720" w:num="1"/>
        </w:sectPr>
      </w:pPr>
    </w:p>
    <w:p w14:paraId="42BDC835">
      <w:pPr>
        <w:pStyle w:val="10"/>
        <w:spacing w:before="6"/>
        <w:rPr>
          <w:rFonts w:hint="eastAsia" w:ascii="宋体" w:hAnsi="宋体" w:eastAsia="宋体" w:cs="宋体"/>
          <w:sz w:val="16"/>
          <w:highlight w:val="none"/>
        </w:rPr>
      </w:pPr>
    </w:p>
    <w:p w14:paraId="01B6AAC2">
      <w:pPr>
        <w:spacing w:before="62"/>
        <w:ind w:left="35" w:right="199"/>
        <w:jc w:val="center"/>
        <w:rPr>
          <w:rFonts w:hint="eastAsia" w:ascii="宋体" w:hAnsi="宋体" w:eastAsia="宋体" w:cs="宋体"/>
          <w:b/>
          <w:sz w:val="28"/>
          <w:highlight w:val="none"/>
        </w:rPr>
      </w:pPr>
      <w:bookmarkStart w:id="114" w:name="_TOC_250000"/>
      <w:bookmarkEnd w:id="114"/>
      <w:r>
        <w:rPr>
          <w:rFonts w:hint="eastAsia" w:ascii="宋体" w:hAnsi="宋体" w:eastAsia="宋体" w:cs="宋体"/>
          <w:b/>
          <w:sz w:val="28"/>
          <w:highlight w:val="none"/>
        </w:rPr>
        <w:t>三、合同用款估算表</w:t>
      </w:r>
    </w:p>
    <w:p w14:paraId="1A76F7C6">
      <w:pPr>
        <w:pStyle w:val="10"/>
        <w:rPr>
          <w:rFonts w:hint="eastAsia" w:ascii="宋体" w:hAnsi="宋体" w:eastAsia="宋体" w:cs="宋体"/>
          <w:b/>
          <w:sz w:val="20"/>
          <w:highlight w:val="none"/>
        </w:rPr>
      </w:pPr>
    </w:p>
    <w:p w14:paraId="1E47337C">
      <w:pPr>
        <w:pStyle w:val="10"/>
        <w:spacing w:before="11"/>
        <w:rPr>
          <w:rFonts w:hint="eastAsia" w:ascii="宋体" w:hAnsi="宋体" w:eastAsia="宋体" w:cs="宋体"/>
          <w:b/>
          <w:sz w:val="10"/>
          <w:highlight w:val="none"/>
        </w:rPr>
      </w:pPr>
    </w:p>
    <w:tbl>
      <w:tblPr>
        <w:tblStyle w:val="24"/>
        <w:tblW w:w="8844"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8"/>
        <w:gridCol w:w="2025"/>
        <w:gridCol w:w="1547"/>
        <w:gridCol w:w="1548"/>
        <w:gridCol w:w="1548"/>
        <w:gridCol w:w="1548"/>
      </w:tblGrid>
      <w:tr w14:paraId="7F9A9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vMerge w:val="restart"/>
          </w:tcPr>
          <w:p w14:paraId="206D1CFD">
            <w:pPr>
              <w:pStyle w:val="30"/>
              <w:rPr>
                <w:rFonts w:hint="eastAsia" w:ascii="宋体" w:hAnsi="宋体" w:eastAsia="宋体" w:cs="宋体"/>
                <w:b/>
                <w:sz w:val="20"/>
                <w:highlight w:val="none"/>
              </w:rPr>
            </w:pPr>
          </w:p>
          <w:p w14:paraId="54A02321">
            <w:pPr>
              <w:pStyle w:val="30"/>
              <w:spacing w:before="8"/>
              <w:rPr>
                <w:rFonts w:hint="eastAsia" w:ascii="宋体" w:hAnsi="宋体" w:eastAsia="宋体" w:cs="宋体"/>
                <w:b/>
                <w:sz w:val="19"/>
                <w:highlight w:val="none"/>
              </w:rPr>
            </w:pPr>
          </w:p>
          <w:p w14:paraId="65EFC016">
            <w:pPr>
              <w:pStyle w:val="30"/>
              <w:ind w:left="405" w:right="392"/>
              <w:jc w:val="center"/>
              <w:rPr>
                <w:rFonts w:hint="eastAsia" w:ascii="宋体" w:hAnsi="宋体" w:eastAsia="宋体" w:cs="宋体"/>
                <w:sz w:val="20"/>
                <w:highlight w:val="none"/>
              </w:rPr>
            </w:pPr>
            <w:r>
              <w:rPr>
                <w:rFonts w:hint="eastAsia" w:ascii="宋体" w:hAnsi="宋体" w:eastAsia="宋体" w:cs="宋体"/>
                <w:sz w:val="20"/>
                <w:highlight w:val="none"/>
              </w:rPr>
              <w:t>从开工月算起的时间</w:t>
            </w:r>
          </w:p>
          <w:p w14:paraId="2E2659B3">
            <w:pPr>
              <w:pStyle w:val="30"/>
              <w:rPr>
                <w:rFonts w:hint="eastAsia" w:ascii="宋体" w:hAnsi="宋体" w:eastAsia="宋体" w:cs="宋体"/>
                <w:b/>
                <w:sz w:val="16"/>
                <w:highlight w:val="none"/>
              </w:rPr>
            </w:pPr>
          </w:p>
          <w:p w14:paraId="64583E41">
            <w:pPr>
              <w:pStyle w:val="30"/>
              <w:ind w:left="405" w:right="392"/>
              <w:jc w:val="center"/>
              <w:rPr>
                <w:rFonts w:hint="eastAsia" w:ascii="宋体" w:hAnsi="宋体" w:eastAsia="宋体" w:cs="宋体"/>
                <w:sz w:val="20"/>
                <w:highlight w:val="none"/>
              </w:rPr>
            </w:pPr>
            <w:r>
              <w:rPr>
                <w:rFonts w:hint="eastAsia" w:ascii="宋体" w:hAnsi="宋体" w:eastAsia="宋体" w:cs="宋体"/>
                <w:sz w:val="20"/>
                <w:highlight w:val="none"/>
              </w:rPr>
              <w:t>（月）</w:t>
            </w:r>
          </w:p>
        </w:tc>
        <w:tc>
          <w:tcPr>
            <w:tcW w:w="6191" w:type="dxa"/>
            <w:gridSpan w:val="4"/>
          </w:tcPr>
          <w:p w14:paraId="0550BB63">
            <w:pPr>
              <w:pStyle w:val="30"/>
              <w:spacing w:before="11"/>
              <w:rPr>
                <w:rFonts w:hint="eastAsia" w:ascii="宋体" w:hAnsi="宋体" w:eastAsia="宋体" w:cs="宋体"/>
                <w:b/>
                <w:sz w:val="15"/>
                <w:highlight w:val="none"/>
              </w:rPr>
            </w:pPr>
          </w:p>
          <w:p w14:paraId="161C9A40">
            <w:pPr>
              <w:pStyle w:val="30"/>
              <w:ind w:left="2557" w:right="2379"/>
              <w:jc w:val="center"/>
              <w:rPr>
                <w:rFonts w:hint="eastAsia" w:ascii="宋体" w:hAnsi="宋体" w:eastAsia="宋体" w:cs="宋体"/>
                <w:sz w:val="20"/>
                <w:highlight w:val="none"/>
              </w:rPr>
            </w:pPr>
            <w:r>
              <w:rPr>
                <w:rFonts w:hint="eastAsia" w:ascii="宋体" w:hAnsi="宋体" w:eastAsia="宋体" w:cs="宋体"/>
                <w:sz w:val="20"/>
                <w:highlight w:val="none"/>
              </w:rPr>
              <w:t>投标人的估算</w:t>
            </w:r>
          </w:p>
        </w:tc>
      </w:tr>
      <w:tr w14:paraId="12236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vMerge w:val="continue"/>
            <w:tcBorders>
              <w:top w:val="nil"/>
            </w:tcBorders>
          </w:tcPr>
          <w:p w14:paraId="68996694">
            <w:pPr>
              <w:rPr>
                <w:rFonts w:hint="eastAsia" w:ascii="宋体" w:hAnsi="宋体" w:eastAsia="宋体" w:cs="宋体"/>
                <w:sz w:val="2"/>
                <w:szCs w:val="2"/>
                <w:highlight w:val="none"/>
              </w:rPr>
            </w:pPr>
          </w:p>
        </w:tc>
        <w:tc>
          <w:tcPr>
            <w:tcW w:w="3095" w:type="dxa"/>
            <w:gridSpan w:val="2"/>
          </w:tcPr>
          <w:p w14:paraId="18565CE5">
            <w:pPr>
              <w:pStyle w:val="30"/>
              <w:spacing w:before="11"/>
              <w:rPr>
                <w:rFonts w:hint="eastAsia" w:ascii="宋体" w:hAnsi="宋体" w:eastAsia="宋体" w:cs="宋体"/>
                <w:b/>
                <w:sz w:val="15"/>
                <w:highlight w:val="none"/>
              </w:rPr>
            </w:pPr>
          </w:p>
          <w:p w14:paraId="4DAC42F0">
            <w:pPr>
              <w:pStyle w:val="30"/>
              <w:tabs>
                <w:tab w:val="left" w:pos="713"/>
              </w:tabs>
              <w:ind w:left="13"/>
              <w:jc w:val="center"/>
              <w:rPr>
                <w:rFonts w:hint="eastAsia" w:ascii="宋体" w:hAnsi="宋体" w:eastAsia="宋体" w:cs="宋体"/>
                <w:sz w:val="20"/>
                <w:highlight w:val="none"/>
              </w:rPr>
            </w:pPr>
            <w:r>
              <w:rPr>
                <w:rFonts w:hint="eastAsia" w:ascii="宋体" w:hAnsi="宋体" w:eastAsia="宋体" w:cs="宋体"/>
                <w:sz w:val="20"/>
                <w:highlight w:val="none"/>
              </w:rPr>
              <w:t>分</w:t>
            </w:r>
            <w:r>
              <w:rPr>
                <w:rFonts w:hint="eastAsia" w:ascii="宋体" w:hAnsi="宋体" w:eastAsia="宋体" w:cs="宋体"/>
                <w:sz w:val="20"/>
                <w:highlight w:val="none"/>
              </w:rPr>
              <w:tab/>
            </w:r>
            <w:r>
              <w:rPr>
                <w:rFonts w:hint="eastAsia" w:ascii="宋体" w:hAnsi="宋体" w:eastAsia="宋体" w:cs="宋体"/>
                <w:sz w:val="20"/>
                <w:highlight w:val="none"/>
              </w:rPr>
              <w:t>期</w:t>
            </w:r>
          </w:p>
        </w:tc>
        <w:tc>
          <w:tcPr>
            <w:tcW w:w="3096" w:type="dxa"/>
            <w:gridSpan w:val="2"/>
          </w:tcPr>
          <w:p w14:paraId="29056799">
            <w:pPr>
              <w:pStyle w:val="30"/>
              <w:spacing w:before="11"/>
              <w:rPr>
                <w:rFonts w:hint="eastAsia" w:ascii="宋体" w:hAnsi="宋体" w:eastAsia="宋体" w:cs="宋体"/>
                <w:b/>
                <w:sz w:val="15"/>
                <w:highlight w:val="none"/>
              </w:rPr>
            </w:pPr>
          </w:p>
          <w:p w14:paraId="1A6B2983">
            <w:pPr>
              <w:pStyle w:val="30"/>
              <w:tabs>
                <w:tab w:val="left" w:pos="714"/>
              </w:tabs>
              <w:ind w:left="14"/>
              <w:jc w:val="center"/>
              <w:rPr>
                <w:rFonts w:hint="eastAsia" w:ascii="宋体" w:hAnsi="宋体" w:eastAsia="宋体" w:cs="宋体"/>
                <w:sz w:val="20"/>
                <w:highlight w:val="none"/>
              </w:rPr>
            </w:pPr>
            <w:r>
              <w:rPr>
                <w:rFonts w:hint="eastAsia" w:ascii="宋体" w:hAnsi="宋体" w:eastAsia="宋体" w:cs="宋体"/>
                <w:sz w:val="20"/>
                <w:highlight w:val="none"/>
              </w:rPr>
              <w:t>累</w:t>
            </w:r>
            <w:r>
              <w:rPr>
                <w:rFonts w:hint="eastAsia" w:ascii="宋体" w:hAnsi="宋体" w:eastAsia="宋体" w:cs="宋体"/>
                <w:sz w:val="20"/>
                <w:highlight w:val="none"/>
              </w:rPr>
              <w:tab/>
            </w:r>
            <w:r>
              <w:rPr>
                <w:rFonts w:hint="eastAsia" w:ascii="宋体" w:hAnsi="宋体" w:eastAsia="宋体" w:cs="宋体"/>
                <w:sz w:val="20"/>
                <w:highlight w:val="none"/>
              </w:rPr>
              <w:t>计</w:t>
            </w:r>
          </w:p>
        </w:tc>
      </w:tr>
      <w:tr w14:paraId="74E70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vMerge w:val="continue"/>
            <w:tcBorders>
              <w:top w:val="nil"/>
            </w:tcBorders>
          </w:tcPr>
          <w:p w14:paraId="7477DA6C">
            <w:pPr>
              <w:rPr>
                <w:rFonts w:hint="eastAsia" w:ascii="宋体" w:hAnsi="宋体" w:eastAsia="宋体" w:cs="宋体"/>
                <w:sz w:val="2"/>
                <w:szCs w:val="2"/>
                <w:highlight w:val="none"/>
              </w:rPr>
            </w:pPr>
          </w:p>
        </w:tc>
        <w:tc>
          <w:tcPr>
            <w:tcW w:w="1547" w:type="dxa"/>
          </w:tcPr>
          <w:p w14:paraId="530CD39C">
            <w:pPr>
              <w:pStyle w:val="30"/>
              <w:spacing w:before="11"/>
              <w:rPr>
                <w:rFonts w:hint="eastAsia" w:ascii="宋体" w:hAnsi="宋体" w:eastAsia="宋体" w:cs="宋体"/>
                <w:b/>
                <w:sz w:val="15"/>
                <w:highlight w:val="none"/>
              </w:rPr>
            </w:pPr>
          </w:p>
          <w:p w14:paraId="3128EA41">
            <w:pPr>
              <w:pStyle w:val="30"/>
              <w:ind w:left="273"/>
              <w:rPr>
                <w:rFonts w:hint="eastAsia" w:ascii="宋体" w:hAnsi="宋体" w:eastAsia="宋体" w:cs="宋体"/>
                <w:sz w:val="20"/>
                <w:highlight w:val="none"/>
              </w:rPr>
            </w:pPr>
            <w:r>
              <w:rPr>
                <w:rFonts w:hint="eastAsia" w:ascii="宋体" w:hAnsi="宋体" w:eastAsia="宋体" w:cs="宋体"/>
                <w:sz w:val="20"/>
                <w:highlight w:val="none"/>
              </w:rPr>
              <w:t>金额（元）</w:t>
            </w:r>
          </w:p>
        </w:tc>
        <w:tc>
          <w:tcPr>
            <w:tcW w:w="1548" w:type="dxa"/>
          </w:tcPr>
          <w:p w14:paraId="2A8D42AF">
            <w:pPr>
              <w:pStyle w:val="30"/>
              <w:spacing w:before="11"/>
              <w:rPr>
                <w:rFonts w:hint="eastAsia" w:ascii="宋体" w:hAnsi="宋体" w:eastAsia="宋体" w:cs="宋体"/>
                <w:b/>
                <w:sz w:val="15"/>
                <w:highlight w:val="none"/>
              </w:rPr>
            </w:pPr>
          </w:p>
          <w:p w14:paraId="4C5CEA68">
            <w:pPr>
              <w:pStyle w:val="30"/>
              <w:ind w:left="470" w:right="456"/>
              <w:jc w:val="center"/>
              <w:rPr>
                <w:rFonts w:hint="eastAsia" w:ascii="宋体" w:hAnsi="宋体" w:eastAsia="宋体" w:cs="宋体"/>
                <w:sz w:val="20"/>
                <w:highlight w:val="none"/>
              </w:rPr>
            </w:pPr>
            <w:r>
              <w:rPr>
                <w:rFonts w:hint="eastAsia" w:ascii="宋体" w:hAnsi="宋体" w:eastAsia="宋体" w:cs="宋体"/>
                <w:sz w:val="20"/>
                <w:highlight w:val="none"/>
              </w:rPr>
              <w:t>（%）</w:t>
            </w:r>
          </w:p>
        </w:tc>
        <w:tc>
          <w:tcPr>
            <w:tcW w:w="1548" w:type="dxa"/>
          </w:tcPr>
          <w:p w14:paraId="429CCE5D">
            <w:pPr>
              <w:pStyle w:val="30"/>
              <w:spacing w:before="11"/>
              <w:rPr>
                <w:rFonts w:hint="eastAsia" w:ascii="宋体" w:hAnsi="宋体" w:eastAsia="宋体" w:cs="宋体"/>
                <w:b/>
                <w:sz w:val="15"/>
                <w:highlight w:val="none"/>
              </w:rPr>
            </w:pPr>
          </w:p>
          <w:p w14:paraId="2840BD78">
            <w:pPr>
              <w:pStyle w:val="30"/>
              <w:ind w:left="274"/>
              <w:rPr>
                <w:rFonts w:hint="eastAsia" w:ascii="宋体" w:hAnsi="宋体" w:eastAsia="宋体" w:cs="宋体"/>
                <w:sz w:val="20"/>
                <w:highlight w:val="none"/>
              </w:rPr>
            </w:pPr>
            <w:r>
              <w:rPr>
                <w:rFonts w:hint="eastAsia" w:ascii="宋体" w:hAnsi="宋体" w:eastAsia="宋体" w:cs="宋体"/>
                <w:sz w:val="20"/>
                <w:highlight w:val="none"/>
              </w:rPr>
              <w:t>金额（元）</w:t>
            </w:r>
          </w:p>
        </w:tc>
        <w:tc>
          <w:tcPr>
            <w:tcW w:w="1548" w:type="dxa"/>
          </w:tcPr>
          <w:p w14:paraId="428FD422">
            <w:pPr>
              <w:pStyle w:val="30"/>
              <w:spacing w:before="11"/>
              <w:rPr>
                <w:rFonts w:hint="eastAsia" w:ascii="宋体" w:hAnsi="宋体" w:eastAsia="宋体" w:cs="宋体"/>
                <w:b/>
                <w:sz w:val="15"/>
                <w:highlight w:val="none"/>
              </w:rPr>
            </w:pPr>
          </w:p>
          <w:p w14:paraId="763A48EF">
            <w:pPr>
              <w:pStyle w:val="30"/>
              <w:ind w:left="490"/>
              <w:rPr>
                <w:rFonts w:hint="eastAsia" w:ascii="宋体" w:hAnsi="宋体" w:eastAsia="宋体" w:cs="宋体"/>
                <w:sz w:val="20"/>
                <w:highlight w:val="none"/>
              </w:rPr>
            </w:pPr>
            <w:r>
              <w:rPr>
                <w:rFonts w:hint="eastAsia" w:ascii="宋体" w:hAnsi="宋体" w:eastAsia="宋体" w:cs="宋体"/>
                <w:sz w:val="20"/>
                <w:highlight w:val="none"/>
              </w:rPr>
              <w:t>（%）</w:t>
            </w:r>
          </w:p>
        </w:tc>
      </w:tr>
      <w:tr w14:paraId="2CE98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14:paraId="4375A89A">
            <w:pPr>
              <w:pStyle w:val="30"/>
              <w:spacing w:before="11"/>
              <w:rPr>
                <w:rFonts w:hint="eastAsia" w:ascii="宋体" w:hAnsi="宋体" w:eastAsia="宋体" w:cs="宋体"/>
                <w:b/>
                <w:sz w:val="15"/>
                <w:highlight w:val="none"/>
              </w:rPr>
            </w:pPr>
          </w:p>
          <w:p w14:paraId="4B5B9A28">
            <w:pPr>
              <w:pStyle w:val="30"/>
              <w:spacing w:before="1"/>
              <w:ind w:left="526"/>
              <w:rPr>
                <w:rFonts w:hint="eastAsia" w:ascii="宋体" w:hAnsi="宋体" w:eastAsia="宋体" w:cs="宋体"/>
                <w:sz w:val="20"/>
                <w:highlight w:val="none"/>
              </w:rPr>
            </w:pPr>
            <w:r>
              <w:rPr>
                <w:rFonts w:hint="eastAsia" w:ascii="宋体" w:hAnsi="宋体" w:eastAsia="宋体" w:cs="宋体"/>
                <w:sz w:val="20"/>
                <w:highlight w:val="none"/>
              </w:rPr>
              <w:t>第一次开工预付款</w:t>
            </w:r>
          </w:p>
        </w:tc>
        <w:tc>
          <w:tcPr>
            <w:tcW w:w="1547" w:type="dxa"/>
          </w:tcPr>
          <w:p w14:paraId="17594DC3">
            <w:pPr>
              <w:pStyle w:val="30"/>
              <w:rPr>
                <w:rFonts w:hint="eastAsia" w:ascii="宋体" w:hAnsi="宋体" w:eastAsia="宋体" w:cs="宋体"/>
                <w:sz w:val="20"/>
                <w:highlight w:val="none"/>
              </w:rPr>
            </w:pPr>
          </w:p>
        </w:tc>
        <w:tc>
          <w:tcPr>
            <w:tcW w:w="1548" w:type="dxa"/>
          </w:tcPr>
          <w:p w14:paraId="0D9D84E2">
            <w:pPr>
              <w:pStyle w:val="30"/>
              <w:rPr>
                <w:rFonts w:hint="eastAsia" w:ascii="宋体" w:hAnsi="宋体" w:eastAsia="宋体" w:cs="宋体"/>
                <w:sz w:val="20"/>
                <w:highlight w:val="none"/>
              </w:rPr>
            </w:pPr>
          </w:p>
        </w:tc>
        <w:tc>
          <w:tcPr>
            <w:tcW w:w="1548" w:type="dxa"/>
          </w:tcPr>
          <w:p w14:paraId="22145880">
            <w:pPr>
              <w:pStyle w:val="30"/>
              <w:rPr>
                <w:rFonts w:hint="eastAsia" w:ascii="宋体" w:hAnsi="宋体" w:eastAsia="宋体" w:cs="宋体"/>
                <w:sz w:val="20"/>
                <w:highlight w:val="none"/>
              </w:rPr>
            </w:pPr>
          </w:p>
        </w:tc>
        <w:tc>
          <w:tcPr>
            <w:tcW w:w="1548" w:type="dxa"/>
          </w:tcPr>
          <w:p w14:paraId="0749D43E">
            <w:pPr>
              <w:pStyle w:val="30"/>
              <w:rPr>
                <w:rFonts w:hint="eastAsia" w:ascii="宋体" w:hAnsi="宋体" w:eastAsia="宋体" w:cs="宋体"/>
                <w:sz w:val="20"/>
                <w:highlight w:val="none"/>
              </w:rPr>
            </w:pPr>
          </w:p>
        </w:tc>
      </w:tr>
      <w:tr w14:paraId="21043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14:paraId="0E761015">
            <w:pPr>
              <w:pStyle w:val="30"/>
              <w:spacing w:before="11"/>
              <w:rPr>
                <w:rFonts w:hint="eastAsia" w:ascii="宋体" w:hAnsi="宋体" w:eastAsia="宋体" w:cs="宋体"/>
                <w:b/>
                <w:sz w:val="17"/>
                <w:highlight w:val="none"/>
              </w:rPr>
            </w:pPr>
          </w:p>
          <w:p w14:paraId="7956C98C">
            <w:pPr>
              <w:pStyle w:val="30"/>
              <w:ind w:left="404" w:right="392"/>
              <w:jc w:val="center"/>
              <w:rPr>
                <w:rFonts w:hint="eastAsia" w:ascii="宋体" w:hAnsi="宋体" w:eastAsia="宋体" w:cs="宋体"/>
                <w:sz w:val="20"/>
                <w:highlight w:val="none"/>
              </w:rPr>
            </w:pPr>
            <w:r>
              <w:rPr>
                <w:rFonts w:hint="eastAsia" w:ascii="宋体" w:hAnsi="宋体" w:eastAsia="宋体" w:cs="宋体"/>
                <w:sz w:val="20"/>
                <w:highlight w:val="none"/>
              </w:rPr>
              <w:t>1 ~ 3</w:t>
            </w:r>
          </w:p>
        </w:tc>
        <w:tc>
          <w:tcPr>
            <w:tcW w:w="1547" w:type="dxa"/>
          </w:tcPr>
          <w:p w14:paraId="5F9D8A6D">
            <w:pPr>
              <w:pStyle w:val="30"/>
              <w:rPr>
                <w:rFonts w:hint="eastAsia" w:ascii="宋体" w:hAnsi="宋体" w:eastAsia="宋体" w:cs="宋体"/>
                <w:sz w:val="20"/>
                <w:highlight w:val="none"/>
              </w:rPr>
            </w:pPr>
          </w:p>
        </w:tc>
        <w:tc>
          <w:tcPr>
            <w:tcW w:w="1548" w:type="dxa"/>
          </w:tcPr>
          <w:p w14:paraId="50CA27C1">
            <w:pPr>
              <w:pStyle w:val="30"/>
              <w:rPr>
                <w:rFonts w:hint="eastAsia" w:ascii="宋体" w:hAnsi="宋体" w:eastAsia="宋体" w:cs="宋体"/>
                <w:sz w:val="20"/>
                <w:highlight w:val="none"/>
              </w:rPr>
            </w:pPr>
          </w:p>
        </w:tc>
        <w:tc>
          <w:tcPr>
            <w:tcW w:w="1548" w:type="dxa"/>
          </w:tcPr>
          <w:p w14:paraId="10E84043">
            <w:pPr>
              <w:pStyle w:val="30"/>
              <w:rPr>
                <w:rFonts w:hint="eastAsia" w:ascii="宋体" w:hAnsi="宋体" w:eastAsia="宋体" w:cs="宋体"/>
                <w:sz w:val="20"/>
                <w:highlight w:val="none"/>
              </w:rPr>
            </w:pPr>
          </w:p>
        </w:tc>
        <w:tc>
          <w:tcPr>
            <w:tcW w:w="1548" w:type="dxa"/>
          </w:tcPr>
          <w:p w14:paraId="6A4BFC47">
            <w:pPr>
              <w:pStyle w:val="30"/>
              <w:rPr>
                <w:rFonts w:hint="eastAsia" w:ascii="宋体" w:hAnsi="宋体" w:eastAsia="宋体" w:cs="宋体"/>
                <w:sz w:val="20"/>
                <w:highlight w:val="none"/>
              </w:rPr>
            </w:pPr>
          </w:p>
        </w:tc>
      </w:tr>
      <w:tr w14:paraId="16A49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14:paraId="24522936">
            <w:pPr>
              <w:pStyle w:val="30"/>
              <w:spacing w:before="11"/>
              <w:rPr>
                <w:rFonts w:hint="eastAsia" w:ascii="宋体" w:hAnsi="宋体" w:eastAsia="宋体" w:cs="宋体"/>
                <w:b/>
                <w:sz w:val="17"/>
                <w:highlight w:val="none"/>
              </w:rPr>
            </w:pPr>
          </w:p>
          <w:p w14:paraId="7BBB5112">
            <w:pPr>
              <w:pStyle w:val="30"/>
              <w:spacing w:before="1"/>
              <w:ind w:left="404" w:right="392"/>
              <w:jc w:val="center"/>
              <w:rPr>
                <w:rFonts w:hint="eastAsia" w:ascii="宋体" w:hAnsi="宋体" w:eastAsia="宋体" w:cs="宋体"/>
                <w:sz w:val="20"/>
                <w:highlight w:val="none"/>
              </w:rPr>
            </w:pPr>
            <w:r>
              <w:rPr>
                <w:rFonts w:hint="eastAsia" w:ascii="宋体" w:hAnsi="宋体" w:eastAsia="宋体" w:cs="宋体"/>
                <w:sz w:val="20"/>
                <w:highlight w:val="none"/>
              </w:rPr>
              <w:t>4 ~ 6</w:t>
            </w:r>
          </w:p>
        </w:tc>
        <w:tc>
          <w:tcPr>
            <w:tcW w:w="1547" w:type="dxa"/>
          </w:tcPr>
          <w:p w14:paraId="41C5818E">
            <w:pPr>
              <w:pStyle w:val="30"/>
              <w:rPr>
                <w:rFonts w:hint="eastAsia" w:ascii="宋体" w:hAnsi="宋体" w:eastAsia="宋体" w:cs="宋体"/>
                <w:sz w:val="20"/>
                <w:highlight w:val="none"/>
              </w:rPr>
            </w:pPr>
          </w:p>
        </w:tc>
        <w:tc>
          <w:tcPr>
            <w:tcW w:w="1548" w:type="dxa"/>
          </w:tcPr>
          <w:p w14:paraId="202D7FF8">
            <w:pPr>
              <w:pStyle w:val="30"/>
              <w:rPr>
                <w:rFonts w:hint="eastAsia" w:ascii="宋体" w:hAnsi="宋体" w:eastAsia="宋体" w:cs="宋体"/>
                <w:sz w:val="20"/>
                <w:highlight w:val="none"/>
              </w:rPr>
            </w:pPr>
          </w:p>
        </w:tc>
        <w:tc>
          <w:tcPr>
            <w:tcW w:w="1548" w:type="dxa"/>
          </w:tcPr>
          <w:p w14:paraId="7EA1CA79">
            <w:pPr>
              <w:pStyle w:val="30"/>
              <w:rPr>
                <w:rFonts w:hint="eastAsia" w:ascii="宋体" w:hAnsi="宋体" w:eastAsia="宋体" w:cs="宋体"/>
                <w:sz w:val="20"/>
                <w:highlight w:val="none"/>
              </w:rPr>
            </w:pPr>
          </w:p>
        </w:tc>
        <w:tc>
          <w:tcPr>
            <w:tcW w:w="1548" w:type="dxa"/>
          </w:tcPr>
          <w:p w14:paraId="083D43BB">
            <w:pPr>
              <w:pStyle w:val="30"/>
              <w:rPr>
                <w:rFonts w:hint="eastAsia" w:ascii="宋体" w:hAnsi="宋体" w:eastAsia="宋体" w:cs="宋体"/>
                <w:sz w:val="20"/>
                <w:highlight w:val="none"/>
              </w:rPr>
            </w:pPr>
          </w:p>
        </w:tc>
      </w:tr>
      <w:tr w14:paraId="78AD0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14:paraId="3E165834">
            <w:pPr>
              <w:pStyle w:val="30"/>
              <w:spacing w:before="12"/>
              <w:rPr>
                <w:rFonts w:hint="eastAsia" w:ascii="宋体" w:hAnsi="宋体" w:eastAsia="宋体" w:cs="宋体"/>
                <w:b/>
                <w:sz w:val="17"/>
                <w:highlight w:val="none"/>
              </w:rPr>
            </w:pPr>
          </w:p>
          <w:p w14:paraId="77C041BA">
            <w:pPr>
              <w:pStyle w:val="30"/>
              <w:ind w:left="404" w:right="392"/>
              <w:jc w:val="center"/>
              <w:rPr>
                <w:rFonts w:hint="eastAsia" w:ascii="宋体" w:hAnsi="宋体" w:eastAsia="宋体" w:cs="宋体"/>
                <w:sz w:val="20"/>
                <w:highlight w:val="none"/>
              </w:rPr>
            </w:pPr>
            <w:r>
              <w:rPr>
                <w:rFonts w:hint="eastAsia" w:ascii="宋体" w:hAnsi="宋体" w:eastAsia="宋体" w:cs="宋体"/>
                <w:sz w:val="20"/>
                <w:highlight w:val="none"/>
              </w:rPr>
              <w:t>7 ~ 9</w:t>
            </w:r>
          </w:p>
        </w:tc>
        <w:tc>
          <w:tcPr>
            <w:tcW w:w="1547" w:type="dxa"/>
          </w:tcPr>
          <w:p w14:paraId="36CDC3A8">
            <w:pPr>
              <w:pStyle w:val="30"/>
              <w:rPr>
                <w:rFonts w:hint="eastAsia" w:ascii="宋体" w:hAnsi="宋体" w:eastAsia="宋体" w:cs="宋体"/>
                <w:sz w:val="20"/>
                <w:highlight w:val="none"/>
              </w:rPr>
            </w:pPr>
          </w:p>
        </w:tc>
        <w:tc>
          <w:tcPr>
            <w:tcW w:w="1548" w:type="dxa"/>
          </w:tcPr>
          <w:p w14:paraId="6CA0B57B">
            <w:pPr>
              <w:pStyle w:val="30"/>
              <w:rPr>
                <w:rFonts w:hint="eastAsia" w:ascii="宋体" w:hAnsi="宋体" w:eastAsia="宋体" w:cs="宋体"/>
                <w:sz w:val="20"/>
                <w:highlight w:val="none"/>
              </w:rPr>
            </w:pPr>
          </w:p>
        </w:tc>
        <w:tc>
          <w:tcPr>
            <w:tcW w:w="1548" w:type="dxa"/>
          </w:tcPr>
          <w:p w14:paraId="1E908909">
            <w:pPr>
              <w:pStyle w:val="30"/>
              <w:rPr>
                <w:rFonts w:hint="eastAsia" w:ascii="宋体" w:hAnsi="宋体" w:eastAsia="宋体" w:cs="宋体"/>
                <w:sz w:val="20"/>
                <w:highlight w:val="none"/>
              </w:rPr>
            </w:pPr>
          </w:p>
        </w:tc>
        <w:tc>
          <w:tcPr>
            <w:tcW w:w="1548" w:type="dxa"/>
          </w:tcPr>
          <w:p w14:paraId="0690E858">
            <w:pPr>
              <w:pStyle w:val="30"/>
              <w:rPr>
                <w:rFonts w:hint="eastAsia" w:ascii="宋体" w:hAnsi="宋体" w:eastAsia="宋体" w:cs="宋体"/>
                <w:sz w:val="20"/>
                <w:highlight w:val="none"/>
              </w:rPr>
            </w:pPr>
          </w:p>
        </w:tc>
      </w:tr>
      <w:tr w14:paraId="18AE2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14:paraId="5E535EBC">
            <w:pPr>
              <w:pStyle w:val="30"/>
              <w:spacing w:before="12"/>
              <w:rPr>
                <w:rFonts w:hint="eastAsia" w:ascii="宋体" w:hAnsi="宋体" w:eastAsia="宋体" w:cs="宋体"/>
                <w:b/>
                <w:sz w:val="17"/>
                <w:highlight w:val="none"/>
              </w:rPr>
            </w:pPr>
          </w:p>
          <w:p w14:paraId="26DA1247">
            <w:pPr>
              <w:pStyle w:val="30"/>
              <w:ind w:left="404" w:right="392"/>
              <w:jc w:val="center"/>
              <w:rPr>
                <w:rFonts w:hint="eastAsia" w:ascii="宋体" w:hAnsi="宋体" w:eastAsia="宋体" w:cs="宋体"/>
                <w:sz w:val="20"/>
                <w:highlight w:val="none"/>
              </w:rPr>
            </w:pPr>
            <w:r>
              <w:rPr>
                <w:rFonts w:hint="eastAsia" w:ascii="宋体" w:hAnsi="宋体" w:eastAsia="宋体" w:cs="宋体"/>
                <w:sz w:val="20"/>
                <w:highlight w:val="none"/>
              </w:rPr>
              <w:t>10 ~ 12</w:t>
            </w:r>
          </w:p>
        </w:tc>
        <w:tc>
          <w:tcPr>
            <w:tcW w:w="1547" w:type="dxa"/>
          </w:tcPr>
          <w:p w14:paraId="19907E5F">
            <w:pPr>
              <w:pStyle w:val="30"/>
              <w:rPr>
                <w:rFonts w:hint="eastAsia" w:ascii="宋体" w:hAnsi="宋体" w:eastAsia="宋体" w:cs="宋体"/>
                <w:sz w:val="20"/>
                <w:highlight w:val="none"/>
              </w:rPr>
            </w:pPr>
          </w:p>
        </w:tc>
        <w:tc>
          <w:tcPr>
            <w:tcW w:w="1548" w:type="dxa"/>
          </w:tcPr>
          <w:p w14:paraId="33283CFA">
            <w:pPr>
              <w:pStyle w:val="30"/>
              <w:rPr>
                <w:rFonts w:hint="eastAsia" w:ascii="宋体" w:hAnsi="宋体" w:eastAsia="宋体" w:cs="宋体"/>
                <w:sz w:val="20"/>
                <w:highlight w:val="none"/>
              </w:rPr>
            </w:pPr>
          </w:p>
        </w:tc>
        <w:tc>
          <w:tcPr>
            <w:tcW w:w="1548" w:type="dxa"/>
          </w:tcPr>
          <w:p w14:paraId="5F3B47FD">
            <w:pPr>
              <w:pStyle w:val="30"/>
              <w:rPr>
                <w:rFonts w:hint="eastAsia" w:ascii="宋体" w:hAnsi="宋体" w:eastAsia="宋体" w:cs="宋体"/>
                <w:sz w:val="20"/>
                <w:highlight w:val="none"/>
              </w:rPr>
            </w:pPr>
          </w:p>
        </w:tc>
        <w:tc>
          <w:tcPr>
            <w:tcW w:w="1548" w:type="dxa"/>
          </w:tcPr>
          <w:p w14:paraId="3502372F">
            <w:pPr>
              <w:pStyle w:val="30"/>
              <w:rPr>
                <w:rFonts w:hint="eastAsia" w:ascii="宋体" w:hAnsi="宋体" w:eastAsia="宋体" w:cs="宋体"/>
                <w:sz w:val="20"/>
                <w:highlight w:val="none"/>
              </w:rPr>
            </w:pPr>
          </w:p>
        </w:tc>
      </w:tr>
      <w:tr w14:paraId="769DA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653" w:type="dxa"/>
            <w:gridSpan w:val="2"/>
          </w:tcPr>
          <w:p w14:paraId="5441761F">
            <w:pPr>
              <w:pStyle w:val="30"/>
              <w:spacing w:before="12"/>
              <w:rPr>
                <w:rFonts w:hint="eastAsia" w:ascii="宋体" w:hAnsi="宋体" w:eastAsia="宋体" w:cs="宋体"/>
                <w:b/>
                <w:sz w:val="17"/>
                <w:highlight w:val="none"/>
              </w:rPr>
            </w:pPr>
          </w:p>
          <w:p w14:paraId="1E648733">
            <w:pPr>
              <w:pStyle w:val="30"/>
              <w:ind w:left="404" w:right="392"/>
              <w:jc w:val="center"/>
              <w:rPr>
                <w:rFonts w:hint="eastAsia" w:ascii="宋体" w:hAnsi="宋体" w:eastAsia="宋体" w:cs="宋体"/>
                <w:sz w:val="20"/>
                <w:highlight w:val="none"/>
              </w:rPr>
            </w:pPr>
            <w:r>
              <w:rPr>
                <w:rFonts w:hint="eastAsia" w:ascii="宋体" w:hAnsi="宋体" w:eastAsia="宋体" w:cs="宋体"/>
                <w:sz w:val="20"/>
                <w:highlight w:val="none"/>
              </w:rPr>
              <w:t>13 ~ 15</w:t>
            </w:r>
          </w:p>
        </w:tc>
        <w:tc>
          <w:tcPr>
            <w:tcW w:w="1547" w:type="dxa"/>
          </w:tcPr>
          <w:p w14:paraId="3F4E9DCF">
            <w:pPr>
              <w:pStyle w:val="30"/>
              <w:rPr>
                <w:rFonts w:hint="eastAsia" w:ascii="宋体" w:hAnsi="宋体" w:eastAsia="宋体" w:cs="宋体"/>
                <w:sz w:val="20"/>
                <w:highlight w:val="none"/>
              </w:rPr>
            </w:pPr>
          </w:p>
        </w:tc>
        <w:tc>
          <w:tcPr>
            <w:tcW w:w="1548" w:type="dxa"/>
          </w:tcPr>
          <w:p w14:paraId="6523DD05">
            <w:pPr>
              <w:pStyle w:val="30"/>
              <w:rPr>
                <w:rFonts w:hint="eastAsia" w:ascii="宋体" w:hAnsi="宋体" w:eastAsia="宋体" w:cs="宋体"/>
                <w:sz w:val="20"/>
                <w:highlight w:val="none"/>
              </w:rPr>
            </w:pPr>
          </w:p>
        </w:tc>
        <w:tc>
          <w:tcPr>
            <w:tcW w:w="1548" w:type="dxa"/>
          </w:tcPr>
          <w:p w14:paraId="2329BC56">
            <w:pPr>
              <w:pStyle w:val="30"/>
              <w:rPr>
                <w:rFonts w:hint="eastAsia" w:ascii="宋体" w:hAnsi="宋体" w:eastAsia="宋体" w:cs="宋体"/>
                <w:sz w:val="20"/>
                <w:highlight w:val="none"/>
              </w:rPr>
            </w:pPr>
          </w:p>
        </w:tc>
        <w:tc>
          <w:tcPr>
            <w:tcW w:w="1548" w:type="dxa"/>
          </w:tcPr>
          <w:p w14:paraId="3766B6B0">
            <w:pPr>
              <w:pStyle w:val="30"/>
              <w:rPr>
                <w:rFonts w:hint="eastAsia" w:ascii="宋体" w:hAnsi="宋体" w:eastAsia="宋体" w:cs="宋体"/>
                <w:sz w:val="20"/>
                <w:highlight w:val="none"/>
              </w:rPr>
            </w:pPr>
          </w:p>
        </w:tc>
      </w:tr>
      <w:tr w14:paraId="5FF0C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14:paraId="5E135971">
            <w:pPr>
              <w:pStyle w:val="30"/>
              <w:spacing w:before="12"/>
              <w:rPr>
                <w:rFonts w:hint="eastAsia" w:ascii="宋体" w:hAnsi="宋体" w:eastAsia="宋体" w:cs="宋体"/>
                <w:b/>
                <w:sz w:val="17"/>
                <w:highlight w:val="none"/>
              </w:rPr>
            </w:pPr>
          </w:p>
          <w:p w14:paraId="1ACE4E78">
            <w:pPr>
              <w:pStyle w:val="30"/>
              <w:ind w:left="405" w:right="392"/>
              <w:jc w:val="center"/>
              <w:rPr>
                <w:rFonts w:hint="eastAsia" w:ascii="宋体" w:hAnsi="宋体" w:eastAsia="宋体" w:cs="宋体"/>
                <w:sz w:val="20"/>
                <w:highlight w:val="none"/>
              </w:rPr>
            </w:pPr>
            <w:r>
              <w:rPr>
                <w:rFonts w:hint="eastAsia" w:ascii="宋体" w:hAnsi="宋体" w:eastAsia="宋体" w:cs="宋体"/>
                <w:sz w:val="20"/>
                <w:highlight w:val="none"/>
              </w:rPr>
              <w:t>……</w:t>
            </w:r>
          </w:p>
        </w:tc>
        <w:tc>
          <w:tcPr>
            <w:tcW w:w="1547" w:type="dxa"/>
          </w:tcPr>
          <w:p w14:paraId="637326DE">
            <w:pPr>
              <w:pStyle w:val="30"/>
              <w:rPr>
                <w:rFonts w:hint="eastAsia" w:ascii="宋体" w:hAnsi="宋体" w:eastAsia="宋体" w:cs="宋体"/>
                <w:sz w:val="20"/>
                <w:highlight w:val="none"/>
              </w:rPr>
            </w:pPr>
          </w:p>
        </w:tc>
        <w:tc>
          <w:tcPr>
            <w:tcW w:w="1548" w:type="dxa"/>
          </w:tcPr>
          <w:p w14:paraId="2F0F63DE">
            <w:pPr>
              <w:pStyle w:val="30"/>
              <w:rPr>
                <w:rFonts w:hint="eastAsia" w:ascii="宋体" w:hAnsi="宋体" w:eastAsia="宋体" w:cs="宋体"/>
                <w:sz w:val="20"/>
                <w:highlight w:val="none"/>
              </w:rPr>
            </w:pPr>
          </w:p>
        </w:tc>
        <w:tc>
          <w:tcPr>
            <w:tcW w:w="1548" w:type="dxa"/>
          </w:tcPr>
          <w:p w14:paraId="0FAB4846">
            <w:pPr>
              <w:pStyle w:val="30"/>
              <w:rPr>
                <w:rFonts w:hint="eastAsia" w:ascii="宋体" w:hAnsi="宋体" w:eastAsia="宋体" w:cs="宋体"/>
                <w:sz w:val="20"/>
                <w:highlight w:val="none"/>
              </w:rPr>
            </w:pPr>
          </w:p>
        </w:tc>
        <w:tc>
          <w:tcPr>
            <w:tcW w:w="1548" w:type="dxa"/>
          </w:tcPr>
          <w:p w14:paraId="5B38F159">
            <w:pPr>
              <w:pStyle w:val="30"/>
              <w:rPr>
                <w:rFonts w:hint="eastAsia" w:ascii="宋体" w:hAnsi="宋体" w:eastAsia="宋体" w:cs="宋体"/>
                <w:sz w:val="20"/>
                <w:highlight w:val="none"/>
              </w:rPr>
            </w:pPr>
          </w:p>
        </w:tc>
      </w:tr>
      <w:tr w14:paraId="5BC88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14:paraId="221115BA">
            <w:pPr>
              <w:pStyle w:val="30"/>
              <w:rPr>
                <w:rFonts w:hint="eastAsia" w:ascii="宋体" w:hAnsi="宋体" w:eastAsia="宋体" w:cs="宋体"/>
                <w:b/>
                <w:sz w:val="18"/>
                <w:highlight w:val="none"/>
              </w:rPr>
            </w:pPr>
          </w:p>
          <w:p w14:paraId="16D56F64">
            <w:pPr>
              <w:pStyle w:val="30"/>
              <w:ind w:left="405" w:right="392"/>
              <w:jc w:val="center"/>
              <w:rPr>
                <w:rFonts w:hint="eastAsia" w:ascii="宋体" w:hAnsi="宋体" w:eastAsia="宋体" w:cs="宋体"/>
                <w:sz w:val="20"/>
                <w:highlight w:val="none"/>
              </w:rPr>
            </w:pPr>
            <w:r>
              <w:rPr>
                <w:rFonts w:hint="eastAsia" w:ascii="宋体" w:hAnsi="宋体" w:eastAsia="宋体" w:cs="宋体"/>
                <w:sz w:val="20"/>
                <w:highlight w:val="none"/>
              </w:rPr>
              <w:t>……</w:t>
            </w:r>
          </w:p>
        </w:tc>
        <w:tc>
          <w:tcPr>
            <w:tcW w:w="1547" w:type="dxa"/>
          </w:tcPr>
          <w:p w14:paraId="0B11C8BB">
            <w:pPr>
              <w:pStyle w:val="30"/>
              <w:rPr>
                <w:rFonts w:hint="eastAsia" w:ascii="宋体" w:hAnsi="宋体" w:eastAsia="宋体" w:cs="宋体"/>
                <w:sz w:val="20"/>
                <w:highlight w:val="none"/>
              </w:rPr>
            </w:pPr>
          </w:p>
        </w:tc>
        <w:tc>
          <w:tcPr>
            <w:tcW w:w="1548" w:type="dxa"/>
          </w:tcPr>
          <w:p w14:paraId="097235A2">
            <w:pPr>
              <w:pStyle w:val="30"/>
              <w:rPr>
                <w:rFonts w:hint="eastAsia" w:ascii="宋体" w:hAnsi="宋体" w:eastAsia="宋体" w:cs="宋体"/>
                <w:sz w:val="20"/>
                <w:highlight w:val="none"/>
              </w:rPr>
            </w:pPr>
          </w:p>
        </w:tc>
        <w:tc>
          <w:tcPr>
            <w:tcW w:w="1548" w:type="dxa"/>
          </w:tcPr>
          <w:p w14:paraId="250BFE09">
            <w:pPr>
              <w:pStyle w:val="30"/>
              <w:rPr>
                <w:rFonts w:hint="eastAsia" w:ascii="宋体" w:hAnsi="宋体" w:eastAsia="宋体" w:cs="宋体"/>
                <w:sz w:val="20"/>
                <w:highlight w:val="none"/>
              </w:rPr>
            </w:pPr>
          </w:p>
        </w:tc>
        <w:tc>
          <w:tcPr>
            <w:tcW w:w="1548" w:type="dxa"/>
          </w:tcPr>
          <w:p w14:paraId="3DC13761">
            <w:pPr>
              <w:pStyle w:val="30"/>
              <w:rPr>
                <w:rFonts w:hint="eastAsia" w:ascii="宋体" w:hAnsi="宋体" w:eastAsia="宋体" w:cs="宋体"/>
                <w:sz w:val="20"/>
                <w:highlight w:val="none"/>
              </w:rPr>
            </w:pPr>
          </w:p>
        </w:tc>
      </w:tr>
      <w:tr w14:paraId="51AEB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14:paraId="03078673">
            <w:pPr>
              <w:pStyle w:val="30"/>
              <w:rPr>
                <w:rFonts w:hint="eastAsia" w:ascii="宋体" w:hAnsi="宋体" w:eastAsia="宋体" w:cs="宋体"/>
                <w:sz w:val="20"/>
                <w:highlight w:val="none"/>
              </w:rPr>
            </w:pPr>
          </w:p>
        </w:tc>
        <w:tc>
          <w:tcPr>
            <w:tcW w:w="1547" w:type="dxa"/>
          </w:tcPr>
          <w:p w14:paraId="68DC30AE">
            <w:pPr>
              <w:pStyle w:val="30"/>
              <w:rPr>
                <w:rFonts w:hint="eastAsia" w:ascii="宋体" w:hAnsi="宋体" w:eastAsia="宋体" w:cs="宋体"/>
                <w:sz w:val="20"/>
                <w:highlight w:val="none"/>
              </w:rPr>
            </w:pPr>
          </w:p>
        </w:tc>
        <w:tc>
          <w:tcPr>
            <w:tcW w:w="1548" w:type="dxa"/>
          </w:tcPr>
          <w:p w14:paraId="17BF6B0B">
            <w:pPr>
              <w:pStyle w:val="30"/>
              <w:rPr>
                <w:rFonts w:hint="eastAsia" w:ascii="宋体" w:hAnsi="宋体" w:eastAsia="宋体" w:cs="宋体"/>
                <w:sz w:val="20"/>
                <w:highlight w:val="none"/>
              </w:rPr>
            </w:pPr>
          </w:p>
        </w:tc>
        <w:tc>
          <w:tcPr>
            <w:tcW w:w="1548" w:type="dxa"/>
          </w:tcPr>
          <w:p w14:paraId="591A0A57">
            <w:pPr>
              <w:pStyle w:val="30"/>
              <w:rPr>
                <w:rFonts w:hint="eastAsia" w:ascii="宋体" w:hAnsi="宋体" w:eastAsia="宋体" w:cs="宋体"/>
                <w:sz w:val="20"/>
                <w:highlight w:val="none"/>
              </w:rPr>
            </w:pPr>
          </w:p>
        </w:tc>
        <w:tc>
          <w:tcPr>
            <w:tcW w:w="1548" w:type="dxa"/>
          </w:tcPr>
          <w:p w14:paraId="40A7233F">
            <w:pPr>
              <w:pStyle w:val="30"/>
              <w:rPr>
                <w:rFonts w:hint="eastAsia" w:ascii="宋体" w:hAnsi="宋体" w:eastAsia="宋体" w:cs="宋体"/>
                <w:sz w:val="20"/>
                <w:highlight w:val="none"/>
              </w:rPr>
            </w:pPr>
          </w:p>
        </w:tc>
      </w:tr>
      <w:tr w14:paraId="70F48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14:paraId="32A8E395">
            <w:pPr>
              <w:pStyle w:val="30"/>
              <w:spacing w:before="11"/>
              <w:rPr>
                <w:rFonts w:hint="eastAsia" w:ascii="宋体" w:hAnsi="宋体" w:eastAsia="宋体" w:cs="宋体"/>
                <w:b/>
                <w:sz w:val="15"/>
                <w:highlight w:val="none"/>
              </w:rPr>
            </w:pPr>
          </w:p>
          <w:p w14:paraId="6C8F9876">
            <w:pPr>
              <w:pStyle w:val="30"/>
              <w:ind w:left="826"/>
              <w:rPr>
                <w:rFonts w:hint="eastAsia" w:ascii="宋体" w:hAnsi="宋体" w:eastAsia="宋体" w:cs="宋体"/>
                <w:sz w:val="20"/>
                <w:highlight w:val="none"/>
              </w:rPr>
            </w:pPr>
            <w:r>
              <w:rPr>
                <w:rFonts w:hint="eastAsia" w:ascii="宋体" w:hAnsi="宋体" w:eastAsia="宋体" w:cs="宋体"/>
                <w:sz w:val="20"/>
                <w:highlight w:val="none"/>
              </w:rPr>
              <w:t>缺陷责任期</w:t>
            </w:r>
          </w:p>
        </w:tc>
        <w:tc>
          <w:tcPr>
            <w:tcW w:w="1547" w:type="dxa"/>
          </w:tcPr>
          <w:p w14:paraId="57512F02">
            <w:pPr>
              <w:pStyle w:val="30"/>
              <w:rPr>
                <w:rFonts w:hint="eastAsia" w:ascii="宋体" w:hAnsi="宋体" w:eastAsia="宋体" w:cs="宋体"/>
                <w:sz w:val="20"/>
                <w:highlight w:val="none"/>
              </w:rPr>
            </w:pPr>
          </w:p>
        </w:tc>
        <w:tc>
          <w:tcPr>
            <w:tcW w:w="1548" w:type="dxa"/>
          </w:tcPr>
          <w:p w14:paraId="22843A4D">
            <w:pPr>
              <w:pStyle w:val="30"/>
              <w:rPr>
                <w:rFonts w:hint="eastAsia" w:ascii="宋体" w:hAnsi="宋体" w:eastAsia="宋体" w:cs="宋体"/>
                <w:sz w:val="20"/>
                <w:highlight w:val="none"/>
              </w:rPr>
            </w:pPr>
          </w:p>
        </w:tc>
        <w:tc>
          <w:tcPr>
            <w:tcW w:w="1548" w:type="dxa"/>
          </w:tcPr>
          <w:p w14:paraId="0738371C">
            <w:pPr>
              <w:pStyle w:val="30"/>
              <w:rPr>
                <w:rFonts w:hint="eastAsia" w:ascii="宋体" w:hAnsi="宋体" w:eastAsia="宋体" w:cs="宋体"/>
                <w:sz w:val="20"/>
                <w:highlight w:val="none"/>
              </w:rPr>
            </w:pPr>
          </w:p>
        </w:tc>
        <w:tc>
          <w:tcPr>
            <w:tcW w:w="1548" w:type="dxa"/>
          </w:tcPr>
          <w:p w14:paraId="70167A1A">
            <w:pPr>
              <w:pStyle w:val="30"/>
              <w:rPr>
                <w:rFonts w:hint="eastAsia" w:ascii="宋体" w:hAnsi="宋体" w:eastAsia="宋体" w:cs="宋体"/>
                <w:sz w:val="20"/>
                <w:highlight w:val="none"/>
              </w:rPr>
            </w:pPr>
          </w:p>
        </w:tc>
      </w:tr>
      <w:tr w14:paraId="1FC3A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14:paraId="72BFD00E">
            <w:pPr>
              <w:pStyle w:val="30"/>
              <w:spacing w:before="11"/>
              <w:rPr>
                <w:rFonts w:hint="eastAsia" w:ascii="宋体" w:hAnsi="宋体" w:eastAsia="宋体" w:cs="宋体"/>
                <w:b/>
                <w:sz w:val="15"/>
                <w:highlight w:val="none"/>
              </w:rPr>
            </w:pPr>
          </w:p>
          <w:p w14:paraId="014EA8C3">
            <w:pPr>
              <w:pStyle w:val="30"/>
              <w:tabs>
                <w:tab w:val="left" w:pos="1625"/>
              </w:tabs>
              <w:ind w:left="826"/>
              <w:rPr>
                <w:rFonts w:hint="eastAsia" w:ascii="宋体" w:hAnsi="宋体" w:eastAsia="宋体" w:cs="宋体"/>
                <w:sz w:val="20"/>
                <w:highlight w:val="none"/>
              </w:rPr>
            </w:pPr>
            <w:r>
              <w:rPr>
                <w:rFonts w:hint="eastAsia" w:ascii="宋体" w:hAnsi="宋体" w:eastAsia="宋体" w:cs="宋体"/>
                <w:sz w:val="20"/>
                <w:highlight w:val="none"/>
              </w:rPr>
              <w:t>小</w:t>
            </w:r>
            <w:r>
              <w:rPr>
                <w:rFonts w:hint="eastAsia" w:ascii="宋体" w:hAnsi="宋体" w:eastAsia="宋体" w:cs="宋体"/>
                <w:sz w:val="20"/>
                <w:highlight w:val="none"/>
              </w:rPr>
              <w:tab/>
            </w:r>
            <w:r>
              <w:rPr>
                <w:rFonts w:hint="eastAsia" w:ascii="宋体" w:hAnsi="宋体" w:eastAsia="宋体" w:cs="宋体"/>
                <w:sz w:val="20"/>
                <w:highlight w:val="none"/>
              </w:rPr>
              <w:t>计</w:t>
            </w:r>
          </w:p>
        </w:tc>
        <w:tc>
          <w:tcPr>
            <w:tcW w:w="1547" w:type="dxa"/>
          </w:tcPr>
          <w:p w14:paraId="1480B0C8">
            <w:pPr>
              <w:pStyle w:val="30"/>
              <w:rPr>
                <w:rFonts w:hint="eastAsia" w:ascii="宋体" w:hAnsi="宋体" w:eastAsia="宋体" w:cs="宋体"/>
                <w:sz w:val="20"/>
                <w:highlight w:val="none"/>
              </w:rPr>
            </w:pPr>
          </w:p>
        </w:tc>
        <w:tc>
          <w:tcPr>
            <w:tcW w:w="1548" w:type="dxa"/>
          </w:tcPr>
          <w:p w14:paraId="2D4FD21A">
            <w:pPr>
              <w:pStyle w:val="30"/>
              <w:rPr>
                <w:rFonts w:hint="eastAsia" w:ascii="宋体" w:hAnsi="宋体" w:eastAsia="宋体" w:cs="宋体"/>
                <w:b/>
                <w:sz w:val="18"/>
                <w:highlight w:val="none"/>
              </w:rPr>
            </w:pPr>
          </w:p>
          <w:p w14:paraId="3A7B30D9">
            <w:pPr>
              <w:pStyle w:val="30"/>
              <w:ind w:left="469" w:right="456"/>
              <w:jc w:val="center"/>
              <w:rPr>
                <w:rFonts w:hint="eastAsia" w:ascii="宋体" w:hAnsi="宋体" w:eastAsia="宋体" w:cs="宋体"/>
                <w:sz w:val="20"/>
                <w:highlight w:val="none"/>
              </w:rPr>
            </w:pPr>
            <w:r>
              <w:rPr>
                <w:rFonts w:hint="eastAsia" w:ascii="宋体" w:hAnsi="宋体" w:eastAsia="宋体" w:cs="宋体"/>
                <w:sz w:val="20"/>
                <w:highlight w:val="none"/>
              </w:rPr>
              <w:t>100.00</w:t>
            </w:r>
          </w:p>
        </w:tc>
        <w:tc>
          <w:tcPr>
            <w:tcW w:w="1548" w:type="dxa"/>
          </w:tcPr>
          <w:p w14:paraId="4BA38575">
            <w:pPr>
              <w:pStyle w:val="30"/>
              <w:rPr>
                <w:rFonts w:hint="eastAsia" w:ascii="宋体" w:hAnsi="宋体" w:eastAsia="宋体" w:cs="宋体"/>
                <w:sz w:val="20"/>
                <w:highlight w:val="none"/>
              </w:rPr>
            </w:pPr>
          </w:p>
        </w:tc>
        <w:tc>
          <w:tcPr>
            <w:tcW w:w="1548" w:type="dxa"/>
          </w:tcPr>
          <w:p w14:paraId="27CC0531">
            <w:pPr>
              <w:pStyle w:val="30"/>
              <w:rPr>
                <w:rFonts w:hint="eastAsia" w:ascii="宋体" w:hAnsi="宋体" w:eastAsia="宋体" w:cs="宋体"/>
                <w:sz w:val="20"/>
                <w:highlight w:val="none"/>
              </w:rPr>
            </w:pPr>
          </w:p>
        </w:tc>
      </w:tr>
      <w:tr w14:paraId="3B95D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844" w:type="dxa"/>
            <w:gridSpan w:val="6"/>
          </w:tcPr>
          <w:p w14:paraId="24337211">
            <w:pPr>
              <w:pStyle w:val="30"/>
              <w:spacing w:before="9"/>
              <w:rPr>
                <w:rFonts w:hint="eastAsia" w:ascii="宋体" w:hAnsi="宋体" w:eastAsia="宋体" w:cs="宋体"/>
                <w:b/>
                <w:sz w:val="14"/>
                <w:highlight w:val="none"/>
              </w:rPr>
            </w:pPr>
          </w:p>
          <w:p w14:paraId="7E6B965E">
            <w:pPr>
              <w:pStyle w:val="30"/>
              <w:ind w:left="202"/>
              <w:rPr>
                <w:rFonts w:hint="eastAsia" w:ascii="宋体" w:hAnsi="宋体" w:eastAsia="宋体" w:cs="宋体"/>
                <w:sz w:val="21"/>
                <w:highlight w:val="none"/>
              </w:rPr>
            </w:pPr>
            <w:r>
              <w:rPr>
                <w:rFonts w:hint="eastAsia" w:ascii="宋体" w:hAnsi="宋体" w:eastAsia="宋体" w:cs="宋体"/>
                <w:sz w:val="21"/>
                <w:highlight w:val="none"/>
              </w:rPr>
              <w:t>投标价：</w:t>
            </w:r>
          </w:p>
        </w:tc>
      </w:tr>
      <w:tr w14:paraId="0CB90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2" w:hRule="atLeast"/>
        </w:trPr>
        <w:tc>
          <w:tcPr>
            <w:tcW w:w="628" w:type="dxa"/>
          </w:tcPr>
          <w:p w14:paraId="2CC42640">
            <w:pPr>
              <w:pStyle w:val="30"/>
              <w:rPr>
                <w:rFonts w:hint="eastAsia" w:ascii="宋体" w:hAnsi="宋体" w:eastAsia="宋体" w:cs="宋体"/>
                <w:b/>
                <w:sz w:val="20"/>
                <w:highlight w:val="none"/>
              </w:rPr>
            </w:pPr>
          </w:p>
          <w:p w14:paraId="7B2E3D48">
            <w:pPr>
              <w:pStyle w:val="30"/>
              <w:rPr>
                <w:rFonts w:hint="eastAsia" w:ascii="宋体" w:hAnsi="宋体" w:eastAsia="宋体" w:cs="宋体"/>
                <w:b/>
                <w:sz w:val="20"/>
                <w:highlight w:val="none"/>
              </w:rPr>
            </w:pPr>
          </w:p>
          <w:p w14:paraId="28B03A8D">
            <w:pPr>
              <w:pStyle w:val="30"/>
              <w:spacing w:before="7"/>
              <w:rPr>
                <w:rFonts w:hint="eastAsia" w:ascii="宋体" w:hAnsi="宋体" w:eastAsia="宋体" w:cs="宋体"/>
                <w:b/>
                <w:sz w:val="16"/>
                <w:highlight w:val="none"/>
              </w:rPr>
            </w:pPr>
          </w:p>
          <w:p w14:paraId="4F6F9BF7">
            <w:pPr>
              <w:pStyle w:val="30"/>
              <w:ind w:left="214"/>
              <w:rPr>
                <w:rFonts w:hint="eastAsia" w:ascii="宋体" w:hAnsi="宋体" w:eastAsia="宋体" w:cs="宋体"/>
                <w:sz w:val="20"/>
                <w:highlight w:val="none"/>
              </w:rPr>
            </w:pPr>
            <w:r>
              <w:rPr>
                <w:rFonts w:hint="eastAsia" w:ascii="宋体" w:hAnsi="宋体" w:eastAsia="宋体" w:cs="宋体"/>
                <w:w w:val="99"/>
                <w:sz w:val="20"/>
                <w:highlight w:val="none"/>
              </w:rPr>
              <w:t>说</w:t>
            </w:r>
          </w:p>
          <w:p w14:paraId="64F12C3A">
            <w:pPr>
              <w:pStyle w:val="30"/>
              <w:rPr>
                <w:rFonts w:hint="eastAsia" w:ascii="宋体" w:hAnsi="宋体" w:eastAsia="宋体" w:cs="宋体"/>
                <w:b/>
                <w:sz w:val="20"/>
                <w:highlight w:val="none"/>
              </w:rPr>
            </w:pPr>
          </w:p>
          <w:p w14:paraId="247B597A">
            <w:pPr>
              <w:pStyle w:val="30"/>
              <w:rPr>
                <w:rFonts w:hint="eastAsia" w:ascii="宋体" w:hAnsi="宋体" w:eastAsia="宋体" w:cs="宋体"/>
                <w:b/>
                <w:sz w:val="20"/>
                <w:highlight w:val="none"/>
              </w:rPr>
            </w:pPr>
          </w:p>
          <w:p w14:paraId="54DBD3BA">
            <w:pPr>
              <w:pStyle w:val="30"/>
              <w:rPr>
                <w:rFonts w:hint="eastAsia" w:ascii="宋体" w:hAnsi="宋体" w:eastAsia="宋体" w:cs="宋体"/>
                <w:b/>
                <w:sz w:val="20"/>
                <w:highlight w:val="none"/>
              </w:rPr>
            </w:pPr>
          </w:p>
          <w:p w14:paraId="68F05466">
            <w:pPr>
              <w:pStyle w:val="30"/>
              <w:rPr>
                <w:rFonts w:hint="eastAsia" w:ascii="宋体" w:hAnsi="宋体" w:eastAsia="宋体" w:cs="宋体"/>
                <w:b/>
                <w:sz w:val="20"/>
                <w:highlight w:val="none"/>
              </w:rPr>
            </w:pPr>
          </w:p>
          <w:p w14:paraId="2EECB56D">
            <w:pPr>
              <w:pStyle w:val="30"/>
              <w:spacing w:before="10"/>
              <w:rPr>
                <w:rFonts w:hint="eastAsia" w:ascii="宋体" w:hAnsi="宋体" w:eastAsia="宋体" w:cs="宋体"/>
                <w:b/>
                <w:sz w:val="24"/>
                <w:highlight w:val="none"/>
              </w:rPr>
            </w:pPr>
          </w:p>
          <w:p w14:paraId="2D982056">
            <w:pPr>
              <w:pStyle w:val="30"/>
              <w:ind w:left="214"/>
              <w:rPr>
                <w:rFonts w:hint="eastAsia" w:ascii="宋体" w:hAnsi="宋体" w:eastAsia="宋体" w:cs="宋体"/>
                <w:sz w:val="20"/>
                <w:highlight w:val="none"/>
              </w:rPr>
            </w:pPr>
            <w:r>
              <w:rPr>
                <w:rFonts w:hint="eastAsia" w:ascii="宋体" w:hAnsi="宋体" w:eastAsia="宋体" w:cs="宋体"/>
                <w:w w:val="99"/>
                <w:sz w:val="20"/>
                <w:highlight w:val="none"/>
              </w:rPr>
              <w:t>明</w:t>
            </w:r>
          </w:p>
        </w:tc>
        <w:tc>
          <w:tcPr>
            <w:tcW w:w="8216" w:type="dxa"/>
            <w:gridSpan w:val="5"/>
          </w:tcPr>
          <w:p w14:paraId="163405B5">
            <w:pPr>
              <w:pStyle w:val="30"/>
              <w:rPr>
                <w:rFonts w:hint="eastAsia" w:ascii="宋体" w:hAnsi="宋体" w:eastAsia="宋体" w:cs="宋体"/>
                <w:sz w:val="20"/>
                <w:highlight w:val="none"/>
              </w:rPr>
            </w:pPr>
          </w:p>
        </w:tc>
      </w:tr>
    </w:tbl>
    <w:p w14:paraId="2DA68A57">
      <w:pPr>
        <w:spacing w:before="82"/>
        <w:ind w:left="352"/>
        <w:rPr>
          <w:rFonts w:hint="eastAsia" w:ascii="宋体" w:hAnsi="宋体" w:eastAsia="宋体" w:cs="宋体"/>
          <w:sz w:val="20"/>
          <w:highlight w:val="none"/>
        </w:rPr>
      </w:pPr>
      <w:r>
        <w:rPr>
          <w:rFonts w:hint="eastAsia" w:ascii="宋体" w:hAnsi="宋体" w:eastAsia="宋体" w:cs="宋体"/>
          <w:sz w:val="20"/>
          <w:highlight w:val="none"/>
        </w:rPr>
        <w:t>注：1.投标人可按工程进度估算并填写本表。</w:t>
      </w:r>
    </w:p>
    <w:p w14:paraId="48FDC62C">
      <w:pPr>
        <w:spacing w:before="85" w:line="319" w:lineRule="auto"/>
        <w:ind w:left="976" w:right="237" w:hanging="252"/>
        <w:rPr>
          <w:rFonts w:hint="eastAsia" w:ascii="宋体" w:hAnsi="宋体" w:eastAsia="宋体" w:cs="宋体"/>
          <w:highlight w:val="none"/>
        </w:rPr>
      </w:pPr>
      <w:r>
        <w:rPr>
          <w:rFonts w:hint="eastAsia" w:ascii="宋体" w:hAnsi="宋体" w:eastAsia="宋体" w:cs="宋体"/>
          <w:sz w:val="20"/>
          <w:highlight w:val="none"/>
        </w:rPr>
        <w:t>2.用款额按所报单价和总额价估算，不包括价格调整和暂列金额、暂估价，但应考虑开工预付款的扣</w:t>
      </w:r>
      <w:r>
        <w:rPr>
          <w:rFonts w:hint="eastAsia" w:ascii="宋体" w:hAnsi="宋体" w:eastAsia="宋体" w:cs="宋体"/>
          <w:spacing w:val="-4"/>
          <w:sz w:val="20"/>
          <w:highlight w:val="none"/>
        </w:rPr>
        <w:t>回以及签发付款证书后到实际支付的时间间隔。</w:t>
      </w:r>
    </w:p>
    <w:p w14:paraId="4211550D">
      <w:pPr>
        <w:rPr>
          <w:rFonts w:hint="eastAsia" w:ascii="宋体" w:hAnsi="宋体" w:eastAsia="宋体" w:cs="宋体"/>
          <w:highlight w:val="none"/>
        </w:rPr>
      </w:pPr>
    </w:p>
    <w:p w14:paraId="5C40BB11">
      <w:pPr>
        <w:pStyle w:val="23"/>
        <w:ind w:firstLine="440"/>
        <w:rPr>
          <w:rFonts w:hint="eastAsia" w:ascii="宋体" w:hAnsi="宋体" w:eastAsia="宋体" w:cs="宋体"/>
          <w:highlight w:val="none"/>
        </w:rPr>
      </w:pPr>
    </w:p>
    <w:p w14:paraId="616E7787">
      <w:pPr>
        <w:tabs>
          <w:tab w:val="left" w:pos="1283"/>
        </w:tabs>
        <w:kinsoku w:val="0"/>
        <w:overflowPunct w:val="0"/>
        <w:adjustRightInd w:val="0"/>
        <w:ind w:right="61"/>
        <w:jc w:val="center"/>
        <w:outlineLvl w:val="0"/>
        <w:rPr>
          <w:rFonts w:hint="eastAsia" w:ascii="宋体" w:hAnsi="宋体" w:eastAsia="宋体" w:cs="宋体"/>
          <w:b/>
          <w:w w:val="95"/>
          <w:sz w:val="30"/>
          <w:szCs w:val="30"/>
          <w:highlight w:val="none"/>
          <w:lang w:val="en-US" w:bidi="ar-SA"/>
        </w:rPr>
      </w:pPr>
    </w:p>
    <w:p w14:paraId="2E7E94B5">
      <w:pPr>
        <w:tabs>
          <w:tab w:val="left" w:pos="1283"/>
        </w:tabs>
        <w:kinsoku w:val="0"/>
        <w:overflowPunct w:val="0"/>
        <w:adjustRightInd w:val="0"/>
        <w:ind w:right="61"/>
        <w:jc w:val="center"/>
        <w:outlineLvl w:val="0"/>
        <w:rPr>
          <w:rFonts w:hint="eastAsia" w:ascii="宋体" w:hAnsi="宋体" w:eastAsia="宋体" w:cs="宋体"/>
          <w:b/>
          <w:w w:val="95"/>
          <w:sz w:val="30"/>
          <w:szCs w:val="30"/>
          <w:highlight w:val="none"/>
          <w:lang w:val="en-US" w:bidi="ar-SA"/>
        </w:rPr>
      </w:pPr>
      <w:r>
        <w:rPr>
          <w:rFonts w:hint="eastAsia" w:ascii="宋体" w:hAnsi="宋体" w:eastAsia="宋体" w:cs="宋体"/>
          <w:b/>
          <w:w w:val="95"/>
          <w:sz w:val="30"/>
          <w:szCs w:val="30"/>
          <w:highlight w:val="none"/>
          <w:lang w:val="en-US" w:bidi="ar-SA"/>
        </w:rPr>
        <w:t>四、最终报价单</w:t>
      </w:r>
    </w:p>
    <w:p w14:paraId="4D5FC64D">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5DB0E11E">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784654D0">
      <w:pPr>
        <w:jc w:val="center"/>
        <w:outlineLvl w:val="9"/>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参考“报价文件”中投标函及</w:t>
      </w:r>
      <w:r>
        <w:rPr>
          <w:rFonts w:hint="eastAsia" w:cs="宋体"/>
          <w:b/>
          <w:bCs/>
          <w:sz w:val="24"/>
          <w:szCs w:val="24"/>
          <w:highlight w:val="none"/>
          <w:lang w:val="en-US" w:eastAsia="zh-CN"/>
        </w:rPr>
        <w:t>已标价的</w:t>
      </w:r>
      <w:r>
        <w:rPr>
          <w:rFonts w:hint="eastAsia" w:ascii="宋体" w:hAnsi="宋体" w:eastAsia="宋体" w:cs="宋体"/>
          <w:b/>
          <w:bCs/>
          <w:sz w:val="24"/>
          <w:szCs w:val="24"/>
          <w:highlight w:val="none"/>
          <w:lang w:val="en-US"/>
        </w:rPr>
        <w:t>工程量清单格式</w:t>
      </w:r>
    </w:p>
    <w:p w14:paraId="60E80896">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3464A4FB">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32D050CA">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54A30EAD">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7274FFCB">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6B7DA425">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19288503">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2D6C25CA">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19A27118">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02B5A123">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6E413CB2">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3D8CBCBB">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7447ADF3">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6945D83B">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58450053">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6A2E8E4A">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5B79C82E">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1D5066FB">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3961F48E">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490685B9">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78D60E80">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367A7AB7">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14D7062E">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5827057F">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3867D5AF">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1C3F7B90">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20C5358C">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0CF45B38">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5499D76E">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6E5AFC6E">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5D76EB0F">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069A070E">
      <w:pPr>
        <w:tabs>
          <w:tab w:val="left" w:pos="1283"/>
        </w:tabs>
        <w:kinsoku w:val="0"/>
        <w:overflowPunct w:val="0"/>
        <w:adjustRightInd w:val="0"/>
        <w:ind w:right="61"/>
        <w:jc w:val="center"/>
        <w:outlineLvl w:val="9"/>
        <w:rPr>
          <w:rFonts w:hint="eastAsia" w:ascii="宋体" w:hAnsi="宋体" w:eastAsia="宋体" w:cs="宋体"/>
          <w:b/>
          <w:w w:val="95"/>
          <w:sz w:val="30"/>
          <w:szCs w:val="30"/>
          <w:highlight w:val="none"/>
          <w:lang w:val="en-US" w:bidi="ar-SA"/>
        </w:rPr>
      </w:pPr>
    </w:p>
    <w:p w14:paraId="4088613E">
      <w:pPr>
        <w:tabs>
          <w:tab w:val="left" w:pos="1283"/>
        </w:tabs>
        <w:kinsoku w:val="0"/>
        <w:overflowPunct w:val="0"/>
        <w:adjustRightInd w:val="0"/>
        <w:ind w:right="61" w:firstLine="3434" w:firstLineChars="1200"/>
        <w:jc w:val="both"/>
        <w:outlineLvl w:val="0"/>
        <w:rPr>
          <w:rFonts w:hint="eastAsia" w:ascii="宋体" w:hAnsi="宋体" w:eastAsia="宋体" w:cs="宋体"/>
          <w:b/>
          <w:w w:val="95"/>
          <w:sz w:val="30"/>
          <w:szCs w:val="30"/>
          <w:highlight w:val="none"/>
          <w:lang w:val="en-US" w:bidi="ar-SA"/>
        </w:rPr>
      </w:pPr>
      <w:r>
        <w:rPr>
          <w:rFonts w:hint="eastAsia" w:ascii="宋体" w:hAnsi="宋体" w:eastAsia="宋体" w:cs="宋体"/>
          <w:b/>
          <w:w w:val="95"/>
          <w:sz w:val="30"/>
          <w:szCs w:val="30"/>
          <w:highlight w:val="none"/>
          <w:lang w:val="en-US" w:bidi="ar-SA"/>
        </w:rPr>
        <w:t>第八章 评审方法及标准</w:t>
      </w:r>
    </w:p>
    <w:p w14:paraId="6C40E82A">
      <w:pPr>
        <w:tabs>
          <w:tab w:val="left" w:pos="1283"/>
        </w:tabs>
        <w:kinsoku w:val="0"/>
        <w:overflowPunct w:val="0"/>
        <w:adjustRightInd w:val="0"/>
        <w:ind w:right="61"/>
        <w:jc w:val="center"/>
        <w:outlineLvl w:val="0"/>
        <w:rPr>
          <w:rFonts w:hint="eastAsia" w:ascii="宋体" w:hAnsi="宋体" w:eastAsia="宋体" w:cs="宋体"/>
          <w:b/>
          <w:w w:val="95"/>
          <w:sz w:val="32"/>
          <w:szCs w:val="24"/>
          <w:highlight w:val="none"/>
          <w:lang w:val="en-US" w:bidi="ar-SA"/>
        </w:rPr>
      </w:pPr>
    </w:p>
    <w:p w14:paraId="548527E2">
      <w:pPr>
        <w:adjustRightInd w:val="0"/>
        <w:spacing w:line="360" w:lineRule="auto"/>
        <w:ind w:firstLine="482" w:firstLineChars="200"/>
        <w:rPr>
          <w:rFonts w:hint="eastAsia" w:ascii="宋体" w:hAnsi="宋体" w:eastAsia="宋体" w:cs="宋体"/>
          <w:sz w:val="24"/>
          <w:szCs w:val="24"/>
          <w:highlight w:val="none"/>
          <w:lang w:val="en-US" w:bidi="ar-SA"/>
        </w:rPr>
      </w:pPr>
      <w:r>
        <w:rPr>
          <w:rFonts w:hint="eastAsia" w:ascii="宋体" w:hAnsi="宋体" w:eastAsia="宋体" w:cs="宋体"/>
          <w:b/>
          <w:sz w:val="24"/>
          <w:szCs w:val="24"/>
          <w:highlight w:val="none"/>
          <w:lang w:val="en-US" w:bidi="ar-SA"/>
        </w:rPr>
        <w:t>1、评标方法</w:t>
      </w:r>
    </w:p>
    <w:p w14:paraId="119EBC07">
      <w:pPr>
        <w:adjustRightInd w:val="0"/>
        <w:spacing w:line="360" w:lineRule="auto"/>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1.1、评标中各评委若发生意见分歧，通过书面表决形式，以少数服从多数为原则决定。</w:t>
      </w:r>
    </w:p>
    <w:p w14:paraId="41010295">
      <w:pPr>
        <w:adjustRightInd w:val="0"/>
        <w:spacing w:line="360" w:lineRule="auto"/>
        <w:ind w:firstLine="482" w:firstLineChars="200"/>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2、资格审查</w:t>
      </w:r>
    </w:p>
    <w:p w14:paraId="0FFD914D">
      <w:pPr>
        <w:adjustRightInd w:val="0"/>
        <w:spacing w:line="360" w:lineRule="auto"/>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采购人代表及</w:t>
      </w:r>
      <w:r>
        <w:rPr>
          <w:rFonts w:hint="eastAsia" w:cs="宋体"/>
          <w:sz w:val="24"/>
          <w:szCs w:val="24"/>
          <w:highlight w:val="none"/>
          <w:lang w:val="en-US" w:eastAsia="zh-CN" w:bidi="ar-SA"/>
        </w:rPr>
        <w:t>采购代理机构</w:t>
      </w:r>
      <w:r>
        <w:rPr>
          <w:rFonts w:hint="eastAsia" w:ascii="宋体" w:hAnsi="宋体" w:eastAsia="宋体" w:cs="宋体"/>
          <w:sz w:val="24"/>
          <w:szCs w:val="24"/>
          <w:highlight w:val="none"/>
          <w:lang w:val="en-US" w:bidi="ar-SA"/>
        </w:rPr>
        <w:t>将按照以下条款，对供应商的资格进行后审，有一条未通过则按废标处理。</w:t>
      </w:r>
    </w:p>
    <w:tbl>
      <w:tblPr>
        <w:tblStyle w:val="24"/>
        <w:tblW w:w="9286" w:type="dxa"/>
        <w:tblInd w:w="5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5867"/>
        <w:gridCol w:w="1344"/>
        <w:gridCol w:w="1344"/>
      </w:tblGrid>
      <w:tr w14:paraId="0FD2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Merge w:val="restart"/>
            <w:vAlign w:val="center"/>
          </w:tcPr>
          <w:p w14:paraId="598ADD16">
            <w:pPr>
              <w:adjustRightInd w:val="0"/>
              <w:spacing w:line="300" w:lineRule="auto"/>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序号</w:t>
            </w:r>
          </w:p>
        </w:tc>
        <w:tc>
          <w:tcPr>
            <w:tcW w:w="5867" w:type="dxa"/>
            <w:vMerge w:val="restart"/>
            <w:vAlign w:val="center"/>
          </w:tcPr>
          <w:p w14:paraId="32D54B46">
            <w:pPr>
              <w:adjustRightInd w:val="0"/>
              <w:spacing w:line="300" w:lineRule="auto"/>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评审内容</w:t>
            </w:r>
          </w:p>
        </w:tc>
        <w:tc>
          <w:tcPr>
            <w:tcW w:w="2688" w:type="dxa"/>
            <w:gridSpan w:val="2"/>
            <w:vAlign w:val="center"/>
          </w:tcPr>
          <w:p w14:paraId="1EE9626B">
            <w:pPr>
              <w:adjustRightInd w:val="0"/>
              <w:spacing w:line="300" w:lineRule="auto"/>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评审意见</w:t>
            </w:r>
          </w:p>
        </w:tc>
      </w:tr>
      <w:tr w14:paraId="3722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Merge w:val="continue"/>
            <w:vAlign w:val="center"/>
          </w:tcPr>
          <w:p w14:paraId="6390000D">
            <w:pPr>
              <w:adjustRightInd w:val="0"/>
              <w:spacing w:line="300" w:lineRule="auto"/>
              <w:jc w:val="center"/>
              <w:rPr>
                <w:rFonts w:hint="eastAsia" w:ascii="宋体" w:hAnsi="宋体" w:eastAsia="宋体" w:cs="宋体"/>
                <w:sz w:val="24"/>
                <w:szCs w:val="24"/>
                <w:highlight w:val="none"/>
                <w:lang w:val="en-US" w:bidi="ar-SA"/>
              </w:rPr>
            </w:pPr>
          </w:p>
        </w:tc>
        <w:tc>
          <w:tcPr>
            <w:tcW w:w="5867" w:type="dxa"/>
            <w:vMerge w:val="continue"/>
            <w:vAlign w:val="center"/>
          </w:tcPr>
          <w:p w14:paraId="73DC6892">
            <w:pPr>
              <w:adjustRightInd w:val="0"/>
              <w:spacing w:line="300" w:lineRule="auto"/>
              <w:jc w:val="center"/>
              <w:rPr>
                <w:rFonts w:hint="eastAsia" w:ascii="宋体" w:hAnsi="宋体" w:eastAsia="宋体" w:cs="宋体"/>
                <w:sz w:val="24"/>
                <w:szCs w:val="24"/>
                <w:highlight w:val="none"/>
                <w:lang w:val="en-US" w:bidi="ar-SA"/>
              </w:rPr>
            </w:pPr>
          </w:p>
        </w:tc>
        <w:tc>
          <w:tcPr>
            <w:tcW w:w="1344" w:type="dxa"/>
            <w:vAlign w:val="center"/>
          </w:tcPr>
          <w:p w14:paraId="73BF59F9">
            <w:pPr>
              <w:adjustRightInd w:val="0"/>
              <w:spacing w:line="300" w:lineRule="auto"/>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是</w:t>
            </w:r>
          </w:p>
        </w:tc>
        <w:tc>
          <w:tcPr>
            <w:tcW w:w="1344" w:type="dxa"/>
            <w:vAlign w:val="center"/>
          </w:tcPr>
          <w:p w14:paraId="6CD9B4A5">
            <w:pPr>
              <w:adjustRightInd w:val="0"/>
              <w:spacing w:line="300" w:lineRule="auto"/>
              <w:jc w:val="center"/>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否</w:t>
            </w:r>
          </w:p>
        </w:tc>
      </w:tr>
      <w:tr w14:paraId="4069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454F049B">
            <w:pPr>
              <w:adjustRightInd w:val="0"/>
              <w:spacing w:line="360" w:lineRule="auto"/>
              <w:jc w:val="center"/>
              <w:rPr>
                <w:rFonts w:hint="eastAsia" w:ascii="宋体" w:hAnsi="宋体" w:eastAsia="宋体" w:cs="宋体"/>
                <w:b/>
                <w:bCs/>
                <w:color w:val="000000" w:themeColor="text1"/>
                <w:sz w:val="24"/>
                <w:szCs w:val="24"/>
                <w:highlight w:val="none"/>
                <w:lang w:val="en-US" w:bidi="ar-SA"/>
                <w14:textFill>
                  <w14:solidFill>
                    <w14:schemeClr w14:val="tx1"/>
                  </w14:solidFill>
                </w14:textFill>
              </w:rPr>
            </w:pPr>
            <w:r>
              <w:rPr>
                <w:rFonts w:hint="eastAsia" w:ascii="宋体" w:hAnsi="宋体" w:eastAsia="宋体" w:cs="宋体"/>
                <w:b/>
                <w:bCs/>
                <w:color w:val="000000" w:themeColor="text1"/>
                <w:sz w:val="24"/>
                <w:szCs w:val="24"/>
                <w:highlight w:val="none"/>
                <w:lang w:val="en-US" w:bidi="ar-SA"/>
                <w14:textFill>
                  <w14:solidFill>
                    <w14:schemeClr w14:val="tx1"/>
                  </w14:solidFill>
                </w14:textFill>
              </w:rPr>
              <w:t>1</w:t>
            </w:r>
          </w:p>
        </w:tc>
        <w:tc>
          <w:tcPr>
            <w:tcW w:w="5867" w:type="dxa"/>
            <w:vAlign w:val="center"/>
          </w:tcPr>
          <w:p w14:paraId="03FD85C3">
            <w:pPr>
              <w:pStyle w:val="19"/>
              <w:autoSpaceDE/>
              <w:autoSpaceDN/>
              <w:spacing w:before="40" w:after="40" w:line="380" w:lineRule="exact"/>
              <w:jc w:val="both"/>
              <w:rPr>
                <w:rFonts w:hint="eastAsia" w:ascii="宋体" w:hAnsi="宋体" w:eastAsia="宋体" w:cs="宋体"/>
                <w:b/>
                <w:bCs/>
                <w:color w:val="000000" w:themeColor="text1"/>
                <w:highlight w:val="none"/>
                <w:lang w:val="en-US" w:bidi="ar-SA"/>
                <w14:textFill>
                  <w14:solidFill>
                    <w14:schemeClr w14:val="tx1"/>
                  </w14:solidFill>
                </w14:textFill>
              </w:rPr>
            </w:pPr>
            <w:r>
              <w:rPr>
                <w:rFonts w:hint="eastAsia" w:ascii="宋体" w:hAnsi="宋体" w:eastAsia="宋体" w:cs="宋体"/>
                <w:kern w:val="2"/>
                <w:highlight w:val="none"/>
                <w:lang w:val="en-US" w:bidi="ar-SA"/>
              </w:rPr>
              <w:t>合格有效的法人或非法人组织营业执照；</w:t>
            </w:r>
          </w:p>
        </w:tc>
        <w:tc>
          <w:tcPr>
            <w:tcW w:w="1344" w:type="dxa"/>
            <w:vAlign w:val="center"/>
          </w:tcPr>
          <w:p w14:paraId="07181B55">
            <w:pPr>
              <w:adjustRightInd w:val="0"/>
              <w:spacing w:line="300" w:lineRule="auto"/>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p>
        </w:tc>
        <w:tc>
          <w:tcPr>
            <w:tcW w:w="1344" w:type="dxa"/>
            <w:vAlign w:val="center"/>
          </w:tcPr>
          <w:p w14:paraId="67D40D74">
            <w:pPr>
              <w:adjustRightInd w:val="0"/>
              <w:spacing w:line="300" w:lineRule="auto"/>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p>
        </w:tc>
      </w:tr>
      <w:tr w14:paraId="47C4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01E5623B">
            <w:pPr>
              <w:adjustRightInd w:val="0"/>
              <w:spacing w:line="360" w:lineRule="auto"/>
              <w:jc w:val="center"/>
              <w:rPr>
                <w:rFonts w:hint="eastAsia" w:ascii="宋体" w:hAnsi="宋体" w:eastAsia="宋体" w:cs="宋体"/>
                <w:b/>
                <w:bCs/>
                <w:color w:val="000000" w:themeColor="text1"/>
                <w:sz w:val="24"/>
                <w:szCs w:val="24"/>
                <w:highlight w:val="none"/>
                <w:lang w:val="en-US" w:bidi="ar-SA"/>
                <w14:textFill>
                  <w14:solidFill>
                    <w14:schemeClr w14:val="tx1"/>
                  </w14:solidFill>
                </w14:textFill>
              </w:rPr>
            </w:pPr>
            <w:r>
              <w:rPr>
                <w:rFonts w:hint="eastAsia" w:ascii="宋体" w:hAnsi="宋体" w:eastAsia="宋体" w:cs="宋体"/>
                <w:b/>
                <w:bCs/>
                <w:color w:val="000000" w:themeColor="text1"/>
                <w:sz w:val="24"/>
                <w:szCs w:val="24"/>
                <w:highlight w:val="none"/>
                <w:lang w:val="en-US" w:bidi="ar-SA"/>
                <w14:textFill>
                  <w14:solidFill>
                    <w14:schemeClr w14:val="tx1"/>
                  </w14:solidFill>
                </w14:textFill>
              </w:rPr>
              <w:t>2</w:t>
            </w:r>
          </w:p>
        </w:tc>
        <w:tc>
          <w:tcPr>
            <w:tcW w:w="5867" w:type="dxa"/>
            <w:vAlign w:val="center"/>
          </w:tcPr>
          <w:p w14:paraId="39B77601">
            <w:pPr>
              <w:pStyle w:val="19"/>
              <w:autoSpaceDE/>
              <w:autoSpaceDN/>
              <w:spacing w:before="40" w:after="40" w:line="380" w:lineRule="exact"/>
              <w:jc w:val="both"/>
              <w:rPr>
                <w:rFonts w:hint="eastAsia" w:ascii="宋体" w:hAnsi="宋体" w:eastAsia="宋体" w:cs="宋体"/>
                <w:b/>
                <w:bCs/>
                <w:color w:val="000000" w:themeColor="text1"/>
                <w:highlight w:val="none"/>
                <w:lang w:val="en-US" w:bidi="ar-SA"/>
                <w14:textFill>
                  <w14:solidFill>
                    <w14:schemeClr w14:val="tx1"/>
                  </w14:solidFill>
                </w14:textFill>
              </w:rPr>
            </w:pPr>
            <w:r>
              <w:rPr>
                <w:rFonts w:hint="eastAsia" w:ascii="宋体" w:hAnsi="宋体" w:eastAsia="宋体" w:cs="宋体"/>
                <w:kern w:val="2"/>
                <w:highlight w:val="none"/>
                <w:lang w:val="en-US" w:bidi="ar-SA"/>
              </w:rPr>
              <w:t>法定代表人资格证明或法定代表人授权委托书及身份证</w:t>
            </w:r>
            <w:r>
              <w:rPr>
                <w:rFonts w:hint="eastAsia" w:cs="宋体"/>
                <w:kern w:val="2"/>
                <w:highlight w:val="none"/>
                <w:lang w:val="en-US" w:eastAsia="zh-CN" w:bidi="ar-SA"/>
              </w:rPr>
              <w:t>明</w:t>
            </w:r>
            <w:r>
              <w:rPr>
                <w:rFonts w:hint="eastAsia" w:ascii="宋体" w:hAnsi="宋体" w:eastAsia="宋体" w:cs="宋体"/>
                <w:kern w:val="2"/>
                <w:highlight w:val="none"/>
                <w:lang w:val="en-US" w:bidi="ar-SA"/>
              </w:rPr>
              <w:t>；</w:t>
            </w:r>
          </w:p>
        </w:tc>
        <w:tc>
          <w:tcPr>
            <w:tcW w:w="1344" w:type="dxa"/>
            <w:vAlign w:val="center"/>
          </w:tcPr>
          <w:p w14:paraId="5145A41D">
            <w:pPr>
              <w:adjustRightInd w:val="0"/>
              <w:spacing w:line="300" w:lineRule="auto"/>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p>
        </w:tc>
        <w:tc>
          <w:tcPr>
            <w:tcW w:w="1344" w:type="dxa"/>
            <w:vAlign w:val="center"/>
          </w:tcPr>
          <w:p w14:paraId="2ECF8884">
            <w:pPr>
              <w:adjustRightInd w:val="0"/>
              <w:spacing w:line="300" w:lineRule="auto"/>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p>
        </w:tc>
      </w:tr>
      <w:tr w14:paraId="2385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7BE890C8">
            <w:pPr>
              <w:adjustRightInd w:val="0"/>
              <w:spacing w:line="360" w:lineRule="auto"/>
              <w:jc w:val="center"/>
              <w:rPr>
                <w:rFonts w:hint="eastAsia" w:ascii="宋体" w:hAnsi="宋体" w:eastAsia="宋体" w:cs="宋体"/>
                <w:b/>
                <w:bCs/>
                <w:color w:val="000000" w:themeColor="text1"/>
                <w:sz w:val="24"/>
                <w:szCs w:val="24"/>
                <w:highlight w:val="none"/>
                <w:lang w:val="en-US" w:bidi="ar-SA"/>
                <w14:textFill>
                  <w14:solidFill>
                    <w14:schemeClr w14:val="tx1"/>
                  </w14:solidFill>
                </w14:textFill>
              </w:rPr>
            </w:pPr>
            <w:r>
              <w:rPr>
                <w:rFonts w:hint="eastAsia" w:ascii="宋体" w:hAnsi="宋体" w:eastAsia="宋体" w:cs="宋体"/>
                <w:b/>
                <w:bCs/>
                <w:color w:val="000000" w:themeColor="text1"/>
                <w:sz w:val="24"/>
                <w:szCs w:val="24"/>
                <w:highlight w:val="none"/>
                <w:lang w:val="en-US" w:bidi="ar-SA"/>
                <w14:textFill>
                  <w14:solidFill>
                    <w14:schemeClr w14:val="tx1"/>
                  </w14:solidFill>
                </w14:textFill>
              </w:rPr>
              <w:t>3</w:t>
            </w:r>
          </w:p>
        </w:tc>
        <w:tc>
          <w:tcPr>
            <w:tcW w:w="5867" w:type="dxa"/>
            <w:vAlign w:val="center"/>
          </w:tcPr>
          <w:p w14:paraId="1CC3FA1B">
            <w:pPr>
              <w:pStyle w:val="19"/>
              <w:autoSpaceDE/>
              <w:autoSpaceDN/>
              <w:spacing w:before="40" w:after="40" w:line="380" w:lineRule="exact"/>
              <w:jc w:val="both"/>
              <w:rPr>
                <w:rFonts w:hint="eastAsia" w:ascii="宋体" w:hAnsi="宋体" w:eastAsia="宋体" w:cs="宋体"/>
                <w:b/>
                <w:bCs/>
                <w:color w:val="000000" w:themeColor="text1"/>
                <w:highlight w:val="none"/>
                <w:lang w:val="en-US" w:bidi="ar-SA"/>
                <w14:textFill>
                  <w14:solidFill>
                    <w14:schemeClr w14:val="tx1"/>
                  </w14:solidFill>
                </w14:textFill>
              </w:rPr>
            </w:pPr>
            <w:r>
              <w:rPr>
                <w:rFonts w:hint="eastAsia" w:cs="宋体"/>
                <w:kern w:val="2"/>
                <w:highlight w:val="none"/>
                <w:lang w:val="en-US" w:eastAsia="zh-CN" w:bidi="ar-SA"/>
              </w:rPr>
              <w:t>近六个月内任意一个月完税证明及近六个月内任意一个月本单位社保缴纳证明</w:t>
            </w:r>
            <w:r>
              <w:rPr>
                <w:rFonts w:hint="eastAsia" w:ascii="宋体" w:hAnsi="宋体" w:eastAsia="宋体" w:cs="宋体"/>
                <w:kern w:val="2"/>
                <w:highlight w:val="none"/>
                <w:lang w:val="en-US" w:bidi="ar-SA"/>
              </w:rPr>
              <w:t>（及个人明细）、</w:t>
            </w:r>
            <w:r>
              <w:rPr>
                <w:rFonts w:hint="eastAsia" w:cs="宋体"/>
                <w:kern w:val="2"/>
                <w:highlight w:val="none"/>
                <w:lang w:val="en-US" w:eastAsia="zh-CN" w:bidi="ar-SA"/>
              </w:rPr>
              <w:t>近一年（指2024年度或2025年年度）财务审计报告</w:t>
            </w:r>
            <w:r>
              <w:rPr>
                <w:rFonts w:hint="eastAsia" w:ascii="宋体" w:hAnsi="宋体" w:eastAsia="宋体" w:cs="宋体"/>
                <w:kern w:val="2"/>
                <w:highlight w:val="none"/>
                <w:lang w:val="en-US" w:bidi="ar-SA"/>
              </w:rPr>
              <w:t>（成立不满一年的提供开标前一个月内有效银行资信证明）；</w:t>
            </w:r>
          </w:p>
        </w:tc>
        <w:tc>
          <w:tcPr>
            <w:tcW w:w="1344" w:type="dxa"/>
            <w:vAlign w:val="center"/>
          </w:tcPr>
          <w:p w14:paraId="34020383">
            <w:pPr>
              <w:adjustRightInd w:val="0"/>
              <w:spacing w:line="300" w:lineRule="auto"/>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p>
        </w:tc>
        <w:tc>
          <w:tcPr>
            <w:tcW w:w="1344" w:type="dxa"/>
            <w:vAlign w:val="center"/>
          </w:tcPr>
          <w:p w14:paraId="51F3A8ED">
            <w:pPr>
              <w:adjustRightInd w:val="0"/>
              <w:spacing w:line="300" w:lineRule="auto"/>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p>
        </w:tc>
      </w:tr>
      <w:tr w14:paraId="1B20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41ADFBDF">
            <w:pPr>
              <w:adjustRightInd w:val="0"/>
              <w:spacing w:line="360" w:lineRule="auto"/>
              <w:jc w:val="center"/>
              <w:rPr>
                <w:rFonts w:hint="eastAsia" w:ascii="宋体" w:hAnsi="宋体" w:eastAsia="宋体" w:cs="宋体"/>
                <w:b/>
                <w:bCs/>
                <w:color w:val="000000" w:themeColor="text1"/>
                <w:sz w:val="24"/>
                <w:szCs w:val="24"/>
                <w:highlight w:val="none"/>
                <w:lang w:val="en-US" w:bidi="ar-SA"/>
                <w14:textFill>
                  <w14:solidFill>
                    <w14:schemeClr w14:val="tx1"/>
                  </w14:solidFill>
                </w14:textFill>
              </w:rPr>
            </w:pPr>
            <w:r>
              <w:rPr>
                <w:rFonts w:hint="eastAsia" w:ascii="宋体" w:hAnsi="宋体" w:eastAsia="宋体" w:cs="宋体"/>
                <w:b/>
                <w:bCs/>
                <w:color w:val="000000" w:themeColor="text1"/>
                <w:sz w:val="24"/>
                <w:szCs w:val="24"/>
                <w:highlight w:val="none"/>
                <w:lang w:val="en-US" w:bidi="ar-SA"/>
                <w14:textFill>
                  <w14:solidFill>
                    <w14:schemeClr w14:val="tx1"/>
                  </w14:solidFill>
                </w14:textFill>
              </w:rPr>
              <w:t>4</w:t>
            </w:r>
          </w:p>
        </w:tc>
        <w:tc>
          <w:tcPr>
            <w:tcW w:w="5867" w:type="dxa"/>
            <w:vAlign w:val="center"/>
          </w:tcPr>
          <w:p w14:paraId="2A04EBC7">
            <w:pPr>
              <w:pStyle w:val="19"/>
              <w:autoSpaceDE/>
              <w:autoSpaceDN/>
              <w:spacing w:before="40" w:after="40" w:line="380" w:lineRule="exact"/>
              <w:jc w:val="both"/>
              <w:rPr>
                <w:rFonts w:hint="eastAsia" w:ascii="宋体" w:hAnsi="宋体" w:eastAsia="宋体" w:cs="宋体"/>
                <w:b/>
                <w:bCs/>
                <w:color w:val="000000" w:themeColor="text1"/>
                <w:highlight w:val="none"/>
                <w:lang w:val="en-US" w:bidi="ar-SA"/>
                <w14:textFill>
                  <w14:solidFill>
                    <w14:schemeClr w14:val="tx1"/>
                  </w14:solidFill>
                </w14:textFill>
              </w:rPr>
            </w:pPr>
            <w:r>
              <w:rPr>
                <w:rFonts w:hint="eastAsia" w:ascii="宋体" w:hAnsi="宋体" w:eastAsia="宋体" w:cs="宋体"/>
                <w:kern w:val="2"/>
                <w:highlight w:val="none"/>
                <w:lang w:val="en-US" w:bidi="ar-SA"/>
              </w:rPr>
              <w:t>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拒绝其参加本次政府采购活动；</w:t>
            </w:r>
          </w:p>
        </w:tc>
        <w:tc>
          <w:tcPr>
            <w:tcW w:w="1344" w:type="dxa"/>
            <w:vAlign w:val="center"/>
          </w:tcPr>
          <w:p w14:paraId="3D7C0389">
            <w:pPr>
              <w:adjustRightInd w:val="0"/>
              <w:spacing w:line="300" w:lineRule="auto"/>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p>
        </w:tc>
        <w:tc>
          <w:tcPr>
            <w:tcW w:w="1344" w:type="dxa"/>
            <w:vAlign w:val="center"/>
          </w:tcPr>
          <w:p w14:paraId="7CAAFEE7">
            <w:pPr>
              <w:adjustRightInd w:val="0"/>
              <w:spacing w:line="300" w:lineRule="auto"/>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p>
        </w:tc>
      </w:tr>
      <w:tr w14:paraId="4B43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6AF518B0">
            <w:pPr>
              <w:adjustRightInd w:val="0"/>
              <w:spacing w:line="360" w:lineRule="auto"/>
              <w:jc w:val="center"/>
              <w:rPr>
                <w:rFonts w:hint="eastAsia" w:ascii="宋体" w:hAnsi="宋体" w:eastAsia="宋体" w:cs="宋体"/>
                <w:b/>
                <w:bCs/>
                <w:color w:val="000000" w:themeColor="text1"/>
                <w:sz w:val="24"/>
                <w:szCs w:val="24"/>
                <w:highlight w:val="none"/>
                <w:lang w:val="en-US" w:bidi="ar-SA"/>
                <w14:textFill>
                  <w14:solidFill>
                    <w14:schemeClr w14:val="tx1"/>
                  </w14:solidFill>
                </w14:textFill>
              </w:rPr>
            </w:pPr>
            <w:r>
              <w:rPr>
                <w:rFonts w:hint="eastAsia" w:ascii="宋体" w:hAnsi="宋体" w:eastAsia="宋体" w:cs="宋体"/>
                <w:b/>
                <w:bCs/>
                <w:color w:val="000000" w:themeColor="text1"/>
                <w:sz w:val="24"/>
                <w:szCs w:val="24"/>
                <w:highlight w:val="none"/>
                <w:lang w:val="en-US" w:bidi="ar-SA"/>
                <w14:textFill>
                  <w14:solidFill>
                    <w14:schemeClr w14:val="tx1"/>
                  </w14:solidFill>
                </w14:textFill>
              </w:rPr>
              <w:t>5</w:t>
            </w:r>
          </w:p>
        </w:tc>
        <w:tc>
          <w:tcPr>
            <w:tcW w:w="5867" w:type="dxa"/>
            <w:vAlign w:val="center"/>
          </w:tcPr>
          <w:p w14:paraId="02252F37">
            <w:pPr>
              <w:pStyle w:val="19"/>
              <w:autoSpaceDE/>
              <w:autoSpaceDN/>
              <w:spacing w:before="40" w:after="40" w:line="380" w:lineRule="exact"/>
              <w:jc w:val="both"/>
              <w:rPr>
                <w:rFonts w:hint="eastAsia" w:ascii="宋体" w:hAnsi="宋体" w:eastAsia="宋体" w:cs="宋体"/>
                <w:b/>
                <w:bCs/>
                <w:color w:val="000000" w:themeColor="text1"/>
                <w:highlight w:val="none"/>
                <w:lang w:val="en-US" w:eastAsia="zh-CN" w:bidi="ar-SA"/>
                <w14:textFill>
                  <w14:solidFill>
                    <w14:schemeClr w14:val="tx1"/>
                  </w14:solidFill>
                </w14:textFill>
              </w:rPr>
            </w:pPr>
            <w:r>
              <w:rPr>
                <w:rFonts w:hint="eastAsia" w:ascii="宋体" w:hAnsi="宋体" w:eastAsia="宋体" w:cs="宋体"/>
                <w:kern w:val="2"/>
                <w:highlight w:val="none"/>
                <w:lang w:val="en-US" w:bidi="ar-SA"/>
              </w:rPr>
              <w:t>供应商及其法人参加本次采购活动前三年内，在经营活动中没有重大违法记录的声明及</w:t>
            </w:r>
            <w:r>
              <w:rPr>
                <w:rFonts w:hint="eastAsia" w:cs="宋体"/>
                <w:kern w:val="2"/>
                <w:highlight w:val="none"/>
                <w:lang w:val="en-US" w:eastAsia="zh-CN" w:bidi="ar-SA"/>
              </w:rPr>
              <w:t>反商业贿赂承诺书；</w:t>
            </w:r>
          </w:p>
        </w:tc>
        <w:tc>
          <w:tcPr>
            <w:tcW w:w="1344" w:type="dxa"/>
            <w:vAlign w:val="center"/>
          </w:tcPr>
          <w:p w14:paraId="5457183D">
            <w:pPr>
              <w:adjustRightInd w:val="0"/>
              <w:spacing w:line="300" w:lineRule="auto"/>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p>
        </w:tc>
        <w:tc>
          <w:tcPr>
            <w:tcW w:w="1344" w:type="dxa"/>
            <w:vAlign w:val="center"/>
          </w:tcPr>
          <w:p w14:paraId="4C7167EF">
            <w:pPr>
              <w:adjustRightInd w:val="0"/>
              <w:spacing w:line="300" w:lineRule="auto"/>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p>
        </w:tc>
      </w:tr>
      <w:tr w14:paraId="6103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6AF91E4B">
            <w:pPr>
              <w:adjustRightInd w:val="0"/>
              <w:spacing w:line="360" w:lineRule="auto"/>
              <w:jc w:val="center"/>
              <w:rPr>
                <w:rFonts w:hint="eastAsia" w:ascii="宋体" w:hAnsi="宋体" w:eastAsia="宋体" w:cs="宋体"/>
                <w:b/>
                <w:bCs/>
                <w:color w:val="000000" w:themeColor="text1"/>
                <w:sz w:val="24"/>
                <w:szCs w:val="24"/>
                <w:highlight w:val="none"/>
                <w:lang w:val="en-US" w:bidi="ar-SA"/>
                <w14:textFill>
                  <w14:solidFill>
                    <w14:schemeClr w14:val="tx1"/>
                  </w14:solidFill>
                </w14:textFill>
              </w:rPr>
            </w:pPr>
            <w:r>
              <w:rPr>
                <w:rFonts w:hint="eastAsia" w:ascii="宋体" w:hAnsi="宋体" w:eastAsia="宋体" w:cs="宋体"/>
                <w:b/>
                <w:bCs/>
                <w:color w:val="000000" w:themeColor="text1"/>
                <w:sz w:val="24"/>
                <w:szCs w:val="24"/>
                <w:highlight w:val="none"/>
                <w:lang w:val="en-US" w:bidi="ar-SA"/>
                <w14:textFill>
                  <w14:solidFill>
                    <w14:schemeClr w14:val="tx1"/>
                  </w14:solidFill>
                </w14:textFill>
              </w:rPr>
              <w:t>6</w:t>
            </w:r>
          </w:p>
        </w:tc>
        <w:tc>
          <w:tcPr>
            <w:tcW w:w="5867" w:type="dxa"/>
            <w:vAlign w:val="center"/>
          </w:tcPr>
          <w:p w14:paraId="26D97BF6">
            <w:pPr>
              <w:pStyle w:val="19"/>
              <w:autoSpaceDE/>
              <w:autoSpaceDN/>
              <w:spacing w:before="40" w:after="40" w:line="380" w:lineRule="exact"/>
              <w:jc w:val="both"/>
              <w:rPr>
                <w:rFonts w:hint="eastAsia" w:ascii="宋体" w:hAnsi="宋体" w:eastAsia="宋体" w:cs="宋体"/>
                <w:b/>
                <w:bCs/>
                <w:color w:val="000000" w:themeColor="text1"/>
                <w:highlight w:val="none"/>
                <w:lang w:val="en-US" w:bidi="ar-SA"/>
                <w14:textFill>
                  <w14:solidFill>
                    <w14:schemeClr w14:val="tx1"/>
                  </w14:solidFill>
                </w14:textFill>
              </w:rPr>
            </w:pPr>
            <w:r>
              <w:rPr>
                <w:rFonts w:hint="eastAsia" w:ascii="宋体" w:hAnsi="宋体" w:eastAsia="宋体" w:cs="宋体"/>
                <w:kern w:val="2"/>
                <w:highlight w:val="none"/>
                <w:lang w:val="en-US" w:bidi="ar-SA"/>
              </w:rPr>
              <w:t>投标人须具备：供应商须具备公路工程施工总承包叁级及以上资质，具有合格有效的安全生产许可证；项目经理须具备公路工程专业二级及以上注册建造师执业资格，持有有效的交通运输主管部门颁发的安全生产考核合格证书(B类),且未担任其他在建工程项目的项目经理；</w:t>
            </w:r>
          </w:p>
        </w:tc>
        <w:tc>
          <w:tcPr>
            <w:tcW w:w="1344" w:type="dxa"/>
            <w:vAlign w:val="center"/>
          </w:tcPr>
          <w:p w14:paraId="268135FE">
            <w:pPr>
              <w:adjustRightInd w:val="0"/>
              <w:spacing w:line="300" w:lineRule="auto"/>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p>
        </w:tc>
        <w:tc>
          <w:tcPr>
            <w:tcW w:w="1344" w:type="dxa"/>
            <w:vAlign w:val="center"/>
          </w:tcPr>
          <w:p w14:paraId="04FB25FA">
            <w:pPr>
              <w:adjustRightInd w:val="0"/>
              <w:spacing w:line="300" w:lineRule="auto"/>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p>
        </w:tc>
      </w:tr>
      <w:tr w14:paraId="1962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31" w:type="dxa"/>
            <w:vAlign w:val="center"/>
          </w:tcPr>
          <w:p w14:paraId="276AC5CF">
            <w:pPr>
              <w:adjustRightInd w:val="0"/>
              <w:jc w:val="center"/>
              <w:rPr>
                <w:rFonts w:hint="eastAsia" w:ascii="宋体" w:hAnsi="宋体" w:eastAsia="宋体" w:cs="宋体"/>
                <w:b/>
                <w:bCs/>
                <w:color w:val="000000" w:themeColor="text1"/>
                <w:sz w:val="24"/>
                <w:szCs w:val="24"/>
                <w:highlight w:val="none"/>
                <w:lang w:val="en-US" w:bidi="ar-SA"/>
                <w14:textFill>
                  <w14:solidFill>
                    <w14:schemeClr w14:val="tx1"/>
                  </w14:solidFill>
                </w14:textFill>
              </w:rPr>
            </w:pPr>
            <w:r>
              <w:rPr>
                <w:rFonts w:hint="eastAsia" w:ascii="宋体" w:hAnsi="宋体" w:eastAsia="宋体" w:cs="宋体"/>
                <w:b/>
                <w:bCs/>
                <w:color w:val="000000" w:themeColor="text1"/>
                <w:sz w:val="24"/>
                <w:szCs w:val="24"/>
                <w:highlight w:val="none"/>
                <w:lang w:val="en-US" w:bidi="ar-SA"/>
                <w14:textFill>
                  <w14:solidFill>
                    <w14:schemeClr w14:val="tx1"/>
                  </w14:solidFill>
                </w14:textFill>
              </w:rPr>
              <w:t>7</w:t>
            </w:r>
          </w:p>
        </w:tc>
        <w:tc>
          <w:tcPr>
            <w:tcW w:w="5867" w:type="dxa"/>
            <w:vAlign w:val="center"/>
          </w:tcPr>
          <w:p w14:paraId="7D18C333">
            <w:pPr>
              <w:widowControl/>
              <w:autoSpaceDE/>
              <w:autoSpaceDN/>
              <w:spacing w:before="40" w:after="40" w:line="380" w:lineRule="exact"/>
              <w:jc w:val="both"/>
              <w:rPr>
                <w:rFonts w:hint="eastAsia" w:ascii="宋体" w:hAnsi="宋体" w:eastAsia="宋体" w:cs="宋体"/>
                <w:b/>
                <w:bCs/>
                <w:color w:val="000000" w:themeColor="text1"/>
                <w:sz w:val="24"/>
                <w:szCs w:val="24"/>
                <w:highlight w:val="none"/>
                <w:lang w:val="en-US" w:bidi="ar-SA"/>
                <w14:textFill>
                  <w14:solidFill>
                    <w14:schemeClr w14:val="tx1"/>
                  </w14:solidFill>
                </w14:textFill>
              </w:rPr>
            </w:pPr>
            <w:r>
              <w:rPr>
                <w:rFonts w:hint="eastAsia" w:ascii="宋体" w:hAnsi="宋体" w:eastAsia="宋体" w:cs="宋体"/>
                <w:kern w:val="2"/>
                <w:sz w:val="24"/>
                <w:szCs w:val="24"/>
                <w:highlight w:val="none"/>
                <w:lang w:val="en-US" w:bidi="ar-SA"/>
              </w:rPr>
              <w:t>投标保证金缴纳凭证。</w:t>
            </w:r>
          </w:p>
        </w:tc>
        <w:tc>
          <w:tcPr>
            <w:tcW w:w="1344" w:type="dxa"/>
            <w:vAlign w:val="center"/>
          </w:tcPr>
          <w:p w14:paraId="0FD2B425">
            <w:pPr>
              <w:adjustRightInd w:val="0"/>
              <w:spacing w:line="300" w:lineRule="auto"/>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p>
        </w:tc>
        <w:tc>
          <w:tcPr>
            <w:tcW w:w="1344" w:type="dxa"/>
            <w:vAlign w:val="center"/>
          </w:tcPr>
          <w:p w14:paraId="6F85E56A">
            <w:pPr>
              <w:adjustRightInd w:val="0"/>
              <w:spacing w:line="300" w:lineRule="auto"/>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p>
        </w:tc>
      </w:tr>
      <w:tr w14:paraId="5BC8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31" w:type="dxa"/>
            <w:vAlign w:val="center"/>
          </w:tcPr>
          <w:p w14:paraId="3BC615B5">
            <w:pPr>
              <w:adjustRightInd w:val="0"/>
              <w:jc w:val="center"/>
              <w:rPr>
                <w:rFonts w:hint="eastAsia" w:ascii="宋体" w:hAnsi="宋体" w:eastAsia="宋体" w:cs="宋体"/>
                <w:b/>
                <w:bCs/>
                <w:color w:val="000000" w:themeColor="text1"/>
                <w:sz w:val="24"/>
                <w:szCs w:val="24"/>
                <w:highlight w:val="none"/>
                <w:lang w:val="en-US" w:bidi="ar-SA"/>
                <w14:textFill>
                  <w14:solidFill>
                    <w14:schemeClr w14:val="tx1"/>
                  </w14:solidFill>
                </w14:textFill>
              </w:rPr>
            </w:pPr>
            <w:r>
              <w:rPr>
                <w:rFonts w:hint="eastAsia" w:ascii="宋体" w:hAnsi="宋体" w:eastAsia="宋体" w:cs="宋体"/>
                <w:b/>
                <w:bCs/>
                <w:color w:val="000000" w:themeColor="text1"/>
                <w:sz w:val="24"/>
                <w:szCs w:val="24"/>
                <w:highlight w:val="none"/>
                <w:lang w:val="en-US" w:bidi="ar-SA"/>
                <w14:textFill>
                  <w14:solidFill>
                    <w14:schemeClr w14:val="tx1"/>
                  </w14:solidFill>
                </w14:textFill>
              </w:rPr>
              <w:t>8</w:t>
            </w:r>
          </w:p>
        </w:tc>
        <w:tc>
          <w:tcPr>
            <w:tcW w:w="5867" w:type="dxa"/>
            <w:vAlign w:val="center"/>
          </w:tcPr>
          <w:p w14:paraId="4E64AD3E">
            <w:pPr>
              <w:widowControl/>
              <w:autoSpaceDE/>
              <w:autoSpaceDN/>
              <w:spacing w:before="40" w:after="40" w:line="380" w:lineRule="exact"/>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《中小企业声明函》及《分包意向协议》。1、供应商所提供工程全部由小微企业承接的，请根据要求提供《中小企业声明函》。2、</w:t>
            </w:r>
            <w:r>
              <w:rPr>
                <w:rFonts w:hint="eastAsia" w:cs="宋体"/>
                <w:kern w:val="2"/>
                <w:sz w:val="24"/>
                <w:szCs w:val="24"/>
                <w:highlight w:val="none"/>
                <w:lang w:val="en-US" w:eastAsia="zh-CN" w:bidi="ar-SA"/>
              </w:rPr>
              <w:t>供应商所提供工程为大中型企业承接的，应预留至少40%的份额由中小企业提供，其中预留给小微企业的比例不低于60%。</w:t>
            </w:r>
            <w:r>
              <w:rPr>
                <w:rFonts w:hint="eastAsia" w:ascii="宋体" w:hAnsi="宋体" w:eastAsia="宋体" w:cs="宋体"/>
                <w:kern w:val="2"/>
                <w:sz w:val="24"/>
                <w:szCs w:val="24"/>
                <w:highlight w:val="none"/>
                <w:lang w:val="en-US" w:bidi="ar-SA"/>
              </w:rPr>
              <w:t>，请根据要求提供《分包意向协议》，并在分包意向协议中进行相关比例说明。应预留至少</w:t>
            </w:r>
            <w:r>
              <w:rPr>
                <w:rFonts w:hint="eastAsia" w:cs="宋体"/>
                <w:kern w:val="2"/>
                <w:sz w:val="24"/>
                <w:szCs w:val="24"/>
                <w:highlight w:val="none"/>
                <w:lang w:val="en-US" w:eastAsia="zh-CN" w:bidi="ar-SA"/>
              </w:rPr>
              <w:t>4</w:t>
            </w:r>
            <w:r>
              <w:rPr>
                <w:rFonts w:hint="eastAsia" w:ascii="宋体" w:hAnsi="宋体" w:eastAsia="宋体" w:cs="宋体"/>
                <w:kern w:val="2"/>
                <w:sz w:val="24"/>
                <w:szCs w:val="24"/>
                <w:highlight w:val="none"/>
                <w:lang w:val="en-US" w:bidi="ar-SA"/>
              </w:rPr>
              <w:t>0%的份额由中小企业提供，其中预留给小微企业的比例不低于60%，并提供《中小企业声明函》。如果不按照要求提供预留份额将视为没有实质性响应招标文件，将做无效投标处理。）</w:t>
            </w:r>
          </w:p>
        </w:tc>
        <w:tc>
          <w:tcPr>
            <w:tcW w:w="1344" w:type="dxa"/>
            <w:vAlign w:val="center"/>
          </w:tcPr>
          <w:p w14:paraId="1C82E2CF">
            <w:pPr>
              <w:adjustRightInd w:val="0"/>
              <w:spacing w:line="300" w:lineRule="auto"/>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p>
        </w:tc>
        <w:tc>
          <w:tcPr>
            <w:tcW w:w="1344" w:type="dxa"/>
            <w:vAlign w:val="center"/>
          </w:tcPr>
          <w:p w14:paraId="1C5AEE89">
            <w:pPr>
              <w:adjustRightInd w:val="0"/>
              <w:spacing w:line="300" w:lineRule="auto"/>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p>
        </w:tc>
      </w:tr>
      <w:tr w14:paraId="45F8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1" w:type="dxa"/>
            <w:vAlign w:val="center"/>
          </w:tcPr>
          <w:p w14:paraId="6C2F9A06">
            <w:pPr>
              <w:adjustRightInd w:val="0"/>
              <w:spacing w:line="360" w:lineRule="auto"/>
              <w:jc w:val="both"/>
              <w:rPr>
                <w:rFonts w:hint="eastAsia" w:ascii="宋体" w:hAnsi="宋体" w:eastAsia="宋体" w:cs="宋体"/>
                <w:b/>
                <w:bCs/>
                <w:color w:val="000000" w:themeColor="text1"/>
                <w:sz w:val="24"/>
                <w:szCs w:val="24"/>
                <w:highlight w:val="none"/>
                <w:lang w:val="en-US" w:bidi="ar-SA"/>
                <w14:textFill>
                  <w14:solidFill>
                    <w14:schemeClr w14:val="tx1"/>
                  </w14:solidFill>
                </w14:textFill>
              </w:rPr>
            </w:pPr>
          </w:p>
        </w:tc>
        <w:tc>
          <w:tcPr>
            <w:tcW w:w="5867" w:type="dxa"/>
            <w:vAlign w:val="center"/>
          </w:tcPr>
          <w:p w14:paraId="0A28F0C2">
            <w:pPr>
              <w:adjustRightInd w:val="0"/>
              <w:spacing w:line="360" w:lineRule="auto"/>
              <w:jc w:val="both"/>
              <w:rPr>
                <w:rFonts w:hint="eastAsia" w:ascii="宋体" w:hAnsi="宋体" w:eastAsia="宋体" w:cs="宋体"/>
                <w:b/>
                <w:bCs/>
                <w:color w:val="000000" w:themeColor="text1"/>
                <w:sz w:val="24"/>
                <w:szCs w:val="24"/>
                <w:highlight w:val="none"/>
                <w:lang w:val="en-US" w:bidi="ar-SA"/>
                <w14:textFill>
                  <w14:solidFill>
                    <w14:schemeClr w14:val="tx1"/>
                  </w14:solidFill>
                </w14:textFill>
              </w:rPr>
            </w:pPr>
            <w:r>
              <w:rPr>
                <w:rFonts w:hint="eastAsia" w:ascii="宋体" w:hAnsi="宋体" w:eastAsia="宋体" w:cs="宋体"/>
                <w:b/>
                <w:bCs/>
                <w:color w:val="000000" w:themeColor="text1"/>
                <w:sz w:val="24"/>
                <w:szCs w:val="24"/>
                <w:highlight w:val="none"/>
                <w:lang w:val="en-US" w:bidi="ar-SA"/>
                <w14:textFill>
                  <w14:solidFill>
                    <w14:schemeClr w14:val="tx1"/>
                  </w14:solidFill>
                </w14:textFill>
              </w:rPr>
              <w:t>结论：是否通过评审</w:t>
            </w:r>
          </w:p>
        </w:tc>
        <w:tc>
          <w:tcPr>
            <w:tcW w:w="1344" w:type="dxa"/>
            <w:vAlign w:val="center"/>
          </w:tcPr>
          <w:p w14:paraId="0C85D2F5">
            <w:pPr>
              <w:adjustRightInd w:val="0"/>
              <w:spacing w:line="300" w:lineRule="auto"/>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p>
        </w:tc>
        <w:tc>
          <w:tcPr>
            <w:tcW w:w="1344" w:type="dxa"/>
            <w:vAlign w:val="center"/>
          </w:tcPr>
          <w:p w14:paraId="0333AB7D">
            <w:pPr>
              <w:adjustRightInd w:val="0"/>
              <w:spacing w:line="300" w:lineRule="auto"/>
              <w:jc w:val="center"/>
              <w:rPr>
                <w:rFonts w:hint="eastAsia" w:ascii="宋体" w:hAnsi="宋体" w:eastAsia="宋体" w:cs="宋体"/>
                <w:color w:val="000000" w:themeColor="text1"/>
                <w:sz w:val="24"/>
                <w:szCs w:val="24"/>
                <w:highlight w:val="none"/>
                <w:lang w:val="en-US" w:bidi="ar-SA"/>
                <w14:textFill>
                  <w14:solidFill>
                    <w14:schemeClr w14:val="tx1"/>
                  </w14:solidFill>
                </w14:textFill>
              </w:rPr>
            </w:pPr>
          </w:p>
        </w:tc>
      </w:tr>
    </w:tbl>
    <w:p w14:paraId="14AA6742">
      <w:pPr>
        <w:adjustRightInd w:val="0"/>
        <w:spacing w:line="360" w:lineRule="auto"/>
        <w:rPr>
          <w:rFonts w:hint="eastAsia" w:ascii="宋体" w:hAnsi="宋体" w:eastAsia="宋体" w:cs="宋体"/>
          <w:b/>
          <w:color w:val="000000" w:themeColor="text1"/>
          <w:sz w:val="24"/>
          <w:szCs w:val="24"/>
          <w:highlight w:val="none"/>
          <w:lang w:val="en-US" w:bidi="ar-SA"/>
          <w14:textFill>
            <w14:solidFill>
              <w14:schemeClr w14:val="tx1"/>
            </w14:solidFill>
          </w14:textFill>
        </w:rPr>
      </w:pPr>
    </w:p>
    <w:p w14:paraId="47E90DEB">
      <w:pPr>
        <w:adjustRightInd w:val="0"/>
        <w:spacing w:line="360" w:lineRule="auto"/>
        <w:ind w:firstLine="482" w:firstLineChars="200"/>
        <w:rPr>
          <w:rFonts w:hint="eastAsia" w:ascii="宋体" w:hAnsi="宋体" w:eastAsia="宋体" w:cs="宋体"/>
          <w:b/>
          <w:sz w:val="24"/>
          <w:szCs w:val="24"/>
          <w:highlight w:val="none"/>
          <w:lang w:bidi="ar-SA"/>
        </w:rPr>
      </w:pPr>
      <w:r>
        <w:rPr>
          <w:rFonts w:hint="eastAsia" w:ascii="宋体" w:hAnsi="宋体" w:eastAsia="宋体" w:cs="宋体"/>
          <w:b/>
          <w:sz w:val="24"/>
          <w:szCs w:val="24"/>
          <w:highlight w:val="none"/>
          <w:lang w:val="en-US" w:bidi="ar-SA"/>
        </w:rPr>
        <w:t>3、</w:t>
      </w:r>
      <w:r>
        <w:rPr>
          <w:rFonts w:hint="eastAsia" w:ascii="宋体" w:hAnsi="宋体" w:eastAsia="宋体" w:cs="宋体"/>
          <w:b/>
          <w:sz w:val="24"/>
          <w:szCs w:val="24"/>
          <w:highlight w:val="none"/>
          <w:lang w:bidi="ar-SA"/>
        </w:rPr>
        <w:t>符合性审查</w:t>
      </w:r>
    </w:p>
    <w:p w14:paraId="04A0B671">
      <w:pPr>
        <w:adjustRightInd w:val="0"/>
        <w:spacing w:line="360" w:lineRule="auto"/>
        <w:ind w:firstLine="480" w:firstLineChars="200"/>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val="en-US" w:bidi="ar-SA"/>
        </w:rPr>
        <w:t>3.1 磋商小组</w:t>
      </w:r>
      <w:r>
        <w:rPr>
          <w:rFonts w:hint="eastAsia" w:ascii="宋体" w:hAnsi="宋体" w:eastAsia="宋体" w:cs="宋体"/>
          <w:sz w:val="24"/>
          <w:szCs w:val="24"/>
          <w:highlight w:val="none"/>
          <w:lang w:bidi="ar-SA"/>
        </w:rPr>
        <w:t>应依据磋商文件的规定，对供应商的响应文件的有效性、完整性和对磋商文件的响应程度进行审查，以确定是否对磋商文件的要求做出实质性响应，对磋商文件的要求未做出实质性响应的供应商，不得进入具体评标程序。</w:t>
      </w:r>
    </w:p>
    <w:p w14:paraId="0E98F838">
      <w:pPr>
        <w:adjustRightInd w:val="0"/>
        <w:spacing w:line="360" w:lineRule="auto"/>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3.2 磋商小组应当根据磋商文件，审查并逐项列出每一个响应文件的全部投标偏差。投标偏差分为重大偏差和细微偏差。</w:t>
      </w:r>
    </w:p>
    <w:p w14:paraId="1E6A23DB">
      <w:pPr>
        <w:adjustRightInd w:val="0"/>
        <w:spacing w:line="360" w:lineRule="auto"/>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1）细微偏差是指投标实质上响应了磋商文件要求，但在个别地方存在漏项或者提供了不完整的技术信息和数据等情况，并且补正这些遗漏或不完整不会对其他供应商造成不公平的结果。细微偏差不影响响应文件的有效性。</w:t>
      </w:r>
    </w:p>
    <w:p w14:paraId="3CB1E542">
      <w:pPr>
        <w:adjustRightInd w:val="0"/>
        <w:spacing w:line="360" w:lineRule="auto"/>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（2）应当要求存在细小偏差的供应商在评标结束前以书面形式予以补正。拒绝补正的，在综合评审时可以对细微偏差作不利于该供应商的量化。</w:t>
      </w:r>
    </w:p>
    <w:p w14:paraId="4274C8CE">
      <w:pPr>
        <w:adjustRightInd w:val="0"/>
        <w:spacing w:line="360" w:lineRule="auto"/>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重大偏离或保留系指影响到磋商文件规定的招标范围、技术要求、质量要求和商务条款，响应文件中附有采购人不能接受的条件的，或限制了采购人的权力和义务的规定，和不符合磋商文件中规定的其他实质性要求的等。</w:t>
      </w:r>
    </w:p>
    <w:p w14:paraId="533943A8">
      <w:pPr>
        <w:adjustRightInd w:val="0"/>
        <w:spacing w:line="360" w:lineRule="auto"/>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（4）发现有重大偏差时，磋商小组及其成员应按磋商文件中的规定，可以取消其投标的权利。</w:t>
      </w:r>
    </w:p>
    <w:p w14:paraId="42EF25CA">
      <w:pPr>
        <w:adjustRightInd w:val="0"/>
        <w:spacing w:line="360" w:lineRule="auto"/>
        <w:ind w:firstLine="482" w:firstLineChars="200"/>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 xml:space="preserve">3.3 </w:t>
      </w:r>
      <w:r>
        <w:rPr>
          <w:rFonts w:hint="eastAsia" w:ascii="宋体" w:hAnsi="宋体" w:eastAsia="宋体" w:cs="宋体"/>
          <w:b/>
          <w:sz w:val="24"/>
          <w:szCs w:val="24"/>
          <w:highlight w:val="none"/>
          <w:lang w:bidi="ar-SA"/>
        </w:rPr>
        <w:t>进行符合性审查时，磋商小组及成员</w:t>
      </w:r>
      <w:r>
        <w:rPr>
          <w:rFonts w:hint="eastAsia" w:ascii="宋体" w:hAnsi="宋体" w:eastAsia="宋体" w:cs="宋体"/>
          <w:b/>
          <w:sz w:val="24"/>
          <w:szCs w:val="24"/>
          <w:highlight w:val="none"/>
          <w:lang w:val="en-US" w:bidi="ar-SA"/>
        </w:rPr>
        <w:t>应当审查每一个响应文件是否对磋商文件提出的所有实质性要求和条件作出响应。未能实质上响应的，视情况按照磋商文件的规定，应不得进入综合评审程序。主要有下列情况：</w:t>
      </w:r>
    </w:p>
    <w:p w14:paraId="022A5417">
      <w:pPr>
        <w:kinsoku w:val="0"/>
        <w:overflowPunct w:val="0"/>
        <w:adjustRightInd w:val="0"/>
        <w:spacing w:before="57" w:line="440" w:lineRule="exact"/>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（1）未按照磋商文件规定要求签署、盖章的；</w:t>
      </w:r>
    </w:p>
    <w:p w14:paraId="18106C9C">
      <w:pPr>
        <w:kinsoku w:val="0"/>
        <w:overflowPunct w:val="0"/>
        <w:adjustRightInd w:val="0"/>
        <w:spacing w:before="57" w:line="440" w:lineRule="exact"/>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（2）响应文件明显不符合磋商文件规定的技术以及商务条款实质性要求的；</w:t>
      </w:r>
    </w:p>
    <w:p w14:paraId="24C4CF21">
      <w:pPr>
        <w:kinsoku w:val="0"/>
        <w:overflowPunct w:val="0"/>
        <w:adjustRightInd w:val="0"/>
        <w:spacing w:before="57" w:line="440" w:lineRule="exact"/>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（3）响应文件载明的工期、质量标准、安全目标等明显不符合磋商文件要求的；</w:t>
      </w:r>
    </w:p>
    <w:p w14:paraId="565C62A1">
      <w:pPr>
        <w:kinsoku w:val="0"/>
        <w:overflowPunct w:val="0"/>
        <w:adjustRightInd w:val="0"/>
        <w:spacing w:before="57" w:line="440" w:lineRule="exact"/>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（4）供应商对同一招标项目作出两个以上报价未明确效力的；</w:t>
      </w:r>
    </w:p>
    <w:p w14:paraId="2BE1B87D">
      <w:pPr>
        <w:kinsoku w:val="0"/>
        <w:overflowPunct w:val="0"/>
        <w:adjustRightInd w:val="0"/>
        <w:spacing w:before="57" w:line="440" w:lineRule="exact"/>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5）在评标过程中，发现供应商的最终报价明显低于其他投标报价，使得其报价可能低于其个别成本的，应当要求该供应商做出书面说明并提供相关证明材料。供应商不能合理说明或者不能提供相关证明材料的，磋商小组可以认定该供应商以低于成本报价竞标的；</w:t>
      </w:r>
    </w:p>
    <w:p w14:paraId="16F06219">
      <w:pPr>
        <w:kinsoku w:val="0"/>
        <w:overflowPunct w:val="0"/>
        <w:adjustRightInd w:val="0"/>
        <w:spacing w:before="57" w:line="440" w:lineRule="exact"/>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（6）供应商的投标报价超过最高限价，且采购人不能支付的；</w:t>
      </w:r>
    </w:p>
    <w:p w14:paraId="6D3F43CB">
      <w:pPr>
        <w:kinsoku w:val="0"/>
        <w:overflowPunct w:val="0"/>
        <w:adjustRightInd w:val="0"/>
        <w:spacing w:before="57" w:line="440" w:lineRule="exact"/>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（7）供应商填写完毕的工程量固化清单对工程量固化清单电子文件中的数据、格式和运算定义进行修改；工程量固化清单中的投标报价和投标函大写金额报价不一致的；</w:t>
      </w:r>
    </w:p>
    <w:p w14:paraId="3B9E9070">
      <w:pPr>
        <w:kinsoku w:val="0"/>
        <w:overflowPunct w:val="0"/>
        <w:adjustRightInd w:val="0"/>
        <w:spacing w:before="57" w:line="440" w:lineRule="exact"/>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（8）响应文件未按磋商文件规定的格式填写，内容不全或关键字迹模糊、无法辨认的；</w:t>
      </w:r>
    </w:p>
    <w:p w14:paraId="1FC1E782">
      <w:pPr>
        <w:kinsoku w:val="0"/>
        <w:overflowPunct w:val="0"/>
        <w:adjustRightInd w:val="0"/>
        <w:spacing w:before="57" w:line="440" w:lineRule="exact"/>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（9）在评标过程中，发现供应商以他人名义投标、串通投标、以行贿手段谋取成交或者以其他弄虚作假方式投标的；</w:t>
      </w:r>
    </w:p>
    <w:p w14:paraId="317FA62B">
      <w:pPr>
        <w:kinsoku w:val="0"/>
        <w:overflowPunct w:val="0"/>
        <w:adjustRightInd w:val="0"/>
        <w:spacing w:before="57" w:line="360" w:lineRule="auto"/>
        <w:ind w:left="111" w:right="112" w:firstLine="480"/>
        <w:jc w:val="both"/>
        <w:rPr>
          <w:rFonts w:hint="eastAsia" w:ascii="宋体" w:hAnsi="宋体" w:eastAsia="宋体" w:cs="宋体"/>
          <w:b/>
          <w:sz w:val="24"/>
          <w:szCs w:val="24"/>
          <w:highlight w:val="none"/>
          <w:lang w:val="en-US" w:bidi="ar-SA"/>
        </w:rPr>
      </w:pPr>
      <w:r>
        <w:rPr>
          <w:rFonts w:hint="eastAsia" w:ascii="宋体" w:hAnsi="宋体" w:eastAsia="宋体" w:cs="宋体"/>
          <w:b/>
          <w:sz w:val="24"/>
          <w:szCs w:val="24"/>
          <w:highlight w:val="none"/>
          <w:lang w:val="en-US" w:bidi="ar-SA"/>
        </w:rPr>
        <w:t>（10）响应文件附有采购人不能接受的条件的；</w:t>
      </w:r>
    </w:p>
    <w:p w14:paraId="4DFFAF15">
      <w:pPr>
        <w:pStyle w:val="5"/>
        <w:ind w:firstLine="723" w:firstLineChars="300"/>
        <w:rPr>
          <w:rFonts w:hint="eastAsia" w:ascii="宋体" w:hAnsi="宋体" w:eastAsia="宋体" w:cs="宋体"/>
          <w:highlight w:val="none"/>
          <w:lang w:val="en-US"/>
        </w:rPr>
      </w:pPr>
      <w:r>
        <w:rPr>
          <w:rFonts w:hint="eastAsia" w:ascii="宋体" w:hAnsi="宋体" w:eastAsia="宋体" w:cs="宋体"/>
          <w:b/>
          <w:sz w:val="24"/>
          <w:highlight w:val="none"/>
          <w:lang w:val="en-US" w:bidi="ar-SA"/>
        </w:rPr>
        <w:t>（11）响应文件不符合磋商文件规定的其他实质性要求的。</w:t>
      </w:r>
    </w:p>
    <w:p w14:paraId="53391187">
      <w:pPr>
        <w:adjustRightInd w:val="0"/>
        <w:spacing w:line="360" w:lineRule="auto"/>
        <w:ind w:firstLine="480" w:firstLineChars="200"/>
        <w:rPr>
          <w:rFonts w:hint="eastAsia" w:ascii="宋体" w:hAnsi="宋体" w:eastAsia="宋体" w:cs="宋体"/>
          <w:sz w:val="24"/>
          <w:szCs w:val="24"/>
          <w:highlight w:val="none"/>
          <w:lang w:val="en-US" w:bidi="ar-SA"/>
        </w:rPr>
      </w:pPr>
      <w:r>
        <w:rPr>
          <w:rFonts w:hint="eastAsia" w:ascii="宋体" w:hAnsi="宋体" w:eastAsia="宋体" w:cs="宋体"/>
          <w:sz w:val="24"/>
          <w:szCs w:val="24"/>
          <w:highlight w:val="none"/>
          <w:lang w:val="en-US" w:bidi="ar-SA"/>
        </w:rPr>
        <w:t>3.4 磋商小组根据上述规定否决不合格投标或者界定为废标后，因有效投标不足三个使得投标明显缺乏竞争性时，根据《中华人民共和国政府采购法》及磋商文件的相关规定，可以作出废标处理，并由采购人依法重新组织采购活动。</w:t>
      </w:r>
    </w:p>
    <w:p w14:paraId="15034854">
      <w:pPr>
        <w:adjustRightInd w:val="0"/>
        <w:spacing w:line="360" w:lineRule="auto"/>
        <w:ind w:firstLine="482" w:firstLineChars="200"/>
        <w:rPr>
          <w:rFonts w:hint="eastAsia" w:ascii="宋体" w:hAnsi="宋体" w:eastAsia="宋体" w:cs="宋体"/>
          <w:b/>
          <w:sz w:val="24"/>
          <w:szCs w:val="24"/>
          <w:highlight w:val="none"/>
          <w:lang w:bidi="ar-SA"/>
        </w:rPr>
      </w:pPr>
      <w:r>
        <w:rPr>
          <w:rFonts w:hint="eastAsia" w:ascii="宋体" w:hAnsi="宋体" w:eastAsia="宋体" w:cs="宋体"/>
          <w:b/>
          <w:sz w:val="24"/>
          <w:szCs w:val="24"/>
          <w:highlight w:val="none"/>
          <w:lang w:val="en-US" w:bidi="ar-SA"/>
        </w:rPr>
        <w:t>4、</w:t>
      </w:r>
      <w:r>
        <w:rPr>
          <w:rFonts w:hint="eastAsia" w:ascii="宋体" w:hAnsi="宋体" w:eastAsia="宋体" w:cs="宋体"/>
          <w:b/>
          <w:sz w:val="24"/>
          <w:szCs w:val="24"/>
          <w:highlight w:val="none"/>
          <w:lang w:bidi="ar-SA"/>
        </w:rPr>
        <w:t>详细评审标准</w:t>
      </w:r>
    </w:p>
    <w:p w14:paraId="73FADB70">
      <w:pPr>
        <w:spacing w:line="440" w:lineRule="exact"/>
        <w:ind w:firstLine="476" w:firstLineChars="200"/>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4.1竞争性磋商步骤</w:t>
      </w:r>
    </w:p>
    <w:p w14:paraId="5308C9D0">
      <w:pPr>
        <w:pStyle w:val="37"/>
        <w:widowControl w:val="0"/>
        <w:autoSpaceDE w:val="0"/>
        <w:autoSpaceDN w:val="0"/>
        <w:spacing w:before="0" w:after="0" w:line="440" w:lineRule="exact"/>
        <w:ind w:firstLine="360" w:firstLineChars="15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（1）磋商小组全体成员集中与单一供应商就采购需求、质量和服务等分别进行磋商。逐家磋商一次为一个轮次，磋商轮次由磋商小组视情况决定。</w:t>
      </w:r>
    </w:p>
    <w:p w14:paraId="3A565912">
      <w:pPr>
        <w:pStyle w:val="10"/>
        <w:kinsoku w:val="0"/>
        <w:overflowPunct w:val="0"/>
        <w:spacing w:line="440" w:lineRule="exact"/>
        <w:ind w:left="111" w:right="110" w:firstLine="240" w:firstLineChars="1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spacing w:val="1"/>
          <w:highlight w:val="none"/>
        </w:rPr>
        <w:t>在磋商过程中，磋商小组可以根据磋商文件和磋商情况变动采购需求中</w:t>
      </w:r>
      <w:r>
        <w:rPr>
          <w:rFonts w:hint="eastAsia" w:ascii="宋体" w:hAnsi="宋体" w:eastAsia="宋体" w:cs="宋体"/>
          <w:highlight w:val="none"/>
        </w:rPr>
        <w:t>的技术、商务要求以及合同草案条款，实质性变动的内容，须经采购人代表确认。</w:t>
      </w:r>
    </w:p>
    <w:p w14:paraId="613F1A88">
      <w:pPr>
        <w:pStyle w:val="10"/>
        <w:kinsoku w:val="0"/>
        <w:overflowPunct w:val="0"/>
        <w:spacing w:before="56" w:line="440" w:lineRule="exact"/>
        <w:ind w:left="111" w:right="110" w:firstLine="240" w:firstLineChars="100"/>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spacing w:val="1"/>
          <w:highlight w:val="none"/>
        </w:rPr>
        <w:t>对磋商文件作出的实质性变动是磋商文件的有效组成部分，磋商小组应</w:t>
      </w:r>
      <w:r>
        <w:rPr>
          <w:rFonts w:hint="eastAsia" w:ascii="宋体" w:hAnsi="宋体" w:eastAsia="宋体" w:cs="宋体"/>
          <w:highlight w:val="none"/>
        </w:rPr>
        <w:t>当及时以书面形式同时通知所有参加磋商的供应商。</w:t>
      </w:r>
    </w:p>
    <w:p w14:paraId="37AD3842">
      <w:pPr>
        <w:pStyle w:val="10"/>
        <w:kinsoku w:val="0"/>
        <w:overflowPunct w:val="0"/>
        <w:spacing w:line="440" w:lineRule="exact"/>
        <w:ind w:left="111" w:right="110" w:firstLine="240" w:firstLineChars="100"/>
        <w:rPr>
          <w:rFonts w:hint="eastAsia" w:ascii="宋体" w:hAnsi="宋体" w:eastAsia="宋体" w:cs="宋体"/>
          <w:highlight w:val="none"/>
        </w:rPr>
      </w:pPr>
      <w:r>
        <w:rPr>
          <w:rFonts w:hint="eastAsia" w:ascii="宋体" w:hAnsi="宋体" w:eastAsia="宋体" w:cs="宋体"/>
          <w:highlight w:val="none"/>
        </w:rPr>
        <w:t>（4）磋商结束后，磋商小组将要求实质性响应磋商文件的供应商在规定时间内在线提交最后报价，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14:paraId="7041559B">
      <w:pPr>
        <w:pStyle w:val="10"/>
        <w:kinsoku w:val="0"/>
        <w:overflowPunct w:val="0"/>
        <w:spacing w:line="440" w:lineRule="exact"/>
        <w:ind w:left="111" w:right="110" w:firstLine="240" w:firstLineChars="100"/>
        <w:rPr>
          <w:rFonts w:hint="eastAsia" w:ascii="宋体" w:hAnsi="宋体" w:eastAsia="宋体" w:cs="宋体"/>
          <w:highlight w:val="none"/>
        </w:rPr>
      </w:pPr>
      <w:r>
        <w:rPr>
          <w:rFonts w:hint="eastAsia" w:ascii="宋体" w:hAnsi="宋体" w:eastAsia="宋体" w:cs="宋体"/>
          <w:highlight w:val="none"/>
        </w:rPr>
        <w:t>（5）磋商结束后，参加磋商的供应商应当对磋商达成的意向，以书面形式由全权代表签字确认后提交。</w:t>
      </w:r>
    </w:p>
    <w:p w14:paraId="018A719F">
      <w:pPr>
        <w:pStyle w:val="10"/>
        <w:kinsoku w:val="0"/>
        <w:overflowPunct w:val="0"/>
        <w:spacing w:before="56" w:line="440" w:lineRule="exact"/>
        <w:ind w:left="111" w:right="110" w:firstLine="240" w:firstLineChars="100"/>
        <w:rPr>
          <w:rFonts w:hint="eastAsia" w:ascii="宋体" w:hAnsi="宋体" w:eastAsia="宋体" w:cs="宋体"/>
          <w:highlight w:val="none"/>
        </w:rPr>
      </w:pPr>
      <w:r>
        <w:rPr>
          <w:rFonts w:hint="eastAsia" w:ascii="宋体" w:hAnsi="宋体" w:eastAsia="宋体" w:cs="宋体"/>
          <w:highlight w:val="none"/>
        </w:rPr>
        <w:t>（6）磋商小组依据本须知35.5条规定的评审标准和方法，对实质性响应采购文件的供应商进行评审和比较，向采购人提出书面的评审报告，并推荐合格的成交候选人。采购人根据磋商小组提出的书面评审报告和推荐的成交候选人确定中标人，也可以授权磋商小组直接确定中标人。</w:t>
      </w:r>
    </w:p>
    <w:p w14:paraId="5F39D39A">
      <w:pPr>
        <w:spacing w:line="440" w:lineRule="exact"/>
        <w:ind w:firstLine="476" w:firstLineChars="200"/>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4.2、评审方法及标准：</w:t>
      </w:r>
    </w:p>
    <w:p w14:paraId="031160EC">
      <w:pPr>
        <w:spacing w:line="440" w:lineRule="exact"/>
        <w:ind w:firstLine="476" w:firstLineChars="200"/>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评审方法：本项目采用综合评分法，总分为 100 分。综合评分法，是指响应文件满足采购文件全部实质性要求且按评审因素的量化指标评审得分最高的供应商为成交候选供应商的评审方法。磋商小组按照采购文件的要求和条件，根据各供应商的施工组织设计、</w:t>
      </w:r>
      <w:r>
        <w:rPr>
          <w:rFonts w:hint="eastAsia" w:ascii="宋体" w:hAnsi="宋体" w:eastAsia="宋体" w:cs="宋体"/>
          <w:spacing w:val="-1"/>
          <w:sz w:val="24"/>
          <w:szCs w:val="24"/>
          <w:highlight w:val="none"/>
          <w:lang w:val="en-US"/>
        </w:rPr>
        <w:t>综合实力</w:t>
      </w:r>
      <w:r>
        <w:rPr>
          <w:rFonts w:hint="eastAsia" w:ascii="宋体" w:hAnsi="宋体" w:eastAsia="宋体" w:cs="宋体"/>
          <w:spacing w:val="-1"/>
          <w:sz w:val="24"/>
          <w:szCs w:val="24"/>
          <w:highlight w:val="none"/>
        </w:rPr>
        <w:t>、价格对采购文件的响应程度等进行综合评价、评分，将评审总得分按由高到低的顺序进行排列，并依此顺序推荐前3名成交候选供应商；评审总得分相同的按最后报价由低到高顺序排列，评审总得分且最终报价相同的，按技术部分得分顺序排列。</w:t>
      </w:r>
    </w:p>
    <w:p w14:paraId="16CAFDF4">
      <w:pPr>
        <w:pStyle w:val="12"/>
        <w:spacing w:line="360" w:lineRule="auto"/>
        <w:rPr>
          <w:rFonts w:hint="eastAsia" w:ascii="宋体" w:hAnsi="宋体" w:eastAsia="宋体" w:cs="宋体"/>
          <w:highlight w:val="none"/>
        </w:rPr>
      </w:pPr>
      <w:r>
        <w:rPr>
          <w:rFonts w:hint="eastAsia" w:ascii="宋体" w:hAnsi="宋体" w:eastAsia="宋体" w:cs="宋体"/>
          <w:b/>
          <w:bCs/>
          <w:spacing w:val="-1"/>
          <w:sz w:val="24"/>
          <w:szCs w:val="24"/>
          <w:highlight w:val="none"/>
        </w:rPr>
        <w:t>详细评审标准：</w:t>
      </w:r>
    </w:p>
    <w:tbl>
      <w:tblPr>
        <w:tblStyle w:val="44"/>
        <w:tblW w:w="99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01"/>
        <w:gridCol w:w="6038"/>
      </w:tblGrid>
      <w:tr w14:paraId="5A643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3901" w:type="dxa"/>
            <w:tcBorders>
              <w:left w:val="single" w:color="000000" w:sz="10" w:space="0"/>
              <w:right w:val="single" w:color="000000" w:sz="4" w:space="0"/>
            </w:tcBorders>
            <w:noWrap w:val="0"/>
            <w:vAlign w:val="center"/>
          </w:tcPr>
          <w:p w14:paraId="1C2F962D">
            <w:pPr>
              <w:spacing w:before="61" w:line="227" w:lineRule="auto"/>
              <w:ind w:left="1884"/>
              <w:jc w:val="center"/>
              <w:rPr>
                <w:rFonts w:hint="eastAsia" w:ascii="仿宋" w:hAnsi="仿宋" w:eastAsia="仿宋" w:cs="仿宋"/>
                <w:color w:val="auto"/>
                <w:sz w:val="24"/>
                <w:szCs w:val="24"/>
              </w:rPr>
            </w:pPr>
            <w:r>
              <w:rPr>
                <w:rFonts w:hint="eastAsia" w:ascii="仿宋" w:hAnsi="仿宋" w:eastAsia="仿宋" w:cs="仿宋"/>
                <w:color w:val="auto"/>
                <w:spacing w:val="9"/>
                <w:sz w:val="24"/>
                <w:szCs w:val="24"/>
              </w:rPr>
              <w:t>评</w:t>
            </w:r>
            <w:r>
              <w:rPr>
                <w:rFonts w:hint="eastAsia" w:ascii="仿宋" w:hAnsi="仿宋" w:eastAsia="仿宋" w:cs="仿宋"/>
                <w:color w:val="auto"/>
                <w:spacing w:val="8"/>
                <w:sz w:val="24"/>
                <w:szCs w:val="24"/>
              </w:rPr>
              <w:t>分因素</w:t>
            </w:r>
          </w:p>
        </w:tc>
        <w:tc>
          <w:tcPr>
            <w:tcW w:w="6038" w:type="dxa"/>
            <w:tcBorders>
              <w:left w:val="single" w:color="000000" w:sz="4" w:space="0"/>
              <w:right w:val="single" w:color="000000" w:sz="10" w:space="0"/>
            </w:tcBorders>
            <w:noWrap w:val="0"/>
            <w:vAlign w:val="center"/>
          </w:tcPr>
          <w:p w14:paraId="46456D19">
            <w:pPr>
              <w:spacing w:before="61" w:line="227" w:lineRule="auto"/>
              <w:jc w:val="center"/>
              <w:rPr>
                <w:rFonts w:hint="eastAsia" w:ascii="仿宋" w:hAnsi="仿宋" w:eastAsia="仿宋" w:cs="仿宋"/>
                <w:color w:val="auto"/>
                <w:sz w:val="24"/>
                <w:szCs w:val="24"/>
              </w:rPr>
            </w:pPr>
            <w:r>
              <w:rPr>
                <w:rFonts w:hint="eastAsia" w:ascii="仿宋" w:hAnsi="仿宋" w:eastAsia="仿宋" w:cs="仿宋"/>
                <w:color w:val="auto"/>
                <w:spacing w:val="9"/>
                <w:sz w:val="24"/>
                <w:szCs w:val="24"/>
              </w:rPr>
              <w:t>分</w:t>
            </w:r>
            <w:r>
              <w:rPr>
                <w:rFonts w:hint="eastAsia" w:ascii="仿宋" w:hAnsi="仿宋" w:eastAsia="仿宋" w:cs="仿宋"/>
                <w:color w:val="auto"/>
                <w:spacing w:val="7"/>
                <w:sz w:val="24"/>
                <w:szCs w:val="24"/>
              </w:rPr>
              <w:t>值分配</w:t>
            </w:r>
          </w:p>
        </w:tc>
      </w:tr>
      <w:tr w14:paraId="09252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3901" w:type="dxa"/>
            <w:tcBorders>
              <w:left w:val="single" w:color="000000" w:sz="10" w:space="0"/>
              <w:right w:val="single" w:color="000000" w:sz="4" w:space="0"/>
            </w:tcBorders>
            <w:noWrap w:val="0"/>
            <w:vAlign w:val="center"/>
          </w:tcPr>
          <w:p w14:paraId="73F64614">
            <w:pPr>
              <w:spacing w:before="39" w:line="226" w:lineRule="auto"/>
              <w:ind w:left="1890"/>
              <w:jc w:val="center"/>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投标报</w:t>
            </w:r>
            <w:r>
              <w:rPr>
                <w:rFonts w:hint="eastAsia" w:ascii="仿宋" w:hAnsi="仿宋" w:eastAsia="仿宋" w:cs="仿宋"/>
                <w:color w:val="auto"/>
                <w:spacing w:val="6"/>
                <w:sz w:val="24"/>
                <w:szCs w:val="24"/>
                <w:highlight w:val="none"/>
              </w:rPr>
              <w:t>价</w:t>
            </w:r>
          </w:p>
        </w:tc>
        <w:tc>
          <w:tcPr>
            <w:tcW w:w="6038" w:type="dxa"/>
            <w:tcBorders>
              <w:left w:val="single" w:color="000000" w:sz="4" w:space="0"/>
              <w:right w:val="single" w:color="000000" w:sz="10" w:space="0"/>
            </w:tcBorders>
            <w:noWrap w:val="0"/>
            <w:vAlign w:val="center"/>
          </w:tcPr>
          <w:p w14:paraId="5CE10DC5">
            <w:pPr>
              <w:spacing w:before="61" w:line="227" w:lineRule="auto"/>
              <w:jc w:val="center"/>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lang w:val="en-US" w:eastAsia="zh-CN"/>
              </w:rPr>
              <w:t>15</w:t>
            </w:r>
            <w:r>
              <w:rPr>
                <w:rFonts w:hint="eastAsia" w:ascii="仿宋" w:hAnsi="仿宋" w:eastAsia="仿宋" w:cs="仿宋"/>
                <w:color w:val="auto"/>
                <w:spacing w:val="9"/>
                <w:sz w:val="24"/>
                <w:szCs w:val="24"/>
                <w:highlight w:val="none"/>
              </w:rPr>
              <w:t xml:space="preserve"> 分</w:t>
            </w:r>
          </w:p>
        </w:tc>
      </w:tr>
      <w:tr w14:paraId="32D1F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3901" w:type="dxa"/>
            <w:tcBorders>
              <w:left w:val="single" w:color="000000" w:sz="10" w:space="0"/>
              <w:right w:val="single" w:color="000000" w:sz="4" w:space="0"/>
            </w:tcBorders>
            <w:noWrap w:val="0"/>
            <w:vAlign w:val="center"/>
          </w:tcPr>
          <w:p w14:paraId="0A63E22E">
            <w:pPr>
              <w:spacing w:before="41" w:line="227" w:lineRule="auto"/>
              <w:ind w:left="1892"/>
              <w:jc w:val="center"/>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商</w:t>
            </w:r>
            <w:r>
              <w:rPr>
                <w:rFonts w:hint="eastAsia" w:ascii="仿宋" w:hAnsi="仿宋" w:eastAsia="仿宋" w:cs="仿宋"/>
                <w:color w:val="auto"/>
                <w:spacing w:val="6"/>
                <w:sz w:val="24"/>
                <w:szCs w:val="24"/>
                <w:highlight w:val="none"/>
              </w:rPr>
              <w:t>务</w:t>
            </w:r>
            <w:r>
              <w:rPr>
                <w:rFonts w:hint="eastAsia" w:ascii="仿宋" w:hAnsi="仿宋" w:eastAsia="仿宋" w:cs="仿宋"/>
                <w:color w:val="auto"/>
                <w:spacing w:val="8"/>
                <w:sz w:val="24"/>
                <w:szCs w:val="24"/>
                <w:highlight w:val="none"/>
              </w:rPr>
              <w:t>技</w:t>
            </w:r>
            <w:r>
              <w:rPr>
                <w:rFonts w:hint="eastAsia" w:ascii="仿宋" w:hAnsi="仿宋" w:eastAsia="仿宋" w:cs="仿宋"/>
                <w:color w:val="auto"/>
                <w:spacing w:val="7"/>
                <w:sz w:val="24"/>
                <w:szCs w:val="24"/>
                <w:highlight w:val="none"/>
              </w:rPr>
              <w:t>术</w:t>
            </w:r>
            <w:r>
              <w:rPr>
                <w:rFonts w:hint="eastAsia" w:ascii="仿宋" w:hAnsi="仿宋" w:eastAsia="仿宋" w:cs="仿宋"/>
                <w:color w:val="auto"/>
                <w:spacing w:val="6"/>
                <w:sz w:val="24"/>
                <w:szCs w:val="24"/>
                <w:highlight w:val="none"/>
              </w:rPr>
              <w:t>部分</w:t>
            </w:r>
          </w:p>
        </w:tc>
        <w:tc>
          <w:tcPr>
            <w:tcW w:w="6038" w:type="dxa"/>
            <w:tcBorders>
              <w:left w:val="single" w:color="000000" w:sz="4" w:space="0"/>
              <w:right w:val="single" w:color="000000" w:sz="10" w:space="0"/>
            </w:tcBorders>
            <w:noWrap w:val="0"/>
            <w:vAlign w:val="center"/>
          </w:tcPr>
          <w:p w14:paraId="0259238F">
            <w:pPr>
              <w:spacing w:before="61" w:line="227" w:lineRule="auto"/>
              <w:jc w:val="center"/>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lang w:val="en-US" w:eastAsia="zh-CN"/>
              </w:rPr>
              <w:t xml:space="preserve">85 </w:t>
            </w:r>
            <w:r>
              <w:rPr>
                <w:rFonts w:hint="eastAsia" w:ascii="仿宋" w:hAnsi="仿宋" w:eastAsia="仿宋" w:cs="仿宋"/>
                <w:color w:val="auto"/>
                <w:spacing w:val="9"/>
                <w:sz w:val="24"/>
                <w:szCs w:val="24"/>
                <w:highlight w:val="none"/>
              </w:rPr>
              <w:t>分</w:t>
            </w:r>
          </w:p>
        </w:tc>
      </w:tr>
      <w:tr w14:paraId="34A3C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3901" w:type="dxa"/>
            <w:tcBorders>
              <w:left w:val="single" w:color="000000" w:sz="10" w:space="0"/>
              <w:right w:val="single" w:color="000000" w:sz="4" w:space="0"/>
            </w:tcBorders>
            <w:noWrap w:val="0"/>
            <w:vAlign w:val="center"/>
          </w:tcPr>
          <w:p w14:paraId="1F8B6710">
            <w:pPr>
              <w:spacing w:before="42" w:line="229" w:lineRule="auto"/>
              <w:ind w:left="2128"/>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合</w:t>
            </w:r>
            <w:r>
              <w:rPr>
                <w:rFonts w:hint="eastAsia" w:ascii="仿宋" w:hAnsi="仿宋" w:eastAsia="仿宋" w:cs="仿宋"/>
                <w:color w:val="auto"/>
                <w:spacing w:val="4"/>
                <w:sz w:val="24"/>
                <w:szCs w:val="24"/>
                <w:highlight w:val="none"/>
              </w:rPr>
              <w:t>计</w:t>
            </w:r>
          </w:p>
        </w:tc>
        <w:tc>
          <w:tcPr>
            <w:tcW w:w="6038" w:type="dxa"/>
            <w:tcBorders>
              <w:left w:val="single" w:color="000000" w:sz="4" w:space="0"/>
              <w:right w:val="single" w:color="000000" w:sz="10" w:space="0"/>
            </w:tcBorders>
            <w:noWrap w:val="0"/>
            <w:vAlign w:val="center"/>
          </w:tcPr>
          <w:p w14:paraId="0A2EE451">
            <w:pPr>
              <w:spacing w:before="61" w:line="227" w:lineRule="auto"/>
              <w:jc w:val="center"/>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100 分</w:t>
            </w:r>
          </w:p>
        </w:tc>
      </w:tr>
    </w:tbl>
    <w:p w14:paraId="31CED16E">
      <w:pPr>
        <w:pStyle w:val="5"/>
        <w:ind w:left="0" w:leftChars="0" w:firstLine="0" w:firstLineChars="0"/>
        <w:jc w:val="both"/>
        <w:rPr>
          <w:rFonts w:hint="eastAsia" w:ascii="仿宋" w:hAnsi="仿宋" w:eastAsia="仿宋" w:cs="仿宋"/>
          <w:b/>
          <w:bCs/>
          <w:color w:val="auto"/>
          <w:sz w:val="24"/>
          <w:szCs w:val="20"/>
          <w:highlight w:val="none"/>
          <w:lang w:eastAsia="zh-CN"/>
        </w:rPr>
      </w:pPr>
    </w:p>
    <w:tbl>
      <w:tblPr>
        <w:tblStyle w:val="24"/>
        <w:tblW w:w="99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2"/>
        <w:gridCol w:w="1160"/>
        <w:gridCol w:w="954"/>
        <w:gridCol w:w="6426"/>
      </w:tblGrid>
      <w:tr w14:paraId="435A2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422" w:type="dxa"/>
            <w:noWrap w:val="0"/>
            <w:vAlign w:val="center"/>
          </w:tcPr>
          <w:p w14:paraId="11D7820B">
            <w:pPr>
              <w:widowControl/>
              <w:spacing w:line="3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项目分值</w:t>
            </w:r>
          </w:p>
        </w:tc>
        <w:tc>
          <w:tcPr>
            <w:tcW w:w="2114" w:type="dxa"/>
            <w:gridSpan w:val="2"/>
            <w:noWrap w:val="0"/>
            <w:vAlign w:val="center"/>
          </w:tcPr>
          <w:p w14:paraId="3FF83993">
            <w:pPr>
              <w:widowControl/>
              <w:spacing w:line="340" w:lineRule="exact"/>
              <w:jc w:val="center"/>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评分内容</w:t>
            </w:r>
          </w:p>
        </w:tc>
        <w:tc>
          <w:tcPr>
            <w:tcW w:w="6426" w:type="dxa"/>
            <w:noWrap w:val="0"/>
            <w:vAlign w:val="center"/>
          </w:tcPr>
          <w:p w14:paraId="2E3F191B">
            <w:pPr>
              <w:widowControl/>
              <w:spacing w:line="34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评分方法</w:t>
            </w:r>
          </w:p>
        </w:tc>
      </w:tr>
      <w:tr w14:paraId="2444C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15" w:hRule="atLeast"/>
          <w:jc w:val="center"/>
        </w:trPr>
        <w:tc>
          <w:tcPr>
            <w:tcW w:w="1422" w:type="dxa"/>
            <w:noWrap w:val="0"/>
            <w:vAlign w:val="center"/>
          </w:tcPr>
          <w:p w14:paraId="54A3A32C">
            <w:pPr>
              <w:widowControl/>
              <w:spacing w:line="3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w:t>
            </w:r>
          </w:p>
        </w:tc>
        <w:tc>
          <w:tcPr>
            <w:tcW w:w="1160" w:type="dxa"/>
            <w:noWrap w:val="0"/>
            <w:vAlign w:val="center"/>
          </w:tcPr>
          <w:p w14:paraId="4742D0A9">
            <w:pPr>
              <w:widowControl/>
              <w:spacing w:line="34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w:t>
            </w:r>
          </w:p>
        </w:tc>
        <w:tc>
          <w:tcPr>
            <w:tcW w:w="954" w:type="dxa"/>
            <w:noWrap w:val="0"/>
            <w:vAlign w:val="center"/>
          </w:tcPr>
          <w:p w14:paraId="4BD5E19F">
            <w:pPr>
              <w:widowControl/>
              <w:spacing w:line="3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15分</w:t>
            </w:r>
          </w:p>
        </w:tc>
        <w:tc>
          <w:tcPr>
            <w:tcW w:w="6426" w:type="dxa"/>
            <w:noWrap w:val="0"/>
            <w:vAlign w:val="center"/>
          </w:tcPr>
          <w:p w14:paraId="5EB54037">
            <w:pPr>
              <w:pStyle w:val="45"/>
              <w:spacing w:line="340" w:lineRule="exac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rPr>
              <w:t>磋商小组只对</w:t>
            </w:r>
            <w:r>
              <w:rPr>
                <w:rFonts w:hint="eastAsia" w:ascii="仿宋" w:hAnsi="仿宋" w:eastAsia="仿宋" w:cs="仿宋"/>
                <w:bCs/>
                <w:color w:val="auto"/>
                <w:sz w:val="24"/>
                <w:szCs w:val="24"/>
                <w:highlight w:val="none"/>
                <w:lang w:eastAsia="zh-CN"/>
              </w:rPr>
              <w:t>通过初步评审</w:t>
            </w:r>
            <w:r>
              <w:rPr>
                <w:rFonts w:hint="eastAsia" w:ascii="仿宋" w:hAnsi="仿宋" w:eastAsia="仿宋" w:cs="仿宋"/>
                <w:bCs/>
                <w:color w:val="auto"/>
                <w:sz w:val="24"/>
                <w:szCs w:val="24"/>
                <w:highlight w:val="none"/>
              </w:rPr>
              <w:t>的响应文件进行</w:t>
            </w:r>
            <w:r>
              <w:rPr>
                <w:rFonts w:hint="eastAsia" w:ascii="仿宋" w:hAnsi="仿宋" w:eastAsia="仿宋" w:cs="仿宋"/>
                <w:bCs/>
                <w:color w:val="auto"/>
                <w:sz w:val="24"/>
                <w:szCs w:val="24"/>
                <w:highlight w:val="none"/>
                <w:lang w:eastAsia="zh-CN"/>
              </w:rPr>
              <w:t>二轮</w:t>
            </w:r>
            <w:r>
              <w:rPr>
                <w:rFonts w:hint="eastAsia" w:ascii="仿宋" w:hAnsi="仿宋" w:eastAsia="仿宋" w:cs="仿宋"/>
                <w:bCs/>
                <w:color w:val="auto"/>
                <w:sz w:val="24"/>
                <w:szCs w:val="24"/>
                <w:highlight w:val="none"/>
              </w:rPr>
              <w:t>价格评议，报价分采用低价优先法计算，即满足磋商文件要求且最终报价最低为评审基准价，其价格分为满分。其他供应商的价格分按照下列公式计算：</w:t>
            </w:r>
            <w:r>
              <w:rPr>
                <w:rFonts w:hint="eastAsia" w:ascii="仿宋" w:hAnsi="仿宋" w:eastAsia="仿宋" w:cs="仿宋"/>
                <w:i w:val="0"/>
                <w:caps w:val="0"/>
                <w:color w:val="auto"/>
                <w:spacing w:val="0"/>
                <w:sz w:val="24"/>
                <w:szCs w:val="24"/>
                <w:highlight w:val="none"/>
                <w:shd w:val="clear" w:color="auto" w:fill="FFFFFF"/>
              </w:rPr>
              <w:t>磋商报价得分=（磋商基准价/最后磋商报价）×</w:t>
            </w:r>
            <w:r>
              <w:rPr>
                <w:rFonts w:hint="eastAsia" w:ascii="仿宋" w:hAnsi="仿宋" w:eastAsia="仿宋" w:cs="仿宋"/>
                <w:i w:val="0"/>
                <w:caps w:val="0"/>
                <w:color w:val="auto"/>
                <w:spacing w:val="0"/>
                <w:sz w:val="24"/>
                <w:szCs w:val="24"/>
                <w:highlight w:val="none"/>
                <w:shd w:val="clear" w:color="auto" w:fill="FFFFFF"/>
                <w:lang w:val="en-US" w:eastAsia="zh-CN"/>
              </w:rPr>
              <w:t>15</w:t>
            </w:r>
            <w:r>
              <w:rPr>
                <w:rFonts w:hint="eastAsia" w:ascii="仿宋" w:hAnsi="仿宋" w:eastAsia="仿宋" w:cs="仿宋"/>
                <w:i w:val="0"/>
                <w:caps w:val="0"/>
                <w:color w:val="auto"/>
                <w:spacing w:val="0"/>
                <w:sz w:val="24"/>
                <w:szCs w:val="24"/>
                <w:highlight w:val="none"/>
                <w:shd w:val="clear" w:color="auto" w:fill="FFFFFF"/>
              </w:rPr>
              <w:t>×</w:t>
            </w:r>
            <w:r>
              <w:rPr>
                <w:rFonts w:hint="eastAsia" w:ascii="仿宋" w:hAnsi="仿宋" w:eastAsia="仿宋" w:cs="仿宋"/>
                <w:i w:val="0"/>
                <w:caps w:val="0"/>
                <w:color w:val="auto"/>
                <w:spacing w:val="0"/>
                <w:sz w:val="24"/>
                <w:szCs w:val="24"/>
                <w:highlight w:val="none"/>
                <w:shd w:val="clear" w:color="auto" w:fill="FFFFFF"/>
                <w:lang w:val="en-US" w:eastAsia="zh-CN"/>
              </w:rPr>
              <w:t>100</w:t>
            </w:r>
          </w:p>
        </w:tc>
      </w:tr>
    </w:tbl>
    <w:p w14:paraId="7E59FB1C">
      <w:pPr>
        <w:spacing w:after="0" w:line="390" w:lineRule="atLeast"/>
        <w:jc w:val="center"/>
        <w:rPr>
          <w:rFonts w:hint="eastAsia" w:ascii="仿宋" w:hAnsi="仿宋" w:eastAsia="仿宋" w:cs="仿宋"/>
          <w:color w:val="auto"/>
          <w:spacing w:val="0"/>
          <w:w w:val="100"/>
          <w:position w:val="0"/>
          <w:sz w:val="24"/>
          <w:highlight w:val="none"/>
          <w:lang w:val="en-US" w:eastAsia="zh-CN"/>
        </w:rPr>
      </w:pPr>
      <w:r>
        <w:rPr>
          <w:rFonts w:hint="eastAsia" w:ascii="仿宋" w:hAnsi="仿宋" w:eastAsia="仿宋" w:cs="仿宋"/>
          <w:b/>
          <w:bCs/>
          <w:color w:val="auto"/>
          <w:spacing w:val="0"/>
          <w:w w:val="100"/>
          <w:position w:val="0"/>
          <w:sz w:val="32"/>
          <w:szCs w:val="32"/>
          <w:highlight w:val="none"/>
          <w:lang w:val="en-US" w:eastAsia="zh-CN"/>
        </w:rPr>
        <w:t>技术部分评分细则</w:t>
      </w:r>
    </w:p>
    <w:p w14:paraId="0AA82726">
      <w:pPr>
        <w:pStyle w:val="5"/>
        <w:rPr>
          <w:rFonts w:hint="eastAsia" w:ascii="仿宋" w:hAnsi="仿宋" w:eastAsia="仿宋" w:cs="仿宋"/>
          <w:color w:val="auto"/>
          <w:highlight w:val="none"/>
          <w:lang w:val="en-US" w:eastAsia="zh-CN"/>
        </w:rPr>
      </w:pPr>
    </w:p>
    <w:tbl>
      <w:tblPr>
        <w:tblStyle w:val="24"/>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6"/>
        <w:gridCol w:w="2649"/>
        <w:gridCol w:w="1110"/>
        <w:gridCol w:w="4649"/>
      </w:tblGrid>
      <w:tr w14:paraId="7FAF3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1446" w:type="dxa"/>
            <w:noWrap w:val="0"/>
            <w:vAlign w:val="center"/>
          </w:tcPr>
          <w:p w14:paraId="6B5A98BB">
            <w:pPr>
              <w:widowControl/>
              <w:spacing w:line="34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项目分值</w:t>
            </w:r>
          </w:p>
        </w:tc>
        <w:tc>
          <w:tcPr>
            <w:tcW w:w="3759" w:type="dxa"/>
            <w:gridSpan w:val="2"/>
            <w:noWrap w:val="0"/>
            <w:vAlign w:val="center"/>
          </w:tcPr>
          <w:p w14:paraId="3A96EA44">
            <w:pPr>
              <w:widowControl/>
              <w:spacing w:line="340" w:lineRule="exact"/>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评分内容</w:t>
            </w:r>
          </w:p>
        </w:tc>
        <w:tc>
          <w:tcPr>
            <w:tcW w:w="4649" w:type="dxa"/>
            <w:noWrap w:val="0"/>
            <w:vAlign w:val="center"/>
          </w:tcPr>
          <w:p w14:paraId="54F0AE33">
            <w:pPr>
              <w:widowControl/>
              <w:spacing w:line="340" w:lineRule="exact"/>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评分方法</w:t>
            </w:r>
          </w:p>
        </w:tc>
      </w:tr>
      <w:tr w14:paraId="3F8B1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12" w:hRule="atLeast"/>
          <w:jc w:val="center"/>
        </w:trPr>
        <w:tc>
          <w:tcPr>
            <w:tcW w:w="1446" w:type="dxa"/>
            <w:vMerge w:val="restart"/>
            <w:noWrap w:val="0"/>
            <w:vAlign w:val="center"/>
          </w:tcPr>
          <w:p w14:paraId="7185C484">
            <w:pPr>
              <w:widowControl/>
              <w:spacing w:line="34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sz w:val="28"/>
                <w:highlight w:val="none"/>
                <w:lang w:val="en-US" w:eastAsia="zh-CN"/>
              </w:rPr>
              <w:t>商务技术部分85分</w:t>
            </w:r>
          </w:p>
        </w:tc>
        <w:tc>
          <w:tcPr>
            <w:tcW w:w="2649" w:type="dxa"/>
            <w:noWrap w:val="0"/>
            <w:vAlign w:val="top"/>
          </w:tcPr>
          <w:p w14:paraId="087239D1">
            <w:pPr>
              <w:pStyle w:val="45"/>
              <w:spacing w:line="340" w:lineRule="exact"/>
              <w:textAlignment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工程概况及特点</w:t>
            </w:r>
          </w:p>
        </w:tc>
        <w:tc>
          <w:tcPr>
            <w:tcW w:w="1110" w:type="dxa"/>
            <w:noWrap w:val="0"/>
            <w:vAlign w:val="top"/>
          </w:tcPr>
          <w:p w14:paraId="651963EF">
            <w:pPr>
              <w:pStyle w:val="45"/>
              <w:spacing w:line="340" w:lineRule="exact"/>
              <w:textAlignment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分</w:t>
            </w:r>
          </w:p>
        </w:tc>
        <w:tc>
          <w:tcPr>
            <w:tcW w:w="4649" w:type="dxa"/>
            <w:noWrap w:val="0"/>
            <w:vAlign w:val="top"/>
          </w:tcPr>
          <w:p w14:paraId="4E040507">
            <w:pPr>
              <w:pStyle w:val="45"/>
              <w:spacing w:line="340" w:lineRule="exact"/>
              <w:textAlignment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工程概况及特点叙述正确，符合项目实际情况的得</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分；工程概况及特点叙述存在缺漏、不准确的得</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分；工程概括及特点不能符合项目实际情况的不得分。</w:t>
            </w:r>
          </w:p>
        </w:tc>
      </w:tr>
      <w:tr w14:paraId="5B9E3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25" w:hRule="atLeast"/>
          <w:jc w:val="center"/>
        </w:trPr>
        <w:tc>
          <w:tcPr>
            <w:tcW w:w="1446" w:type="dxa"/>
            <w:vMerge w:val="continue"/>
            <w:noWrap w:val="0"/>
            <w:vAlign w:val="center"/>
          </w:tcPr>
          <w:p w14:paraId="67451494">
            <w:pPr>
              <w:widowControl/>
              <w:spacing w:line="340" w:lineRule="exact"/>
              <w:jc w:val="center"/>
              <w:rPr>
                <w:rFonts w:hint="eastAsia" w:ascii="仿宋" w:hAnsi="仿宋" w:eastAsia="仿宋" w:cs="仿宋"/>
                <w:color w:val="auto"/>
                <w:highlight w:val="none"/>
              </w:rPr>
            </w:pPr>
          </w:p>
        </w:tc>
        <w:tc>
          <w:tcPr>
            <w:tcW w:w="2649" w:type="dxa"/>
            <w:vMerge w:val="restart"/>
            <w:noWrap w:val="0"/>
            <w:vAlign w:val="top"/>
          </w:tcPr>
          <w:p w14:paraId="12F406B4">
            <w:pPr>
              <w:pStyle w:val="45"/>
              <w:spacing w:line="340" w:lineRule="exact"/>
              <w:textAlignment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施工方案</w:t>
            </w:r>
          </w:p>
        </w:tc>
        <w:tc>
          <w:tcPr>
            <w:tcW w:w="1110" w:type="dxa"/>
            <w:noWrap w:val="0"/>
            <w:vAlign w:val="top"/>
          </w:tcPr>
          <w:p w14:paraId="2A5F940F">
            <w:pPr>
              <w:pStyle w:val="45"/>
              <w:spacing w:line="340" w:lineRule="exact"/>
              <w:textAlignment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分</w:t>
            </w:r>
          </w:p>
        </w:tc>
        <w:tc>
          <w:tcPr>
            <w:tcW w:w="4649" w:type="dxa"/>
            <w:noWrap w:val="0"/>
            <w:vAlign w:val="top"/>
          </w:tcPr>
          <w:p w14:paraId="2F040BBA">
            <w:pPr>
              <w:pStyle w:val="45"/>
              <w:spacing w:line="340" w:lineRule="exact"/>
              <w:textAlignment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施工方案应能符合工程实际情况，提高生产率、缩短工期、提高质量、降低消耗、减轻劳动强度提高进度提案；施工方法先进、采用新工艺、新技术；执行国家强制性条文；制定了质量通病的防治措施等综合打分。方案完整、可行、准确，完全符合项目实际情况的得</w:t>
            </w: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分；每存在一处缺漏或不详实、不准确的扣2分，扣完为止。</w:t>
            </w:r>
          </w:p>
        </w:tc>
      </w:tr>
      <w:tr w14:paraId="25AB7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92" w:hRule="atLeast"/>
          <w:jc w:val="center"/>
        </w:trPr>
        <w:tc>
          <w:tcPr>
            <w:tcW w:w="1446" w:type="dxa"/>
            <w:vMerge w:val="continue"/>
            <w:noWrap w:val="0"/>
            <w:vAlign w:val="center"/>
          </w:tcPr>
          <w:p w14:paraId="0F7C1ADC">
            <w:pPr>
              <w:widowControl/>
              <w:spacing w:line="340" w:lineRule="exact"/>
              <w:jc w:val="center"/>
              <w:rPr>
                <w:rFonts w:hint="eastAsia" w:ascii="仿宋" w:hAnsi="仿宋" w:eastAsia="仿宋" w:cs="仿宋"/>
                <w:color w:val="auto"/>
                <w:highlight w:val="none"/>
              </w:rPr>
            </w:pPr>
          </w:p>
        </w:tc>
        <w:tc>
          <w:tcPr>
            <w:tcW w:w="2649" w:type="dxa"/>
            <w:vMerge w:val="restart"/>
            <w:noWrap w:val="0"/>
            <w:vAlign w:val="top"/>
          </w:tcPr>
          <w:p w14:paraId="4D1BC651">
            <w:pPr>
              <w:pStyle w:val="45"/>
              <w:spacing w:line="340" w:lineRule="exact"/>
              <w:textAlignment w:val="center"/>
              <w:rPr>
                <w:rFonts w:hint="eastAsia" w:ascii="仿宋" w:hAnsi="仿宋" w:eastAsia="仿宋" w:cs="仿宋"/>
                <w:bCs/>
                <w:color w:val="auto"/>
                <w:sz w:val="24"/>
                <w:szCs w:val="24"/>
                <w:highlight w:val="none"/>
                <w:lang w:val="en-US" w:eastAsia="en-US"/>
              </w:rPr>
            </w:pPr>
            <w:r>
              <w:rPr>
                <w:rFonts w:hint="eastAsia" w:ascii="仿宋" w:hAnsi="仿宋" w:eastAsia="仿宋" w:cs="仿宋"/>
                <w:bCs/>
                <w:color w:val="auto"/>
                <w:sz w:val="24"/>
                <w:szCs w:val="24"/>
                <w:highlight w:val="none"/>
              </w:rPr>
              <w:t>施工准备计划</w:t>
            </w:r>
          </w:p>
        </w:tc>
        <w:tc>
          <w:tcPr>
            <w:tcW w:w="1110" w:type="dxa"/>
            <w:noWrap w:val="0"/>
            <w:vAlign w:val="top"/>
          </w:tcPr>
          <w:p w14:paraId="4128B44D">
            <w:pPr>
              <w:pStyle w:val="45"/>
              <w:spacing w:line="340" w:lineRule="exact"/>
              <w:textAlignment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分</w:t>
            </w:r>
          </w:p>
        </w:tc>
        <w:tc>
          <w:tcPr>
            <w:tcW w:w="4649" w:type="dxa"/>
            <w:noWrap w:val="0"/>
            <w:vAlign w:val="top"/>
          </w:tcPr>
          <w:p w14:paraId="1CA32008">
            <w:pPr>
              <w:pStyle w:val="45"/>
              <w:spacing w:line="340" w:lineRule="exact"/>
              <w:textAlignment w:val="center"/>
              <w:rPr>
                <w:rFonts w:hint="eastAsia" w:ascii="仿宋" w:hAnsi="仿宋" w:eastAsia="仿宋" w:cs="仿宋"/>
                <w:bCs/>
                <w:color w:val="auto"/>
                <w:sz w:val="24"/>
                <w:szCs w:val="24"/>
                <w:highlight w:val="none"/>
                <w:lang w:val="en-US" w:eastAsia="en-US"/>
              </w:rPr>
            </w:pPr>
            <w:r>
              <w:rPr>
                <w:rFonts w:hint="eastAsia" w:ascii="仿宋" w:hAnsi="仿宋" w:eastAsia="仿宋" w:cs="仿宋"/>
                <w:bCs/>
                <w:color w:val="auto"/>
                <w:sz w:val="24"/>
                <w:szCs w:val="24"/>
                <w:highlight w:val="none"/>
              </w:rPr>
              <w:t>施工技术、现场、物资与机械、队伍准备计划应能充分保证工程需要等综合打分。计划内容完整可行、符合项目实际情况的得</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分；每存在一处缺漏或不详实的扣2分，扣完为止。</w:t>
            </w:r>
          </w:p>
        </w:tc>
      </w:tr>
      <w:tr w14:paraId="51DC0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35" w:hRule="atLeast"/>
          <w:jc w:val="center"/>
        </w:trPr>
        <w:tc>
          <w:tcPr>
            <w:tcW w:w="1446" w:type="dxa"/>
            <w:vMerge w:val="continue"/>
            <w:noWrap w:val="0"/>
            <w:vAlign w:val="center"/>
          </w:tcPr>
          <w:p w14:paraId="305EB339">
            <w:pPr>
              <w:widowControl/>
              <w:spacing w:line="340" w:lineRule="exact"/>
              <w:jc w:val="center"/>
              <w:rPr>
                <w:rFonts w:hint="eastAsia" w:ascii="仿宋" w:hAnsi="仿宋" w:eastAsia="仿宋" w:cs="仿宋"/>
                <w:color w:val="auto"/>
                <w:highlight w:val="none"/>
              </w:rPr>
            </w:pPr>
          </w:p>
        </w:tc>
        <w:tc>
          <w:tcPr>
            <w:tcW w:w="2649" w:type="dxa"/>
            <w:vMerge w:val="restart"/>
            <w:noWrap w:val="0"/>
            <w:vAlign w:val="top"/>
          </w:tcPr>
          <w:p w14:paraId="3E462F43">
            <w:pPr>
              <w:pStyle w:val="45"/>
              <w:spacing w:line="340" w:lineRule="exact"/>
              <w:textAlignment w:val="center"/>
              <w:rPr>
                <w:rFonts w:hint="eastAsia" w:ascii="仿宋" w:hAnsi="仿宋" w:eastAsia="仿宋" w:cs="仿宋"/>
                <w:bCs/>
                <w:color w:val="auto"/>
                <w:sz w:val="24"/>
                <w:szCs w:val="24"/>
                <w:highlight w:val="none"/>
                <w:lang w:val="en-US" w:eastAsia="en-US"/>
              </w:rPr>
            </w:pPr>
            <w:r>
              <w:rPr>
                <w:rFonts w:hint="eastAsia" w:ascii="仿宋" w:hAnsi="仿宋" w:eastAsia="仿宋" w:cs="仿宋"/>
                <w:bCs/>
                <w:color w:val="auto"/>
                <w:sz w:val="24"/>
                <w:szCs w:val="24"/>
                <w:highlight w:val="none"/>
              </w:rPr>
              <w:t>施工进度计划</w:t>
            </w:r>
          </w:p>
        </w:tc>
        <w:tc>
          <w:tcPr>
            <w:tcW w:w="1110" w:type="dxa"/>
            <w:noWrap w:val="0"/>
            <w:vAlign w:val="top"/>
          </w:tcPr>
          <w:p w14:paraId="50C5FC35">
            <w:pPr>
              <w:pStyle w:val="45"/>
              <w:spacing w:line="340" w:lineRule="exact"/>
              <w:textAlignment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分</w:t>
            </w:r>
          </w:p>
        </w:tc>
        <w:tc>
          <w:tcPr>
            <w:tcW w:w="4649" w:type="dxa"/>
            <w:noWrap w:val="0"/>
            <w:vAlign w:val="top"/>
          </w:tcPr>
          <w:p w14:paraId="6DF89B34">
            <w:pPr>
              <w:pStyle w:val="45"/>
              <w:spacing w:line="340" w:lineRule="exact"/>
              <w:textAlignment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进度计划应在空间和时间上做合理的统筹安排且符合施工的科学规律等综合打分。计划完整、科学、符合项目实际情况的得</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分；计划内容完整但空间及时间安排不合理的得2分；计划存在缺漏，不科学、不能符合项目实际情况的得0分。</w:t>
            </w:r>
          </w:p>
        </w:tc>
      </w:tr>
      <w:tr w14:paraId="15F4D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30" w:hRule="atLeast"/>
          <w:jc w:val="center"/>
        </w:trPr>
        <w:tc>
          <w:tcPr>
            <w:tcW w:w="1446" w:type="dxa"/>
            <w:vMerge w:val="continue"/>
            <w:noWrap w:val="0"/>
            <w:vAlign w:val="center"/>
          </w:tcPr>
          <w:p w14:paraId="5D60EE44">
            <w:pPr>
              <w:widowControl/>
              <w:spacing w:line="340" w:lineRule="exact"/>
              <w:jc w:val="center"/>
              <w:rPr>
                <w:rFonts w:hint="eastAsia" w:ascii="仿宋" w:hAnsi="仿宋" w:eastAsia="仿宋" w:cs="仿宋"/>
                <w:color w:val="auto"/>
                <w:highlight w:val="none"/>
              </w:rPr>
            </w:pPr>
          </w:p>
        </w:tc>
        <w:tc>
          <w:tcPr>
            <w:tcW w:w="2649" w:type="dxa"/>
            <w:vMerge w:val="restart"/>
            <w:noWrap w:val="0"/>
            <w:vAlign w:val="top"/>
          </w:tcPr>
          <w:p w14:paraId="37C7FA61">
            <w:pPr>
              <w:pStyle w:val="45"/>
              <w:spacing w:line="340" w:lineRule="exact"/>
              <w:textAlignment w:val="center"/>
              <w:rPr>
                <w:rFonts w:hint="eastAsia" w:ascii="仿宋" w:hAnsi="仿宋" w:eastAsia="仿宋" w:cs="仿宋"/>
                <w:bCs/>
                <w:color w:val="auto"/>
                <w:sz w:val="24"/>
                <w:szCs w:val="24"/>
                <w:highlight w:val="none"/>
                <w:lang w:val="en-US" w:eastAsia="en-US"/>
              </w:rPr>
            </w:pPr>
            <w:r>
              <w:rPr>
                <w:rFonts w:hint="eastAsia" w:ascii="仿宋" w:hAnsi="仿宋" w:eastAsia="仿宋" w:cs="仿宋"/>
                <w:bCs/>
                <w:color w:val="auto"/>
                <w:sz w:val="24"/>
                <w:szCs w:val="24"/>
                <w:highlight w:val="none"/>
              </w:rPr>
              <w:t>现场文明施工</w:t>
            </w:r>
          </w:p>
        </w:tc>
        <w:tc>
          <w:tcPr>
            <w:tcW w:w="1110" w:type="dxa"/>
            <w:noWrap w:val="0"/>
            <w:vAlign w:val="top"/>
          </w:tcPr>
          <w:p w14:paraId="0794102D">
            <w:pPr>
              <w:pStyle w:val="45"/>
              <w:spacing w:line="340" w:lineRule="exact"/>
              <w:textAlignment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分</w:t>
            </w:r>
          </w:p>
        </w:tc>
        <w:tc>
          <w:tcPr>
            <w:tcW w:w="4649" w:type="dxa"/>
            <w:noWrap w:val="0"/>
            <w:vAlign w:val="top"/>
          </w:tcPr>
          <w:p w14:paraId="70A5B78B">
            <w:pPr>
              <w:pStyle w:val="45"/>
              <w:spacing w:line="340" w:lineRule="exact"/>
              <w:textAlignment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措施应符合工程实际情况，切实可行，提供措施及承诺的得</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分，未提供不得分。</w:t>
            </w:r>
          </w:p>
        </w:tc>
      </w:tr>
      <w:tr w14:paraId="2728C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5" w:hRule="atLeast"/>
          <w:jc w:val="center"/>
        </w:trPr>
        <w:tc>
          <w:tcPr>
            <w:tcW w:w="1446" w:type="dxa"/>
            <w:vMerge w:val="continue"/>
            <w:noWrap w:val="0"/>
            <w:vAlign w:val="center"/>
          </w:tcPr>
          <w:p w14:paraId="29B222D3">
            <w:pPr>
              <w:widowControl/>
              <w:spacing w:line="340" w:lineRule="exact"/>
              <w:jc w:val="center"/>
              <w:rPr>
                <w:rFonts w:hint="eastAsia" w:ascii="仿宋" w:hAnsi="仿宋" w:eastAsia="仿宋" w:cs="仿宋"/>
                <w:color w:val="auto"/>
                <w:highlight w:val="none"/>
              </w:rPr>
            </w:pPr>
          </w:p>
        </w:tc>
        <w:tc>
          <w:tcPr>
            <w:tcW w:w="2649" w:type="dxa"/>
            <w:noWrap w:val="0"/>
            <w:vAlign w:val="top"/>
          </w:tcPr>
          <w:p w14:paraId="028A47E5">
            <w:pPr>
              <w:pStyle w:val="45"/>
              <w:spacing w:line="340" w:lineRule="exact"/>
              <w:textAlignment w:val="center"/>
              <w:rPr>
                <w:rFonts w:hint="eastAsia" w:ascii="仿宋" w:hAnsi="仿宋" w:eastAsia="仿宋" w:cs="仿宋"/>
                <w:bCs/>
                <w:color w:val="auto"/>
                <w:sz w:val="24"/>
                <w:szCs w:val="24"/>
                <w:highlight w:val="none"/>
                <w:lang w:val="en-US" w:eastAsia="en-US"/>
              </w:rPr>
            </w:pPr>
            <w:r>
              <w:rPr>
                <w:rFonts w:hint="eastAsia" w:ascii="仿宋" w:hAnsi="仿宋" w:eastAsia="仿宋" w:cs="仿宋"/>
                <w:bCs/>
                <w:color w:val="auto"/>
                <w:sz w:val="24"/>
                <w:szCs w:val="24"/>
                <w:highlight w:val="none"/>
              </w:rPr>
              <w:t>劳动力需用量计划</w:t>
            </w:r>
          </w:p>
        </w:tc>
        <w:tc>
          <w:tcPr>
            <w:tcW w:w="1110" w:type="dxa"/>
            <w:noWrap w:val="0"/>
            <w:vAlign w:val="top"/>
          </w:tcPr>
          <w:p w14:paraId="373BFF0F">
            <w:pPr>
              <w:pStyle w:val="45"/>
              <w:spacing w:line="340" w:lineRule="exact"/>
              <w:textAlignment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分</w:t>
            </w:r>
          </w:p>
        </w:tc>
        <w:tc>
          <w:tcPr>
            <w:tcW w:w="4649" w:type="dxa"/>
            <w:noWrap w:val="0"/>
            <w:vAlign w:val="top"/>
          </w:tcPr>
          <w:p w14:paraId="17547A6C">
            <w:pPr>
              <w:pStyle w:val="45"/>
              <w:spacing w:line="340" w:lineRule="exact"/>
              <w:textAlignment w:val="center"/>
              <w:rPr>
                <w:rFonts w:hint="eastAsia" w:ascii="仿宋" w:hAnsi="仿宋" w:eastAsia="仿宋" w:cs="仿宋"/>
                <w:bCs/>
                <w:color w:val="auto"/>
                <w:sz w:val="24"/>
                <w:szCs w:val="24"/>
                <w:highlight w:val="none"/>
                <w:lang w:val="en-US" w:eastAsia="en-US"/>
              </w:rPr>
            </w:pPr>
            <w:r>
              <w:rPr>
                <w:rFonts w:hint="eastAsia" w:ascii="仿宋" w:hAnsi="仿宋" w:eastAsia="仿宋" w:cs="仿宋"/>
                <w:bCs/>
                <w:color w:val="auto"/>
                <w:sz w:val="24"/>
                <w:szCs w:val="24"/>
                <w:highlight w:val="none"/>
              </w:rPr>
              <w:t>劳动力需用量计划应是根据工程进度计划的安排计算出的，并与工程进度计划相一致。提供劳动力需用量计划得</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分，每存在一处缺漏或不详实的扣2分，扣完为止。</w:t>
            </w:r>
          </w:p>
        </w:tc>
      </w:tr>
      <w:tr w14:paraId="36345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5" w:hRule="atLeast"/>
          <w:jc w:val="center"/>
        </w:trPr>
        <w:tc>
          <w:tcPr>
            <w:tcW w:w="1446" w:type="dxa"/>
            <w:vMerge w:val="continue"/>
            <w:noWrap w:val="0"/>
            <w:vAlign w:val="center"/>
          </w:tcPr>
          <w:p w14:paraId="098FE46C">
            <w:pPr>
              <w:widowControl/>
              <w:spacing w:line="340" w:lineRule="exact"/>
              <w:jc w:val="center"/>
              <w:rPr>
                <w:rFonts w:hint="eastAsia" w:ascii="仿宋" w:hAnsi="仿宋" w:eastAsia="仿宋" w:cs="仿宋"/>
                <w:color w:val="auto"/>
                <w:highlight w:val="none"/>
              </w:rPr>
            </w:pPr>
          </w:p>
        </w:tc>
        <w:tc>
          <w:tcPr>
            <w:tcW w:w="2649" w:type="dxa"/>
            <w:noWrap w:val="0"/>
            <w:vAlign w:val="top"/>
          </w:tcPr>
          <w:p w14:paraId="3C286F28">
            <w:pPr>
              <w:pStyle w:val="45"/>
              <w:spacing w:line="340" w:lineRule="exact"/>
              <w:textAlignment w:val="center"/>
              <w:rPr>
                <w:rFonts w:hint="eastAsia" w:ascii="仿宋" w:hAnsi="仿宋" w:eastAsia="仿宋" w:cs="仿宋"/>
                <w:bCs/>
                <w:color w:val="auto"/>
                <w:sz w:val="24"/>
                <w:szCs w:val="24"/>
                <w:highlight w:val="none"/>
                <w:lang w:val="en-US" w:eastAsia="en-US"/>
              </w:rPr>
            </w:pPr>
            <w:r>
              <w:rPr>
                <w:rFonts w:hint="eastAsia" w:ascii="仿宋" w:hAnsi="仿宋" w:eastAsia="仿宋" w:cs="仿宋"/>
                <w:bCs/>
                <w:color w:val="auto"/>
                <w:sz w:val="24"/>
                <w:szCs w:val="24"/>
                <w:highlight w:val="none"/>
              </w:rPr>
              <w:t>质量、进度、安全保证措施和体系</w:t>
            </w:r>
          </w:p>
        </w:tc>
        <w:tc>
          <w:tcPr>
            <w:tcW w:w="1110" w:type="dxa"/>
            <w:noWrap w:val="0"/>
            <w:vAlign w:val="top"/>
          </w:tcPr>
          <w:p w14:paraId="72DC5BDD">
            <w:pPr>
              <w:pStyle w:val="45"/>
              <w:spacing w:line="340" w:lineRule="exact"/>
              <w:textAlignment w:val="center"/>
              <w:rPr>
                <w:rFonts w:hint="eastAsia" w:ascii="仿宋" w:hAnsi="仿宋" w:eastAsia="仿宋" w:cs="仿宋"/>
                <w:bCs/>
                <w:color w:val="auto"/>
                <w:sz w:val="24"/>
                <w:szCs w:val="24"/>
                <w:highlight w:val="none"/>
                <w:lang w:val="en-US" w:eastAsia="en-US"/>
              </w:rPr>
            </w:pPr>
            <w:r>
              <w:rPr>
                <w:rFonts w:hint="eastAsia" w:ascii="仿宋" w:hAnsi="仿宋" w:eastAsia="仿宋" w:cs="仿宋"/>
                <w:bCs/>
                <w:color w:val="auto"/>
                <w:sz w:val="24"/>
                <w:szCs w:val="24"/>
                <w:highlight w:val="none"/>
              </w:rPr>
              <w:t>8分</w:t>
            </w:r>
          </w:p>
        </w:tc>
        <w:tc>
          <w:tcPr>
            <w:tcW w:w="4649" w:type="dxa"/>
            <w:noWrap w:val="0"/>
            <w:vAlign w:val="top"/>
          </w:tcPr>
          <w:p w14:paraId="21A2E132">
            <w:pPr>
              <w:pStyle w:val="45"/>
              <w:spacing w:line="340" w:lineRule="exact"/>
              <w:textAlignment w:val="center"/>
              <w:rPr>
                <w:rFonts w:hint="eastAsia" w:ascii="仿宋" w:hAnsi="仿宋" w:eastAsia="仿宋" w:cs="仿宋"/>
                <w:bCs/>
                <w:color w:val="auto"/>
                <w:sz w:val="24"/>
                <w:szCs w:val="24"/>
                <w:highlight w:val="none"/>
                <w:lang w:val="en-US" w:eastAsia="en-US"/>
              </w:rPr>
            </w:pPr>
            <w:r>
              <w:rPr>
                <w:rFonts w:hint="eastAsia" w:ascii="仿宋" w:hAnsi="仿宋" w:eastAsia="仿宋" w:cs="仿宋"/>
                <w:bCs/>
                <w:color w:val="auto"/>
                <w:sz w:val="24"/>
                <w:szCs w:val="24"/>
                <w:highlight w:val="none"/>
              </w:rPr>
              <w:t>工程质量、进度、安全保证措施完整、合理、应符合科学的施工规律、国家规定的强制性标准并有针对性，同时要符合项目实际情况，切实可行得8分；每有一项缺失或不详实准确的扣2分，扣完为止。</w:t>
            </w:r>
          </w:p>
        </w:tc>
      </w:tr>
      <w:tr w14:paraId="2ABA9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5" w:hRule="atLeast"/>
          <w:jc w:val="center"/>
        </w:trPr>
        <w:tc>
          <w:tcPr>
            <w:tcW w:w="1446" w:type="dxa"/>
            <w:vMerge w:val="continue"/>
            <w:noWrap w:val="0"/>
            <w:vAlign w:val="center"/>
          </w:tcPr>
          <w:p w14:paraId="12F53704">
            <w:pPr>
              <w:widowControl/>
              <w:spacing w:line="340" w:lineRule="exact"/>
              <w:jc w:val="center"/>
              <w:rPr>
                <w:rFonts w:hint="eastAsia" w:ascii="仿宋" w:hAnsi="仿宋" w:eastAsia="仿宋" w:cs="仿宋"/>
                <w:color w:val="auto"/>
                <w:highlight w:val="none"/>
              </w:rPr>
            </w:pPr>
          </w:p>
        </w:tc>
        <w:tc>
          <w:tcPr>
            <w:tcW w:w="2649" w:type="dxa"/>
            <w:noWrap w:val="0"/>
            <w:vAlign w:val="top"/>
          </w:tcPr>
          <w:p w14:paraId="1B125D36">
            <w:pPr>
              <w:pStyle w:val="45"/>
              <w:spacing w:line="340" w:lineRule="exact"/>
              <w:textAlignment w:val="center"/>
              <w:rPr>
                <w:rFonts w:hint="eastAsia" w:ascii="仿宋" w:hAnsi="仿宋" w:eastAsia="仿宋" w:cs="仿宋"/>
                <w:bCs/>
                <w:color w:val="auto"/>
                <w:sz w:val="24"/>
                <w:szCs w:val="24"/>
                <w:highlight w:val="none"/>
                <w:lang w:val="en-US" w:eastAsia="en-US"/>
              </w:rPr>
            </w:pPr>
            <w:r>
              <w:rPr>
                <w:rFonts w:hint="eastAsia" w:ascii="仿宋" w:hAnsi="仿宋" w:eastAsia="仿宋" w:cs="仿宋"/>
                <w:bCs/>
                <w:color w:val="auto"/>
                <w:sz w:val="24"/>
                <w:szCs w:val="24"/>
                <w:highlight w:val="none"/>
              </w:rPr>
              <w:t>售后服务方案</w:t>
            </w:r>
          </w:p>
        </w:tc>
        <w:tc>
          <w:tcPr>
            <w:tcW w:w="1110" w:type="dxa"/>
            <w:noWrap w:val="0"/>
            <w:vAlign w:val="top"/>
          </w:tcPr>
          <w:p w14:paraId="78325FF8">
            <w:pPr>
              <w:pStyle w:val="45"/>
              <w:spacing w:line="340" w:lineRule="exact"/>
              <w:textAlignment w:val="center"/>
              <w:rPr>
                <w:rFonts w:hint="eastAsia" w:ascii="仿宋" w:hAnsi="仿宋" w:eastAsia="仿宋" w:cs="仿宋"/>
                <w:bCs/>
                <w:color w:val="auto"/>
                <w:sz w:val="24"/>
                <w:szCs w:val="24"/>
                <w:highlight w:val="none"/>
                <w:lang w:val="en-US" w:eastAsia="en-US"/>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分</w:t>
            </w:r>
          </w:p>
        </w:tc>
        <w:tc>
          <w:tcPr>
            <w:tcW w:w="4649" w:type="dxa"/>
            <w:noWrap w:val="0"/>
            <w:vAlign w:val="top"/>
          </w:tcPr>
          <w:p w14:paraId="6DFF5471">
            <w:pPr>
              <w:pStyle w:val="45"/>
              <w:spacing w:line="340" w:lineRule="exact"/>
              <w:textAlignment w:val="center"/>
              <w:rPr>
                <w:rFonts w:hint="eastAsia" w:ascii="仿宋" w:hAnsi="仿宋" w:eastAsia="仿宋" w:cs="仿宋"/>
                <w:bCs/>
                <w:color w:val="auto"/>
                <w:sz w:val="24"/>
                <w:szCs w:val="24"/>
                <w:highlight w:val="none"/>
                <w:lang w:val="en-US" w:eastAsia="en-US"/>
              </w:rPr>
            </w:pPr>
            <w:r>
              <w:rPr>
                <w:rFonts w:hint="eastAsia" w:ascii="仿宋" w:hAnsi="仿宋" w:eastAsia="仿宋" w:cs="仿宋"/>
                <w:bCs/>
                <w:color w:val="auto"/>
                <w:sz w:val="24"/>
                <w:szCs w:val="24"/>
                <w:highlight w:val="none"/>
              </w:rPr>
              <w:t>1、视企业承诺的售后服务方案，方案完整，符合项目实际情况的得</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分；方案有缺漏、不完整的不得分。2、维修能力证明，提供承诺函的得2分，未提供不得分。3、根据提供的针对客户当地实际情况制定售后服务承诺，提供承诺函得3分，未提供不得分。</w:t>
            </w:r>
          </w:p>
        </w:tc>
      </w:tr>
      <w:tr w14:paraId="6DA79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5" w:hRule="atLeast"/>
          <w:jc w:val="center"/>
        </w:trPr>
        <w:tc>
          <w:tcPr>
            <w:tcW w:w="1446" w:type="dxa"/>
            <w:vMerge w:val="continue"/>
            <w:noWrap w:val="0"/>
            <w:vAlign w:val="center"/>
          </w:tcPr>
          <w:p w14:paraId="71008151">
            <w:pPr>
              <w:widowControl/>
              <w:spacing w:line="340" w:lineRule="exact"/>
              <w:jc w:val="center"/>
              <w:rPr>
                <w:rFonts w:hint="eastAsia" w:ascii="仿宋" w:hAnsi="仿宋" w:eastAsia="仿宋" w:cs="仿宋"/>
                <w:color w:val="auto"/>
                <w:highlight w:val="none"/>
              </w:rPr>
            </w:pPr>
          </w:p>
        </w:tc>
        <w:tc>
          <w:tcPr>
            <w:tcW w:w="2649" w:type="dxa"/>
            <w:noWrap w:val="0"/>
            <w:vAlign w:val="center"/>
          </w:tcPr>
          <w:p w14:paraId="4BDA468F">
            <w:pPr>
              <w:pStyle w:val="46"/>
              <w:spacing w:before="270"/>
              <w:ind w:right="262" w:rightChars="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类似业绩</w:t>
            </w:r>
          </w:p>
        </w:tc>
        <w:tc>
          <w:tcPr>
            <w:tcW w:w="1110" w:type="dxa"/>
            <w:noWrap w:val="0"/>
            <w:vAlign w:val="center"/>
          </w:tcPr>
          <w:p w14:paraId="684AA8F5">
            <w:pPr>
              <w:pStyle w:val="46"/>
              <w:spacing w:before="302" w:line="222"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5分</w:t>
            </w:r>
          </w:p>
        </w:tc>
        <w:tc>
          <w:tcPr>
            <w:tcW w:w="4649" w:type="dxa"/>
            <w:noWrap w:val="0"/>
            <w:vAlign w:val="center"/>
          </w:tcPr>
          <w:p w14:paraId="13759339">
            <w:pPr>
              <w:pStyle w:val="46"/>
              <w:spacing w:before="134" w:line="243" w:lineRule="auto"/>
              <w:ind w:left="115" w:leftChars="0" w:right="263" w:rightChars="0" w:firstLine="4" w:firstLineChars="0"/>
              <w:jc w:val="center"/>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近三年（2023年0</w:t>
            </w:r>
            <w:r>
              <w:rPr>
                <w:rFonts w:hint="eastAsia" w:ascii="仿宋" w:hAnsi="仿宋" w:eastAsia="仿宋" w:cs="仿宋"/>
                <w:color w:val="auto"/>
                <w:kern w:val="2"/>
                <w:sz w:val="24"/>
                <w:szCs w:val="24"/>
                <w:highlight w:val="none"/>
                <w:lang w:val="en-US" w:eastAsia="zh-CN" w:bidi="ar-SA"/>
              </w:rPr>
              <w:t>5</w:t>
            </w:r>
            <w:r>
              <w:rPr>
                <w:rFonts w:hint="default" w:ascii="仿宋" w:hAnsi="仿宋" w:eastAsia="仿宋" w:cs="仿宋"/>
                <w:color w:val="auto"/>
                <w:kern w:val="2"/>
                <w:sz w:val="24"/>
                <w:szCs w:val="24"/>
                <w:highlight w:val="none"/>
                <w:lang w:val="en-US" w:eastAsia="zh-CN" w:bidi="ar-SA"/>
              </w:rPr>
              <w:t>月至开标截止时间前）独立完成过1个四级及以上等级公路建设工程的施工业绩（包括新建或改扩建）</w:t>
            </w:r>
            <w:r>
              <w:rPr>
                <w:rFonts w:hint="eastAsia" w:ascii="仿宋" w:hAnsi="仿宋" w:eastAsia="仿宋" w:cs="仿宋"/>
                <w:color w:val="auto"/>
                <w:kern w:val="2"/>
                <w:sz w:val="24"/>
                <w:szCs w:val="24"/>
                <w:highlight w:val="none"/>
                <w:lang w:val="en-US" w:eastAsia="zh-CN" w:bidi="ar-SA"/>
              </w:rPr>
              <w:t>得5分</w:t>
            </w:r>
            <w:r>
              <w:rPr>
                <w:rFonts w:hint="default" w:ascii="仿宋" w:hAnsi="仿宋" w:eastAsia="仿宋" w:cs="仿宋"/>
                <w:color w:val="auto"/>
                <w:kern w:val="2"/>
                <w:sz w:val="24"/>
                <w:szCs w:val="24"/>
                <w:highlight w:val="none"/>
                <w:lang w:val="en-US" w:eastAsia="zh-CN" w:bidi="ar-SA"/>
              </w:rPr>
              <w:t>；</w:t>
            </w:r>
          </w:p>
          <w:p w14:paraId="6AE58F67">
            <w:pPr>
              <w:pStyle w:val="46"/>
              <w:spacing w:before="134" w:line="243" w:lineRule="auto"/>
              <w:ind w:left="115" w:leftChars="0" w:right="263" w:rightChars="0" w:firstLine="4" w:firstLineChars="0"/>
              <w:jc w:val="center"/>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（上述业绩为经交通主管部门认定的业绩，母子公司的业绩不能相互使用；单位名称发生变更的如未提供有效的企业变更批件，则其业绩不予计算。）</w:t>
            </w:r>
          </w:p>
          <w:p w14:paraId="1367937B">
            <w:pPr>
              <w:pStyle w:val="46"/>
              <w:spacing w:before="134" w:line="243" w:lineRule="auto"/>
              <w:ind w:left="115" w:leftChars="0" w:right="263" w:rightChars="0" w:firstLine="4" w:firstLineChars="0"/>
              <w:jc w:val="center"/>
              <w:rPr>
                <w:rFonts w:hint="default" w:ascii="宋体" w:hAnsi="宋体" w:cs="宋体"/>
                <w:kern w:val="0"/>
                <w:sz w:val="24"/>
                <w:szCs w:val="24"/>
                <w:lang w:val="en-US" w:eastAsia="zh-CN" w:bidi="zh-CN"/>
              </w:rPr>
            </w:pPr>
            <w:r>
              <w:rPr>
                <w:rFonts w:hint="eastAsia" w:ascii="仿宋" w:hAnsi="仿宋" w:eastAsia="仿宋" w:cs="仿宋"/>
                <w:color w:val="auto"/>
                <w:kern w:val="2"/>
                <w:sz w:val="24"/>
                <w:szCs w:val="24"/>
                <w:highlight w:val="none"/>
                <w:lang w:val="zh-CN" w:eastAsia="zh-CN" w:bidi="ar-SA"/>
              </w:rPr>
              <w:t>应附全国公路建设市场信用信息管理系统（适用于具备公路工程施工总承包一级及以上资质的投标人）</w:t>
            </w:r>
            <w:r>
              <w:rPr>
                <w:rFonts w:hint="eastAsia" w:ascii="仿宋" w:hAnsi="仿宋" w:eastAsia="仿宋" w:cs="仿宋"/>
                <w:color w:val="auto"/>
                <w:kern w:val="2"/>
                <w:sz w:val="24"/>
                <w:szCs w:val="24"/>
                <w:highlight w:val="none"/>
                <w:lang w:val="en-US" w:eastAsia="zh-CN" w:bidi="ar-SA"/>
              </w:rPr>
              <w:t>或</w:t>
            </w:r>
            <w:r>
              <w:rPr>
                <w:rFonts w:hint="eastAsia" w:ascii="仿宋" w:hAnsi="仿宋" w:eastAsia="仿宋" w:cs="仿宋"/>
                <w:color w:val="auto"/>
                <w:kern w:val="2"/>
                <w:sz w:val="24"/>
                <w:szCs w:val="24"/>
                <w:highlight w:val="none"/>
                <w:lang w:val="zh-CN" w:eastAsia="zh-CN" w:bidi="ar-SA"/>
              </w:rPr>
              <w:t>省级交通运输主管部门公路建设市场信用信息管理系统（适用于具备公路工程施工总承包二级及以下资质的投标人）中查询到的企业“业绩信息”相关项目网页截图复印件，即包括“项目名称”“标段类型”“合同价”“主要工程量”“项目主要管理人员”等栏目在内的项目详细信息网页截图复印件。除网页截图复印件外，投标人无须再提供任何业绩证明材料。</w:t>
            </w:r>
          </w:p>
        </w:tc>
      </w:tr>
    </w:tbl>
    <w:p w14:paraId="314C7047">
      <w:pPr>
        <w:pStyle w:val="12"/>
        <w:spacing w:line="360" w:lineRule="auto"/>
        <w:rPr>
          <w:rFonts w:hint="eastAsia" w:ascii="宋体" w:hAnsi="宋体" w:eastAsia="宋体" w:cs="宋体"/>
          <w:highlight w:val="none"/>
        </w:rPr>
      </w:pPr>
    </w:p>
    <w:p w14:paraId="3B8EF038">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评分说明：</w:t>
      </w:r>
    </w:p>
    <w:p w14:paraId="1C9E7FB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a.评标委员会小组成员打分时不得协商,应独立完成。</w:t>
      </w:r>
    </w:p>
    <w:p w14:paraId="4730A4A3">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b.未满足招标文件要求的投标方,不予评分。</w:t>
      </w:r>
    </w:p>
    <w:p w14:paraId="6580C877">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c.投标人报价超财政预算的按无效投标处理。</w:t>
      </w:r>
    </w:p>
    <w:p w14:paraId="7D9FB3B8">
      <w:pPr>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d.属于中小企业评审优惠内容及价格扣除幅度，本项目的价格扣除为</w:t>
      </w:r>
      <w:r>
        <w:rPr>
          <w:rFonts w:hint="eastAsia" w:cs="宋体"/>
          <w:sz w:val="24"/>
          <w:szCs w:val="24"/>
          <w:highlight w:val="none"/>
          <w:lang w:val="en-US" w:eastAsia="zh-CN"/>
        </w:rPr>
        <w:t>10</w:t>
      </w:r>
      <w:r>
        <w:rPr>
          <w:rFonts w:hint="eastAsia" w:ascii="宋体" w:hAnsi="宋体" w:eastAsia="宋体" w:cs="宋体"/>
          <w:sz w:val="24"/>
          <w:szCs w:val="24"/>
          <w:highlight w:val="none"/>
        </w:rPr>
        <w:t>%。</w:t>
      </w:r>
      <w:r>
        <w:rPr>
          <w:rFonts w:hint="eastAsia" w:cs="宋体"/>
          <w:sz w:val="24"/>
          <w:szCs w:val="24"/>
          <w:highlight w:val="none"/>
          <w:lang w:eastAsia="zh-CN"/>
        </w:rPr>
        <w:t>（</w:t>
      </w:r>
      <w:r>
        <w:rPr>
          <w:rFonts w:hint="eastAsia" w:cs="宋体"/>
          <w:sz w:val="24"/>
          <w:szCs w:val="24"/>
          <w:highlight w:val="none"/>
          <w:lang w:val="en-US" w:eastAsia="zh-CN"/>
        </w:rPr>
        <w:t>本项目不适用</w:t>
      </w:r>
      <w:r>
        <w:rPr>
          <w:rFonts w:hint="eastAsia" w:cs="宋体"/>
          <w:sz w:val="24"/>
          <w:szCs w:val="24"/>
          <w:highlight w:val="none"/>
          <w:lang w:eastAsia="zh-CN"/>
        </w:rPr>
        <w:t>）</w:t>
      </w:r>
    </w:p>
    <w:p w14:paraId="2EC24AD3">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根据中华人民共和国财政部、中华人民共和国工业和信息化部《政府采购促进中小企业发展管理办法》（财库[2020]46号）文件</w:t>
      </w:r>
      <w:r>
        <w:rPr>
          <w:rFonts w:hint="eastAsia" w:ascii="宋体" w:hAnsi="宋体" w:eastAsia="宋体" w:cs="宋体"/>
          <w:sz w:val="24"/>
          <w:szCs w:val="24"/>
          <w:highlight w:val="none"/>
          <w:lang w:val="en-US"/>
        </w:rPr>
        <w:t>和财库（2022）19号文</w:t>
      </w:r>
      <w:r>
        <w:rPr>
          <w:rFonts w:hint="eastAsia" w:ascii="宋体" w:hAnsi="宋体" w:eastAsia="宋体" w:cs="宋体"/>
          <w:sz w:val="24"/>
          <w:szCs w:val="24"/>
          <w:highlight w:val="none"/>
        </w:rPr>
        <w:t>的规定，属于中小企业评审优惠内容及幅度如下：</w:t>
      </w:r>
    </w:p>
    <w:p w14:paraId="20F11A3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（一）中小企业（含中型、小型、微型企业）应当同时符合以下条件：</w:t>
      </w:r>
    </w:p>
    <w:p w14:paraId="69815DC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①符合中小企业划分标准（按《关于印发中小企业划型标准规定的通知》（工信部联企业（2011）300号）执行）；</w:t>
      </w:r>
    </w:p>
    <w:p w14:paraId="35E3DCE7">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②提供本企业制造的货物、承担的项目或者服务，或者提供其他中小企业制造的货物。本项所称货物不包括使用大型企业注册商标的货物；</w:t>
      </w:r>
    </w:p>
    <w:p w14:paraId="05B3889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③小型、微型企业提供中型企业制造的货物的，视同为中型企业。</w:t>
      </w:r>
    </w:p>
    <w:p w14:paraId="331499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（二）价格扣除办法：</w:t>
      </w:r>
    </w:p>
    <w:p w14:paraId="759BF14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对于非专门面向中小企业的项目，对小型和微型企业产品的价格给予</w:t>
      </w:r>
      <w:r>
        <w:rPr>
          <w:rFonts w:hint="eastAsia" w:cs="宋体"/>
          <w:sz w:val="24"/>
          <w:szCs w:val="24"/>
          <w:highlight w:val="none"/>
          <w:lang w:val="en-US" w:eastAsia="zh-CN"/>
        </w:rPr>
        <w:t>10</w:t>
      </w:r>
      <w:r>
        <w:rPr>
          <w:rFonts w:hint="eastAsia" w:ascii="宋体" w:hAnsi="宋体" w:eastAsia="宋体" w:cs="宋体"/>
          <w:sz w:val="24"/>
          <w:szCs w:val="24"/>
          <w:highlight w:val="none"/>
        </w:rPr>
        <w:t>%的扣除，用扣除后的价格参与价格分的评审。</w:t>
      </w:r>
      <w:bookmarkStart w:id="117" w:name="_GoBack"/>
      <w:bookmarkEnd w:id="117"/>
    </w:p>
    <w:p w14:paraId="3FA57BB0">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（三）小型和微型企业适用价格扣除办法时应提供的相关资料：</w:t>
      </w:r>
    </w:p>
    <w:p w14:paraId="377A8CF1">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①《中小企业声明函》;</w:t>
      </w:r>
    </w:p>
    <w:p w14:paraId="44B2ABC1">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应当按照《办法》规定和《中小企业划型标准规定》（工信部联企业〔2011〕300号），如实填写并提交《中小企业声明函》，中小企业对其声明内容的真实性负责，声明函内容不实的，属于提供虚假材料谋取中标、成交，依照《中华人民共和国政府采购法》等国家有关规定追究相应责任。</w:t>
      </w:r>
    </w:p>
    <w:p w14:paraId="76428AA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属于享受政府采购支持政策的残疾人福利性单位评审优惠内容及价格扣除幅度按小型、微型企业评审中价格扣除（须提供投标供应商所在地政府管理部门出具的相关证明原件，另提供相关证明原件复印件加盖投标人公章），残疾人福利性单位属于小型、微型企业的，不重复享受政策。</w:t>
      </w:r>
    </w:p>
    <w:p w14:paraId="3BB7969B">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五、评标保密</w:t>
      </w:r>
    </w:p>
    <w:p w14:paraId="6A0747C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14:paraId="4C463A68">
      <w:pPr>
        <w:spacing w:line="440" w:lineRule="exact"/>
        <w:ind w:firstLine="482" w:firstLineChars="200"/>
        <w:rPr>
          <w:rFonts w:hint="eastAsia" w:ascii="宋体" w:hAnsi="宋体" w:eastAsia="宋体" w:cs="宋体"/>
          <w:b/>
          <w:spacing w:val="-1"/>
          <w:sz w:val="24"/>
          <w:szCs w:val="24"/>
        </w:rPr>
      </w:pPr>
      <w:r>
        <w:rPr>
          <w:rFonts w:hint="eastAsia" w:ascii="宋体" w:hAnsi="宋体" w:eastAsia="宋体" w:cs="宋体"/>
          <w:b/>
          <w:sz w:val="24"/>
          <w:szCs w:val="24"/>
        </w:rPr>
        <w:t>六、成交通知</w:t>
      </w:r>
    </w:p>
    <w:p w14:paraId="26BE583E">
      <w:pPr>
        <w:spacing w:line="440" w:lineRule="exact"/>
        <w:ind w:firstLine="552" w:firstLineChars="200"/>
        <w:rPr>
          <w:rFonts w:hint="eastAsia" w:ascii="宋体" w:hAnsi="宋体" w:eastAsia="宋体" w:cs="宋体"/>
          <w:spacing w:val="-1"/>
          <w:sz w:val="24"/>
          <w:szCs w:val="24"/>
        </w:rPr>
      </w:pPr>
      <w:r>
        <w:rPr>
          <w:rFonts w:hint="eastAsia" w:ascii="宋体" w:hAnsi="宋体" w:eastAsia="宋体" w:cs="宋体"/>
          <w:spacing w:val="18"/>
          <w:sz w:val="24"/>
          <w:szCs w:val="24"/>
        </w:rPr>
        <w:t>6.1</w:t>
      </w:r>
      <w:r>
        <w:rPr>
          <w:rFonts w:hint="eastAsia" w:ascii="宋体" w:hAnsi="宋体" w:eastAsia="宋体" w:cs="宋体"/>
          <w:spacing w:val="-1"/>
          <w:sz w:val="24"/>
          <w:szCs w:val="24"/>
        </w:rPr>
        <w:t>确定成交人</w:t>
      </w:r>
    </w:p>
    <w:p w14:paraId="21B21685">
      <w:pPr>
        <w:spacing w:line="440" w:lineRule="exact"/>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rPr>
        <w:t>评标委员会根据最终评审向采购人推荐前3名成交候选人。</w:t>
      </w:r>
    </w:p>
    <w:p w14:paraId="7110D88F">
      <w:pPr>
        <w:spacing w:line="440" w:lineRule="exact"/>
        <w:ind w:firstLine="552" w:firstLineChars="200"/>
        <w:rPr>
          <w:rFonts w:hint="eastAsia" w:ascii="宋体" w:hAnsi="宋体" w:eastAsia="宋体" w:cs="宋体"/>
          <w:spacing w:val="-1"/>
          <w:sz w:val="24"/>
          <w:szCs w:val="24"/>
        </w:rPr>
      </w:pPr>
      <w:r>
        <w:rPr>
          <w:rFonts w:hint="eastAsia" w:ascii="宋体" w:hAnsi="宋体" w:eastAsia="宋体" w:cs="宋体"/>
          <w:spacing w:val="18"/>
          <w:sz w:val="24"/>
          <w:szCs w:val="24"/>
        </w:rPr>
        <w:t>6.2</w:t>
      </w:r>
      <w:r>
        <w:rPr>
          <w:rFonts w:hint="eastAsia" w:ascii="宋体" w:hAnsi="宋体" w:eastAsia="宋体" w:cs="宋体"/>
          <w:spacing w:val="-1"/>
          <w:sz w:val="24"/>
          <w:szCs w:val="24"/>
        </w:rPr>
        <w:t>中标通知</w:t>
      </w:r>
    </w:p>
    <w:p w14:paraId="4EE5B4F5">
      <w:pPr>
        <w:pStyle w:val="10"/>
        <w:ind w:firstLine="476" w:firstLineChars="200"/>
        <w:rPr>
          <w:rFonts w:hint="eastAsia" w:ascii="宋体" w:hAnsi="宋体" w:eastAsia="宋体" w:cs="宋体"/>
          <w:b/>
          <w:sz w:val="24"/>
          <w:szCs w:val="24"/>
          <w:lang w:val="en-US" w:bidi="ar-SA"/>
        </w:rPr>
      </w:pPr>
      <w:r>
        <w:rPr>
          <w:rFonts w:hint="eastAsia" w:ascii="宋体" w:hAnsi="宋体" w:eastAsia="宋体" w:cs="宋体"/>
          <w:spacing w:val="-1"/>
        </w:rPr>
        <w:t>确定出成交人后，采购人将以书面形式通知成交的竞争性磋商响应人。</w:t>
      </w:r>
      <w:bookmarkStart w:id="115" w:name="第八章__工程量清单计量规则"/>
      <w:bookmarkEnd w:id="115"/>
      <w:bookmarkStart w:id="116" w:name="_TOC_250018"/>
      <w:bookmarkEnd w:id="116"/>
    </w:p>
    <w:sectPr>
      <w:headerReference r:id="rId28" w:type="default"/>
      <w:footerReference r:id="rId29" w:type="default"/>
      <w:pgSz w:w="11910" w:h="16840"/>
      <w:pgMar w:top="1580" w:right="1240" w:bottom="1040" w:left="1260" w:header="0" w:footer="84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053CB">
    <w:pPr>
      <w:kinsoku w:val="0"/>
      <w:overflowPunct w:val="0"/>
      <w:adjustRightInd w:val="0"/>
      <w:spacing w:line="14" w:lineRule="auto"/>
      <w:rPr>
        <w:rFonts w:eastAsia="Times New Roman" w:cs="Times New Roman"/>
        <w:sz w:val="20"/>
        <w:szCs w:val="24"/>
        <w:lang w:val="en-US"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90A9B">
    <w:pPr>
      <w:pStyle w:val="10"/>
      <w:spacing w:line="14" w:lineRule="auto"/>
      <w:rPr>
        <w:sz w:val="20"/>
      </w:rPr>
    </w:pPr>
    <w:r>
      <w:rPr>
        <w:sz w:val="20"/>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3A4029">
                          <w:pPr>
                            <w:pStyle w:val="15"/>
                          </w:pPr>
                          <w:r>
                            <w:fldChar w:fldCharType="begin"/>
                          </w:r>
                          <w:r>
                            <w:instrText xml:space="preserve"> PAGE  \* MERGEFORMAT </w:instrText>
                          </w:r>
                          <w:r>
                            <w:fldChar w:fldCharType="separate"/>
                          </w:r>
                          <w:r>
                            <w:t>150</w:t>
                          </w:r>
                          <w:r>
                            <w:fldChar w:fldCharType="end"/>
                          </w:r>
                        </w:p>
                      </w:txbxContent>
                    </wps:txbx>
                    <wps:bodyPr wrap="none" lIns="0" tIns="0" rIns="0" bIns="0" upright="1">
                      <a:spAutoFit/>
                    </wps:bodyPr>
                  </wps:wsp>
                </a:graphicData>
              </a:graphic>
            </wp:anchor>
          </w:drawing>
        </mc:Choice>
        <mc:Fallback>
          <w:pict>
            <v:shape id="文本框 123"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0MsBAACbAwAADgAAAGRycy9lMm9Eb2MueG1srVNLbtswEN0XyB0I&#10;7mPKKlA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fk2Naj3UGHek8fMONy5Addm9gM6k+6hDSZ9URHBOLb3dGmvHCIR6dGqXK0KDAmMzRfEZ8/PfYD4&#10;XjpDklHTgPPLbeXHR4hj6pySqll3r7TOM9T2LwdiJg9L3EeOyYrDbpgE7VxzQj09jr6mFjedEv1g&#10;sbNpS2YjzMZuNg4+qH2H1JaZF/jbQ0QSmVuqMMJOhXFmWd20X2kp/rznrOd/avM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nEZNDLAQAAmwMAAA4AAAAAAAAAAQAgAAAAHgEAAGRycy9lMm9E&#10;b2MueG1sUEsFBgAAAAAGAAYAWQEAAFsFAAAAAA==&#10;">
              <v:fill on="f" focussize="0,0"/>
              <v:stroke on="f"/>
              <v:imagedata o:title=""/>
              <o:lock v:ext="edit" aspectratio="f"/>
              <v:textbox inset="0mm,0mm,0mm,0mm" style="mso-fit-shape-to-text:t;">
                <w:txbxContent>
                  <w:p w14:paraId="423A4029">
                    <w:pPr>
                      <w:pStyle w:val="15"/>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BA186">
    <w:pPr>
      <w:pStyle w:val="10"/>
      <w:spacing w:line="14" w:lineRule="auto"/>
      <w:rPr>
        <w:sz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B93F83">
                          <w:pPr>
                            <w:pStyle w:val="15"/>
                          </w:pPr>
                          <w:r>
                            <w:fldChar w:fldCharType="begin"/>
                          </w:r>
                          <w:r>
                            <w:instrText xml:space="preserve"> PAGE  \* MERGEFORMAT </w:instrText>
                          </w:r>
                          <w:r>
                            <w:fldChar w:fldCharType="separate"/>
                          </w:r>
                          <w:r>
                            <w:t>150</w:t>
                          </w:r>
                          <w:r>
                            <w:fldChar w:fldCharType="end"/>
                          </w:r>
                        </w:p>
                      </w:txbxContent>
                    </wps:txbx>
                    <wps:bodyPr wrap="none" lIns="0" tIns="0" rIns="0" bIns="0" upright="1">
                      <a:spAutoFit/>
                    </wps:bodyPr>
                  </wps:wsp>
                </a:graphicData>
              </a:graphic>
            </wp:anchor>
          </w:drawing>
        </mc:Choice>
        <mc:Fallback>
          <w:pict>
            <v:shape id="文本框 123"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1rcoBAACb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7Jc&#10;vcwN6gPUmHcXMDMNb/2AazP7AZ1Z96CizV9URDCO7T1f2yuHRER+tF6t1xWGBMbmC+Kzh+chQnon&#10;vSXZaGjE+ZW28tMHSGPqnJKrOX+rjSkzNO4vB2JmD8vcR47ZSsN+mATtfXtGPT2OvqEON50S895h&#10;Z/OWzEacjf1sHEPUhw6pLQsvCG+OCUkUbrnCCDsVxpkVddN+5aX4816yHv6p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Y1rcoBAACbAwAADgAAAAAAAAABACAAAAAeAQAAZHJzL2Uyb0Rv&#10;Yy54bWxQSwUGAAAAAAYABgBZAQAAWgUAAAAA&#10;">
              <v:fill on="f" focussize="0,0"/>
              <v:stroke on="f"/>
              <v:imagedata o:title=""/>
              <o:lock v:ext="edit" aspectratio="f"/>
              <v:textbox inset="0mm,0mm,0mm,0mm" style="mso-fit-shape-to-text:t;">
                <w:txbxContent>
                  <w:p w14:paraId="6EB93F83">
                    <w:pPr>
                      <w:pStyle w:val="15"/>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1769D">
    <w:pPr>
      <w:pStyle w:val="10"/>
      <w:spacing w:line="14" w:lineRule="auto"/>
      <w:rPr>
        <w:sz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BB5F6B">
                          <w:pPr>
                            <w:pStyle w:val="15"/>
                          </w:pPr>
                          <w:r>
                            <w:fldChar w:fldCharType="begin"/>
                          </w:r>
                          <w:r>
                            <w:instrText xml:space="preserve"> PAGE  \* MERGEFORMAT </w:instrText>
                          </w:r>
                          <w:r>
                            <w:fldChar w:fldCharType="separate"/>
                          </w:r>
                          <w:r>
                            <w:t>154</w:t>
                          </w:r>
                          <w:r>
                            <w:fldChar w:fldCharType="end"/>
                          </w:r>
                        </w:p>
                      </w:txbxContent>
                    </wps:txbx>
                    <wps:bodyPr wrap="none" lIns="0" tIns="0" rIns="0" bIns="0" upright="1">
                      <a:spAutoFit/>
                    </wps:bodyPr>
                  </wps:wsp>
                </a:graphicData>
              </a:graphic>
            </wp:anchor>
          </w:drawing>
        </mc:Choice>
        <mc:Fallback>
          <w:pict>
            <v:shape id="文本框 124"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npa58sBAACcAwAADgAAAGRycy9lMm9Eb2MueG1srVPNjtMwEL4j8Q6W&#10;79RphFAUNV3tqlqEhABp4QFcx2ks+U8et0lfAN6AExfuPFefg7GTdGG57IGLM54Zf/N9M5PNzWg0&#10;OckAytmGrlcFJdIK1yp7aOiXz/evKkogctty7axs6FkCvdm+fLEZfC1L1zvdykAQxEI9+Ib2Mfqa&#10;MRC9NBxWzkuLwc4FwyNew4G1gQ+IbjQri+ING1xofXBCAqB3NwXpjBieA+i6Tgm5c+JopI0TapCa&#10;R5QEvfJAt5lt10kRP3YdyEh0Q1FpzCcWQXufTrbd8PoQuO+VmCnw51B4oslwZbHoFWrHIyfHoP6B&#10;MkoEB66LK+EMm4TkjqCKdfGkNw899zJrwVaDvzYd/h+s+HD6FIhqG1qVlFhucOKX798uP35dfn4l&#10;6/J16tDgocbEB4+pcbxzI+7N4gd0JuFjF0z6oiSCcezv+dpfOUYi0qOqrKoCQwJjywXx2eNzHyC+&#10;lc6QZDQ04ABzX/npPcQpdUlJ1ay7V1rnIWr7lwMxk4cl7hPHZMVxP86C9q49o54BZ99Qi6tOiX5n&#10;sbVpTRYjLMZ+MY4+qEOP1NaZF/jbY0QSmVuqMMHOhXFoWd28YGkr/rznrM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J6WufLAQAAnAMAAA4AAAAAAAAAAQAgAAAAHgEAAGRycy9lMm9E&#10;b2MueG1sUEsFBgAAAAAGAAYAWQEAAFsFAAAAAA==&#10;">
              <v:fill on="f" focussize="0,0"/>
              <v:stroke on="f"/>
              <v:imagedata o:title=""/>
              <o:lock v:ext="edit" aspectratio="f"/>
              <v:textbox inset="0mm,0mm,0mm,0mm" style="mso-fit-shape-to-text:t;">
                <w:txbxContent>
                  <w:p w14:paraId="38BB5F6B">
                    <w:pPr>
                      <w:pStyle w:val="15"/>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B066A">
    <w:pPr>
      <w:pStyle w:val="10"/>
      <w:spacing w:line="14" w:lineRule="auto"/>
      <w:rPr>
        <w:sz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EB3A3">
                          <w:pPr>
                            <w:pStyle w:val="15"/>
                          </w:pPr>
                          <w:r>
                            <w:fldChar w:fldCharType="begin"/>
                          </w:r>
                          <w:r>
                            <w:instrText xml:space="preserve"> PAGE  \* MERGEFORMAT </w:instrText>
                          </w:r>
                          <w:r>
                            <w:fldChar w:fldCharType="separate"/>
                          </w:r>
                          <w:r>
                            <w:t>157</w:t>
                          </w:r>
                          <w:r>
                            <w:fldChar w:fldCharType="end"/>
                          </w:r>
                        </w:p>
                      </w:txbxContent>
                    </wps:txbx>
                    <wps:bodyPr wrap="none" lIns="0" tIns="0" rIns="0" bIns="0" upright="1">
                      <a:spAutoFit/>
                    </wps:bodyPr>
                  </wps:wsp>
                </a:graphicData>
              </a:graphic>
            </wp:anchor>
          </w:drawing>
        </mc:Choice>
        <mc:Fallback>
          <w:pict>
            <v:shape id="文本框 125"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LJU8wBAACcAwAADgAAAGRycy9lMm9Eb2MueG1srVPNjtMwEL4j7TtY&#10;vm+ddgWKoqYrULUrJARIyz6A6ziNJf/J4zbpC8AbcOLCnefqczB2ki4slz1wccYz42++b2ayvh2M&#10;JkcZQDlb0+WioERa4Rpl9zV9/HJ3XVICkduGa2dlTU8S6O3m6tW695Vcuc7pRgaCIBaq3te0i9FX&#10;jIHopOGwcF5aDLYuGB7xGvasCbxHdKPZqijesN6FxgcnJAB6t2OQTojhJYCubZWQWycORto4ogap&#10;eURJ0CkPdJPZtq0U8VPbgoxE1xSVxnxiEbR36WSbNa/2gftOiYkCfwmFZ5oMVxaLXqC2PHJyCOof&#10;KKNEcODauBDOsFFI7giqWBbPevPQcS+zFmw1+EvT4f/Bio/Hz4GopqblDSWWG5z4+fu3849f559f&#10;yXL1OnWo91Bh4oPH1Di8cwPuzewHdCbhQxtM+qIkgnHs7+nSXzlEItKjclWWBYYExuYL4rOn5z5A&#10;vJfOkGTUNOAAc1/58QPEMXVOSdWsu1Na5yFq+5cDMZOHJe4jx2TFYTdMgnauOaGeHmdfU4urTol+&#10;b7G1aU1mI8zGbjYOPqh9h9SW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sslTzAEAAJwDAAAOAAAAAAAAAAEAIAAAAB4BAABkcnMvZTJv&#10;RG9jLnhtbFBLBQYAAAAABgAGAFkBAABcBQAAAAA=&#10;">
              <v:fill on="f" focussize="0,0"/>
              <v:stroke on="f"/>
              <v:imagedata o:title=""/>
              <o:lock v:ext="edit" aspectratio="f"/>
              <v:textbox inset="0mm,0mm,0mm,0mm" style="mso-fit-shape-to-text:t;">
                <w:txbxContent>
                  <w:p w14:paraId="611EB3A3">
                    <w:pPr>
                      <w:pStyle w:val="15"/>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E1477">
    <w:pPr>
      <w:pStyle w:val="10"/>
      <w:spacing w:line="14" w:lineRule="auto"/>
      <w:rPr>
        <w:sz w:val="20"/>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FC3709">
                          <w:pPr>
                            <w:pStyle w:val="15"/>
                          </w:pPr>
                          <w:r>
                            <w:fldChar w:fldCharType="begin"/>
                          </w:r>
                          <w:r>
                            <w:instrText xml:space="preserve"> PAGE  \* MERGEFORMAT </w:instrText>
                          </w:r>
                          <w:r>
                            <w:fldChar w:fldCharType="separate"/>
                          </w:r>
                          <w:r>
                            <w:t>164</w:t>
                          </w:r>
                          <w:r>
                            <w:fldChar w:fldCharType="end"/>
                          </w:r>
                        </w:p>
                      </w:txbxContent>
                    </wps:txbx>
                    <wps:bodyPr wrap="none" lIns="0" tIns="0" rIns="0" bIns="0" upright="1">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Odh8wBAACcAwAADgAAAGRycy9lMm9Eb2MueG1srVNLbtswEN0XyB0I&#10;7mPKRhAIguWghZEiQNEWSHsAmqIsAvyBQ1vyBdobdNVN9z2Xz9EhJTlpusmiG2o4M3zz3sxofTcY&#10;TY4ygHK2pstFQYm0wjXK7mv69cv9dUkJRG4brp2VNT1JoHebqzfr3ldy5TqnGxkIglioel/TLkZf&#10;MQaik4bDwnlpMdi6YHjEa9izJvAe0Y1mq6K4Zb0LjQ9OSAD0bscgnRDDawBd2yoht04cjLRxRA1S&#10;84iSoFMe6CazbVsp4qe2BRmJrikqjfnEImjv0sk2a17tA/edEhMF/hoKLzQZriwWvUBteeTkENQ/&#10;UEaJ4MC1cSGcYaOQ3BFUsSxe9Oax415mLdhq8Jemw/+DFR+PnwNRTU3LG0osNzjx84/v55+/z7++&#10;keXqNnWo91Bh4qPH1Di8cwPuzewHdCbhQxtM+qIkgnHs7+nSXzlEItKjclWWBYYExuYL4rOn5z5A&#10;fC+dIcmoacAB5r7y4weIY+qckqpZd6+0zkPU9i8HYiYPS9xHjsmKw26YBO1cc0I9Pc6+phZXnRL9&#10;YLG1aU1mI8zGbjYOPqh9h9SWmRf4t4eIJDK3VGGEnQrj0LK6acHSVjy/56ynn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u052HzAEAAJwDAAAOAAAAAAAAAAEAIAAAAB4BAABkcnMvZTJv&#10;RG9jLnhtbFBLBQYAAAAABgAGAFkBAABcBQAAAAA=&#10;">
              <v:fill on="f" focussize="0,0"/>
              <v:stroke on="f"/>
              <v:imagedata o:title=""/>
              <o:lock v:ext="edit" aspectratio="f"/>
              <v:textbox inset="0mm,0mm,0mm,0mm" style="mso-fit-shape-to-text:t;">
                <w:txbxContent>
                  <w:p w14:paraId="2FFC3709">
                    <w:pPr>
                      <w:pStyle w:val="15"/>
                    </w:pPr>
                    <w:r>
                      <w:fldChar w:fldCharType="begin"/>
                    </w:r>
                    <w:r>
                      <w:instrText xml:space="preserve"> PAGE  \* MERGEFORMAT </w:instrText>
                    </w:r>
                    <w:r>
                      <w:fldChar w:fldCharType="separate"/>
                    </w:r>
                    <w:r>
                      <w:t>164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E685E">
    <w:pPr>
      <w:pStyle w:val="10"/>
      <w:spacing w:line="14" w:lineRule="auto"/>
      <w:rPr>
        <w:sz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DBD248">
                          <w:pPr>
                            <w:pStyle w:val="15"/>
                          </w:pPr>
                          <w:r>
                            <w:fldChar w:fldCharType="begin"/>
                          </w:r>
                          <w:r>
                            <w:instrText xml:space="preserve"> PAGE  \* MERGEFORMAT </w:instrText>
                          </w:r>
                          <w:r>
                            <w:fldChar w:fldCharType="separate"/>
                          </w:r>
                          <w:r>
                            <w:t>166</w:t>
                          </w:r>
                          <w:r>
                            <w:fldChar w:fldCharType="end"/>
                          </w:r>
                        </w:p>
                      </w:txbxContent>
                    </wps:txbx>
                    <wps:bodyPr wrap="none" lIns="0" tIns="0" rIns="0" bIns="0" upright="1">
                      <a:spAutoFit/>
                    </wps:bodyPr>
                  </wps:wsp>
                </a:graphicData>
              </a:graphic>
            </wp:anchor>
          </w:drawing>
        </mc:Choice>
        <mc:Fallback>
          <w:pict>
            <v:shape id="文本框 127"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sOM8wBAACcAwAADgAAAGRycy9lMm9Eb2MueG1srVPNjtMwEL4j7TtY&#10;vm+dVlqIoqYrULUrJARIyz6A6ziNJf/J4zbpC8AbcOLCnefqczB2ki4slz1wccYz42++b2ayvh2M&#10;JkcZQDlb0+WioERa4Rpl9zV9/HJ3XVICkduGa2dlTU8S6O3m6tW695Vcuc7pRgaCIBaq3te0i9FX&#10;jIHopOGwcF5aDLYuGB7xGvasCbxHdKPZqihes96FxgcnJAB6t2OQTojhJYCubZWQWycORto4ogap&#10;eURJ0CkPdJPZtq0U8VPbgoxE1xSVxnxiEbR36WSbNa/2gftOiYkCfwmFZ5oMVxaLXqC2PHJyCOof&#10;KKNEcODauBDOsFFI7giqWBbPevPQcS+zFmw1+EvT4f/Bio/Hz4GopqblDSWWG5z4+fu3849f559f&#10;yXL1JnWo91Bh4oPH1Di8cwPuzewHdCbhQxtM+qIkgnHs7+nSXzlEItKjclWWBYYExuYL4rOn5z5A&#10;vJfOkGTUNOAAc1/58QPEMXVOSdWsu1Na5yFq+5cDMZOHJe4jx2TFYTdMgnauOaGeHmdfU4urTol+&#10;b7G1aU1mI8zGbjYOPqh9h9SW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FGw4zzAEAAJwDAAAOAAAAAAAAAAEAIAAAAB4BAABkcnMvZTJv&#10;RG9jLnhtbFBLBQYAAAAABgAGAFkBAABcBQAAAAA=&#10;">
              <v:fill on="f" focussize="0,0"/>
              <v:stroke on="f"/>
              <v:imagedata o:title=""/>
              <o:lock v:ext="edit" aspectratio="f"/>
              <v:textbox inset="0mm,0mm,0mm,0mm" style="mso-fit-shape-to-text:t;">
                <w:txbxContent>
                  <w:p w14:paraId="34DBD248">
                    <w:pPr>
                      <w:pStyle w:val="15"/>
                    </w:pPr>
                    <w:r>
                      <w:fldChar w:fldCharType="begin"/>
                    </w:r>
                    <w:r>
                      <w:instrText xml:space="preserve"> PAGE  \* MERGEFORMAT </w:instrText>
                    </w:r>
                    <w:r>
                      <w:fldChar w:fldCharType="separate"/>
                    </w:r>
                    <w:r>
                      <w:t>166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DA43">
    <w:pPr>
      <w:pStyle w:val="10"/>
      <w:spacing w:line="14" w:lineRule="auto"/>
      <w:rPr>
        <w:sz w:val="20"/>
      </w:rPr>
    </w:pPr>
    <w:r>
      <w:rPr>
        <w:sz w:val="20"/>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B3766C">
                          <w:pPr>
                            <w:pStyle w:val="15"/>
                          </w:pPr>
                          <w:r>
                            <w:fldChar w:fldCharType="begin"/>
                          </w:r>
                          <w:r>
                            <w:instrText xml:space="preserve"> PAGE  \* MERGEFORMAT </w:instrText>
                          </w:r>
                          <w:r>
                            <w:fldChar w:fldCharType="separate"/>
                          </w:r>
                          <w:r>
                            <w:t>170</w:t>
                          </w:r>
                          <w:r>
                            <w:fldChar w:fldCharType="end"/>
                          </w:r>
                        </w:p>
                      </w:txbxContent>
                    </wps:txbx>
                    <wps:bodyPr wrap="none" lIns="0" tIns="0" rIns="0" bIns="0" upright="1">
                      <a:spAutoFit/>
                    </wps:bodyPr>
                  </wps:wsp>
                </a:graphicData>
              </a:graphic>
            </wp:anchor>
          </w:drawing>
        </mc:Choice>
        <mc:Fallback>
          <w:pict>
            <v:shape id="文本框 128"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kcg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rS6ocQygxM/f/92/vHr/PMr&#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V5HILLAQAAnAMAAA4AAAAAAAAAAQAgAAAAHgEAAGRycy9lMm9E&#10;b2MueG1sUEsFBgAAAAAGAAYAWQEAAFsFAAAAAA==&#10;">
              <v:fill on="f" focussize="0,0"/>
              <v:stroke on="f"/>
              <v:imagedata o:title=""/>
              <o:lock v:ext="edit" aspectratio="f"/>
              <v:textbox inset="0mm,0mm,0mm,0mm" style="mso-fit-shape-to-text:t;">
                <w:txbxContent>
                  <w:p w14:paraId="7FB3766C">
                    <w:pPr>
                      <w:pStyle w:val="15"/>
                    </w:pPr>
                    <w:r>
                      <w:fldChar w:fldCharType="begin"/>
                    </w:r>
                    <w:r>
                      <w:instrText xml:space="preserve"> PAGE  \* MERGEFORMAT </w:instrText>
                    </w:r>
                    <w:r>
                      <w:fldChar w:fldCharType="separate"/>
                    </w:r>
                    <w:r>
                      <w:t>170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BA1C5">
    <w:pPr>
      <w:pStyle w:val="10"/>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83259D">
                          <w:pPr>
                            <w:pStyle w:val="15"/>
                          </w:pPr>
                          <w:r>
                            <w:fldChar w:fldCharType="begin"/>
                          </w:r>
                          <w:r>
                            <w:instrText xml:space="preserve"> PAGE  \* MERGEFORMAT </w:instrText>
                          </w:r>
                          <w:r>
                            <w:fldChar w:fldCharType="separate"/>
                          </w:r>
                          <w:r>
                            <w:t>171</w:t>
                          </w:r>
                          <w:r>
                            <w:fldChar w:fldCharType="end"/>
                          </w:r>
                        </w:p>
                      </w:txbxContent>
                    </wps:txbx>
                    <wps:bodyPr wrap="none" lIns="0" tIns="0" rIns="0" bIns="0" upright="1">
                      <a:spAutoFit/>
                    </wps:bodyPr>
                  </wps:wsp>
                </a:graphicData>
              </a:graphic>
            </wp:anchor>
          </w:drawing>
        </mc:Choice>
        <mc:Fallback>
          <w:pict>
            <v:shape id="文本框 129"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GPNswBAACcAwAADgAAAGRycy9lMm9Eb2MueG1srVPNjtMwEL4j7TtY&#10;vm+T9rCEqOkKVO0KCQHSsg/gOnZjyX/yuE36AvAGnLhw57n6HIydpAvLZQ9cnPHM+Jvvm5msbwej&#10;yVEEUM42dLkoKRGWu1bZfUMfv9xdV5RAZLZl2lnR0JMAeru5erXufS1WrnO6FYEgiIW69w3tYvR1&#10;UQDvhGGwcF5YDEoXDIt4DfuiDaxHdKOLVVneFL0LrQ+OCwD0bscgnRDDSwCdlIqLreMHI2wcUYPQ&#10;LKIk6JQHuslspRQ8fpISRCS6oag05hOLoL1LZ7FZs3ofmO8Unyiwl1B4pskwZbHoBWrLIiOHoP6B&#10;MooHB07GBXemGIXkjqCKZfmsNw8d8yJrwVaDvzQd/h8s/3j8HIhqG1q9psQygxM/f/92/vHr/PMr&#10;Wa7epA71HmpMfPCYGod3bsC9mf2AziR8kMGkL0oiGMf+ni79FUMkPD2qVlVVYohjbL4gfvH03AeI&#10;98IZkoyGBhxg7is7foA4ps4pqZp1d0rrPERt/3IgZvIUifvIMVlx2A2ToJ1rT6inx9k31OKqU6Lf&#10;W2xtWpPZCLOxm42DD2rfIbVl5gX+7SEiicwtVRhhp8I4tKxuWrC0FX/ec9bTT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esY82zAEAAJwDAAAOAAAAAAAAAAEAIAAAAB4BAABkcnMvZTJv&#10;RG9jLnhtbFBLBQYAAAAABgAGAFkBAABcBQAAAAA=&#10;">
              <v:fill on="f" focussize="0,0"/>
              <v:stroke on="f"/>
              <v:imagedata o:title=""/>
              <o:lock v:ext="edit" aspectratio="f"/>
              <v:textbox inset="0mm,0mm,0mm,0mm" style="mso-fit-shape-to-text:t;">
                <w:txbxContent>
                  <w:p w14:paraId="4383259D">
                    <w:pPr>
                      <w:pStyle w:val="15"/>
                    </w:pPr>
                    <w:r>
                      <w:fldChar w:fldCharType="begin"/>
                    </w:r>
                    <w:r>
                      <w:instrText xml:space="preserve"> PAGE  \* MERGEFORMAT </w:instrText>
                    </w:r>
                    <w:r>
                      <w:fldChar w:fldCharType="separate"/>
                    </w:r>
                    <w:r>
                      <w:t>171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71D1">
    <w:pPr>
      <w:kinsoku w:val="0"/>
      <w:overflowPunct w:val="0"/>
      <w:adjustRightInd w:val="0"/>
      <w:spacing w:line="14" w:lineRule="auto"/>
      <w:rPr>
        <w:rFonts w:eastAsia="Times New Roman" w:cs="Times New Roman"/>
        <w:sz w:val="20"/>
        <w:szCs w:val="24"/>
        <w:lang w:val="en-US" w:bidi="ar-SA"/>
      </w:rPr>
    </w:pPr>
  </w:p>
  <w:p w14:paraId="48728CF6">
    <w:pPr>
      <w:kinsoku w:val="0"/>
      <w:overflowPunct w:val="0"/>
      <w:adjustRightInd w:val="0"/>
      <w:spacing w:line="14" w:lineRule="auto"/>
      <w:rPr>
        <w:rFonts w:eastAsia="Times New Roman" w:cs="Times New Roman"/>
        <w:sz w:val="20"/>
        <w:szCs w:val="24"/>
        <w:lang w:val="en-US"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68B62">
    <w:pPr>
      <w:pStyle w:val="10"/>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F0814A">
                          <w:pPr>
                            <w:pStyle w:val="15"/>
                          </w:pPr>
                          <w:r>
                            <w:fldChar w:fldCharType="begin"/>
                          </w:r>
                          <w:r>
                            <w:instrText xml:space="preserve"> PAGE  \* MERGEFORMAT </w:instrText>
                          </w:r>
                          <w:r>
                            <w:fldChar w:fldCharType="separate"/>
                          </w:r>
                          <w:r>
                            <w:t>81</w:t>
                          </w:r>
                          <w:r>
                            <w:fldChar w:fldCharType="end"/>
                          </w:r>
                        </w:p>
                      </w:txbxContent>
                    </wps:txbx>
                    <wps:bodyPr wrap="none" lIns="0" tIns="0" rIns="0" bIns="0" upright="1">
                      <a:spAutoFit/>
                    </wps:bodyPr>
                  </wps:wsp>
                </a:graphicData>
              </a:graphic>
            </wp:anchor>
          </w:drawing>
        </mc:Choice>
        <mc:Fallback>
          <w:pict>
            <v:shape id="文本框 1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fAwSMwBAACcAwAADgAAAGRycy9lMm9Eb2MueG1srVPNjtMwEL4j8Q6W&#10;79skXQRV1HQFqhYhIUBaeADXsRtL/pPHbdIXgDfgxIU7z9XnYOwk3R8ue+DijGfG33zfzGR9MxhN&#10;jiKAcrah1aKkRFjuWmX3Df329fZqRQlEZlumnRUNPQmgN5uXL9a9r8XSdU63IhAEsVD3vqFdjL4u&#10;CuCdMAwWzguLQemCYRGvYV+0gfWIbnSxLMvXRe9C64PjAgC92zFIJ8TwHEAnpeJi6/jBCBtH1CA0&#10;iygJOuWBbjJbKQWPn6UEEYluKCqN+cQiaO/SWWzWrN4H5jvFJwrsORSeaDJMWSx6gdqyyMghqH+g&#10;jOLBgZNxwZ0pRiG5I6iiKp/05q5jXmQt2Grwl6bD/4Pln45fAlFtQ99cU2KZwYmff/44//pz/v2d&#10;VNWr1KHeQ42Jdx5T4/DODbg3sx/QmYQPMpj0RUkE49jf06W/YoiEp0er5WpVYohjbL4gfnH/3AeI&#10;74UzJBkNDTjA3Fd2/AhxTJ1TUjXrbpXWeYjaPnIgZvIUifvIMVlx2A2ToJ1rT6inx9k31OKqU6I/&#10;WGxtWpPZCLOxm42DD2rfIbUq8wL/9hCRROaWKoywU2EcWlY3LVjaiof3nHX/U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h8DBIzAEAAJwDAAAOAAAAAAAAAAEAIAAAAB4BAABkcnMvZTJv&#10;RG9jLnhtbFBLBQYAAAAABgAGAFkBAABcBQAAAAA=&#10;">
              <v:fill on="f" focussize="0,0"/>
              <v:stroke on="f"/>
              <v:imagedata o:title=""/>
              <o:lock v:ext="edit" aspectratio="f"/>
              <v:textbox inset="0mm,0mm,0mm,0mm" style="mso-fit-shape-to-text:t;">
                <w:txbxContent>
                  <w:p w14:paraId="6DF0814A">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BF6B7">
    <w:pPr>
      <w:pStyle w:val="10"/>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7CFA90">
                          <w:pPr>
                            <w:pStyle w:val="15"/>
                          </w:pPr>
                          <w:r>
                            <w:fldChar w:fldCharType="begin"/>
                          </w:r>
                          <w:r>
                            <w:instrText xml:space="preserve"> PAGE  \* MERGEFORMAT </w:instrText>
                          </w:r>
                          <w:r>
                            <w:fldChar w:fldCharType="separate"/>
                          </w:r>
                          <w:r>
                            <w:t>91</w:t>
                          </w:r>
                          <w:r>
                            <w:fldChar w:fldCharType="end"/>
                          </w:r>
                        </w:p>
                      </w:txbxContent>
                    </wps:txbx>
                    <wps:bodyPr wrap="none" lIns="0" tIns="0" rIns="0" bIns="0" upright="1">
                      <a:spAutoFit/>
                    </wps:bodyPr>
                  </wps:wsp>
                </a:graphicData>
              </a:graphic>
            </wp:anchor>
          </w:drawing>
        </mc:Choice>
        <mc:Fallback>
          <w:pict>
            <v:shape id="文本框 1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vCqswBAACcAwAADgAAAGRycy9lMm9Eb2MueG1srVPNjtMwEL4j8Q6W&#10;79sk1QJV1HQFqhYhIUBaeADXsRtL/pPHbdIXgDfgxIU7z9XnYOwk3R8ue+DijGfG33zfzGR9MxhN&#10;jiKAcrah1aKkRFjuWmX3Df329fZqRQlEZlumnRUNPQmgN5uXL9a9r8XSdU63IhAEsVD3vqFdjL4u&#10;CuCdMAwWzguLQemCYRGvYV+0gfWIbnSxLMvXRe9C64PjAgC92zFIJ8TwHEAnpeJi6/jBCBtH1CA0&#10;iygJOuWBbjJbKQWPn6UEEYluKCqN+cQiaO/SWWzWrN4H5jvFJwrsORSeaDJMWSx6gdqyyMghqH+g&#10;jOLBgZNxwZ0pRiG5I6iiKp/05q5jXmQt2Grwl6bD/4Pln45fAlFtQ99cU2KZwYmff/44//pz/v2d&#10;VNWr1KHeQ42Jdx5T4/DODbg3sx/QmYQPMpj0RUkE49jf06W/YoiEp0er5WpVYohjbL4gfnH/3AeI&#10;74UzJBkNDTjA3Fd2/AhxTJ1TUjXrbpXWeYjaPnIgZvIUifvIMVlx2A2ToJ1rT6inx9k31OKqU6I/&#10;WGxtWpPZCLOxm42DD2rfIbUq8wL/9hCRROaWKoywU2EcWlY3LVjaiof3nHX/U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0G8KqzAEAAJwDAAAOAAAAAAAAAAEAIAAAAB4BAABkcnMvZTJv&#10;RG9jLnhtbFBLBQYAAAAABgAGAFkBAABcBQAAAAA=&#10;">
              <v:fill on="f" focussize="0,0"/>
              <v:stroke on="f"/>
              <v:imagedata o:title=""/>
              <o:lock v:ext="edit" aspectratio="f"/>
              <v:textbox inset="0mm,0mm,0mm,0mm" style="mso-fit-shape-to-text:t;">
                <w:txbxContent>
                  <w:p w14:paraId="257CFA90">
                    <w:pPr>
                      <w:pStyle w:val="15"/>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FB332">
    <w:pPr>
      <w:pStyle w:val="10"/>
      <w:spacing w:line="14" w:lineRule="auto"/>
      <w:rPr>
        <w:sz w:val="16"/>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E6A4D4">
                          <w:pPr>
                            <w:pStyle w:val="15"/>
                          </w:pPr>
                          <w:r>
                            <w:fldChar w:fldCharType="begin"/>
                          </w:r>
                          <w:r>
                            <w:instrText xml:space="preserve"> PAGE  \* MERGEFORMAT </w:instrText>
                          </w:r>
                          <w:r>
                            <w:fldChar w:fldCharType="separate"/>
                          </w:r>
                          <w:r>
                            <w:t>101</w:t>
                          </w:r>
                          <w:r>
                            <w:fldChar w:fldCharType="end"/>
                          </w:r>
                        </w:p>
                      </w:txbxContent>
                    </wps:txbx>
                    <wps:bodyPr wrap="none" lIns="0" tIns="0" rIns="0" bIns="0" upright="1">
                      <a:spAutoFit/>
                    </wps:bodyPr>
                  </wps:wsp>
                </a:graphicData>
              </a:graphic>
            </wp:anchor>
          </w:drawing>
        </mc:Choice>
        <mc:Fallback>
          <w:pict>
            <v:shape id="文本框 11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Vn3KMwBAACcAwAADgAAAGRycy9lMm9Eb2MueG1srVPNjtMwEL4j7TtY&#10;vm+dVNqlipquWFWLkBAgLTyA6ziNJf/J4zbpC8AbcOLCnefqczB2ki4slz1wccYz42++b2ayvhuM&#10;JkcZQDlb03JRUCKtcI2y+5p++fxwvaIEIrcN187Kmp4k0LvN1at17yu5dJ3TjQwEQSxUva9pF6Ov&#10;GAPRScNh4by0GGxdMDziNexZE3iP6EazZVHcst6FxgcnJAB6t2OQTojhJYCubZWQWycORto4ogap&#10;eURJ0CkPdJPZtq0U8WPbgoxE1xSVxnxiEbR36WSbNa/2gftOiYkCfwmFZ5oMVxaLXqC2PHJyCOof&#10;KKNEcODauBDOsFFI7giqKItnvXnsuJdZC7Ya/KXp8P9gxYfjp0BUU9PXN5RYbnDi5+/fzj9+nX9+&#10;JWV5mzrUe6gw8dFjahzu3YB7M/sBnUn40AaTviiJYBz7e7r0Vw6RiPRotVytCgwJjM0XxGdPz32A&#10;+FY6Q5JR04ADzH3lx/cQx9Q5JVWz7kFpnYeo7V8OxEwelriPHJMVh90wCdq55oR6epx9TS2uOiX6&#10;ncXWpjWZjTAbu9k4+KD2HVIrMy/wbw4RSWRuqcIIOxXGoWV104KlrfjznrOefqr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dWfcozAEAAJwDAAAOAAAAAAAAAAEAIAAAAB4BAABkcnMvZTJv&#10;RG9jLnhtbFBLBQYAAAAABgAGAFkBAABcBQAAAAA=&#10;">
              <v:fill on="f" focussize="0,0"/>
              <v:stroke on="f"/>
              <v:imagedata o:title=""/>
              <o:lock v:ext="edit" aspectratio="f"/>
              <v:textbox inset="0mm,0mm,0mm,0mm" style="mso-fit-shape-to-text:t;">
                <w:txbxContent>
                  <w:p w14:paraId="38E6A4D4">
                    <w:pPr>
                      <w:pStyle w:val="15"/>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20991">
    <w:pPr>
      <w:pStyle w:val="10"/>
      <w:spacing w:line="14" w:lineRule="auto"/>
      <w:rPr>
        <w:sz w:val="20"/>
      </w:rPr>
    </w:pPr>
    <w:r>
      <w:rPr>
        <w:sz w:val="20"/>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2C0DBC">
                          <w:pPr>
                            <w:pStyle w:val="15"/>
                          </w:pPr>
                          <w:r>
                            <w:fldChar w:fldCharType="begin"/>
                          </w:r>
                          <w:r>
                            <w:instrText xml:space="preserve"> PAGE  \* MERGEFORMAT </w:instrText>
                          </w:r>
                          <w:r>
                            <w:fldChar w:fldCharType="separate"/>
                          </w:r>
                          <w:r>
                            <w:t>110</w:t>
                          </w:r>
                          <w:r>
                            <w:fldChar w:fldCharType="end"/>
                          </w:r>
                        </w:p>
                      </w:txbxContent>
                    </wps:txbx>
                    <wps:bodyPr wrap="none" lIns="0" tIns="0" rIns="0" bIns="0" upright="1">
                      <a:spAutoFit/>
                    </wps:bodyPr>
                  </wps:wsp>
                </a:graphicData>
              </a:graphic>
            </wp:anchor>
          </w:drawing>
        </mc:Choice>
        <mc:Fallback>
          <w:pict>
            <v:shape id="文本框 118"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62gssBAACcAwAADgAAAGRycy9lMm9Eb2MueG1srVPNjtMwEL4j8Q6W&#10;79RJD0sUNV2BqkVICJAWHsB1nMaS/+Rxm/QF4A04ceHOc/U5GDtJd1kue+DijGfG33zfzGRzOxpN&#10;TjKAcrah5aqgRFrhWmUPDf365e5VRQlEbluunZUNPUugt9uXLzaDr+Xa9U63MhAEsVAPvqF9jL5m&#10;DEQvDYeV89JisHPB8IjXcGBt4AOiG83WRXHDBhdaH5yQAOjdTUE6I4bnALquU0LunDgaaeOEGqTm&#10;ESVBrzzQbWbbdVLET10HMhLdUFQa84lF0N6nk203vD4E7nslZgr8ORSeaDJcWSx6hdrxyMkxqH+g&#10;jBLBgeviSjjDJiG5I6iiLJ705r7nXmYt2Grw16bD/4MVH0+fA1FtQ1/fUGK5wYlffny//Px9+fWN&#10;lGWVOjR4qDHx3mNqHN+6Efdm8QM6k/CxCyZ9URLBOPb3fO2vHCMR6VG1rqoCQwJjywXx2cNzHyC+&#10;k86QZDQ04ABzX/npA8QpdUlJ1ay7U1rnIWr7lwMxk4cl7hPHZMVxP86C9q49o54BZ99Qi6tOiX5v&#10;sbVpTRYjLMZ+MY4+qEOP1MrMC/ybY0QSmVuqMMHOhXFoWd28YGkrHt9z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x+toLLAQAAnAMAAA4AAAAAAAAAAQAgAAAAHgEAAGRycy9lMm9E&#10;b2MueG1sUEsFBgAAAAAGAAYAWQEAAFsFAAAAAA==&#10;">
              <v:fill on="f" focussize="0,0"/>
              <v:stroke on="f"/>
              <v:imagedata o:title=""/>
              <o:lock v:ext="edit" aspectratio="f"/>
              <v:textbox inset="0mm,0mm,0mm,0mm" style="mso-fit-shape-to-text:t;">
                <w:txbxContent>
                  <w:p w14:paraId="682C0DBC">
                    <w:pPr>
                      <w:pStyle w:val="15"/>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86938">
    <w:pPr>
      <w:pStyle w:val="10"/>
      <w:spacing w:line="14" w:lineRule="auto"/>
      <w:rPr>
        <w:sz w:val="6"/>
      </w:rPr>
    </w:pPr>
    <w:r>
      <w:rPr>
        <w:sz w:val="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AC3D8B">
                          <w:pPr>
                            <w:pStyle w:val="15"/>
                          </w:pPr>
                          <w:r>
                            <w:fldChar w:fldCharType="begin"/>
                          </w:r>
                          <w:r>
                            <w:instrText xml:space="preserve"> PAGE  \* MERGEFORMAT </w:instrText>
                          </w:r>
                          <w:r>
                            <w:fldChar w:fldCharType="separate"/>
                          </w:r>
                          <w:r>
                            <w:t>120</w:t>
                          </w:r>
                          <w:r>
                            <w:fldChar w:fldCharType="end"/>
                          </w:r>
                        </w:p>
                      </w:txbxContent>
                    </wps:txbx>
                    <wps:bodyPr wrap="none" lIns="0" tIns="0" rIns="0" bIns="0" upright="1">
                      <a:spAutoFit/>
                    </wps:bodyPr>
                  </wps:wsp>
                </a:graphicData>
              </a:graphic>
            </wp:anchor>
          </w:drawing>
        </mc:Choice>
        <mc:Fallback>
          <w:pict>
            <v:shape id="文本框 12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Kk66ckBAACcAwAADgAAAGRycy9lMm9Eb2MueG1srVNNrtMwEN4jcQfL&#10;e+q0C6iipk+g6iEkBEgPDuA6dmPJf/K4TXoBuAErNuw5V8/B2ElaeGzego0znhl/M983k83dYA05&#10;yQjau4YuFxUl0gnfando6JfP9y/WlEDiruXGO9nQswR6t33+bNOHWq58500rI0EQB3UfGtqlFGrG&#10;QHTSclj4IB0GlY+WJ7zGA2sj7xHdGraqqpes97EN0QsJgN7dGKQTYnwKoFdKC7nz4milSyNqlIYn&#10;pASdDkC3pVulpEgflQKZiGkoMk3lxCJo7/PJthteHyIPnRZTC/wpLTziZLl2WPQKteOJk2PU/0BZ&#10;LaIHr9JCeMtGIkURZLGsHmnz0PEgCxeUGsJVdPh/sOLD6VMkum3oK5y74xYnfvn+7fLj1+XnV7Jc&#10;FYX6ADUmPgRMTcMbP+DeZOWyH9CZiQ8q2vxFSgTjqO/5qq8cEhH50Xq1XlcYEhibL4jDbs9DhPRW&#10;ekuy0dCIAyy68tN7SGPqnJKrOX+vjSlDNO4vB2JmD7v1mK007Iep8b1vz8inx9k31OGqU2LeOZQ2&#10;r8lsxNnYz8YxRH3osLVl6QvC62PCJkpvucIIOxXGoRV204LlrfjzXrJuP9X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4qTrpyQEAAJwDAAAOAAAAAAAAAAEAIAAAAB4BAABkcnMvZTJvRG9j&#10;LnhtbFBLBQYAAAAABgAGAFkBAABZBQAAAAA=&#10;">
              <v:fill on="f" focussize="0,0"/>
              <v:stroke on="f"/>
              <v:imagedata o:title=""/>
              <o:lock v:ext="edit" aspectratio="f"/>
              <v:textbox inset="0mm,0mm,0mm,0mm" style="mso-fit-shape-to-text:t;">
                <w:txbxContent>
                  <w:p w14:paraId="42AC3D8B">
                    <w:pPr>
                      <w:pStyle w:val="15"/>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0C580">
    <w:pPr>
      <w:pStyle w:val="10"/>
      <w:spacing w:line="14" w:lineRule="auto"/>
      <w:rPr>
        <w:sz w:val="20"/>
      </w:rPr>
    </w:pPr>
    <w:r>
      <w:rPr>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BC3EA4">
                          <w:pPr>
                            <w:pStyle w:val="15"/>
                          </w:pPr>
                          <w:r>
                            <w:fldChar w:fldCharType="begin"/>
                          </w:r>
                          <w:r>
                            <w:instrText xml:space="preserve"> PAGE  \* MERGEFORMAT </w:instrText>
                          </w:r>
                          <w:r>
                            <w:fldChar w:fldCharType="separate"/>
                          </w:r>
                          <w:r>
                            <w:t>130</w:t>
                          </w:r>
                          <w:r>
                            <w:fldChar w:fldCharType="end"/>
                          </w:r>
                        </w:p>
                      </w:txbxContent>
                    </wps:txbx>
                    <wps:bodyPr wrap="none" lIns="0" tIns="0" rIns="0" bIns="0" upright="1">
                      <a:spAutoFit/>
                    </wps:bodyPr>
                  </wps:wsp>
                </a:graphicData>
              </a:graphic>
            </wp:anchor>
          </w:drawing>
        </mc:Choice>
        <mc:Fallback>
          <w:pict>
            <v:shape id="文本框 12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2GpXcwBAACcAwAADgAAAGRycy9lMm9Eb2MueG1srVPNjtMwEL4j7TtY&#10;vm+T9LCUqOkKVO0KCQHSsg/gOnZjyX/yuE36AvAGnLhw57n6HIydpAvLZQ9cnPHM+Jvvm5msbwej&#10;yVEEUM42tFqUlAjLXavsvqGPX+6uV5RAZLZl2lnR0JMAeru5erXufS2WrnO6FYEgiIW69w3tYvR1&#10;UQDvhGGwcF5YDEoXDIt4DfuiDaxHdKOLZVneFL0LrQ+OCwD0bscgnRDDSwCdlIqLreMHI2wcUYPQ&#10;LKIk6JQHuslspRQ8fpISRCS6oag05hOLoL1LZ7FZs3ofmO8Unyiwl1B4pskwZbHoBWrLIiOHoP6B&#10;MooHB07GBXemGIXkjqCKqnzWm4eOeZG1YKvBX5oO/w+Wfzx+DkS1DX39hhLLDE78/P3b+cev88+v&#10;pFpWqUO9hxoTHzymxuGdG3BvZj+gMwkfZDDpi5IIxrG/p0t/xRAJT49Wy9WqxBDH2HxB/OLpuQ8Q&#10;74UzJBkNDTjA3Fd2/ABxTJ1TUjXr7pTWeYja/uVAzOQpEveRY7LisBsmQTvXnlBPj7NvqMVVp0S/&#10;t9jatCazEWZjNxsHH9S+Q2pV5gX+7SEiicwtVRhhp8I4tKxuWrC0FX/ec9bTT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TYaldzAEAAJwDAAAOAAAAAAAAAAEAIAAAAB4BAABkcnMvZTJv&#10;RG9jLnhtbFBLBQYAAAAABgAGAFkBAABcBQAAAAA=&#10;">
              <v:fill on="f" focussize="0,0"/>
              <v:stroke on="f"/>
              <v:imagedata o:title=""/>
              <o:lock v:ext="edit" aspectratio="f"/>
              <v:textbox inset="0mm,0mm,0mm,0mm" style="mso-fit-shape-to-text:t;">
                <w:txbxContent>
                  <w:p w14:paraId="2BBC3EA4">
                    <w:pPr>
                      <w:pStyle w:val="15"/>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F9CC6">
    <w:pPr>
      <w:pStyle w:val="10"/>
      <w:spacing w:line="14" w:lineRule="auto"/>
      <w:rPr>
        <w:sz w:val="20"/>
      </w:rPr>
    </w:pPr>
    <w:r>
      <w:rPr>
        <w:sz w:val="20"/>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AD9D39">
                          <w:pPr>
                            <w:pStyle w:val="15"/>
                          </w:pPr>
                          <w:r>
                            <w:fldChar w:fldCharType="begin"/>
                          </w:r>
                          <w:r>
                            <w:instrText xml:space="preserve"> PAGE  \* MERGEFORMAT </w:instrText>
                          </w:r>
                          <w:r>
                            <w:fldChar w:fldCharType="separate"/>
                          </w:r>
                          <w:r>
                            <w:t>140</w:t>
                          </w:r>
                          <w:r>
                            <w:fldChar w:fldCharType="end"/>
                          </w:r>
                        </w:p>
                      </w:txbxContent>
                    </wps:txbx>
                    <wps:bodyPr wrap="none" lIns="0" tIns="0" rIns="0" bIns="0" upright="1">
                      <a:spAutoFit/>
                    </wps:bodyPr>
                  </wps:wsp>
                </a:graphicData>
              </a:graphic>
            </wp:anchor>
          </w:drawing>
        </mc:Choice>
        <mc:Fallback>
          <w:pict>
            <v:shape id="文本框 122"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hBOMoBAACcAwAADgAAAGRycy9lMm9Eb2MueG1srVPNjtMwEL4j8Q6W&#10;7zRpDiiKmq4WVYuQECAtPIDr2I0l/8njNukLwBtw4sKd5+pzMHaS7rJc9rCXZDwz+eb7vnE2N6PR&#10;5CQCKGdbul6VlAjLXafsoaXfvt69qSmByGzHtLOipWcB9Gb7+tVm8I2oXO90JwJBEAvN4Fvax+ib&#10;ogDeC8Ng5bywWJQuGBbxGA5FF9iA6EYXVVm+LQYXOh8cFwCY3U1FOiOG5wA6KRUXO8ePRtg4oQah&#10;WURJ0CsPdJvZSil4/CwliEh0S1FpzE8cgvE+PYvthjWHwHyv+EyBPYfCE02GKYtDr1A7Fhk5BvUf&#10;lFE8OHAyrrgzxSQkO4Iq1uUTb+575kXWglaDv5oOLwfLP52+BKK6ltZoiWUGN375+ePy68/l93ey&#10;rqrk0OChwcZ7j61xfOdGvDdLHjCZhI8ymPRGSQTrCHa++ivGSHj6qK7qusQSx9pyQPzi4XMfIL4X&#10;zpAUtDTgArOv7PQR4tS6tKRp1t0prfMStf0ngZgpUyTuE8cUxXE/zoL2rjujngF331KLV50S/cGi&#10;tcgvLkFYgv0SHH1Qhx6prTMv8LfHiCQytzRhgp0H49KyuvmCpVvx+Jy7Hn6q7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fhBOMoBAACcAwAADgAAAAAAAAABACAAAAAeAQAAZHJzL2Uyb0Rv&#10;Yy54bWxQSwUGAAAAAAYABgBZAQAAWgUAAAAA&#10;">
              <v:fill on="f" focussize="0,0"/>
              <v:stroke on="f"/>
              <v:imagedata o:title=""/>
              <o:lock v:ext="edit" aspectratio="f"/>
              <v:textbox inset="0mm,0mm,0mm,0mm" style="mso-fit-shape-to-text:t;">
                <w:txbxContent>
                  <w:p w14:paraId="54AD9D39">
                    <w:pPr>
                      <w:pStyle w:val="15"/>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DBC5B">
    <w:pPr>
      <w:kinsoku w:val="0"/>
      <w:overflowPunct w:val="0"/>
      <w:adjustRightInd w:val="0"/>
      <w:spacing w:line="14" w:lineRule="auto"/>
      <w:rPr>
        <w:rFonts w:eastAsia="Times New Roman" w:cs="Times New Roman"/>
        <w:sz w:val="20"/>
        <w:szCs w:val="24"/>
        <w:lang w:val="en-US" w:bidi="ar-S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2A3A7">
    <w:pPr>
      <w:pStyle w:val="10"/>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B2806">
    <w:pPr>
      <w:pStyle w:val="10"/>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1539">
    <w:pPr>
      <w:pStyle w:val="10"/>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9E93F">
    <w:pPr>
      <w:pStyle w:val="10"/>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1239520</wp:posOffset>
              </wp:positionH>
              <wp:positionV relativeFrom="page">
                <wp:posOffset>547370</wp:posOffset>
              </wp:positionV>
              <wp:extent cx="1426845" cy="236855"/>
              <wp:effectExtent l="0" t="0" r="0" b="0"/>
              <wp:wrapNone/>
              <wp:docPr id="49" name="文本框 33"/>
              <wp:cNvGraphicFramePr/>
              <a:graphic xmlns:a="http://schemas.openxmlformats.org/drawingml/2006/main">
                <a:graphicData uri="http://schemas.microsoft.com/office/word/2010/wordprocessingShape">
                  <wps:wsp>
                    <wps:cNvSpPr txBox="1"/>
                    <wps:spPr>
                      <a:xfrm>
                        <a:off x="0" y="0"/>
                        <a:ext cx="1426845" cy="236855"/>
                      </a:xfrm>
                      <a:prstGeom prst="rect">
                        <a:avLst/>
                      </a:prstGeom>
                      <a:noFill/>
                      <a:ln>
                        <a:noFill/>
                      </a:ln>
                    </wps:spPr>
                    <wps:txbx>
                      <w:txbxContent>
                        <w:p w14:paraId="0C714C40">
                          <w:pPr>
                            <w:pStyle w:val="23"/>
                            <w:ind w:firstLine="0" w:firstLineChars="0"/>
                            <w:rPr>
                              <w:lang w:val="en-US"/>
                            </w:rPr>
                          </w:pPr>
                        </w:p>
                      </w:txbxContent>
                    </wps:txbx>
                    <wps:bodyPr lIns="0" tIns="0" rIns="0" bIns="0" upright="1"/>
                  </wps:wsp>
                </a:graphicData>
              </a:graphic>
            </wp:anchor>
          </w:drawing>
        </mc:Choice>
        <mc:Fallback>
          <w:pict>
            <v:shape id="文本框 33" o:spid="_x0000_s1026" o:spt="202" type="#_x0000_t202" style="position:absolute;left:0pt;margin-left:97.6pt;margin-top:43.1pt;height:18.65pt;width:112.35pt;mso-position-horizontal-relative:page;mso-position-vertical-relative:page;z-index:-251657216;mso-width-relative:page;mso-height-relative:page;" filled="f" stroked="f" coordsize="21600,21600" o:gfxdata="UEsDBAoAAAAAAIdO4kAAAAAAAAAAAAAAAAAEAAAAZHJzL1BLAwQUAAAACACHTuJAOwWSR9kAAAAK&#10;AQAADwAAAGRycy9kb3ducmV2LnhtbE2PzU7DMBCE70h9B2srcaN2Ao2aEKdCCE5IiDQcODqxm1iN&#10;1yF2f3h7llM5rUbzaXam3F7cyE5mDtajhGQlgBnsvLbYS/hsXu82wEJUqNXo0Uj4MQG21eKmVIX2&#10;Z6zNaRd7RiEYCiVhiHEqOA/dYJwKKz8ZJG/vZ6ciybnnelZnCncjT4XIuFMW6cOgJvM8mO6wOzoJ&#10;T19Yv9jv9/aj3te2aXKBb9lByttlIh6BRXOJVxj+6lN1qKhT64+oAxtJ5+uUUAmbjC4BD0meA2vJ&#10;Se/XwKuS/59Q/QJQSwMEFAAAAAgAh07iQNoqmPq8AQAAdAMAAA4AAABkcnMvZTJvRG9jLnhtbK1T&#10;S47bMAzdF+gdBO0bZ/JDxogzQBHMYICiLTDtARRZigXoB0qJnQu0N+iqm+57rpyjlBxnfptZdCNT&#10;JPXI90ivbjqjyUFAUM5W9Go0pkRY7mpldxX9/u32w5KSEJmtmXZWVPQoAr1Zv3+3an0pJq5xuhZA&#10;EMSGsvUVbWL0ZVEE3gjDwsh5YTEoHRgW8Qq7ogbWIrrRxWQ8XhStg9qD4yIE9G76ID0jwlsAnZSK&#10;i43jeyNs7FFBaBaRUmiUD3Sdu5VS8PhFyiAi0RVFpjGfWATtbTqL9YqVO2C+UfzcAntLCy84GaYs&#10;Fr1AbVhkZA/qFZRRHFxwMo64M0VPJCuCLK7GL7R5aJgXmQtKHfxF9PD/YPnnw1cgqq7o7JoSywxO&#10;/PTr5+n339OfH2Q6TQK1PpSY9+AxM3YfXYdrM/gDOhPvToJJX2REMI7yHi/yii4Snh7NJovlbE4J&#10;x9hkuljO5wmmeHztIcQ74QxJRkUBx5dVZYdPIfapQ0oqZt2t0jqPUNtnDsRMniK13reYrNhtuzOf&#10;rauPSEffWxQzLcZgwGBsB2PvQe0abCeTzpA4jNz3eXHStJ/ec+HHn2X9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sFkkfZAAAACgEAAA8AAAAAAAAAAQAgAAAAIgAAAGRycy9kb3ducmV2LnhtbFBL&#10;AQIUABQAAAAIAIdO4kDaKpj6vAEAAHQDAAAOAAAAAAAAAAEAIAAAACgBAABkcnMvZTJvRG9jLnht&#10;bFBLBQYAAAAABgAGAFkBAABWBQAAAAA=&#10;">
              <v:fill on="f" focussize="0,0"/>
              <v:stroke on="f"/>
              <v:imagedata o:title=""/>
              <o:lock v:ext="edit" aspectratio="f"/>
              <v:textbox inset="0mm,0mm,0mm,0mm">
                <w:txbxContent>
                  <w:p w14:paraId="0C714C40">
                    <w:pPr>
                      <w:pStyle w:val="23"/>
                      <w:ind w:firstLine="0" w:firstLineChars="0"/>
                      <w:rPr>
                        <w:lang w:val="en-US"/>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DA1A9">
    <w:pPr>
      <w:pStyle w:val="10"/>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1239520</wp:posOffset>
              </wp:positionH>
              <wp:positionV relativeFrom="page">
                <wp:posOffset>547370</wp:posOffset>
              </wp:positionV>
              <wp:extent cx="1090930" cy="158115"/>
              <wp:effectExtent l="0" t="0" r="0" b="0"/>
              <wp:wrapNone/>
              <wp:docPr id="51" name="文本框 36"/>
              <wp:cNvGraphicFramePr/>
              <a:graphic xmlns:a="http://schemas.openxmlformats.org/drawingml/2006/main">
                <a:graphicData uri="http://schemas.microsoft.com/office/word/2010/wordprocessingShape">
                  <wps:wsp>
                    <wps:cNvSpPr txBox="1"/>
                    <wps:spPr>
                      <a:xfrm>
                        <a:off x="0" y="0"/>
                        <a:ext cx="1090930" cy="158115"/>
                      </a:xfrm>
                      <a:prstGeom prst="rect">
                        <a:avLst/>
                      </a:prstGeom>
                      <a:noFill/>
                      <a:ln>
                        <a:noFill/>
                      </a:ln>
                    </wps:spPr>
                    <wps:txbx>
                      <w:txbxContent>
                        <w:p w14:paraId="4F02D6A4">
                          <w:pPr>
                            <w:tabs>
                              <w:tab w:val="left" w:pos="859"/>
                            </w:tabs>
                            <w:spacing w:line="249" w:lineRule="exact"/>
                            <w:ind w:left="20"/>
                            <w:rPr>
                              <w:sz w:val="21"/>
                            </w:rPr>
                          </w:pPr>
                        </w:p>
                        <w:p w14:paraId="1B89EEE5">
                          <w:pPr>
                            <w:pStyle w:val="23"/>
                            <w:ind w:firstLine="440"/>
                          </w:pPr>
                        </w:p>
                      </w:txbxContent>
                    </wps:txbx>
                    <wps:bodyPr lIns="0" tIns="0" rIns="0" bIns="0" upright="1"/>
                  </wps:wsp>
                </a:graphicData>
              </a:graphic>
            </wp:anchor>
          </w:drawing>
        </mc:Choice>
        <mc:Fallback>
          <w:pict>
            <v:shape id="文本框 36" o:spid="_x0000_s1026" o:spt="202" type="#_x0000_t202" style="position:absolute;left:0pt;margin-left:97.6pt;margin-top:43.1pt;height:12.45pt;width:85.9pt;mso-position-horizontal-relative:page;mso-position-vertical-relative:page;z-index:-251648000;mso-width-relative:page;mso-height-relative:page;" filled="f" stroked="f" coordsize="21600,21600" o:gfxdata="UEsDBAoAAAAAAIdO4kAAAAAAAAAAAAAAAAAEAAAAZHJzL1BLAwQUAAAACACHTuJAd88YsdYAAAAK&#10;AQAADwAAAGRycy9kb3ducmV2LnhtbE1Py07DMBC8I/EP1iJxo3aLCG2IU6EKTkiINBw4OvE2sRqv&#10;09h98PcsJ9jLaDSj2ZliffGDOOEUXSAN85kCgdQG66jT8Fm/3i1BxGTImiEQavjGCOvy+qowuQ1n&#10;qvC0TZ3gEIq50dCnNOZSxrZHb+IsjEis7cLkTWI6ddJO5szhfpALpTLpjSP+0JsRNz22++3Ra3j+&#10;ourFHd6bj2pXubpeKXrL9lrf3szVE4iEl/Rnht/6XB1K7tSEI9koBuarhwVbNSwzRjbcZ488rmGF&#10;D2RZyP8Tyh9QSwMEFAAAAAgAh07iQF77PuW7AQAAdAMAAA4AAABkcnMvZTJvRG9jLnhtbK1TS27b&#10;MBDdF+gdCO5rSgkcJILlAIWRokCRFkhzAJqiLAL8gUNb8gXSG3TVTfc9l8/RIWU5v00W2VDDmeGb&#10;eW9Gi+vBaLKTAZSzNS1nBSXSCtcou6np/c+bT5eUQOS24dpZWdO9BHq9/Phh0ftKnrnO6UYGgiAW&#10;qt7XtIvRV4yB6KThMHNeWgy2Lhge8Ro2rAm8R3Sj2VlRXLDehcYHJyQAeldjkB4Rw1sAXdsqIVdO&#10;bI20cUQNUvOIlKBTHugyd9u2UsTvbQsyEl1TZBrziUXQXqeTLRe82gTuOyWOLfC3tPCCk+HKYtET&#10;1IpHTrZBvYIySgQHro0z4QwbiWRFkEVZvNDmruNeZi4oNfiT6PB+sOJ29yMQ1dR0XlJiucGJH37/&#10;Ovz5d/j7QM4vkkC9hwrz7jxmxuGzG3BtJj+gM/Ee2mDSFxkRjKO8+5O8cohEpEfFVXF1jiGBsXJ+&#10;WZbzBMMeX/sA8Yt0hiSjpgHHl1Xlu28Qx9QpJRWz7kZpnUeo7TMHYiYPS62PLSYrDuvhyGftmj3S&#10;0V8tipkWYzLCZKwnY+uD2nTYTiadIXEYue/j4qRpP73nwo8/y/I/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88YsdYAAAAKAQAADwAAAAAAAAABACAAAAAiAAAAZHJzL2Rvd25yZXYueG1sUEsBAhQA&#10;FAAAAAgAh07iQF77PuW7AQAAdAMAAA4AAAAAAAAAAQAgAAAAJQEAAGRycy9lMm9Eb2MueG1sUEsF&#10;BgAAAAAGAAYAWQEAAFIFAAAAAA==&#10;">
              <v:fill on="f" focussize="0,0"/>
              <v:stroke on="f"/>
              <v:imagedata o:title=""/>
              <o:lock v:ext="edit" aspectratio="f"/>
              <v:textbox inset="0mm,0mm,0mm,0mm">
                <w:txbxContent>
                  <w:p w14:paraId="4F02D6A4">
                    <w:pPr>
                      <w:tabs>
                        <w:tab w:val="left" w:pos="859"/>
                      </w:tabs>
                      <w:spacing w:line="249" w:lineRule="exact"/>
                      <w:ind w:left="20"/>
                      <w:rPr>
                        <w:sz w:val="21"/>
                      </w:rPr>
                    </w:pPr>
                  </w:p>
                  <w:p w14:paraId="1B89EEE5">
                    <w:pPr>
                      <w:pStyle w:val="23"/>
                      <w:ind w:firstLine="440"/>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1F7E9">
    <w:pPr>
      <w:pStyle w:val="10"/>
      <w:spacing w:line="14" w:lineRule="auto"/>
      <w:rPr>
        <w:sz w:val="20"/>
      </w:rPr>
    </w:pPr>
    <w:r>
      <mc:AlternateContent>
        <mc:Choice Requires="wps">
          <w:drawing>
            <wp:anchor distT="0" distB="0" distL="114300" distR="114300" simplePos="0" relativeHeight="251669504" behindDoc="1" locked="0" layoutInCell="1" allowOverlap="1">
              <wp:simplePos x="0" y="0"/>
              <wp:positionH relativeFrom="page">
                <wp:posOffset>1239520</wp:posOffset>
              </wp:positionH>
              <wp:positionV relativeFrom="page">
                <wp:posOffset>547370</wp:posOffset>
              </wp:positionV>
              <wp:extent cx="1090930" cy="158115"/>
              <wp:effectExtent l="0" t="0" r="0" b="0"/>
              <wp:wrapNone/>
              <wp:docPr id="5" name="文本框 36"/>
              <wp:cNvGraphicFramePr/>
              <a:graphic xmlns:a="http://schemas.openxmlformats.org/drawingml/2006/main">
                <a:graphicData uri="http://schemas.microsoft.com/office/word/2010/wordprocessingShape">
                  <wps:wsp>
                    <wps:cNvSpPr txBox="1"/>
                    <wps:spPr>
                      <a:xfrm>
                        <a:off x="0" y="0"/>
                        <a:ext cx="1090930" cy="158115"/>
                      </a:xfrm>
                      <a:prstGeom prst="rect">
                        <a:avLst/>
                      </a:prstGeom>
                      <a:noFill/>
                      <a:ln>
                        <a:noFill/>
                      </a:ln>
                    </wps:spPr>
                    <wps:txbx>
                      <w:txbxContent>
                        <w:p w14:paraId="667442B3">
                          <w:pPr>
                            <w:tabs>
                              <w:tab w:val="left" w:pos="859"/>
                            </w:tabs>
                            <w:spacing w:line="249" w:lineRule="exact"/>
                            <w:ind w:left="20"/>
                            <w:rPr>
                              <w:sz w:val="21"/>
                            </w:rPr>
                          </w:pPr>
                        </w:p>
                        <w:p w14:paraId="2172306C">
                          <w:pPr>
                            <w:pStyle w:val="23"/>
                            <w:ind w:firstLine="440"/>
                          </w:pPr>
                        </w:p>
                      </w:txbxContent>
                    </wps:txbx>
                    <wps:bodyPr lIns="0" tIns="0" rIns="0" bIns="0" upright="1"/>
                  </wps:wsp>
                </a:graphicData>
              </a:graphic>
            </wp:anchor>
          </w:drawing>
        </mc:Choice>
        <mc:Fallback>
          <w:pict>
            <v:shape id="文本框 36" o:spid="_x0000_s1026" o:spt="202" type="#_x0000_t202" style="position:absolute;left:0pt;margin-left:97.6pt;margin-top:43.1pt;height:12.45pt;width:85.9pt;mso-position-horizontal-relative:page;mso-position-vertical-relative:page;z-index:-251646976;mso-width-relative:page;mso-height-relative:page;" filled="f" stroked="f" coordsize="21600,21600" o:gfxdata="UEsDBAoAAAAAAIdO4kAAAAAAAAAAAAAAAAAEAAAAZHJzL1BLAwQUAAAACACHTuJAd88YsdYAAAAK&#10;AQAADwAAAGRycy9kb3ducmV2LnhtbE1Py07DMBC8I/EP1iJxo3aLCG2IU6EKTkiINBw4OvE2sRqv&#10;09h98PcsJ9jLaDSj2ZliffGDOOEUXSAN85kCgdQG66jT8Fm/3i1BxGTImiEQavjGCOvy+qowuQ1n&#10;qvC0TZ3gEIq50dCnNOZSxrZHb+IsjEis7cLkTWI6ddJO5szhfpALpTLpjSP+0JsRNz22++3Ra3j+&#10;ourFHd6bj2pXubpeKXrL9lrf3szVE4iEl/Rnht/6XB1K7tSEI9koBuarhwVbNSwzRjbcZ488rmGF&#10;D2RZyP8Tyh9QSwMEFAAAAAgAh07iQIjBVgC7AQAAcwMAAA4AAABkcnMvZTJvRG9jLnhtbK1TS27b&#10;MBDdF+gdCO5rSgkcJILlAIWRokCRFkhzAJqiLAIkhyBpS75AeoOuuum+5/I5OqQs57fJIhtqODN8&#10;M+/NaHE9GE120gcFtqblrKBEWgGNspua3v+8+XRJSYjcNlyDlTXdy0Cvlx8/LHpXyTPoQDfSEwSx&#10;oepdTbsYXcVYEJ00PMzASYvBFrzhEa9+wxrPe0Q3mp0VxQXrwTfOg5AhoHc1BukR0b8FENpWCbkC&#10;sTXSxhHVS80jUgqdcoEuc7dtK0X83rZBRqJrikxjPrEI2ut0suWCVxvPXafEsQX+lhZecDJcWSx6&#10;glrxyMnWq1dQRgkPAdo4E2DYSCQrgizK4oU2dx13MnNBqYM7iR7eD1bc7n54opqazimx3ODAD79/&#10;Hf78O/x9IOcXSZ/ehQrT7hwmxuEzDLg1kz+gM9EeWm/SFwkRjKO6+5O6cohEpEfFVXF1jiGBsXJ+&#10;WZbzBMMeXzsf4hcJhiSjph6nl0Xlu28hjqlTSipm4UZpnSeo7TMHYiYPS62PLSYrDuvhyGcNzR7p&#10;6K8WtUx7MRl+MtaTsXVebTpsJ5POkDiL3Pdxb9Kwn95z4cd/Zf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88YsdYAAAAKAQAADwAAAAAAAAABACAAAAAiAAAAZHJzL2Rvd25yZXYueG1sUEsBAhQA&#10;FAAAAAgAh07iQIjBVgC7AQAAcwMAAA4AAAAAAAAAAQAgAAAAJQEAAGRycy9lMm9Eb2MueG1sUEsF&#10;BgAAAAAGAAYAWQEAAFIFAAAAAA==&#10;">
              <v:fill on="f" focussize="0,0"/>
              <v:stroke on="f"/>
              <v:imagedata o:title=""/>
              <o:lock v:ext="edit" aspectratio="f"/>
              <v:textbox inset="0mm,0mm,0mm,0mm">
                <w:txbxContent>
                  <w:p w14:paraId="667442B3">
                    <w:pPr>
                      <w:tabs>
                        <w:tab w:val="left" w:pos="859"/>
                      </w:tabs>
                      <w:spacing w:line="249" w:lineRule="exact"/>
                      <w:ind w:left="20"/>
                      <w:rPr>
                        <w:sz w:val="21"/>
                      </w:rPr>
                    </w:pPr>
                  </w:p>
                  <w:p w14:paraId="2172306C">
                    <w:pPr>
                      <w:pStyle w:val="23"/>
                      <w:ind w:firstLine="440"/>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5624F">
    <w:pPr>
      <w:pStyle w:val="10"/>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1140460</wp:posOffset>
              </wp:positionH>
              <wp:positionV relativeFrom="page">
                <wp:posOffset>547370</wp:posOffset>
              </wp:positionV>
              <wp:extent cx="759460" cy="158115"/>
              <wp:effectExtent l="0" t="0" r="0" b="0"/>
              <wp:wrapNone/>
              <wp:docPr id="55" name="文本框 43"/>
              <wp:cNvGraphicFramePr/>
              <a:graphic xmlns:a="http://schemas.openxmlformats.org/drawingml/2006/main">
                <a:graphicData uri="http://schemas.microsoft.com/office/word/2010/wordprocessingShape">
                  <wps:wsp>
                    <wps:cNvSpPr txBox="1"/>
                    <wps:spPr>
                      <a:xfrm>
                        <a:off x="0" y="0"/>
                        <a:ext cx="759460" cy="158115"/>
                      </a:xfrm>
                      <a:prstGeom prst="rect">
                        <a:avLst/>
                      </a:prstGeom>
                      <a:noFill/>
                      <a:ln>
                        <a:noFill/>
                      </a:ln>
                    </wps:spPr>
                    <wps:txbx>
                      <w:txbxContent>
                        <w:p w14:paraId="2900CA1E"/>
                      </w:txbxContent>
                    </wps:txbx>
                    <wps:bodyPr lIns="0" tIns="0" rIns="0" bIns="0" upright="1"/>
                  </wps:wsp>
                </a:graphicData>
              </a:graphic>
            </wp:anchor>
          </w:drawing>
        </mc:Choice>
        <mc:Fallback>
          <w:pict>
            <v:shape id="文本框 43" o:spid="_x0000_s1026" o:spt="202" type="#_x0000_t202" style="position:absolute;left:0pt;margin-left:89.8pt;margin-top:43.1pt;height:12.45pt;width:59.8pt;mso-position-horizontal-relative:page;mso-position-vertical-relative:page;z-index:-251651072;mso-width-relative:page;mso-height-relative:page;" filled="f" stroked="f" coordsize="21600,21600" o:gfxdata="UEsDBAoAAAAAAIdO4kAAAAAAAAAAAAAAAAAEAAAAZHJzL1BLAwQUAAAACACHTuJAzwYC0NYAAAAK&#10;AQAADwAAAGRycy9kb3ducmV2LnhtbE2PzU7EMAyE70i8Q2QkbmyyPZRtabpCCE5IiG45cEwbbxtt&#10;45Qm+8PbY07gk0czGn+uthc/iRMu0QXSsF4pEEh9sI4GDR/ty90GREyGrJkCoYZvjLCtr68qU9pw&#10;pgZPuzQILqFYGg1jSnMpZexH9CauwozE3j4s3iSWyyDtYs5c7ieZKZVLbxzxhdHM+DRif9gdvYbH&#10;T2qe3ddb997sG9e2haLX/KD17c1aPYBIeEl/YfjFZ3SomakLR7JRTKzvi5yjGjZ5BoIDWVHw0rHD&#10;A7Ku5P8X6h9QSwMEFAAAAAgAh07iQNQRU1m9AQAAcwMAAA4AAABkcnMvZTJvRG9jLnhtbK1TS27b&#10;MBDdF+gdCO5rWmmUJoLlAIWRIEDRFkhzAJqiLAIkhyBpS75Ae4Ouuum+5/I5OqQs59NNFt1Qo5nR&#10;m/feUIvrwWiykz4osDUtZnNKpBXQKLup6cO3m3eXlITIbcM1WFnTvQz0evn2zaJ3lTyDDnQjPUEQ&#10;G6re1bSL0VWMBdFJw8MMnLRYbMEbHvHVb1jjeY/oRrOz+fyC9eAb50HIEDC7Gov0iOhfAwhtq4Rc&#10;gdgaaeOI6qXmESWFTrlAl5lt20oRv7RtkJHomqLSmE8cgvE6nWy54NXGc9cpcaTAX0PhhSbDlcWh&#10;J6gVj5xsvfoHyijhIUAbZwIMG4VkR1BFMX/hzX3Hncxa0OrgTqaH/wcrPu++eqKampYlJZYb3Pjh&#10;54/Drz+H39/J+ftkUO9ChX33Djvj8BEGvDZTPmAy6R5ab9ITFRGso737k71yiERg8kN5dX6BFYGl&#10;orwsijKhsMePnQ/xVoIhKaipx+1lU/nuU4hj69SSZlm4UVrnDWr7LIGYKcMS85FhiuKwHo5y1tDs&#10;UY2+s+hluhdT4KdgPQVb59WmQzpZc4bEXWTex3uTlv30PQ9+/Fe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BgLQ1gAAAAoBAAAPAAAAAAAAAAEAIAAAACIAAABkcnMvZG93bnJldi54bWxQSwEC&#10;FAAUAAAACACHTuJA1BFTWb0BAABzAwAADgAAAAAAAAABACAAAAAlAQAAZHJzL2Uyb0RvYy54bWxQ&#10;SwUGAAAAAAYABgBZAQAAVAUAAAAA&#10;">
              <v:fill on="f" focussize="0,0"/>
              <v:stroke on="f"/>
              <v:imagedata o:title=""/>
              <o:lock v:ext="edit" aspectratio="f"/>
              <v:textbox inset="0mm,0mm,0mm,0mm">
                <w:txbxContent>
                  <w:p w14:paraId="2900CA1E"/>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C9157">
    <w:pPr>
      <w:pStyle w:val="10"/>
      <w:spacing w:line="14" w:lineRule="auto"/>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F3141">
    <w:pPr>
      <w:pStyle w:val="10"/>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1033780</wp:posOffset>
              </wp:positionH>
              <wp:positionV relativeFrom="page">
                <wp:posOffset>547370</wp:posOffset>
              </wp:positionV>
              <wp:extent cx="1290955" cy="158115"/>
              <wp:effectExtent l="0" t="0" r="0" b="0"/>
              <wp:wrapNone/>
              <wp:docPr id="59" name="文本框 50"/>
              <wp:cNvGraphicFramePr/>
              <a:graphic xmlns:a="http://schemas.openxmlformats.org/drawingml/2006/main">
                <a:graphicData uri="http://schemas.microsoft.com/office/word/2010/wordprocessingShape">
                  <wps:wsp>
                    <wps:cNvSpPr txBox="1"/>
                    <wps:spPr>
                      <a:xfrm>
                        <a:off x="0" y="0"/>
                        <a:ext cx="1290955" cy="158115"/>
                      </a:xfrm>
                      <a:prstGeom prst="rect">
                        <a:avLst/>
                      </a:prstGeom>
                      <a:noFill/>
                      <a:ln>
                        <a:noFill/>
                      </a:ln>
                    </wps:spPr>
                    <wps:txbx>
                      <w:txbxContent>
                        <w:p w14:paraId="3DB2F1EC">
                          <w:pPr>
                            <w:spacing w:line="249" w:lineRule="exact"/>
                            <w:ind w:left="20"/>
                            <w:rPr>
                              <w:sz w:val="21"/>
                            </w:rPr>
                          </w:pPr>
                        </w:p>
                      </w:txbxContent>
                    </wps:txbx>
                    <wps:bodyPr lIns="0" tIns="0" rIns="0" bIns="0" upright="1"/>
                  </wps:wsp>
                </a:graphicData>
              </a:graphic>
            </wp:anchor>
          </w:drawing>
        </mc:Choice>
        <mc:Fallback>
          <w:pict>
            <v:shape id="文本框 50" o:spid="_x0000_s1026" o:spt="202" type="#_x0000_t202" style="position:absolute;left:0pt;margin-left:81.4pt;margin-top:43.1pt;height:12.45pt;width:101.65pt;mso-position-horizontal-relative:page;mso-position-vertical-relative:page;z-index:-251650048;mso-width-relative:page;mso-height-relative:page;" filled="f" stroked="f" coordsize="21600,21600" o:gfxdata="UEsDBAoAAAAAAIdO4kAAAAAAAAAAAAAAAAAEAAAAZHJzL1BLAwQUAAAACACHTuJAWEkoz9YAAAAK&#10;AQAADwAAAGRycy9kb3ducmV2LnhtbE2PzU7DMBCE70i8g7VI3KiTIFklxKkQghMSIk0PHJ14m1iN&#10;1yF2f3h7lhPsbTSj2W+qzcVP4oRLdIE05KsMBFIfrKNBw659vVuDiMmQNVMg1PCNETb19VVlShvO&#10;1OBpmwbBJRRLo2FMaS6ljP2I3sRVmJHY24fFm8RyGaRdzJnL/SSLLFPSG0f8YTQzPo/YH7ZHr+Hp&#10;k5oX9/XefTT7xrXtQ0Zv6qD17U2ePYJIeEl/YfjFZ3SomakLR7JRTKxVwehJw1oVIDhwr1QOomOH&#10;D2Rdyf8T6h9QSwMEFAAAAAgAh07iQMT3oRm6AQAAdAMAAA4AAABkcnMvZTJvRG9jLnhtbK1TS44T&#10;MRDdI3EHy3vi7kiNJq10RkLRICQESAMHcNx22pJ/cjnpzgXgBqzYsOdcOQdl5wfDZhZs3OWq8qt6&#10;r6qX95M1ZC8jaO86Ws8qSqQTvtdu29Evnx9e3VECibueG+9kRw8S6P3q5YvlGFo594M3vYwEQRy0&#10;Y+jokFJoGQMxSMth5oN0GFQ+Wp7wGresj3xEdGvYvKpes9HHPkQvJAB616cgPSPG5wB6pbSQay92&#10;Vrp0Qo3S8ISUYNAB6Kp0q5QU6aNSIBMxHUWmqZxYBO1NPtlqydtt5GHQ4twCf04LTzhZrh0WvUKt&#10;eeJkF/U/UFaL6MGrNBPeshORogiyqKsn2jwOPMjCBaWGcBUd/h+s+LD/FInuO9osKHHc4sSP378d&#10;f/w6/vxKmiLQGKDFvMeAmWl64ydcmyxc9gM6M+9JRZu/yIhgHOU9XOWVUyIiP5ovqkXTUCIwVjd3&#10;dd1kGHZ7HSKkt9Jbko2ORhxfUZXv30M6pV5ScjHnH7QxZYTG/eVAzOxhtxazlabNdO574/sD0jHv&#10;HIqZF+NixIuxuRi7EPV2wHYK6QKJwyh9nxcnT/vPeyl8+1l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YSSjP1gAAAAoBAAAPAAAAAAAAAAEAIAAAACIAAABkcnMvZG93bnJldi54bWxQSwECFAAU&#10;AAAACACHTuJAxPehGboBAAB0AwAADgAAAAAAAAABACAAAAAlAQAAZHJzL2Uyb0RvYy54bWxQSwUG&#10;AAAAAAYABgBZAQAAUQUAAAAA&#10;">
              <v:fill on="f" focussize="0,0"/>
              <v:stroke on="f"/>
              <v:imagedata o:title=""/>
              <o:lock v:ext="edit" aspectratio="f"/>
              <v:textbox inset="0mm,0mm,0mm,0mm">
                <w:txbxContent>
                  <w:p w14:paraId="3DB2F1EC">
                    <w:pPr>
                      <w:spacing w:line="249" w:lineRule="exact"/>
                      <w:ind w:left="20"/>
                      <w:rPr>
                        <w:sz w:val="21"/>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EC3C5"/>
    <w:multiLevelType w:val="multilevel"/>
    <w:tmpl w:val="825EC3C5"/>
    <w:lvl w:ilvl="0" w:tentative="0">
      <w:start w:val="1"/>
      <w:numFmt w:val="decimal"/>
      <w:lvlText w:val="（%1）"/>
      <w:lvlJc w:val="left"/>
      <w:pPr>
        <w:ind w:left="384" w:hanging="601"/>
      </w:pPr>
      <w:rPr>
        <w:rFonts w:hint="default" w:ascii="宋体" w:hAnsi="宋体" w:eastAsia="宋体" w:cs="宋体"/>
        <w:spacing w:val="-22"/>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1">
    <w:nsid w:val="87B75F0A"/>
    <w:multiLevelType w:val="multilevel"/>
    <w:tmpl w:val="87B75F0A"/>
    <w:lvl w:ilvl="0" w:tentative="0">
      <w:start w:val="1"/>
      <w:numFmt w:val="decimal"/>
      <w:lvlText w:val="%1."/>
      <w:lvlJc w:val="left"/>
      <w:pPr>
        <w:ind w:left="116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996" w:hanging="300"/>
      </w:pPr>
      <w:rPr>
        <w:rFonts w:hint="default"/>
        <w:lang w:val="zh-CN" w:eastAsia="zh-CN" w:bidi="zh-CN"/>
      </w:rPr>
    </w:lvl>
    <w:lvl w:ilvl="2" w:tentative="0">
      <w:start w:val="0"/>
      <w:numFmt w:val="bullet"/>
      <w:lvlText w:val="•"/>
      <w:lvlJc w:val="left"/>
      <w:pPr>
        <w:ind w:left="2833" w:hanging="300"/>
      </w:pPr>
      <w:rPr>
        <w:rFonts w:hint="default"/>
        <w:lang w:val="zh-CN" w:eastAsia="zh-CN" w:bidi="zh-CN"/>
      </w:rPr>
    </w:lvl>
    <w:lvl w:ilvl="3" w:tentative="0">
      <w:start w:val="0"/>
      <w:numFmt w:val="bullet"/>
      <w:lvlText w:val="•"/>
      <w:lvlJc w:val="left"/>
      <w:pPr>
        <w:ind w:left="3670" w:hanging="300"/>
      </w:pPr>
      <w:rPr>
        <w:rFonts w:hint="default"/>
        <w:lang w:val="zh-CN" w:eastAsia="zh-CN" w:bidi="zh-CN"/>
      </w:rPr>
    </w:lvl>
    <w:lvl w:ilvl="4" w:tentative="0">
      <w:start w:val="0"/>
      <w:numFmt w:val="bullet"/>
      <w:lvlText w:val="•"/>
      <w:lvlJc w:val="left"/>
      <w:pPr>
        <w:ind w:left="4506" w:hanging="300"/>
      </w:pPr>
      <w:rPr>
        <w:rFonts w:hint="default"/>
        <w:lang w:val="zh-CN" w:eastAsia="zh-CN" w:bidi="zh-CN"/>
      </w:rPr>
    </w:lvl>
    <w:lvl w:ilvl="5" w:tentative="0">
      <w:start w:val="0"/>
      <w:numFmt w:val="bullet"/>
      <w:lvlText w:val="•"/>
      <w:lvlJc w:val="left"/>
      <w:pPr>
        <w:ind w:left="5343" w:hanging="300"/>
      </w:pPr>
      <w:rPr>
        <w:rFonts w:hint="default"/>
        <w:lang w:val="zh-CN" w:eastAsia="zh-CN" w:bidi="zh-CN"/>
      </w:rPr>
    </w:lvl>
    <w:lvl w:ilvl="6" w:tentative="0">
      <w:start w:val="0"/>
      <w:numFmt w:val="bullet"/>
      <w:lvlText w:val="•"/>
      <w:lvlJc w:val="left"/>
      <w:pPr>
        <w:ind w:left="6180" w:hanging="300"/>
      </w:pPr>
      <w:rPr>
        <w:rFonts w:hint="default"/>
        <w:lang w:val="zh-CN" w:eastAsia="zh-CN" w:bidi="zh-CN"/>
      </w:rPr>
    </w:lvl>
    <w:lvl w:ilvl="7" w:tentative="0">
      <w:start w:val="0"/>
      <w:numFmt w:val="bullet"/>
      <w:lvlText w:val="•"/>
      <w:lvlJc w:val="left"/>
      <w:pPr>
        <w:ind w:left="7016" w:hanging="300"/>
      </w:pPr>
      <w:rPr>
        <w:rFonts w:hint="default"/>
        <w:lang w:val="zh-CN" w:eastAsia="zh-CN" w:bidi="zh-CN"/>
      </w:rPr>
    </w:lvl>
    <w:lvl w:ilvl="8" w:tentative="0">
      <w:start w:val="0"/>
      <w:numFmt w:val="bullet"/>
      <w:lvlText w:val="•"/>
      <w:lvlJc w:val="left"/>
      <w:pPr>
        <w:ind w:left="7853" w:hanging="300"/>
      </w:pPr>
      <w:rPr>
        <w:rFonts w:hint="default"/>
        <w:lang w:val="zh-CN" w:eastAsia="zh-CN" w:bidi="zh-CN"/>
      </w:rPr>
    </w:lvl>
  </w:abstractNum>
  <w:abstractNum w:abstractNumId="2">
    <w:nsid w:val="95E682A1"/>
    <w:multiLevelType w:val="multilevel"/>
    <w:tmpl w:val="95E682A1"/>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3">
    <w:nsid w:val="9C7198AA"/>
    <w:multiLevelType w:val="multilevel"/>
    <w:tmpl w:val="9C7198AA"/>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4">
    <w:nsid w:val="9D7EB8E6"/>
    <w:multiLevelType w:val="multilevel"/>
    <w:tmpl w:val="9D7EB8E6"/>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5">
    <w:nsid w:val="9DFC6F65"/>
    <w:multiLevelType w:val="multilevel"/>
    <w:tmpl w:val="9DFC6F65"/>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6">
    <w:nsid w:val="9F81B9F9"/>
    <w:multiLevelType w:val="multilevel"/>
    <w:tmpl w:val="9F81B9F9"/>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7">
    <w:nsid w:val="A521A01A"/>
    <w:multiLevelType w:val="multilevel"/>
    <w:tmpl w:val="A521A01A"/>
    <w:lvl w:ilvl="0" w:tentative="0">
      <w:start w:val="1"/>
      <w:numFmt w:val="decimal"/>
      <w:lvlText w:val="（%1）"/>
      <w:lvlJc w:val="left"/>
      <w:pPr>
        <w:ind w:left="507" w:hanging="500"/>
      </w:pPr>
      <w:rPr>
        <w:rFonts w:hint="default" w:ascii="宋体" w:hAnsi="宋体" w:eastAsia="宋体" w:cs="宋体"/>
        <w:w w:val="99"/>
        <w:sz w:val="18"/>
        <w:szCs w:val="18"/>
        <w:lang w:val="zh-CN" w:eastAsia="zh-CN" w:bidi="zh-CN"/>
      </w:rPr>
    </w:lvl>
    <w:lvl w:ilvl="1" w:tentative="0">
      <w:start w:val="0"/>
      <w:numFmt w:val="bullet"/>
      <w:lvlText w:val="•"/>
      <w:lvlJc w:val="left"/>
      <w:pPr>
        <w:ind w:left="1151" w:hanging="500"/>
      </w:pPr>
      <w:rPr>
        <w:rFonts w:hint="default"/>
        <w:lang w:val="zh-CN" w:eastAsia="zh-CN" w:bidi="zh-CN"/>
      </w:rPr>
    </w:lvl>
    <w:lvl w:ilvl="2" w:tentative="0">
      <w:start w:val="0"/>
      <w:numFmt w:val="bullet"/>
      <w:lvlText w:val="•"/>
      <w:lvlJc w:val="left"/>
      <w:pPr>
        <w:ind w:left="1802" w:hanging="500"/>
      </w:pPr>
      <w:rPr>
        <w:rFonts w:hint="default"/>
        <w:lang w:val="zh-CN" w:eastAsia="zh-CN" w:bidi="zh-CN"/>
      </w:rPr>
    </w:lvl>
    <w:lvl w:ilvl="3" w:tentative="0">
      <w:start w:val="0"/>
      <w:numFmt w:val="bullet"/>
      <w:lvlText w:val="•"/>
      <w:lvlJc w:val="left"/>
      <w:pPr>
        <w:ind w:left="2453" w:hanging="500"/>
      </w:pPr>
      <w:rPr>
        <w:rFonts w:hint="default"/>
        <w:lang w:val="zh-CN" w:eastAsia="zh-CN" w:bidi="zh-CN"/>
      </w:rPr>
    </w:lvl>
    <w:lvl w:ilvl="4" w:tentative="0">
      <w:start w:val="0"/>
      <w:numFmt w:val="bullet"/>
      <w:lvlText w:val="•"/>
      <w:lvlJc w:val="left"/>
      <w:pPr>
        <w:ind w:left="3104" w:hanging="500"/>
      </w:pPr>
      <w:rPr>
        <w:rFonts w:hint="default"/>
        <w:lang w:val="zh-CN" w:eastAsia="zh-CN" w:bidi="zh-CN"/>
      </w:rPr>
    </w:lvl>
    <w:lvl w:ilvl="5" w:tentative="0">
      <w:start w:val="0"/>
      <w:numFmt w:val="bullet"/>
      <w:lvlText w:val="•"/>
      <w:lvlJc w:val="left"/>
      <w:pPr>
        <w:ind w:left="3755" w:hanging="500"/>
      </w:pPr>
      <w:rPr>
        <w:rFonts w:hint="default"/>
        <w:lang w:val="zh-CN" w:eastAsia="zh-CN" w:bidi="zh-CN"/>
      </w:rPr>
    </w:lvl>
    <w:lvl w:ilvl="6" w:tentative="0">
      <w:start w:val="0"/>
      <w:numFmt w:val="bullet"/>
      <w:lvlText w:val="•"/>
      <w:lvlJc w:val="left"/>
      <w:pPr>
        <w:ind w:left="4406" w:hanging="500"/>
      </w:pPr>
      <w:rPr>
        <w:rFonts w:hint="default"/>
        <w:lang w:val="zh-CN" w:eastAsia="zh-CN" w:bidi="zh-CN"/>
      </w:rPr>
    </w:lvl>
    <w:lvl w:ilvl="7" w:tentative="0">
      <w:start w:val="0"/>
      <w:numFmt w:val="bullet"/>
      <w:lvlText w:val="•"/>
      <w:lvlJc w:val="left"/>
      <w:pPr>
        <w:ind w:left="5057" w:hanging="500"/>
      </w:pPr>
      <w:rPr>
        <w:rFonts w:hint="default"/>
        <w:lang w:val="zh-CN" w:eastAsia="zh-CN" w:bidi="zh-CN"/>
      </w:rPr>
    </w:lvl>
    <w:lvl w:ilvl="8" w:tentative="0">
      <w:start w:val="0"/>
      <w:numFmt w:val="bullet"/>
      <w:lvlText w:val="•"/>
      <w:lvlJc w:val="left"/>
      <w:pPr>
        <w:ind w:left="5708" w:hanging="500"/>
      </w:pPr>
      <w:rPr>
        <w:rFonts w:hint="default"/>
        <w:lang w:val="zh-CN" w:eastAsia="zh-CN" w:bidi="zh-CN"/>
      </w:rPr>
    </w:lvl>
  </w:abstractNum>
  <w:abstractNum w:abstractNumId="8">
    <w:nsid w:val="A97D620A"/>
    <w:multiLevelType w:val="multilevel"/>
    <w:tmpl w:val="A97D620A"/>
    <w:lvl w:ilvl="0" w:tentative="0">
      <w:start w:val="1"/>
      <w:numFmt w:val="decimal"/>
      <w:lvlText w:val="%1."/>
      <w:lvlJc w:val="left"/>
      <w:pPr>
        <w:ind w:left="116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996" w:hanging="300"/>
      </w:pPr>
      <w:rPr>
        <w:rFonts w:hint="default"/>
        <w:lang w:val="zh-CN" w:eastAsia="zh-CN" w:bidi="zh-CN"/>
      </w:rPr>
    </w:lvl>
    <w:lvl w:ilvl="2" w:tentative="0">
      <w:start w:val="0"/>
      <w:numFmt w:val="bullet"/>
      <w:lvlText w:val="•"/>
      <w:lvlJc w:val="left"/>
      <w:pPr>
        <w:ind w:left="2833" w:hanging="300"/>
      </w:pPr>
      <w:rPr>
        <w:rFonts w:hint="default"/>
        <w:lang w:val="zh-CN" w:eastAsia="zh-CN" w:bidi="zh-CN"/>
      </w:rPr>
    </w:lvl>
    <w:lvl w:ilvl="3" w:tentative="0">
      <w:start w:val="0"/>
      <w:numFmt w:val="bullet"/>
      <w:lvlText w:val="•"/>
      <w:lvlJc w:val="left"/>
      <w:pPr>
        <w:ind w:left="3670" w:hanging="300"/>
      </w:pPr>
      <w:rPr>
        <w:rFonts w:hint="default"/>
        <w:lang w:val="zh-CN" w:eastAsia="zh-CN" w:bidi="zh-CN"/>
      </w:rPr>
    </w:lvl>
    <w:lvl w:ilvl="4" w:tentative="0">
      <w:start w:val="0"/>
      <w:numFmt w:val="bullet"/>
      <w:lvlText w:val="•"/>
      <w:lvlJc w:val="left"/>
      <w:pPr>
        <w:ind w:left="4506" w:hanging="300"/>
      </w:pPr>
      <w:rPr>
        <w:rFonts w:hint="default"/>
        <w:lang w:val="zh-CN" w:eastAsia="zh-CN" w:bidi="zh-CN"/>
      </w:rPr>
    </w:lvl>
    <w:lvl w:ilvl="5" w:tentative="0">
      <w:start w:val="0"/>
      <w:numFmt w:val="bullet"/>
      <w:lvlText w:val="•"/>
      <w:lvlJc w:val="left"/>
      <w:pPr>
        <w:ind w:left="5343" w:hanging="300"/>
      </w:pPr>
      <w:rPr>
        <w:rFonts w:hint="default"/>
        <w:lang w:val="zh-CN" w:eastAsia="zh-CN" w:bidi="zh-CN"/>
      </w:rPr>
    </w:lvl>
    <w:lvl w:ilvl="6" w:tentative="0">
      <w:start w:val="0"/>
      <w:numFmt w:val="bullet"/>
      <w:lvlText w:val="•"/>
      <w:lvlJc w:val="left"/>
      <w:pPr>
        <w:ind w:left="6180" w:hanging="300"/>
      </w:pPr>
      <w:rPr>
        <w:rFonts w:hint="default"/>
        <w:lang w:val="zh-CN" w:eastAsia="zh-CN" w:bidi="zh-CN"/>
      </w:rPr>
    </w:lvl>
    <w:lvl w:ilvl="7" w:tentative="0">
      <w:start w:val="0"/>
      <w:numFmt w:val="bullet"/>
      <w:lvlText w:val="•"/>
      <w:lvlJc w:val="left"/>
      <w:pPr>
        <w:ind w:left="7016" w:hanging="300"/>
      </w:pPr>
      <w:rPr>
        <w:rFonts w:hint="default"/>
        <w:lang w:val="zh-CN" w:eastAsia="zh-CN" w:bidi="zh-CN"/>
      </w:rPr>
    </w:lvl>
    <w:lvl w:ilvl="8" w:tentative="0">
      <w:start w:val="0"/>
      <w:numFmt w:val="bullet"/>
      <w:lvlText w:val="•"/>
      <w:lvlJc w:val="left"/>
      <w:pPr>
        <w:ind w:left="7853" w:hanging="300"/>
      </w:pPr>
      <w:rPr>
        <w:rFonts w:hint="default"/>
        <w:lang w:val="zh-CN" w:eastAsia="zh-CN" w:bidi="zh-CN"/>
      </w:rPr>
    </w:lvl>
  </w:abstractNum>
  <w:abstractNum w:abstractNumId="9">
    <w:nsid w:val="A9AC3AA7"/>
    <w:multiLevelType w:val="multilevel"/>
    <w:tmpl w:val="A9AC3AA7"/>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10">
    <w:nsid w:val="B08374AC"/>
    <w:multiLevelType w:val="multilevel"/>
    <w:tmpl w:val="B08374AC"/>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11">
    <w:nsid w:val="B1CC6FF1"/>
    <w:multiLevelType w:val="multilevel"/>
    <w:tmpl w:val="B1CC6FF1"/>
    <w:lvl w:ilvl="0" w:tentative="0">
      <w:start w:val="1"/>
      <w:numFmt w:val="decimal"/>
      <w:lvlText w:val="%1."/>
      <w:lvlJc w:val="left"/>
      <w:pPr>
        <w:ind w:left="1041"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876" w:hanging="181"/>
      </w:pPr>
      <w:rPr>
        <w:rFonts w:hint="default"/>
        <w:lang w:val="zh-CN" w:eastAsia="zh-CN" w:bidi="zh-CN"/>
      </w:rPr>
    </w:lvl>
    <w:lvl w:ilvl="2" w:tentative="0">
      <w:start w:val="0"/>
      <w:numFmt w:val="bullet"/>
      <w:lvlText w:val="•"/>
      <w:lvlJc w:val="left"/>
      <w:pPr>
        <w:ind w:left="2713" w:hanging="181"/>
      </w:pPr>
      <w:rPr>
        <w:rFonts w:hint="default"/>
        <w:lang w:val="zh-CN" w:eastAsia="zh-CN" w:bidi="zh-CN"/>
      </w:rPr>
    </w:lvl>
    <w:lvl w:ilvl="3" w:tentative="0">
      <w:start w:val="0"/>
      <w:numFmt w:val="bullet"/>
      <w:lvlText w:val="•"/>
      <w:lvlJc w:val="left"/>
      <w:pPr>
        <w:ind w:left="3550" w:hanging="181"/>
      </w:pPr>
      <w:rPr>
        <w:rFonts w:hint="default"/>
        <w:lang w:val="zh-CN" w:eastAsia="zh-CN" w:bidi="zh-CN"/>
      </w:rPr>
    </w:lvl>
    <w:lvl w:ilvl="4" w:tentative="0">
      <w:start w:val="0"/>
      <w:numFmt w:val="bullet"/>
      <w:lvlText w:val="•"/>
      <w:lvlJc w:val="left"/>
      <w:pPr>
        <w:ind w:left="4386" w:hanging="181"/>
      </w:pPr>
      <w:rPr>
        <w:rFonts w:hint="default"/>
        <w:lang w:val="zh-CN" w:eastAsia="zh-CN" w:bidi="zh-CN"/>
      </w:rPr>
    </w:lvl>
    <w:lvl w:ilvl="5" w:tentative="0">
      <w:start w:val="0"/>
      <w:numFmt w:val="bullet"/>
      <w:lvlText w:val="•"/>
      <w:lvlJc w:val="left"/>
      <w:pPr>
        <w:ind w:left="5223" w:hanging="181"/>
      </w:pPr>
      <w:rPr>
        <w:rFonts w:hint="default"/>
        <w:lang w:val="zh-CN" w:eastAsia="zh-CN" w:bidi="zh-CN"/>
      </w:rPr>
    </w:lvl>
    <w:lvl w:ilvl="6" w:tentative="0">
      <w:start w:val="0"/>
      <w:numFmt w:val="bullet"/>
      <w:lvlText w:val="•"/>
      <w:lvlJc w:val="left"/>
      <w:pPr>
        <w:ind w:left="6060" w:hanging="181"/>
      </w:pPr>
      <w:rPr>
        <w:rFonts w:hint="default"/>
        <w:lang w:val="zh-CN" w:eastAsia="zh-CN" w:bidi="zh-CN"/>
      </w:rPr>
    </w:lvl>
    <w:lvl w:ilvl="7" w:tentative="0">
      <w:start w:val="0"/>
      <w:numFmt w:val="bullet"/>
      <w:lvlText w:val="•"/>
      <w:lvlJc w:val="left"/>
      <w:pPr>
        <w:ind w:left="6896" w:hanging="181"/>
      </w:pPr>
      <w:rPr>
        <w:rFonts w:hint="default"/>
        <w:lang w:val="zh-CN" w:eastAsia="zh-CN" w:bidi="zh-CN"/>
      </w:rPr>
    </w:lvl>
    <w:lvl w:ilvl="8" w:tentative="0">
      <w:start w:val="0"/>
      <w:numFmt w:val="bullet"/>
      <w:lvlText w:val="•"/>
      <w:lvlJc w:val="left"/>
      <w:pPr>
        <w:ind w:left="7733" w:hanging="181"/>
      </w:pPr>
      <w:rPr>
        <w:rFonts w:hint="default"/>
        <w:lang w:val="zh-CN" w:eastAsia="zh-CN" w:bidi="zh-CN"/>
      </w:rPr>
    </w:lvl>
  </w:abstractNum>
  <w:abstractNum w:abstractNumId="12">
    <w:nsid w:val="B4E02BC3"/>
    <w:multiLevelType w:val="multilevel"/>
    <w:tmpl w:val="B4E02BC3"/>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13">
    <w:nsid w:val="BF50FE6B"/>
    <w:multiLevelType w:val="multilevel"/>
    <w:tmpl w:val="BF50FE6B"/>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14">
    <w:nsid w:val="C90D1B09"/>
    <w:multiLevelType w:val="multilevel"/>
    <w:tmpl w:val="C90D1B09"/>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15">
    <w:nsid w:val="C9412743"/>
    <w:multiLevelType w:val="multilevel"/>
    <w:tmpl w:val="C9412743"/>
    <w:lvl w:ilvl="0" w:tentative="0">
      <w:start w:val="1"/>
      <w:numFmt w:val="decimal"/>
      <w:lvlText w:val="（%1）"/>
      <w:lvlJc w:val="left"/>
      <w:pPr>
        <w:ind w:left="384" w:hanging="604"/>
      </w:pPr>
      <w:rPr>
        <w:rFonts w:hint="default" w:ascii="宋体" w:hAnsi="宋体" w:eastAsia="宋体" w:cs="宋体"/>
        <w:w w:val="100"/>
        <w:sz w:val="22"/>
        <w:szCs w:val="22"/>
        <w:lang w:val="zh-CN" w:eastAsia="zh-CN" w:bidi="zh-CN"/>
      </w:rPr>
    </w:lvl>
    <w:lvl w:ilvl="1" w:tentative="0">
      <w:start w:val="0"/>
      <w:numFmt w:val="bullet"/>
      <w:lvlText w:val="•"/>
      <w:lvlJc w:val="left"/>
      <w:pPr>
        <w:ind w:left="1294" w:hanging="604"/>
      </w:pPr>
      <w:rPr>
        <w:rFonts w:hint="default"/>
        <w:lang w:val="zh-CN" w:eastAsia="zh-CN" w:bidi="zh-CN"/>
      </w:rPr>
    </w:lvl>
    <w:lvl w:ilvl="2" w:tentative="0">
      <w:start w:val="0"/>
      <w:numFmt w:val="bullet"/>
      <w:lvlText w:val="•"/>
      <w:lvlJc w:val="left"/>
      <w:pPr>
        <w:ind w:left="2209" w:hanging="604"/>
      </w:pPr>
      <w:rPr>
        <w:rFonts w:hint="default"/>
        <w:lang w:val="zh-CN" w:eastAsia="zh-CN" w:bidi="zh-CN"/>
      </w:rPr>
    </w:lvl>
    <w:lvl w:ilvl="3" w:tentative="0">
      <w:start w:val="0"/>
      <w:numFmt w:val="bullet"/>
      <w:lvlText w:val="•"/>
      <w:lvlJc w:val="left"/>
      <w:pPr>
        <w:ind w:left="3124" w:hanging="604"/>
      </w:pPr>
      <w:rPr>
        <w:rFonts w:hint="default"/>
        <w:lang w:val="zh-CN" w:eastAsia="zh-CN" w:bidi="zh-CN"/>
      </w:rPr>
    </w:lvl>
    <w:lvl w:ilvl="4" w:tentative="0">
      <w:start w:val="0"/>
      <w:numFmt w:val="bullet"/>
      <w:lvlText w:val="•"/>
      <w:lvlJc w:val="left"/>
      <w:pPr>
        <w:ind w:left="4038" w:hanging="604"/>
      </w:pPr>
      <w:rPr>
        <w:rFonts w:hint="default"/>
        <w:lang w:val="zh-CN" w:eastAsia="zh-CN" w:bidi="zh-CN"/>
      </w:rPr>
    </w:lvl>
    <w:lvl w:ilvl="5" w:tentative="0">
      <w:start w:val="0"/>
      <w:numFmt w:val="bullet"/>
      <w:lvlText w:val="•"/>
      <w:lvlJc w:val="left"/>
      <w:pPr>
        <w:ind w:left="4953" w:hanging="604"/>
      </w:pPr>
      <w:rPr>
        <w:rFonts w:hint="default"/>
        <w:lang w:val="zh-CN" w:eastAsia="zh-CN" w:bidi="zh-CN"/>
      </w:rPr>
    </w:lvl>
    <w:lvl w:ilvl="6" w:tentative="0">
      <w:start w:val="0"/>
      <w:numFmt w:val="bullet"/>
      <w:lvlText w:val="•"/>
      <w:lvlJc w:val="left"/>
      <w:pPr>
        <w:ind w:left="5868" w:hanging="604"/>
      </w:pPr>
      <w:rPr>
        <w:rFonts w:hint="default"/>
        <w:lang w:val="zh-CN" w:eastAsia="zh-CN" w:bidi="zh-CN"/>
      </w:rPr>
    </w:lvl>
    <w:lvl w:ilvl="7" w:tentative="0">
      <w:start w:val="0"/>
      <w:numFmt w:val="bullet"/>
      <w:lvlText w:val="•"/>
      <w:lvlJc w:val="left"/>
      <w:pPr>
        <w:ind w:left="6782" w:hanging="604"/>
      </w:pPr>
      <w:rPr>
        <w:rFonts w:hint="default"/>
        <w:lang w:val="zh-CN" w:eastAsia="zh-CN" w:bidi="zh-CN"/>
      </w:rPr>
    </w:lvl>
    <w:lvl w:ilvl="8" w:tentative="0">
      <w:start w:val="0"/>
      <w:numFmt w:val="bullet"/>
      <w:lvlText w:val="•"/>
      <w:lvlJc w:val="left"/>
      <w:pPr>
        <w:ind w:left="7697" w:hanging="604"/>
      </w:pPr>
      <w:rPr>
        <w:rFonts w:hint="default"/>
        <w:lang w:val="zh-CN" w:eastAsia="zh-CN" w:bidi="zh-CN"/>
      </w:rPr>
    </w:lvl>
  </w:abstractNum>
  <w:abstractNum w:abstractNumId="16">
    <w:nsid w:val="D1EB1714"/>
    <w:multiLevelType w:val="multilevel"/>
    <w:tmpl w:val="D1EB1714"/>
    <w:lvl w:ilvl="0" w:tentative="0">
      <w:start w:val="1"/>
      <w:numFmt w:val="decimal"/>
      <w:lvlText w:val="%1."/>
      <w:lvlJc w:val="left"/>
      <w:pPr>
        <w:ind w:left="564" w:hanging="351"/>
      </w:pPr>
      <w:rPr>
        <w:rFonts w:hint="default" w:ascii="Times New Roman" w:hAnsi="Times New Roman" w:eastAsia="Times New Roman" w:cs="Times New Roman"/>
        <w:b/>
        <w:bCs/>
        <w:spacing w:val="0"/>
        <w:w w:val="100"/>
        <w:sz w:val="28"/>
        <w:szCs w:val="28"/>
        <w:lang w:val="zh-CN" w:eastAsia="zh-CN" w:bidi="zh-CN"/>
      </w:rPr>
    </w:lvl>
    <w:lvl w:ilvl="1" w:tentative="0">
      <w:start w:val="1"/>
      <w:numFmt w:val="decimal"/>
      <w:lvlText w:val="%1.%2"/>
      <w:lvlJc w:val="left"/>
      <w:pPr>
        <w:ind w:left="633" w:hanging="420"/>
      </w:pPr>
      <w:rPr>
        <w:rFonts w:hint="default" w:ascii="Times New Roman" w:hAnsi="Times New Roman" w:eastAsia="Times New Roman" w:cs="Times New Roman"/>
        <w:b/>
        <w:bCs/>
        <w:w w:val="99"/>
        <w:sz w:val="24"/>
        <w:szCs w:val="24"/>
        <w:lang w:val="zh-CN" w:eastAsia="zh-CN" w:bidi="zh-CN"/>
      </w:rPr>
    </w:lvl>
    <w:lvl w:ilvl="2" w:tentative="0">
      <w:start w:val="1"/>
      <w:numFmt w:val="decimal"/>
      <w:lvlText w:val="%1.%2.%3"/>
      <w:lvlJc w:val="left"/>
      <w:pPr>
        <w:ind w:left="1293" w:hanging="600"/>
      </w:pPr>
      <w:rPr>
        <w:rFonts w:hint="default" w:ascii="Times New Roman" w:hAnsi="Times New Roman" w:eastAsia="Times New Roman" w:cs="Times New Roman"/>
        <w:w w:val="100"/>
        <w:sz w:val="24"/>
        <w:szCs w:val="24"/>
        <w:lang w:val="zh-CN" w:eastAsia="zh-CN" w:bidi="zh-CN"/>
      </w:rPr>
    </w:lvl>
    <w:lvl w:ilvl="3" w:tentative="0">
      <w:start w:val="1"/>
      <w:numFmt w:val="decimal"/>
      <w:lvlText w:val="%4."/>
      <w:lvlJc w:val="left"/>
      <w:pPr>
        <w:ind w:left="1004" w:hanging="181"/>
        <w:jc w:val="right"/>
      </w:pPr>
      <w:rPr>
        <w:rFonts w:hint="default" w:ascii="宋体" w:hAnsi="宋体" w:eastAsia="宋体" w:cs="宋体"/>
        <w:w w:val="100"/>
        <w:sz w:val="24"/>
        <w:szCs w:val="24"/>
        <w:lang w:val="zh-CN" w:eastAsia="zh-CN" w:bidi="zh-CN"/>
      </w:rPr>
    </w:lvl>
    <w:lvl w:ilvl="4" w:tentative="0">
      <w:start w:val="1"/>
      <w:numFmt w:val="decimal"/>
      <w:lvlText w:val="%4.%5"/>
      <w:lvlJc w:val="left"/>
      <w:pPr>
        <w:ind w:left="1404" w:hanging="540"/>
      </w:pPr>
      <w:rPr>
        <w:rFonts w:hint="default" w:ascii="Times New Roman" w:hAnsi="Times New Roman" w:eastAsia="Times New Roman" w:cs="Times New Roman"/>
        <w:w w:val="100"/>
        <w:sz w:val="24"/>
        <w:szCs w:val="24"/>
        <w:lang w:val="zh-CN" w:eastAsia="zh-CN" w:bidi="zh-CN"/>
      </w:rPr>
    </w:lvl>
    <w:lvl w:ilvl="5" w:tentative="0">
      <w:start w:val="1"/>
      <w:numFmt w:val="decimal"/>
      <w:lvlText w:val="%4.%5.%6"/>
      <w:lvlJc w:val="left"/>
      <w:pPr>
        <w:ind w:left="384" w:hanging="720"/>
      </w:pPr>
      <w:rPr>
        <w:rFonts w:hint="default" w:ascii="Times New Roman" w:hAnsi="Times New Roman" w:eastAsia="Times New Roman" w:cs="Times New Roman"/>
        <w:spacing w:val="-60"/>
        <w:w w:val="100"/>
        <w:sz w:val="24"/>
        <w:szCs w:val="24"/>
        <w:lang w:val="zh-CN" w:eastAsia="zh-CN" w:bidi="zh-CN"/>
      </w:rPr>
    </w:lvl>
    <w:lvl w:ilvl="6" w:tentative="0">
      <w:start w:val="0"/>
      <w:numFmt w:val="bullet"/>
      <w:lvlText w:val="•"/>
      <w:lvlJc w:val="left"/>
      <w:pPr>
        <w:ind w:left="1400" w:hanging="720"/>
      </w:pPr>
      <w:rPr>
        <w:rFonts w:hint="default"/>
        <w:lang w:val="zh-CN" w:eastAsia="zh-CN" w:bidi="zh-CN"/>
      </w:rPr>
    </w:lvl>
    <w:lvl w:ilvl="7" w:tentative="0">
      <w:start w:val="0"/>
      <w:numFmt w:val="bullet"/>
      <w:lvlText w:val="•"/>
      <w:lvlJc w:val="left"/>
      <w:pPr>
        <w:ind w:left="1520" w:hanging="720"/>
      </w:pPr>
      <w:rPr>
        <w:rFonts w:hint="default"/>
        <w:lang w:val="zh-CN" w:eastAsia="zh-CN" w:bidi="zh-CN"/>
      </w:rPr>
    </w:lvl>
    <w:lvl w:ilvl="8" w:tentative="0">
      <w:start w:val="0"/>
      <w:numFmt w:val="bullet"/>
      <w:lvlText w:val="•"/>
      <w:lvlJc w:val="left"/>
      <w:pPr>
        <w:ind w:left="1700" w:hanging="720"/>
      </w:pPr>
      <w:rPr>
        <w:rFonts w:hint="default"/>
        <w:lang w:val="zh-CN" w:eastAsia="zh-CN" w:bidi="zh-CN"/>
      </w:rPr>
    </w:lvl>
  </w:abstractNum>
  <w:abstractNum w:abstractNumId="17">
    <w:nsid w:val="D7936317"/>
    <w:multiLevelType w:val="multilevel"/>
    <w:tmpl w:val="D7936317"/>
    <w:lvl w:ilvl="0" w:tentative="0">
      <w:start w:val="1"/>
      <w:numFmt w:val="decimal"/>
      <w:lvlText w:val="%1."/>
      <w:lvlJc w:val="left"/>
      <w:pPr>
        <w:ind w:left="384"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294" w:hanging="181"/>
      </w:pPr>
      <w:rPr>
        <w:rFonts w:hint="default"/>
        <w:lang w:val="zh-CN" w:eastAsia="zh-CN" w:bidi="zh-CN"/>
      </w:rPr>
    </w:lvl>
    <w:lvl w:ilvl="2" w:tentative="0">
      <w:start w:val="0"/>
      <w:numFmt w:val="bullet"/>
      <w:lvlText w:val="•"/>
      <w:lvlJc w:val="left"/>
      <w:pPr>
        <w:ind w:left="2209" w:hanging="181"/>
      </w:pPr>
      <w:rPr>
        <w:rFonts w:hint="default"/>
        <w:lang w:val="zh-CN" w:eastAsia="zh-CN" w:bidi="zh-CN"/>
      </w:rPr>
    </w:lvl>
    <w:lvl w:ilvl="3" w:tentative="0">
      <w:start w:val="0"/>
      <w:numFmt w:val="bullet"/>
      <w:lvlText w:val="•"/>
      <w:lvlJc w:val="left"/>
      <w:pPr>
        <w:ind w:left="3124" w:hanging="181"/>
      </w:pPr>
      <w:rPr>
        <w:rFonts w:hint="default"/>
        <w:lang w:val="zh-CN" w:eastAsia="zh-CN" w:bidi="zh-CN"/>
      </w:rPr>
    </w:lvl>
    <w:lvl w:ilvl="4" w:tentative="0">
      <w:start w:val="0"/>
      <w:numFmt w:val="bullet"/>
      <w:lvlText w:val="•"/>
      <w:lvlJc w:val="left"/>
      <w:pPr>
        <w:ind w:left="4038" w:hanging="181"/>
      </w:pPr>
      <w:rPr>
        <w:rFonts w:hint="default"/>
        <w:lang w:val="zh-CN" w:eastAsia="zh-CN" w:bidi="zh-CN"/>
      </w:rPr>
    </w:lvl>
    <w:lvl w:ilvl="5" w:tentative="0">
      <w:start w:val="0"/>
      <w:numFmt w:val="bullet"/>
      <w:lvlText w:val="•"/>
      <w:lvlJc w:val="left"/>
      <w:pPr>
        <w:ind w:left="4953" w:hanging="181"/>
      </w:pPr>
      <w:rPr>
        <w:rFonts w:hint="default"/>
        <w:lang w:val="zh-CN" w:eastAsia="zh-CN" w:bidi="zh-CN"/>
      </w:rPr>
    </w:lvl>
    <w:lvl w:ilvl="6" w:tentative="0">
      <w:start w:val="0"/>
      <w:numFmt w:val="bullet"/>
      <w:lvlText w:val="•"/>
      <w:lvlJc w:val="left"/>
      <w:pPr>
        <w:ind w:left="5868" w:hanging="181"/>
      </w:pPr>
      <w:rPr>
        <w:rFonts w:hint="default"/>
        <w:lang w:val="zh-CN" w:eastAsia="zh-CN" w:bidi="zh-CN"/>
      </w:rPr>
    </w:lvl>
    <w:lvl w:ilvl="7" w:tentative="0">
      <w:start w:val="0"/>
      <w:numFmt w:val="bullet"/>
      <w:lvlText w:val="•"/>
      <w:lvlJc w:val="left"/>
      <w:pPr>
        <w:ind w:left="6782" w:hanging="181"/>
      </w:pPr>
      <w:rPr>
        <w:rFonts w:hint="default"/>
        <w:lang w:val="zh-CN" w:eastAsia="zh-CN" w:bidi="zh-CN"/>
      </w:rPr>
    </w:lvl>
    <w:lvl w:ilvl="8" w:tentative="0">
      <w:start w:val="0"/>
      <w:numFmt w:val="bullet"/>
      <w:lvlText w:val="•"/>
      <w:lvlJc w:val="left"/>
      <w:pPr>
        <w:ind w:left="7697" w:hanging="181"/>
      </w:pPr>
      <w:rPr>
        <w:rFonts w:hint="default"/>
        <w:lang w:val="zh-CN" w:eastAsia="zh-CN" w:bidi="zh-CN"/>
      </w:rPr>
    </w:lvl>
  </w:abstractNum>
  <w:abstractNum w:abstractNumId="18">
    <w:nsid w:val="DAE62134"/>
    <w:multiLevelType w:val="multilevel"/>
    <w:tmpl w:val="DAE62134"/>
    <w:lvl w:ilvl="0" w:tentative="0">
      <w:start w:val="1"/>
      <w:numFmt w:val="decimal"/>
      <w:lvlText w:val="（%1）"/>
      <w:lvlJc w:val="left"/>
      <w:pPr>
        <w:ind w:left="384" w:hanging="601"/>
      </w:pPr>
      <w:rPr>
        <w:rFonts w:hint="default" w:ascii="宋体" w:hAnsi="宋体" w:eastAsia="宋体" w:cs="宋体"/>
        <w:spacing w:val="-1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19">
    <w:nsid w:val="DDDBB5A9"/>
    <w:multiLevelType w:val="multilevel"/>
    <w:tmpl w:val="DDDBB5A9"/>
    <w:lvl w:ilvl="0" w:tentative="0">
      <w:start w:val="1"/>
      <w:numFmt w:val="chineseCounting"/>
      <w:suff w:val="nothing"/>
      <w:lvlText w:val="%1、"/>
      <w:lvlJc w:val="left"/>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20">
    <w:nsid w:val="E0294EC7"/>
    <w:multiLevelType w:val="multilevel"/>
    <w:tmpl w:val="E0294EC7"/>
    <w:lvl w:ilvl="0" w:tentative="0">
      <w:start w:val="1"/>
      <w:numFmt w:val="decimal"/>
      <w:lvlText w:val="（%1）"/>
      <w:lvlJc w:val="left"/>
      <w:pPr>
        <w:ind w:left="384"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21">
    <w:nsid w:val="E43A772E"/>
    <w:multiLevelType w:val="multilevel"/>
    <w:tmpl w:val="E43A772E"/>
    <w:lvl w:ilvl="0" w:tentative="0">
      <w:start w:val="1"/>
      <w:numFmt w:val="decimal"/>
      <w:lvlText w:val="（%1）"/>
      <w:lvlJc w:val="left"/>
      <w:pPr>
        <w:ind w:left="384" w:hanging="601"/>
      </w:pPr>
      <w:rPr>
        <w:rFonts w:hint="default" w:ascii="宋体" w:hAnsi="宋体" w:eastAsia="宋体" w:cs="宋体"/>
        <w:spacing w:val="-16"/>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22">
    <w:nsid w:val="E52D9448"/>
    <w:multiLevelType w:val="multilevel"/>
    <w:tmpl w:val="E52D9448"/>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23">
    <w:nsid w:val="E7B2FB88"/>
    <w:multiLevelType w:val="multilevel"/>
    <w:tmpl w:val="E7B2FB88"/>
    <w:lvl w:ilvl="0" w:tentative="0">
      <w:start w:val="3"/>
      <w:numFmt w:val="chineseCounting"/>
      <w:suff w:val="nothing"/>
      <w:lvlText w:val="（%1）"/>
      <w:lvlJc w:val="left"/>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24">
    <w:nsid w:val="E9630B91"/>
    <w:multiLevelType w:val="multilevel"/>
    <w:tmpl w:val="E9630B91"/>
    <w:lvl w:ilvl="0" w:tentative="0">
      <w:start w:val="1"/>
      <w:numFmt w:val="decimal"/>
      <w:lvlText w:val="%1."/>
      <w:lvlJc w:val="left"/>
      <w:pPr>
        <w:ind w:left="224" w:hanging="361"/>
      </w:pPr>
      <w:rPr>
        <w:rFonts w:hint="default" w:ascii="Times New Roman" w:hAnsi="Times New Roman" w:eastAsia="Times New Roman" w:cs="Times New Roman"/>
        <w:spacing w:val="-19"/>
        <w:w w:val="100"/>
        <w:sz w:val="22"/>
        <w:szCs w:val="22"/>
        <w:lang w:val="zh-CN" w:eastAsia="zh-CN" w:bidi="zh-CN"/>
      </w:rPr>
    </w:lvl>
    <w:lvl w:ilvl="1" w:tentative="0">
      <w:start w:val="0"/>
      <w:numFmt w:val="bullet"/>
      <w:lvlText w:val="•"/>
      <w:lvlJc w:val="left"/>
      <w:pPr>
        <w:ind w:left="1138" w:hanging="361"/>
      </w:pPr>
      <w:rPr>
        <w:rFonts w:hint="default"/>
        <w:lang w:val="zh-CN" w:eastAsia="zh-CN" w:bidi="zh-CN"/>
      </w:rPr>
    </w:lvl>
    <w:lvl w:ilvl="2" w:tentative="0">
      <w:start w:val="0"/>
      <w:numFmt w:val="bullet"/>
      <w:lvlText w:val="•"/>
      <w:lvlJc w:val="left"/>
      <w:pPr>
        <w:ind w:left="2057" w:hanging="361"/>
      </w:pPr>
      <w:rPr>
        <w:rFonts w:hint="default"/>
        <w:lang w:val="zh-CN" w:eastAsia="zh-CN" w:bidi="zh-CN"/>
      </w:rPr>
    </w:lvl>
    <w:lvl w:ilvl="3" w:tentative="0">
      <w:start w:val="0"/>
      <w:numFmt w:val="bullet"/>
      <w:lvlText w:val="•"/>
      <w:lvlJc w:val="left"/>
      <w:pPr>
        <w:ind w:left="2976" w:hanging="361"/>
      </w:pPr>
      <w:rPr>
        <w:rFonts w:hint="default"/>
        <w:lang w:val="zh-CN" w:eastAsia="zh-CN" w:bidi="zh-CN"/>
      </w:rPr>
    </w:lvl>
    <w:lvl w:ilvl="4" w:tentative="0">
      <w:start w:val="0"/>
      <w:numFmt w:val="bullet"/>
      <w:lvlText w:val="•"/>
      <w:lvlJc w:val="left"/>
      <w:pPr>
        <w:ind w:left="3894" w:hanging="361"/>
      </w:pPr>
      <w:rPr>
        <w:rFonts w:hint="default"/>
        <w:lang w:val="zh-CN" w:eastAsia="zh-CN" w:bidi="zh-CN"/>
      </w:rPr>
    </w:lvl>
    <w:lvl w:ilvl="5" w:tentative="0">
      <w:start w:val="0"/>
      <w:numFmt w:val="bullet"/>
      <w:lvlText w:val="•"/>
      <w:lvlJc w:val="left"/>
      <w:pPr>
        <w:ind w:left="4813" w:hanging="361"/>
      </w:pPr>
      <w:rPr>
        <w:rFonts w:hint="default"/>
        <w:lang w:val="zh-CN" w:eastAsia="zh-CN" w:bidi="zh-CN"/>
      </w:rPr>
    </w:lvl>
    <w:lvl w:ilvl="6" w:tentative="0">
      <w:start w:val="0"/>
      <w:numFmt w:val="bullet"/>
      <w:lvlText w:val="•"/>
      <w:lvlJc w:val="left"/>
      <w:pPr>
        <w:ind w:left="5732" w:hanging="361"/>
      </w:pPr>
      <w:rPr>
        <w:rFonts w:hint="default"/>
        <w:lang w:val="zh-CN" w:eastAsia="zh-CN" w:bidi="zh-CN"/>
      </w:rPr>
    </w:lvl>
    <w:lvl w:ilvl="7" w:tentative="0">
      <w:start w:val="0"/>
      <w:numFmt w:val="bullet"/>
      <w:lvlText w:val="•"/>
      <w:lvlJc w:val="left"/>
      <w:pPr>
        <w:ind w:left="6650" w:hanging="361"/>
      </w:pPr>
      <w:rPr>
        <w:rFonts w:hint="default"/>
        <w:lang w:val="zh-CN" w:eastAsia="zh-CN" w:bidi="zh-CN"/>
      </w:rPr>
    </w:lvl>
    <w:lvl w:ilvl="8" w:tentative="0">
      <w:start w:val="0"/>
      <w:numFmt w:val="bullet"/>
      <w:lvlText w:val="•"/>
      <w:lvlJc w:val="left"/>
      <w:pPr>
        <w:ind w:left="7569" w:hanging="361"/>
      </w:pPr>
      <w:rPr>
        <w:rFonts w:hint="default"/>
        <w:lang w:val="zh-CN" w:eastAsia="zh-CN" w:bidi="zh-CN"/>
      </w:rPr>
    </w:lvl>
  </w:abstractNum>
  <w:abstractNum w:abstractNumId="25">
    <w:nsid w:val="EA28CC15"/>
    <w:multiLevelType w:val="multilevel"/>
    <w:tmpl w:val="EA28CC15"/>
    <w:lvl w:ilvl="0" w:tentative="0">
      <w:start w:val="8"/>
      <w:numFmt w:val="decimal"/>
      <w:lvlText w:val="(%1)"/>
      <w:lvlJc w:val="left"/>
      <w:pPr>
        <w:ind w:left="1144" w:hanging="281"/>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978" w:hanging="281"/>
      </w:pPr>
      <w:rPr>
        <w:rFonts w:hint="default"/>
        <w:lang w:val="zh-CN" w:eastAsia="zh-CN" w:bidi="zh-CN"/>
      </w:rPr>
    </w:lvl>
    <w:lvl w:ilvl="2" w:tentative="0">
      <w:start w:val="0"/>
      <w:numFmt w:val="bullet"/>
      <w:lvlText w:val="•"/>
      <w:lvlJc w:val="left"/>
      <w:pPr>
        <w:ind w:left="2817" w:hanging="281"/>
      </w:pPr>
      <w:rPr>
        <w:rFonts w:hint="default"/>
        <w:lang w:val="zh-CN" w:eastAsia="zh-CN" w:bidi="zh-CN"/>
      </w:rPr>
    </w:lvl>
    <w:lvl w:ilvl="3" w:tentative="0">
      <w:start w:val="0"/>
      <w:numFmt w:val="bullet"/>
      <w:lvlText w:val="•"/>
      <w:lvlJc w:val="left"/>
      <w:pPr>
        <w:ind w:left="3656" w:hanging="281"/>
      </w:pPr>
      <w:rPr>
        <w:rFonts w:hint="default"/>
        <w:lang w:val="zh-CN" w:eastAsia="zh-CN" w:bidi="zh-CN"/>
      </w:rPr>
    </w:lvl>
    <w:lvl w:ilvl="4" w:tentative="0">
      <w:start w:val="0"/>
      <w:numFmt w:val="bullet"/>
      <w:lvlText w:val="•"/>
      <w:lvlJc w:val="left"/>
      <w:pPr>
        <w:ind w:left="4494" w:hanging="281"/>
      </w:pPr>
      <w:rPr>
        <w:rFonts w:hint="default"/>
        <w:lang w:val="zh-CN" w:eastAsia="zh-CN" w:bidi="zh-CN"/>
      </w:rPr>
    </w:lvl>
    <w:lvl w:ilvl="5" w:tentative="0">
      <w:start w:val="0"/>
      <w:numFmt w:val="bullet"/>
      <w:lvlText w:val="•"/>
      <w:lvlJc w:val="left"/>
      <w:pPr>
        <w:ind w:left="5333" w:hanging="281"/>
      </w:pPr>
      <w:rPr>
        <w:rFonts w:hint="default"/>
        <w:lang w:val="zh-CN" w:eastAsia="zh-CN" w:bidi="zh-CN"/>
      </w:rPr>
    </w:lvl>
    <w:lvl w:ilvl="6" w:tentative="0">
      <w:start w:val="0"/>
      <w:numFmt w:val="bullet"/>
      <w:lvlText w:val="•"/>
      <w:lvlJc w:val="left"/>
      <w:pPr>
        <w:ind w:left="6172" w:hanging="281"/>
      </w:pPr>
      <w:rPr>
        <w:rFonts w:hint="default"/>
        <w:lang w:val="zh-CN" w:eastAsia="zh-CN" w:bidi="zh-CN"/>
      </w:rPr>
    </w:lvl>
    <w:lvl w:ilvl="7" w:tentative="0">
      <w:start w:val="0"/>
      <w:numFmt w:val="bullet"/>
      <w:lvlText w:val="•"/>
      <w:lvlJc w:val="left"/>
      <w:pPr>
        <w:ind w:left="7010" w:hanging="281"/>
      </w:pPr>
      <w:rPr>
        <w:rFonts w:hint="default"/>
        <w:lang w:val="zh-CN" w:eastAsia="zh-CN" w:bidi="zh-CN"/>
      </w:rPr>
    </w:lvl>
    <w:lvl w:ilvl="8" w:tentative="0">
      <w:start w:val="0"/>
      <w:numFmt w:val="bullet"/>
      <w:lvlText w:val="•"/>
      <w:lvlJc w:val="left"/>
      <w:pPr>
        <w:ind w:left="7849" w:hanging="281"/>
      </w:pPr>
      <w:rPr>
        <w:rFonts w:hint="default"/>
        <w:lang w:val="zh-CN" w:eastAsia="zh-CN" w:bidi="zh-CN"/>
      </w:rPr>
    </w:lvl>
  </w:abstractNum>
  <w:abstractNum w:abstractNumId="26">
    <w:nsid w:val="ED6CD060"/>
    <w:multiLevelType w:val="multilevel"/>
    <w:tmpl w:val="ED6CD060"/>
    <w:lvl w:ilvl="0" w:tentative="0">
      <w:start w:val="1"/>
      <w:numFmt w:val="chineseCounting"/>
      <w:lvlText w:val="第%1章"/>
      <w:lvlJc w:val="left"/>
      <w:rPr>
        <w:rFonts w:ascii="Times New Roman" w:hAnsi="Times New Roman" w:eastAsia="宋体" w:cs="Times New Roman"/>
      </w:rPr>
    </w:lvl>
    <w:lvl w:ilvl="1" w:tentative="0">
      <w:start w:val="1"/>
      <w:numFmt w:val="decimal"/>
      <w:lvlText w:val="第"/>
      <w:lvlJc w:val="left"/>
      <w:rPr>
        <w:rFonts w:ascii="Times New Roman" w:hAnsi="Times New Roman" w:eastAsia="宋体" w:cs="Times New Roman"/>
      </w:rPr>
    </w:lvl>
    <w:lvl w:ilvl="2" w:tentative="0">
      <w:start w:val="1"/>
      <w:numFmt w:val="decimal"/>
      <w:lvlText w:val="第"/>
      <w:lvlJc w:val="left"/>
      <w:rPr>
        <w:rFonts w:ascii="Times New Roman" w:hAnsi="Times New Roman" w:eastAsia="宋体" w:cs="Times New Roman"/>
      </w:rPr>
    </w:lvl>
    <w:lvl w:ilvl="3" w:tentative="0">
      <w:start w:val="1"/>
      <w:numFmt w:val="decimal"/>
      <w:lvlText w:val="第"/>
      <w:lvlJc w:val="left"/>
      <w:rPr>
        <w:rFonts w:ascii="Times New Roman" w:hAnsi="Times New Roman" w:eastAsia="宋体" w:cs="Times New Roman"/>
      </w:rPr>
    </w:lvl>
    <w:lvl w:ilvl="4" w:tentative="0">
      <w:start w:val="1"/>
      <w:numFmt w:val="decimal"/>
      <w:lvlText w:val="第"/>
      <w:lvlJc w:val="left"/>
      <w:rPr>
        <w:rFonts w:ascii="Times New Roman" w:hAnsi="Times New Roman" w:eastAsia="宋体" w:cs="Times New Roman"/>
      </w:rPr>
    </w:lvl>
    <w:lvl w:ilvl="5" w:tentative="0">
      <w:start w:val="1"/>
      <w:numFmt w:val="decimal"/>
      <w:lvlText w:val="第"/>
      <w:lvlJc w:val="left"/>
      <w:rPr>
        <w:rFonts w:ascii="Times New Roman" w:hAnsi="Times New Roman" w:eastAsia="宋体" w:cs="Times New Roman"/>
      </w:rPr>
    </w:lvl>
    <w:lvl w:ilvl="6" w:tentative="0">
      <w:start w:val="1"/>
      <w:numFmt w:val="decimal"/>
      <w:lvlText w:val="第"/>
      <w:lvlJc w:val="left"/>
      <w:rPr>
        <w:rFonts w:ascii="Times New Roman" w:hAnsi="Times New Roman" w:eastAsia="宋体" w:cs="Times New Roman"/>
      </w:rPr>
    </w:lvl>
    <w:lvl w:ilvl="7" w:tentative="0">
      <w:start w:val="1"/>
      <w:numFmt w:val="decimal"/>
      <w:lvlText w:val="第"/>
      <w:lvlJc w:val="left"/>
      <w:rPr>
        <w:rFonts w:ascii="Times New Roman" w:hAnsi="Times New Roman" w:eastAsia="宋体" w:cs="Times New Roman"/>
      </w:rPr>
    </w:lvl>
    <w:lvl w:ilvl="8" w:tentative="0">
      <w:start w:val="1"/>
      <w:numFmt w:val="decimal"/>
      <w:lvlText w:val="第"/>
      <w:lvlJc w:val="left"/>
      <w:rPr>
        <w:rFonts w:ascii="Times New Roman" w:hAnsi="Times New Roman" w:eastAsia="宋体" w:cs="Times New Roman"/>
      </w:rPr>
    </w:lvl>
  </w:abstractNum>
  <w:abstractNum w:abstractNumId="27">
    <w:nsid w:val="F1FCDEFA"/>
    <w:multiLevelType w:val="multilevel"/>
    <w:tmpl w:val="F1FCDEFA"/>
    <w:lvl w:ilvl="0" w:tentative="0">
      <w:start w:val="1"/>
      <w:numFmt w:val="decimal"/>
      <w:lvlText w:val="（%1）"/>
      <w:lvlJc w:val="left"/>
      <w:pPr>
        <w:ind w:left="384" w:hanging="601"/>
      </w:pPr>
      <w:rPr>
        <w:rFonts w:hint="default" w:ascii="宋体" w:hAnsi="宋体" w:eastAsia="宋体" w:cs="宋体"/>
        <w:spacing w:val="-10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28">
    <w:nsid w:val="F237ACA1"/>
    <w:multiLevelType w:val="multilevel"/>
    <w:tmpl w:val="F237ACA1"/>
    <w:lvl w:ilvl="0" w:tentative="0">
      <w:start w:val="12"/>
      <w:numFmt w:val="decimal"/>
      <w:lvlText w:val="(%1)"/>
      <w:lvlJc w:val="left"/>
      <w:pPr>
        <w:ind w:left="384" w:hanging="404"/>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294" w:hanging="404"/>
      </w:pPr>
      <w:rPr>
        <w:rFonts w:hint="default"/>
        <w:lang w:val="zh-CN" w:eastAsia="zh-CN" w:bidi="zh-CN"/>
      </w:rPr>
    </w:lvl>
    <w:lvl w:ilvl="2" w:tentative="0">
      <w:start w:val="0"/>
      <w:numFmt w:val="bullet"/>
      <w:lvlText w:val="•"/>
      <w:lvlJc w:val="left"/>
      <w:pPr>
        <w:ind w:left="2209" w:hanging="404"/>
      </w:pPr>
      <w:rPr>
        <w:rFonts w:hint="default"/>
        <w:lang w:val="zh-CN" w:eastAsia="zh-CN" w:bidi="zh-CN"/>
      </w:rPr>
    </w:lvl>
    <w:lvl w:ilvl="3" w:tentative="0">
      <w:start w:val="0"/>
      <w:numFmt w:val="bullet"/>
      <w:lvlText w:val="•"/>
      <w:lvlJc w:val="left"/>
      <w:pPr>
        <w:ind w:left="3124" w:hanging="404"/>
      </w:pPr>
      <w:rPr>
        <w:rFonts w:hint="default"/>
        <w:lang w:val="zh-CN" w:eastAsia="zh-CN" w:bidi="zh-CN"/>
      </w:rPr>
    </w:lvl>
    <w:lvl w:ilvl="4" w:tentative="0">
      <w:start w:val="0"/>
      <w:numFmt w:val="bullet"/>
      <w:lvlText w:val="•"/>
      <w:lvlJc w:val="left"/>
      <w:pPr>
        <w:ind w:left="4038" w:hanging="404"/>
      </w:pPr>
      <w:rPr>
        <w:rFonts w:hint="default"/>
        <w:lang w:val="zh-CN" w:eastAsia="zh-CN" w:bidi="zh-CN"/>
      </w:rPr>
    </w:lvl>
    <w:lvl w:ilvl="5" w:tentative="0">
      <w:start w:val="0"/>
      <w:numFmt w:val="bullet"/>
      <w:lvlText w:val="•"/>
      <w:lvlJc w:val="left"/>
      <w:pPr>
        <w:ind w:left="4953" w:hanging="404"/>
      </w:pPr>
      <w:rPr>
        <w:rFonts w:hint="default"/>
        <w:lang w:val="zh-CN" w:eastAsia="zh-CN" w:bidi="zh-CN"/>
      </w:rPr>
    </w:lvl>
    <w:lvl w:ilvl="6" w:tentative="0">
      <w:start w:val="0"/>
      <w:numFmt w:val="bullet"/>
      <w:lvlText w:val="•"/>
      <w:lvlJc w:val="left"/>
      <w:pPr>
        <w:ind w:left="5868" w:hanging="404"/>
      </w:pPr>
      <w:rPr>
        <w:rFonts w:hint="default"/>
        <w:lang w:val="zh-CN" w:eastAsia="zh-CN" w:bidi="zh-CN"/>
      </w:rPr>
    </w:lvl>
    <w:lvl w:ilvl="7" w:tentative="0">
      <w:start w:val="0"/>
      <w:numFmt w:val="bullet"/>
      <w:lvlText w:val="•"/>
      <w:lvlJc w:val="left"/>
      <w:pPr>
        <w:ind w:left="6782" w:hanging="404"/>
      </w:pPr>
      <w:rPr>
        <w:rFonts w:hint="default"/>
        <w:lang w:val="zh-CN" w:eastAsia="zh-CN" w:bidi="zh-CN"/>
      </w:rPr>
    </w:lvl>
    <w:lvl w:ilvl="8" w:tentative="0">
      <w:start w:val="0"/>
      <w:numFmt w:val="bullet"/>
      <w:lvlText w:val="•"/>
      <w:lvlJc w:val="left"/>
      <w:pPr>
        <w:ind w:left="7697" w:hanging="404"/>
      </w:pPr>
      <w:rPr>
        <w:rFonts w:hint="default"/>
        <w:lang w:val="zh-CN" w:eastAsia="zh-CN" w:bidi="zh-CN"/>
      </w:rPr>
    </w:lvl>
  </w:abstractNum>
  <w:abstractNum w:abstractNumId="29">
    <w:nsid w:val="F2A81E1A"/>
    <w:multiLevelType w:val="multilevel"/>
    <w:tmpl w:val="F2A81E1A"/>
    <w:lvl w:ilvl="0" w:tentative="0">
      <w:start w:val="1"/>
      <w:numFmt w:val="decimal"/>
      <w:lvlText w:val="（%1）"/>
      <w:lvlJc w:val="left"/>
      <w:pPr>
        <w:ind w:left="384" w:hanging="601"/>
      </w:pPr>
      <w:rPr>
        <w:rFonts w:hint="default" w:ascii="宋体" w:hAnsi="宋体" w:eastAsia="宋体" w:cs="宋体"/>
        <w:spacing w:val="-17"/>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0">
    <w:nsid w:val="F3A33954"/>
    <w:multiLevelType w:val="multilevel"/>
    <w:tmpl w:val="F3A33954"/>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1">
    <w:nsid w:val="F46CCC20"/>
    <w:multiLevelType w:val="multilevel"/>
    <w:tmpl w:val="F46CCC20"/>
    <w:lvl w:ilvl="0" w:tentative="0">
      <w:start w:val="1"/>
      <w:numFmt w:val="decimal"/>
      <w:lvlText w:val="%1."/>
      <w:lvlJc w:val="left"/>
      <w:pPr>
        <w:ind w:left="116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996" w:hanging="300"/>
      </w:pPr>
      <w:rPr>
        <w:rFonts w:hint="default"/>
        <w:lang w:val="zh-CN" w:eastAsia="zh-CN" w:bidi="zh-CN"/>
      </w:rPr>
    </w:lvl>
    <w:lvl w:ilvl="2" w:tentative="0">
      <w:start w:val="0"/>
      <w:numFmt w:val="bullet"/>
      <w:lvlText w:val="•"/>
      <w:lvlJc w:val="left"/>
      <w:pPr>
        <w:ind w:left="2833" w:hanging="300"/>
      </w:pPr>
      <w:rPr>
        <w:rFonts w:hint="default"/>
        <w:lang w:val="zh-CN" w:eastAsia="zh-CN" w:bidi="zh-CN"/>
      </w:rPr>
    </w:lvl>
    <w:lvl w:ilvl="3" w:tentative="0">
      <w:start w:val="0"/>
      <w:numFmt w:val="bullet"/>
      <w:lvlText w:val="•"/>
      <w:lvlJc w:val="left"/>
      <w:pPr>
        <w:ind w:left="3670" w:hanging="300"/>
      </w:pPr>
      <w:rPr>
        <w:rFonts w:hint="default"/>
        <w:lang w:val="zh-CN" w:eastAsia="zh-CN" w:bidi="zh-CN"/>
      </w:rPr>
    </w:lvl>
    <w:lvl w:ilvl="4" w:tentative="0">
      <w:start w:val="0"/>
      <w:numFmt w:val="bullet"/>
      <w:lvlText w:val="•"/>
      <w:lvlJc w:val="left"/>
      <w:pPr>
        <w:ind w:left="4506" w:hanging="300"/>
      </w:pPr>
      <w:rPr>
        <w:rFonts w:hint="default"/>
        <w:lang w:val="zh-CN" w:eastAsia="zh-CN" w:bidi="zh-CN"/>
      </w:rPr>
    </w:lvl>
    <w:lvl w:ilvl="5" w:tentative="0">
      <w:start w:val="0"/>
      <w:numFmt w:val="bullet"/>
      <w:lvlText w:val="•"/>
      <w:lvlJc w:val="left"/>
      <w:pPr>
        <w:ind w:left="5343" w:hanging="300"/>
      </w:pPr>
      <w:rPr>
        <w:rFonts w:hint="default"/>
        <w:lang w:val="zh-CN" w:eastAsia="zh-CN" w:bidi="zh-CN"/>
      </w:rPr>
    </w:lvl>
    <w:lvl w:ilvl="6" w:tentative="0">
      <w:start w:val="0"/>
      <w:numFmt w:val="bullet"/>
      <w:lvlText w:val="•"/>
      <w:lvlJc w:val="left"/>
      <w:pPr>
        <w:ind w:left="6180" w:hanging="300"/>
      </w:pPr>
      <w:rPr>
        <w:rFonts w:hint="default"/>
        <w:lang w:val="zh-CN" w:eastAsia="zh-CN" w:bidi="zh-CN"/>
      </w:rPr>
    </w:lvl>
    <w:lvl w:ilvl="7" w:tentative="0">
      <w:start w:val="0"/>
      <w:numFmt w:val="bullet"/>
      <w:lvlText w:val="•"/>
      <w:lvlJc w:val="left"/>
      <w:pPr>
        <w:ind w:left="7016" w:hanging="300"/>
      </w:pPr>
      <w:rPr>
        <w:rFonts w:hint="default"/>
        <w:lang w:val="zh-CN" w:eastAsia="zh-CN" w:bidi="zh-CN"/>
      </w:rPr>
    </w:lvl>
    <w:lvl w:ilvl="8" w:tentative="0">
      <w:start w:val="0"/>
      <w:numFmt w:val="bullet"/>
      <w:lvlText w:val="•"/>
      <w:lvlJc w:val="left"/>
      <w:pPr>
        <w:ind w:left="7853" w:hanging="300"/>
      </w:pPr>
      <w:rPr>
        <w:rFonts w:hint="default"/>
        <w:lang w:val="zh-CN" w:eastAsia="zh-CN" w:bidi="zh-CN"/>
      </w:rPr>
    </w:lvl>
  </w:abstractNum>
  <w:abstractNum w:abstractNumId="32">
    <w:nsid w:val="F4A942FE"/>
    <w:multiLevelType w:val="multilevel"/>
    <w:tmpl w:val="F4A942FE"/>
    <w:lvl w:ilvl="0" w:tentative="0">
      <w:start w:val="1"/>
      <w:numFmt w:val="decimal"/>
      <w:lvlText w:val="（%1）"/>
      <w:lvlJc w:val="left"/>
      <w:pPr>
        <w:ind w:left="384" w:hanging="601"/>
      </w:pPr>
      <w:rPr>
        <w:rFonts w:hint="default" w:ascii="宋体" w:hAnsi="宋体" w:eastAsia="宋体" w:cs="宋体"/>
        <w:spacing w:val="-22"/>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3">
    <w:nsid w:val="FFD3F04B"/>
    <w:multiLevelType w:val="multilevel"/>
    <w:tmpl w:val="FFD3F04B"/>
    <w:lvl w:ilvl="0" w:tentative="0">
      <w:start w:val="1"/>
      <w:numFmt w:val="decimal"/>
      <w:lvlText w:val="（%1）"/>
      <w:lvlJc w:val="left"/>
      <w:pPr>
        <w:ind w:left="130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110" w:hanging="601"/>
      </w:pPr>
      <w:rPr>
        <w:rFonts w:hint="default"/>
        <w:lang w:val="zh-CN" w:eastAsia="zh-CN" w:bidi="zh-CN"/>
      </w:rPr>
    </w:lvl>
    <w:lvl w:ilvl="2" w:tentative="0">
      <w:start w:val="0"/>
      <w:numFmt w:val="bullet"/>
      <w:lvlText w:val="•"/>
      <w:lvlJc w:val="left"/>
      <w:pPr>
        <w:ind w:left="2921" w:hanging="601"/>
      </w:pPr>
      <w:rPr>
        <w:rFonts w:hint="default"/>
        <w:lang w:val="zh-CN" w:eastAsia="zh-CN" w:bidi="zh-CN"/>
      </w:rPr>
    </w:lvl>
    <w:lvl w:ilvl="3" w:tentative="0">
      <w:start w:val="0"/>
      <w:numFmt w:val="bullet"/>
      <w:lvlText w:val="•"/>
      <w:lvlJc w:val="left"/>
      <w:pPr>
        <w:ind w:left="3732" w:hanging="601"/>
      </w:pPr>
      <w:rPr>
        <w:rFonts w:hint="default"/>
        <w:lang w:val="zh-CN" w:eastAsia="zh-CN" w:bidi="zh-CN"/>
      </w:rPr>
    </w:lvl>
    <w:lvl w:ilvl="4" w:tentative="0">
      <w:start w:val="0"/>
      <w:numFmt w:val="bullet"/>
      <w:lvlText w:val="•"/>
      <w:lvlJc w:val="left"/>
      <w:pPr>
        <w:ind w:left="4542" w:hanging="601"/>
      </w:pPr>
      <w:rPr>
        <w:rFonts w:hint="default"/>
        <w:lang w:val="zh-CN" w:eastAsia="zh-CN" w:bidi="zh-CN"/>
      </w:rPr>
    </w:lvl>
    <w:lvl w:ilvl="5" w:tentative="0">
      <w:start w:val="0"/>
      <w:numFmt w:val="bullet"/>
      <w:lvlText w:val="•"/>
      <w:lvlJc w:val="left"/>
      <w:pPr>
        <w:ind w:left="5353" w:hanging="601"/>
      </w:pPr>
      <w:rPr>
        <w:rFonts w:hint="default"/>
        <w:lang w:val="zh-CN" w:eastAsia="zh-CN" w:bidi="zh-CN"/>
      </w:rPr>
    </w:lvl>
    <w:lvl w:ilvl="6" w:tentative="0">
      <w:start w:val="0"/>
      <w:numFmt w:val="bullet"/>
      <w:lvlText w:val="•"/>
      <w:lvlJc w:val="left"/>
      <w:pPr>
        <w:ind w:left="6164" w:hanging="601"/>
      </w:pPr>
      <w:rPr>
        <w:rFonts w:hint="default"/>
        <w:lang w:val="zh-CN" w:eastAsia="zh-CN" w:bidi="zh-CN"/>
      </w:rPr>
    </w:lvl>
    <w:lvl w:ilvl="7" w:tentative="0">
      <w:start w:val="0"/>
      <w:numFmt w:val="bullet"/>
      <w:lvlText w:val="•"/>
      <w:lvlJc w:val="left"/>
      <w:pPr>
        <w:ind w:left="6974" w:hanging="601"/>
      </w:pPr>
      <w:rPr>
        <w:rFonts w:hint="default"/>
        <w:lang w:val="zh-CN" w:eastAsia="zh-CN" w:bidi="zh-CN"/>
      </w:rPr>
    </w:lvl>
    <w:lvl w:ilvl="8" w:tentative="0">
      <w:start w:val="0"/>
      <w:numFmt w:val="bullet"/>
      <w:lvlText w:val="•"/>
      <w:lvlJc w:val="left"/>
      <w:pPr>
        <w:ind w:left="7785" w:hanging="601"/>
      </w:pPr>
      <w:rPr>
        <w:rFonts w:hint="default"/>
        <w:lang w:val="zh-CN" w:eastAsia="zh-CN" w:bidi="zh-CN"/>
      </w:rPr>
    </w:lvl>
  </w:abstractNum>
  <w:abstractNum w:abstractNumId="34">
    <w:nsid w:val="01836A6D"/>
    <w:multiLevelType w:val="multilevel"/>
    <w:tmpl w:val="01836A6D"/>
    <w:lvl w:ilvl="0" w:tentative="0">
      <w:start w:val="1"/>
      <w:numFmt w:val="decimal"/>
      <w:lvlText w:val="（%1）"/>
      <w:lvlJc w:val="left"/>
      <w:pPr>
        <w:ind w:left="384" w:hanging="601"/>
      </w:pPr>
      <w:rPr>
        <w:rFonts w:hint="default" w:ascii="宋体" w:hAnsi="宋体" w:eastAsia="宋体" w:cs="宋体"/>
        <w:spacing w:val="-1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5">
    <w:nsid w:val="01D7E1C7"/>
    <w:multiLevelType w:val="multilevel"/>
    <w:tmpl w:val="01D7E1C7"/>
    <w:lvl w:ilvl="0" w:tentative="0">
      <w:start w:val="1"/>
      <w:numFmt w:val="decimal"/>
      <w:lvlText w:val="（%1）"/>
      <w:lvlJc w:val="left"/>
      <w:pPr>
        <w:ind w:left="384" w:hanging="601"/>
      </w:pPr>
      <w:rPr>
        <w:rFonts w:hint="default" w:ascii="宋体" w:hAnsi="宋体" w:eastAsia="宋体" w:cs="宋体"/>
        <w:spacing w:val="-10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6">
    <w:nsid w:val="07F5BCC3"/>
    <w:multiLevelType w:val="multilevel"/>
    <w:tmpl w:val="07F5BCC3"/>
    <w:lvl w:ilvl="0" w:tentative="0">
      <w:start w:val="1"/>
      <w:numFmt w:val="decimal"/>
      <w:lvlText w:val="（%1）"/>
      <w:lvlJc w:val="left"/>
      <w:pPr>
        <w:ind w:left="384" w:hanging="601"/>
      </w:pPr>
      <w:rPr>
        <w:rFonts w:hint="default" w:ascii="宋体" w:hAnsi="宋体" w:eastAsia="宋体" w:cs="宋体"/>
        <w:spacing w:val="-22"/>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7">
    <w:nsid w:val="0C0E1E13"/>
    <w:multiLevelType w:val="multilevel"/>
    <w:tmpl w:val="0C0E1E13"/>
    <w:lvl w:ilvl="0" w:tentative="0">
      <w:start w:val="1"/>
      <w:numFmt w:val="decimal"/>
      <w:lvlText w:val="(%1)"/>
      <w:lvlJc w:val="left"/>
      <w:pPr>
        <w:ind w:left="1144" w:hanging="281"/>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978" w:hanging="281"/>
      </w:pPr>
      <w:rPr>
        <w:rFonts w:hint="default"/>
        <w:lang w:val="zh-CN" w:eastAsia="zh-CN" w:bidi="zh-CN"/>
      </w:rPr>
    </w:lvl>
    <w:lvl w:ilvl="2" w:tentative="0">
      <w:start w:val="0"/>
      <w:numFmt w:val="bullet"/>
      <w:lvlText w:val="•"/>
      <w:lvlJc w:val="left"/>
      <w:pPr>
        <w:ind w:left="2817" w:hanging="281"/>
      </w:pPr>
      <w:rPr>
        <w:rFonts w:hint="default"/>
        <w:lang w:val="zh-CN" w:eastAsia="zh-CN" w:bidi="zh-CN"/>
      </w:rPr>
    </w:lvl>
    <w:lvl w:ilvl="3" w:tentative="0">
      <w:start w:val="0"/>
      <w:numFmt w:val="bullet"/>
      <w:lvlText w:val="•"/>
      <w:lvlJc w:val="left"/>
      <w:pPr>
        <w:ind w:left="3656" w:hanging="281"/>
      </w:pPr>
      <w:rPr>
        <w:rFonts w:hint="default"/>
        <w:lang w:val="zh-CN" w:eastAsia="zh-CN" w:bidi="zh-CN"/>
      </w:rPr>
    </w:lvl>
    <w:lvl w:ilvl="4" w:tentative="0">
      <w:start w:val="0"/>
      <w:numFmt w:val="bullet"/>
      <w:lvlText w:val="•"/>
      <w:lvlJc w:val="left"/>
      <w:pPr>
        <w:ind w:left="4494" w:hanging="281"/>
      </w:pPr>
      <w:rPr>
        <w:rFonts w:hint="default"/>
        <w:lang w:val="zh-CN" w:eastAsia="zh-CN" w:bidi="zh-CN"/>
      </w:rPr>
    </w:lvl>
    <w:lvl w:ilvl="5" w:tentative="0">
      <w:start w:val="0"/>
      <w:numFmt w:val="bullet"/>
      <w:lvlText w:val="•"/>
      <w:lvlJc w:val="left"/>
      <w:pPr>
        <w:ind w:left="5333" w:hanging="281"/>
      </w:pPr>
      <w:rPr>
        <w:rFonts w:hint="default"/>
        <w:lang w:val="zh-CN" w:eastAsia="zh-CN" w:bidi="zh-CN"/>
      </w:rPr>
    </w:lvl>
    <w:lvl w:ilvl="6" w:tentative="0">
      <w:start w:val="0"/>
      <w:numFmt w:val="bullet"/>
      <w:lvlText w:val="•"/>
      <w:lvlJc w:val="left"/>
      <w:pPr>
        <w:ind w:left="6172" w:hanging="281"/>
      </w:pPr>
      <w:rPr>
        <w:rFonts w:hint="default"/>
        <w:lang w:val="zh-CN" w:eastAsia="zh-CN" w:bidi="zh-CN"/>
      </w:rPr>
    </w:lvl>
    <w:lvl w:ilvl="7" w:tentative="0">
      <w:start w:val="0"/>
      <w:numFmt w:val="bullet"/>
      <w:lvlText w:val="•"/>
      <w:lvlJc w:val="left"/>
      <w:pPr>
        <w:ind w:left="7010" w:hanging="281"/>
      </w:pPr>
      <w:rPr>
        <w:rFonts w:hint="default"/>
        <w:lang w:val="zh-CN" w:eastAsia="zh-CN" w:bidi="zh-CN"/>
      </w:rPr>
    </w:lvl>
    <w:lvl w:ilvl="8" w:tentative="0">
      <w:start w:val="0"/>
      <w:numFmt w:val="bullet"/>
      <w:lvlText w:val="•"/>
      <w:lvlJc w:val="left"/>
      <w:pPr>
        <w:ind w:left="7849" w:hanging="281"/>
      </w:pPr>
      <w:rPr>
        <w:rFonts w:hint="default"/>
        <w:lang w:val="zh-CN" w:eastAsia="zh-CN" w:bidi="zh-CN"/>
      </w:rPr>
    </w:lvl>
  </w:abstractNum>
  <w:abstractNum w:abstractNumId="38">
    <w:nsid w:val="0DC629B0"/>
    <w:multiLevelType w:val="multilevel"/>
    <w:tmpl w:val="0DC629B0"/>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9">
    <w:nsid w:val="10F0DB0B"/>
    <w:multiLevelType w:val="multilevel"/>
    <w:tmpl w:val="10F0DB0B"/>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40">
    <w:nsid w:val="2007DCFD"/>
    <w:multiLevelType w:val="multilevel"/>
    <w:tmpl w:val="2007DCFD"/>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41">
    <w:nsid w:val="251342A6"/>
    <w:multiLevelType w:val="multilevel"/>
    <w:tmpl w:val="251342A6"/>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42">
    <w:nsid w:val="252BF6AB"/>
    <w:multiLevelType w:val="multilevel"/>
    <w:tmpl w:val="252BF6AB"/>
    <w:lvl w:ilvl="0" w:tentative="0">
      <w:start w:val="1"/>
      <w:numFmt w:val="decimal"/>
      <w:lvlText w:val="%1."/>
      <w:lvlJc w:val="left"/>
      <w:pPr>
        <w:ind w:left="994" w:hanging="181"/>
        <w:jc w:val="right"/>
      </w:pPr>
      <w:rPr>
        <w:rFonts w:hint="default" w:ascii="Times New Roman" w:hAnsi="Times New Roman" w:eastAsia="Times New Roman" w:cs="Times New Roman"/>
        <w:w w:val="100"/>
        <w:sz w:val="22"/>
        <w:szCs w:val="22"/>
        <w:lang w:val="zh-CN" w:eastAsia="zh-CN" w:bidi="zh-CN"/>
      </w:rPr>
    </w:lvl>
    <w:lvl w:ilvl="1" w:tentative="0">
      <w:start w:val="1"/>
      <w:numFmt w:val="decimal"/>
      <w:lvlText w:val="%1.%2"/>
      <w:lvlJc w:val="left"/>
      <w:pPr>
        <w:ind w:left="1113" w:hanging="420"/>
      </w:pPr>
      <w:rPr>
        <w:rFonts w:hint="default" w:ascii="Times New Roman" w:hAnsi="Times New Roman" w:eastAsia="Times New Roman" w:cs="Times New Roman"/>
        <w:w w:val="100"/>
        <w:sz w:val="24"/>
        <w:szCs w:val="24"/>
        <w:lang w:val="zh-CN" w:eastAsia="zh-CN" w:bidi="zh-CN"/>
      </w:rPr>
    </w:lvl>
    <w:lvl w:ilvl="2" w:tentative="0">
      <w:start w:val="0"/>
      <w:numFmt w:val="bullet"/>
      <w:lvlText w:val="•"/>
      <w:lvlJc w:val="left"/>
      <w:pPr>
        <w:ind w:left="2054" w:hanging="420"/>
      </w:pPr>
      <w:rPr>
        <w:rFonts w:hint="default"/>
        <w:lang w:val="zh-CN" w:eastAsia="zh-CN" w:bidi="zh-CN"/>
      </w:rPr>
    </w:lvl>
    <w:lvl w:ilvl="3" w:tentative="0">
      <w:start w:val="0"/>
      <w:numFmt w:val="bullet"/>
      <w:lvlText w:val="•"/>
      <w:lvlJc w:val="left"/>
      <w:pPr>
        <w:ind w:left="2988" w:hanging="420"/>
      </w:pPr>
      <w:rPr>
        <w:rFonts w:hint="default"/>
        <w:lang w:val="zh-CN" w:eastAsia="zh-CN" w:bidi="zh-CN"/>
      </w:rPr>
    </w:lvl>
    <w:lvl w:ilvl="4" w:tentative="0">
      <w:start w:val="0"/>
      <w:numFmt w:val="bullet"/>
      <w:lvlText w:val="•"/>
      <w:lvlJc w:val="left"/>
      <w:pPr>
        <w:ind w:left="3922" w:hanging="420"/>
      </w:pPr>
      <w:rPr>
        <w:rFonts w:hint="default"/>
        <w:lang w:val="zh-CN" w:eastAsia="zh-CN" w:bidi="zh-CN"/>
      </w:rPr>
    </w:lvl>
    <w:lvl w:ilvl="5" w:tentative="0">
      <w:start w:val="0"/>
      <w:numFmt w:val="bullet"/>
      <w:lvlText w:val="•"/>
      <w:lvlJc w:val="left"/>
      <w:pPr>
        <w:ind w:left="4856" w:hanging="420"/>
      </w:pPr>
      <w:rPr>
        <w:rFonts w:hint="default"/>
        <w:lang w:val="zh-CN" w:eastAsia="zh-CN" w:bidi="zh-CN"/>
      </w:rPr>
    </w:lvl>
    <w:lvl w:ilvl="6" w:tentative="0">
      <w:start w:val="0"/>
      <w:numFmt w:val="bullet"/>
      <w:lvlText w:val="•"/>
      <w:lvlJc w:val="left"/>
      <w:pPr>
        <w:ind w:left="5790" w:hanging="420"/>
      </w:pPr>
      <w:rPr>
        <w:rFonts w:hint="default"/>
        <w:lang w:val="zh-CN" w:eastAsia="zh-CN" w:bidi="zh-CN"/>
      </w:rPr>
    </w:lvl>
    <w:lvl w:ilvl="7" w:tentative="0">
      <w:start w:val="0"/>
      <w:numFmt w:val="bullet"/>
      <w:lvlText w:val="•"/>
      <w:lvlJc w:val="left"/>
      <w:pPr>
        <w:ind w:left="6724" w:hanging="420"/>
      </w:pPr>
      <w:rPr>
        <w:rFonts w:hint="default"/>
        <w:lang w:val="zh-CN" w:eastAsia="zh-CN" w:bidi="zh-CN"/>
      </w:rPr>
    </w:lvl>
    <w:lvl w:ilvl="8" w:tentative="0">
      <w:start w:val="0"/>
      <w:numFmt w:val="bullet"/>
      <w:lvlText w:val="•"/>
      <w:lvlJc w:val="left"/>
      <w:pPr>
        <w:ind w:left="7658" w:hanging="420"/>
      </w:pPr>
      <w:rPr>
        <w:rFonts w:hint="default"/>
        <w:lang w:val="zh-CN" w:eastAsia="zh-CN" w:bidi="zh-CN"/>
      </w:rPr>
    </w:lvl>
  </w:abstractNum>
  <w:abstractNum w:abstractNumId="43">
    <w:nsid w:val="2A8F537B"/>
    <w:multiLevelType w:val="multilevel"/>
    <w:tmpl w:val="2A8F537B"/>
    <w:lvl w:ilvl="0" w:tentative="0">
      <w:start w:val="1"/>
      <w:numFmt w:val="decimal"/>
      <w:lvlText w:val="%1"/>
      <w:lvlJc w:val="left"/>
      <w:pPr>
        <w:ind w:left="728" w:hanging="209"/>
      </w:pPr>
      <w:rPr>
        <w:rFonts w:hint="default" w:ascii="宋体" w:hAnsi="宋体" w:eastAsia="宋体" w:cs="宋体"/>
        <w:w w:val="99"/>
        <w:sz w:val="21"/>
        <w:szCs w:val="21"/>
        <w:lang w:val="zh-CN" w:eastAsia="zh-CN" w:bidi="zh-CN"/>
      </w:rPr>
    </w:lvl>
    <w:lvl w:ilvl="1" w:tentative="0">
      <w:start w:val="1"/>
      <w:numFmt w:val="decimal"/>
      <w:lvlText w:val="%2."/>
      <w:lvlJc w:val="left"/>
      <w:pPr>
        <w:ind w:left="1041" w:hanging="181"/>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1911" w:hanging="181"/>
      </w:pPr>
      <w:rPr>
        <w:rFonts w:hint="default"/>
        <w:lang w:val="zh-CN" w:eastAsia="zh-CN" w:bidi="zh-CN"/>
      </w:rPr>
    </w:lvl>
    <w:lvl w:ilvl="3" w:tentative="0">
      <w:start w:val="0"/>
      <w:numFmt w:val="bullet"/>
      <w:lvlText w:val="•"/>
      <w:lvlJc w:val="left"/>
      <w:pPr>
        <w:ind w:left="2782" w:hanging="181"/>
      </w:pPr>
      <w:rPr>
        <w:rFonts w:hint="default"/>
        <w:lang w:val="zh-CN" w:eastAsia="zh-CN" w:bidi="zh-CN"/>
      </w:rPr>
    </w:lvl>
    <w:lvl w:ilvl="4" w:tentative="0">
      <w:start w:val="0"/>
      <w:numFmt w:val="bullet"/>
      <w:lvlText w:val="•"/>
      <w:lvlJc w:val="left"/>
      <w:pPr>
        <w:ind w:left="3653" w:hanging="181"/>
      </w:pPr>
      <w:rPr>
        <w:rFonts w:hint="default"/>
        <w:lang w:val="zh-CN" w:eastAsia="zh-CN" w:bidi="zh-CN"/>
      </w:rPr>
    </w:lvl>
    <w:lvl w:ilvl="5" w:tentative="0">
      <w:start w:val="0"/>
      <w:numFmt w:val="bullet"/>
      <w:lvlText w:val="•"/>
      <w:lvlJc w:val="left"/>
      <w:pPr>
        <w:ind w:left="4524" w:hanging="181"/>
      </w:pPr>
      <w:rPr>
        <w:rFonts w:hint="default"/>
        <w:lang w:val="zh-CN" w:eastAsia="zh-CN" w:bidi="zh-CN"/>
      </w:rPr>
    </w:lvl>
    <w:lvl w:ilvl="6" w:tentative="0">
      <w:start w:val="0"/>
      <w:numFmt w:val="bullet"/>
      <w:lvlText w:val="•"/>
      <w:lvlJc w:val="left"/>
      <w:pPr>
        <w:ind w:left="5395" w:hanging="181"/>
      </w:pPr>
      <w:rPr>
        <w:rFonts w:hint="default"/>
        <w:lang w:val="zh-CN" w:eastAsia="zh-CN" w:bidi="zh-CN"/>
      </w:rPr>
    </w:lvl>
    <w:lvl w:ilvl="7" w:tentative="0">
      <w:start w:val="0"/>
      <w:numFmt w:val="bullet"/>
      <w:lvlText w:val="•"/>
      <w:lvlJc w:val="left"/>
      <w:pPr>
        <w:ind w:left="6266" w:hanging="181"/>
      </w:pPr>
      <w:rPr>
        <w:rFonts w:hint="default"/>
        <w:lang w:val="zh-CN" w:eastAsia="zh-CN" w:bidi="zh-CN"/>
      </w:rPr>
    </w:lvl>
    <w:lvl w:ilvl="8" w:tentative="0">
      <w:start w:val="0"/>
      <w:numFmt w:val="bullet"/>
      <w:lvlText w:val="•"/>
      <w:lvlJc w:val="left"/>
      <w:pPr>
        <w:ind w:left="7137" w:hanging="181"/>
      </w:pPr>
      <w:rPr>
        <w:rFonts w:hint="default"/>
        <w:lang w:val="zh-CN" w:eastAsia="zh-CN" w:bidi="zh-CN"/>
      </w:rPr>
    </w:lvl>
  </w:abstractNum>
  <w:abstractNum w:abstractNumId="44">
    <w:nsid w:val="2B3F3F89"/>
    <w:multiLevelType w:val="multilevel"/>
    <w:tmpl w:val="2B3F3F89"/>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45">
    <w:nsid w:val="2B6B1DF2"/>
    <w:multiLevelType w:val="singleLevel"/>
    <w:tmpl w:val="2B6B1DF2"/>
    <w:lvl w:ilvl="0" w:tentative="0">
      <w:start w:val="4"/>
      <w:numFmt w:val="chineseCounting"/>
      <w:suff w:val="nothing"/>
      <w:lvlText w:val="%1、"/>
      <w:lvlJc w:val="left"/>
      <w:rPr>
        <w:rFonts w:hint="eastAsia"/>
      </w:rPr>
    </w:lvl>
  </w:abstractNum>
  <w:abstractNum w:abstractNumId="46">
    <w:nsid w:val="3227A8EE"/>
    <w:multiLevelType w:val="singleLevel"/>
    <w:tmpl w:val="3227A8EE"/>
    <w:lvl w:ilvl="0" w:tentative="0">
      <w:start w:val="8"/>
      <w:numFmt w:val="chineseCounting"/>
      <w:suff w:val="nothing"/>
      <w:lvlText w:val="%1、"/>
      <w:lvlJc w:val="left"/>
      <w:rPr>
        <w:rFonts w:hint="eastAsia"/>
      </w:rPr>
    </w:lvl>
  </w:abstractNum>
  <w:abstractNum w:abstractNumId="47">
    <w:nsid w:val="38EAC418"/>
    <w:multiLevelType w:val="multilevel"/>
    <w:tmpl w:val="38EAC418"/>
    <w:lvl w:ilvl="0" w:tentative="0">
      <w:start w:val="1"/>
      <w:numFmt w:val="decimal"/>
      <w:lvlText w:val="%1."/>
      <w:lvlJc w:val="left"/>
      <w:pPr>
        <w:ind w:left="1045"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888" w:hanging="181"/>
      </w:pPr>
      <w:rPr>
        <w:rFonts w:hint="default"/>
        <w:lang w:val="zh-CN" w:eastAsia="zh-CN" w:bidi="zh-CN"/>
      </w:rPr>
    </w:lvl>
    <w:lvl w:ilvl="2" w:tentative="0">
      <w:start w:val="0"/>
      <w:numFmt w:val="bullet"/>
      <w:lvlText w:val="•"/>
      <w:lvlJc w:val="left"/>
      <w:pPr>
        <w:ind w:left="2737" w:hanging="181"/>
      </w:pPr>
      <w:rPr>
        <w:rFonts w:hint="default"/>
        <w:lang w:val="zh-CN" w:eastAsia="zh-CN" w:bidi="zh-CN"/>
      </w:rPr>
    </w:lvl>
    <w:lvl w:ilvl="3" w:tentative="0">
      <w:start w:val="0"/>
      <w:numFmt w:val="bullet"/>
      <w:lvlText w:val="•"/>
      <w:lvlJc w:val="left"/>
      <w:pPr>
        <w:ind w:left="3586" w:hanging="181"/>
      </w:pPr>
      <w:rPr>
        <w:rFonts w:hint="default"/>
        <w:lang w:val="zh-CN" w:eastAsia="zh-CN" w:bidi="zh-CN"/>
      </w:rPr>
    </w:lvl>
    <w:lvl w:ilvl="4" w:tentative="0">
      <w:start w:val="0"/>
      <w:numFmt w:val="bullet"/>
      <w:lvlText w:val="•"/>
      <w:lvlJc w:val="left"/>
      <w:pPr>
        <w:ind w:left="4434" w:hanging="181"/>
      </w:pPr>
      <w:rPr>
        <w:rFonts w:hint="default"/>
        <w:lang w:val="zh-CN" w:eastAsia="zh-CN" w:bidi="zh-CN"/>
      </w:rPr>
    </w:lvl>
    <w:lvl w:ilvl="5" w:tentative="0">
      <w:start w:val="0"/>
      <w:numFmt w:val="bullet"/>
      <w:lvlText w:val="•"/>
      <w:lvlJc w:val="left"/>
      <w:pPr>
        <w:ind w:left="5283" w:hanging="181"/>
      </w:pPr>
      <w:rPr>
        <w:rFonts w:hint="default"/>
        <w:lang w:val="zh-CN" w:eastAsia="zh-CN" w:bidi="zh-CN"/>
      </w:rPr>
    </w:lvl>
    <w:lvl w:ilvl="6" w:tentative="0">
      <w:start w:val="0"/>
      <w:numFmt w:val="bullet"/>
      <w:lvlText w:val="•"/>
      <w:lvlJc w:val="left"/>
      <w:pPr>
        <w:ind w:left="6132" w:hanging="181"/>
      </w:pPr>
      <w:rPr>
        <w:rFonts w:hint="default"/>
        <w:lang w:val="zh-CN" w:eastAsia="zh-CN" w:bidi="zh-CN"/>
      </w:rPr>
    </w:lvl>
    <w:lvl w:ilvl="7" w:tentative="0">
      <w:start w:val="0"/>
      <w:numFmt w:val="bullet"/>
      <w:lvlText w:val="•"/>
      <w:lvlJc w:val="left"/>
      <w:pPr>
        <w:ind w:left="6980" w:hanging="181"/>
      </w:pPr>
      <w:rPr>
        <w:rFonts w:hint="default"/>
        <w:lang w:val="zh-CN" w:eastAsia="zh-CN" w:bidi="zh-CN"/>
      </w:rPr>
    </w:lvl>
    <w:lvl w:ilvl="8" w:tentative="0">
      <w:start w:val="0"/>
      <w:numFmt w:val="bullet"/>
      <w:lvlText w:val="•"/>
      <w:lvlJc w:val="left"/>
      <w:pPr>
        <w:ind w:left="7829" w:hanging="181"/>
      </w:pPr>
      <w:rPr>
        <w:rFonts w:hint="default"/>
        <w:lang w:val="zh-CN" w:eastAsia="zh-CN" w:bidi="zh-CN"/>
      </w:rPr>
    </w:lvl>
  </w:abstractNum>
  <w:abstractNum w:abstractNumId="48">
    <w:nsid w:val="3A7FBA26"/>
    <w:multiLevelType w:val="multilevel"/>
    <w:tmpl w:val="3A7FBA26"/>
    <w:lvl w:ilvl="0" w:tentative="0">
      <w:start w:val="1"/>
      <w:numFmt w:val="decimal"/>
      <w:lvlText w:val="（%1）"/>
      <w:lvlJc w:val="left"/>
      <w:pPr>
        <w:ind w:left="384" w:hanging="604"/>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1294" w:hanging="604"/>
      </w:pPr>
      <w:rPr>
        <w:rFonts w:hint="default"/>
        <w:lang w:val="zh-CN" w:eastAsia="zh-CN" w:bidi="zh-CN"/>
      </w:rPr>
    </w:lvl>
    <w:lvl w:ilvl="2" w:tentative="0">
      <w:start w:val="0"/>
      <w:numFmt w:val="bullet"/>
      <w:lvlText w:val="•"/>
      <w:lvlJc w:val="left"/>
      <w:pPr>
        <w:ind w:left="2209" w:hanging="604"/>
      </w:pPr>
      <w:rPr>
        <w:rFonts w:hint="default"/>
        <w:lang w:val="zh-CN" w:eastAsia="zh-CN" w:bidi="zh-CN"/>
      </w:rPr>
    </w:lvl>
    <w:lvl w:ilvl="3" w:tentative="0">
      <w:start w:val="0"/>
      <w:numFmt w:val="bullet"/>
      <w:lvlText w:val="•"/>
      <w:lvlJc w:val="left"/>
      <w:pPr>
        <w:ind w:left="3124" w:hanging="604"/>
      </w:pPr>
      <w:rPr>
        <w:rFonts w:hint="default"/>
        <w:lang w:val="zh-CN" w:eastAsia="zh-CN" w:bidi="zh-CN"/>
      </w:rPr>
    </w:lvl>
    <w:lvl w:ilvl="4" w:tentative="0">
      <w:start w:val="0"/>
      <w:numFmt w:val="bullet"/>
      <w:lvlText w:val="•"/>
      <w:lvlJc w:val="left"/>
      <w:pPr>
        <w:ind w:left="4038" w:hanging="604"/>
      </w:pPr>
      <w:rPr>
        <w:rFonts w:hint="default"/>
        <w:lang w:val="zh-CN" w:eastAsia="zh-CN" w:bidi="zh-CN"/>
      </w:rPr>
    </w:lvl>
    <w:lvl w:ilvl="5" w:tentative="0">
      <w:start w:val="0"/>
      <w:numFmt w:val="bullet"/>
      <w:lvlText w:val="•"/>
      <w:lvlJc w:val="left"/>
      <w:pPr>
        <w:ind w:left="4953" w:hanging="604"/>
      </w:pPr>
      <w:rPr>
        <w:rFonts w:hint="default"/>
        <w:lang w:val="zh-CN" w:eastAsia="zh-CN" w:bidi="zh-CN"/>
      </w:rPr>
    </w:lvl>
    <w:lvl w:ilvl="6" w:tentative="0">
      <w:start w:val="0"/>
      <w:numFmt w:val="bullet"/>
      <w:lvlText w:val="•"/>
      <w:lvlJc w:val="left"/>
      <w:pPr>
        <w:ind w:left="5868" w:hanging="604"/>
      </w:pPr>
      <w:rPr>
        <w:rFonts w:hint="default"/>
        <w:lang w:val="zh-CN" w:eastAsia="zh-CN" w:bidi="zh-CN"/>
      </w:rPr>
    </w:lvl>
    <w:lvl w:ilvl="7" w:tentative="0">
      <w:start w:val="0"/>
      <w:numFmt w:val="bullet"/>
      <w:lvlText w:val="•"/>
      <w:lvlJc w:val="left"/>
      <w:pPr>
        <w:ind w:left="6782" w:hanging="604"/>
      </w:pPr>
      <w:rPr>
        <w:rFonts w:hint="default"/>
        <w:lang w:val="zh-CN" w:eastAsia="zh-CN" w:bidi="zh-CN"/>
      </w:rPr>
    </w:lvl>
    <w:lvl w:ilvl="8" w:tentative="0">
      <w:start w:val="0"/>
      <w:numFmt w:val="bullet"/>
      <w:lvlText w:val="•"/>
      <w:lvlJc w:val="left"/>
      <w:pPr>
        <w:ind w:left="7697" w:hanging="604"/>
      </w:pPr>
      <w:rPr>
        <w:rFonts w:hint="default"/>
        <w:lang w:val="zh-CN" w:eastAsia="zh-CN" w:bidi="zh-CN"/>
      </w:rPr>
    </w:lvl>
  </w:abstractNum>
  <w:abstractNum w:abstractNumId="49">
    <w:nsid w:val="3D950AF9"/>
    <w:multiLevelType w:val="multilevel"/>
    <w:tmpl w:val="3D950AF9"/>
    <w:lvl w:ilvl="0" w:tentative="0">
      <w:start w:val="1"/>
      <w:numFmt w:val="decimal"/>
      <w:lvlText w:val="%1."/>
      <w:lvlJc w:val="left"/>
      <w:pPr>
        <w:ind w:left="1041"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876" w:hanging="181"/>
      </w:pPr>
      <w:rPr>
        <w:rFonts w:hint="default"/>
        <w:lang w:val="zh-CN" w:eastAsia="zh-CN" w:bidi="zh-CN"/>
      </w:rPr>
    </w:lvl>
    <w:lvl w:ilvl="2" w:tentative="0">
      <w:start w:val="0"/>
      <w:numFmt w:val="bullet"/>
      <w:lvlText w:val="•"/>
      <w:lvlJc w:val="left"/>
      <w:pPr>
        <w:ind w:left="2713" w:hanging="181"/>
      </w:pPr>
      <w:rPr>
        <w:rFonts w:hint="default"/>
        <w:lang w:val="zh-CN" w:eastAsia="zh-CN" w:bidi="zh-CN"/>
      </w:rPr>
    </w:lvl>
    <w:lvl w:ilvl="3" w:tentative="0">
      <w:start w:val="0"/>
      <w:numFmt w:val="bullet"/>
      <w:lvlText w:val="•"/>
      <w:lvlJc w:val="left"/>
      <w:pPr>
        <w:ind w:left="3550" w:hanging="181"/>
      </w:pPr>
      <w:rPr>
        <w:rFonts w:hint="default"/>
        <w:lang w:val="zh-CN" w:eastAsia="zh-CN" w:bidi="zh-CN"/>
      </w:rPr>
    </w:lvl>
    <w:lvl w:ilvl="4" w:tentative="0">
      <w:start w:val="0"/>
      <w:numFmt w:val="bullet"/>
      <w:lvlText w:val="•"/>
      <w:lvlJc w:val="left"/>
      <w:pPr>
        <w:ind w:left="4386" w:hanging="181"/>
      </w:pPr>
      <w:rPr>
        <w:rFonts w:hint="default"/>
        <w:lang w:val="zh-CN" w:eastAsia="zh-CN" w:bidi="zh-CN"/>
      </w:rPr>
    </w:lvl>
    <w:lvl w:ilvl="5" w:tentative="0">
      <w:start w:val="0"/>
      <w:numFmt w:val="bullet"/>
      <w:lvlText w:val="•"/>
      <w:lvlJc w:val="left"/>
      <w:pPr>
        <w:ind w:left="5223" w:hanging="181"/>
      </w:pPr>
      <w:rPr>
        <w:rFonts w:hint="default"/>
        <w:lang w:val="zh-CN" w:eastAsia="zh-CN" w:bidi="zh-CN"/>
      </w:rPr>
    </w:lvl>
    <w:lvl w:ilvl="6" w:tentative="0">
      <w:start w:val="0"/>
      <w:numFmt w:val="bullet"/>
      <w:lvlText w:val="•"/>
      <w:lvlJc w:val="left"/>
      <w:pPr>
        <w:ind w:left="6060" w:hanging="181"/>
      </w:pPr>
      <w:rPr>
        <w:rFonts w:hint="default"/>
        <w:lang w:val="zh-CN" w:eastAsia="zh-CN" w:bidi="zh-CN"/>
      </w:rPr>
    </w:lvl>
    <w:lvl w:ilvl="7" w:tentative="0">
      <w:start w:val="0"/>
      <w:numFmt w:val="bullet"/>
      <w:lvlText w:val="•"/>
      <w:lvlJc w:val="left"/>
      <w:pPr>
        <w:ind w:left="6896" w:hanging="181"/>
      </w:pPr>
      <w:rPr>
        <w:rFonts w:hint="default"/>
        <w:lang w:val="zh-CN" w:eastAsia="zh-CN" w:bidi="zh-CN"/>
      </w:rPr>
    </w:lvl>
    <w:lvl w:ilvl="8" w:tentative="0">
      <w:start w:val="0"/>
      <w:numFmt w:val="bullet"/>
      <w:lvlText w:val="•"/>
      <w:lvlJc w:val="left"/>
      <w:pPr>
        <w:ind w:left="7733" w:hanging="181"/>
      </w:pPr>
      <w:rPr>
        <w:rFonts w:hint="default"/>
        <w:lang w:val="zh-CN" w:eastAsia="zh-CN" w:bidi="zh-CN"/>
      </w:rPr>
    </w:lvl>
  </w:abstractNum>
  <w:abstractNum w:abstractNumId="50">
    <w:nsid w:val="3FE315B6"/>
    <w:multiLevelType w:val="multilevel"/>
    <w:tmpl w:val="3FE315B6"/>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51">
    <w:nsid w:val="40F245EA"/>
    <w:multiLevelType w:val="multilevel"/>
    <w:tmpl w:val="40F245EA"/>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52">
    <w:nsid w:val="4258023A"/>
    <w:multiLevelType w:val="multilevel"/>
    <w:tmpl w:val="4258023A"/>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53">
    <w:nsid w:val="4A51D704"/>
    <w:multiLevelType w:val="multilevel"/>
    <w:tmpl w:val="4A51D704"/>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54">
    <w:nsid w:val="4AD1D84F"/>
    <w:multiLevelType w:val="multilevel"/>
    <w:tmpl w:val="4AD1D84F"/>
    <w:lvl w:ilvl="0" w:tentative="0">
      <w:start w:val="1"/>
      <w:numFmt w:val="decimal"/>
      <w:lvlText w:val="%1"/>
      <w:lvlJc w:val="left"/>
      <w:pPr>
        <w:ind w:left="213" w:hanging="420"/>
      </w:pPr>
      <w:rPr>
        <w:rFonts w:hint="default"/>
        <w:lang w:val="zh-CN" w:eastAsia="zh-CN" w:bidi="zh-CN"/>
      </w:rPr>
    </w:lvl>
    <w:lvl w:ilvl="1" w:tentative="0">
      <w:start w:val="1"/>
      <w:numFmt w:val="decimal"/>
      <w:lvlText w:val="%1.%2"/>
      <w:lvlJc w:val="left"/>
      <w:pPr>
        <w:ind w:left="213" w:hanging="420"/>
      </w:pPr>
      <w:rPr>
        <w:rFonts w:hint="default" w:ascii="Times New Roman" w:hAnsi="Times New Roman" w:eastAsia="Times New Roman" w:cs="Times New Roman"/>
        <w:spacing w:val="-17"/>
        <w:w w:val="100"/>
        <w:sz w:val="24"/>
        <w:szCs w:val="24"/>
        <w:lang w:val="zh-CN" w:eastAsia="zh-CN" w:bidi="zh-CN"/>
      </w:rPr>
    </w:lvl>
    <w:lvl w:ilvl="2" w:tentative="0">
      <w:start w:val="0"/>
      <w:numFmt w:val="bullet"/>
      <w:lvlText w:val="•"/>
      <w:lvlJc w:val="left"/>
      <w:pPr>
        <w:ind w:left="2081" w:hanging="420"/>
      </w:pPr>
      <w:rPr>
        <w:rFonts w:hint="default"/>
        <w:lang w:val="zh-CN" w:eastAsia="zh-CN" w:bidi="zh-CN"/>
      </w:rPr>
    </w:lvl>
    <w:lvl w:ilvl="3" w:tentative="0">
      <w:start w:val="0"/>
      <w:numFmt w:val="bullet"/>
      <w:lvlText w:val="•"/>
      <w:lvlJc w:val="left"/>
      <w:pPr>
        <w:ind w:left="3012" w:hanging="420"/>
      </w:pPr>
      <w:rPr>
        <w:rFonts w:hint="default"/>
        <w:lang w:val="zh-CN" w:eastAsia="zh-CN" w:bidi="zh-CN"/>
      </w:rPr>
    </w:lvl>
    <w:lvl w:ilvl="4" w:tentative="0">
      <w:start w:val="0"/>
      <w:numFmt w:val="bullet"/>
      <w:lvlText w:val="•"/>
      <w:lvlJc w:val="left"/>
      <w:pPr>
        <w:ind w:left="3942" w:hanging="420"/>
      </w:pPr>
      <w:rPr>
        <w:rFonts w:hint="default"/>
        <w:lang w:val="zh-CN" w:eastAsia="zh-CN" w:bidi="zh-CN"/>
      </w:rPr>
    </w:lvl>
    <w:lvl w:ilvl="5" w:tentative="0">
      <w:start w:val="0"/>
      <w:numFmt w:val="bullet"/>
      <w:lvlText w:val="•"/>
      <w:lvlJc w:val="left"/>
      <w:pPr>
        <w:ind w:left="4873" w:hanging="420"/>
      </w:pPr>
      <w:rPr>
        <w:rFonts w:hint="default"/>
        <w:lang w:val="zh-CN" w:eastAsia="zh-CN" w:bidi="zh-CN"/>
      </w:rPr>
    </w:lvl>
    <w:lvl w:ilvl="6" w:tentative="0">
      <w:start w:val="0"/>
      <w:numFmt w:val="bullet"/>
      <w:lvlText w:val="•"/>
      <w:lvlJc w:val="left"/>
      <w:pPr>
        <w:ind w:left="5804" w:hanging="420"/>
      </w:pPr>
      <w:rPr>
        <w:rFonts w:hint="default"/>
        <w:lang w:val="zh-CN" w:eastAsia="zh-CN" w:bidi="zh-CN"/>
      </w:rPr>
    </w:lvl>
    <w:lvl w:ilvl="7" w:tentative="0">
      <w:start w:val="0"/>
      <w:numFmt w:val="bullet"/>
      <w:lvlText w:val="•"/>
      <w:lvlJc w:val="left"/>
      <w:pPr>
        <w:ind w:left="6734" w:hanging="420"/>
      </w:pPr>
      <w:rPr>
        <w:rFonts w:hint="default"/>
        <w:lang w:val="zh-CN" w:eastAsia="zh-CN" w:bidi="zh-CN"/>
      </w:rPr>
    </w:lvl>
    <w:lvl w:ilvl="8" w:tentative="0">
      <w:start w:val="0"/>
      <w:numFmt w:val="bullet"/>
      <w:lvlText w:val="•"/>
      <w:lvlJc w:val="left"/>
      <w:pPr>
        <w:ind w:left="7665" w:hanging="420"/>
      </w:pPr>
      <w:rPr>
        <w:rFonts w:hint="default"/>
        <w:lang w:val="zh-CN" w:eastAsia="zh-CN" w:bidi="zh-CN"/>
      </w:rPr>
    </w:lvl>
  </w:abstractNum>
  <w:abstractNum w:abstractNumId="55">
    <w:nsid w:val="4D63189B"/>
    <w:multiLevelType w:val="multilevel"/>
    <w:tmpl w:val="4D63189B"/>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56">
    <w:nsid w:val="4FB438A5"/>
    <w:multiLevelType w:val="multilevel"/>
    <w:tmpl w:val="4FB438A5"/>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57">
    <w:nsid w:val="51C4BC33"/>
    <w:multiLevelType w:val="multilevel"/>
    <w:tmpl w:val="51C4BC33"/>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58">
    <w:nsid w:val="54701CA1"/>
    <w:multiLevelType w:val="multilevel"/>
    <w:tmpl w:val="54701CA1"/>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59">
    <w:nsid w:val="5E82ECBB"/>
    <w:multiLevelType w:val="singleLevel"/>
    <w:tmpl w:val="5E82ECBB"/>
    <w:lvl w:ilvl="0" w:tentative="0">
      <w:start w:val="3"/>
      <w:numFmt w:val="chineseCounting"/>
      <w:suff w:val="nothing"/>
      <w:lvlText w:val="（%1）"/>
      <w:lvlJc w:val="left"/>
      <w:rPr>
        <w:rFonts w:hint="eastAsia"/>
      </w:rPr>
    </w:lvl>
  </w:abstractNum>
  <w:abstractNum w:abstractNumId="60">
    <w:nsid w:val="5FCE4367"/>
    <w:multiLevelType w:val="multilevel"/>
    <w:tmpl w:val="5FCE4367"/>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61">
    <w:nsid w:val="60054CB4"/>
    <w:multiLevelType w:val="multilevel"/>
    <w:tmpl w:val="60054CB4"/>
    <w:lvl w:ilvl="0" w:tentative="0">
      <w:start w:val="1"/>
      <w:numFmt w:val="decimal"/>
      <w:lvlText w:val="%1."/>
      <w:lvlJc w:val="left"/>
      <w:pPr>
        <w:ind w:left="153" w:hanging="361"/>
      </w:pPr>
      <w:rPr>
        <w:rFonts w:hint="default" w:ascii="Times New Roman" w:hAnsi="Times New Roman" w:eastAsia="Times New Roman" w:cs="Times New Roman"/>
        <w:spacing w:val="-34"/>
        <w:w w:val="100"/>
        <w:sz w:val="22"/>
        <w:szCs w:val="22"/>
        <w:lang w:val="zh-CN" w:eastAsia="zh-CN" w:bidi="zh-CN"/>
      </w:rPr>
    </w:lvl>
    <w:lvl w:ilvl="1" w:tentative="0">
      <w:start w:val="0"/>
      <w:numFmt w:val="bullet"/>
      <w:lvlText w:val="•"/>
      <w:lvlJc w:val="left"/>
      <w:pPr>
        <w:ind w:left="980" w:hanging="361"/>
      </w:pPr>
      <w:rPr>
        <w:rFonts w:hint="default"/>
        <w:lang w:val="zh-CN" w:eastAsia="zh-CN" w:bidi="zh-CN"/>
      </w:rPr>
    </w:lvl>
    <w:lvl w:ilvl="2" w:tentative="0">
      <w:start w:val="0"/>
      <w:numFmt w:val="bullet"/>
      <w:lvlText w:val="•"/>
      <w:lvlJc w:val="left"/>
      <w:pPr>
        <w:ind w:left="1945" w:hanging="361"/>
      </w:pPr>
      <w:rPr>
        <w:rFonts w:hint="default"/>
        <w:lang w:val="zh-CN" w:eastAsia="zh-CN" w:bidi="zh-CN"/>
      </w:rPr>
    </w:lvl>
    <w:lvl w:ilvl="3" w:tentative="0">
      <w:start w:val="0"/>
      <w:numFmt w:val="bullet"/>
      <w:lvlText w:val="•"/>
      <w:lvlJc w:val="left"/>
      <w:pPr>
        <w:ind w:left="2910" w:hanging="361"/>
      </w:pPr>
      <w:rPr>
        <w:rFonts w:hint="default"/>
        <w:lang w:val="zh-CN" w:eastAsia="zh-CN" w:bidi="zh-CN"/>
      </w:rPr>
    </w:lvl>
    <w:lvl w:ilvl="4" w:tentative="0">
      <w:start w:val="0"/>
      <w:numFmt w:val="bullet"/>
      <w:lvlText w:val="•"/>
      <w:lvlJc w:val="left"/>
      <w:pPr>
        <w:ind w:left="3875" w:hanging="361"/>
      </w:pPr>
      <w:rPr>
        <w:rFonts w:hint="default"/>
        <w:lang w:val="zh-CN" w:eastAsia="zh-CN" w:bidi="zh-CN"/>
      </w:rPr>
    </w:lvl>
    <w:lvl w:ilvl="5" w:tentative="0">
      <w:start w:val="0"/>
      <w:numFmt w:val="bullet"/>
      <w:lvlText w:val="•"/>
      <w:lvlJc w:val="left"/>
      <w:pPr>
        <w:ind w:left="4840" w:hanging="361"/>
      </w:pPr>
      <w:rPr>
        <w:rFonts w:hint="default"/>
        <w:lang w:val="zh-CN" w:eastAsia="zh-CN" w:bidi="zh-CN"/>
      </w:rPr>
    </w:lvl>
    <w:lvl w:ilvl="6" w:tentative="0">
      <w:start w:val="0"/>
      <w:numFmt w:val="bullet"/>
      <w:lvlText w:val="•"/>
      <w:lvlJc w:val="left"/>
      <w:pPr>
        <w:ind w:left="5805" w:hanging="361"/>
      </w:pPr>
      <w:rPr>
        <w:rFonts w:hint="default"/>
        <w:lang w:val="zh-CN" w:eastAsia="zh-CN" w:bidi="zh-CN"/>
      </w:rPr>
    </w:lvl>
    <w:lvl w:ilvl="7" w:tentative="0">
      <w:start w:val="0"/>
      <w:numFmt w:val="bullet"/>
      <w:lvlText w:val="•"/>
      <w:lvlJc w:val="left"/>
      <w:pPr>
        <w:ind w:left="6770" w:hanging="361"/>
      </w:pPr>
      <w:rPr>
        <w:rFonts w:hint="default"/>
        <w:lang w:val="zh-CN" w:eastAsia="zh-CN" w:bidi="zh-CN"/>
      </w:rPr>
    </w:lvl>
    <w:lvl w:ilvl="8" w:tentative="0">
      <w:start w:val="0"/>
      <w:numFmt w:val="bullet"/>
      <w:lvlText w:val="•"/>
      <w:lvlJc w:val="left"/>
      <w:pPr>
        <w:ind w:left="7735" w:hanging="361"/>
      </w:pPr>
      <w:rPr>
        <w:rFonts w:hint="default"/>
        <w:lang w:val="zh-CN" w:eastAsia="zh-CN" w:bidi="zh-CN"/>
      </w:rPr>
    </w:lvl>
  </w:abstractNum>
  <w:abstractNum w:abstractNumId="62">
    <w:nsid w:val="610EFE5C"/>
    <w:multiLevelType w:val="multilevel"/>
    <w:tmpl w:val="610EFE5C"/>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63">
    <w:nsid w:val="63DB807B"/>
    <w:multiLevelType w:val="singleLevel"/>
    <w:tmpl w:val="63DB807B"/>
    <w:lvl w:ilvl="0" w:tentative="0">
      <w:start w:val="6"/>
      <w:numFmt w:val="chineseCounting"/>
      <w:suff w:val="space"/>
      <w:lvlText w:val="第%1章"/>
      <w:lvlJc w:val="left"/>
      <w:rPr>
        <w:rFonts w:hint="eastAsia"/>
      </w:rPr>
    </w:lvl>
  </w:abstractNum>
  <w:abstractNum w:abstractNumId="64">
    <w:nsid w:val="6AFC2A1C"/>
    <w:multiLevelType w:val="multilevel"/>
    <w:tmpl w:val="6AFC2A1C"/>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65">
    <w:nsid w:val="6D9481BF"/>
    <w:multiLevelType w:val="singleLevel"/>
    <w:tmpl w:val="6D9481BF"/>
    <w:lvl w:ilvl="0" w:tentative="0">
      <w:start w:val="8"/>
      <w:numFmt w:val="decimal"/>
      <w:suff w:val="nothing"/>
      <w:lvlText w:val="（%1）"/>
      <w:lvlJc w:val="left"/>
    </w:lvl>
  </w:abstractNum>
  <w:abstractNum w:abstractNumId="66">
    <w:nsid w:val="7A79539B"/>
    <w:multiLevelType w:val="singleLevel"/>
    <w:tmpl w:val="7A79539B"/>
    <w:lvl w:ilvl="0" w:tentative="0">
      <w:start w:val="1"/>
      <w:numFmt w:val="decimal"/>
      <w:suff w:val="nothing"/>
      <w:lvlText w:val="%1、"/>
      <w:lvlJc w:val="left"/>
    </w:lvl>
  </w:abstractNum>
  <w:num w:numId="1">
    <w:abstractNumId w:val="45"/>
  </w:num>
  <w:num w:numId="2">
    <w:abstractNumId w:val="19"/>
  </w:num>
  <w:num w:numId="3">
    <w:abstractNumId w:val="65"/>
  </w:num>
  <w:num w:numId="4">
    <w:abstractNumId w:val="66"/>
  </w:num>
  <w:num w:numId="5">
    <w:abstractNumId w:val="26"/>
  </w:num>
  <w:num w:numId="6">
    <w:abstractNumId w:val="23"/>
  </w:num>
  <w:num w:numId="7">
    <w:abstractNumId w:val="16"/>
  </w:num>
  <w:num w:numId="8">
    <w:abstractNumId w:val="20"/>
  </w:num>
  <w:num w:numId="9">
    <w:abstractNumId w:val="53"/>
  </w:num>
  <w:num w:numId="10">
    <w:abstractNumId w:val="9"/>
  </w:num>
  <w:num w:numId="11">
    <w:abstractNumId w:val="62"/>
  </w:num>
  <w:num w:numId="12">
    <w:abstractNumId w:val="0"/>
  </w:num>
  <w:num w:numId="13">
    <w:abstractNumId w:val="34"/>
  </w:num>
  <w:num w:numId="14">
    <w:abstractNumId w:val="6"/>
  </w:num>
  <w:num w:numId="15">
    <w:abstractNumId w:val="13"/>
  </w:num>
  <w:num w:numId="16">
    <w:abstractNumId w:val="14"/>
  </w:num>
  <w:num w:numId="17">
    <w:abstractNumId w:val="32"/>
  </w:num>
  <w:num w:numId="18">
    <w:abstractNumId w:val="60"/>
  </w:num>
  <w:num w:numId="19">
    <w:abstractNumId w:val="30"/>
  </w:num>
  <w:num w:numId="20">
    <w:abstractNumId w:val="58"/>
  </w:num>
  <w:num w:numId="21">
    <w:abstractNumId w:val="5"/>
  </w:num>
  <w:num w:numId="22">
    <w:abstractNumId w:val="44"/>
  </w:num>
  <w:num w:numId="23">
    <w:abstractNumId w:val="57"/>
  </w:num>
  <w:num w:numId="24">
    <w:abstractNumId w:val="3"/>
  </w:num>
  <w:num w:numId="25">
    <w:abstractNumId w:val="41"/>
  </w:num>
  <w:num w:numId="26">
    <w:abstractNumId w:val="51"/>
  </w:num>
  <w:num w:numId="27">
    <w:abstractNumId w:val="39"/>
  </w:num>
  <w:num w:numId="28">
    <w:abstractNumId w:val="55"/>
  </w:num>
  <w:num w:numId="29">
    <w:abstractNumId w:val="56"/>
  </w:num>
  <w:num w:numId="30">
    <w:abstractNumId w:val="22"/>
  </w:num>
  <w:num w:numId="31">
    <w:abstractNumId w:val="4"/>
  </w:num>
  <w:num w:numId="32">
    <w:abstractNumId w:val="48"/>
  </w:num>
  <w:num w:numId="33">
    <w:abstractNumId w:val="50"/>
  </w:num>
  <w:num w:numId="34">
    <w:abstractNumId w:val="38"/>
  </w:num>
  <w:num w:numId="35">
    <w:abstractNumId w:val="21"/>
  </w:num>
  <w:num w:numId="36">
    <w:abstractNumId w:val="40"/>
  </w:num>
  <w:num w:numId="37">
    <w:abstractNumId w:val="37"/>
  </w:num>
  <w:num w:numId="38">
    <w:abstractNumId w:val="25"/>
  </w:num>
  <w:num w:numId="39">
    <w:abstractNumId w:val="28"/>
  </w:num>
  <w:num w:numId="40">
    <w:abstractNumId w:val="17"/>
  </w:num>
  <w:num w:numId="41">
    <w:abstractNumId w:val="52"/>
  </w:num>
  <w:num w:numId="42">
    <w:abstractNumId w:val="31"/>
  </w:num>
  <w:num w:numId="43">
    <w:abstractNumId w:val="2"/>
  </w:num>
  <w:num w:numId="44">
    <w:abstractNumId w:val="27"/>
  </w:num>
  <w:num w:numId="45">
    <w:abstractNumId w:val="35"/>
  </w:num>
  <w:num w:numId="46">
    <w:abstractNumId w:val="15"/>
  </w:num>
  <w:num w:numId="47">
    <w:abstractNumId w:val="47"/>
  </w:num>
  <w:num w:numId="48">
    <w:abstractNumId w:val="64"/>
  </w:num>
  <w:num w:numId="49">
    <w:abstractNumId w:val="18"/>
  </w:num>
  <w:num w:numId="50">
    <w:abstractNumId w:val="8"/>
  </w:num>
  <w:num w:numId="51">
    <w:abstractNumId w:val="1"/>
  </w:num>
  <w:num w:numId="52">
    <w:abstractNumId w:val="10"/>
  </w:num>
  <w:num w:numId="53">
    <w:abstractNumId w:val="36"/>
  </w:num>
  <w:num w:numId="54">
    <w:abstractNumId w:val="12"/>
  </w:num>
  <w:num w:numId="55">
    <w:abstractNumId w:val="29"/>
  </w:num>
  <w:num w:numId="56">
    <w:abstractNumId w:val="42"/>
  </w:num>
  <w:num w:numId="57">
    <w:abstractNumId w:val="54"/>
  </w:num>
  <w:num w:numId="58">
    <w:abstractNumId w:val="43"/>
  </w:num>
  <w:num w:numId="59">
    <w:abstractNumId w:val="11"/>
  </w:num>
  <w:num w:numId="60">
    <w:abstractNumId w:val="49"/>
  </w:num>
  <w:num w:numId="61">
    <w:abstractNumId w:val="63"/>
  </w:num>
  <w:num w:numId="62">
    <w:abstractNumId w:val="24"/>
  </w:num>
  <w:num w:numId="63">
    <w:abstractNumId w:val="33"/>
  </w:num>
  <w:num w:numId="64">
    <w:abstractNumId w:val="7"/>
  </w:num>
  <w:num w:numId="65">
    <w:abstractNumId w:val="59"/>
  </w:num>
  <w:num w:numId="66">
    <w:abstractNumId w:val="46"/>
  </w:num>
  <w:num w:numId="67">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NDVlZGM1OGMxNzE0YmUxZjFjOTA3MjkxNjIxZDQifQ=="/>
  </w:docVars>
  <w:rsids>
    <w:rsidRoot w:val="48D05C0D"/>
    <w:rsid w:val="00086CD4"/>
    <w:rsid w:val="000C2EFB"/>
    <w:rsid w:val="000F5C6E"/>
    <w:rsid w:val="001F3AF1"/>
    <w:rsid w:val="003D6361"/>
    <w:rsid w:val="003F7044"/>
    <w:rsid w:val="00444514"/>
    <w:rsid w:val="004C137F"/>
    <w:rsid w:val="00606502"/>
    <w:rsid w:val="006F74DA"/>
    <w:rsid w:val="00880D80"/>
    <w:rsid w:val="00994B41"/>
    <w:rsid w:val="009E270E"/>
    <w:rsid w:val="00AA7D4F"/>
    <w:rsid w:val="00B44066"/>
    <w:rsid w:val="00BE50FD"/>
    <w:rsid w:val="00D93AD1"/>
    <w:rsid w:val="00DD61CC"/>
    <w:rsid w:val="00E56A9A"/>
    <w:rsid w:val="00FC206D"/>
    <w:rsid w:val="01025F5E"/>
    <w:rsid w:val="0124203D"/>
    <w:rsid w:val="01895E2B"/>
    <w:rsid w:val="02836333"/>
    <w:rsid w:val="02D45050"/>
    <w:rsid w:val="02E8713A"/>
    <w:rsid w:val="032157CD"/>
    <w:rsid w:val="03857BF9"/>
    <w:rsid w:val="03960557"/>
    <w:rsid w:val="03A42056"/>
    <w:rsid w:val="03EF5EB9"/>
    <w:rsid w:val="040E6CFD"/>
    <w:rsid w:val="041F3E95"/>
    <w:rsid w:val="049D3FAF"/>
    <w:rsid w:val="04EB48D3"/>
    <w:rsid w:val="052A2844"/>
    <w:rsid w:val="06304C93"/>
    <w:rsid w:val="064B4F6A"/>
    <w:rsid w:val="06617DE3"/>
    <w:rsid w:val="06A0349B"/>
    <w:rsid w:val="06FE21A6"/>
    <w:rsid w:val="07442765"/>
    <w:rsid w:val="07511820"/>
    <w:rsid w:val="076F17EB"/>
    <w:rsid w:val="083E2F6B"/>
    <w:rsid w:val="088E1D13"/>
    <w:rsid w:val="09B25C7A"/>
    <w:rsid w:val="0A0F696E"/>
    <w:rsid w:val="0A6C3DC0"/>
    <w:rsid w:val="0AC3352F"/>
    <w:rsid w:val="0B740ED1"/>
    <w:rsid w:val="0BAE0408"/>
    <w:rsid w:val="0BAE21B6"/>
    <w:rsid w:val="0C4E5AE3"/>
    <w:rsid w:val="0C676163"/>
    <w:rsid w:val="0C686634"/>
    <w:rsid w:val="0C807C6A"/>
    <w:rsid w:val="0CFF53BF"/>
    <w:rsid w:val="0D3F7C15"/>
    <w:rsid w:val="0E5C15DB"/>
    <w:rsid w:val="0E9C2F2B"/>
    <w:rsid w:val="0EE004F1"/>
    <w:rsid w:val="0EE34F69"/>
    <w:rsid w:val="0F925753"/>
    <w:rsid w:val="0FB62C06"/>
    <w:rsid w:val="0FB954F1"/>
    <w:rsid w:val="0FC0066A"/>
    <w:rsid w:val="0FDC6AB4"/>
    <w:rsid w:val="10463EEF"/>
    <w:rsid w:val="105F1A99"/>
    <w:rsid w:val="106F4AF0"/>
    <w:rsid w:val="10FB387F"/>
    <w:rsid w:val="116F2971"/>
    <w:rsid w:val="11705B36"/>
    <w:rsid w:val="11CC0E93"/>
    <w:rsid w:val="121F43A6"/>
    <w:rsid w:val="12243411"/>
    <w:rsid w:val="122440C3"/>
    <w:rsid w:val="125221FA"/>
    <w:rsid w:val="12A20662"/>
    <w:rsid w:val="1356385F"/>
    <w:rsid w:val="13787880"/>
    <w:rsid w:val="138A175B"/>
    <w:rsid w:val="14BD2E06"/>
    <w:rsid w:val="15023C9F"/>
    <w:rsid w:val="151A266A"/>
    <w:rsid w:val="1542236E"/>
    <w:rsid w:val="159A4872"/>
    <w:rsid w:val="15CE2B6A"/>
    <w:rsid w:val="15FD5AA9"/>
    <w:rsid w:val="162248EC"/>
    <w:rsid w:val="162E7872"/>
    <w:rsid w:val="16A01639"/>
    <w:rsid w:val="16A52283"/>
    <w:rsid w:val="16E17800"/>
    <w:rsid w:val="172015B6"/>
    <w:rsid w:val="174B2C96"/>
    <w:rsid w:val="175E6491"/>
    <w:rsid w:val="181C03E9"/>
    <w:rsid w:val="18923D5F"/>
    <w:rsid w:val="189579C2"/>
    <w:rsid w:val="18A305C6"/>
    <w:rsid w:val="19B44FC0"/>
    <w:rsid w:val="19B606BF"/>
    <w:rsid w:val="1A1D6E85"/>
    <w:rsid w:val="1A3A7EA7"/>
    <w:rsid w:val="1A6F68B8"/>
    <w:rsid w:val="1AD978AB"/>
    <w:rsid w:val="1AF04599"/>
    <w:rsid w:val="1B0B56ED"/>
    <w:rsid w:val="1B6D2524"/>
    <w:rsid w:val="1B7F1479"/>
    <w:rsid w:val="1B9246E6"/>
    <w:rsid w:val="1BDD0FDD"/>
    <w:rsid w:val="1C017D44"/>
    <w:rsid w:val="1C5A616E"/>
    <w:rsid w:val="1C8B27CB"/>
    <w:rsid w:val="1D05359D"/>
    <w:rsid w:val="1D2624F4"/>
    <w:rsid w:val="1D5D5238"/>
    <w:rsid w:val="1DF82F54"/>
    <w:rsid w:val="1E044763"/>
    <w:rsid w:val="1E097BC7"/>
    <w:rsid w:val="1E4D27F9"/>
    <w:rsid w:val="1E6E0C44"/>
    <w:rsid w:val="1EA21E83"/>
    <w:rsid w:val="1EA23DFC"/>
    <w:rsid w:val="1F132604"/>
    <w:rsid w:val="1F4B4494"/>
    <w:rsid w:val="1F8533C6"/>
    <w:rsid w:val="1F8A3F4D"/>
    <w:rsid w:val="1F9D6372"/>
    <w:rsid w:val="1FA403D0"/>
    <w:rsid w:val="1FA83694"/>
    <w:rsid w:val="1FE65F6B"/>
    <w:rsid w:val="1FF44CDC"/>
    <w:rsid w:val="200F101E"/>
    <w:rsid w:val="201B5C14"/>
    <w:rsid w:val="20FE0EBC"/>
    <w:rsid w:val="2106303B"/>
    <w:rsid w:val="21403E14"/>
    <w:rsid w:val="214A7A63"/>
    <w:rsid w:val="21D1179D"/>
    <w:rsid w:val="21D67D7A"/>
    <w:rsid w:val="21D70383"/>
    <w:rsid w:val="224B26DA"/>
    <w:rsid w:val="22FF2E0B"/>
    <w:rsid w:val="2406762A"/>
    <w:rsid w:val="24247062"/>
    <w:rsid w:val="244C65B2"/>
    <w:rsid w:val="245929DA"/>
    <w:rsid w:val="24691AB8"/>
    <w:rsid w:val="24910355"/>
    <w:rsid w:val="24D857F5"/>
    <w:rsid w:val="2510524B"/>
    <w:rsid w:val="253541EE"/>
    <w:rsid w:val="255D409B"/>
    <w:rsid w:val="256718FC"/>
    <w:rsid w:val="25AD5D7F"/>
    <w:rsid w:val="25CF5798"/>
    <w:rsid w:val="26390900"/>
    <w:rsid w:val="26AA5F44"/>
    <w:rsid w:val="26C95B38"/>
    <w:rsid w:val="28074CD0"/>
    <w:rsid w:val="28096556"/>
    <w:rsid w:val="286923D0"/>
    <w:rsid w:val="29564B97"/>
    <w:rsid w:val="296434D8"/>
    <w:rsid w:val="29702DE9"/>
    <w:rsid w:val="2A4144C9"/>
    <w:rsid w:val="2A440219"/>
    <w:rsid w:val="2A5744DB"/>
    <w:rsid w:val="2A6C5D2A"/>
    <w:rsid w:val="2A9A5574"/>
    <w:rsid w:val="2A9B42F6"/>
    <w:rsid w:val="2AA67AA4"/>
    <w:rsid w:val="2AF05ACE"/>
    <w:rsid w:val="2B313E03"/>
    <w:rsid w:val="2B506556"/>
    <w:rsid w:val="2B697C69"/>
    <w:rsid w:val="2BA33973"/>
    <w:rsid w:val="2C7D7B62"/>
    <w:rsid w:val="2C7F265E"/>
    <w:rsid w:val="2CBB17EF"/>
    <w:rsid w:val="2CD82E0B"/>
    <w:rsid w:val="2CDC497D"/>
    <w:rsid w:val="2CDF4C7E"/>
    <w:rsid w:val="2DB44479"/>
    <w:rsid w:val="2DBB0A37"/>
    <w:rsid w:val="2DD13BC6"/>
    <w:rsid w:val="2E221098"/>
    <w:rsid w:val="2E845A6E"/>
    <w:rsid w:val="2E982B26"/>
    <w:rsid w:val="2EB07F0D"/>
    <w:rsid w:val="2EC543F7"/>
    <w:rsid w:val="2EF064BE"/>
    <w:rsid w:val="2F391C13"/>
    <w:rsid w:val="2F63550A"/>
    <w:rsid w:val="2F853760"/>
    <w:rsid w:val="2F917CA1"/>
    <w:rsid w:val="2FA200FA"/>
    <w:rsid w:val="2FC9141A"/>
    <w:rsid w:val="2FE83639"/>
    <w:rsid w:val="30077C27"/>
    <w:rsid w:val="30493904"/>
    <w:rsid w:val="30847806"/>
    <w:rsid w:val="30A261C6"/>
    <w:rsid w:val="30BE0755"/>
    <w:rsid w:val="31012C04"/>
    <w:rsid w:val="31304D40"/>
    <w:rsid w:val="31473494"/>
    <w:rsid w:val="32052280"/>
    <w:rsid w:val="321C4EA7"/>
    <w:rsid w:val="322B455D"/>
    <w:rsid w:val="325D030E"/>
    <w:rsid w:val="32784D16"/>
    <w:rsid w:val="32AB7818"/>
    <w:rsid w:val="332345EF"/>
    <w:rsid w:val="336B20C9"/>
    <w:rsid w:val="337A3833"/>
    <w:rsid w:val="33A40DC1"/>
    <w:rsid w:val="3532466D"/>
    <w:rsid w:val="35662E88"/>
    <w:rsid w:val="358C3432"/>
    <w:rsid w:val="35B744A0"/>
    <w:rsid w:val="35DB3E3E"/>
    <w:rsid w:val="365D0556"/>
    <w:rsid w:val="365E6403"/>
    <w:rsid w:val="36716ADC"/>
    <w:rsid w:val="36977B3F"/>
    <w:rsid w:val="36F001F0"/>
    <w:rsid w:val="36FB4AFA"/>
    <w:rsid w:val="37471F62"/>
    <w:rsid w:val="374C49CE"/>
    <w:rsid w:val="37677539"/>
    <w:rsid w:val="37761F41"/>
    <w:rsid w:val="3776777C"/>
    <w:rsid w:val="377B36F4"/>
    <w:rsid w:val="379D2F5B"/>
    <w:rsid w:val="37A14D92"/>
    <w:rsid w:val="38004C92"/>
    <w:rsid w:val="3805122C"/>
    <w:rsid w:val="38C70290"/>
    <w:rsid w:val="392E79F6"/>
    <w:rsid w:val="39AC74AA"/>
    <w:rsid w:val="39C8603D"/>
    <w:rsid w:val="3A0C09BE"/>
    <w:rsid w:val="3A3C4CAD"/>
    <w:rsid w:val="3A4A47B4"/>
    <w:rsid w:val="3A830B2E"/>
    <w:rsid w:val="3ACD0488"/>
    <w:rsid w:val="3AD34A85"/>
    <w:rsid w:val="3AF610CD"/>
    <w:rsid w:val="3B3463CE"/>
    <w:rsid w:val="3B4265A5"/>
    <w:rsid w:val="3B53757B"/>
    <w:rsid w:val="3B784C7E"/>
    <w:rsid w:val="3C0E61D6"/>
    <w:rsid w:val="3C6E1DB2"/>
    <w:rsid w:val="3C9506A5"/>
    <w:rsid w:val="3CD85302"/>
    <w:rsid w:val="3D3E0D3C"/>
    <w:rsid w:val="3D754843"/>
    <w:rsid w:val="3DAA1B4D"/>
    <w:rsid w:val="3DDD4688"/>
    <w:rsid w:val="3DE46F51"/>
    <w:rsid w:val="3DFA1107"/>
    <w:rsid w:val="3DFE5EBF"/>
    <w:rsid w:val="3E211D93"/>
    <w:rsid w:val="3E2567B8"/>
    <w:rsid w:val="3E6F3D7E"/>
    <w:rsid w:val="3E7E2AAC"/>
    <w:rsid w:val="3E8A1CFD"/>
    <w:rsid w:val="3E8A77F9"/>
    <w:rsid w:val="3E946215"/>
    <w:rsid w:val="3ECB170F"/>
    <w:rsid w:val="3F0810EF"/>
    <w:rsid w:val="3F736BA7"/>
    <w:rsid w:val="3FAD1953"/>
    <w:rsid w:val="40033EC0"/>
    <w:rsid w:val="401F6C03"/>
    <w:rsid w:val="402821EC"/>
    <w:rsid w:val="412F3A1A"/>
    <w:rsid w:val="41904020"/>
    <w:rsid w:val="421D3616"/>
    <w:rsid w:val="42862F6A"/>
    <w:rsid w:val="428D2D6A"/>
    <w:rsid w:val="42BE0955"/>
    <w:rsid w:val="42FE5622"/>
    <w:rsid w:val="4334069B"/>
    <w:rsid w:val="435440AA"/>
    <w:rsid w:val="435A7F52"/>
    <w:rsid w:val="44086AD6"/>
    <w:rsid w:val="44897395"/>
    <w:rsid w:val="44C0557F"/>
    <w:rsid w:val="44C100BC"/>
    <w:rsid w:val="44DD0888"/>
    <w:rsid w:val="44F36E2B"/>
    <w:rsid w:val="4533705E"/>
    <w:rsid w:val="45485326"/>
    <w:rsid w:val="45571BE1"/>
    <w:rsid w:val="45987652"/>
    <w:rsid w:val="45CC3389"/>
    <w:rsid w:val="45D77B37"/>
    <w:rsid w:val="45DD3B23"/>
    <w:rsid w:val="45F12DF0"/>
    <w:rsid w:val="45FC6754"/>
    <w:rsid w:val="461C007C"/>
    <w:rsid w:val="464B6860"/>
    <w:rsid w:val="4675326C"/>
    <w:rsid w:val="4691444A"/>
    <w:rsid w:val="469E78CF"/>
    <w:rsid w:val="46A9191C"/>
    <w:rsid w:val="478C2DB4"/>
    <w:rsid w:val="47982D54"/>
    <w:rsid w:val="479E38D8"/>
    <w:rsid w:val="47DE1434"/>
    <w:rsid w:val="47EE5929"/>
    <w:rsid w:val="4824419C"/>
    <w:rsid w:val="48586940"/>
    <w:rsid w:val="489C4C52"/>
    <w:rsid w:val="48D05C0D"/>
    <w:rsid w:val="49000053"/>
    <w:rsid w:val="49781D5D"/>
    <w:rsid w:val="499C0418"/>
    <w:rsid w:val="49DC3DB7"/>
    <w:rsid w:val="49E57D40"/>
    <w:rsid w:val="4A2A4B22"/>
    <w:rsid w:val="4A355C64"/>
    <w:rsid w:val="4AB11F98"/>
    <w:rsid w:val="4AB72630"/>
    <w:rsid w:val="4AC5484B"/>
    <w:rsid w:val="4B391AC8"/>
    <w:rsid w:val="4B6A3D7F"/>
    <w:rsid w:val="4B6D116B"/>
    <w:rsid w:val="4B840262"/>
    <w:rsid w:val="4B8A7737"/>
    <w:rsid w:val="4BCD7E5B"/>
    <w:rsid w:val="4C0A0B5C"/>
    <w:rsid w:val="4C233ECD"/>
    <w:rsid w:val="4CC730BD"/>
    <w:rsid w:val="4D5C07F9"/>
    <w:rsid w:val="4DA77E8F"/>
    <w:rsid w:val="4DDD3C5A"/>
    <w:rsid w:val="4DFD267D"/>
    <w:rsid w:val="4E06127F"/>
    <w:rsid w:val="4E3D79D5"/>
    <w:rsid w:val="4E6751FC"/>
    <w:rsid w:val="4E6A4C3C"/>
    <w:rsid w:val="4E7B47CF"/>
    <w:rsid w:val="4EB76D12"/>
    <w:rsid w:val="4F2550DC"/>
    <w:rsid w:val="4F8E3C9C"/>
    <w:rsid w:val="4FB940D4"/>
    <w:rsid w:val="50256029"/>
    <w:rsid w:val="5036368D"/>
    <w:rsid w:val="50BA3B81"/>
    <w:rsid w:val="50BD7648"/>
    <w:rsid w:val="50BF086A"/>
    <w:rsid w:val="51185F65"/>
    <w:rsid w:val="512B6754"/>
    <w:rsid w:val="515204C5"/>
    <w:rsid w:val="51822A04"/>
    <w:rsid w:val="51911043"/>
    <w:rsid w:val="519932ED"/>
    <w:rsid w:val="51DF3C61"/>
    <w:rsid w:val="524C5C7E"/>
    <w:rsid w:val="52903990"/>
    <w:rsid w:val="5298788F"/>
    <w:rsid w:val="530B1DCC"/>
    <w:rsid w:val="543B799D"/>
    <w:rsid w:val="546311A7"/>
    <w:rsid w:val="549B4ADE"/>
    <w:rsid w:val="55644883"/>
    <w:rsid w:val="556A2BEA"/>
    <w:rsid w:val="55797D3A"/>
    <w:rsid w:val="559F494F"/>
    <w:rsid w:val="55DB20F6"/>
    <w:rsid w:val="56187F25"/>
    <w:rsid w:val="56A45EA9"/>
    <w:rsid w:val="56BA722E"/>
    <w:rsid w:val="56CB4F97"/>
    <w:rsid w:val="574518F8"/>
    <w:rsid w:val="57780712"/>
    <w:rsid w:val="581A1CA6"/>
    <w:rsid w:val="586445F0"/>
    <w:rsid w:val="58C5192A"/>
    <w:rsid w:val="59594ADC"/>
    <w:rsid w:val="597F6526"/>
    <w:rsid w:val="59A9430D"/>
    <w:rsid w:val="59CA7728"/>
    <w:rsid w:val="59D31D9D"/>
    <w:rsid w:val="59E7658C"/>
    <w:rsid w:val="5A221BE5"/>
    <w:rsid w:val="5A276CF7"/>
    <w:rsid w:val="5A491203"/>
    <w:rsid w:val="5AB7685E"/>
    <w:rsid w:val="5AEB641A"/>
    <w:rsid w:val="5B5639C9"/>
    <w:rsid w:val="5BB40A89"/>
    <w:rsid w:val="5BBD6399"/>
    <w:rsid w:val="5BFB631F"/>
    <w:rsid w:val="5C0276AD"/>
    <w:rsid w:val="5C281CBF"/>
    <w:rsid w:val="5C550A67"/>
    <w:rsid w:val="5CBD35D4"/>
    <w:rsid w:val="5D135C36"/>
    <w:rsid w:val="5D69550A"/>
    <w:rsid w:val="5D6F6C4B"/>
    <w:rsid w:val="5D8A097F"/>
    <w:rsid w:val="5DB22169"/>
    <w:rsid w:val="5DC34C1A"/>
    <w:rsid w:val="5E8425FB"/>
    <w:rsid w:val="5EA93E10"/>
    <w:rsid w:val="5EB12C47"/>
    <w:rsid w:val="5ED35331"/>
    <w:rsid w:val="5EF23F89"/>
    <w:rsid w:val="5EF446BC"/>
    <w:rsid w:val="5F6D308F"/>
    <w:rsid w:val="5F7A64AD"/>
    <w:rsid w:val="5FBB038A"/>
    <w:rsid w:val="5FE53BC6"/>
    <w:rsid w:val="603D2F8F"/>
    <w:rsid w:val="605164EC"/>
    <w:rsid w:val="60D10CBC"/>
    <w:rsid w:val="6134408D"/>
    <w:rsid w:val="614E6EF1"/>
    <w:rsid w:val="61565DA5"/>
    <w:rsid w:val="6176110A"/>
    <w:rsid w:val="626A088E"/>
    <w:rsid w:val="62854B94"/>
    <w:rsid w:val="62D1322E"/>
    <w:rsid w:val="63026180"/>
    <w:rsid w:val="63A03EA2"/>
    <w:rsid w:val="63A177AC"/>
    <w:rsid w:val="63C749B6"/>
    <w:rsid w:val="63FE0C96"/>
    <w:rsid w:val="640E6104"/>
    <w:rsid w:val="647430D2"/>
    <w:rsid w:val="647827E5"/>
    <w:rsid w:val="65650DF4"/>
    <w:rsid w:val="65AE64AA"/>
    <w:rsid w:val="65E2132A"/>
    <w:rsid w:val="65E67657"/>
    <w:rsid w:val="66590CA4"/>
    <w:rsid w:val="667E3AC6"/>
    <w:rsid w:val="668C7DCB"/>
    <w:rsid w:val="6700402F"/>
    <w:rsid w:val="671E3EDA"/>
    <w:rsid w:val="677B6565"/>
    <w:rsid w:val="67FB059A"/>
    <w:rsid w:val="68811027"/>
    <w:rsid w:val="68C462F1"/>
    <w:rsid w:val="692D7E6D"/>
    <w:rsid w:val="69757770"/>
    <w:rsid w:val="698A6F34"/>
    <w:rsid w:val="69E057C4"/>
    <w:rsid w:val="69FC1BE0"/>
    <w:rsid w:val="6A521800"/>
    <w:rsid w:val="6A6E5F0E"/>
    <w:rsid w:val="6A833487"/>
    <w:rsid w:val="6B1235B7"/>
    <w:rsid w:val="6B142F59"/>
    <w:rsid w:val="6B234F4A"/>
    <w:rsid w:val="6B5A0309"/>
    <w:rsid w:val="6B6563DC"/>
    <w:rsid w:val="6BC84788"/>
    <w:rsid w:val="6C0E7490"/>
    <w:rsid w:val="6C6121CE"/>
    <w:rsid w:val="6C9172AB"/>
    <w:rsid w:val="6CB744E6"/>
    <w:rsid w:val="6CDA5ADC"/>
    <w:rsid w:val="6D275220"/>
    <w:rsid w:val="6D68758C"/>
    <w:rsid w:val="6DAD5AC1"/>
    <w:rsid w:val="6DE3491F"/>
    <w:rsid w:val="6DF2235C"/>
    <w:rsid w:val="6EB87568"/>
    <w:rsid w:val="6EDB2F69"/>
    <w:rsid w:val="6F0528C7"/>
    <w:rsid w:val="6F612482"/>
    <w:rsid w:val="6F926B42"/>
    <w:rsid w:val="6FE3609A"/>
    <w:rsid w:val="6FE74798"/>
    <w:rsid w:val="70F336E8"/>
    <w:rsid w:val="71281905"/>
    <w:rsid w:val="714007F0"/>
    <w:rsid w:val="71491F07"/>
    <w:rsid w:val="7180358E"/>
    <w:rsid w:val="71911C0E"/>
    <w:rsid w:val="71C1726B"/>
    <w:rsid w:val="72AC7F1B"/>
    <w:rsid w:val="72D32DFD"/>
    <w:rsid w:val="72FC18C0"/>
    <w:rsid w:val="739015EB"/>
    <w:rsid w:val="73D0517B"/>
    <w:rsid w:val="73E9047A"/>
    <w:rsid w:val="741C4C2C"/>
    <w:rsid w:val="74AC62F7"/>
    <w:rsid w:val="74BC0BB0"/>
    <w:rsid w:val="7502582D"/>
    <w:rsid w:val="750543DF"/>
    <w:rsid w:val="7538187E"/>
    <w:rsid w:val="754464B3"/>
    <w:rsid w:val="75AF26A1"/>
    <w:rsid w:val="75E86ABE"/>
    <w:rsid w:val="766509CB"/>
    <w:rsid w:val="769136B0"/>
    <w:rsid w:val="76EF0FDF"/>
    <w:rsid w:val="76F50B0E"/>
    <w:rsid w:val="770413F6"/>
    <w:rsid w:val="77545B3E"/>
    <w:rsid w:val="77E85391"/>
    <w:rsid w:val="77F35CA4"/>
    <w:rsid w:val="782D11B6"/>
    <w:rsid w:val="78CF04BF"/>
    <w:rsid w:val="78FA1E5E"/>
    <w:rsid w:val="79191277"/>
    <w:rsid w:val="79250621"/>
    <w:rsid w:val="79257C67"/>
    <w:rsid w:val="7967694A"/>
    <w:rsid w:val="798D4602"/>
    <w:rsid w:val="7A590988"/>
    <w:rsid w:val="7C3F0530"/>
    <w:rsid w:val="7C5D6DD4"/>
    <w:rsid w:val="7C8545E3"/>
    <w:rsid w:val="7D170D8A"/>
    <w:rsid w:val="7D31153F"/>
    <w:rsid w:val="7D5C745F"/>
    <w:rsid w:val="7DC50B97"/>
    <w:rsid w:val="7DFE4C7B"/>
    <w:rsid w:val="7E2B1DF7"/>
    <w:rsid w:val="7E3A287F"/>
    <w:rsid w:val="7EA31C91"/>
    <w:rsid w:val="7EA87EA9"/>
    <w:rsid w:val="7EBB39C0"/>
    <w:rsid w:val="7EBC3910"/>
    <w:rsid w:val="7EBC5604"/>
    <w:rsid w:val="7F4B144B"/>
    <w:rsid w:val="7F731D6C"/>
    <w:rsid w:val="7F962F62"/>
    <w:rsid w:val="7FB1091F"/>
    <w:rsid w:val="7FC85827"/>
    <w:rsid w:val="7FDB6609"/>
    <w:rsid w:val="7FDE3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9" w:semiHidden="0" w:name="heading 3"/>
    <w:lsdException w:qFormat="1" w:unhideWhenUsed="0" w:uiPriority="1" w:semiHidden="0" w:name="heading 4"/>
    <w:lsdException w:qFormat="1" w:unhideWhenUsed="0" w:uiPriority="9" w:semiHidden="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198"/>
      <w:outlineLvl w:val="0"/>
    </w:pPr>
    <w:rPr>
      <w:sz w:val="72"/>
      <w:szCs w:val="72"/>
    </w:rPr>
  </w:style>
  <w:style w:type="paragraph" w:styleId="3">
    <w:name w:val="heading 2"/>
    <w:basedOn w:val="1"/>
    <w:next w:val="1"/>
    <w:qFormat/>
    <w:uiPriority w:val="1"/>
    <w:pPr>
      <w:spacing w:before="180"/>
      <w:ind w:left="86"/>
      <w:jc w:val="center"/>
      <w:outlineLvl w:val="1"/>
    </w:pPr>
    <w:rPr>
      <w:b/>
      <w:bCs/>
      <w:sz w:val="44"/>
      <w:szCs w:val="44"/>
    </w:rPr>
  </w:style>
  <w:style w:type="paragraph" w:styleId="4">
    <w:name w:val="heading 3"/>
    <w:basedOn w:val="1"/>
    <w:next w:val="5"/>
    <w:link w:val="42"/>
    <w:qFormat/>
    <w:uiPriority w:val="9"/>
    <w:pPr>
      <w:spacing w:before="14"/>
      <w:ind w:left="711"/>
      <w:outlineLvl w:val="2"/>
    </w:pPr>
    <w:rPr>
      <w:b/>
      <w:sz w:val="28"/>
    </w:rPr>
  </w:style>
  <w:style w:type="paragraph" w:styleId="6">
    <w:name w:val="heading 4"/>
    <w:basedOn w:val="1"/>
    <w:next w:val="1"/>
    <w:qFormat/>
    <w:uiPriority w:val="1"/>
    <w:pPr>
      <w:spacing w:before="41"/>
      <w:ind w:left="267"/>
      <w:jc w:val="center"/>
      <w:outlineLvl w:val="3"/>
    </w:pPr>
    <w:rPr>
      <w:b/>
      <w:bCs/>
      <w:sz w:val="42"/>
      <w:szCs w:val="42"/>
    </w:rPr>
  </w:style>
  <w:style w:type="paragraph" w:styleId="7">
    <w:name w:val="heading 5"/>
    <w:basedOn w:val="1"/>
    <w:next w:val="1"/>
    <w:qFormat/>
    <w:uiPriority w:val="9"/>
    <w:pPr>
      <w:spacing w:before="26"/>
      <w:ind w:left="591"/>
      <w:outlineLvl w:val="4"/>
    </w:pPr>
    <w:rPr>
      <w:b/>
    </w:rPr>
  </w:style>
  <w:style w:type="paragraph" w:styleId="8">
    <w:name w:val="heading 7"/>
    <w:basedOn w:val="1"/>
    <w:next w:val="1"/>
    <w:qFormat/>
    <w:uiPriority w:val="1"/>
    <w:pPr>
      <w:spacing w:before="49"/>
      <w:jc w:val="center"/>
      <w:outlineLvl w:val="6"/>
    </w:pPr>
    <w:rPr>
      <w:sz w:val="36"/>
      <w:szCs w:val="36"/>
    </w:rPr>
  </w:style>
  <w:style w:type="paragraph" w:styleId="9">
    <w:name w:val="heading 8"/>
    <w:basedOn w:val="1"/>
    <w:next w:val="1"/>
    <w:qFormat/>
    <w:uiPriority w:val="1"/>
    <w:pPr>
      <w:spacing w:before="54"/>
      <w:ind w:left="86"/>
      <w:jc w:val="center"/>
      <w:outlineLvl w:val="7"/>
    </w:pPr>
    <w:rPr>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spacing w:line="360" w:lineRule="auto"/>
      <w:ind w:firstLine="560" w:firstLineChars="200"/>
    </w:pPr>
    <w:rPr>
      <w:bCs/>
      <w:sz w:val="28"/>
      <w:szCs w:val="24"/>
    </w:rPr>
  </w:style>
  <w:style w:type="paragraph" w:styleId="10">
    <w:name w:val="Body Text"/>
    <w:basedOn w:val="1"/>
    <w:qFormat/>
    <w:uiPriority w:val="1"/>
    <w:rPr>
      <w:sz w:val="24"/>
      <w:szCs w:val="24"/>
    </w:rPr>
  </w:style>
  <w:style w:type="paragraph" w:styleId="11">
    <w:name w:val="Body Text Indent"/>
    <w:basedOn w:val="1"/>
    <w:next w:val="1"/>
    <w:qFormat/>
    <w:uiPriority w:val="0"/>
    <w:pPr>
      <w:spacing w:before="240" w:line="360" w:lineRule="auto"/>
      <w:ind w:firstLine="552" w:firstLineChars="263"/>
    </w:pPr>
    <w:rPr>
      <w:szCs w:val="20"/>
    </w:rPr>
  </w:style>
  <w:style w:type="paragraph" w:styleId="12">
    <w:name w:val="Plain Text"/>
    <w:basedOn w:val="1"/>
    <w:next w:val="13"/>
    <w:unhideWhenUsed/>
    <w:qFormat/>
    <w:uiPriority w:val="99"/>
    <w:rPr>
      <w:rFonts w:hAnsi="Courier New"/>
    </w:rPr>
  </w:style>
  <w:style w:type="paragraph" w:styleId="13">
    <w:name w:val="index 7"/>
    <w:basedOn w:val="1"/>
    <w:next w:val="1"/>
    <w:qFormat/>
    <w:uiPriority w:val="0"/>
    <w:pPr>
      <w:autoSpaceDE/>
      <w:autoSpaceDN/>
      <w:adjustRightInd/>
      <w:ind w:left="1200" w:leftChars="1200"/>
    </w:pPr>
    <w:rPr>
      <w:color w:val="auto"/>
      <w:kern w:val="2"/>
      <w:szCs w:val="24"/>
    </w:rPr>
  </w:style>
  <w:style w:type="paragraph" w:styleId="14">
    <w:name w:val="Balloon Text"/>
    <w:basedOn w:val="1"/>
    <w:unhideWhenUsed/>
    <w:qFormat/>
    <w:uiPriority w:val="99"/>
    <w:pPr>
      <w:autoSpaceDE/>
      <w:autoSpaceDN/>
      <w:jc w:val="both"/>
    </w:pPr>
    <w:rPr>
      <w:kern w:val="2"/>
      <w:sz w:val="18"/>
    </w:rPr>
  </w:style>
  <w:style w:type="paragraph" w:styleId="15">
    <w:name w:val="footer"/>
    <w:basedOn w:val="1"/>
    <w:qFormat/>
    <w:uiPriority w:val="0"/>
    <w:pPr>
      <w:tabs>
        <w:tab w:val="center" w:pos="4153"/>
        <w:tab w:val="right" w:pos="8306"/>
      </w:tabs>
      <w:snapToGrid w:val="0"/>
    </w:pPr>
    <w:rPr>
      <w:rFonts w:ascii="Times New Roman" w:hAnsi="Times New Roman" w:cs="Times New Roman"/>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rPr>
  </w:style>
  <w:style w:type="paragraph" w:styleId="17">
    <w:name w:val="List"/>
    <w:basedOn w:val="1"/>
    <w:qFormat/>
    <w:uiPriority w:val="0"/>
    <w:pPr>
      <w:ind w:left="200" w:hanging="200" w:hangingChars="200"/>
      <w:jc w:val="both"/>
    </w:pPr>
    <w:rPr>
      <w:rFonts w:ascii="Times New Roman" w:hAnsi="Times New Roman"/>
      <w:kern w:val="2"/>
      <w:sz w:val="21"/>
      <w:szCs w:val="20"/>
      <w:lang w:eastAsia="zh-CN"/>
    </w:rPr>
  </w:style>
  <w:style w:type="paragraph" w:styleId="18">
    <w:name w:val="footnote text"/>
    <w:basedOn w:val="1"/>
    <w:next w:val="10"/>
    <w:qFormat/>
    <w:uiPriority w:val="0"/>
    <w:pPr>
      <w:snapToGrid w:val="0"/>
      <w:jc w:val="left"/>
    </w:pPr>
    <w:rPr>
      <w:sz w:val="18"/>
    </w:rPr>
  </w:style>
  <w:style w:type="paragraph" w:styleId="19">
    <w:name w:val="Normal (Web)"/>
    <w:basedOn w:val="1"/>
    <w:next w:val="20"/>
    <w:qFormat/>
    <w:uiPriority w:val="99"/>
    <w:pPr>
      <w:widowControl/>
    </w:pPr>
    <w:rPr>
      <w:sz w:val="24"/>
      <w:szCs w:val="24"/>
    </w:rPr>
  </w:style>
  <w:style w:type="paragraph" w:customStyle="1" w:styleId="20">
    <w:name w:val="目录 41"/>
    <w:next w:val="1"/>
    <w:qFormat/>
    <w:uiPriority w:val="0"/>
    <w:pPr>
      <w:wordWrap w:val="0"/>
      <w:ind w:left="1275"/>
      <w:jc w:val="both"/>
    </w:pPr>
    <w:rPr>
      <w:rFonts w:ascii="Calibri" w:hAnsi="Calibri" w:eastAsia="宋体" w:cs="Times New Roman"/>
      <w:sz w:val="21"/>
      <w:lang w:val="en-US" w:eastAsia="zh-CN" w:bidi="ar-SA"/>
    </w:rPr>
  </w:style>
  <w:style w:type="paragraph" w:styleId="21">
    <w:name w:val="Title"/>
    <w:basedOn w:val="1"/>
    <w:next w:val="1"/>
    <w:qFormat/>
    <w:uiPriority w:val="0"/>
    <w:pPr>
      <w:spacing w:before="240" w:after="60"/>
      <w:jc w:val="center"/>
      <w:outlineLvl w:val="0"/>
    </w:pPr>
    <w:rPr>
      <w:rFonts w:ascii="Arial" w:hAnsi="Arial" w:cs="Arial"/>
      <w:b/>
      <w:bCs/>
      <w:sz w:val="32"/>
      <w:szCs w:val="32"/>
    </w:rPr>
  </w:style>
  <w:style w:type="paragraph" w:styleId="22">
    <w:name w:val="Body Text First Indent"/>
    <w:basedOn w:val="10"/>
    <w:qFormat/>
    <w:uiPriority w:val="0"/>
    <w:pPr>
      <w:widowControl/>
      <w:spacing w:before="0" w:after="120" w:line="400" w:lineRule="exact"/>
      <w:ind w:left="0" w:firstLine="420" w:firstLineChars="100"/>
      <w:jc w:val="both"/>
    </w:pPr>
    <w:rPr>
      <w:rFonts w:ascii="楷体_GB2312" w:hAnsi="Tahoma" w:eastAsia="楷体_GB2312"/>
      <w:kern w:val="2"/>
      <w:szCs w:val="24"/>
      <w:lang w:val="en-US" w:eastAsia="zh-CN"/>
    </w:rPr>
  </w:style>
  <w:style w:type="paragraph" w:styleId="23">
    <w:name w:val="Body Text First Indent 2"/>
    <w:basedOn w:val="11"/>
    <w:next w:val="5"/>
    <w:qFormat/>
    <w:uiPriority w:val="99"/>
    <w:pPr>
      <w:ind w:firstLine="420" w:firstLineChars="200"/>
    </w:pPr>
  </w:style>
  <w:style w:type="character" w:styleId="26">
    <w:name w:val="Strong"/>
    <w:basedOn w:val="25"/>
    <w:qFormat/>
    <w:uiPriority w:val="0"/>
    <w:rPr>
      <w:b/>
    </w:rPr>
  </w:style>
  <w:style w:type="paragraph" w:customStyle="1" w:styleId="27">
    <w:name w:val="样式1"/>
    <w:basedOn w:val="1"/>
    <w:next w:val="21"/>
    <w:qFormat/>
    <w:uiPriority w:val="0"/>
    <w:pPr>
      <w:spacing w:line="500" w:lineRule="exact"/>
      <w:ind w:firstLine="200" w:firstLineChars="200"/>
      <w:jc w:val="center"/>
    </w:pPr>
    <w:rPr>
      <w:rFonts w:ascii="楷体_GB2312" w:hAnsi="宋体" w:eastAsia="楷体_GB2312"/>
      <w:b/>
      <w:kern w:val="2"/>
      <w:sz w:val="36"/>
      <w:szCs w:val="36"/>
    </w:rPr>
  </w:style>
  <w:style w:type="paragraph" w:customStyle="1" w:styleId="28">
    <w:name w:val="目录 53"/>
    <w:basedOn w:val="1"/>
    <w:next w:val="1"/>
    <w:qFormat/>
    <w:uiPriority w:val="0"/>
    <w:pPr>
      <w:ind w:left="840"/>
    </w:pPr>
    <w:rPr>
      <w:rFonts w:ascii="Times New Roman"/>
      <w:sz w:val="18"/>
    </w:rPr>
  </w:style>
  <w:style w:type="paragraph" w:styleId="29">
    <w:name w:val="List Paragraph"/>
    <w:basedOn w:val="1"/>
    <w:qFormat/>
    <w:uiPriority w:val="1"/>
    <w:pPr>
      <w:ind w:left="384" w:firstLine="480"/>
    </w:pPr>
  </w:style>
  <w:style w:type="paragraph" w:customStyle="1" w:styleId="30">
    <w:name w:val="Table Paragraph"/>
    <w:basedOn w:val="1"/>
    <w:qFormat/>
    <w:uiPriority w:val="1"/>
  </w:style>
  <w:style w:type="paragraph" w:customStyle="1" w:styleId="31">
    <w:name w:val="正文缩进1"/>
    <w:basedOn w:val="1"/>
    <w:qFormat/>
    <w:uiPriority w:val="0"/>
    <w:pPr>
      <w:autoSpaceDE/>
      <w:autoSpaceDN/>
      <w:ind w:firstLine="420" w:firstLineChars="200"/>
      <w:jc w:val="both"/>
    </w:pPr>
    <w:rPr>
      <w:rFonts w:ascii="Times New Roman" w:hAnsi="Times New Roman" w:cs="Times New Roman"/>
      <w:kern w:val="2"/>
      <w:sz w:val="21"/>
      <w:szCs w:val="20"/>
      <w:lang w:val="en-US" w:bidi="ar-SA"/>
    </w:rPr>
  </w:style>
  <w:style w:type="character" w:customStyle="1" w:styleId="32">
    <w:name w:val="font01"/>
    <w:basedOn w:val="25"/>
    <w:qFormat/>
    <w:uiPriority w:val="0"/>
    <w:rPr>
      <w:rFonts w:hint="eastAsia" w:ascii="宋体" w:hAnsi="宋体" w:eastAsia="宋体" w:cs="宋体"/>
      <w:color w:val="000000"/>
      <w:sz w:val="24"/>
      <w:szCs w:val="24"/>
      <w:u w:val="none"/>
    </w:rPr>
  </w:style>
  <w:style w:type="character" w:customStyle="1" w:styleId="33">
    <w:name w:val="NormalCharacter"/>
    <w:semiHidden/>
    <w:qFormat/>
    <w:uiPriority w:val="0"/>
  </w:style>
  <w:style w:type="paragraph" w:customStyle="1" w:styleId="34">
    <w:name w:val="Default Tex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3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样式 标题 3 + (中文) 黑体 小四 非加粗 段前: 7.8 磅 段后: 0 磅 行距: 固定值 20 磅"/>
    <w:basedOn w:val="4"/>
    <w:unhideWhenUsed/>
    <w:qFormat/>
    <w:uiPriority w:val="0"/>
    <w:pPr>
      <w:spacing w:before="0" w:line="400" w:lineRule="exact"/>
      <w:ind w:left="0"/>
      <w:jc w:val="both"/>
    </w:pPr>
    <w:rPr>
      <w:rFonts w:eastAsia="黑体"/>
      <w:b w:val="0"/>
      <w:kern w:val="2"/>
      <w:sz w:val="24"/>
    </w:rPr>
  </w:style>
  <w:style w:type="paragraph" w:customStyle="1" w:styleId="37">
    <w:name w:val="Normal_9"/>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38">
    <w:name w:val="CM99"/>
    <w:basedOn w:val="39"/>
    <w:next w:val="39"/>
    <w:qFormat/>
    <w:uiPriority w:val="0"/>
    <w:pPr>
      <w:spacing w:after="443"/>
    </w:pPr>
    <w:rPr>
      <w:color w:val="auto"/>
    </w:r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Normal_1"/>
    <w:qFormat/>
    <w:uiPriority w:val="0"/>
    <w:rPr>
      <w:rFonts w:ascii="Times New Roman" w:hAnsi="Times New Roman" w:eastAsia="Times New Roman" w:cs="Times New Roman"/>
      <w:sz w:val="24"/>
      <w:szCs w:val="24"/>
      <w:lang w:val="en-US" w:eastAsia="zh-CN" w:bidi="ar-SA"/>
    </w:rPr>
  </w:style>
  <w:style w:type="character" w:customStyle="1" w:styleId="41">
    <w:name w:val="font41"/>
    <w:basedOn w:val="25"/>
    <w:qFormat/>
    <w:uiPriority w:val="0"/>
    <w:rPr>
      <w:rFonts w:hint="eastAsia" w:ascii="宋体" w:hAnsi="宋体" w:eastAsia="宋体" w:cs="宋体"/>
      <w:color w:val="000000"/>
      <w:sz w:val="24"/>
      <w:szCs w:val="24"/>
      <w:u w:val="single"/>
    </w:rPr>
  </w:style>
  <w:style w:type="character" w:customStyle="1" w:styleId="42">
    <w:name w:val="标题 3 字符"/>
    <w:basedOn w:val="25"/>
    <w:link w:val="4"/>
    <w:qFormat/>
    <w:uiPriority w:val="0"/>
    <w:rPr>
      <w:b/>
      <w:bCs/>
      <w:kern w:val="2"/>
      <w:sz w:val="32"/>
      <w:szCs w:val="32"/>
    </w:rPr>
  </w:style>
  <w:style w:type="paragraph" w:styleId="43">
    <w:name w:val="No Spacing"/>
    <w:qFormat/>
    <w:uiPriority w:val="1"/>
    <w:pPr>
      <w:adjustRightInd w:val="0"/>
      <w:snapToGrid w:val="0"/>
    </w:pPr>
    <w:rPr>
      <w:rFonts w:ascii="Tahoma" w:hAnsi="Tahoma" w:eastAsia="微软雅黑" w:cs="Times New Roman"/>
      <w:sz w:val="22"/>
      <w:szCs w:val="22"/>
      <w:lang w:val="en-US" w:eastAsia="zh-CN" w:bidi="ar-SA"/>
    </w:rPr>
  </w:style>
  <w:style w:type="table" w:customStyle="1" w:styleId="44">
    <w:name w:val="Table Normal"/>
    <w:autoRedefine/>
    <w:semiHidden/>
    <w:unhideWhenUsed/>
    <w:qFormat/>
    <w:uiPriority w:val="0"/>
    <w:tblPr>
      <w:tblCellMar>
        <w:top w:w="0" w:type="dxa"/>
        <w:left w:w="0" w:type="dxa"/>
        <w:bottom w:w="0" w:type="dxa"/>
        <w:right w:w="0" w:type="dxa"/>
      </w:tblCellMar>
    </w:tblPr>
  </w:style>
  <w:style w:type="paragraph" w:customStyle="1" w:styleId="45">
    <w:name w:val="WPS Plain"/>
    <w:qFormat/>
    <w:uiPriority w:val="0"/>
    <w:rPr>
      <w:rFonts w:ascii="Times New Roman" w:hAnsi="Times New Roman" w:eastAsia="宋体" w:cs="Times New Roman"/>
      <w:lang w:val="en-US" w:eastAsia="zh-CN" w:bidi="ar-SA"/>
    </w:rPr>
  </w:style>
  <w:style w:type="paragraph" w:customStyle="1" w:styleId="4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header" Target="header10.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header" Target="header9.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138</Pages>
  <Words>38032</Words>
  <Characters>39671</Characters>
  <Lines>616</Lines>
  <Paragraphs>173</Paragraphs>
  <TotalTime>36</TotalTime>
  <ScaleCrop>false</ScaleCrop>
  <LinksUpToDate>false</LinksUpToDate>
  <CharactersWithSpaces>40030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2022-06-26T15:18:00Z</dcterms:created>
  <dc:creator>初见</dc:creator>
  <cp:lastModifiedBy>我是蠢蛋我怕谁</cp:lastModifiedBy>
  <cp:lastPrinted>2025-06-20T04:40:00Z</cp:lastPrinted>
  <dcterms:modified xsi:type="dcterms:W3CDTF">2026-05-21T10:17:45Z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802436BADD6C4440BC33D12BE2F27B49_13</vt:lpwstr>
  </property>
  <property fmtid="{D5CDD505-2E9C-101B-9397-08002B2CF9AE}" pid="4" name="KSOTemplateDocerSaveRecord">
    <vt:lpwstr>eyJoZGlkIjoiMmMzNTUwMjk2ODg2MmZjYzNiNDQzZjBlM2Q3OWRkNWYiLCJ1c2VySWQiOiIyODY3OTcwMSJ9</vt:lpwstr>
  </property>
</Properties>
</file>