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BE0AC">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仿宋" w:hAnsi="仿宋" w:eastAsia="仿宋" w:cs="仿宋"/>
          <w:b/>
          <w:color w:val="auto"/>
          <w:sz w:val="56"/>
          <w:szCs w:val="56"/>
          <w:highlight w:val="none"/>
          <w:lang w:eastAsia="zh-CN"/>
        </w:rPr>
      </w:pPr>
    </w:p>
    <w:p w14:paraId="03A17675">
      <w:pPr>
        <w:spacing w:line="312" w:lineRule="auto"/>
        <w:jc w:val="center"/>
        <w:rPr>
          <w:rFonts w:hint="eastAsia" w:ascii="仿宋" w:hAnsi="仿宋" w:eastAsia="仿宋" w:cs="仿宋"/>
          <w:b/>
          <w:color w:val="auto"/>
          <w:sz w:val="60"/>
          <w:szCs w:val="60"/>
          <w:highlight w:val="none"/>
          <w:lang w:eastAsia="zh-CN"/>
        </w:rPr>
      </w:pPr>
      <w:r>
        <w:rPr>
          <w:rFonts w:hint="eastAsia" w:ascii="仿宋" w:hAnsi="仿宋" w:eastAsia="仿宋" w:cs="仿宋"/>
          <w:b/>
          <w:color w:val="auto"/>
          <w:sz w:val="60"/>
          <w:szCs w:val="60"/>
          <w:highlight w:val="none"/>
          <w:lang w:val="en-US" w:eastAsia="zh-CN"/>
        </w:rPr>
        <w:t>武义县殡仪馆（新馆）绿化养护服务采购项目（第二次）</w:t>
      </w:r>
    </w:p>
    <w:p w14:paraId="4B0890F6">
      <w:pPr>
        <w:autoSpaceDE/>
        <w:autoSpaceDN/>
        <w:spacing w:line="312" w:lineRule="auto"/>
        <w:jc w:val="center"/>
        <w:rPr>
          <w:rFonts w:ascii="仿宋" w:hAnsi="仿宋" w:eastAsia="仿宋" w:cs="仿宋"/>
          <w:b/>
          <w:bCs/>
          <w:color w:val="auto"/>
          <w:sz w:val="84"/>
          <w:szCs w:val="84"/>
          <w:highlight w:val="none"/>
        </w:rPr>
      </w:pPr>
    </w:p>
    <w:p w14:paraId="32E948A6">
      <w:pPr>
        <w:autoSpaceDE/>
        <w:autoSpaceDN/>
        <w:spacing w:line="312" w:lineRule="auto"/>
        <w:jc w:val="center"/>
        <w:rPr>
          <w:rFonts w:ascii="仿宋" w:hAnsi="仿宋" w:eastAsia="仿宋" w:cs="仿宋"/>
          <w:b/>
          <w:bCs/>
          <w:color w:val="auto"/>
          <w:sz w:val="84"/>
          <w:szCs w:val="84"/>
          <w:highlight w:val="none"/>
        </w:rPr>
      </w:pPr>
    </w:p>
    <w:p w14:paraId="785BA98B">
      <w:pPr>
        <w:autoSpaceDE/>
        <w:autoSpaceDN/>
        <w:spacing w:line="312" w:lineRule="auto"/>
        <w:jc w:val="center"/>
        <w:rPr>
          <w:rFonts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公开招标采购文件</w:t>
      </w:r>
    </w:p>
    <w:p w14:paraId="2C27A59C">
      <w:pPr>
        <w:autoSpaceDE/>
        <w:autoSpaceDN/>
        <w:spacing w:line="312" w:lineRule="auto"/>
        <w:jc w:val="center"/>
        <w:rPr>
          <w:rFonts w:ascii="仿宋" w:hAnsi="仿宋" w:eastAsia="仿宋" w:cs="仿宋"/>
          <w:b/>
          <w:bCs/>
          <w:color w:val="auto"/>
          <w:w w:val="95"/>
          <w:kern w:val="0"/>
          <w:sz w:val="30"/>
          <w:szCs w:val="30"/>
          <w:highlight w:val="none"/>
        </w:rPr>
      </w:pPr>
      <w:r>
        <w:rPr>
          <w:rFonts w:hint="eastAsia" w:ascii="仿宋" w:eastAsia="仿宋" w:cs="仿宋"/>
          <w:b/>
          <w:bCs/>
          <w:color w:val="auto"/>
          <w:sz w:val="52"/>
          <w:szCs w:val="52"/>
          <w:highlight w:val="none"/>
          <w:lang w:eastAsia="zh-CN"/>
        </w:rPr>
        <w:t>（政采云电子标）</w:t>
      </w:r>
    </w:p>
    <w:p w14:paraId="6846275D">
      <w:pPr>
        <w:pStyle w:val="14"/>
        <w:snapToGrid w:val="0"/>
        <w:spacing w:before="120" w:after="120" w:line="312" w:lineRule="auto"/>
        <w:jc w:val="center"/>
        <w:rPr>
          <w:rFonts w:ascii="仿宋" w:hAnsi="仿宋" w:eastAsia="仿宋" w:cs="仿宋"/>
          <w:b/>
          <w:bCs/>
          <w:color w:val="auto"/>
          <w:w w:val="95"/>
          <w:kern w:val="0"/>
          <w:sz w:val="30"/>
          <w:szCs w:val="30"/>
          <w:highlight w:val="none"/>
        </w:rPr>
      </w:pPr>
    </w:p>
    <w:p w14:paraId="61A0C6F8">
      <w:pPr>
        <w:pStyle w:val="14"/>
        <w:snapToGrid w:val="0"/>
        <w:spacing w:before="120" w:after="120" w:line="312" w:lineRule="auto"/>
        <w:jc w:val="center"/>
        <w:rPr>
          <w:rFonts w:ascii="仿宋" w:hAnsi="仿宋" w:eastAsia="仿宋" w:cs="仿宋"/>
          <w:b/>
          <w:bCs/>
          <w:color w:val="auto"/>
          <w:w w:val="95"/>
          <w:kern w:val="0"/>
          <w:sz w:val="30"/>
          <w:szCs w:val="30"/>
          <w:highlight w:val="none"/>
        </w:rPr>
      </w:pPr>
    </w:p>
    <w:p w14:paraId="384809CC">
      <w:pPr>
        <w:pStyle w:val="14"/>
        <w:snapToGrid w:val="0"/>
        <w:spacing w:before="120" w:after="120" w:line="312" w:lineRule="auto"/>
        <w:jc w:val="center"/>
        <w:rPr>
          <w:rFonts w:ascii="仿宋" w:hAnsi="仿宋" w:eastAsia="仿宋" w:cs="仿宋"/>
          <w:b/>
          <w:bCs/>
          <w:color w:val="auto"/>
          <w:w w:val="95"/>
          <w:kern w:val="0"/>
          <w:sz w:val="30"/>
          <w:szCs w:val="30"/>
          <w:highlight w:val="none"/>
        </w:rPr>
      </w:pPr>
    </w:p>
    <w:p w14:paraId="158B82CC">
      <w:pPr>
        <w:pStyle w:val="14"/>
        <w:snapToGrid w:val="0"/>
        <w:spacing w:before="120" w:after="120" w:line="312" w:lineRule="auto"/>
        <w:jc w:val="center"/>
        <w:rPr>
          <w:rFonts w:ascii="仿宋" w:hAnsi="仿宋" w:eastAsia="仿宋" w:cs="仿宋"/>
          <w:b/>
          <w:bCs/>
          <w:color w:val="auto"/>
          <w:w w:val="95"/>
          <w:kern w:val="0"/>
          <w:sz w:val="30"/>
          <w:szCs w:val="30"/>
          <w:highlight w:val="none"/>
        </w:rPr>
      </w:pPr>
    </w:p>
    <w:p w14:paraId="1370EE88">
      <w:pPr>
        <w:keepNext w:val="0"/>
        <w:keepLines w:val="0"/>
        <w:pageBreakBefore w:val="0"/>
        <w:widowControl w:val="0"/>
        <w:kinsoku/>
        <w:wordWrap/>
        <w:overflowPunct/>
        <w:topLinePunct w:val="0"/>
        <w:bidi w:val="0"/>
        <w:spacing w:line="600" w:lineRule="auto"/>
        <w:ind w:firstLine="1124" w:firstLineChars="35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eastAsia="zh-CN"/>
        </w:rPr>
        <w:t>JHTK-ZB2026060</w:t>
      </w:r>
    </w:p>
    <w:p w14:paraId="1F657629">
      <w:pPr>
        <w:keepNext w:val="0"/>
        <w:keepLines w:val="0"/>
        <w:pageBreakBefore w:val="0"/>
        <w:widowControl w:val="0"/>
        <w:kinsoku/>
        <w:wordWrap/>
        <w:overflowPunct/>
        <w:topLinePunct w:val="0"/>
        <w:bidi w:val="0"/>
        <w:spacing w:line="600" w:lineRule="auto"/>
        <w:ind w:firstLine="1124" w:firstLineChars="350"/>
        <w:textAlignment w:val="auto"/>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采购单位：</w:t>
      </w:r>
      <w:r>
        <w:rPr>
          <w:rFonts w:hint="eastAsia" w:ascii="仿宋" w:hAnsi="仿宋" w:eastAsia="仿宋" w:cs="仿宋"/>
          <w:b/>
          <w:bCs/>
          <w:color w:val="auto"/>
          <w:sz w:val="32"/>
          <w:szCs w:val="32"/>
          <w:highlight w:val="none"/>
          <w:lang w:eastAsia="zh-CN"/>
        </w:rPr>
        <w:t>武义县殡仪馆</w:t>
      </w:r>
      <w:r>
        <w:rPr>
          <w:rFonts w:hint="eastAsia" w:ascii="仿宋" w:hAnsi="仿宋" w:eastAsia="仿宋" w:cs="仿宋"/>
          <w:b/>
          <w:bCs/>
          <w:color w:val="auto"/>
          <w:sz w:val="32"/>
          <w:szCs w:val="32"/>
          <w:highlight w:val="none"/>
        </w:rPr>
        <w:t>（盖章）</w:t>
      </w:r>
    </w:p>
    <w:p w14:paraId="1FEBA41F">
      <w:pPr>
        <w:pStyle w:val="14"/>
        <w:keepNext w:val="0"/>
        <w:keepLines w:val="0"/>
        <w:pageBreakBefore w:val="0"/>
        <w:widowControl w:val="0"/>
        <w:kinsoku/>
        <w:wordWrap/>
        <w:overflowPunct/>
        <w:topLinePunct w:val="0"/>
        <w:bidi w:val="0"/>
        <w:snapToGrid w:val="0"/>
        <w:spacing w:before="120" w:after="120" w:line="600" w:lineRule="auto"/>
        <w:ind w:firstLine="1124" w:firstLineChars="350"/>
        <w:textAlignment w:val="auto"/>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代理机构：金华同慷建设管理咨询有限公司（盖章）</w:t>
      </w:r>
    </w:p>
    <w:p w14:paraId="7F240E75">
      <w:pPr>
        <w:pStyle w:val="14"/>
        <w:snapToGrid w:val="0"/>
        <w:spacing w:before="120" w:after="120" w:line="312"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二〇二</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月</w:t>
      </w:r>
    </w:p>
    <w:p w14:paraId="30DC9F88">
      <w:pPr>
        <w:keepNext w:val="0"/>
        <w:keepLines w:val="0"/>
        <w:pageBreakBefore w:val="0"/>
        <w:kinsoku/>
        <w:wordWrap/>
        <w:overflowPunct/>
        <w:topLinePunct w:val="0"/>
        <w:bidi w:val="0"/>
        <w:spacing w:line="240" w:lineRule="auto"/>
        <w:ind w:firstLine="643" w:firstLineChars="200"/>
        <w:textAlignment w:val="auto"/>
        <w:rPr>
          <w:rFonts w:hint="eastAsia" w:ascii="仿宋_GB2312" w:hAnsi="Times New Roman" w:eastAsia="仿宋_GB2312" w:cs="Times New Roman"/>
          <w:b/>
          <w:color w:val="auto"/>
          <w:sz w:val="32"/>
          <w:szCs w:val="32"/>
          <w:highlight w:val="none"/>
          <w:lang w:eastAsia="zh-CN"/>
        </w:rPr>
      </w:pPr>
    </w:p>
    <w:p w14:paraId="3073F841">
      <w:pPr>
        <w:pStyle w:val="38"/>
        <w:rPr>
          <w:rFonts w:hint="eastAsia"/>
          <w:color w:val="auto"/>
          <w:highlight w:val="none"/>
          <w:lang w:eastAsia="zh-CN"/>
        </w:rPr>
        <w:sectPr>
          <w:headerReference r:id="rId4" w:type="first"/>
          <w:footerReference r:id="rId5" w:type="first"/>
          <w:headerReference r:id="rId3" w:type="default"/>
          <w:pgSz w:w="11906" w:h="16838"/>
          <w:pgMar w:top="1247" w:right="1134" w:bottom="1020" w:left="1418" w:header="851" w:footer="907" w:gutter="0"/>
          <w:pgBorders>
            <w:top w:val="none" w:sz="0" w:space="0"/>
            <w:left w:val="none" w:sz="0" w:space="0"/>
            <w:bottom w:val="none" w:sz="0" w:space="0"/>
            <w:right w:val="none" w:sz="0" w:space="0"/>
          </w:pgBorders>
          <w:pgNumType w:fmt="decimal" w:start="1"/>
          <w:cols w:space="720" w:num="1"/>
          <w:docGrid w:type="lines" w:linePitch="312" w:charSpace="0"/>
        </w:sectPr>
      </w:pPr>
    </w:p>
    <w:p w14:paraId="335CF031">
      <w:pPr>
        <w:spacing w:line="312" w:lineRule="auto"/>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711340E0">
      <w:pPr>
        <w:spacing w:line="312" w:lineRule="auto"/>
        <w:jc w:val="center"/>
        <w:rPr>
          <w:rFonts w:ascii="仿宋" w:hAnsi="仿宋" w:eastAsia="仿宋" w:cs="仿宋"/>
          <w:b/>
          <w:color w:val="auto"/>
          <w:sz w:val="44"/>
          <w:szCs w:val="44"/>
          <w:highlight w:val="none"/>
        </w:rPr>
      </w:pPr>
    </w:p>
    <w:p w14:paraId="75F3C62A">
      <w:pPr>
        <w:spacing w:line="312" w:lineRule="auto"/>
        <w:jc w:val="center"/>
        <w:rPr>
          <w:rFonts w:ascii="仿宋" w:hAnsi="仿宋" w:eastAsia="仿宋" w:cs="仿宋"/>
          <w:color w:val="auto"/>
          <w:highlight w:val="none"/>
        </w:rPr>
      </w:pPr>
    </w:p>
    <w:p w14:paraId="5C5B7414">
      <w:pPr>
        <w:snapToGrid w:val="0"/>
        <w:spacing w:line="360" w:lineRule="auto"/>
        <w:ind w:firstLine="1807" w:firstLineChars="500"/>
        <w:jc w:val="left"/>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第一章    招标公告</w:t>
      </w:r>
    </w:p>
    <w:p w14:paraId="10B4F1E4">
      <w:pPr>
        <w:snapToGrid w:val="0"/>
        <w:spacing w:line="360" w:lineRule="auto"/>
        <w:ind w:firstLine="1807" w:firstLineChars="500"/>
        <w:jc w:val="left"/>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第二章    投标须知</w:t>
      </w:r>
    </w:p>
    <w:p w14:paraId="41CC7C4C">
      <w:pPr>
        <w:snapToGrid w:val="0"/>
        <w:spacing w:line="360" w:lineRule="auto"/>
        <w:ind w:firstLine="1807" w:firstLineChars="500"/>
        <w:jc w:val="left"/>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第三章    招标需求</w:t>
      </w:r>
    </w:p>
    <w:p w14:paraId="4E67AF9C">
      <w:pPr>
        <w:snapToGrid w:val="0"/>
        <w:spacing w:line="360" w:lineRule="auto"/>
        <w:ind w:firstLine="1807" w:firstLineChars="500"/>
        <w:jc w:val="left"/>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第四章    评标办法及评分标准</w:t>
      </w:r>
    </w:p>
    <w:p w14:paraId="1A38F620">
      <w:pPr>
        <w:snapToGrid w:val="0"/>
        <w:spacing w:line="360" w:lineRule="auto"/>
        <w:ind w:firstLine="1807" w:firstLineChars="500"/>
        <w:jc w:val="left"/>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第五章    政府采购合同</w:t>
      </w:r>
    </w:p>
    <w:p w14:paraId="031B61C2">
      <w:pPr>
        <w:snapToGrid w:val="0"/>
        <w:spacing w:line="360" w:lineRule="auto"/>
        <w:ind w:firstLine="1807" w:firstLineChars="500"/>
        <w:jc w:val="left"/>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第六章    应提交的有关格式范例</w:t>
      </w:r>
    </w:p>
    <w:p w14:paraId="0362A3E7">
      <w:pPr>
        <w:snapToGrid w:val="0"/>
        <w:spacing w:line="360" w:lineRule="auto"/>
        <w:ind w:firstLine="1807" w:firstLineChars="500"/>
        <w:jc w:val="left"/>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14:paraId="12C3796A">
      <w:pPr>
        <w:snapToGrid w:val="0"/>
        <w:spacing w:line="312" w:lineRule="auto"/>
        <w:ind w:firstLine="1807" w:firstLineChars="500"/>
        <w:jc w:val="left"/>
        <w:rPr>
          <w:rFonts w:ascii="仿宋" w:hAnsi="仿宋" w:eastAsia="仿宋" w:cs="仿宋"/>
          <w:b/>
          <w:color w:val="auto"/>
          <w:sz w:val="36"/>
          <w:szCs w:val="36"/>
          <w:highlight w:val="none"/>
        </w:rPr>
      </w:pPr>
    </w:p>
    <w:p w14:paraId="27B990BA">
      <w:pPr>
        <w:spacing w:line="312" w:lineRule="auto"/>
        <w:rPr>
          <w:rStyle w:val="32"/>
          <w:rFonts w:ascii="仿宋" w:hAnsi="仿宋" w:eastAsia="仿宋" w:cs="仿宋"/>
          <w:color w:val="auto"/>
          <w:sz w:val="30"/>
          <w:highlight w:val="none"/>
        </w:rPr>
      </w:pPr>
    </w:p>
    <w:p w14:paraId="68D5267B">
      <w:pPr>
        <w:spacing w:line="312" w:lineRule="auto"/>
        <w:rPr>
          <w:rStyle w:val="32"/>
          <w:rFonts w:ascii="仿宋" w:hAnsi="仿宋" w:eastAsia="仿宋" w:cs="仿宋"/>
          <w:color w:val="auto"/>
          <w:sz w:val="30"/>
          <w:highlight w:val="none"/>
        </w:rPr>
      </w:pPr>
    </w:p>
    <w:p w14:paraId="1E979895">
      <w:pPr>
        <w:pStyle w:val="2"/>
        <w:spacing w:line="312" w:lineRule="auto"/>
        <w:ind w:firstLine="480"/>
        <w:rPr>
          <w:rFonts w:ascii="仿宋" w:hAnsi="仿宋" w:eastAsia="仿宋" w:cs="仿宋"/>
          <w:color w:val="auto"/>
          <w:highlight w:val="none"/>
        </w:rPr>
      </w:pPr>
    </w:p>
    <w:p w14:paraId="3BC2524E">
      <w:pPr>
        <w:spacing w:line="312" w:lineRule="auto"/>
        <w:rPr>
          <w:rStyle w:val="32"/>
          <w:rFonts w:ascii="仿宋" w:hAnsi="仿宋" w:eastAsia="仿宋" w:cs="仿宋"/>
          <w:color w:val="auto"/>
          <w:sz w:val="30"/>
          <w:highlight w:val="none"/>
        </w:rPr>
      </w:pPr>
    </w:p>
    <w:p w14:paraId="4D0C9C85">
      <w:pPr>
        <w:pStyle w:val="2"/>
        <w:spacing w:line="312" w:lineRule="auto"/>
        <w:ind w:firstLine="480"/>
        <w:rPr>
          <w:rFonts w:ascii="仿宋" w:hAnsi="仿宋" w:eastAsia="仿宋" w:cs="仿宋"/>
          <w:color w:val="auto"/>
          <w:highlight w:val="none"/>
        </w:rPr>
      </w:pPr>
    </w:p>
    <w:p w14:paraId="15CE9815">
      <w:pPr>
        <w:rPr>
          <w:rFonts w:ascii="仿宋" w:hAnsi="仿宋" w:eastAsia="仿宋" w:cs="仿宋"/>
          <w:color w:val="auto"/>
          <w:sz w:val="36"/>
          <w:szCs w:val="36"/>
          <w:highlight w:val="none"/>
        </w:rPr>
      </w:pPr>
      <w:bookmarkStart w:id="0" w:name="_Toc125344501"/>
    </w:p>
    <w:bookmarkEnd w:id="0"/>
    <w:p w14:paraId="2AED4097">
      <w:pPr>
        <w:jc w:val="center"/>
        <w:rPr>
          <w:rFonts w:hint="eastAsia" w:ascii="仿宋" w:hAnsi="仿宋" w:eastAsia="仿宋" w:cs="仿宋"/>
          <w:b/>
          <w:color w:val="auto"/>
          <w:kern w:val="44"/>
          <w:sz w:val="36"/>
          <w:szCs w:val="36"/>
          <w:highlight w:val="none"/>
        </w:rPr>
        <w:sectPr>
          <w:footerReference r:id="rId7" w:type="first"/>
          <w:footerReference r:id="rId6" w:type="default"/>
          <w:pgSz w:w="11906" w:h="16838"/>
          <w:pgMar w:top="1247" w:right="1134" w:bottom="1020" w:left="1418" w:header="851" w:footer="907" w:gutter="0"/>
          <w:pgBorders>
            <w:top w:val="none" w:sz="0" w:space="0"/>
            <w:left w:val="none" w:sz="0" w:space="0"/>
            <w:bottom w:val="none" w:sz="0" w:space="0"/>
            <w:right w:val="none" w:sz="0" w:space="0"/>
          </w:pgBorders>
          <w:pgNumType w:fmt="decimal"/>
          <w:cols w:space="720" w:num="1"/>
          <w:docGrid w:type="lines" w:linePitch="312" w:charSpace="0"/>
        </w:sectPr>
      </w:pPr>
      <w:bookmarkStart w:id="1" w:name="_Toc125344502"/>
    </w:p>
    <w:p w14:paraId="2B359E78">
      <w:pPr>
        <w:jc w:val="center"/>
        <w:outlineLvl w:val="0"/>
        <w:rPr>
          <w:rFonts w:ascii="仿宋" w:hAnsi="仿宋" w:eastAsia="仿宋" w:cs="仿宋"/>
          <w:color w:val="auto"/>
          <w:highlight w:val="none"/>
        </w:rPr>
      </w:pPr>
      <w:r>
        <w:rPr>
          <w:rFonts w:hint="eastAsia" w:ascii="仿宋" w:hAnsi="仿宋" w:eastAsia="仿宋" w:cs="仿宋"/>
          <w:b/>
          <w:color w:val="auto"/>
          <w:kern w:val="44"/>
          <w:sz w:val="36"/>
          <w:szCs w:val="36"/>
          <w:highlight w:val="none"/>
        </w:rPr>
        <w:t>第一章  招标公告</w:t>
      </w:r>
    </w:p>
    <w:tbl>
      <w:tblPr>
        <w:tblStyle w:val="27"/>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2"/>
      </w:tblGrid>
      <w:tr w14:paraId="25F2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9682" w:type="dxa"/>
          </w:tcPr>
          <w:p w14:paraId="5047690F">
            <w:pPr>
              <w:pStyle w:val="25"/>
              <w:spacing w:before="0" w:beforeAutospacing="0" w:after="0" w:afterAutospacing="0"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2CDBC274">
            <w:pPr>
              <w:pStyle w:val="25"/>
              <w:spacing w:before="0" w:beforeAutospacing="0" w:after="0" w:afterAutospacing="0" w:line="4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武义县殡仪馆（新馆）绿化养护服务采购项目（第二次）</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u w:val="single"/>
              </w:rPr>
              <w:t>浙江政府采购网www.zjzfcg.gov.cn/</w:t>
            </w:r>
            <w:r>
              <w:rPr>
                <w:rFonts w:hint="eastAsia" w:ascii="仿宋" w:hAnsi="仿宋" w:eastAsia="仿宋" w:cs="仿宋"/>
                <w:color w:val="auto"/>
                <w:sz w:val="24"/>
                <w:szCs w:val="24"/>
                <w:highlight w:val="none"/>
              </w:rPr>
              <w:t>获取（下载）招标文件，并于</w:t>
            </w:r>
            <w:r>
              <w:rPr>
                <w:rFonts w:hint="eastAsia" w:ascii="仿宋" w:hAnsi="仿宋" w:eastAsia="仿宋" w:cs="仿宋"/>
                <w:color w:val="auto"/>
                <w:sz w:val="24"/>
                <w:szCs w:val="24"/>
                <w:highlight w:val="none"/>
                <w:u w:val="single"/>
                <w:lang w:eastAsia="zh-CN"/>
              </w:rPr>
              <w:t>2026年5月27日14:30时</w:t>
            </w:r>
            <w:r>
              <w:rPr>
                <w:rFonts w:hint="eastAsia" w:ascii="仿宋" w:hAnsi="仿宋" w:eastAsia="仿宋" w:cs="仿宋"/>
                <w:color w:val="auto"/>
                <w:sz w:val="24"/>
                <w:szCs w:val="24"/>
                <w:highlight w:val="none"/>
              </w:rPr>
              <w:t>（北京时间）前递交（上传）投标文件。</w:t>
            </w:r>
          </w:p>
        </w:tc>
      </w:tr>
      <w:bookmarkEnd w:id="1"/>
    </w:tbl>
    <w:p w14:paraId="680819A5">
      <w:pPr>
        <w:pStyle w:val="25"/>
        <w:spacing w:before="0" w:beforeAutospacing="0" w:after="0" w:afterAutospacing="0" w:line="336" w:lineRule="auto"/>
        <w:jc w:val="both"/>
        <w:outlineLvl w:val="1"/>
        <w:rPr>
          <w:rFonts w:hint="eastAsia" w:ascii="仿宋" w:hAnsi="仿宋" w:eastAsia="仿宋" w:cs="仿宋"/>
          <w:color w:val="auto"/>
          <w:sz w:val="24"/>
          <w:szCs w:val="24"/>
          <w:highlight w:val="none"/>
        </w:rPr>
      </w:pPr>
      <w:bookmarkStart w:id="2" w:name="_Toc125344503"/>
      <w:r>
        <w:rPr>
          <w:rStyle w:val="30"/>
          <w:rFonts w:hint="eastAsia" w:ascii="仿宋" w:hAnsi="仿宋" w:eastAsia="仿宋" w:cs="仿宋"/>
          <w:color w:val="auto"/>
          <w:sz w:val="24"/>
          <w:szCs w:val="24"/>
          <w:highlight w:val="none"/>
        </w:rPr>
        <w:t>一、项目基本情况</w:t>
      </w:r>
    </w:p>
    <w:p w14:paraId="5EDEDDCC">
      <w:pPr>
        <w:pStyle w:val="25"/>
        <w:spacing w:before="0" w:beforeAutospacing="0" w:after="0" w:afterAutospacing="0"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采购组织类型：分散采购-委托代理</w:t>
      </w:r>
    </w:p>
    <w:p w14:paraId="30856FD7">
      <w:pPr>
        <w:pStyle w:val="25"/>
        <w:spacing w:before="0" w:beforeAutospacing="0" w:after="0" w:afterAutospacing="0"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JHTK-ZB2026060</w:t>
      </w:r>
    </w:p>
    <w:p w14:paraId="6986955E">
      <w:pPr>
        <w:pStyle w:val="25"/>
        <w:spacing w:before="0" w:beforeAutospacing="0" w:after="0" w:afterAutospacing="0" w:line="336"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武义县殡仪馆（新馆）绿化养护服务采购项目（第二次）</w:t>
      </w:r>
    </w:p>
    <w:p w14:paraId="257F52C1">
      <w:pPr>
        <w:pStyle w:val="25"/>
        <w:spacing w:before="0" w:beforeAutospacing="0" w:after="0" w:afterAutospacing="0"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采购计划书号：临[2026]311号</w:t>
      </w:r>
    </w:p>
    <w:p w14:paraId="706FB61B">
      <w:pPr>
        <w:pStyle w:val="25"/>
        <w:spacing w:before="0" w:beforeAutospacing="0" w:after="0" w:afterAutospacing="0" w:line="336"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392000</w:t>
      </w:r>
    </w:p>
    <w:p w14:paraId="7F5E2479">
      <w:pPr>
        <w:pStyle w:val="25"/>
        <w:spacing w:before="0" w:beforeAutospacing="0" w:after="0" w:afterAutospacing="0" w:line="336" w:lineRule="auto"/>
        <w:ind w:firstLine="480"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392000</w:t>
      </w:r>
    </w:p>
    <w:p w14:paraId="6A216883">
      <w:pPr>
        <w:pStyle w:val="25"/>
        <w:spacing w:before="0" w:beforeAutospacing="0" w:after="0" w:afterAutospacing="0"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评标办法：综合评分法</w:t>
      </w:r>
    </w:p>
    <w:p w14:paraId="66672D79">
      <w:pPr>
        <w:pStyle w:val="25"/>
        <w:spacing w:before="0" w:beforeAutospacing="0" w:after="0" w:afterAutospacing="0"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自合同签订生效之日起为期二年</w:t>
      </w:r>
    </w:p>
    <w:p w14:paraId="39256494">
      <w:pPr>
        <w:pStyle w:val="25"/>
        <w:spacing w:before="0" w:beforeAutospacing="0" w:after="0" w:afterAutospacing="0"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 否 ）接受联合体投标</w:t>
      </w:r>
    </w:p>
    <w:p w14:paraId="03CF6245">
      <w:pPr>
        <w:pStyle w:val="25"/>
        <w:spacing w:before="0" w:beforeAutospacing="0" w:after="0" w:afterAutospacing="0" w:line="336" w:lineRule="auto"/>
        <w:jc w:val="both"/>
        <w:outlineLvl w:val="1"/>
        <w:rPr>
          <w:rStyle w:val="30"/>
          <w:rFonts w:hint="eastAsia" w:ascii="仿宋" w:hAnsi="仿宋" w:eastAsia="仿宋" w:cs="仿宋"/>
          <w:color w:val="auto"/>
          <w:sz w:val="24"/>
          <w:szCs w:val="24"/>
          <w:highlight w:val="none"/>
        </w:rPr>
      </w:pPr>
      <w:r>
        <w:rPr>
          <w:rStyle w:val="30"/>
          <w:rFonts w:hint="eastAsia" w:ascii="仿宋" w:hAnsi="仿宋" w:eastAsia="仿宋" w:cs="仿宋"/>
          <w:color w:val="auto"/>
          <w:sz w:val="24"/>
          <w:szCs w:val="24"/>
          <w:highlight w:val="none"/>
        </w:rPr>
        <w:t>二、申请人的资格要求：</w:t>
      </w:r>
    </w:p>
    <w:p w14:paraId="4004B882">
      <w:pPr>
        <w:pageBreakBefore w:val="0"/>
        <w:kinsoku/>
        <w:wordWrap/>
        <w:overflowPunct/>
        <w:topLinePunct w:val="0"/>
        <w:autoSpaceDE/>
        <w:autoSpaceDN/>
        <w:bidi w:val="0"/>
        <w:adjustRightInd/>
        <w:spacing w:line="360" w:lineRule="exact"/>
        <w:ind w:firstLine="480" w:firstLineChars="200"/>
        <w:jc w:val="left"/>
        <w:textAlignment w:val="auto"/>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1.符合《中华人民共和国政府采购法》第二十二条规定</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且</w:t>
      </w:r>
      <w:r>
        <w:rPr>
          <w:rFonts w:hint="eastAsia" w:ascii="仿宋" w:hAnsi="仿宋" w:eastAsia="仿宋" w:cs="仿宋"/>
          <w:color w:val="auto"/>
          <w:kern w:val="2"/>
          <w:sz w:val="24"/>
          <w:szCs w:val="24"/>
          <w:highlight w:val="none"/>
        </w:rPr>
        <w:t>未被“信用中国”（www.creditchina.gov.cn）、中国政府采购网（www.ccgp.gov.cn）列入失信被执行人、重大税收违法案件当事人名单、政府采购严重违法失信行为记录名单；</w:t>
      </w:r>
    </w:p>
    <w:p w14:paraId="4F74AFFD">
      <w:pPr>
        <w:pageBreakBefore w:val="0"/>
        <w:widowControl/>
        <w:kinsoku/>
        <w:wordWrap/>
        <w:overflowPunct/>
        <w:topLinePunct w:val="0"/>
        <w:autoSpaceDE/>
        <w:autoSpaceDN/>
        <w:bidi w:val="0"/>
        <w:snapToGrid w:val="0"/>
        <w:spacing w:line="360" w:lineRule="exact"/>
        <w:ind w:firstLine="480" w:firstLineChars="200"/>
        <w:jc w:val="left"/>
        <w:textAlignment w:val="auto"/>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bidi="ar"/>
        </w:rPr>
        <w:t>落实政策：</w:t>
      </w:r>
    </w:p>
    <w:p w14:paraId="4773967F">
      <w:pPr>
        <w:pStyle w:val="2"/>
        <w:pageBreakBefore w:val="0"/>
        <w:kinsoku/>
        <w:wordWrap/>
        <w:overflowPunct/>
        <w:topLinePunct w:val="0"/>
        <w:bidi w:val="0"/>
        <w:spacing w:after="0" w:line="360" w:lineRule="exact"/>
        <w:ind w:left="0" w:leftChars="0" w:firstLine="480"/>
        <w:textAlignment w:val="auto"/>
        <w:rPr>
          <w:rFonts w:hint="eastAsia" w:ascii="仿宋" w:hAnsi="仿宋" w:eastAsia="仿宋" w:cs="仿宋"/>
          <w:color w:val="auto"/>
          <w:kern w:val="0"/>
          <w:szCs w:val="24"/>
          <w:highlight w:val="none"/>
          <w:lang w:val="en-US" w:eastAsia="zh-CN" w:bidi="ar"/>
        </w:rPr>
      </w:pPr>
      <w:r>
        <w:rPr>
          <w:rFonts w:hint="eastAsia" w:ascii="仿宋" w:hAnsi="仿宋" w:eastAsia="仿宋" w:cs="仿宋"/>
          <w:color w:val="auto"/>
          <w:kern w:val="0"/>
          <w:szCs w:val="24"/>
          <w:highlight w:val="none"/>
          <w:lang w:bidi="ar"/>
        </w:rPr>
        <w:t>（1）落实政府采购政策需满足的资格要求：</w:t>
      </w:r>
    </w:p>
    <w:p w14:paraId="5A937EB0">
      <w:pPr>
        <w:ind w:firstLine="480" w:firstLineChars="200"/>
        <w:rPr>
          <w:rFonts w:hint="default" w:eastAsia="仿宋"/>
          <w:color w:val="auto"/>
          <w:sz w:val="24"/>
          <w:szCs w:val="24"/>
          <w:highlight w:val="none"/>
          <w:lang w:val="en-US" w:eastAsia="zh-CN"/>
        </w:rPr>
      </w:pPr>
      <w:r>
        <w:rPr>
          <w:rFonts w:hint="eastAsia" w:ascii="仿宋" w:hAnsi="仿宋" w:eastAsia="仿宋" w:cs="仿宋"/>
          <w:color w:val="auto"/>
          <w:sz w:val="24"/>
          <w:szCs w:val="22"/>
          <w:highlight w:val="none"/>
        </w:rPr>
        <w:sym w:font="Wingdings" w:char="00FE"/>
      </w:r>
      <w:r>
        <w:rPr>
          <w:rFonts w:hint="eastAsia" w:ascii="仿宋" w:hAnsi="仿宋" w:eastAsia="仿宋" w:cs="仿宋"/>
          <w:color w:val="auto"/>
          <w:kern w:val="0"/>
          <w:sz w:val="24"/>
          <w:szCs w:val="32"/>
          <w:highlight w:val="none"/>
          <w:lang w:val="en-US" w:eastAsia="zh-CN" w:bidi="ar"/>
        </w:rPr>
        <w:t>专门面向中小企业（中小微企业包括政府采购支持监狱企业发展、政府采购促进残疾人就业）：</w:t>
      </w:r>
    </w:p>
    <w:p w14:paraId="724FE449">
      <w:pPr>
        <w:pageBreakBefore w:val="0"/>
        <w:kinsoku/>
        <w:wordWrap/>
        <w:overflowPunct/>
        <w:topLinePunct w:val="0"/>
        <w:bidi w:val="0"/>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rPr>
        <w:sym w:font="Wingdings" w:char="00FE"/>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全部由符合政策要求的中小企业承接，提供中小企业声明函；</w:t>
      </w:r>
    </w:p>
    <w:p w14:paraId="42DC5FFF">
      <w:pPr>
        <w:pageBreakBefore w:val="0"/>
        <w:widowControl/>
        <w:kinsoku/>
        <w:wordWrap/>
        <w:overflowPunct/>
        <w:topLinePunct w:val="0"/>
        <w:autoSpaceDE/>
        <w:autoSpaceDN/>
        <w:bidi w:val="0"/>
        <w:snapToGrid w:val="0"/>
        <w:spacing w:line="360" w:lineRule="exact"/>
        <w:ind w:firstLine="480"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color w:val="auto"/>
          <w:sz w:val="24"/>
          <w:szCs w:val="22"/>
          <w:highlight w:val="none"/>
        </w:rPr>
        <w:sym w:font="Wingdings" w:char="00FE"/>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全部由符合政策要求的小微企业承接，提供中小企业声明函；</w:t>
      </w:r>
    </w:p>
    <w:p w14:paraId="596F5630">
      <w:pPr>
        <w:pageBreakBefore w:val="0"/>
        <w:numPr>
          <w:ilvl w:val="0"/>
          <w:numId w:val="0"/>
        </w:numPr>
        <w:kinsoku/>
        <w:wordWrap/>
        <w:overflowPunct/>
        <w:topLinePunct w:val="0"/>
        <w:autoSpaceDE/>
        <w:autoSpaceDN/>
        <w:bidi w:val="0"/>
        <w:adjustRightInd/>
        <w:spacing w:line="3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本项目的特定资格要求：</w:t>
      </w:r>
      <w:r>
        <w:rPr>
          <w:rFonts w:hint="eastAsia" w:ascii="仿宋" w:hAnsi="仿宋" w:eastAsia="仿宋" w:cs="仿宋"/>
          <w:b w:val="0"/>
          <w:bCs w:val="0"/>
          <w:color w:val="auto"/>
          <w:sz w:val="24"/>
          <w:szCs w:val="24"/>
          <w:highlight w:val="none"/>
          <w:lang w:eastAsia="zh-CN"/>
        </w:rPr>
        <w:t>无。</w:t>
      </w:r>
    </w:p>
    <w:p w14:paraId="7465AA04">
      <w:pPr>
        <w:pStyle w:val="25"/>
        <w:spacing w:before="0" w:beforeAutospacing="0" w:after="0" w:afterAutospacing="0" w:line="336" w:lineRule="auto"/>
        <w:jc w:val="both"/>
        <w:outlineLvl w:val="1"/>
        <w:rPr>
          <w:rStyle w:val="30"/>
          <w:rFonts w:hint="eastAsia" w:ascii="仿宋" w:hAnsi="仿宋" w:eastAsia="仿宋" w:cs="仿宋"/>
          <w:color w:val="auto"/>
          <w:sz w:val="24"/>
          <w:szCs w:val="24"/>
          <w:highlight w:val="none"/>
        </w:rPr>
      </w:pPr>
      <w:r>
        <w:rPr>
          <w:rStyle w:val="30"/>
          <w:rFonts w:hint="eastAsia" w:ascii="仿宋" w:hAnsi="仿宋" w:eastAsia="仿宋" w:cs="仿宋"/>
          <w:color w:val="auto"/>
          <w:sz w:val="24"/>
          <w:szCs w:val="24"/>
          <w:highlight w:val="none"/>
        </w:rPr>
        <w:t>三、获取招标文件</w:t>
      </w:r>
    </w:p>
    <w:p w14:paraId="48CEC9FD">
      <w:pPr>
        <w:pStyle w:val="25"/>
        <w:spacing w:before="0" w:beforeAutospacing="0" w:after="0" w:afterAutospacing="0"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公告发布</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eastAsia="zh-CN"/>
        </w:rPr>
        <w:t>2026年5月27日</w:t>
      </w:r>
      <w:bookmarkStart w:id="24" w:name="_GoBack"/>
      <w:bookmarkEnd w:id="24"/>
      <w:r>
        <w:rPr>
          <w:rFonts w:hint="eastAsia" w:ascii="仿宋" w:hAnsi="仿宋" w:eastAsia="仿宋" w:cs="仿宋"/>
          <w:color w:val="auto"/>
          <w:sz w:val="24"/>
          <w:szCs w:val="24"/>
          <w:highlight w:val="none"/>
          <w:lang w:eastAsia="zh-CN"/>
        </w:rPr>
        <w:t>14:30时</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每天上午00:00至12:00，下午12:00至23:59（北京时间，线上获取法定节假日均可，线下获取文件法定节假日除外）。</w:t>
      </w:r>
    </w:p>
    <w:p w14:paraId="69102A29">
      <w:pPr>
        <w:pStyle w:val="25"/>
        <w:spacing w:before="0" w:beforeAutospacing="0" w:after="0" w:afterAutospacing="0"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地点（网址）：政采云平台线上获取</w:t>
      </w:r>
    </w:p>
    <w:p w14:paraId="6F776FE1">
      <w:pPr>
        <w:pStyle w:val="25"/>
        <w:spacing w:before="0" w:beforeAutospacing="0" w:after="0" w:afterAutospacing="0" w:line="336"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w:t>
      </w:r>
      <w:r>
        <w:rPr>
          <w:rFonts w:hint="eastAsia" w:ascii="仿宋" w:hAnsi="仿宋" w:eastAsia="仿宋" w:cs="仿宋"/>
          <w:color w:val="auto"/>
          <w:sz w:val="24"/>
          <w:szCs w:val="24"/>
          <w:highlight w:val="none"/>
          <w:lang w:eastAsia="zh-CN"/>
        </w:rPr>
        <w:t>。</w:t>
      </w:r>
    </w:p>
    <w:p w14:paraId="0744D820">
      <w:pPr>
        <w:pStyle w:val="25"/>
        <w:spacing w:before="0" w:beforeAutospacing="0" w:after="0" w:afterAutospacing="0" w:line="33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 </w:t>
      </w:r>
    </w:p>
    <w:p w14:paraId="02CDEC51">
      <w:pPr>
        <w:pStyle w:val="25"/>
        <w:spacing w:before="0" w:beforeAutospacing="0" w:after="0" w:afterAutospacing="0" w:line="336" w:lineRule="auto"/>
        <w:jc w:val="both"/>
        <w:outlineLvl w:val="1"/>
        <w:rPr>
          <w:rStyle w:val="30"/>
          <w:rFonts w:hint="eastAsia" w:ascii="仿宋" w:hAnsi="仿宋" w:eastAsia="仿宋" w:cs="仿宋"/>
          <w:color w:val="auto"/>
          <w:sz w:val="24"/>
          <w:szCs w:val="24"/>
          <w:highlight w:val="none"/>
        </w:rPr>
      </w:pPr>
      <w:r>
        <w:rPr>
          <w:rStyle w:val="30"/>
          <w:rFonts w:hint="eastAsia" w:ascii="仿宋" w:hAnsi="仿宋" w:eastAsia="仿宋" w:cs="仿宋"/>
          <w:color w:val="auto"/>
          <w:sz w:val="24"/>
          <w:szCs w:val="24"/>
          <w:highlight w:val="none"/>
        </w:rPr>
        <w:t>四、提交投标文件截止时间、开标时间和地点</w:t>
      </w:r>
    </w:p>
    <w:p w14:paraId="1F8FE51B">
      <w:pPr>
        <w:pStyle w:val="25"/>
        <w:spacing w:before="75" w:beforeAutospacing="0" w:after="75" w:afterAutospacing="0" w:line="33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提交投标文件截止时间：</w:t>
      </w:r>
      <w:r>
        <w:rPr>
          <w:rFonts w:hint="eastAsia" w:ascii="仿宋" w:hAnsi="仿宋" w:eastAsia="仿宋" w:cs="仿宋"/>
          <w:color w:val="auto"/>
          <w:sz w:val="24"/>
          <w:szCs w:val="24"/>
          <w:highlight w:val="none"/>
          <w:u w:val="single"/>
          <w:lang w:eastAsia="zh-CN"/>
        </w:rPr>
        <w:t>2026年5月27日14:30时</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北京时间）</w:t>
      </w:r>
    </w:p>
    <w:p w14:paraId="1D015492">
      <w:pPr>
        <w:pStyle w:val="25"/>
        <w:spacing w:before="75" w:beforeAutospacing="0" w:after="75" w:afterAutospacing="0" w:line="33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投标地点（网址）：</w:t>
      </w:r>
      <w:r>
        <w:rPr>
          <w:rFonts w:hint="eastAsia" w:ascii="仿宋" w:hAnsi="仿宋" w:eastAsia="仿宋" w:cs="仿宋"/>
          <w:color w:val="auto"/>
          <w:sz w:val="24"/>
          <w:szCs w:val="24"/>
          <w:highlight w:val="none"/>
          <w:u w:val="single"/>
        </w:rPr>
        <w:t>请登录政采云投标客户端投标</w:t>
      </w:r>
    </w:p>
    <w:p w14:paraId="0998D148">
      <w:pPr>
        <w:pStyle w:val="25"/>
        <w:spacing w:before="75" w:beforeAutospacing="0" w:after="75" w:afterAutospacing="0" w:line="336"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开标时间：</w:t>
      </w:r>
      <w:r>
        <w:rPr>
          <w:rFonts w:hint="eastAsia" w:ascii="仿宋" w:hAnsi="仿宋" w:eastAsia="仿宋" w:cs="仿宋"/>
          <w:color w:val="auto"/>
          <w:sz w:val="24"/>
          <w:szCs w:val="24"/>
          <w:highlight w:val="none"/>
          <w:u w:val="single"/>
          <w:lang w:eastAsia="zh-CN"/>
        </w:rPr>
        <w:t>2026年5月6日14:30</w:t>
      </w:r>
    </w:p>
    <w:p w14:paraId="5086E4DF">
      <w:pPr>
        <w:pStyle w:val="25"/>
        <w:spacing w:before="75" w:beforeAutospacing="0" w:after="75" w:afterAutospacing="0" w:line="336" w:lineRule="auto"/>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开标</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浙江省金华市武义县金华市政府采购中心武义县分中心建行14楼政府采购开标室二</w:t>
      </w:r>
    </w:p>
    <w:p w14:paraId="4CFD2599">
      <w:pPr>
        <w:pStyle w:val="25"/>
        <w:spacing w:before="0" w:beforeAutospacing="0" w:after="0" w:afterAutospacing="0" w:line="336" w:lineRule="auto"/>
        <w:jc w:val="both"/>
        <w:outlineLvl w:val="1"/>
        <w:rPr>
          <w:rStyle w:val="30"/>
          <w:rFonts w:hint="eastAsia" w:ascii="仿宋" w:hAnsi="仿宋" w:eastAsia="仿宋" w:cs="仿宋"/>
          <w:color w:val="auto"/>
          <w:sz w:val="24"/>
          <w:szCs w:val="24"/>
          <w:highlight w:val="none"/>
          <w:lang w:eastAsia="zh-CN"/>
        </w:rPr>
      </w:pPr>
      <w:r>
        <w:rPr>
          <w:rStyle w:val="30"/>
          <w:rFonts w:hint="eastAsia" w:ascii="仿宋" w:hAnsi="仿宋" w:eastAsia="仿宋" w:cs="仿宋"/>
          <w:color w:val="auto"/>
          <w:sz w:val="24"/>
          <w:szCs w:val="24"/>
          <w:highlight w:val="none"/>
          <w:lang w:eastAsia="zh-CN"/>
        </w:rPr>
        <w:t>五、采购意向公开链接：</w:t>
      </w:r>
    </w:p>
    <w:p w14:paraId="4509B3E1">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firstLine="480" w:firstLineChars="200"/>
        <w:textAlignment w:val="auto"/>
        <w:rPr>
          <w:rFonts w:hint="eastAsia" w:ascii="仿宋" w:eastAsia="仿宋" w:cs="仿宋"/>
          <w:color w:val="auto"/>
          <w:highlight w:val="none"/>
          <w:lang w:eastAsia="zh-CN"/>
        </w:rPr>
      </w:pPr>
      <w:r>
        <w:rPr>
          <w:rFonts w:hint="eastAsia" w:ascii="仿宋" w:eastAsia="仿宋" w:cs="仿宋"/>
          <w:color w:val="auto"/>
          <w:highlight w:val="none"/>
          <w:lang w:eastAsia="zh-CN"/>
        </w:rPr>
        <w:t>https://zfcg.czt.zj.gov.cn/luban/detail?parentId=600007&amp;articleId=Wsyy3pxXpr3xpPhulkio3g==&amp;utm=web-micro-app-back-front.7cd522fb.0.0.889dba30f1dd11f08a99110054407da7</w:t>
      </w:r>
    </w:p>
    <w:p w14:paraId="65217510">
      <w:pPr>
        <w:pStyle w:val="25"/>
        <w:spacing w:before="0" w:beforeAutospacing="0" w:after="0" w:afterAutospacing="0" w:line="336" w:lineRule="auto"/>
        <w:jc w:val="both"/>
        <w:outlineLvl w:val="1"/>
        <w:rPr>
          <w:rFonts w:hint="eastAsia" w:ascii="仿宋" w:hAnsi="仿宋" w:eastAsia="仿宋" w:cs="仿宋"/>
          <w:color w:val="auto"/>
          <w:sz w:val="24"/>
          <w:szCs w:val="24"/>
          <w:highlight w:val="none"/>
        </w:rPr>
      </w:pPr>
      <w:r>
        <w:rPr>
          <w:rStyle w:val="30"/>
          <w:rFonts w:hint="eastAsia" w:ascii="仿宋" w:hAnsi="仿宋" w:eastAsia="仿宋" w:cs="仿宋"/>
          <w:color w:val="auto"/>
          <w:sz w:val="24"/>
          <w:szCs w:val="24"/>
          <w:highlight w:val="none"/>
          <w:lang w:eastAsia="zh-CN"/>
        </w:rPr>
        <w:t>六、</w:t>
      </w:r>
      <w:r>
        <w:rPr>
          <w:rStyle w:val="30"/>
          <w:rFonts w:hint="eastAsia" w:ascii="仿宋" w:hAnsi="仿宋" w:eastAsia="仿宋" w:cs="仿宋"/>
          <w:color w:val="auto"/>
          <w:sz w:val="24"/>
          <w:szCs w:val="24"/>
          <w:highlight w:val="none"/>
        </w:rPr>
        <w:t>公告期限</w:t>
      </w:r>
      <w:r>
        <w:rPr>
          <w:rStyle w:val="30"/>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自本公告发布之日起5个工作日。　</w:t>
      </w:r>
    </w:p>
    <w:p w14:paraId="6937F302">
      <w:pPr>
        <w:pStyle w:val="25"/>
        <w:spacing w:before="0" w:beforeAutospacing="0" w:after="0" w:afterAutospacing="0" w:line="336" w:lineRule="auto"/>
        <w:jc w:val="both"/>
        <w:outlineLvl w:val="1"/>
        <w:rPr>
          <w:rStyle w:val="30"/>
          <w:rFonts w:hint="eastAsia" w:ascii="仿宋" w:hAnsi="仿宋" w:eastAsia="仿宋" w:cs="仿宋"/>
          <w:color w:val="auto"/>
          <w:sz w:val="24"/>
          <w:szCs w:val="24"/>
          <w:highlight w:val="none"/>
        </w:rPr>
      </w:pPr>
      <w:r>
        <w:rPr>
          <w:rStyle w:val="30"/>
          <w:rFonts w:hint="eastAsia" w:ascii="仿宋" w:hAnsi="仿宋" w:eastAsia="仿宋" w:cs="仿宋"/>
          <w:color w:val="auto"/>
          <w:sz w:val="24"/>
          <w:szCs w:val="24"/>
          <w:highlight w:val="none"/>
          <w:lang w:eastAsia="zh-CN"/>
        </w:rPr>
        <w:t>七</w:t>
      </w:r>
      <w:r>
        <w:rPr>
          <w:rStyle w:val="30"/>
          <w:rFonts w:hint="eastAsia" w:ascii="仿宋" w:hAnsi="仿宋" w:eastAsia="仿宋" w:cs="仿宋"/>
          <w:color w:val="auto"/>
          <w:sz w:val="24"/>
          <w:szCs w:val="24"/>
          <w:highlight w:val="none"/>
        </w:rPr>
        <w:t>、其他</w:t>
      </w:r>
      <w:r>
        <w:rPr>
          <w:rStyle w:val="30"/>
          <w:rFonts w:hint="eastAsia" w:ascii="仿宋" w:hAnsi="仿宋" w:eastAsia="仿宋" w:cs="仿宋"/>
          <w:color w:val="auto"/>
          <w:sz w:val="24"/>
          <w:szCs w:val="24"/>
          <w:highlight w:val="none"/>
          <w:lang w:eastAsia="zh-CN"/>
        </w:rPr>
        <w:t>补充事宜</w:t>
      </w:r>
      <w:r>
        <w:rPr>
          <w:rStyle w:val="30"/>
          <w:rFonts w:hint="eastAsia" w:ascii="仿宋" w:hAnsi="仿宋" w:eastAsia="仿宋" w:cs="仿宋"/>
          <w:color w:val="auto"/>
          <w:sz w:val="24"/>
          <w:szCs w:val="24"/>
          <w:highlight w:val="none"/>
        </w:rPr>
        <w:t>：</w:t>
      </w:r>
    </w:p>
    <w:p w14:paraId="07E46D71">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firstLine="480" w:firstLineChars="200"/>
        <w:textAlignment w:val="auto"/>
        <w:rPr>
          <w:rFonts w:hint="eastAsia" w:ascii="仿宋" w:eastAsia="仿宋" w:cs="仿宋"/>
          <w:color w:val="auto"/>
          <w:highlight w:val="none"/>
        </w:rPr>
      </w:pPr>
      <w:r>
        <w:rPr>
          <w:rFonts w:hint="eastAsia" w:ascii="仿宋" w:eastAsia="仿宋" w:cs="仿宋"/>
          <w:color w:val="auto"/>
          <w:highlight w:val="none"/>
        </w:rPr>
        <w:t>1.《浙江省财政厅关于进一步发挥政府采购政策功能全力推动经济稳进提质的通知》 （浙财采监</w:t>
      </w:r>
      <w:r>
        <w:rPr>
          <w:rFonts w:hint="eastAsia" w:ascii="仿宋" w:eastAsia="仿宋" w:cs="仿宋"/>
          <w:color w:val="auto"/>
          <w:highlight w:val="none"/>
          <w:lang w:eastAsia="zh-CN"/>
        </w:rPr>
        <w:t>〔2022〕3号</w:t>
      </w:r>
      <w:r>
        <w:rPr>
          <w:rFonts w:hint="eastAsia" w:ascii="仿宋" w:eastAsia="仿宋" w:cs="仿宋"/>
          <w:color w:val="auto"/>
          <w:highlight w:val="none"/>
        </w:rPr>
        <w:t>）、《浙江省财政厅关于进一步促进政府采购公平竞争打造最优营商环境的通知》（浙财采监</w:t>
      </w:r>
      <w:r>
        <w:rPr>
          <w:rFonts w:hint="eastAsia" w:ascii="仿宋" w:eastAsia="仿宋" w:cs="仿宋"/>
          <w:color w:val="auto"/>
          <w:highlight w:val="none"/>
          <w:lang w:eastAsia="zh-CN"/>
        </w:rPr>
        <w:t>〔2021〕22号</w:t>
      </w:r>
      <w:r>
        <w:rPr>
          <w:rFonts w:hint="eastAsia" w:ascii="仿宋" w:eastAsia="仿宋" w:cs="仿宋"/>
          <w:color w:val="auto"/>
          <w:highlight w:val="none"/>
        </w:rPr>
        <w:t>））、《浙江省财政厅关于进一步加大政府采购支持中小企业力度助力扎实稳住经济的通知》 （浙财采监</w:t>
      </w:r>
      <w:r>
        <w:rPr>
          <w:rFonts w:hint="eastAsia" w:ascii="仿宋" w:eastAsia="仿宋" w:cs="仿宋"/>
          <w:color w:val="auto"/>
          <w:highlight w:val="none"/>
          <w:lang w:eastAsia="zh-CN"/>
        </w:rPr>
        <w:t>〔2022〕8号</w:t>
      </w:r>
      <w:r>
        <w:rPr>
          <w:rFonts w:hint="eastAsia" w:ascii="仿宋" w:eastAsia="仿宋" w:cs="仿宋"/>
          <w:color w:val="auto"/>
          <w:highlight w:val="none"/>
        </w:rPr>
        <w:t>）已分别于2022年1月29日、2022年2月1日和2022年7月1日开始实施，此前有关规定与上述文件内容不一致的，按上述文件要求执行。</w:t>
      </w:r>
    </w:p>
    <w:p w14:paraId="36334F49">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firstLine="480" w:firstLineChars="200"/>
        <w:textAlignment w:val="auto"/>
        <w:rPr>
          <w:rFonts w:hint="eastAsia" w:ascii="仿宋" w:eastAsia="仿宋" w:cs="仿宋"/>
          <w:color w:val="auto"/>
          <w:highlight w:val="none"/>
        </w:rPr>
      </w:pPr>
      <w:r>
        <w:rPr>
          <w:rFonts w:hint="eastAsia" w:ascii="仿宋" w:eastAsia="仿宋" w:cs="仿宋"/>
          <w:color w:val="auto"/>
          <w:highlight w:val="none"/>
        </w:rPr>
        <w:t>2.根据《浙江省财政厅关于进一步促进政府采购公平竞争打造最优营商环境的通知》（浙财采监</w:t>
      </w:r>
      <w:r>
        <w:rPr>
          <w:rFonts w:hint="eastAsia" w:ascii="仿宋" w:eastAsia="仿宋" w:cs="仿宋"/>
          <w:color w:val="auto"/>
          <w:highlight w:val="none"/>
          <w:lang w:eastAsia="zh-CN"/>
        </w:rPr>
        <w:t>〔2021〕22号</w:t>
      </w:r>
      <w:r>
        <w:rPr>
          <w:rFonts w:hint="eastAsia" w:ascii="仿宋" w:eastAsia="仿宋" w:cs="仿宋"/>
          <w:color w:val="auto"/>
          <w:highlight w:val="none"/>
        </w:rPr>
        <w:t>）文件关于“健全行政裁决机制”要求，供应商在线提起询问，路径为：政采云</w:t>
      </w:r>
      <w:r>
        <w:rPr>
          <w:rFonts w:hint="eastAsia" w:ascii="仿宋" w:eastAsia="仿宋" w:cs="仿宋"/>
          <w:color w:val="auto"/>
          <w:highlight w:val="none"/>
          <w:lang w:eastAsia="zh-CN"/>
        </w:rPr>
        <w:t>－</w:t>
      </w:r>
      <w:r>
        <w:rPr>
          <w:rFonts w:hint="eastAsia" w:ascii="仿宋" w:eastAsia="仿宋" w:cs="仿宋"/>
          <w:color w:val="auto"/>
          <w:highlight w:val="none"/>
        </w:rPr>
        <w:t>项目采购</w:t>
      </w:r>
      <w:r>
        <w:rPr>
          <w:rFonts w:hint="eastAsia" w:ascii="仿宋" w:eastAsia="仿宋" w:cs="仿宋"/>
          <w:color w:val="auto"/>
          <w:highlight w:val="none"/>
          <w:lang w:eastAsia="zh-CN"/>
        </w:rPr>
        <w:t>－</w:t>
      </w:r>
      <w:r>
        <w:rPr>
          <w:rFonts w:hint="eastAsia" w:ascii="仿宋" w:eastAsia="仿宋" w:cs="仿宋"/>
          <w:color w:val="auto"/>
          <w:highlight w:val="none"/>
        </w:rPr>
        <w:t>询问质疑投诉</w:t>
      </w:r>
      <w:r>
        <w:rPr>
          <w:rFonts w:hint="eastAsia" w:ascii="仿宋" w:eastAsia="仿宋" w:cs="仿宋"/>
          <w:color w:val="auto"/>
          <w:highlight w:val="none"/>
          <w:lang w:eastAsia="zh-CN"/>
        </w:rPr>
        <w:t>－</w:t>
      </w:r>
      <w:r>
        <w:rPr>
          <w:rFonts w:hint="eastAsia" w:ascii="仿宋" w:eastAsia="仿宋" w:cs="仿宋"/>
          <w:color w:val="auto"/>
          <w:highlight w:val="none"/>
        </w:rPr>
        <w:t>询问列表</w:t>
      </w:r>
      <w:r>
        <w:rPr>
          <w:rFonts w:hint="eastAsia" w:ascii="仿宋" w:eastAsia="仿宋" w:cs="仿宋"/>
          <w:color w:val="auto"/>
          <w:highlight w:val="none"/>
          <w:lang w:eastAsia="zh-CN"/>
        </w:rPr>
        <w:t>：</w:t>
      </w:r>
      <w:r>
        <w:rPr>
          <w:rFonts w:hint="eastAsia" w:ascii="仿宋" w:eastAsia="仿宋" w:cs="仿宋"/>
          <w:color w:val="auto"/>
          <w:highlight w:val="none"/>
        </w:rPr>
        <w:t>供应商在线提起质疑，路径为：政采云</w:t>
      </w:r>
      <w:r>
        <w:rPr>
          <w:rFonts w:hint="eastAsia" w:ascii="仿宋" w:eastAsia="仿宋" w:cs="仿宋"/>
          <w:color w:val="auto"/>
          <w:highlight w:val="none"/>
          <w:lang w:eastAsia="zh-CN"/>
        </w:rPr>
        <w:t>－</w:t>
      </w:r>
      <w:r>
        <w:rPr>
          <w:rFonts w:hint="eastAsia" w:ascii="仿宋" w:eastAsia="仿宋" w:cs="仿宋"/>
          <w:color w:val="auto"/>
          <w:highlight w:val="none"/>
        </w:rPr>
        <w:t>项目采购</w:t>
      </w:r>
      <w:r>
        <w:rPr>
          <w:rFonts w:hint="eastAsia" w:ascii="仿宋" w:eastAsia="仿宋" w:cs="仿宋"/>
          <w:color w:val="auto"/>
          <w:highlight w:val="none"/>
          <w:lang w:eastAsia="zh-CN"/>
        </w:rPr>
        <w:t>－</w:t>
      </w:r>
      <w:r>
        <w:rPr>
          <w:rFonts w:hint="eastAsia" w:ascii="仿宋" w:eastAsia="仿宋" w:cs="仿宋"/>
          <w:color w:val="auto"/>
          <w:highlight w:val="none"/>
        </w:rPr>
        <w:t>询问质疑投诉</w:t>
      </w:r>
      <w:r>
        <w:rPr>
          <w:rFonts w:hint="eastAsia" w:ascii="仿宋" w:eastAsia="仿宋" w:cs="仿宋"/>
          <w:color w:val="auto"/>
          <w:highlight w:val="none"/>
          <w:lang w:eastAsia="zh-CN"/>
        </w:rPr>
        <w:t>－</w:t>
      </w:r>
      <w:r>
        <w:rPr>
          <w:rFonts w:hint="eastAsia" w:ascii="仿宋" w:eastAsia="仿宋" w:cs="仿宋"/>
          <w:color w:val="auto"/>
          <w:highlight w:val="none"/>
        </w:rPr>
        <w:t>质疑列表。质疑供应商对在线质疑答复不满意的，可在线提起投诉，路径为：浙江政府服务网</w:t>
      </w:r>
      <w:r>
        <w:rPr>
          <w:rFonts w:hint="eastAsia" w:ascii="仿宋" w:eastAsia="仿宋" w:cs="仿宋"/>
          <w:color w:val="auto"/>
          <w:highlight w:val="none"/>
          <w:lang w:eastAsia="zh-CN"/>
        </w:rPr>
        <w:t>－</w:t>
      </w:r>
      <w:r>
        <w:rPr>
          <w:rFonts w:hint="eastAsia" w:ascii="仿宋" w:eastAsia="仿宋" w:cs="仿宋"/>
          <w:color w:val="auto"/>
          <w:highlight w:val="none"/>
        </w:rPr>
        <w:t>政府采购投诉处理</w:t>
      </w:r>
      <w:r>
        <w:rPr>
          <w:rFonts w:hint="eastAsia" w:ascii="仿宋" w:eastAsia="仿宋" w:cs="仿宋"/>
          <w:color w:val="auto"/>
          <w:highlight w:val="none"/>
          <w:lang w:eastAsia="zh-CN"/>
        </w:rPr>
        <w:t>－</w:t>
      </w:r>
      <w:r>
        <w:rPr>
          <w:rFonts w:hint="eastAsia" w:ascii="仿宋" w:eastAsia="仿宋" w:cs="仿宋"/>
          <w:color w:val="auto"/>
          <w:highlight w:val="none"/>
        </w:rPr>
        <w:t>在线办理。</w:t>
      </w:r>
    </w:p>
    <w:p w14:paraId="72D80664">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firstLine="480" w:firstLineChars="200"/>
        <w:textAlignment w:val="auto"/>
        <w:rPr>
          <w:rFonts w:hint="eastAsia" w:ascii="仿宋" w:eastAsia="仿宋" w:cs="仿宋"/>
          <w:color w:val="auto"/>
          <w:highlight w:val="none"/>
        </w:rPr>
      </w:pPr>
      <w:r>
        <w:rPr>
          <w:rFonts w:hint="eastAsia" w:ascii="仿宋" w:eastAsia="仿宋" w:cs="仿宋"/>
          <w:color w:val="auto"/>
          <w:highlight w:val="none"/>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839D3A6">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firstLine="480" w:firstLineChars="200"/>
        <w:textAlignment w:val="auto"/>
        <w:rPr>
          <w:rFonts w:hint="eastAsia" w:ascii="仿宋" w:eastAsia="仿宋" w:cs="仿宋"/>
          <w:color w:val="auto"/>
          <w:highlight w:val="none"/>
        </w:rPr>
      </w:pPr>
      <w:r>
        <w:rPr>
          <w:rFonts w:hint="eastAsia" w:ascii="仿宋" w:eastAsia="仿宋" w:cs="仿宋"/>
          <w:color w:val="auto"/>
          <w:highlight w:val="none"/>
        </w:rPr>
        <w:t>4.其他事项：见</w:t>
      </w:r>
      <w:r>
        <w:rPr>
          <w:rFonts w:hint="eastAsia" w:ascii="仿宋" w:eastAsia="仿宋" w:cs="仿宋"/>
          <w:color w:val="auto"/>
          <w:highlight w:val="none"/>
          <w:lang w:val="en-US" w:eastAsia="zh-CN"/>
        </w:rPr>
        <w:t>采购</w:t>
      </w:r>
      <w:r>
        <w:rPr>
          <w:rFonts w:hint="eastAsia" w:ascii="仿宋" w:eastAsia="仿宋" w:cs="仿宋"/>
          <w:color w:val="auto"/>
          <w:highlight w:val="none"/>
        </w:rPr>
        <w:t>文件</w:t>
      </w:r>
    </w:p>
    <w:p w14:paraId="45DD270F">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firstLine="480" w:firstLineChars="200"/>
        <w:textAlignment w:val="auto"/>
        <w:rPr>
          <w:rFonts w:hint="eastAsia" w:ascii="仿宋" w:eastAsia="仿宋" w:cs="仿宋"/>
          <w:color w:val="auto"/>
          <w:highlight w:val="none"/>
        </w:rPr>
      </w:pPr>
      <w:r>
        <w:rPr>
          <w:rFonts w:hint="eastAsia" w:ascii="仿宋" w:eastAsia="仿宋" w:cs="仿宋"/>
          <w:color w:val="auto"/>
          <w:highlight w:val="none"/>
        </w:rPr>
        <w:t>5.企业信用融资</w:t>
      </w:r>
      <w:r>
        <w:rPr>
          <w:rFonts w:hint="eastAsia" w:ascii="仿宋" w:eastAsia="仿宋" w:cs="仿宋"/>
          <w:color w:val="auto"/>
          <w:highlight w:val="none"/>
          <w:lang w:eastAsia="zh-CN"/>
        </w:rPr>
        <w:t>：</w:t>
      </w:r>
      <w:r>
        <w:rPr>
          <w:rFonts w:hint="eastAsia" w:ascii="仿宋" w:eastAsia="仿宋" w:cs="仿宋"/>
          <w:color w:val="auto"/>
          <w:highlight w:val="none"/>
        </w:rPr>
        <w:t>省财政厅、浙江银监局、</w:t>
      </w:r>
      <w:r>
        <w:rPr>
          <w:rFonts w:hint="eastAsia" w:ascii="仿宋" w:eastAsia="仿宋" w:cs="仿宋"/>
          <w:color w:val="auto"/>
          <w:highlight w:val="none"/>
          <w:lang w:eastAsia="zh-CN"/>
        </w:rPr>
        <w:t>省委金融办</w:t>
      </w:r>
      <w:r>
        <w:rPr>
          <w:rFonts w:hint="eastAsia" w:ascii="仿宋" w:eastAsia="仿宋" w:cs="仿宋"/>
          <w:color w:val="auto"/>
          <w:highlight w:val="none"/>
        </w:rPr>
        <w:t>制定了《浙江省政府采购支持中小企业信用融资试点办法》浙财采监</w:t>
      </w:r>
      <w:r>
        <w:rPr>
          <w:rFonts w:hint="eastAsia" w:ascii="仿宋" w:eastAsia="仿宋" w:cs="仿宋"/>
          <w:color w:val="auto"/>
          <w:highlight w:val="none"/>
          <w:lang w:eastAsia="zh-CN"/>
        </w:rPr>
        <w:t>〔2012〕13号</w:t>
      </w:r>
      <w:r>
        <w:rPr>
          <w:rFonts w:hint="eastAsia" w:ascii="仿宋" w:eastAsia="仿宋" w:cs="仿宋"/>
          <w:color w:val="auto"/>
          <w:highlight w:val="none"/>
        </w:rPr>
        <w:t>)，所称的政府采购信用融资，是指银行业金融机构</w:t>
      </w:r>
      <w:r>
        <w:rPr>
          <w:rFonts w:hint="eastAsia" w:ascii="仿宋" w:eastAsia="仿宋" w:cs="仿宋"/>
          <w:color w:val="auto"/>
          <w:highlight w:val="none"/>
          <w:lang w:eastAsia="zh-CN"/>
        </w:rPr>
        <w:t>（</w:t>
      </w:r>
      <w:r>
        <w:rPr>
          <w:rFonts w:hint="eastAsia" w:ascii="仿宋" w:eastAsia="仿宋" w:cs="仿宋"/>
          <w:color w:val="auto"/>
          <w:highlight w:val="none"/>
        </w:rPr>
        <w:t>以下简称银行</w:t>
      </w:r>
      <w:r>
        <w:rPr>
          <w:rFonts w:hint="eastAsia" w:ascii="仿宋" w:eastAsia="仿宋" w:cs="仿宋"/>
          <w:color w:val="auto"/>
          <w:highlight w:val="none"/>
          <w:lang w:eastAsia="zh-CN"/>
        </w:rPr>
        <w:t>）</w:t>
      </w:r>
      <w:r>
        <w:rPr>
          <w:rFonts w:hint="eastAsia" w:ascii="仿宋" w:eastAsia="仿宋" w:cs="仿宋"/>
          <w:color w:val="auto"/>
          <w:highlight w:val="none"/>
        </w:rPr>
        <w:t>以政府采购诚信考核和信用审查为基础，凭借政府采购合同，按优于一般中小企业的贷款利率直接向申请贷款的投标人发放贷款的一种融资方式。投标人可</w:t>
      </w:r>
      <w:r>
        <w:rPr>
          <w:rFonts w:hint="eastAsia" w:ascii="仿宋" w:eastAsia="仿宋" w:cs="仿宋"/>
          <w:color w:val="auto"/>
          <w:highlight w:val="none"/>
          <w:lang w:eastAsia="zh-CN"/>
        </w:rPr>
        <w:t>登录</w:t>
      </w:r>
      <w:r>
        <w:rPr>
          <w:rFonts w:hint="eastAsia" w:ascii="仿宋" w:eastAsia="仿宋" w:cs="仿宋"/>
          <w:color w:val="auto"/>
          <w:highlight w:val="none"/>
        </w:rPr>
        <w:t>浙江政府采购</w:t>
      </w:r>
      <w:r>
        <w:rPr>
          <w:rFonts w:hint="eastAsia" w:ascii="仿宋" w:eastAsia="仿宋" w:cs="仿宋"/>
          <w:color w:val="auto"/>
          <w:highlight w:val="none"/>
          <w:lang w:eastAsia="zh-CN"/>
        </w:rPr>
        <w:t>（</w:t>
      </w:r>
      <w:r>
        <w:rPr>
          <w:rFonts w:hint="eastAsia" w:ascii="仿宋" w:eastAsia="仿宋" w:cs="仿宋"/>
          <w:color w:val="auto"/>
          <w:highlight w:val="none"/>
        </w:rPr>
        <w:t>https://zfcg.czt.zj.gov.cn/</w:t>
      </w:r>
      <w:r>
        <w:rPr>
          <w:rFonts w:hint="eastAsia" w:ascii="仿宋" w:eastAsia="仿宋" w:cs="仿宋"/>
          <w:color w:val="auto"/>
          <w:highlight w:val="none"/>
          <w:lang w:eastAsia="zh-CN"/>
        </w:rPr>
        <w:t>）</w:t>
      </w:r>
      <w:r>
        <w:rPr>
          <w:rFonts w:hint="eastAsia" w:ascii="仿宋" w:eastAsia="仿宋" w:cs="仿宋"/>
          <w:color w:val="auto"/>
          <w:highlight w:val="none"/>
        </w:rPr>
        <w:t>的中小企业信用融资栏目了解相关信息。供应商可以通过浙江政府采购网</w:t>
      </w:r>
      <w:r>
        <w:rPr>
          <w:rFonts w:hint="eastAsia" w:ascii="仿宋" w:eastAsia="仿宋" w:cs="仿宋"/>
          <w:color w:val="auto"/>
          <w:highlight w:val="none"/>
          <w:lang w:eastAsia="zh-CN"/>
        </w:rPr>
        <w:t>（</w:t>
      </w:r>
      <w:r>
        <w:rPr>
          <w:rFonts w:hint="eastAsia" w:ascii="仿宋" w:eastAsia="仿宋" w:cs="仿宋"/>
          <w:color w:val="auto"/>
          <w:highlight w:val="none"/>
        </w:rPr>
        <w:t>https://zfcg.czt.zj.gov.cn/</w:t>
      </w:r>
      <w:r>
        <w:rPr>
          <w:rFonts w:hint="eastAsia" w:ascii="仿宋" w:eastAsia="仿宋" w:cs="仿宋"/>
          <w:color w:val="auto"/>
          <w:highlight w:val="none"/>
          <w:lang w:eastAsia="zh-CN"/>
        </w:rPr>
        <w:t>）</w:t>
      </w:r>
      <w:r>
        <w:rPr>
          <w:rFonts w:hint="eastAsia" w:ascii="仿宋" w:eastAsia="仿宋" w:cs="仿宋"/>
          <w:color w:val="auto"/>
          <w:highlight w:val="none"/>
        </w:rPr>
        <w:t>首页的“浙江政采贷”模块进入申请，还可以通过政府采购云平台</w:t>
      </w:r>
      <w:r>
        <w:rPr>
          <w:rFonts w:hint="eastAsia" w:ascii="仿宋" w:eastAsia="仿宋" w:cs="仿宋"/>
          <w:color w:val="auto"/>
          <w:highlight w:val="none"/>
          <w:lang w:eastAsia="zh-CN"/>
        </w:rPr>
        <w:t>（</w:t>
      </w:r>
      <w:r>
        <w:rPr>
          <w:rFonts w:hint="eastAsia" w:ascii="仿宋" w:eastAsia="仿宋" w:cs="仿宋"/>
          <w:color w:val="auto"/>
          <w:highlight w:val="none"/>
        </w:rPr>
        <w:t>https://www.zcygov.cn/</w:t>
      </w:r>
      <w:r>
        <w:rPr>
          <w:rFonts w:hint="eastAsia" w:ascii="仿宋" w:eastAsia="仿宋" w:cs="仿宋"/>
          <w:color w:val="auto"/>
          <w:highlight w:val="none"/>
          <w:lang w:eastAsia="zh-CN"/>
        </w:rPr>
        <w:t>）</w:t>
      </w:r>
      <w:r>
        <w:rPr>
          <w:rFonts w:hint="eastAsia" w:ascii="仿宋" w:eastAsia="仿宋" w:cs="仿宋"/>
          <w:color w:val="auto"/>
          <w:highlight w:val="none"/>
        </w:rPr>
        <w:t>首页的“金融服务”模块进入申请。</w:t>
      </w:r>
    </w:p>
    <w:p w14:paraId="271F01F8">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ind w:firstLine="480" w:firstLineChars="200"/>
        <w:textAlignment w:val="auto"/>
        <w:rPr>
          <w:rFonts w:hint="eastAsia" w:ascii="仿宋" w:eastAsia="仿宋" w:cs="仿宋"/>
          <w:b/>
          <w:bCs/>
          <w:i w:val="0"/>
          <w:caps w:val="0"/>
          <w:smallCaps w:val="0"/>
          <w:color w:val="auto"/>
          <w:spacing w:val="0"/>
          <w:kern w:val="0"/>
          <w:sz w:val="24"/>
          <w:szCs w:val="24"/>
          <w:highlight w:val="none"/>
          <w:lang w:val="en-US" w:eastAsia="zh-CN"/>
        </w:rPr>
      </w:pPr>
      <w:r>
        <w:rPr>
          <w:rFonts w:hint="eastAsia" w:ascii="仿宋" w:eastAsia="仿宋" w:cs="仿宋"/>
          <w:color w:val="auto"/>
          <w:highlight w:val="none"/>
        </w:rPr>
        <w:t>6.根据《浙江省财政厅关于进一步加大政府采购支持中小企业力度助力扎实稳住经济的通知》（浙财采监〔2022〕8号）简化对政府采购供应商资格条件的形式审查，供应商书面承诺符合参与政府采购活动资格条件的，不需要再提供财务状况报告、依法缴纳税收和社会保障资金记录、无重大违法记录等证明材料。</w:t>
      </w:r>
    </w:p>
    <w:p w14:paraId="01827650">
      <w:pPr>
        <w:pStyle w:val="25"/>
        <w:spacing w:before="0" w:beforeAutospacing="0" w:after="0" w:afterAutospacing="0" w:line="336" w:lineRule="auto"/>
        <w:jc w:val="both"/>
        <w:outlineLvl w:val="1"/>
        <w:rPr>
          <w:rFonts w:hint="eastAsia" w:ascii="仿宋" w:hAnsi="仿宋" w:eastAsia="仿宋" w:cs="仿宋"/>
          <w:color w:val="auto"/>
          <w:sz w:val="24"/>
          <w:szCs w:val="24"/>
          <w:highlight w:val="none"/>
        </w:rPr>
      </w:pPr>
      <w:r>
        <w:rPr>
          <w:rStyle w:val="30"/>
          <w:rFonts w:hint="eastAsia" w:ascii="仿宋" w:hAnsi="仿宋" w:eastAsia="仿宋" w:cs="仿宋"/>
          <w:color w:val="auto"/>
          <w:sz w:val="24"/>
          <w:szCs w:val="24"/>
          <w:highlight w:val="none"/>
          <w:lang w:eastAsia="zh-CN"/>
        </w:rPr>
        <w:t>八</w:t>
      </w:r>
      <w:r>
        <w:rPr>
          <w:rStyle w:val="30"/>
          <w:rFonts w:hint="eastAsia" w:ascii="仿宋" w:hAnsi="仿宋" w:eastAsia="仿宋" w:cs="仿宋"/>
          <w:color w:val="auto"/>
          <w:sz w:val="24"/>
          <w:szCs w:val="24"/>
          <w:highlight w:val="none"/>
        </w:rPr>
        <w:t>、对本次招标提出询问、质疑、投诉，请按以下方式联系：</w:t>
      </w:r>
      <w:r>
        <w:rPr>
          <w:rFonts w:hint="eastAsia" w:ascii="仿宋" w:hAnsi="仿宋" w:eastAsia="仿宋" w:cs="仿宋"/>
          <w:color w:val="auto"/>
          <w:sz w:val="24"/>
          <w:szCs w:val="24"/>
          <w:highlight w:val="none"/>
        </w:rPr>
        <w:t>　　　　　　　　　　</w:t>
      </w:r>
    </w:p>
    <w:p w14:paraId="5574F559">
      <w:pPr>
        <w:pStyle w:val="25"/>
        <w:spacing w:before="0" w:beforeAutospacing="0" w:after="0" w:afterAutospacing="0" w:line="33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785A0BA2">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lang w:eastAsia="zh-CN"/>
        </w:rPr>
        <w:t>武义县殡仪馆</w:t>
      </w:r>
    </w:p>
    <w:p w14:paraId="1610D5FC">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浙江省金华市武义县履坦镇福泽路6号</w:t>
      </w:r>
      <w:r>
        <w:rPr>
          <w:rFonts w:hint="eastAsia" w:ascii="仿宋" w:hAnsi="仿宋" w:eastAsia="仿宋" w:cs="仿宋"/>
          <w:color w:val="auto"/>
          <w:sz w:val="24"/>
          <w:szCs w:val="24"/>
          <w:highlight w:val="none"/>
        </w:rPr>
        <w:t xml:space="preserve"> </w:t>
      </w:r>
    </w:p>
    <w:p w14:paraId="1A6C0313">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项目联系人（询</w:t>
      </w:r>
      <w:r>
        <w:rPr>
          <w:rFonts w:hint="eastAsia" w:ascii="仿宋" w:hAnsi="仿宋" w:eastAsia="仿宋" w:cs="仿宋"/>
          <w:color w:val="auto"/>
          <w:sz w:val="24"/>
          <w:szCs w:val="24"/>
          <w:highlight w:val="none"/>
          <w:lang w:val="en-US" w:eastAsia="zh-CN"/>
        </w:rPr>
        <w:t xml:space="preserve">问）：曹女士  </w:t>
      </w:r>
    </w:p>
    <w:p w14:paraId="01559786">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项目联系方式（询问）：</w:t>
      </w:r>
      <w:r>
        <w:rPr>
          <w:rFonts w:hint="eastAsia" w:ascii="仿宋" w:hAnsi="仿宋" w:eastAsia="仿宋" w:cs="仿宋"/>
          <w:color w:val="auto"/>
          <w:spacing w:val="-4"/>
          <w:sz w:val="24"/>
          <w:highlight w:val="none"/>
        </w:rPr>
        <w:t>13967942057</w:t>
      </w:r>
    </w:p>
    <w:p w14:paraId="467D426F">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质疑联系人：曹女士 </w:t>
      </w:r>
    </w:p>
    <w:p w14:paraId="7CDA190E">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质疑联系方式：</w:t>
      </w:r>
      <w:r>
        <w:rPr>
          <w:rFonts w:hint="eastAsia" w:ascii="仿宋" w:hAnsi="仿宋" w:eastAsia="仿宋" w:cs="仿宋"/>
          <w:color w:val="auto"/>
          <w:spacing w:val="-4"/>
          <w:sz w:val="24"/>
          <w:highlight w:val="none"/>
        </w:rPr>
        <w:t>13967942057</w:t>
      </w:r>
    </w:p>
    <w:p w14:paraId="4BCB51AA">
      <w:pPr>
        <w:pStyle w:val="25"/>
        <w:spacing w:before="75" w:beforeAutospacing="0" w:after="75" w:afterAutospacing="0" w:line="33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2.采购代理机构信息</w:t>
      </w:r>
    </w:p>
    <w:p w14:paraId="1D088A9C">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金华同慷建设管理咨询有限公司</w:t>
      </w:r>
      <w:r>
        <w:rPr>
          <w:rFonts w:hint="eastAsia" w:ascii="仿宋" w:hAnsi="仿宋" w:eastAsia="仿宋" w:cs="仿宋"/>
          <w:color w:val="auto"/>
          <w:sz w:val="24"/>
          <w:szCs w:val="24"/>
          <w:highlight w:val="none"/>
        </w:rPr>
        <w:t>　</w:t>
      </w:r>
    </w:p>
    <w:p w14:paraId="1A54A6FA">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武义县中南名城2号楼商业2-001铺</w:t>
      </w:r>
    </w:p>
    <w:p w14:paraId="53CD42F8">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项目联系人（询问）：</w:t>
      </w:r>
      <w:r>
        <w:rPr>
          <w:rFonts w:hint="eastAsia" w:ascii="仿宋" w:hAnsi="仿宋" w:eastAsia="仿宋" w:cs="仿宋"/>
          <w:color w:val="auto"/>
          <w:sz w:val="24"/>
          <w:szCs w:val="24"/>
          <w:highlight w:val="none"/>
          <w:lang w:val="en-US" w:eastAsia="zh-CN"/>
        </w:rPr>
        <w:t>邹晓露</w:t>
      </w:r>
    </w:p>
    <w:p w14:paraId="32CEF50F">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项目联系方式（询问）：</w:t>
      </w:r>
      <w:r>
        <w:rPr>
          <w:rFonts w:hint="eastAsia" w:ascii="仿宋" w:hAnsi="仿宋" w:eastAsia="仿宋" w:cs="仿宋"/>
          <w:color w:val="auto"/>
          <w:sz w:val="24"/>
          <w:szCs w:val="24"/>
          <w:highlight w:val="none"/>
          <w:lang w:val="en-US" w:eastAsia="zh-CN"/>
        </w:rPr>
        <w:t>13857921876</w:t>
      </w:r>
    </w:p>
    <w:p w14:paraId="1414E438">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质疑联系人：程博翔</w:t>
      </w:r>
    </w:p>
    <w:p w14:paraId="631C66A1">
      <w:pPr>
        <w:keepNext w:val="0"/>
        <w:keepLines w:val="0"/>
        <w:pageBreakBefore w:val="0"/>
        <w:widowControl w:val="0"/>
        <w:kinsoku/>
        <w:wordWrap/>
        <w:overflowPunct/>
        <w:topLinePunct w:val="0"/>
        <w:autoSpaceDE w:val="0"/>
        <w:autoSpaceDN w:val="0"/>
        <w:bidi w:val="0"/>
        <w:adjustRightInd w:val="0"/>
        <w:snapToGrid/>
        <w:spacing w:line="420" w:lineRule="exact"/>
        <w:ind w:firstLine="360" w:firstLineChars="15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质疑联系方式：15925951663</w:t>
      </w:r>
    </w:p>
    <w:p w14:paraId="541B592C">
      <w:pPr>
        <w:pStyle w:val="25"/>
        <w:spacing w:before="0" w:beforeAutospacing="0" w:after="0" w:afterAutospacing="0" w:line="336"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3.同级政府采购监督管理部门</w:t>
      </w:r>
    </w:p>
    <w:p w14:paraId="5D76118A">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36"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武义县财政局政府采购监管科</w:t>
      </w:r>
    </w:p>
    <w:p w14:paraId="3C349D5A">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36" w:lineRule="auto"/>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武义县温泉南路100号</w:t>
      </w:r>
      <w:r>
        <w:rPr>
          <w:rFonts w:hint="eastAsia" w:ascii="仿宋" w:hAnsi="仿宋" w:eastAsia="仿宋" w:cs="仿宋"/>
          <w:color w:val="auto"/>
          <w:sz w:val="24"/>
          <w:szCs w:val="24"/>
          <w:highlight w:val="none"/>
        </w:rPr>
        <w:t> </w:t>
      </w:r>
    </w:p>
    <w:p w14:paraId="543E4D34">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36" w:lineRule="auto"/>
        <w:ind w:firstLine="360" w:firstLineChars="15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联 系 人：</w:t>
      </w:r>
      <w:r>
        <w:rPr>
          <w:rFonts w:hint="eastAsia" w:ascii="仿宋" w:hAnsi="仿宋" w:eastAsia="仿宋" w:cs="仿宋"/>
          <w:color w:val="auto"/>
          <w:sz w:val="24"/>
          <w:szCs w:val="24"/>
          <w:highlight w:val="none"/>
          <w:u w:val="none"/>
          <w:lang w:eastAsia="zh-CN"/>
        </w:rPr>
        <w:t>陈</w:t>
      </w:r>
      <w:r>
        <w:rPr>
          <w:rFonts w:hint="eastAsia" w:ascii="仿宋" w:hAnsi="仿宋" w:eastAsia="仿宋" w:cs="仿宋"/>
          <w:color w:val="auto"/>
          <w:sz w:val="24"/>
          <w:szCs w:val="24"/>
          <w:highlight w:val="none"/>
          <w:u w:val="none"/>
        </w:rPr>
        <w:t>女士</w:t>
      </w:r>
    </w:p>
    <w:p w14:paraId="088D4AFA">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36" w:lineRule="auto"/>
        <w:ind w:firstLine="360" w:firstLineChars="150"/>
        <w:textAlignment w:val="auto"/>
        <w:rPr>
          <w:rFonts w:hint="eastAsia" w:ascii="仿宋" w:hAnsi="仿宋" w:eastAsia="仿宋" w:cs="仿宋"/>
          <w:color w:val="auto"/>
          <w:sz w:val="24"/>
          <w:szCs w:val="24"/>
          <w:highlight w:val="none"/>
          <w:u w:val="none"/>
          <w:shd w:val="clear" w:color="auto" w:fill="FFFFFF"/>
        </w:rPr>
      </w:pPr>
      <w:r>
        <w:rPr>
          <w:rFonts w:hint="eastAsia" w:ascii="仿宋" w:hAnsi="仿宋" w:eastAsia="仿宋" w:cs="仿宋"/>
          <w:color w:val="auto"/>
          <w:sz w:val="24"/>
          <w:szCs w:val="24"/>
          <w:highlight w:val="none"/>
          <w:u w:val="none"/>
        </w:rPr>
        <w:t>监督投诉电话：0579-87646372 </w:t>
      </w:r>
    </w:p>
    <w:p w14:paraId="622F119B">
      <w:pPr>
        <w:pStyle w:val="41"/>
        <w:keepNext w:val="0"/>
        <w:keepLines w:val="0"/>
        <w:pageBreakBefore w:val="0"/>
        <w:kinsoku/>
        <w:wordWrap/>
        <w:overflowPunct/>
        <w:topLinePunct w:val="0"/>
        <w:bidi w:val="0"/>
        <w:snapToGrid/>
        <w:spacing w:line="400" w:lineRule="exact"/>
        <w:ind w:firstLine="422" w:firstLineChars="200"/>
        <w:textAlignment w:val="auto"/>
        <w:rPr>
          <w:rFonts w:hint="eastAsia" w:ascii="仿宋" w:hAnsi="仿宋" w:eastAsia="仿宋" w:cs="仿宋"/>
          <w:b/>
          <w:bCs/>
          <w:color w:val="auto"/>
          <w:sz w:val="21"/>
          <w:szCs w:val="21"/>
          <w:highlight w:val="none"/>
          <w:shd w:val="clear" w:color="auto" w:fill="FFFFFF"/>
        </w:rPr>
      </w:pPr>
    </w:p>
    <w:p w14:paraId="47F7C6CA">
      <w:pPr>
        <w:pStyle w:val="41"/>
        <w:keepNext w:val="0"/>
        <w:keepLines w:val="0"/>
        <w:pageBreakBefore w:val="0"/>
        <w:kinsoku/>
        <w:wordWrap/>
        <w:overflowPunct/>
        <w:topLinePunct w:val="0"/>
        <w:bidi w:val="0"/>
        <w:snapToGrid/>
        <w:spacing w:line="400" w:lineRule="exact"/>
        <w:ind w:firstLine="422" w:firstLineChars="200"/>
        <w:textAlignment w:val="auto"/>
        <w:rPr>
          <w:rFonts w:ascii="仿宋" w:hAnsi="仿宋" w:eastAsia="仿宋" w:cs="仿宋"/>
          <w:b/>
          <w:bCs/>
          <w:color w:val="auto"/>
          <w:sz w:val="36"/>
          <w:szCs w:val="36"/>
          <w:highlight w:val="none"/>
        </w:rPr>
      </w:pPr>
      <w:r>
        <w:rPr>
          <w:rFonts w:hint="eastAsia" w:ascii="仿宋" w:hAnsi="仿宋" w:eastAsia="仿宋" w:cs="仿宋"/>
          <w:b/>
          <w:bCs/>
          <w:color w:val="auto"/>
          <w:sz w:val="21"/>
          <w:szCs w:val="21"/>
          <w:highlight w:val="none"/>
          <w:shd w:val="clear" w:color="auto" w:fill="FFFFFF"/>
        </w:rPr>
        <w:t>若对项目采购电子交易系统操作有疑问，可登录政采云（https://www.zcygov.cn/），点击右侧咨询小采，获取采小蜜智能服务管家帮助，或拨打政采云服务热线400-881-7190获取热线服务帮助。</w:t>
      </w:r>
    </w:p>
    <w:p w14:paraId="619BA358">
      <w:pPr>
        <w:rPr>
          <w:color w:val="auto"/>
          <w:highlight w:val="none"/>
        </w:rPr>
        <w:sectPr>
          <w:footerReference r:id="rId8" w:type="default"/>
          <w:pgSz w:w="11906" w:h="16838"/>
          <w:pgMar w:top="1247" w:right="1134" w:bottom="1020" w:left="1418" w:header="851" w:footer="907" w:gutter="0"/>
          <w:pgBorders>
            <w:top w:val="none" w:sz="0" w:space="0"/>
            <w:left w:val="none" w:sz="0" w:space="0"/>
            <w:bottom w:val="none" w:sz="0" w:space="0"/>
            <w:right w:val="none" w:sz="0" w:space="0"/>
          </w:pgBorders>
          <w:pgNumType w:fmt="decimal" w:start="1"/>
          <w:cols w:space="720" w:num="1"/>
          <w:docGrid w:type="lines" w:linePitch="312" w:charSpace="0"/>
        </w:sectPr>
      </w:pPr>
    </w:p>
    <w:p w14:paraId="4234B2B3">
      <w:pPr>
        <w:jc w:val="center"/>
        <w:outlineLvl w:val="0"/>
        <w:rPr>
          <w:rFonts w:ascii="仿宋" w:hAnsi="仿宋" w:eastAsia="仿宋" w:cs="仿宋"/>
          <w:b/>
          <w:color w:val="auto"/>
          <w:kern w:val="44"/>
          <w:sz w:val="36"/>
          <w:szCs w:val="36"/>
          <w:highlight w:val="none"/>
        </w:rPr>
      </w:pPr>
      <w:r>
        <w:rPr>
          <w:rFonts w:hint="eastAsia" w:ascii="仿宋" w:hAnsi="仿宋" w:eastAsia="仿宋" w:cs="仿宋"/>
          <w:b/>
          <w:color w:val="auto"/>
          <w:kern w:val="44"/>
          <w:sz w:val="36"/>
          <w:szCs w:val="36"/>
          <w:highlight w:val="none"/>
        </w:rPr>
        <w:t>第二章  投标须知</w:t>
      </w:r>
    </w:p>
    <w:p w14:paraId="5B87A644">
      <w:pPr>
        <w:pStyle w:val="5"/>
        <w:spacing w:before="0" w:after="0" w:line="420" w:lineRule="exact"/>
        <w:jc w:val="center"/>
        <w:outlineLvl w:val="1"/>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前  附  表</w:t>
      </w:r>
    </w:p>
    <w:tbl>
      <w:tblPr>
        <w:tblStyle w:val="27"/>
        <w:tblW w:w="100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760"/>
        <w:gridCol w:w="7605"/>
      </w:tblGrid>
      <w:tr w14:paraId="306F3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BEBEBE"/>
            <w:vAlign w:val="center"/>
          </w:tcPr>
          <w:p w14:paraId="56E6FC18">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760" w:type="dxa"/>
            <w:tcBorders>
              <w:top w:val="single" w:color="auto" w:sz="4" w:space="0"/>
              <w:left w:val="single" w:color="auto" w:sz="4" w:space="0"/>
              <w:bottom w:val="single" w:color="auto" w:sz="4" w:space="0"/>
              <w:right w:val="single" w:color="auto" w:sz="4" w:space="0"/>
            </w:tcBorders>
            <w:shd w:val="clear" w:color="auto" w:fill="BEBEBE"/>
            <w:vAlign w:val="center"/>
          </w:tcPr>
          <w:p w14:paraId="1E5A89B8">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内容</w:t>
            </w:r>
          </w:p>
        </w:tc>
        <w:tc>
          <w:tcPr>
            <w:tcW w:w="7605" w:type="dxa"/>
            <w:tcBorders>
              <w:top w:val="single" w:color="auto" w:sz="4" w:space="0"/>
              <w:left w:val="single" w:color="auto" w:sz="4" w:space="0"/>
              <w:bottom w:val="single" w:color="auto" w:sz="4" w:space="0"/>
              <w:right w:val="single" w:color="auto" w:sz="4" w:space="0"/>
            </w:tcBorders>
            <w:shd w:val="clear" w:color="auto" w:fill="BEBEBE"/>
            <w:vAlign w:val="center"/>
          </w:tcPr>
          <w:p w14:paraId="2D3E95AB">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说明与要求</w:t>
            </w:r>
          </w:p>
        </w:tc>
      </w:tr>
      <w:tr w14:paraId="54E6E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C944DF3">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w:t>
            </w:r>
          </w:p>
        </w:tc>
        <w:tc>
          <w:tcPr>
            <w:tcW w:w="1760" w:type="dxa"/>
            <w:tcBorders>
              <w:top w:val="single" w:color="auto" w:sz="4" w:space="0"/>
              <w:left w:val="single" w:color="auto" w:sz="4" w:space="0"/>
              <w:bottom w:val="single" w:color="auto" w:sz="4" w:space="0"/>
              <w:right w:val="single" w:color="auto" w:sz="4" w:space="0"/>
            </w:tcBorders>
            <w:vAlign w:val="center"/>
          </w:tcPr>
          <w:p w14:paraId="28D3EC7A">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项目名称</w:t>
            </w:r>
          </w:p>
        </w:tc>
        <w:tc>
          <w:tcPr>
            <w:tcW w:w="7605" w:type="dxa"/>
            <w:tcBorders>
              <w:top w:val="single" w:color="auto" w:sz="4" w:space="0"/>
              <w:left w:val="single" w:color="auto" w:sz="4" w:space="0"/>
              <w:bottom w:val="single" w:color="auto" w:sz="4" w:space="0"/>
              <w:right w:val="single" w:color="auto" w:sz="4" w:space="0"/>
            </w:tcBorders>
            <w:vAlign w:val="center"/>
          </w:tcPr>
          <w:p w14:paraId="6F879A1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武义县殡仪馆（新馆）绿化养护服务采购项目（第二次）</w:t>
            </w:r>
          </w:p>
        </w:tc>
      </w:tr>
      <w:tr w14:paraId="6A89C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573B97">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w:t>
            </w:r>
          </w:p>
        </w:tc>
        <w:tc>
          <w:tcPr>
            <w:tcW w:w="1760" w:type="dxa"/>
            <w:tcBorders>
              <w:top w:val="single" w:color="auto" w:sz="4" w:space="0"/>
              <w:left w:val="single" w:color="auto" w:sz="4" w:space="0"/>
              <w:bottom w:val="single" w:color="auto" w:sz="4" w:space="0"/>
              <w:right w:val="single" w:color="auto" w:sz="4" w:space="0"/>
            </w:tcBorders>
            <w:vAlign w:val="center"/>
          </w:tcPr>
          <w:p w14:paraId="42B4DA9B">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采购方式</w:t>
            </w:r>
          </w:p>
        </w:tc>
        <w:tc>
          <w:tcPr>
            <w:tcW w:w="7605" w:type="dxa"/>
            <w:tcBorders>
              <w:top w:val="single" w:color="auto" w:sz="4" w:space="0"/>
              <w:left w:val="single" w:color="auto" w:sz="4" w:space="0"/>
              <w:bottom w:val="single" w:color="auto" w:sz="4" w:space="0"/>
              <w:right w:val="single" w:color="auto" w:sz="4" w:space="0"/>
            </w:tcBorders>
            <w:vAlign w:val="center"/>
          </w:tcPr>
          <w:p w14:paraId="368FA6E8">
            <w:pPr>
              <w:pStyle w:val="14"/>
              <w:keepNext w:val="0"/>
              <w:keepLines w:val="0"/>
              <w:pageBreakBefore w:val="0"/>
              <w:kinsoku/>
              <w:wordWrap/>
              <w:overflowPunct/>
              <w:topLinePunct w:val="0"/>
              <w:bidi w:val="0"/>
              <w:snapToGrid/>
              <w:spacing w:line="44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公开招标</w:t>
            </w:r>
          </w:p>
        </w:tc>
      </w:tr>
      <w:tr w14:paraId="3D973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8E0C03E">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w:t>
            </w:r>
          </w:p>
        </w:tc>
        <w:tc>
          <w:tcPr>
            <w:tcW w:w="1760" w:type="dxa"/>
            <w:tcBorders>
              <w:top w:val="single" w:color="auto" w:sz="4" w:space="0"/>
              <w:left w:val="single" w:color="auto" w:sz="4" w:space="0"/>
              <w:bottom w:val="single" w:color="auto" w:sz="4" w:space="0"/>
              <w:right w:val="single" w:color="auto" w:sz="4" w:space="0"/>
            </w:tcBorders>
            <w:vAlign w:val="center"/>
          </w:tcPr>
          <w:p w14:paraId="5608490A">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评标办法</w:t>
            </w:r>
          </w:p>
        </w:tc>
        <w:tc>
          <w:tcPr>
            <w:tcW w:w="7605" w:type="dxa"/>
            <w:tcBorders>
              <w:top w:val="single" w:color="auto" w:sz="4" w:space="0"/>
              <w:left w:val="single" w:color="auto" w:sz="4" w:space="0"/>
              <w:bottom w:val="single" w:color="auto" w:sz="4" w:space="0"/>
              <w:right w:val="single" w:color="auto" w:sz="4" w:space="0"/>
            </w:tcBorders>
            <w:vAlign w:val="center"/>
          </w:tcPr>
          <w:p w14:paraId="54424228">
            <w:pPr>
              <w:pStyle w:val="14"/>
              <w:keepNext w:val="0"/>
              <w:keepLines w:val="0"/>
              <w:pageBreakBefore w:val="0"/>
              <w:kinsoku/>
              <w:wordWrap/>
              <w:overflowPunct/>
              <w:topLinePunct w:val="0"/>
              <w:bidi w:val="0"/>
              <w:snapToGrid/>
              <w:spacing w:line="44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综合评分法</w:t>
            </w:r>
          </w:p>
        </w:tc>
      </w:tr>
      <w:tr w14:paraId="6F17A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BB1CBED">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w:t>
            </w:r>
          </w:p>
        </w:tc>
        <w:tc>
          <w:tcPr>
            <w:tcW w:w="1760" w:type="dxa"/>
            <w:tcBorders>
              <w:top w:val="single" w:color="auto" w:sz="4" w:space="0"/>
              <w:left w:val="single" w:color="auto" w:sz="4" w:space="0"/>
              <w:bottom w:val="single" w:color="auto" w:sz="4" w:space="0"/>
              <w:right w:val="single" w:color="auto" w:sz="4" w:space="0"/>
            </w:tcBorders>
            <w:vAlign w:val="center"/>
          </w:tcPr>
          <w:p w14:paraId="1FF01403">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最高限价</w:t>
            </w:r>
          </w:p>
        </w:tc>
        <w:tc>
          <w:tcPr>
            <w:tcW w:w="7605" w:type="dxa"/>
            <w:tcBorders>
              <w:top w:val="single" w:color="auto" w:sz="4" w:space="0"/>
              <w:left w:val="single" w:color="auto" w:sz="4" w:space="0"/>
              <w:bottom w:val="single" w:color="auto" w:sz="4" w:space="0"/>
              <w:right w:val="single" w:color="auto" w:sz="4" w:space="0"/>
            </w:tcBorders>
            <w:vAlign w:val="center"/>
          </w:tcPr>
          <w:p w14:paraId="5F18DABD">
            <w:pPr>
              <w:keepNext w:val="0"/>
              <w:keepLines w:val="0"/>
              <w:pageBreakBefore w:val="0"/>
              <w:kinsoku/>
              <w:wordWrap/>
              <w:overflowPunct/>
              <w:topLinePunct w:val="0"/>
              <w:bidi w:val="0"/>
              <w:snapToGrid/>
              <w:spacing w:line="44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本项目设有最高限价，任何超过最高限价的报价将被认定为无效报价。</w:t>
            </w:r>
          </w:p>
        </w:tc>
      </w:tr>
      <w:tr w14:paraId="46ED9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C45D785">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5</w:t>
            </w:r>
          </w:p>
        </w:tc>
        <w:tc>
          <w:tcPr>
            <w:tcW w:w="1760" w:type="dxa"/>
            <w:tcBorders>
              <w:top w:val="single" w:color="auto" w:sz="4" w:space="0"/>
              <w:left w:val="single" w:color="auto" w:sz="4" w:space="0"/>
              <w:bottom w:val="single" w:color="auto" w:sz="4" w:space="0"/>
              <w:right w:val="single" w:color="auto" w:sz="4" w:space="0"/>
            </w:tcBorders>
            <w:vAlign w:val="center"/>
          </w:tcPr>
          <w:p w14:paraId="6DDEDA0C">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投标人（供应商）资格要求</w:t>
            </w:r>
          </w:p>
        </w:tc>
        <w:tc>
          <w:tcPr>
            <w:tcW w:w="7605" w:type="dxa"/>
            <w:tcBorders>
              <w:top w:val="single" w:color="auto" w:sz="4" w:space="0"/>
              <w:left w:val="single" w:color="auto" w:sz="4" w:space="0"/>
              <w:bottom w:val="single" w:color="auto" w:sz="4" w:space="0"/>
              <w:right w:val="single" w:color="auto" w:sz="4" w:space="0"/>
            </w:tcBorders>
            <w:vAlign w:val="center"/>
          </w:tcPr>
          <w:p w14:paraId="4E72CF12">
            <w:pPr>
              <w:keepNext w:val="0"/>
              <w:keepLines w:val="0"/>
              <w:pageBreakBefore w:val="0"/>
              <w:kinsoku/>
              <w:wordWrap/>
              <w:overflowPunct/>
              <w:topLinePunct w:val="0"/>
              <w:bidi w:val="0"/>
              <w:snapToGrid/>
              <w:spacing w:line="440" w:lineRule="exact"/>
              <w:textAlignment w:val="auto"/>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rPr>
              <w:t>详见招标公告</w:t>
            </w:r>
          </w:p>
        </w:tc>
      </w:tr>
      <w:tr w14:paraId="6549E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0BDF534">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6</w:t>
            </w:r>
          </w:p>
        </w:tc>
        <w:tc>
          <w:tcPr>
            <w:tcW w:w="1760" w:type="dxa"/>
            <w:tcBorders>
              <w:top w:val="single" w:color="auto" w:sz="4" w:space="0"/>
              <w:left w:val="single" w:color="auto" w:sz="4" w:space="0"/>
              <w:bottom w:val="single" w:color="auto" w:sz="4" w:space="0"/>
              <w:right w:val="single" w:color="auto" w:sz="4" w:space="0"/>
            </w:tcBorders>
            <w:vAlign w:val="center"/>
          </w:tcPr>
          <w:p w14:paraId="7237E9DD">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联合体投标特别条款</w:t>
            </w:r>
          </w:p>
        </w:tc>
        <w:tc>
          <w:tcPr>
            <w:tcW w:w="7605" w:type="dxa"/>
            <w:tcBorders>
              <w:top w:val="single" w:color="auto" w:sz="4" w:space="0"/>
              <w:left w:val="single" w:color="auto" w:sz="4" w:space="0"/>
              <w:bottom w:val="single" w:color="auto" w:sz="4" w:space="0"/>
              <w:right w:val="single" w:color="auto" w:sz="4" w:space="0"/>
            </w:tcBorders>
            <w:vAlign w:val="center"/>
          </w:tcPr>
          <w:p w14:paraId="0A7E77B7">
            <w:pPr>
              <w:pStyle w:val="14"/>
              <w:keepNext w:val="0"/>
              <w:keepLines w:val="0"/>
              <w:pageBreakBefore w:val="0"/>
              <w:kinsoku/>
              <w:wordWrap/>
              <w:overflowPunct/>
              <w:topLinePunct w:val="0"/>
              <w:bidi w:val="0"/>
              <w:snapToGrid/>
              <w:spacing w:line="44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本项目不接</w:t>
            </w:r>
            <w:r>
              <w:rPr>
                <w:rFonts w:hint="eastAsia" w:ascii="仿宋" w:hAnsi="仿宋" w:eastAsia="仿宋" w:cs="仿宋"/>
                <w:color w:val="auto"/>
                <w:szCs w:val="24"/>
                <w:highlight w:val="none"/>
                <w:lang w:eastAsia="zh-CN"/>
              </w:rPr>
              <w:t>受</w:t>
            </w:r>
            <w:r>
              <w:rPr>
                <w:rFonts w:hint="eastAsia" w:ascii="仿宋" w:hAnsi="仿宋" w:eastAsia="仿宋" w:cs="仿宋"/>
                <w:color w:val="auto"/>
                <w:szCs w:val="24"/>
                <w:highlight w:val="none"/>
              </w:rPr>
              <w:t>联合体投标</w:t>
            </w:r>
          </w:p>
        </w:tc>
      </w:tr>
      <w:tr w14:paraId="26B21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596FA38">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7</w:t>
            </w:r>
          </w:p>
        </w:tc>
        <w:tc>
          <w:tcPr>
            <w:tcW w:w="1760" w:type="dxa"/>
            <w:tcBorders>
              <w:top w:val="single" w:color="auto" w:sz="4" w:space="0"/>
              <w:left w:val="single" w:color="auto" w:sz="4" w:space="0"/>
              <w:bottom w:val="single" w:color="auto" w:sz="4" w:space="0"/>
              <w:right w:val="single" w:color="auto" w:sz="4" w:space="0"/>
            </w:tcBorders>
            <w:vAlign w:val="center"/>
          </w:tcPr>
          <w:p w14:paraId="1D1144DC">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标的划分</w:t>
            </w:r>
          </w:p>
        </w:tc>
        <w:tc>
          <w:tcPr>
            <w:tcW w:w="7605" w:type="dxa"/>
            <w:tcBorders>
              <w:top w:val="single" w:color="auto" w:sz="4" w:space="0"/>
              <w:left w:val="single" w:color="auto" w:sz="4" w:space="0"/>
              <w:bottom w:val="single" w:color="auto" w:sz="4" w:space="0"/>
              <w:right w:val="single" w:color="auto" w:sz="4" w:space="0"/>
            </w:tcBorders>
            <w:vAlign w:val="center"/>
          </w:tcPr>
          <w:p w14:paraId="223CE07A">
            <w:pPr>
              <w:keepNext w:val="0"/>
              <w:keepLines w:val="0"/>
              <w:pageBreakBefore w:val="0"/>
              <w:kinsoku/>
              <w:wordWrap/>
              <w:overflowPunct/>
              <w:topLinePunct w:val="0"/>
              <w:bidi w:val="0"/>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本次招标共</w:t>
            </w:r>
            <w:r>
              <w:rPr>
                <w:rFonts w:hint="eastAsia" w:ascii="仿宋" w:hAnsi="仿宋" w:eastAsia="仿宋" w:cs="仿宋"/>
                <w:b/>
                <w:bCs/>
                <w:color w:val="auto"/>
                <w:sz w:val="24"/>
                <w:szCs w:val="24"/>
                <w:highlight w:val="none"/>
                <w:u w:val="single"/>
              </w:rPr>
              <w:t>1</w:t>
            </w:r>
            <w:r>
              <w:rPr>
                <w:rFonts w:hint="eastAsia" w:ascii="仿宋" w:hAnsi="仿宋" w:eastAsia="仿宋" w:cs="仿宋"/>
                <w:color w:val="auto"/>
                <w:sz w:val="24"/>
                <w:szCs w:val="24"/>
                <w:highlight w:val="none"/>
              </w:rPr>
              <w:t>个标的，采购人将整体择定中标人。</w:t>
            </w:r>
          </w:p>
        </w:tc>
      </w:tr>
      <w:tr w14:paraId="34A53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117B871">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8</w:t>
            </w:r>
          </w:p>
        </w:tc>
        <w:tc>
          <w:tcPr>
            <w:tcW w:w="1760" w:type="dxa"/>
            <w:tcBorders>
              <w:top w:val="single" w:color="auto" w:sz="4" w:space="0"/>
              <w:left w:val="single" w:color="auto" w:sz="4" w:space="0"/>
              <w:bottom w:val="single" w:color="auto" w:sz="4" w:space="0"/>
              <w:right w:val="single" w:color="auto" w:sz="4" w:space="0"/>
            </w:tcBorders>
            <w:vAlign w:val="center"/>
          </w:tcPr>
          <w:p w14:paraId="1B72C80E">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资格审查</w:t>
            </w:r>
          </w:p>
        </w:tc>
        <w:tc>
          <w:tcPr>
            <w:tcW w:w="7605" w:type="dxa"/>
            <w:tcBorders>
              <w:top w:val="single" w:color="auto" w:sz="4" w:space="0"/>
              <w:left w:val="single" w:color="auto" w:sz="4" w:space="0"/>
              <w:bottom w:val="single" w:color="auto" w:sz="4" w:space="0"/>
              <w:right w:val="single" w:color="auto" w:sz="4" w:space="0"/>
            </w:tcBorders>
            <w:vAlign w:val="center"/>
          </w:tcPr>
          <w:p w14:paraId="0F9D7452">
            <w:pPr>
              <w:keepNext w:val="0"/>
              <w:keepLines w:val="0"/>
              <w:pageBreakBefore w:val="0"/>
              <w:kinsoku/>
              <w:wordWrap/>
              <w:overflowPunct/>
              <w:topLinePunct w:val="0"/>
              <w:bidi w:val="0"/>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供应商资格采用资格后审方式，由</w:t>
            </w:r>
            <w:r>
              <w:rPr>
                <w:rFonts w:hint="eastAsia" w:ascii="仿宋" w:hAnsi="仿宋" w:eastAsia="仿宋" w:cs="仿宋"/>
                <w:color w:val="auto"/>
                <w:sz w:val="24"/>
                <w:szCs w:val="24"/>
                <w:highlight w:val="none"/>
                <w:lang w:eastAsia="zh-CN"/>
              </w:rPr>
              <w:t>评标委员会</w:t>
            </w:r>
            <w:r>
              <w:rPr>
                <w:rFonts w:hint="eastAsia" w:ascii="仿宋" w:hAnsi="仿宋" w:eastAsia="仿宋" w:cs="仿宋"/>
                <w:color w:val="auto"/>
                <w:sz w:val="24"/>
                <w:szCs w:val="24"/>
                <w:highlight w:val="none"/>
              </w:rPr>
              <w:t>进行审查。</w:t>
            </w:r>
          </w:p>
        </w:tc>
      </w:tr>
      <w:tr w14:paraId="37397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2B8649B">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9</w:t>
            </w:r>
          </w:p>
        </w:tc>
        <w:tc>
          <w:tcPr>
            <w:tcW w:w="1760" w:type="dxa"/>
            <w:tcBorders>
              <w:top w:val="single" w:color="auto" w:sz="4" w:space="0"/>
              <w:left w:val="single" w:color="auto" w:sz="4" w:space="0"/>
              <w:bottom w:val="single" w:color="auto" w:sz="4" w:space="0"/>
              <w:right w:val="single" w:color="auto" w:sz="4" w:space="0"/>
            </w:tcBorders>
            <w:vAlign w:val="center"/>
          </w:tcPr>
          <w:p w14:paraId="10872F9A">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招标文件的</w:t>
            </w:r>
          </w:p>
          <w:p w14:paraId="58A2E919">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获取</w:t>
            </w:r>
          </w:p>
        </w:tc>
        <w:tc>
          <w:tcPr>
            <w:tcW w:w="7605" w:type="dxa"/>
            <w:tcBorders>
              <w:top w:val="single" w:color="auto" w:sz="4" w:space="0"/>
              <w:left w:val="single" w:color="auto" w:sz="4" w:space="0"/>
              <w:bottom w:val="single" w:color="auto" w:sz="4" w:space="0"/>
              <w:right w:val="single" w:color="auto" w:sz="4" w:space="0"/>
            </w:tcBorders>
            <w:vAlign w:val="center"/>
          </w:tcPr>
          <w:p w14:paraId="1D48EDAB">
            <w:pPr>
              <w:pStyle w:val="25"/>
              <w:keepNext w:val="0"/>
              <w:keepLines w:val="0"/>
              <w:pageBreakBefore w:val="0"/>
              <w:kinsoku/>
              <w:wordWrap/>
              <w:overflowPunct/>
              <w:topLinePunct w:val="0"/>
              <w:bidi w:val="0"/>
              <w:snapToGrid/>
              <w:spacing w:before="0" w:beforeAutospacing="0" w:after="0" w:afterAutospacing="0" w:line="4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rPr>
              <w:t>详见招标公告</w:t>
            </w:r>
          </w:p>
        </w:tc>
      </w:tr>
      <w:tr w14:paraId="5A33B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8C723DA">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10</w:t>
            </w:r>
          </w:p>
        </w:tc>
        <w:tc>
          <w:tcPr>
            <w:tcW w:w="1760" w:type="dxa"/>
            <w:tcBorders>
              <w:top w:val="single" w:color="auto" w:sz="4" w:space="0"/>
              <w:left w:val="single" w:color="auto" w:sz="4" w:space="0"/>
              <w:bottom w:val="single" w:color="auto" w:sz="4" w:space="0"/>
              <w:right w:val="single" w:color="auto" w:sz="4" w:space="0"/>
            </w:tcBorders>
            <w:vAlign w:val="center"/>
          </w:tcPr>
          <w:p w14:paraId="6A4BD833">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投标保证金</w:t>
            </w:r>
          </w:p>
        </w:tc>
        <w:tc>
          <w:tcPr>
            <w:tcW w:w="7605" w:type="dxa"/>
            <w:tcBorders>
              <w:top w:val="single" w:color="auto" w:sz="4" w:space="0"/>
              <w:left w:val="single" w:color="auto" w:sz="4" w:space="0"/>
              <w:bottom w:val="single" w:color="auto" w:sz="4" w:space="0"/>
              <w:right w:val="single" w:color="auto" w:sz="4" w:space="0"/>
            </w:tcBorders>
            <w:vAlign w:val="center"/>
          </w:tcPr>
          <w:p w14:paraId="613DB319">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本项目不收取投标保证金</w:t>
            </w:r>
          </w:p>
        </w:tc>
      </w:tr>
      <w:tr w14:paraId="11DDA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47E56BC">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11</w:t>
            </w:r>
          </w:p>
        </w:tc>
        <w:tc>
          <w:tcPr>
            <w:tcW w:w="1760" w:type="dxa"/>
            <w:tcBorders>
              <w:top w:val="single" w:color="auto" w:sz="4" w:space="0"/>
              <w:left w:val="single" w:color="auto" w:sz="4" w:space="0"/>
              <w:bottom w:val="single" w:color="auto" w:sz="4" w:space="0"/>
              <w:right w:val="single" w:color="auto" w:sz="4" w:space="0"/>
            </w:tcBorders>
            <w:vAlign w:val="center"/>
          </w:tcPr>
          <w:p w14:paraId="266903D4">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投标报价方式及其他要求</w:t>
            </w:r>
          </w:p>
        </w:tc>
        <w:tc>
          <w:tcPr>
            <w:tcW w:w="7605" w:type="dxa"/>
            <w:tcBorders>
              <w:top w:val="single" w:color="auto" w:sz="4" w:space="0"/>
              <w:left w:val="single" w:color="auto" w:sz="4" w:space="0"/>
              <w:bottom w:val="single" w:color="auto" w:sz="4" w:space="0"/>
              <w:right w:val="single" w:color="auto" w:sz="4" w:space="0"/>
            </w:tcBorders>
            <w:vAlign w:val="center"/>
          </w:tcPr>
          <w:p w14:paraId="275D577E">
            <w:pPr>
              <w:pStyle w:val="14"/>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1.本项目</w:t>
            </w:r>
            <w:r>
              <w:rPr>
                <w:rFonts w:hint="eastAsia" w:ascii="仿宋" w:hAnsi="仿宋" w:eastAsia="仿宋" w:cs="仿宋"/>
                <w:b/>
                <w:bCs/>
                <w:color w:val="auto"/>
                <w:szCs w:val="24"/>
                <w:highlight w:val="none"/>
                <w:lang w:eastAsia="zh-CN"/>
              </w:rPr>
              <w:t>最高限价</w:t>
            </w:r>
            <w:r>
              <w:rPr>
                <w:rFonts w:hint="eastAsia" w:ascii="仿宋" w:hAnsi="仿宋" w:eastAsia="仿宋" w:cs="仿宋"/>
                <w:b/>
                <w:bCs/>
                <w:color w:val="auto"/>
                <w:szCs w:val="24"/>
                <w:highlight w:val="none"/>
                <w:u w:val="single"/>
                <w:lang w:val="en-US" w:eastAsia="zh-CN"/>
              </w:rPr>
              <w:t>392000元</w:t>
            </w:r>
            <w:r>
              <w:rPr>
                <w:rFonts w:hint="eastAsia" w:ascii="仿宋" w:hAnsi="仿宋" w:eastAsia="仿宋" w:cs="仿宋"/>
                <w:b/>
                <w:bCs/>
                <w:color w:val="auto"/>
                <w:szCs w:val="24"/>
                <w:highlight w:val="none"/>
              </w:rPr>
              <w:t>。</w:t>
            </w:r>
            <w:r>
              <w:rPr>
                <w:rFonts w:hint="eastAsia" w:ascii="仿宋" w:hAnsi="仿宋" w:eastAsia="仿宋" w:cs="仿宋"/>
                <w:b/>
                <w:bCs/>
                <w:color w:val="auto"/>
                <w:szCs w:val="24"/>
                <w:highlight w:val="none"/>
                <w:lang w:eastAsia="zh-CN"/>
              </w:rPr>
              <w:t>投标人报价高于最高限价的报价无效。投标人须以本项目的最高限价为基础，进行合理报价（投标报价四舍五入精确到元，不保留小数点）。</w:t>
            </w:r>
            <w:r>
              <w:rPr>
                <w:rFonts w:hint="eastAsia" w:ascii="仿宋" w:hAnsi="仿宋" w:eastAsia="仿宋" w:cs="仿宋"/>
                <w:b/>
                <w:bCs/>
                <w:color w:val="auto"/>
                <w:szCs w:val="24"/>
                <w:highlight w:val="none"/>
              </w:rPr>
              <w:t>报价并不是中标的唯一条件，采购人不保证最低报价中标。</w:t>
            </w:r>
            <w:r>
              <w:rPr>
                <w:rFonts w:hint="eastAsia" w:ascii="仿宋" w:hAnsi="仿宋" w:eastAsia="仿宋" w:cs="仿宋"/>
                <w:color w:val="auto"/>
                <w:szCs w:val="24"/>
                <w:highlight w:val="none"/>
              </w:rPr>
              <w:t>报价若低于市场价的，应提供书面说明或者提供相关佐证材料（如成本测算资料），证明其报价的合理性。</w:t>
            </w:r>
          </w:p>
          <w:p w14:paraId="3AC268A4">
            <w:pPr>
              <w:pStyle w:val="14"/>
              <w:spacing w:line="360" w:lineRule="exact"/>
              <w:ind w:firstLine="480" w:firstLineChars="2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2.投标报价是履行合同的最终价格，投标报价应</w:t>
            </w:r>
            <w:r>
              <w:rPr>
                <w:rFonts w:hint="eastAsia" w:ascii="仿宋" w:hAnsi="仿宋" w:eastAsia="仿宋" w:cs="仿宋"/>
                <w:color w:val="auto"/>
                <w:szCs w:val="24"/>
                <w:highlight w:val="none"/>
                <w:lang w:eastAsia="zh-CN"/>
              </w:rPr>
              <w:t>包括</w:t>
            </w:r>
            <w:r>
              <w:rPr>
                <w:rFonts w:hint="eastAsia" w:ascii="仿宋" w:hAnsi="仿宋" w:eastAsia="仿宋" w:cs="仿宋"/>
                <w:color w:val="auto"/>
                <w:szCs w:val="24"/>
                <w:highlight w:val="none"/>
              </w:rPr>
              <w:t>本项目履行</w:t>
            </w:r>
            <w:r>
              <w:rPr>
                <w:rFonts w:hint="eastAsia" w:ascii="仿宋" w:hAnsi="仿宋" w:eastAsia="仿宋" w:cs="仿宋"/>
                <w:color w:val="auto"/>
                <w:szCs w:val="24"/>
                <w:highlight w:val="none"/>
                <w:lang w:eastAsia="zh-CN"/>
              </w:rPr>
              <w:t>过程中涉及</w:t>
            </w:r>
            <w:r>
              <w:rPr>
                <w:rFonts w:hint="eastAsia" w:ascii="仿宋" w:hAnsi="仿宋" w:eastAsia="仿宋" w:cs="仿宋"/>
                <w:color w:val="auto"/>
                <w:szCs w:val="24"/>
                <w:highlight w:val="none"/>
              </w:rPr>
              <w:t>的一切费用及配合业主通过有关政府部门审批的相关服务等全部项目的费用及工作所发生的一切应有费用。投标报价为签订合同的依据</w:t>
            </w:r>
          </w:p>
          <w:p w14:paraId="44ECF74A">
            <w:pPr>
              <w:pStyle w:val="14"/>
              <w:spacing w:line="360" w:lineRule="exact"/>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.投标人对根据修正原则修正后的报价不确认或不接受的，报价按无效报价处理。</w:t>
            </w:r>
          </w:p>
        </w:tc>
      </w:tr>
      <w:tr w14:paraId="32C16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DAF5C80">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12</w:t>
            </w:r>
          </w:p>
        </w:tc>
        <w:tc>
          <w:tcPr>
            <w:tcW w:w="1760" w:type="dxa"/>
            <w:tcBorders>
              <w:top w:val="single" w:color="auto" w:sz="4" w:space="0"/>
              <w:left w:val="single" w:color="auto" w:sz="4" w:space="0"/>
              <w:bottom w:val="single" w:color="auto" w:sz="4" w:space="0"/>
              <w:right w:val="single" w:color="auto" w:sz="4" w:space="0"/>
            </w:tcBorders>
            <w:vAlign w:val="center"/>
          </w:tcPr>
          <w:p w14:paraId="4238188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投标文件份数及其他要求</w:t>
            </w:r>
          </w:p>
        </w:tc>
        <w:tc>
          <w:tcPr>
            <w:tcW w:w="7605" w:type="dxa"/>
            <w:tcBorders>
              <w:top w:val="single" w:color="auto" w:sz="4" w:space="0"/>
              <w:left w:val="single" w:color="auto" w:sz="4" w:space="0"/>
              <w:bottom w:val="single" w:color="auto" w:sz="4" w:space="0"/>
              <w:right w:val="single" w:color="auto" w:sz="4" w:space="0"/>
            </w:tcBorders>
            <w:vAlign w:val="center"/>
          </w:tcPr>
          <w:p w14:paraId="37FC2C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电子版投标文件1份，本项目实行投标文件CA电子签章，投标人在编制生成“电子投标文件”时需进行CA电子签章加密。</w:t>
            </w:r>
          </w:p>
          <w:p w14:paraId="2DBE7A83">
            <w:pPr>
              <w:pStyle w:val="1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应按本招标采购文件规定的格式和顺序编制投标文件并按照“政采云电子投标客户端”的顺序关联，并标注目录和页码，投标文件内容不完整、关联、编排混乱导致投标文件被误读、漏读或者查找不到相关内容的，是投标人的责任。</w:t>
            </w:r>
          </w:p>
          <w:p w14:paraId="1DE87F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是否要求提交纸质版投标文件：</w:t>
            </w:r>
            <w:r>
              <w:rPr>
                <w:rFonts w:hint="eastAsia" w:ascii="仿宋" w:hAnsi="仿宋" w:eastAsia="仿宋" w:cs="仿宋"/>
                <w:b/>
                <w:bCs/>
                <w:color w:val="auto"/>
                <w:sz w:val="24"/>
                <w:szCs w:val="24"/>
                <w:highlight w:val="none"/>
                <w:u w:val="single"/>
              </w:rPr>
              <w:t>否；但中标后，中标人需在领取中标通知书前向采购代理机构提交与投标时一致的电子投标文件（资格文件、商务技术文件、报价文件）打印纸质版3份（须按照招标采购文件要求签字盖章）。</w:t>
            </w:r>
          </w:p>
        </w:tc>
      </w:tr>
      <w:tr w14:paraId="58DCC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B12B16C">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13</w:t>
            </w:r>
          </w:p>
        </w:tc>
        <w:tc>
          <w:tcPr>
            <w:tcW w:w="1760" w:type="dxa"/>
            <w:tcBorders>
              <w:top w:val="single" w:color="auto" w:sz="4" w:space="0"/>
              <w:left w:val="single" w:color="auto" w:sz="4" w:space="0"/>
              <w:bottom w:val="single" w:color="auto" w:sz="4" w:space="0"/>
              <w:right w:val="single" w:color="auto" w:sz="4" w:space="0"/>
            </w:tcBorders>
            <w:vAlign w:val="center"/>
          </w:tcPr>
          <w:p w14:paraId="02E929D8">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资格文件</w:t>
            </w:r>
          </w:p>
        </w:tc>
        <w:tc>
          <w:tcPr>
            <w:tcW w:w="7605" w:type="dxa"/>
            <w:tcBorders>
              <w:top w:val="single" w:color="auto" w:sz="4" w:space="0"/>
              <w:left w:val="single" w:color="auto" w:sz="4" w:space="0"/>
              <w:bottom w:val="single" w:color="auto" w:sz="4" w:space="0"/>
              <w:right w:val="single" w:color="auto" w:sz="4" w:space="0"/>
            </w:tcBorders>
            <w:vAlign w:val="center"/>
          </w:tcPr>
          <w:p w14:paraId="2B3230C4">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rPr>
              <w:t>有效的营业执照/事业单位法人证书/社会团体法人登记证书等主体资格证明文件</w:t>
            </w:r>
            <w:r>
              <w:rPr>
                <w:rFonts w:hint="eastAsia" w:ascii="仿宋" w:hAnsi="仿宋" w:eastAsia="仿宋" w:cs="仿宋"/>
                <w:color w:val="auto"/>
                <w:sz w:val="24"/>
                <w:szCs w:val="24"/>
                <w:highlight w:val="none"/>
              </w:rPr>
              <w:t>；</w:t>
            </w:r>
          </w:p>
          <w:p w14:paraId="303920C0">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（2）未被“信用中国”（www.creditchina.gov.cn）、中国政府采购网（www.ccgp.gov.cn）列入失信被执行人、重大税收违法案件当事人名单、政府采购严重违法失信行为记录名单</w:t>
            </w:r>
            <w:r>
              <w:rPr>
                <w:rFonts w:hint="eastAsia" w:ascii="仿宋" w:hAnsi="仿宋" w:eastAsia="仿宋" w:cs="仿宋"/>
                <w:color w:val="auto"/>
                <w:sz w:val="24"/>
                <w:szCs w:val="24"/>
                <w:highlight w:val="none"/>
                <w:lang w:eastAsia="zh-CN"/>
              </w:rPr>
              <w:t>；</w:t>
            </w:r>
          </w:p>
          <w:p w14:paraId="180467A8">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rPr>
              <w:t>法定代表人资格书或法定代表人授权委托书</w:t>
            </w:r>
            <w:r>
              <w:rPr>
                <w:rFonts w:hint="eastAsia" w:ascii="仿宋" w:hAnsi="仿宋" w:eastAsia="仿宋" w:cs="仿宋"/>
                <w:color w:val="auto"/>
                <w:sz w:val="24"/>
                <w:szCs w:val="24"/>
                <w:highlight w:val="none"/>
              </w:rPr>
              <w:t>（格式见附件）；</w:t>
            </w:r>
          </w:p>
          <w:p w14:paraId="073C7040">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落实政府采购政策资格相关材料（以下任意一种）（格式见附件）：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①中小企业声明函；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②残疾人福利企业声明函；</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③监狱企业声明函</w:t>
            </w:r>
            <w:r>
              <w:rPr>
                <w:rFonts w:hint="eastAsia" w:ascii="仿宋" w:hAnsi="仿宋" w:eastAsia="仿宋" w:cs="仿宋"/>
                <w:color w:val="auto"/>
                <w:sz w:val="24"/>
                <w:szCs w:val="24"/>
                <w:highlight w:val="none"/>
                <w:lang w:eastAsia="zh-CN"/>
              </w:rPr>
              <w:t>；</w:t>
            </w:r>
          </w:p>
          <w:p w14:paraId="3102FC3D">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）符合参加政府采购活动应当具备的一般条件的承诺函</w:t>
            </w:r>
            <w:r>
              <w:rPr>
                <w:rFonts w:hint="eastAsia" w:ascii="仿宋" w:hAnsi="仿宋" w:eastAsia="仿宋" w:cs="仿宋"/>
                <w:color w:val="auto"/>
                <w:sz w:val="24"/>
                <w:szCs w:val="24"/>
                <w:highlight w:val="none"/>
              </w:rPr>
              <w:t>（格式见附件）</w:t>
            </w:r>
            <w:r>
              <w:rPr>
                <w:rFonts w:hint="eastAsia" w:ascii="仿宋" w:hAnsi="仿宋" w:eastAsia="仿宋" w:cs="仿宋"/>
                <w:color w:val="auto"/>
                <w:sz w:val="24"/>
                <w:szCs w:val="24"/>
                <w:highlight w:val="none"/>
                <w:lang w:eastAsia="zh-CN"/>
              </w:rPr>
              <w:t>；</w:t>
            </w:r>
          </w:p>
          <w:p w14:paraId="29C9823E">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招标采购文件要求的其他资格文件。</w:t>
            </w:r>
          </w:p>
        </w:tc>
      </w:tr>
      <w:tr w14:paraId="418B9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90B649E">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14</w:t>
            </w:r>
          </w:p>
        </w:tc>
        <w:tc>
          <w:tcPr>
            <w:tcW w:w="1760" w:type="dxa"/>
            <w:tcBorders>
              <w:top w:val="single" w:color="auto" w:sz="4" w:space="0"/>
              <w:left w:val="single" w:color="auto" w:sz="4" w:space="0"/>
              <w:bottom w:val="single" w:color="auto" w:sz="4" w:space="0"/>
              <w:right w:val="single" w:color="auto" w:sz="4" w:space="0"/>
            </w:tcBorders>
            <w:vAlign w:val="center"/>
          </w:tcPr>
          <w:p w14:paraId="3ECA0115">
            <w:pPr>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商务技术文件</w:t>
            </w:r>
          </w:p>
        </w:tc>
        <w:tc>
          <w:tcPr>
            <w:tcW w:w="7605" w:type="dxa"/>
            <w:tcBorders>
              <w:top w:val="single" w:color="auto" w:sz="4" w:space="0"/>
              <w:left w:val="single" w:color="auto" w:sz="4" w:space="0"/>
              <w:bottom w:val="single" w:color="auto" w:sz="4" w:space="0"/>
              <w:right w:val="single" w:color="auto" w:sz="4" w:space="0"/>
            </w:tcBorders>
            <w:vAlign w:val="center"/>
          </w:tcPr>
          <w:p w14:paraId="7C52E6AB">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投标声明函</w:t>
            </w:r>
            <w:r>
              <w:rPr>
                <w:rFonts w:hint="eastAsia" w:ascii="仿宋" w:hAnsi="仿宋" w:eastAsia="仿宋" w:cs="仿宋"/>
                <w:color w:val="auto"/>
                <w:sz w:val="24"/>
                <w:szCs w:val="24"/>
                <w:highlight w:val="none"/>
              </w:rPr>
              <w:t>（格式见附件）</w:t>
            </w:r>
            <w:r>
              <w:rPr>
                <w:rFonts w:hint="eastAsia" w:ascii="仿宋" w:hAnsi="仿宋" w:eastAsia="仿宋" w:cs="仿宋"/>
                <w:color w:val="auto"/>
                <w:sz w:val="24"/>
                <w:szCs w:val="24"/>
                <w:highlight w:val="none"/>
                <w:lang w:eastAsia="zh-CN"/>
              </w:rPr>
              <w:t>；</w:t>
            </w:r>
          </w:p>
          <w:p w14:paraId="33D30F80">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投标人基本情况介绍；</w:t>
            </w:r>
          </w:p>
          <w:p w14:paraId="2FB25A7F">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）根据招标文件第</w:t>
            </w:r>
            <w:r>
              <w:rPr>
                <w:rFonts w:hint="eastAsia" w:ascii="仿宋" w:hAnsi="仿宋" w:eastAsia="仿宋" w:cs="仿宋"/>
                <w:color w:val="auto"/>
                <w:sz w:val="24"/>
                <w:szCs w:val="24"/>
                <w:highlight w:val="none"/>
                <w:lang w:eastAsia="zh-CN"/>
              </w:rPr>
              <w:t>四</w:t>
            </w:r>
            <w:r>
              <w:rPr>
                <w:rFonts w:hint="eastAsia" w:ascii="仿宋" w:hAnsi="仿宋" w:eastAsia="仿宋" w:cs="仿宋"/>
                <w:color w:val="auto"/>
                <w:sz w:val="24"/>
                <w:szCs w:val="24"/>
                <w:highlight w:val="none"/>
              </w:rPr>
              <w:t>章评分细则中涉及的相关内容描述；</w:t>
            </w:r>
          </w:p>
          <w:p w14:paraId="3CD4F19F">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）包括但不限于以上技术文件或说明。</w:t>
            </w:r>
          </w:p>
          <w:p w14:paraId="72804978">
            <w:pPr>
              <w:pStyle w:val="14"/>
              <w:keepNext w:val="0"/>
              <w:keepLines w:val="0"/>
              <w:pageBreakBefore w:val="0"/>
              <w:kinsoku/>
              <w:wordWrap/>
              <w:overflowPunct/>
              <w:topLinePunct w:val="0"/>
              <w:bidi w:val="0"/>
              <w:snapToGrid/>
              <w:spacing w:line="400" w:lineRule="exact"/>
              <w:textAlignment w:val="auto"/>
              <w:rPr>
                <w:rFonts w:hint="eastAsia" w:ascii="仿宋" w:hAnsi="仿宋" w:eastAsia="仿宋" w:cs="仿宋"/>
                <w:b/>
                <w:color w:val="auto"/>
                <w:szCs w:val="24"/>
                <w:highlight w:val="none"/>
              </w:rPr>
            </w:pPr>
            <w:r>
              <w:rPr>
                <w:rFonts w:hint="eastAsia" w:ascii="仿宋" w:hAnsi="仿宋" w:eastAsia="仿宋" w:cs="仿宋"/>
                <w:b/>
                <w:bCs w:val="0"/>
                <w:color w:val="auto"/>
                <w:szCs w:val="24"/>
                <w:highlight w:val="none"/>
              </w:rPr>
              <w:t>投标人在“商务技术文件资料”中应对招标文件作实质性响应，该项内容将作为评标重要指标。</w:t>
            </w:r>
          </w:p>
        </w:tc>
      </w:tr>
      <w:tr w14:paraId="3DE04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92E076">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15</w:t>
            </w:r>
          </w:p>
        </w:tc>
        <w:tc>
          <w:tcPr>
            <w:tcW w:w="1760" w:type="dxa"/>
            <w:tcBorders>
              <w:top w:val="single" w:color="auto" w:sz="4" w:space="0"/>
              <w:left w:val="single" w:color="auto" w:sz="4" w:space="0"/>
              <w:bottom w:val="single" w:color="auto" w:sz="4" w:space="0"/>
              <w:right w:val="single" w:color="auto" w:sz="4" w:space="0"/>
            </w:tcBorders>
            <w:vAlign w:val="center"/>
          </w:tcPr>
          <w:p w14:paraId="17C070BB">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报价文件</w:t>
            </w:r>
          </w:p>
        </w:tc>
        <w:tc>
          <w:tcPr>
            <w:tcW w:w="7605" w:type="dxa"/>
            <w:tcBorders>
              <w:top w:val="single" w:color="auto" w:sz="4" w:space="0"/>
              <w:left w:val="single" w:color="auto" w:sz="4" w:space="0"/>
              <w:bottom w:val="single" w:color="auto" w:sz="4" w:space="0"/>
              <w:right w:val="single" w:color="auto" w:sz="4" w:space="0"/>
            </w:tcBorders>
            <w:vAlign w:val="center"/>
          </w:tcPr>
          <w:p w14:paraId="50A3E0DA">
            <w:pPr>
              <w:keepNext w:val="0"/>
              <w:keepLines w:val="0"/>
              <w:pageBreakBefore w:val="0"/>
              <w:tabs>
                <w:tab w:val="left" w:pos="3870"/>
                <w:tab w:val="left" w:pos="4085"/>
              </w:tabs>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w:t>
            </w:r>
            <w:r>
              <w:rPr>
                <w:rFonts w:hint="eastAsia" w:ascii="仿宋" w:hAnsi="仿宋" w:eastAsia="仿宋" w:cs="仿宋"/>
                <w:color w:val="auto"/>
                <w:sz w:val="24"/>
                <w:szCs w:val="24"/>
                <w:highlight w:val="none"/>
                <w:lang w:eastAsia="zh-CN"/>
              </w:rPr>
              <w:t>承诺书</w:t>
            </w:r>
            <w:r>
              <w:rPr>
                <w:rFonts w:hint="eastAsia" w:ascii="仿宋" w:hAnsi="仿宋" w:eastAsia="仿宋" w:cs="仿宋"/>
                <w:color w:val="auto"/>
                <w:sz w:val="24"/>
                <w:szCs w:val="24"/>
                <w:highlight w:val="none"/>
              </w:rPr>
              <w:t xml:space="preserve">（格式见附件）； </w:t>
            </w:r>
          </w:p>
          <w:p w14:paraId="3F0E44F8">
            <w:pPr>
              <w:spacing w:line="3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（2）开标一览表（格式见附件）；</w:t>
            </w:r>
          </w:p>
          <w:p w14:paraId="37C32FDC">
            <w:pPr>
              <w:spacing w:line="360" w:lineRule="exact"/>
              <w:jc w:val="left"/>
              <w:rPr>
                <w:rFonts w:hint="eastAsia" w:ascii="仿宋" w:eastAsia="仿宋" w:cs="仿宋"/>
                <w:color w:val="auto"/>
                <w:sz w:val="24"/>
                <w:szCs w:val="24"/>
              </w:rPr>
            </w:pPr>
            <w:r>
              <w:rPr>
                <w:rFonts w:hint="eastAsia" w:ascii="仿宋" w:eastAsia="仿宋" w:cs="仿宋"/>
                <w:color w:val="auto"/>
                <w:sz w:val="24"/>
                <w:szCs w:val="24"/>
              </w:rPr>
              <w:t>（</w:t>
            </w:r>
            <w:r>
              <w:rPr>
                <w:rFonts w:hint="eastAsia" w:ascii="仿宋" w:eastAsia="仿宋" w:cs="仿宋"/>
                <w:color w:val="auto"/>
                <w:sz w:val="24"/>
                <w:szCs w:val="24"/>
                <w:lang w:val="en-US" w:eastAsia="zh-CN"/>
              </w:rPr>
              <w:t>3</w:t>
            </w:r>
            <w:r>
              <w:rPr>
                <w:rFonts w:hint="eastAsia" w:ascii="仿宋" w:eastAsia="仿宋" w:cs="仿宋"/>
                <w:color w:val="auto"/>
                <w:sz w:val="24"/>
                <w:szCs w:val="24"/>
              </w:rPr>
              <w:t>）</w:t>
            </w:r>
            <w:r>
              <w:rPr>
                <w:rFonts w:hint="eastAsia" w:ascii="仿宋" w:hAnsi="仿宋" w:eastAsia="仿宋" w:cs="仿宋"/>
                <w:color w:val="auto"/>
                <w:sz w:val="24"/>
                <w:szCs w:val="24"/>
                <w:highlight w:val="none"/>
                <w:lang w:eastAsia="zh-CN"/>
              </w:rPr>
              <w:t>报价说明（如有，</w:t>
            </w:r>
            <w:r>
              <w:rPr>
                <w:rFonts w:hint="eastAsia" w:ascii="仿宋" w:hAnsi="仿宋" w:eastAsia="仿宋" w:cs="仿宋"/>
                <w:color w:val="auto"/>
                <w:sz w:val="24"/>
                <w:szCs w:val="24"/>
                <w:highlight w:val="none"/>
              </w:rPr>
              <w:t>格式见附件</w:t>
            </w:r>
            <w:r>
              <w:rPr>
                <w:rFonts w:hint="eastAsia" w:ascii="仿宋" w:hAnsi="仿宋" w:eastAsia="仿宋" w:cs="仿宋"/>
                <w:color w:val="auto"/>
                <w:sz w:val="24"/>
                <w:szCs w:val="24"/>
                <w:highlight w:val="none"/>
                <w:lang w:eastAsia="zh-CN"/>
              </w:rPr>
              <w:t>）；</w:t>
            </w:r>
          </w:p>
          <w:p w14:paraId="6EB6F4B0">
            <w:pPr>
              <w:keepNext w:val="0"/>
              <w:keepLines w:val="0"/>
              <w:pageBreakBefore w:val="0"/>
              <w:tabs>
                <w:tab w:val="left" w:pos="3870"/>
                <w:tab w:val="left" w:pos="4085"/>
              </w:tabs>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投标人需要说明的其他文件和说明（格式自拟）。</w:t>
            </w:r>
          </w:p>
        </w:tc>
      </w:tr>
      <w:tr w14:paraId="6F8C1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02DF855">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rPr>
              <w:t>16</w:t>
            </w:r>
          </w:p>
        </w:tc>
        <w:tc>
          <w:tcPr>
            <w:tcW w:w="1760" w:type="dxa"/>
            <w:tcBorders>
              <w:top w:val="single" w:color="auto" w:sz="4" w:space="0"/>
              <w:left w:val="single" w:color="auto" w:sz="4" w:space="0"/>
              <w:bottom w:val="single" w:color="auto" w:sz="4" w:space="0"/>
              <w:right w:val="single" w:color="auto" w:sz="4" w:space="0"/>
            </w:tcBorders>
            <w:vAlign w:val="center"/>
          </w:tcPr>
          <w:p w14:paraId="299B6C17">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现场演示</w:t>
            </w:r>
          </w:p>
        </w:tc>
        <w:tc>
          <w:tcPr>
            <w:tcW w:w="7605" w:type="dxa"/>
            <w:tcBorders>
              <w:top w:val="single" w:color="auto" w:sz="4" w:space="0"/>
              <w:left w:val="single" w:color="auto" w:sz="4" w:space="0"/>
              <w:bottom w:val="single" w:color="auto" w:sz="4" w:space="0"/>
              <w:right w:val="single" w:color="auto" w:sz="4" w:space="0"/>
            </w:tcBorders>
            <w:vAlign w:val="center"/>
          </w:tcPr>
          <w:p w14:paraId="40E27E1C">
            <w:pPr>
              <w:keepNext w:val="0"/>
              <w:keepLines w:val="0"/>
              <w:pageBreakBefore w:val="0"/>
              <w:tabs>
                <w:tab w:val="left" w:pos="3870"/>
                <w:tab w:val="left" w:pos="4085"/>
              </w:tabs>
              <w:kinsoku/>
              <w:wordWrap/>
              <w:overflowPunct/>
              <w:topLinePunct w:val="0"/>
              <w:bidi w:val="0"/>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按招标文件相关要求执行</w:t>
            </w:r>
          </w:p>
        </w:tc>
      </w:tr>
      <w:tr w14:paraId="44683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9E4D68">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rPr>
              <w:t>17</w:t>
            </w:r>
          </w:p>
        </w:tc>
        <w:tc>
          <w:tcPr>
            <w:tcW w:w="1760" w:type="dxa"/>
            <w:tcBorders>
              <w:top w:val="single" w:color="auto" w:sz="4" w:space="0"/>
              <w:left w:val="single" w:color="auto" w:sz="4" w:space="0"/>
              <w:bottom w:val="single" w:color="auto" w:sz="4" w:space="0"/>
              <w:right w:val="single" w:color="auto" w:sz="4" w:space="0"/>
            </w:tcBorders>
            <w:vAlign w:val="center"/>
          </w:tcPr>
          <w:p w14:paraId="4D44AFB1">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投标样品</w:t>
            </w:r>
          </w:p>
        </w:tc>
        <w:tc>
          <w:tcPr>
            <w:tcW w:w="7605" w:type="dxa"/>
            <w:tcBorders>
              <w:top w:val="single" w:color="auto" w:sz="4" w:space="0"/>
              <w:left w:val="single" w:color="auto" w:sz="4" w:space="0"/>
              <w:bottom w:val="single" w:color="auto" w:sz="4" w:space="0"/>
              <w:right w:val="single" w:color="auto" w:sz="4" w:space="0"/>
            </w:tcBorders>
            <w:vAlign w:val="center"/>
          </w:tcPr>
          <w:p w14:paraId="5BCD3E53">
            <w:pPr>
              <w:keepNext w:val="0"/>
              <w:keepLines w:val="0"/>
              <w:pageBreakBefore w:val="0"/>
              <w:kinsoku/>
              <w:wordWrap/>
              <w:overflowPunct/>
              <w:topLinePunct w:val="0"/>
              <w:bidi w:val="0"/>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按招标文件相关要求执行</w:t>
            </w:r>
          </w:p>
        </w:tc>
      </w:tr>
      <w:tr w14:paraId="29B70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5DF5B79">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rPr>
              <w:t>18</w:t>
            </w:r>
          </w:p>
        </w:tc>
        <w:tc>
          <w:tcPr>
            <w:tcW w:w="1760" w:type="dxa"/>
            <w:tcBorders>
              <w:top w:val="single" w:color="auto" w:sz="4" w:space="0"/>
              <w:left w:val="single" w:color="auto" w:sz="4" w:space="0"/>
              <w:bottom w:val="single" w:color="auto" w:sz="4" w:space="0"/>
              <w:right w:val="single" w:color="auto" w:sz="4" w:space="0"/>
            </w:tcBorders>
            <w:vAlign w:val="center"/>
          </w:tcPr>
          <w:p w14:paraId="2E5F3ED6">
            <w:pPr>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上传电子投标文件时间</w:t>
            </w:r>
          </w:p>
        </w:tc>
        <w:tc>
          <w:tcPr>
            <w:tcW w:w="7605" w:type="dxa"/>
            <w:tcBorders>
              <w:top w:val="single" w:color="auto" w:sz="4" w:space="0"/>
              <w:left w:val="single" w:color="auto" w:sz="4" w:space="0"/>
              <w:bottom w:val="single" w:color="auto" w:sz="4" w:space="0"/>
              <w:right w:val="single" w:color="auto" w:sz="4" w:space="0"/>
            </w:tcBorders>
            <w:vAlign w:val="center"/>
          </w:tcPr>
          <w:p w14:paraId="6B8AC7D7">
            <w:pPr>
              <w:keepNext w:val="0"/>
              <w:keepLines w:val="0"/>
              <w:pageBreakBefore w:val="0"/>
              <w:kinsoku/>
              <w:wordWrap/>
              <w:overflowPunct/>
              <w:topLinePunct w:val="0"/>
              <w:bidi w:val="0"/>
              <w:snapToGrid/>
              <w:spacing w:line="400" w:lineRule="exact"/>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供应商应于</w:t>
            </w:r>
            <w:r>
              <w:rPr>
                <w:rFonts w:hint="eastAsia" w:ascii="仿宋" w:hAnsi="仿宋" w:eastAsia="仿宋" w:cs="仿宋"/>
                <w:bCs/>
                <w:color w:val="auto"/>
                <w:sz w:val="24"/>
                <w:szCs w:val="24"/>
                <w:highlight w:val="none"/>
                <w:lang w:eastAsia="zh-CN"/>
              </w:rPr>
              <w:t>2026年5月27日14:30时</w:t>
            </w:r>
            <w:r>
              <w:rPr>
                <w:rFonts w:hint="eastAsia" w:ascii="仿宋" w:hAnsi="仿宋" w:eastAsia="仿宋" w:cs="仿宋"/>
                <w:bCs/>
                <w:color w:val="auto"/>
                <w:sz w:val="24"/>
                <w:szCs w:val="24"/>
                <w:highlight w:val="none"/>
              </w:rPr>
              <w:t>前在“政采云”上自行加密上传电子投标文件，逾期上传或未按要求上传的投标文件将予以拒收。</w:t>
            </w:r>
          </w:p>
        </w:tc>
      </w:tr>
      <w:tr w14:paraId="7AFD8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5BE1E63">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rPr>
              <w:t>19</w:t>
            </w:r>
          </w:p>
        </w:tc>
        <w:tc>
          <w:tcPr>
            <w:tcW w:w="1760" w:type="dxa"/>
            <w:tcBorders>
              <w:top w:val="single" w:color="auto" w:sz="4" w:space="0"/>
              <w:left w:val="single" w:color="auto" w:sz="4" w:space="0"/>
              <w:bottom w:val="single" w:color="auto" w:sz="4" w:space="0"/>
              <w:right w:val="single" w:color="auto" w:sz="4" w:space="0"/>
            </w:tcBorders>
            <w:vAlign w:val="center"/>
          </w:tcPr>
          <w:p w14:paraId="4EA0B3D1">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投标有效期</w:t>
            </w:r>
          </w:p>
        </w:tc>
        <w:tc>
          <w:tcPr>
            <w:tcW w:w="7605" w:type="dxa"/>
            <w:tcBorders>
              <w:top w:val="single" w:color="auto" w:sz="4" w:space="0"/>
              <w:left w:val="single" w:color="auto" w:sz="4" w:space="0"/>
              <w:bottom w:val="single" w:color="auto" w:sz="4" w:space="0"/>
              <w:right w:val="single" w:color="auto" w:sz="4" w:space="0"/>
            </w:tcBorders>
            <w:vAlign w:val="center"/>
          </w:tcPr>
          <w:p w14:paraId="48FEBA5D">
            <w:pPr>
              <w:pStyle w:val="14"/>
              <w:keepNext w:val="0"/>
              <w:keepLines w:val="0"/>
              <w:pageBreakBefore w:val="0"/>
              <w:kinsoku/>
              <w:wordWrap/>
              <w:overflowPunct/>
              <w:topLinePunct w:val="0"/>
              <w:bidi w:val="0"/>
              <w:snapToGrid/>
              <w:spacing w:line="400" w:lineRule="exact"/>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自投标截止日起90天。如采购代理机构认为必要，可延长投标有效期。</w:t>
            </w:r>
          </w:p>
        </w:tc>
      </w:tr>
      <w:tr w14:paraId="45535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A97A399">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rPr>
              <w:t>20</w:t>
            </w:r>
          </w:p>
        </w:tc>
        <w:tc>
          <w:tcPr>
            <w:tcW w:w="1760" w:type="dxa"/>
            <w:tcBorders>
              <w:top w:val="single" w:color="auto" w:sz="4" w:space="0"/>
              <w:left w:val="single" w:color="auto" w:sz="4" w:space="0"/>
              <w:bottom w:val="single" w:color="auto" w:sz="4" w:space="0"/>
              <w:right w:val="single" w:color="auto" w:sz="4" w:space="0"/>
            </w:tcBorders>
            <w:vAlign w:val="center"/>
          </w:tcPr>
          <w:p w14:paraId="0E65A125">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签订合同时间</w:t>
            </w:r>
          </w:p>
        </w:tc>
        <w:tc>
          <w:tcPr>
            <w:tcW w:w="7605" w:type="dxa"/>
            <w:tcBorders>
              <w:top w:val="single" w:color="auto" w:sz="4" w:space="0"/>
              <w:left w:val="single" w:color="auto" w:sz="4" w:space="0"/>
              <w:bottom w:val="single" w:color="auto" w:sz="4" w:space="0"/>
              <w:right w:val="single" w:color="auto" w:sz="4" w:space="0"/>
            </w:tcBorders>
            <w:vAlign w:val="center"/>
          </w:tcPr>
          <w:p w14:paraId="100F9313">
            <w:pPr>
              <w:pStyle w:val="14"/>
              <w:keepNext w:val="0"/>
              <w:keepLines w:val="0"/>
              <w:pageBreakBefore w:val="0"/>
              <w:kinsoku/>
              <w:wordWrap/>
              <w:overflowPunct/>
              <w:topLinePunct w:val="0"/>
              <w:bidi w:val="0"/>
              <w:snapToGrid/>
              <w:spacing w:line="400" w:lineRule="exact"/>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中标通知书发出后</w:t>
            </w:r>
            <w:r>
              <w:rPr>
                <w:rFonts w:hint="eastAsia" w:ascii="仿宋" w:hAnsi="仿宋" w:eastAsia="仿宋" w:cs="仿宋"/>
                <w:bCs/>
                <w:color w:val="auto"/>
                <w:szCs w:val="24"/>
                <w:highlight w:val="none"/>
                <w:lang w:val="en-US" w:eastAsia="zh-CN"/>
              </w:rPr>
              <w:t>20</w:t>
            </w:r>
            <w:r>
              <w:rPr>
                <w:rFonts w:hint="eastAsia" w:ascii="仿宋" w:hAnsi="仿宋" w:eastAsia="仿宋" w:cs="仿宋"/>
                <w:bCs/>
                <w:color w:val="auto"/>
                <w:szCs w:val="24"/>
                <w:highlight w:val="none"/>
              </w:rPr>
              <w:t>日内</w:t>
            </w:r>
          </w:p>
        </w:tc>
      </w:tr>
      <w:tr w14:paraId="40B8A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73C9F2B">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rPr>
              <w:t>21</w:t>
            </w:r>
          </w:p>
        </w:tc>
        <w:tc>
          <w:tcPr>
            <w:tcW w:w="1760" w:type="dxa"/>
            <w:tcBorders>
              <w:top w:val="single" w:color="auto" w:sz="4" w:space="0"/>
              <w:left w:val="single" w:color="auto" w:sz="4" w:space="0"/>
              <w:bottom w:val="single" w:color="auto" w:sz="4" w:space="0"/>
              <w:right w:val="single" w:color="auto" w:sz="4" w:space="0"/>
            </w:tcBorders>
            <w:vAlign w:val="center"/>
          </w:tcPr>
          <w:p w14:paraId="59A801DA">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转包与分包</w:t>
            </w:r>
          </w:p>
        </w:tc>
        <w:tc>
          <w:tcPr>
            <w:tcW w:w="7605" w:type="dxa"/>
            <w:tcBorders>
              <w:top w:val="single" w:color="auto" w:sz="4" w:space="0"/>
              <w:left w:val="single" w:color="auto" w:sz="4" w:space="0"/>
              <w:bottom w:val="single" w:color="auto" w:sz="4" w:space="0"/>
              <w:right w:val="single" w:color="auto" w:sz="4" w:space="0"/>
            </w:tcBorders>
            <w:vAlign w:val="center"/>
          </w:tcPr>
          <w:p w14:paraId="60C1BE12">
            <w:pPr>
              <w:pStyle w:val="14"/>
              <w:keepNext w:val="0"/>
              <w:keepLines w:val="0"/>
              <w:pageBreakBefore w:val="0"/>
              <w:kinsoku/>
              <w:wordWrap/>
              <w:overflowPunct/>
              <w:topLinePunct w:val="0"/>
              <w:bidi w:val="0"/>
              <w:snapToGrid/>
              <w:spacing w:line="400" w:lineRule="exact"/>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本项目不允许转包和分包</w:t>
            </w:r>
          </w:p>
        </w:tc>
      </w:tr>
      <w:tr w14:paraId="3674F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5E35324">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rPr>
              <w:t>22</w:t>
            </w:r>
          </w:p>
        </w:tc>
        <w:tc>
          <w:tcPr>
            <w:tcW w:w="1760" w:type="dxa"/>
            <w:tcBorders>
              <w:top w:val="single" w:color="auto" w:sz="4" w:space="0"/>
              <w:left w:val="single" w:color="auto" w:sz="4" w:space="0"/>
              <w:bottom w:val="single" w:color="auto" w:sz="4" w:space="0"/>
              <w:right w:val="single" w:color="auto" w:sz="4" w:space="0"/>
            </w:tcBorders>
            <w:vAlign w:val="center"/>
          </w:tcPr>
          <w:p w14:paraId="336CA92C">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履约保证金</w:t>
            </w:r>
          </w:p>
        </w:tc>
        <w:tc>
          <w:tcPr>
            <w:tcW w:w="7605" w:type="dxa"/>
            <w:tcBorders>
              <w:top w:val="single" w:color="auto" w:sz="4" w:space="0"/>
              <w:left w:val="single" w:color="auto" w:sz="4" w:space="0"/>
              <w:bottom w:val="single" w:color="auto" w:sz="4" w:space="0"/>
              <w:right w:val="single" w:color="auto" w:sz="4" w:space="0"/>
            </w:tcBorders>
            <w:vAlign w:val="center"/>
          </w:tcPr>
          <w:p w14:paraId="0E29ED94">
            <w:pPr>
              <w:pStyle w:val="14"/>
              <w:keepNext w:val="0"/>
              <w:keepLines w:val="0"/>
              <w:pageBreakBefore w:val="0"/>
              <w:kinsoku/>
              <w:wordWrap/>
              <w:overflowPunct/>
              <w:topLinePunct w:val="0"/>
              <w:bidi w:val="0"/>
              <w:snapToGrid/>
              <w:spacing w:line="400" w:lineRule="exact"/>
              <w:textAlignment w:val="auto"/>
              <w:rPr>
                <w:rFonts w:hint="eastAsia" w:ascii="仿宋" w:hAnsi="仿宋" w:eastAsia="仿宋" w:cs="仿宋"/>
                <w:bCs/>
                <w:color w:val="auto"/>
                <w:szCs w:val="24"/>
                <w:highlight w:val="none"/>
                <w:lang w:val="en-US" w:eastAsia="zh-CN"/>
              </w:rPr>
            </w:pPr>
            <w:r>
              <w:rPr>
                <w:rFonts w:hint="eastAsia" w:ascii="仿宋" w:hAnsi="仿宋" w:eastAsia="仿宋" w:cs="仿宋"/>
                <w:color w:val="auto"/>
                <w:sz w:val="24"/>
                <w:szCs w:val="24"/>
                <w:highlight w:val="none"/>
              </w:rPr>
              <w:t>按招标文件相关要求执行</w:t>
            </w:r>
          </w:p>
        </w:tc>
      </w:tr>
      <w:tr w14:paraId="1130E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57C7AB1">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lang w:val="en-US" w:eastAsia="zh-CN"/>
              </w:rPr>
              <w:t>23</w:t>
            </w:r>
          </w:p>
        </w:tc>
        <w:tc>
          <w:tcPr>
            <w:tcW w:w="1760" w:type="dxa"/>
            <w:tcBorders>
              <w:top w:val="single" w:color="auto" w:sz="4" w:space="0"/>
              <w:left w:val="single" w:color="auto" w:sz="4" w:space="0"/>
              <w:bottom w:val="single" w:color="auto" w:sz="4" w:space="0"/>
              <w:right w:val="single" w:color="auto" w:sz="4" w:space="0"/>
            </w:tcBorders>
            <w:vAlign w:val="center"/>
          </w:tcPr>
          <w:p w14:paraId="4781BE62">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投标文件递交截止时间</w:t>
            </w:r>
          </w:p>
        </w:tc>
        <w:tc>
          <w:tcPr>
            <w:tcW w:w="7605" w:type="dxa"/>
            <w:tcBorders>
              <w:top w:val="single" w:color="auto" w:sz="4" w:space="0"/>
              <w:left w:val="single" w:color="auto" w:sz="4" w:space="0"/>
              <w:bottom w:val="single" w:color="auto" w:sz="4" w:space="0"/>
              <w:right w:val="single" w:color="auto" w:sz="4" w:space="0"/>
            </w:tcBorders>
            <w:vAlign w:val="center"/>
          </w:tcPr>
          <w:p w14:paraId="7D97B140">
            <w:pPr>
              <w:keepNext w:val="0"/>
              <w:keepLines w:val="0"/>
              <w:pageBreakBefore w:val="0"/>
              <w:kinsoku/>
              <w:wordWrap/>
              <w:overflowPunct/>
              <w:topLinePunct w:val="0"/>
              <w:bidi w:val="0"/>
              <w:snapToGrid/>
              <w:spacing w:line="400" w:lineRule="exact"/>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sz w:val="24"/>
                <w:szCs w:val="24"/>
                <w:highlight w:val="none"/>
              </w:rPr>
              <w:t>于</w:t>
            </w:r>
            <w:r>
              <w:rPr>
                <w:rFonts w:hint="eastAsia" w:ascii="仿宋" w:hAnsi="仿宋" w:eastAsia="仿宋" w:cs="仿宋"/>
                <w:bCs/>
                <w:color w:val="auto"/>
                <w:sz w:val="24"/>
                <w:szCs w:val="24"/>
                <w:highlight w:val="none"/>
                <w:lang w:eastAsia="zh-CN"/>
              </w:rPr>
              <w:t>2026年5月27日14:30时</w:t>
            </w:r>
            <w:r>
              <w:rPr>
                <w:rFonts w:hint="eastAsia" w:ascii="仿宋" w:hAnsi="仿宋" w:eastAsia="仿宋" w:cs="仿宋"/>
                <w:bCs/>
                <w:color w:val="auto"/>
                <w:sz w:val="24"/>
                <w:szCs w:val="24"/>
                <w:highlight w:val="none"/>
              </w:rPr>
              <w:t>止</w:t>
            </w:r>
          </w:p>
        </w:tc>
      </w:tr>
      <w:tr w14:paraId="0A148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B1661A3">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lang w:val="en-US" w:eastAsia="zh-CN"/>
              </w:rPr>
              <w:t>24</w:t>
            </w:r>
          </w:p>
        </w:tc>
        <w:tc>
          <w:tcPr>
            <w:tcW w:w="1760" w:type="dxa"/>
            <w:tcBorders>
              <w:top w:val="single" w:color="auto" w:sz="4" w:space="0"/>
              <w:left w:val="single" w:color="auto" w:sz="4" w:space="0"/>
              <w:bottom w:val="single" w:color="auto" w:sz="4" w:space="0"/>
              <w:right w:val="single" w:color="auto" w:sz="4" w:space="0"/>
            </w:tcBorders>
            <w:vAlign w:val="center"/>
          </w:tcPr>
          <w:p w14:paraId="50245186">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投标文件递交地点</w:t>
            </w:r>
          </w:p>
        </w:tc>
        <w:tc>
          <w:tcPr>
            <w:tcW w:w="7605" w:type="dxa"/>
            <w:tcBorders>
              <w:top w:val="single" w:color="auto" w:sz="4" w:space="0"/>
              <w:left w:val="single" w:color="auto" w:sz="4" w:space="0"/>
              <w:bottom w:val="single" w:color="auto" w:sz="4" w:space="0"/>
              <w:right w:val="single" w:color="auto" w:sz="4" w:space="0"/>
            </w:tcBorders>
            <w:vAlign w:val="center"/>
          </w:tcPr>
          <w:p w14:paraId="7B0709C8">
            <w:pPr>
              <w:keepNext w:val="0"/>
              <w:keepLines w:val="0"/>
              <w:pageBreakBefore w:val="0"/>
              <w:kinsoku/>
              <w:wordWrap/>
              <w:overflowPunct/>
              <w:topLinePunct w:val="0"/>
              <w:bidi w:val="0"/>
              <w:snapToGrid/>
              <w:spacing w:line="400" w:lineRule="exact"/>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政采云平台</w:t>
            </w:r>
          </w:p>
        </w:tc>
      </w:tr>
      <w:tr w14:paraId="7DF43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5658D5A">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lang w:val="en-US" w:eastAsia="zh-CN"/>
              </w:rPr>
              <w:t>25</w:t>
            </w:r>
          </w:p>
        </w:tc>
        <w:tc>
          <w:tcPr>
            <w:tcW w:w="1760" w:type="dxa"/>
            <w:tcBorders>
              <w:top w:val="single" w:color="auto" w:sz="4" w:space="0"/>
              <w:left w:val="single" w:color="auto" w:sz="4" w:space="0"/>
              <w:bottom w:val="single" w:color="auto" w:sz="4" w:space="0"/>
              <w:right w:val="single" w:color="auto" w:sz="4" w:space="0"/>
            </w:tcBorders>
            <w:vAlign w:val="center"/>
          </w:tcPr>
          <w:p w14:paraId="2A4489BC">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开标时间</w:t>
            </w:r>
          </w:p>
        </w:tc>
        <w:tc>
          <w:tcPr>
            <w:tcW w:w="7605" w:type="dxa"/>
            <w:tcBorders>
              <w:top w:val="single" w:color="auto" w:sz="4" w:space="0"/>
              <w:left w:val="single" w:color="auto" w:sz="4" w:space="0"/>
              <w:bottom w:val="single" w:color="auto" w:sz="4" w:space="0"/>
              <w:right w:val="single" w:color="auto" w:sz="4" w:space="0"/>
            </w:tcBorders>
            <w:vAlign w:val="center"/>
          </w:tcPr>
          <w:p w14:paraId="60330DA1">
            <w:pPr>
              <w:keepNext w:val="0"/>
              <w:keepLines w:val="0"/>
              <w:pageBreakBefore w:val="0"/>
              <w:kinsoku/>
              <w:wordWrap/>
              <w:overflowPunct/>
              <w:topLinePunct w:val="0"/>
              <w:bidi w:val="0"/>
              <w:snapToGrid/>
              <w:spacing w:line="400" w:lineRule="exact"/>
              <w:textAlignment w:val="auto"/>
              <w:rPr>
                <w:rFonts w:hint="eastAsia" w:ascii="仿宋" w:hAnsi="仿宋" w:eastAsia="仿宋" w:cs="仿宋"/>
                <w:bCs/>
                <w:color w:val="auto"/>
                <w:kern w:val="2"/>
                <w:sz w:val="24"/>
                <w:szCs w:val="24"/>
                <w:highlight w:val="none"/>
              </w:rPr>
            </w:pPr>
            <w:r>
              <w:rPr>
                <w:rFonts w:hint="eastAsia" w:ascii="仿宋" w:hAnsi="仿宋" w:eastAsia="仿宋" w:cs="仿宋"/>
                <w:bCs/>
                <w:color w:val="auto"/>
                <w:sz w:val="24"/>
                <w:szCs w:val="24"/>
                <w:highlight w:val="none"/>
                <w:lang w:eastAsia="zh-CN"/>
              </w:rPr>
              <w:t>2026年5月27日14:30时</w:t>
            </w:r>
            <w:r>
              <w:rPr>
                <w:rFonts w:hint="eastAsia" w:ascii="仿宋" w:hAnsi="仿宋" w:eastAsia="仿宋" w:cs="仿宋"/>
                <w:bCs/>
                <w:color w:val="auto"/>
                <w:sz w:val="24"/>
                <w:szCs w:val="24"/>
                <w:highlight w:val="none"/>
              </w:rPr>
              <w:t>起</w:t>
            </w:r>
          </w:p>
        </w:tc>
      </w:tr>
      <w:tr w14:paraId="5C2A8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A43A464">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26</w:t>
            </w:r>
          </w:p>
        </w:tc>
        <w:tc>
          <w:tcPr>
            <w:tcW w:w="1760" w:type="dxa"/>
            <w:tcBorders>
              <w:top w:val="single" w:color="auto" w:sz="4" w:space="0"/>
              <w:left w:val="single" w:color="auto" w:sz="4" w:space="0"/>
              <w:bottom w:val="single" w:color="auto" w:sz="4" w:space="0"/>
              <w:right w:val="single" w:color="auto" w:sz="4" w:space="0"/>
            </w:tcBorders>
            <w:vAlign w:val="center"/>
          </w:tcPr>
          <w:p w14:paraId="76E25780">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开标地点</w:t>
            </w:r>
          </w:p>
        </w:tc>
        <w:tc>
          <w:tcPr>
            <w:tcW w:w="7605" w:type="dxa"/>
            <w:tcBorders>
              <w:top w:val="single" w:color="auto" w:sz="4" w:space="0"/>
              <w:left w:val="single" w:color="auto" w:sz="4" w:space="0"/>
              <w:bottom w:val="single" w:color="auto" w:sz="4" w:space="0"/>
              <w:right w:val="single" w:color="auto" w:sz="4" w:space="0"/>
            </w:tcBorders>
            <w:vAlign w:val="center"/>
          </w:tcPr>
          <w:p w14:paraId="091EA28C">
            <w:pPr>
              <w:keepNext w:val="0"/>
              <w:keepLines w:val="0"/>
              <w:pageBreakBefore w:val="0"/>
              <w:kinsoku/>
              <w:wordWrap/>
              <w:overflowPunct/>
              <w:topLinePunct w:val="0"/>
              <w:bidi w:val="0"/>
              <w:snapToGrid/>
              <w:spacing w:line="400" w:lineRule="exact"/>
              <w:textAlignment w:val="auto"/>
              <w:rPr>
                <w:rFonts w:hint="eastAsia" w:ascii="仿宋" w:hAnsi="仿宋" w:eastAsia="仿宋" w:cs="仿宋"/>
                <w:b/>
                <w:bCs/>
                <w:color w:val="auto"/>
                <w:kern w:val="2"/>
                <w:sz w:val="24"/>
                <w:szCs w:val="24"/>
                <w:highlight w:val="none"/>
              </w:rPr>
            </w:pPr>
            <w:r>
              <w:rPr>
                <w:rFonts w:hint="eastAsia" w:ascii="仿宋" w:hAnsi="仿宋" w:eastAsia="仿宋" w:cs="仿宋"/>
                <w:color w:val="auto"/>
                <w:sz w:val="24"/>
                <w:szCs w:val="24"/>
                <w:highlight w:val="none"/>
              </w:rPr>
              <w:t>浙江省金华市武义县金华市政府采购中心武义县分中心建行14楼政府采购</w:t>
            </w:r>
            <w:r>
              <w:rPr>
                <w:rFonts w:hint="eastAsia" w:ascii="仿宋" w:hAnsi="仿宋" w:eastAsia="仿宋" w:cs="仿宋"/>
                <w:bCs/>
                <w:color w:val="auto"/>
                <w:sz w:val="24"/>
                <w:szCs w:val="24"/>
                <w:highlight w:val="none"/>
                <w:lang w:eastAsia="zh-CN"/>
              </w:rPr>
              <w:t>开标室二</w:t>
            </w:r>
          </w:p>
        </w:tc>
      </w:tr>
      <w:tr w14:paraId="14E37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F6C640E">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lang w:val="en-US" w:eastAsia="zh-CN"/>
              </w:rPr>
              <w:t>27</w:t>
            </w:r>
          </w:p>
        </w:tc>
        <w:tc>
          <w:tcPr>
            <w:tcW w:w="1760" w:type="dxa"/>
            <w:tcBorders>
              <w:top w:val="single" w:color="auto" w:sz="4" w:space="0"/>
              <w:left w:val="single" w:color="auto" w:sz="4" w:space="0"/>
              <w:bottom w:val="single" w:color="auto" w:sz="4" w:space="0"/>
              <w:right w:val="single" w:color="auto" w:sz="4" w:space="0"/>
            </w:tcBorders>
            <w:vAlign w:val="center"/>
          </w:tcPr>
          <w:p w14:paraId="0FEA89C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开标程序</w:t>
            </w:r>
          </w:p>
        </w:tc>
        <w:tc>
          <w:tcPr>
            <w:tcW w:w="7605" w:type="dxa"/>
            <w:tcBorders>
              <w:top w:val="single" w:color="auto" w:sz="4" w:space="0"/>
              <w:left w:val="single" w:color="auto" w:sz="4" w:space="0"/>
              <w:bottom w:val="single" w:color="auto" w:sz="4" w:space="0"/>
              <w:right w:val="single" w:color="auto" w:sz="4" w:space="0"/>
            </w:tcBorders>
            <w:vAlign w:val="center"/>
          </w:tcPr>
          <w:p w14:paraId="2D17918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1.开标会由采购代理机构主持，主持人宣布开标会议开始；</w:t>
            </w:r>
          </w:p>
          <w:p w14:paraId="5ACF5A4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2.主持人介绍参加开标会的人员名单； </w:t>
            </w:r>
          </w:p>
          <w:p w14:paraId="61C48DA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3.由工作人员宣布评标期间的有关事项；告知应当回避的情形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提请有关人员回避；</w:t>
            </w:r>
          </w:p>
          <w:p w14:paraId="490FB82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4.投标人须在开标时间前准备好电脑（确保网络已连接）与本单位制作电子投标文件时的同一个CA数字证书，并登录“政府采购云平台”点击项目采购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开标评标功能进行解密投标文件</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或登入“政采云电子投标客户端”点击项目开标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开标评标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功能进行解密投标文件（解密的CA数字证书和制作电子投标文件时加密的CA数字证书必须相同）。</w:t>
            </w:r>
          </w:p>
          <w:p w14:paraId="298E534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投标供应商须在开标时间始30分钟内对投标文件进行解密。若投标供应商在规定时间内无法解密或解密失败的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投标无效。</w:t>
            </w:r>
          </w:p>
          <w:p w14:paraId="4CA8286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投标供应商应全程参加电子开标会议，若开标会议结束前中途退出的，其行为不影响评审结果。</w:t>
            </w:r>
          </w:p>
          <w:p w14:paraId="5357488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人或采购代理机构对投标人的资格文件进行审查，如对投标文件有疑问，对投标人进行在线询标，投标人须在澄清截止时间前上传澄清函，若在澄清截止时间前未进行有效澄清的，逾期将不再接受澄清。资格审查不合格的投标人不再进入商务技术文件评审。</w:t>
            </w:r>
          </w:p>
          <w:p w14:paraId="6371258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标委员会先对商务技术文件进行评审，如对投标文件有疑问，对投标人进行在线询标，投标人须在澄清截止时间前上传澄清函，若在澄清截止时间前未进行有效澄清的，逾期将不再接受澄清。商务技术文件评审不合格的投标人不再进入报价文件评审。</w:t>
            </w:r>
          </w:p>
          <w:p w14:paraId="173E98A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7.商务技术文件评审结果公布后，在线开启报价文件，并由评标委员会进行报价评审。在开启报价文件时，投标供应商认为开标一览表与报价文件不符时，投标供应商可在“政府采购云平台”开标大厅提出异议。</w:t>
            </w:r>
          </w:p>
          <w:p w14:paraId="60AE9DD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8.在线公布各投标人得分汇总，并宣布中标候选人，同时由记录人、监督人当场在开标记录上签字确认。</w:t>
            </w:r>
          </w:p>
          <w:p w14:paraId="5C9DD8B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9.主持人宣布开标会议结束。</w:t>
            </w:r>
          </w:p>
          <w:p w14:paraId="137EF68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特别说明：政采云公司如对电子化开标及评审程序有调整的，按调整后的程序操作。</w:t>
            </w:r>
          </w:p>
        </w:tc>
      </w:tr>
      <w:tr w14:paraId="5CD1B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A7B1AC5">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lang w:val="en-US" w:eastAsia="zh-CN"/>
              </w:rPr>
              <w:t>28</w:t>
            </w:r>
          </w:p>
        </w:tc>
        <w:tc>
          <w:tcPr>
            <w:tcW w:w="1760" w:type="dxa"/>
            <w:tcBorders>
              <w:top w:val="single" w:color="auto" w:sz="4" w:space="0"/>
              <w:left w:val="single" w:color="auto" w:sz="4" w:space="0"/>
              <w:bottom w:val="single" w:color="auto" w:sz="4" w:space="0"/>
              <w:right w:val="single" w:color="auto" w:sz="4" w:space="0"/>
            </w:tcBorders>
            <w:vAlign w:val="center"/>
          </w:tcPr>
          <w:p w14:paraId="42F39BEA">
            <w:pPr>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评标委员会的组建</w:t>
            </w:r>
          </w:p>
        </w:tc>
        <w:tc>
          <w:tcPr>
            <w:tcW w:w="7605" w:type="dxa"/>
            <w:tcBorders>
              <w:top w:val="single" w:color="auto" w:sz="4" w:space="0"/>
              <w:left w:val="single" w:color="auto" w:sz="4" w:space="0"/>
              <w:bottom w:val="single" w:color="auto" w:sz="4" w:space="0"/>
              <w:right w:val="single" w:color="auto" w:sz="4" w:space="0"/>
            </w:tcBorders>
            <w:vAlign w:val="center"/>
          </w:tcPr>
          <w:p w14:paraId="6F8DDCA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评标委员会由采购人依法组建。评标委员会构成：</w:t>
            </w:r>
            <w:r>
              <w:rPr>
                <w:rFonts w:hint="eastAsia" w:ascii="仿宋" w:hAnsi="仿宋" w:eastAsia="仿宋" w:cs="仿宋"/>
                <w:color w:val="auto"/>
                <w:sz w:val="24"/>
                <w:szCs w:val="24"/>
                <w:highlight w:val="none"/>
                <w:u w:val="single"/>
              </w:rPr>
              <w:t>5</w:t>
            </w:r>
            <w:r>
              <w:rPr>
                <w:rFonts w:hint="eastAsia" w:ascii="仿宋" w:hAnsi="仿宋" w:eastAsia="仿宋" w:cs="仿宋"/>
                <w:color w:val="auto"/>
                <w:sz w:val="24"/>
                <w:szCs w:val="24"/>
                <w:highlight w:val="none"/>
              </w:rPr>
              <w:t xml:space="preserve">人，其中采购人代表 </w:t>
            </w:r>
            <w:r>
              <w:rPr>
                <w:rFonts w:hint="eastAsia" w:ascii="仿宋" w:hAnsi="仿宋" w:eastAsia="仿宋" w:cs="仿宋"/>
                <w:color w:val="auto"/>
                <w:sz w:val="24"/>
                <w:szCs w:val="24"/>
                <w:highlight w:val="none"/>
                <w:u w:val="single"/>
              </w:rPr>
              <w:t xml:space="preserve">1 </w:t>
            </w:r>
            <w:r>
              <w:rPr>
                <w:rFonts w:hint="eastAsia" w:ascii="仿宋" w:hAnsi="仿宋" w:eastAsia="仿宋" w:cs="仿宋"/>
                <w:color w:val="auto"/>
                <w:sz w:val="24"/>
                <w:szCs w:val="24"/>
                <w:highlight w:val="none"/>
              </w:rPr>
              <w:t>人，专家</w:t>
            </w:r>
            <w:r>
              <w:rPr>
                <w:rFonts w:hint="eastAsia" w:ascii="仿宋" w:hAnsi="仿宋" w:eastAsia="仿宋" w:cs="仿宋"/>
                <w:color w:val="auto"/>
                <w:sz w:val="24"/>
                <w:szCs w:val="24"/>
                <w:highlight w:val="none"/>
                <w:u w:val="single"/>
              </w:rPr>
              <w:t xml:space="preserve"> 4</w:t>
            </w:r>
            <w:r>
              <w:rPr>
                <w:rFonts w:hint="eastAsia" w:ascii="仿宋" w:hAnsi="仿宋" w:eastAsia="仿宋" w:cs="仿宋"/>
                <w:color w:val="auto"/>
                <w:sz w:val="24"/>
                <w:szCs w:val="24"/>
                <w:highlight w:val="none"/>
              </w:rPr>
              <w:t>人。</w:t>
            </w:r>
          </w:p>
        </w:tc>
      </w:tr>
      <w:tr w14:paraId="4F534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573D1D0">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lang w:val="en-US" w:eastAsia="zh-CN"/>
              </w:rPr>
              <w:t>29</w:t>
            </w:r>
          </w:p>
        </w:tc>
        <w:tc>
          <w:tcPr>
            <w:tcW w:w="1760" w:type="dxa"/>
            <w:tcBorders>
              <w:top w:val="single" w:color="auto" w:sz="4" w:space="0"/>
              <w:left w:val="single" w:color="auto" w:sz="4" w:space="0"/>
              <w:bottom w:val="single" w:color="auto" w:sz="4" w:space="0"/>
              <w:right w:val="single" w:color="auto" w:sz="4" w:space="0"/>
            </w:tcBorders>
            <w:vAlign w:val="center"/>
          </w:tcPr>
          <w:p w14:paraId="40C92F81">
            <w:pPr>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评标委员会推荐中标候选人的人数</w:t>
            </w:r>
          </w:p>
        </w:tc>
        <w:tc>
          <w:tcPr>
            <w:tcW w:w="7605" w:type="dxa"/>
            <w:tcBorders>
              <w:top w:val="single" w:color="auto" w:sz="4" w:space="0"/>
              <w:left w:val="single" w:color="auto" w:sz="4" w:space="0"/>
              <w:bottom w:val="single" w:color="auto" w:sz="4" w:space="0"/>
              <w:right w:val="single" w:color="auto" w:sz="4" w:space="0"/>
            </w:tcBorders>
            <w:vAlign w:val="center"/>
          </w:tcPr>
          <w:p w14:paraId="5D926D8D">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评标委员会推荐的中标候选人数：</w:t>
            </w:r>
            <w:r>
              <w:rPr>
                <w:rFonts w:hint="eastAsia" w:ascii="仿宋" w:hAnsi="仿宋" w:eastAsia="仿宋" w:cs="仿宋"/>
                <w:color w:val="auto"/>
                <w:sz w:val="24"/>
                <w:szCs w:val="24"/>
                <w:highlight w:val="none"/>
                <w:u w:val="single"/>
              </w:rPr>
              <w:t>1</w:t>
            </w:r>
            <w:r>
              <w:rPr>
                <w:rFonts w:hint="eastAsia" w:ascii="仿宋" w:hAnsi="仿宋" w:eastAsia="仿宋" w:cs="仿宋"/>
                <w:color w:val="auto"/>
                <w:sz w:val="24"/>
                <w:szCs w:val="24"/>
                <w:highlight w:val="none"/>
              </w:rPr>
              <w:t>名。</w:t>
            </w:r>
          </w:p>
        </w:tc>
      </w:tr>
      <w:tr w14:paraId="27B0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29B678A">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30</w:t>
            </w:r>
          </w:p>
        </w:tc>
        <w:tc>
          <w:tcPr>
            <w:tcW w:w="1760" w:type="dxa"/>
            <w:tcBorders>
              <w:top w:val="single" w:color="auto" w:sz="4" w:space="0"/>
              <w:left w:val="single" w:color="auto" w:sz="4" w:space="0"/>
              <w:bottom w:val="single" w:color="auto" w:sz="4" w:space="0"/>
              <w:right w:val="single" w:color="auto" w:sz="4" w:space="0"/>
            </w:tcBorders>
            <w:vAlign w:val="center"/>
          </w:tcPr>
          <w:p w14:paraId="32A5B2CC">
            <w:pPr>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是否委托评标委员会确定中标人</w:t>
            </w:r>
          </w:p>
        </w:tc>
        <w:tc>
          <w:tcPr>
            <w:tcW w:w="7605" w:type="dxa"/>
            <w:tcBorders>
              <w:top w:val="single" w:color="auto" w:sz="4" w:space="0"/>
              <w:left w:val="single" w:color="auto" w:sz="4" w:space="0"/>
              <w:bottom w:val="single" w:color="auto" w:sz="4" w:space="0"/>
              <w:right w:val="single" w:color="auto" w:sz="4" w:space="0"/>
            </w:tcBorders>
            <w:vAlign w:val="center"/>
          </w:tcPr>
          <w:p w14:paraId="3EE2CFF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w:t>
            </w:r>
          </w:p>
        </w:tc>
      </w:tr>
      <w:tr w14:paraId="68813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808736">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lang w:val="en-US" w:eastAsia="zh-CN"/>
              </w:rPr>
              <w:t>31</w:t>
            </w:r>
          </w:p>
        </w:tc>
        <w:tc>
          <w:tcPr>
            <w:tcW w:w="1760" w:type="dxa"/>
            <w:tcBorders>
              <w:top w:val="single" w:color="auto" w:sz="4" w:space="0"/>
              <w:left w:val="single" w:color="auto" w:sz="4" w:space="0"/>
              <w:bottom w:val="single" w:color="auto" w:sz="4" w:space="0"/>
              <w:right w:val="single" w:color="auto" w:sz="4" w:space="0"/>
            </w:tcBorders>
            <w:vAlign w:val="center"/>
          </w:tcPr>
          <w:p w14:paraId="072B0025">
            <w:pPr>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中标结果公告</w:t>
            </w:r>
          </w:p>
          <w:p w14:paraId="6B1C2A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媒介及期限</w:t>
            </w:r>
          </w:p>
        </w:tc>
        <w:tc>
          <w:tcPr>
            <w:tcW w:w="7605" w:type="dxa"/>
            <w:tcBorders>
              <w:top w:val="single" w:color="auto" w:sz="4" w:space="0"/>
              <w:left w:val="single" w:color="auto" w:sz="4" w:space="0"/>
              <w:bottom w:val="single" w:color="auto" w:sz="4" w:space="0"/>
              <w:right w:val="single" w:color="auto" w:sz="4" w:space="0"/>
            </w:tcBorders>
            <w:vAlign w:val="center"/>
          </w:tcPr>
          <w:p w14:paraId="5324AE9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中标人确定之日起2个工作日内，中标结果在浙江政府采购网和武义县公共资源交易网公告不得少于1个工作日。</w:t>
            </w:r>
          </w:p>
        </w:tc>
      </w:tr>
      <w:tr w14:paraId="1871F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642E4A0">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lang w:val="en-US" w:eastAsia="zh-CN"/>
              </w:rPr>
              <w:t>32</w:t>
            </w:r>
          </w:p>
        </w:tc>
        <w:tc>
          <w:tcPr>
            <w:tcW w:w="1760" w:type="dxa"/>
            <w:tcBorders>
              <w:top w:val="single" w:color="auto" w:sz="4" w:space="0"/>
              <w:left w:val="single" w:color="auto" w:sz="4" w:space="0"/>
              <w:bottom w:val="single" w:color="auto" w:sz="4" w:space="0"/>
              <w:right w:val="single" w:color="auto" w:sz="4" w:space="0"/>
            </w:tcBorders>
            <w:vAlign w:val="center"/>
          </w:tcPr>
          <w:p w14:paraId="4D11B8AE">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质疑与答疑时间</w:t>
            </w:r>
          </w:p>
        </w:tc>
        <w:tc>
          <w:tcPr>
            <w:tcW w:w="7605" w:type="dxa"/>
            <w:tcBorders>
              <w:top w:val="single" w:color="auto" w:sz="4" w:space="0"/>
              <w:left w:val="single" w:color="auto" w:sz="4" w:space="0"/>
              <w:bottom w:val="single" w:color="auto" w:sz="4" w:space="0"/>
              <w:right w:val="single" w:color="auto" w:sz="4" w:space="0"/>
            </w:tcBorders>
            <w:vAlign w:val="center"/>
          </w:tcPr>
          <w:p w14:paraId="547A1024">
            <w:pPr>
              <w:pStyle w:val="14"/>
              <w:keepNext w:val="0"/>
              <w:keepLines w:val="0"/>
              <w:pageBreakBefore w:val="0"/>
              <w:kinsoku/>
              <w:wordWrap/>
              <w:overflowPunct/>
              <w:topLinePunct w:val="0"/>
              <w:bidi w:val="0"/>
              <w:snapToGrid/>
              <w:spacing w:line="40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认为采购文件、采购过程、中标或者成交结果使自己的权益受到损害的，可以在知道或者应知其权益受到损害之日起7个工作日内，以书面形式向采购人、采购代理机构提出质疑。质疑供应商应当在法定质疑期内一次性提出针对同一采购程序环节的质疑。质疑供应商对采购人、采购代理机构的答复不满意或者采购人、采购代理机构未在规定的时间</w:t>
            </w:r>
            <w:r>
              <w:rPr>
                <w:rFonts w:hint="eastAsia" w:ascii="仿宋" w:hAnsi="仿宋" w:eastAsia="仿宋" w:cs="仿宋"/>
                <w:color w:val="auto"/>
                <w:szCs w:val="24"/>
                <w:highlight w:val="none"/>
                <w:lang w:eastAsia="zh-CN"/>
              </w:rPr>
              <w:t>内作出答复</w:t>
            </w:r>
            <w:r>
              <w:rPr>
                <w:rFonts w:hint="eastAsia" w:ascii="仿宋" w:hAnsi="仿宋" w:eastAsia="仿宋" w:cs="仿宋"/>
                <w:color w:val="auto"/>
                <w:szCs w:val="24"/>
                <w:highlight w:val="none"/>
              </w:rPr>
              <w:t>的，可以在答复期满后十五个工作日内向同级政府采购监督管理部门投诉。</w:t>
            </w:r>
          </w:p>
        </w:tc>
      </w:tr>
      <w:tr w14:paraId="5F6B9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5F4141">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lang w:val="en-US" w:eastAsia="zh-CN"/>
              </w:rPr>
              <w:t>33</w:t>
            </w:r>
          </w:p>
        </w:tc>
        <w:tc>
          <w:tcPr>
            <w:tcW w:w="1760" w:type="dxa"/>
            <w:tcBorders>
              <w:top w:val="single" w:color="auto" w:sz="4" w:space="0"/>
              <w:left w:val="single" w:color="auto" w:sz="4" w:space="0"/>
              <w:bottom w:val="single" w:color="auto" w:sz="4" w:space="0"/>
              <w:right w:val="single" w:color="auto" w:sz="4" w:space="0"/>
            </w:tcBorders>
            <w:vAlign w:val="center"/>
          </w:tcPr>
          <w:p w14:paraId="271B1A94">
            <w:pPr>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信用记录</w:t>
            </w:r>
          </w:p>
        </w:tc>
        <w:tc>
          <w:tcPr>
            <w:tcW w:w="7605" w:type="dxa"/>
            <w:tcBorders>
              <w:top w:val="single" w:color="auto" w:sz="4" w:space="0"/>
              <w:left w:val="single" w:color="auto" w:sz="4" w:space="0"/>
              <w:bottom w:val="single" w:color="auto" w:sz="4" w:space="0"/>
              <w:right w:val="single" w:color="auto" w:sz="4" w:space="0"/>
            </w:tcBorders>
            <w:vAlign w:val="center"/>
          </w:tcPr>
          <w:p w14:paraId="4E353742">
            <w:pPr>
              <w:pStyle w:val="14"/>
              <w:keepNext w:val="0"/>
              <w:keepLines w:val="0"/>
              <w:pageBreakBefore w:val="0"/>
              <w:kinsoku/>
              <w:wordWrap/>
              <w:overflowPunct/>
              <w:topLinePunct w:val="0"/>
              <w:bidi w:val="0"/>
              <w:snapToGrid/>
              <w:spacing w:line="40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根据财库</w:t>
            </w:r>
            <w:r>
              <w:rPr>
                <w:rFonts w:hint="eastAsia" w:ascii="仿宋" w:hAnsi="仿宋" w:eastAsia="仿宋" w:cs="仿宋"/>
                <w:color w:val="auto"/>
                <w:szCs w:val="24"/>
                <w:highlight w:val="none"/>
                <w:lang w:eastAsia="zh-CN"/>
              </w:rPr>
              <w:t>〔2016〕125号</w:t>
            </w:r>
            <w:r>
              <w:rPr>
                <w:rFonts w:hint="eastAsia" w:ascii="仿宋" w:hAnsi="仿宋" w:eastAsia="仿宋" w:cs="仿宋"/>
                <w:color w:val="auto"/>
                <w:szCs w:val="24"/>
                <w:highlight w:val="none"/>
              </w:rPr>
              <w:t>文件，通过“信用中国”网站（www.creditchina.gov.cn）、中国政府采购网（www.ccgp.gov.cn），以开标当日网页查询记录为准。对列入失信被执行人、重大税收违法案件当事人名单、政府采购严重违法失信行为记录名单的供应商，其投标将作无效标处理。</w:t>
            </w:r>
          </w:p>
        </w:tc>
      </w:tr>
      <w:tr w14:paraId="5E3ED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3A3E649">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34</w:t>
            </w:r>
          </w:p>
        </w:tc>
        <w:tc>
          <w:tcPr>
            <w:tcW w:w="1760" w:type="dxa"/>
            <w:tcBorders>
              <w:top w:val="single" w:color="auto" w:sz="4" w:space="0"/>
              <w:left w:val="single" w:color="auto" w:sz="4" w:space="0"/>
              <w:bottom w:val="single" w:color="auto" w:sz="4" w:space="0"/>
              <w:right w:val="single" w:color="auto" w:sz="4" w:space="0"/>
            </w:tcBorders>
            <w:vAlign w:val="center"/>
          </w:tcPr>
          <w:p w14:paraId="26C7E2D9">
            <w:pPr>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zh-CN"/>
              </w:rPr>
              <w:t>优先或强制采购</w:t>
            </w:r>
          </w:p>
        </w:tc>
        <w:tc>
          <w:tcPr>
            <w:tcW w:w="7605" w:type="dxa"/>
            <w:tcBorders>
              <w:top w:val="single" w:color="auto" w:sz="4" w:space="0"/>
              <w:left w:val="single" w:color="auto" w:sz="4" w:space="0"/>
              <w:bottom w:val="single" w:color="auto" w:sz="4" w:space="0"/>
              <w:right w:val="single" w:color="auto" w:sz="4" w:space="0"/>
            </w:tcBorders>
            <w:vAlign w:val="center"/>
          </w:tcPr>
          <w:p w14:paraId="4135226B">
            <w:pPr>
              <w:pStyle w:val="14"/>
              <w:keepNext w:val="0"/>
              <w:keepLines w:val="0"/>
              <w:pageBreakBefore w:val="0"/>
              <w:kinsoku/>
              <w:wordWrap/>
              <w:overflowPunct/>
              <w:topLinePunct w:val="0"/>
              <w:bidi w:val="0"/>
              <w:snapToGrid/>
              <w:spacing w:line="400" w:lineRule="exact"/>
              <w:textAlignment w:val="auto"/>
              <w:rPr>
                <w:rFonts w:hint="eastAsia" w:ascii="仿宋" w:hAnsi="仿宋" w:eastAsia="仿宋" w:cs="仿宋"/>
                <w:color w:val="auto"/>
                <w:szCs w:val="24"/>
                <w:highlight w:val="none"/>
              </w:rPr>
            </w:pPr>
            <w:r>
              <w:rPr>
                <w:rFonts w:hint="eastAsia" w:ascii="仿宋" w:hAnsi="仿宋" w:eastAsia="仿宋" w:cs="仿宋"/>
                <w:bCs/>
                <w:color w:val="auto"/>
                <w:szCs w:val="24"/>
                <w:highlight w:val="none"/>
                <w:lang w:val="zh-CN"/>
              </w:rPr>
              <w:t>根据财库〔2019〕9号</w:t>
            </w:r>
            <w:r>
              <w:rPr>
                <w:rFonts w:hint="eastAsia" w:ascii="仿宋" w:hAnsi="仿宋" w:eastAsia="仿宋" w:cs="仿宋"/>
                <w:bCs/>
                <w:color w:val="auto"/>
                <w:szCs w:val="24"/>
                <w:highlight w:val="none"/>
              </w:rPr>
              <w:t>、</w:t>
            </w:r>
            <w:r>
              <w:rPr>
                <w:rFonts w:hint="eastAsia" w:ascii="仿宋" w:hAnsi="仿宋" w:eastAsia="仿宋" w:cs="仿宋"/>
                <w:bCs/>
                <w:color w:val="auto"/>
                <w:szCs w:val="24"/>
                <w:highlight w:val="none"/>
                <w:lang w:val="zh-CN"/>
              </w:rPr>
              <w:t>财库〔2019〕18号</w:t>
            </w:r>
            <w:r>
              <w:rPr>
                <w:rFonts w:hint="eastAsia" w:ascii="仿宋" w:hAnsi="仿宋" w:eastAsia="仿宋" w:cs="仿宋"/>
                <w:bCs/>
                <w:color w:val="auto"/>
                <w:szCs w:val="24"/>
                <w:highlight w:val="none"/>
              </w:rPr>
              <w:t>、</w:t>
            </w:r>
            <w:r>
              <w:rPr>
                <w:rFonts w:hint="eastAsia" w:ascii="仿宋" w:hAnsi="仿宋" w:eastAsia="仿宋" w:cs="仿宋"/>
                <w:bCs/>
                <w:color w:val="auto"/>
                <w:szCs w:val="24"/>
                <w:highlight w:val="none"/>
                <w:lang w:val="zh-CN"/>
              </w:rPr>
              <w:t>财库〔2019〕19号</w:t>
            </w:r>
            <w:r>
              <w:rPr>
                <w:rFonts w:hint="eastAsia" w:ascii="仿宋" w:hAnsi="仿宋" w:eastAsia="仿宋" w:cs="仿宋"/>
                <w:bCs/>
                <w:color w:val="auto"/>
                <w:szCs w:val="24"/>
                <w:highlight w:val="none"/>
              </w:rPr>
              <w:t>规定，</w:t>
            </w:r>
            <w:r>
              <w:rPr>
                <w:rFonts w:hint="eastAsia" w:ascii="仿宋" w:hAnsi="仿宋" w:eastAsia="仿宋" w:cs="仿宋"/>
                <w:bCs/>
                <w:color w:val="auto"/>
                <w:szCs w:val="24"/>
                <w:highlight w:val="none"/>
                <w:lang w:val="zh-CN"/>
              </w:rPr>
              <w:t>采购人拟采购的产品属于品目清单范围的，采购人及其委托的采购代理机构将依据国家确定的认证机构</w:t>
            </w:r>
            <w:r>
              <w:rPr>
                <w:rFonts w:hint="eastAsia" w:ascii="仿宋" w:hAnsi="仿宋" w:eastAsia="仿宋" w:cs="仿宋"/>
                <w:color w:val="auto"/>
                <w:szCs w:val="24"/>
                <w:highlight w:val="none"/>
                <w:lang w:val="zh-CN"/>
              </w:rPr>
              <w:t>出具</w:t>
            </w:r>
            <w:r>
              <w:rPr>
                <w:rFonts w:hint="eastAsia" w:ascii="仿宋" w:hAnsi="仿宋" w:eastAsia="仿宋" w:cs="仿宋"/>
                <w:bCs/>
                <w:color w:val="auto"/>
                <w:szCs w:val="24"/>
                <w:highlight w:val="none"/>
                <w:lang w:val="zh-CN"/>
              </w:rPr>
              <w:t>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Cs/>
                <w:color w:val="auto"/>
                <w:szCs w:val="24"/>
                <w:highlight w:val="none"/>
              </w:rPr>
              <w:t>。</w:t>
            </w:r>
          </w:p>
        </w:tc>
      </w:tr>
      <w:tr w14:paraId="4BE20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C0B924D">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35</w:t>
            </w:r>
          </w:p>
        </w:tc>
        <w:tc>
          <w:tcPr>
            <w:tcW w:w="1760" w:type="dxa"/>
            <w:tcBorders>
              <w:top w:val="single" w:color="auto" w:sz="4" w:space="0"/>
              <w:left w:val="single" w:color="auto" w:sz="4" w:space="0"/>
              <w:bottom w:val="single" w:color="auto" w:sz="4" w:space="0"/>
              <w:right w:val="single" w:color="auto" w:sz="4" w:space="0"/>
            </w:tcBorders>
            <w:vAlign w:val="center"/>
          </w:tcPr>
          <w:p w14:paraId="75E2A405">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lang w:val="en-US" w:eastAsia="zh-CN"/>
              </w:rPr>
              <w:t>政策落实</w:t>
            </w:r>
          </w:p>
        </w:tc>
        <w:tc>
          <w:tcPr>
            <w:tcW w:w="7605" w:type="dxa"/>
            <w:tcBorders>
              <w:top w:val="single" w:color="auto" w:sz="4" w:space="0"/>
              <w:left w:val="single" w:color="auto" w:sz="4" w:space="0"/>
              <w:bottom w:val="single" w:color="auto" w:sz="4" w:space="0"/>
              <w:right w:val="single" w:color="auto" w:sz="4" w:space="0"/>
            </w:tcBorders>
            <w:vAlign w:val="center"/>
          </w:tcPr>
          <w:p w14:paraId="60FCE1A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rPr>
              <w:t>扶持中小企业（监狱企业、残疾人福利性单位）：</w:t>
            </w:r>
          </w:p>
          <w:p w14:paraId="6C4B8D3A">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393176B3">
            <w:pPr>
              <w:keepNext w:val="0"/>
              <w:keepLines w:val="0"/>
              <w:pageBreakBefore w:val="0"/>
              <w:widowControl/>
              <w:kinsoku/>
              <w:wordWrap/>
              <w:overflowPunct/>
              <w:topLinePunct w:val="0"/>
              <w:bidi w:val="0"/>
              <w:snapToGrid/>
              <w:spacing w:line="400" w:lineRule="exact"/>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（1）项目预算：</w:t>
            </w:r>
            <w:r>
              <w:rPr>
                <w:rFonts w:hint="eastAsia" w:ascii="仿宋" w:hAnsi="仿宋" w:eastAsia="仿宋" w:cs="仿宋"/>
                <w:b/>
                <w:bCs/>
                <w:color w:val="auto"/>
                <w:kern w:val="0"/>
                <w:sz w:val="24"/>
                <w:szCs w:val="24"/>
                <w:highlight w:val="none"/>
                <w:u w:val="single"/>
                <w:lang w:val="en-US" w:eastAsia="zh-CN"/>
              </w:rPr>
              <w:t>392000</w:t>
            </w:r>
            <w:r>
              <w:rPr>
                <w:rFonts w:hint="eastAsia" w:ascii="仿宋" w:hAnsi="仿宋" w:eastAsia="仿宋" w:cs="仿宋"/>
                <w:b/>
                <w:bCs/>
                <w:color w:val="auto"/>
                <w:kern w:val="0"/>
                <w:sz w:val="24"/>
                <w:szCs w:val="24"/>
                <w:highlight w:val="none"/>
              </w:rPr>
              <w:t>元</w:t>
            </w:r>
          </w:p>
          <w:p w14:paraId="031BB29B">
            <w:pPr>
              <w:keepNext w:val="0"/>
              <w:keepLines w:val="0"/>
              <w:pageBreakBefore w:val="0"/>
              <w:widowControl/>
              <w:kinsoku/>
              <w:wordWrap/>
              <w:overflowPunct/>
              <w:topLinePunct w:val="0"/>
              <w:bidi w:val="0"/>
              <w:snapToGrid/>
              <w:spacing w:line="400" w:lineRule="exact"/>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（2）项目属性：</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b/>
                <w:bCs/>
                <w:color w:val="auto"/>
                <w:kern w:val="0"/>
                <w:sz w:val="24"/>
                <w:szCs w:val="24"/>
                <w:highlight w:val="none"/>
                <w:u w:val="single"/>
              </w:rPr>
              <w:t>②</w:t>
            </w:r>
            <w:r>
              <w:rPr>
                <w:rFonts w:hint="eastAsia" w:ascii="仿宋" w:hAnsi="仿宋" w:eastAsia="仿宋" w:cs="仿宋"/>
                <w:b/>
                <w:bCs/>
                <w:color w:val="auto"/>
                <w:kern w:val="0"/>
                <w:sz w:val="24"/>
                <w:szCs w:val="24"/>
                <w:highlight w:val="none"/>
                <w:u w:val="single"/>
                <w:lang w:val="en-US" w:eastAsia="zh-CN"/>
              </w:rPr>
              <w:t>服务类   </w:t>
            </w:r>
            <w:r>
              <w:rPr>
                <w:rFonts w:hint="eastAsia" w:ascii="仿宋" w:hAnsi="仿宋" w:eastAsia="仿宋" w:cs="仿宋"/>
                <w:b/>
                <w:bCs/>
                <w:color w:val="auto"/>
                <w:kern w:val="0"/>
                <w:sz w:val="24"/>
                <w:szCs w:val="24"/>
                <w:highlight w:val="none"/>
              </w:rPr>
              <w:t>（①货物类/②服务类/③工程类）</w:t>
            </w:r>
          </w:p>
          <w:p w14:paraId="46DC8633">
            <w:pPr>
              <w:keepNext w:val="0"/>
              <w:keepLines w:val="0"/>
              <w:pageBreakBefore w:val="0"/>
              <w:widowControl/>
              <w:kinsoku/>
              <w:wordWrap/>
              <w:overflowPunct/>
              <w:topLinePunct w:val="0"/>
              <w:bidi w:val="0"/>
              <w:snapToGrid/>
              <w:spacing w:line="400" w:lineRule="exact"/>
              <w:ind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（3）项目对应的中小企业划分标准所属行业：</w:t>
            </w:r>
            <w:r>
              <w:rPr>
                <w:rFonts w:hint="eastAsia" w:ascii="仿宋" w:hAnsi="仿宋" w:eastAsia="仿宋" w:cs="仿宋"/>
                <w:b/>
                <w:bCs/>
                <w:color w:val="auto"/>
                <w:kern w:val="0"/>
                <w:sz w:val="24"/>
                <w:szCs w:val="24"/>
                <w:highlight w:val="none"/>
                <w:u w:val="single"/>
                <w:lang w:val="en-US" w:eastAsia="zh-CN"/>
              </w:rPr>
              <w:t>其他未列明行业</w:t>
            </w:r>
            <w:r>
              <w:rPr>
                <w:rFonts w:hint="eastAsia" w:ascii="仿宋" w:hAnsi="仿宋" w:eastAsia="仿宋" w:cs="仿宋"/>
                <w:b/>
                <w:bCs/>
                <w:color w:val="auto"/>
                <w:kern w:val="0"/>
                <w:sz w:val="24"/>
                <w:szCs w:val="24"/>
                <w:highlight w:val="none"/>
              </w:rPr>
              <w:t>（具体根据《中小企业划型标准规定》执行）</w:t>
            </w:r>
          </w:p>
          <w:p w14:paraId="066E156C">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现行中小企业划分标准行业包括农、林、牧、渔业，工业，建筑业，批发业，零售业，交通运输业，仓储业，邮政业，住宿业，餐饮业，信息传输业，软件和信息技术服务业，房地产开发经营，物业管理，</w:t>
            </w:r>
            <w:r>
              <w:rPr>
                <w:rFonts w:hint="eastAsia" w:ascii="仿宋" w:hAnsi="仿宋" w:eastAsia="仿宋" w:cs="仿宋"/>
                <w:color w:val="auto"/>
                <w:kern w:val="0"/>
                <w:sz w:val="24"/>
                <w:szCs w:val="24"/>
                <w:highlight w:val="none"/>
                <w:lang w:eastAsia="zh-CN"/>
              </w:rPr>
              <w:t>租赁和商务服务业</w:t>
            </w:r>
            <w:r>
              <w:rPr>
                <w:rFonts w:hint="eastAsia" w:ascii="仿宋" w:hAnsi="仿宋" w:eastAsia="仿宋" w:cs="仿宋"/>
                <w:color w:val="auto"/>
                <w:kern w:val="0"/>
                <w:sz w:val="24"/>
                <w:szCs w:val="24"/>
                <w:highlight w:val="none"/>
              </w:rPr>
              <w:t>和其他未列明行业等十六类。）</w:t>
            </w:r>
          </w:p>
          <w:p w14:paraId="583BD050">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（4）本项目 </w:t>
            </w:r>
            <w:r>
              <w:rPr>
                <w:rFonts w:hint="eastAsia" w:ascii="仿宋" w:hAnsi="仿宋" w:eastAsia="仿宋" w:cs="仿宋"/>
                <w:color w:val="auto"/>
                <w:kern w:val="0"/>
                <w:sz w:val="24"/>
                <w:szCs w:val="24"/>
                <w:highlight w:val="none"/>
                <w:u w:val="single"/>
                <w:lang w:val="en-US" w:eastAsia="zh-CN"/>
              </w:rPr>
              <w:t xml:space="preserve"> 是 </w:t>
            </w:r>
            <w:r>
              <w:rPr>
                <w:rFonts w:hint="eastAsia" w:ascii="仿宋" w:hAnsi="仿宋" w:eastAsia="仿宋" w:cs="仿宋"/>
                <w:color w:val="auto"/>
                <w:kern w:val="0"/>
                <w:sz w:val="24"/>
                <w:szCs w:val="24"/>
                <w:highlight w:val="none"/>
              </w:rPr>
              <w:t>（是/否）属于预留份额专门面向中小企业采购的项目。</w:t>
            </w:r>
          </w:p>
          <w:p w14:paraId="1ABAD69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（5）上述</w:t>
            </w:r>
            <w:r>
              <w:rPr>
                <w:rFonts w:hint="eastAsia" w:ascii="仿宋" w:hAnsi="仿宋" w:eastAsia="仿宋" w:cs="仿宋"/>
                <w:color w:val="auto"/>
                <w:kern w:val="0"/>
                <w:sz w:val="24"/>
                <w:szCs w:val="24"/>
                <w:highlight w:val="none"/>
                <w:u w:val="single"/>
              </w:rPr>
              <w:t>第4项</w:t>
            </w:r>
            <w:r>
              <w:rPr>
                <w:rFonts w:hint="eastAsia" w:ascii="仿宋" w:hAnsi="仿宋" w:eastAsia="仿宋" w:cs="仿宋"/>
                <w:color w:val="auto"/>
                <w:kern w:val="0"/>
                <w:sz w:val="24"/>
                <w:szCs w:val="24"/>
                <w:highlight w:val="none"/>
              </w:rPr>
              <w:t>中确定为“是”的采购项目，预留份额通过（①）措施进行：</w:t>
            </w:r>
          </w:p>
          <w:p w14:paraId="396AC772">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①将采购项目整体或者设置采购包专门面向中小企业采购； </w:t>
            </w:r>
          </w:p>
          <w:p w14:paraId="1D777323">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②要求供应商以联合体形式参加采购活动，且联合体中中小企业承担的部分达到</w:t>
            </w:r>
            <w:r>
              <w:rPr>
                <w:rFonts w:hint="eastAsia" w:ascii="仿宋" w:hAnsi="仿宋" w:eastAsia="仿宋" w:cs="仿宋"/>
                <w:color w:val="auto"/>
                <w:kern w:val="0"/>
                <w:sz w:val="24"/>
                <w:szCs w:val="24"/>
                <w:highlight w:val="none"/>
                <w:u w:val="single"/>
              </w:rPr>
              <w:t> /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rPr>
              <w:t>比例</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392649F4">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③要求获得采购合同的供应商将采购项目中的</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rPr>
              <w:t>比例</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分包给一家或者多家中小企业。</w:t>
            </w:r>
          </w:p>
          <w:p w14:paraId="514EECF1">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对于经主管预算单位统筹后未预留份额专门面向中小企业采购的采购项目，以及预留份额项目中的非预留部分采购包，对小微企业报价给予</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rPr>
              <w:t xml:space="preserve"> 的扣除，用扣除后的价格参加评审。 </w:t>
            </w:r>
          </w:p>
          <w:p w14:paraId="708B9645">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的扣除，用扣除后的价格参加评审。</w:t>
            </w:r>
          </w:p>
          <w:p w14:paraId="6EB1A981">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专门面向中小企业采购的项目或者标项，不再执行价格评审优惠的扶持政策。</w:t>
            </w:r>
          </w:p>
          <w:p w14:paraId="404221C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2.</w:t>
            </w:r>
            <w:r>
              <w:rPr>
                <w:rFonts w:hint="eastAsia" w:ascii="仿宋" w:hAnsi="仿宋" w:eastAsia="仿宋" w:cs="仿宋"/>
                <w:color w:val="auto"/>
                <w:kern w:val="0"/>
                <w:sz w:val="24"/>
                <w:szCs w:val="24"/>
                <w:highlight w:val="none"/>
              </w:rPr>
              <w:t>节能产品、环境标志产品的强制采购政策</w:t>
            </w:r>
          </w:p>
          <w:p w14:paraId="087F5464">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强制采购品目的，投标人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14:paraId="3F6299A4">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w:t>
            </w:r>
            <w:r>
              <w:rPr>
                <w:rFonts w:hint="eastAsia" w:ascii="仿宋" w:hAnsi="仿宋" w:eastAsia="仿宋" w:cs="仿宋"/>
                <w:color w:val="auto"/>
                <w:kern w:val="0"/>
                <w:sz w:val="24"/>
                <w:szCs w:val="24"/>
                <w:highlight w:val="none"/>
              </w:rPr>
              <w:t>节能产品、环境标志产品的优先采购政策</w:t>
            </w:r>
          </w:p>
          <w:p w14:paraId="2475591D">
            <w:pPr>
              <w:pStyle w:val="14"/>
              <w:keepNext w:val="0"/>
              <w:keepLines w:val="0"/>
              <w:pageBreakBefore w:val="0"/>
              <w:kinsoku/>
              <w:wordWrap/>
              <w:overflowPunct/>
              <w:topLinePunct w:val="0"/>
              <w:bidi w:val="0"/>
              <w:snapToGrid/>
              <w:spacing w:line="400" w:lineRule="exact"/>
              <w:textAlignment w:val="auto"/>
              <w:rPr>
                <w:rFonts w:hint="eastAsia" w:ascii="仿宋" w:hAnsi="仿宋" w:eastAsia="仿宋" w:cs="仿宋"/>
                <w:bCs/>
                <w:color w:val="auto"/>
                <w:szCs w:val="24"/>
                <w:highlight w:val="none"/>
              </w:rPr>
            </w:pPr>
            <w:r>
              <w:rPr>
                <w:rFonts w:hint="eastAsia" w:ascii="仿宋" w:hAnsi="仿宋" w:eastAsia="仿宋" w:cs="仿宋"/>
                <w:color w:val="auto"/>
                <w:kern w:val="0"/>
                <w:sz w:val="24"/>
                <w:szCs w:val="24"/>
                <w:highlight w:val="none"/>
              </w:rPr>
              <w:t>根据财政部、国家发展和改革委员会、生态环境部等部门公布的政府采购节能产品、环境标志产品品目清单的规定、依据品目清单和认证证书实施政府优先采购和强制采购。采购人拟采购的产品属于品目清单范围内的优先采购品目的，投标人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r>
              <w:rPr>
                <w:rFonts w:hint="eastAsia" w:ascii="仿宋" w:hAnsi="仿宋" w:eastAsia="仿宋" w:cs="仿宋"/>
                <w:color w:val="auto"/>
                <w:kern w:val="0"/>
                <w:sz w:val="24"/>
                <w:szCs w:val="24"/>
                <w:highlight w:val="none"/>
                <w:lang w:eastAsia="zh-CN"/>
              </w:rPr>
              <w:t>）</w:t>
            </w:r>
          </w:p>
        </w:tc>
      </w:tr>
      <w:tr w14:paraId="00DB1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89DDF49">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36</w:t>
            </w:r>
          </w:p>
        </w:tc>
        <w:tc>
          <w:tcPr>
            <w:tcW w:w="1760" w:type="dxa"/>
            <w:tcBorders>
              <w:top w:val="single" w:color="auto" w:sz="4" w:space="0"/>
              <w:left w:val="single" w:color="auto" w:sz="4" w:space="0"/>
              <w:bottom w:val="single" w:color="auto" w:sz="4" w:space="0"/>
              <w:right w:val="single" w:color="auto" w:sz="4" w:space="0"/>
            </w:tcBorders>
            <w:vAlign w:val="center"/>
          </w:tcPr>
          <w:p w14:paraId="2C95FFEE">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信用查询</w:t>
            </w:r>
          </w:p>
        </w:tc>
        <w:tc>
          <w:tcPr>
            <w:tcW w:w="7605" w:type="dxa"/>
            <w:tcBorders>
              <w:top w:val="single" w:color="auto" w:sz="4" w:space="0"/>
              <w:left w:val="single" w:color="auto" w:sz="4" w:space="0"/>
              <w:bottom w:val="single" w:color="auto" w:sz="4" w:space="0"/>
              <w:right w:val="single" w:color="auto" w:sz="4" w:space="0"/>
            </w:tcBorders>
            <w:vAlign w:val="center"/>
          </w:tcPr>
          <w:p w14:paraId="3258AC09">
            <w:pPr>
              <w:keepNext w:val="0"/>
              <w:keepLines w:val="0"/>
              <w:pageBreakBefore w:val="0"/>
              <w:kinsoku/>
              <w:wordWrap/>
              <w:overflowPunct/>
              <w:topLinePunct w:val="0"/>
              <w:bidi w:val="0"/>
              <w:snapToGrid/>
              <w:spacing w:line="400" w:lineRule="exact"/>
              <w:ind w:left="105" w:leftChars="5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根据《关于在政府采购活动中查询及使用信用记录有关问题的通知》财库</w:t>
            </w:r>
            <w:r>
              <w:rPr>
                <w:rFonts w:hint="eastAsia" w:ascii="仿宋" w:hAnsi="仿宋" w:eastAsia="仿宋" w:cs="仿宋"/>
                <w:color w:val="auto"/>
                <w:sz w:val="24"/>
                <w:szCs w:val="24"/>
                <w:highlight w:val="none"/>
                <w:lang w:eastAsia="zh-CN"/>
              </w:rPr>
              <w:t>〔2016〕125号</w:t>
            </w:r>
            <w:r>
              <w:rPr>
                <w:rFonts w:hint="eastAsia" w:ascii="仿宋" w:hAnsi="仿宋" w:eastAsia="仿宋" w:cs="仿宋"/>
                <w:color w:val="auto"/>
                <w:sz w:val="24"/>
                <w:szCs w:val="24"/>
                <w:highlight w:val="none"/>
              </w:rPr>
              <w:t>的规定：</w:t>
            </w:r>
          </w:p>
          <w:p w14:paraId="7C499948">
            <w:pPr>
              <w:keepNext w:val="0"/>
              <w:keepLines w:val="0"/>
              <w:pageBreakBefore w:val="0"/>
              <w:kinsoku/>
              <w:wordWrap/>
              <w:overflowPunct/>
              <w:topLinePunct w:val="0"/>
              <w:bidi w:val="0"/>
              <w:snapToGrid/>
              <w:spacing w:line="400" w:lineRule="exact"/>
              <w:ind w:left="105" w:leftChars="5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或采购代理机构将对本项目供应商的信用记录进行查询。查询渠道为信用中国网站（www.creditchina.gov.cn）、中国政府采购网（www.ccgp.gov.cn）；</w:t>
            </w:r>
          </w:p>
          <w:p w14:paraId="41A41E0E">
            <w:pPr>
              <w:keepNext w:val="0"/>
              <w:keepLines w:val="0"/>
              <w:pageBreakBefore w:val="0"/>
              <w:kinsoku/>
              <w:wordWrap/>
              <w:overflowPunct/>
              <w:topLinePunct w:val="0"/>
              <w:bidi w:val="0"/>
              <w:snapToGrid/>
              <w:spacing w:line="400" w:lineRule="exact"/>
              <w:ind w:firstLine="120" w:firstLineChars="5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2）截止时点：提交投标文件（响应文件）截止时间前3年内；</w:t>
            </w:r>
          </w:p>
          <w:p w14:paraId="5A4A5B0F">
            <w:pPr>
              <w:keepNext w:val="0"/>
              <w:keepLines w:val="0"/>
              <w:pageBreakBefore w:val="0"/>
              <w:kinsoku/>
              <w:wordWrap/>
              <w:overflowPunct/>
              <w:topLinePunct w:val="0"/>
              <w:bidi w:val="0"/>
              <w:snapToGrid/>
              <w:spacing w:line="400" w:lineRule="exact"/>
              <w:ind w:left="105" w:leftChars="5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3）查询记录和证据的留存：信用信息查询记录和证据以网页截图等方式留存。</w:t>
            </w:r>
          </w:p>
          <w:p w14:paraId="55D2A644">
            <w:pPr>
              <w:keepNext w:val="0"/>
              <w:keepLines w:val="0"/>
              <w:pageBreakBefore w:val="0"/>
              <w:kinsoku/>
              <w:wordWrap/>
              <w:overflowPunct/>
              <w:topLinePunct w:val="0"/>
              <w:bidi w:val="0"/>
              <w:snapToGrid/>
              <w:spacing w:line="400" w:lineRule="exact"/>
              <w:ind w:left="105" w:leftChars="5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4）使用规则：被列入失信被执行人、重大税收违法案件当事人名单、政府采购严重违法失信行为记录名单及其它不符合《中华人民共和国政府采购法》第二十二条规定条件的，其投标将被拒绝。</w:t>
            </w:r>
          </w:p>
          <w:p w14:paraId="6323C602">
            <w:pPr>
              <w:pStyle w:val="14"/>
              <w:keepNext w:val="0"/>
              <w:keepLines w:val="0"/>
              <w:pageBreakBefore w:val="0"/>
              <w:kinsoku/>
              <w:wordWrap/>
              <w:overflowPunct/>
              <w:topLinePunct w:val="0"/>
              <w:bidi w:val="0"/>
              <w:snapToGrid/>
              <w:spacing w:line="40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5）联合体成员任意一方存在不良信用记录的，视同联合体存在不良信用记录。</w:t>
            </w:r>
          </w:p>
        </w:tc>
      </w:tr>
      <w:tr w14:paraId="05609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331174C">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37</w:t>
            </w:r>
          </w:p>
        </w:tc>
        <w:tc>
          <w:tcPr>
            <w:tcW w:w="1760" w:type="dxa"/>
            <w:tcBorders>
              <w:top w:val="single" w:color="auto" w:sz="4" w:space="0"/>
              <w:left w:val="single" w:color="auto" w:sz="4" w:space="0"/>
              <w:bottom w:val="single" w:color="auto" w:sz="4" w:space="0"/>
              <w:right w:val="single" w:color="auto" w:sz="4" w:space="0"/>
            </w:tcBorders>
            <w:vAlign w:val="center"/>
          </w:tcPr>
          <w:p w14:paraId="63B6B0D0">
            <w:pPr>
              <w:pStyle w:val="14"/>
              <w:keepNext w:val="0"/>
              <w:keepLines w:val="0"/>
              <w:pageBreakBefore w:val="0"/>
              <w:kinsoku/>
              <w:wordWrap/>
              <w:overflowPunct/>
              <w:topLinePunct w:val="0"/>
              <w:bidi w:val="0"/>
              <w:snapToGrid/>
              <w:spacing w:line="240" w:lineRule="auto"/>
              <w:jc w:val="center"/>
              <w:textAlignment w:val="auto"/>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本项目对应的中小企业划分标准所属行业</w:t>
            </w:r>
          </w:p>
        </w:tc>
        <w:tc>
          <w:tcPr>
            <w:tcW w:w="7605" w:type="dxa"/>
            <w:tcBorders>
              <w:top w:val="single" w:color="auto" w:sz="4" w:space="0"/>
              <w:left w:val="single" w:color="auto" w:sz="4" w:space="0"/>
              <w:bottom w:val="single" w:color="auto" w:sz="4" w:space="0"/>
              <w:right w:val="single" w:color="auto" w:sz="4" w:space="0"/>
            </w:tcBorders>
            <w:vAlign w:val="center"/>
          </w:tcPr>
          <w:p w14:paraId="1F5B6610">
            <w:pPr>
              <w:keepNext w:val="0"/>
              <w:keepLines w:val="0"/>
              <w:pageBreakBefore w:val="0"/>
              <w:kinsoku/>
              <w:wordWrap/>
              <w:overflowPunct/>
              <w:topLinePunct w:val="0"/>
              <w:bidi w:val="0"/>
              <w:snapToGrid/>
              <w:spacing w:line="400" w:lineRule="exac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val="0"/>
                <w:bCs w:val="0"/>
                <w:color w:val="auto"/>
                <w:kern w:val="0"/>
                <w:sz w:val="24"/>
                <w:szCs w:val="24"/>
                <w:highlight w:val="none"/>
              </w:rPr>
              <w:t>根据《关于印发中小企业划型标准规定的通知》（工信部联企业〔2011〕300号），</w:t>
            </w:r>
            <w:r>
              <w:rPr>
                <w:rFonts w:hint="eastAsia" w:ascii="仿宋" w:hAnsi="仿宋" w:eastAsia="仿宋" w:cs="仿宋"/>
                <w:b/>
                <w:bCs/>
                <w:color w:val="auto"/>
                <w:kern w:val="0"/>
                <w:sz w:val="24"/>
                <w:szCs w:val="24"/>
                <w:highlight w:val="none"/>
              </w:rPr>
              <w:t>本企业按所属行业为“</w:t>
            </w:r>
            <w:r>
              <w:rPr>
                <w:rFonts w:hint="eastAsia" w:ascii="仿宋" w:hAnsi="仿宋" w:eastAsia="仿宋" w:cs="仿宋"/>
                <w:b/>
                <w:bCs/>
                <w:color w:val="auto"/>
                <w:kern w:val="0"/>
                <w:sz w:val="24"/>
                <w:szCs w:val="24"/>
                <w:highlight w:val="none"/>
                <w:u w:val="single"/>
                <w:lang w:val="en-US" w:eastAsia="zh-CN"/>
              </w:rPr>
              <w:t>其他未列明行业</w:t>
            </w:r>
            <w:r>
              <w:rPr>
                <w:rFonts w:hint="eastAsia" w:ascii="仿宋" w:hAnsi="仿宋" w:eastAsia="仿宋" w:cs="仿宋"/>
                <w:b/>
                <w:bCs/>
                <w:color w:val="auto"/>
                <w:kern w:val="0"/>
                <w:sz w:val="24"/>
                <w:szCs w:val="24"/>
                <w:highlight w:val="none"/>
              </w:rPr>
              <w:t>”。</w:t>
            </w:r>
          </w:p>
          <w:p w14:paraId="6A94BFA4">
            <w:pPr>
              <w:keepNext w:val="0"/>
              <w:keepLines w:val="0"/>
              <w:pageBreakBefore w:val="0"/>
              <w:kinsoku/>
              <w:wordWrap/>
              <w:overflowPunct/>
              <w:topLinePunct w:val="0"/>
              <w:bidi w:val="0"/>
              <w:snapToGrid/>
              <w:spacing w:line="400" w:lineRule="exact"/>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rPr>
              <w:t>其他未列明行业：</w:t>
            </w:r>
            <w:r>
              <w:rPr>
                <w:rFonts w:hint="eastAsia" w:ascii="仿宋" w:hAnsi="仿宋" w:eastAsia="仿宋" w:cs="仿宋"/>
                <w:b w:val="0"/>
                <w:bCs w:val="0"/>
                <w:color w:val="auto"/>
                <w:kern w:val="0"/>
                <w:sz w:val="24"/>
                <w:szCs w:val="24"/>
                <w:highlight w:val="none"/>
              </w:rPr>
              <w:t>从业人员300人以下的为中小微型企业。其中，从业人员100人及以上的为中型企业；从业人员10人及以上的为小型企业；从业人员10人以下的为微型企业。</w:t>
            </w:r>
          </w:p>
        </w:tc>
      </w:tr>
      <w:tr w14:paraId="11E8B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081AA43">
            <w:pPr>
              <w:pStyle w:val="14"/>
              <w:keepNext w:val="0"/>
              <w:keepLines w:val="0"/>
              <w:pageBreakBefore w:val="0"/>
              <w:kinsoku/>
              <w:wordWrap/>
              <w:overflowPunct/>
              <w:topLinePunct w:val="0"/>
              <w:bidi w:val="0"/>
              <w:snapToGrid/>
              <w:spacing w:line="240" w:lineRule="auto"/>
              <w:jc w:val="center"/>
              <w:textAlignment w:val="auto"/>
              <w:rPr>
                <w:rFonts w:hint="default"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38</w:t>
            </w:r>
          </w:p>
        </w:tc>
        <w:tc>
          <w:tcPr>
            <w:tcW w:w="1760" w:type="dxa"/>
            <w:tcBorders>
              <w:top w:val="single" w:color="auto" w:sz="4" w:space="0"/>
              <w:left w:val="single" w:color="auto" w:sz="4" w:space="0"/>
              <w:bottom w:val="single" w:color="auto" w:sz="4" w:space="0"/>
              <w:right w:val="single" w:color="auto" w:sz="4" w:space="0"/>
            </w:tcBorders>
            <w:vAlign w:val="center"/>
          </w:tcPr>
          <w:p w14:paraId="1B47200A">
            <w:pPr>
              <w:pStyle w:val="14"/>
              <w:keepNext w:val="0"/>
              <w:keepLines w:val="0"/>
              <w:pageBreakBefore w:val="0"/>
              <w:kinsoku/>
              <w:wordWrap/>
              <w:overflowPunct/>
              <w:topLinePunct w:val="0"/>
              <w:bidi w:val="0"/>
              <w:snapToGrid/>
              <w:spacing w:line="240" w:lineRule="auto"/>
              <w:jc w:val="center"/>
              <w:textAlignment w:val="auto"/>
              <w:outlineLvl w:val="9"/>
              <w:rPr>
                <w:rFonts w:hint="default" w:ascii="仿宋_GB2312" w:eastAsia="仿宋_GB2312" w:cs="仿宋_GB2312"/>
                <w:b w:val="0"/>
                <w:bCs w:val="0"/>
                <w:i w:val="0"/>
                <w:iCs w:val="0"/>
                <w:color w:val="auto"/>
                <w:spacing w:val="0"/>
                <w:w w:val="100"/>
                <w:sz w:val="24"/>
                <w:szCs w:val="24"/>
                <w:highlight w:val="none"/>
                <w:vertAlign w:val="baseline"/>
              </w:rPr>
            </w:pPr>
            <w:r>
              <w:rPr>
                <w:rFonts w:hint="eastAsia" w:ascii="仿宋" w:hAnsi="仿宋" w:eastAsia="仿宋" w:cs="仿宋"/>
                <w:bCs/>
                <w:color w:val="auto"/>
                <w:szCs w:val="24"/>
                <w:highlight w:val="none"/>
              </w:rPr>
              <w:t>其他</w:t>
            </w:r>
          </w:p>
        </w:tc>
        <w:tc>
          <w:tcPr>
            <w:tcW w:w="7605" w:type="dxa"/>
            <w:tcBorders>
              <w:top w:val="single" w:color="auto" w:sz="4" w:space="0"/>
              <w:left w:val="single" w:color="auto" w:sz="4" w:space="0"/>
              <w:bottom w:val="single" w:color="auto" w:sz="4" w:space="0"/>
              <w:right w:val="single" w:color="auto" w:sz="4" w:space="0"/>
            </w:tcBorders>
            <w:vAlign w:val="center"/>
          </w:tcPr>
          <w:p w14:paraId="323776F6">
            <w:pPr>
              <w:pStyle w:val="14"/>
              <w:keepNext w:val="0"/>
              <w:keepLines w:val="0"/>
              <w:pageBreakBefore w:val="0"/>
              <w:kinsoku/>
              <w:wordWrap/>
              <w:overflowPunct/>
              <w:topLinePunct w:val="0"/>
              <w:bidi w:val="0"/>
              <w:snapToGrid/>
              <w:spacing w:line="400" w:lineRule="exact"/>
              <w:textAlignment w:val="auto"/>
              <w:outlineLvl w:val="9"/>
              <w:rPr>
                <w:rFonts w:hint="eastAsia" w:ascii="仿宋" w:hAnsi="仿宋" w:eastAsia="仿宋" w:cs="仿宋"/>
                <w:bCs/>
                <w:color w:val="auto"/>
                <w:szCs w:val="24"/>
                <w:highlight w:val="none"/>
                <w:lang w:val="zh-CN"/>
              </w:rPr>
            </w:pPr>
            <w:r>
              <w:rPr>
                <w:rFonts w:hint="eastAsia" w:ascii="仿宋" w:hAnsi="仿宋" w:eastAsia="仿宋" w:cs="仿宋"/>
                <w:bCs/>
                <w:color w:val="auto"/>
                <w:szCs w:val="24"/>
                <w:highlight w:val="none"/>
                <w:lang w:val="zh-CN"/>
              </w:rPr>
              <w:t>本前附表内容与投标人须知正文不符的，以本前附表为准。</w:t>
            </w:r>
          </w:p>
          <w:p w14:paraId="7AC8E66B">
            <w:pPr>
              <w:pStyle w:val="14"/>
              <w:keepNext w:val="0"/>
              <w:keepLines w:val="0"/>
              <w:pageBreakBefore w:val="0"/>
              <w:kinsoku/>
              <w:wordWrap/>
              <w:overflowPunct/>
              <w:topLinePunct w:val="0"/>
              <w:bidi w:val="0"/>
              <w:snapToGrid/>
              <w:spacing w:line="400" w:lineRule="exact"/>
              <w:textAlignment w:val="auto"/>
              <w:outlineLvl w:val="9"/>
              <w:rPr>
                <w:rFonts w:hint="eastAsia" w:ascii="仿宋" w:hAnsi="仿宋" w:eastAsia="仿宋" w:cs="仿宋"/>
                <w:b w:val="0"/>
                <w:bCs w:val="0"/>
                <w:i w:val="0"/>
                <w:iCs w:val="0"/>
                <w:color w:val="auto"/>
                <w:spacing w:val="0"/>
                <w:w w:val="100"/>
                <w:sz w:val="24"/>
                <w:szCs w:val="24"/>
                <w:highlight w:val="none"/>
                <w:vertAlign w:val="baseline"/>
              </w:rPr>
            </w:pPr>
            <w:r>
              <w:rPr>
                <w:rFonts w:hint="eastAsia" w:ascii="仿宋" w:hAnsi="仿宋" w:eastAsia="仿宋" w:cs="仿宋"/>
                <w:bCs/>
                <w:color w:val="auto"/>
                <w:szCs w:val="24"/>
                <w:highlight w:val="none"/>
                <w:lang w:val="zh-CN"/>
              </w:rPr>
              <w:t>凡涉及本采购文件的解释权均属于采购人和采购代理机构。</w:t>
            </w:r>
          </w:p>
        </w:tc>
      </w:tr>
    </w:tbl>
    <w:p w14:paraId="591BF999">
      <w:pPr>
        <w:pStyle w:val="2"/>
        <w:spacing w:line="312" w:lineRule="auto"/>
        <w:ind w:firstLine="602"/>
        <w:jc w:val="center"/>
        <w:rPr>
          <w:rFonts w:ascii="仿宋" w:hAnsi="仿宋" w:eastAsia="仿宋" w:cs="仿宋"/>
          <w:b/>
          <w:bCs/>
          <w:color w:val="auto"/>
          <w:sz w:val="30"/>
          <w:szCs w:val="30"/>
          <w:highlight w:val="none"/>
        </w:rPr>
        <w:sectPr>
          <w:pgSz w:w="11906" w:h="16838"/>
          <w:pgMar w:top="1247" w:right="1134" w:bottom="1020" w:left="1418" w:header="851" w:footer="907" w:gutter="0"/>
          <w:pgBorders>
            <w:top w:val="none" w:sz="0" w:space="0"/>
            <w:left w:val="none" w:sz="0" w:space="0"/>
            <w:bottom w:val="none" w:sz="0" w:space="0"/>
            <w:right w:val="none" w:sz="0" w:space="0"/>
          </w:pgBorders>
          <w:pgNumType w:fmt="decimal"/>
          <w:cols w:space="720" w:num="1"/>
          <w:titlePg/>
          <w:docGrid w:type="lines" w:linePitch="312" w:charSpace="0"/>
        </w:sectPr>
      </w:pPr>
    </w:p>
    <w:bookmarkEnd w:id="2"/>
    <w:p w14:paraId="082589FD">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2"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一、总则</w:t>
      </w:r>
    </w:p>
    <w:p w14:paraId="27E3487C">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2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4"/>
          <w:position w:val="1"/>
          <w:sz w:val="24"/>
          <w:szCs w:val="24"/>
          <w:highlight w:val="none"/>
        </w:rPr>
        <w:t>（</w:t>
      </w:r>
      <w:r>
        <w:rPr>
          <w:rFonts w:hint="eastAsia" w:ascii="仿宋" w:hAnsi="仿宋" w:eastAsia="仿宋" w:cs="仿宋"/>
          <w:color w:val="auto"/>
          <w:spacing w:val="-68"/>
          <w:position w:val="1"/>
          <w:sz w:val="24"/>
          <w:szCs w:val="24"/>
          <w:highlight w:val="none"/>
        </w:rPr>
        <w:t xml:space="preserve"> </w:t>
      </w:r>
      <w:r>
        <w:rPr>
          <w:rFonts w:hint="eastAsia" w:ascii="仿宋" w:hAnsi="仿宋" w:eastAsia="仿宋" w:cs="仿宋"/>
          <w:b/>
          <w:bCs/>
          <w:color w:val="auto"/>
          <w:spacing w:val="-14"/>
          <w:position w:val="1"/>
          <w:sz w:val="24"/>
          <w:szCs w:val="24"/>
          <w:highlight w:val="none"/>
        </w:rPr>
        <w:t>一）定义</w:t>
      </w:r>
    </w:p>
    <w:p w14:paraId="344084DB">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3"/>
          <w:sz w:val="24"/>
          <w:szCs w:val="24"/>
          <w:highlight w:val="none"/>
        </w:rPr>
        <w:t>采购人”</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21"/>
          <w:sz w:val="24"/>
          <w:szCs w:val="24"/>
          <w:highlight w:val="none"/>
          <w:lang w:eastAsia="zh-CN"/>
        </w:rPr>
        <w:t>：</w:t>
      </w:r>
      <w:r>
        <w:rPr>
          <w:rFonts w:hint="eastAsia" w:ascii="仿宋" w:hAnsi="仿宋" w:eastAsia="仿宋" w:cs="仿宋"/>
          <w:color w:val="auto"/>
          <w:spacing w:val="-3"/>
          <w:sz w:val="24"/>
          <w:szCs w:val="24"/>
          <w:highlight w:val="none"/>
        </w:rPr>
        <w:t>系指投标人须知前附表说明的单位，在招标</w:t>
      </w:r>
      <w:r>
        <w:rPr>
          <w:rFonts w:hint="eastAsia" w:ascii="仿宋" w:hAnsi="仿宋" w:eastAsia="仿宋" w:cs="仿宋"/>
          <w:color w:val="auto"/>
          <w:spacing w:val="-4"/>
          <w:sz w:val="24"/>
          <w:szCs w:val="24"/>
          <w:highlight w:val="none"/>
        </w:rPr>
        <w:t>采购阶段称</w:t>
      </w:r>
      <w:r>
        <w:rPr>
          <w:rFonts w:hint="eastAsia" w:ascii="仿宋" w:hAnsi="仿宋" w:eastAsia="仿宋" w:cs="仿宋"/>
          <w:color w:val="auto"/>
          <w:spacing w:val="-1"/>
          <w:sz w:val="24"/>
          <w:szCs w:val="24"/>
          <w:highlight w:val="none"/>
        </w:rPr>
        <w:t>为采购人，在签订和执行合同阶段或被称为建设单位或业主或甲方或买方。为便于招标文件及附件直接转化为经济合同条款，在招标文件中被称为建设单位或业主或甲方或买方的招标投标阶段均指采购人。</w:t>
      </w:r>
    </w:p>
    <w:p w14:paraId="52A38700">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2"/>
          <w:sz w:val="24"/>
          <w:szCs w:val="24"/>
          <w:highlight w:val="none"/>
        </w:rPr>
        <w:t>采购代理机构”</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2"/>
          <w:sz w:val="24"/>
          <w:szCs w:val="24"/>
          <w:highlight w:val="none"/>
        </w:rPr>
        <w:t>：系指依法取得招标（采购</w:t>
      </w:r>
      <w:r>
        <w:rPr>
          <w:rFonts w:hint="eastAsia" w:ascii="仿宋" w:hAnsi="仿宋" w:eastAsia="仿宋" w:cs="仿宋"/>
          <w:color w:val="auto"/>
          <w:spacing w:val="-3"/>
          <w:sz w:val="24"/>
          <w:szCs w:val="24"/>
          <w:highlight w:val="none"/>
        </w:rPr>
        <w:t>）资格、从事招标（采</w:t>
      </w:r>
      <w:r>
        <w:rPr>
          <w:rFonts w:hint="eastAsia" w:ascii="仿宋" w:hAnsi="仿宋" w:eastAsia="仿宋" w:cs="仿宋"/>
          <w:color w:val="auto"/>
          <w:spacing w:val="-1"/>
          <w:sz w:val="24"/>
          <w:szCs w:val="24"/>
          <w:highlight w:val="none"/>
        </w:rPr>
        <w:t>购）代理业务并提供相关服务的专业机构，本文特指</w:t>
      </w:r>
      <w:r>
        <w:rPr>
          <w:rFonts w:hint="eastAsia" w:ascii="仿宋" w:hAnsi="仿宋" w:eastAsia="仿宋" w:cs="仿宋"/>
          <w:color w:val="auto"/>
          <w:spacing w:val="-1"/>
          <w:sz w:val="24"/>
          <w:szCs w:val="24"/>
          <w:highlight w:val="none"/>
          <w:u w:val="single" w:color="auto"/>
        </w:rPr>
        <w:t>金华同慷建设管理咨询有限公司</w:t>
      </w:r>
      <w:r>
        <w:rPr>
          <w:rFonts w:hint="eastAsia" w:ascii="仿宋" w:hAnsi="仿宋" w:eastAsia="仿宋" w:cs="仿宋"/>
          <w:color w:val="auto"/>
          <w:spacing w:val="-1"/>
          <w:sz w:val="24"/>
          <w:szCs w:val="24"/>
          <w:highlight w:val="none"/>
        </w:rPr>
        <w:t>。是本次整个采购活动的组织者，依法负责编制和发布招标文件，</w:t>
      </w:r>
      <w:r>
        <w:rPr>
          <w:rFonts w:hint="eastAsia" w:ascii="仿宋" w:hAnsi="仿宋" w:eastAsia="仿宋" w:cs="仿宋"/>
          <w:color w:val="auto"/>
          <w:spacing w:val="-2"/>
          <w:sz w:val="24"/>
          <w:szCs w:val="24"/>
          <w:highlight w:val="none"/>
        </w:rPr>
        <w:t>对招标文件拥有最终的解释权。</w:t>
      </w:r>
    </w:p>
    <w:p w14:paraId="34E31A46">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3.“投标人”</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2"/>
          <w:sz w:val="24"/>
          <w:szCs w:val="24"/>
          <w:highlight w:val="none"/>
        </w:rPr>
        <w:t>系指响应招标、参加投标竞争的法人、其他组织或者自然</w:t>
      </w:r>
      <w:r>
        <w:rPr>
          <w:rFonts w:hint="eastAsia" w:ascii="仿宋" w:hAnsi="仿宋" w:eastAsia="仿宋" w:cs="仿宋"/>
          <w:color w:val="auto"/>
          <w:spacing w:val="-9"/>
          <w:sz w:val="24"/>
          <w:szCs w:val="24"/>
          <w:highlight w:val="none"/>
        </w:rPr>
        <w:t>人。</w:t>
      </w:r>
    </w:p>
    <w:p w14:paraId="6CF40B0F">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2"/>
          <w:sz w:val="24"/>
          <w:szCs w:val="24"/>
          <w:highlight w:val="none"/>
        </w:rPr>
        <w:t>监督管理部门”</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2"/>
          <w:sz w:val="24"/>
          <w:szCs w:val="24"/>
          <w:highlight w:val="none"/>
        </w:rPr>
        <w:t>：系指负责对采购人、采购代理</w:t>
      </w:r>
      <w:r>
        <w:rPr>
          <w:rFonts w:hint="eastAsia" w:ascii="仿宋" w:hAnsi="仿宋" w:eastAsia="仿宋" w:cs="仿宋"/>
          <w:color w:val="auto"/>
          <w:spacing w:val="-3"/>
          <w:sz w:val="24"/>
          <w:szCs w:val="24"/>
          <w:highlight w:val="none"/>
        </w:rPr>
        <w:t>机构、投标人（投</w:t>
      </w:r>
      <w:r>
        <w:rPr>
          <w:rFonts w:hint="eastAsia" w:ascii="仿宋" w:hAnsi="仿宋" w:eastAsia="仿宋" w:cs="仿宋"/>
          <w:color w:val="auto"/>
          <w:spacing w:val="-1"/>
          <w:sz w:val="24"/>
          <w:szCs w:val="24"/>
          <w:highlight w:val="none"/>
        </w:rPr>
        <w:t>标单位）和评审专家进行监督检查的相关部门。</w:t>
      </w:r>
    </w:p>
    <w:p w14:paraId="4B1CC2F0">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2"/>
          <w:sz w:val="24"/>
          <w:szCs w:val="24"/>
          <w:highlight w:val="none"/>
        </w:rPr>
        <w:t>项目”</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2"/>
          <w:sz w:val="24"/>
          <w:szCs w:val="24"/>
          <w:highlight w:val="none"/>
        </w:rPr>
        <w:t>系指投标人按招标采购文件规定向采购人提供的</w:t>
      </w:r>
      <w:r>
        <w:rPr>
          <w:rFonts w:hint="eastAsia" w:ascii="仿宋" w:hAnsi="仿宋" w:eastAsia="仿宋" w:cs="仿宋"/>
          <w:color w:val="auto"/>
          <w:spacing w:val="-3"/>
          <w:sz w:val="24"/>
          <w:szCs w:val="24"/>
          <w:highlight w:val="none"/>
        </w:rPr>
        <w:t>产品和服</w:t>
      </w:r>
      <w:r>
        <w:rPr>
          <w:rFonts w:hint="eastAsia" w:ascii="仿宋" w:hAnsi="仿宋" w:eastAsia="仿宋" w:cs="仿宋"/>
          <w:color w:val="auto"/>
          <w:spacing w:val="-10"/>
          <w:sz w:val="24"/>
          <w:szCs w:val="24"/>
          <w:highlight w:val="none"/>
        </w:rPr>
        <w:t>务。</w:t>
      </w:r>
    </w:p>
    <w:p w14:paraId="3C1D029B">
      <w:pPr>
        <w:keepNext w:val="0"/>
        <w:keepLines w:val="0"/>
        <w:pageBreakBefore w:val="0"/>
        <w:widowControl w:val="0"/>
        <w:kinsoku/>
        <w:wordWrap/>
        <w:overflowPunct/>
        <w:topLinePunct w:val="0"/>
        <w:autoSpaceDE w:val="0"/>
        <w:autoSpaceDN w:val="0"/>
        <w:bidi w:val="0"/>
        <w:adjustRightInd w:val="0"/>
        <w:snapToGrid/>
        <w:spacing w:line="420" w:lineRule="exact"/>
        <w:ind w:right="0" w:firstLine="46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4"/>
          <w:sz w:val="24"/>
          <w:szCs w:val="24"/>
          <w:highlight w:val="none"/>
        </w:rPr>
        <w:t>产品”</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4"/>
          <w:sz w:val="24"/>
          <w:szCs w:val="24"/>
          <w:highlight w:val="none"/>
        </w:rPr>
        <w:t>系指供方按招标采购文件规定，须向采购人提供的一切设备、</w:t>
      </w:r>
      <w:r>
        <w:rPr>
          <w:rFonts w:hint="eastAsia" w:ascii="仿宋" w:hAnsi="仿宋" w:eastAsia="仿宋" w:cs="仿宋"/>
          <w:color w:val="auto"/>
          <w:spacing w:val="-1"/>
          <w:sz w:val="24"/>
          <w:szCs w:val="24"/>
          <w:highlight w:val="none"/>
        </w:rPr>
        <w:t>保险、税金、备品备件、工具、手册及其他有关技术资料和材料。</w:t>
      </w:r>
    </w:p>
    <w:p w14:paraId="376D3C0D">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2"/>
          <w:sz w:val="24"/>
          <w:szCs w:val="24"/>
          <w:highlight w:val="none"/>
        </w:rPr>
        <w:t>服务”</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2"/>
          <w:sz w:val="24"/>
          <w:szCs w:val="24"/>
          <w:highlight w:val="none"/>
        </w:rPr>
        <w:t>系指招标采购文件规定投标人须承担的安装、调试、技术协</w:t>
      </w:r>
      <w:r>
        <w:rPr>
          <w:rFonts w:hint="eastAsia" w:ascii="仿宋" w:hAnsi="仿宋" w:eastAsia="仿宋" w:cs="仿宋"/>
          <w:color w:val="auto"/>
          <w:spacing w:val="-1"/>
          <w:sz w:val="24"/>
          <w:szCs w:val="24"/>
          <w:highlight w:val="none"/>
        </w:rPr>
        <w:t>助、校准、培训、技术指导以及其他类似的义务。</w:t>
      </w:r>
    </w:p>
    <w:p w14:paraId="2C49AD2B">
      <w:pPr>
        <w:keepNext w:val="0"/>
        <w:keepLines w:val="0"/>
        <w:pageBreakBefore w:val="0"/>
        <w:widowControl w:val="0"/>
        <w:kinsoku/>
        <w:wordWrap/>
        <w:overflowPunct/>
        <w:topLinePunct w:val="0"/>
        <w:autoSpaceDE w:val="0"/>
        <w:autoSpaceDN w:val="0"/>
        <w:bidi w:val="0"/>
        <w:adjustRightInd w:val="0"/>
        <w:snapToGrid/>
        <w:spacing w:line="420" w:lineRule="exact"/>
        <w:ind w:right="0" w:firstLine="45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8.“ 日期、天数、时间”</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7"/>
          <w:sz w:val="24"/>
          <w:szCs w:val="24"/>
          <w:highlight w:val="none"/>
        </w:rPr>
        <w:t>：除非本招标文件另有规定，</w:t>
      </w:r>
      <w:r>
        <w:rPr>
          <w:rFonts w:hint="eastAsia" w:ascii="仿宋" w:hAnsi="仿宋" w:eastAsia="仿宋" w:cs="仿宋"/>
          <w:color w:val="auto"/>
          <w:spacing w:val="-8"/>
          <w:sz w:val="24"/>
          <w:szCs w:val="24"/>
          <w:highlight w:val="none"/>
        </w:rPr>
        <w:t>均为公历</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8"/>
          <w:sz w:val="24"/>
          <w:szCs w:val="24"/>
          <w:highlight w:val="none"/>
        </w:rPr>
        <w:t>日（天）</w:t>
      </w:r>
      <w:r>
        <w:rPr>
          <w:rFonts w:hint="eastAsia" w:ascii="仿宋" w:hAnsi="仿宋" w:eastAsia="仿宋" w:cs="仿宋"/>
          <w:color w:val="auto"/>
          <w:spacing w:val="-2"/>
          <w:sz w:val="24"/>
          <w:szCs w:val="24"/>
          <w:highlight w:val="none"/>
        </w:rPr>
        <w:t>及北京时间。</w:t>
      </w:r>
    </w:p>
    <w:p w14:paraId="522563B0">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4" w:firstLineChars="200"/>
        <w:textAlignment w:val="auto"/>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9.“</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4"/>
          <w:sz w:val="24"/>
          <w:szCs w:val="24"/>
          <w:highlight w:val="none"/>
        </w:rPr>
        <w:t>书面形式”包括信函、传真、电报、邮件等。</w:t>
      </w:r>
    </w:p>
    <w:p w14:paraId="1FDFE7B8">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10.“</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pacing w:val="-5"/>
          <w:sz w:val="24"/>
          <w:szCs w:val="24"/>
          <w:highlight w:val="none"/>
        </w:rPr>
        <w:t>公章”</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5"/>
          <w:sz w:val="24"/>
          <w:szCs w:val="24"/>
          <w:highlight w:val="none"/>
        </w:rPr>
        <w:t>系指单位法定名称章。</w:t>
      </w:r>
    </w:p>
    <w:p w14:paraId="1EFBC4E8">
      <w:pPr>
        <w:keepNext w:val="0"/>
        <w:keepLines w:val="0"/>
        <w:pageBreakBefore w:val="0"/>
        <w:widowControl w:val="0"/>
        <w:kinsoku/>
        <w:wordWrap/>
        <w:overflowPunct/>
        <w:topLinePunct w:val="0"/>
        <w:autoSpaceDE w:val="0"/>
        <w:autoSpaceDN w:val="0"/>
        <w:bidi w:val="0"/>
        <w:adjustRightInd w:val="0"/>
        <w:snapToGrid/>
        <w:spacing w:line="420" w:lineRule="exact"/>
        <w:ind w:right="0" w:firstLine="46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11.</w:t>
      </w:r>
      <w:r>
        <w:rPr>
          <w:rFonts w:hint="eastAsia" w:ascii="仿宋" w:hAnsi="仿宋" w:eastAsia="仿宋" w:cs="仿宋"/>
          <w:color w:val="auto"/>
          <w:spacing w:val="-20"/>
          <w:sz w:val="24"/>
          <w:szCs w:val="24"/>
          <w:highlight w:val="none"/>
        </w:rPr>
        <w:t xml:space="preserve"> </w:t>
      </w:r>
      <w:r>
        <w:rPr>
          <w:rFonts w:hint="eastAsia" w:ascii="仿宋" w:hAnsi="仿宋" w:eastAsia="仿宋" w:cs="仿宋"/>
          <w:color w:val="auto"/>
          <w:spacing w:val="-3"/>
          <w:sz w:val="24"/>
          <w:szCs w:val="24"/>
          <w:highlight w:val="none"/>
        </w:rPr>
        <w:t>电子交易平台：系指本项目政府采购活动所依托的政府采购云平</w:t>
      </w:r>
      <w:r>
        <w:rPr>
          <w:rFonts w:hint="eastAsia" w:ascii="仿宋" w:hAnsi="仿宋" w:eastAsia="仿宋" w:cs="仿宋"/>
          <w:color w:val="auto"/>
          <w:spacing w:val="-24"/>
          <w:sz w:val="24"/>
          <w:szCs w:val="24"/>
          <w:highlight w:val="none"/>
        </w:rPr>
        <w:t>台。</w:t>
      </w:r>
    </w:p>
    <w:p w14:paraId="345BF969">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12.“</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7"/>
          <w:sz w:val="24"/>
          <w:szCs w:val="24"/>
          <w:highlight w:val="none"/>
        </w:rPr>
        <w:t>系指实质性要求条款。</w:t>
      </w:r>
    </w:p>
    <w:p w14:paraId="0CF01FC7">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b/>
          <w:bCs/>
          <w:color w:val="auto"/>
          <w:spacing w:val="-8"/>
          <w:sz w:val="24"/>
          <w:szCs w:val="24"/>
          <w:highlight w:val="none"/>
        </w:rPr>
        <w:t>二）采购项目概况</w:t>
      </w:r>
    </w:p>
    <w:p w14:paraId="5B7E6AF3">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jc w:val="both"/>
        <w:textAlignment w:val="auto"/>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1.根据《中华人民共和国政府采购法</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中华人民共和国政府采购法实施条例</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政府采购货物和服务招标投标管理办法</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浙江省财政厅关于进一步规范政府购买服务采购管理的通知</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浙江省政府采购项目电子交易管理暂行办法》等有关</w:t>
      </w:r>
      <w:r>
        <w:rPr>
          <w:rFonts w:hint="eastAsia" w:ascii="仿宋" w:hAnsi="仿宋" w:eastAsia="仿宋" w:cs="仿宋"/>
          <w:color w:val="auto"/>
          <w:spacing w:val="-3"/>
          <w:sz w:val="24"/>
          <w:szCs w:val="24"/>
          <w:highlight w:val="none"/>
          <w:lang w:eastAsia="zh-CN"/>
        </w:rPr>
        <w:t>法律法规</w:t>
      </w:r>
      <w:r>
        <w:rPr>
          <w:rFonts w:hint="eastAsia" w:ascii="仿宋" w:hAnsi="仿宋" w:eastAsia="仿宋" w:cs="仿宋"/>
          <w:color w:val="auto"/>
          <w:spacing w:val="-3"/>
          <w:sz w:val="24"/>
          <w:szCs w:val="24"/>
          <w:highlight w:val="none"/>
        </w:rPr>
        <w:t>和规章的规定，本采购项目已具备采购条件，现对本项目进行采购。</w:t>
      </w:r>
    </w:p>
    <w:p w14:paraId="5974A403">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jc w:val="both"/>
        <w:textAlignment w:val="auto"/>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2.采购人：见投标人须知前附表。</w:t>
      </w:r>
    </w:p>
    <w:p w14:paraId="3441D345">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jc w:val="both"/>
        <w:textAlignment w:val="auto"/>
        <w:outlineLvl w:val="9"/>
        <w:rPr>
          <w:rFonts w:hint="eastAsia" w:ascii="仿宋" w:hAnsi="仿宋" w:eastAsia="仿宋" w:cs="仿宋"/>
          <w:color w:val="auto"/>
          <w:spacing w:val="15"/>
          <w:sz w:val="24"/>
          <w:szCs w:val="24"/>
          <w:highlight w:val="none"/>
        </w:rPr>
      </w:pPr>
      <w:r>
        <w:rPr>
          <w:rFonts w:hint="eastAsia" w:ascii="仿宋" w:hAnsi="仿宋" w:eastAsia="仿宋" w:cs="仿宋"/>
          <w:color w:val="auto"/>
          <w:spacing w:val="-3"/>
          <w:sz w:val="24"/>
          <w:szCs w:val="24"/>
          <w:highlight w:val="none"/>
        </w:rPr>
        <w:t>3.采购代理机构：见投标人须知前附表。</w:t>
      </w:r>
      <w:r>
        <w:rPr>
          <w:rFonts w:hint="eastAsia" w:ascii="仿宋" w:hAnsi="仿宋" w:eastAsia="仿宋" w:cs="仿宋"/>
          <w:color w:val="auto"/>
          <w:spacing w:val="15"/>
          <w:sz w:val="24"/>
          <w:szCs w:val="24"/>
          <w:highlight w:val="none"/>
        </w:rPr>
        <w:t xml:space="preserve"> </w:t>
      </w:r>
    </w:p>
    <w:p w14:paraId="594F3C86">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2" w:firstLineChars="200"/>
        <w:jc w:val="both"/>
        <w:textAlignment w:val="auto"/>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2"/>
          <w:sz w:val="24"/>
          <w:szCs w:val="24"/>
          <w:highlight w:val="none"/>
        </w:rPr>
        <w:t>4.采购项目名称：见投标人须知前附表。</w:t>
      </w:r>
      <w:r>
        <w:rPr>
          <w:rFonts w:hint="eastAsia" w:ascii="仿宋" w:hAnsi="仿宋" w:eastAsia="仿宋" w:cs="仿宋"/>
          <w:color w:val="auto"/>
          <w:spacing w:val="3"/>
          <w:sz w:val="24"/>
          <w:szCs w:val="24"/>
          <w:highlight w:val="none"/>
        </w:rPr>
        <w:t xml:space="preserve"> </w:t>
      </w:r>
    </w:p>
    <w:p w14:paraId="00190FB3">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5.项</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5"/>
          <w:sz w:val="24"/>
          <w:szCs w:val="24"/>
          <w:highlight w:val="none"/>
        </w:rPr>
        <w:t>目地点：见投标人须知前附表。</w:t>
      </w:r>
    </w:p>
    <w:p w14:paraId="5DE71F74">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6.项</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4"/>
          <w:sz w:val="24"/>
          <w:szCs w:val="24"/>
          <w:highlight w:val="none"/>
        </w:rPr>
        <w:t>目属性及所属行业：见投标人须知前附表。</w:t>
      </w:r>
    </w:p>
    <w:p w14:paraId="1934B0A6">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w:t>
      </w:r>
      <w:r>
        <w:rPr>
          <w:rFonts w:hint="eastAsia" w:ascii="仿宋" w:hAnsi="仿宋" w:eastAsia="仿宋" w:cs="仿宋"/>
          <w:color w:val="auto"/>
          <w:spacing w:val="-59"/>
          <w:sz w:val="24"/>
          <w:szCs w:val="24"/>
          <w:highlight w:val="none"/>
        </w:rPr>
        <w:t xml:space="preserve"> </w:t>
      </w:r>
      <w:r>
        <w:rPr>
          <w:rFonts w:hint="eastAsia" w:ascii="仿宋" w:hAnsi="仿宋" w:eastAsia="仿宋" w:cs="仿宋"/>
          <w:b/>
          <w:bCs/>
          <w:color w:val="auto"/>
          <w:spacing w:val="-6"/>
          <w:sz w:val="24"/>
          <w:szCs w:val="24"/>
          <w:highlight w:val="none"/>
        </w:rPr>
        <w:t>三）采购项目的资金来源和付款单位</w:t>
      </w:r>
    </w:p>
    <w:p w14:paraId="3E334F14">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1.资金来源：见投标人须知前附表。</w:t>
      </w:r>
    </w:p>
    <w:p w14:paraId="5DA2461A">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2.付款单位：见投标人须知前附表。</w:t>
      </w:r>
    </w:p>
    <w:p w14:paraId="044DD19E">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w:t>
      </w:r>
      <w:r>
        <w:rPr>
          <w:rFonts w:hint="eastAsia" w:ascii="仿宋" w:hAnsi="仿宋" w:eastAsia="仿宋" w:cs="仿宋"/>
          <w:color w:val="auto"/>
          <w:spacing w:val="-46"/>
          <w:sz w:val="24"/>
          <w:szCs w:val="24"/>
          <w:highlight w:val="none"/>
        </w:rPr>
        <w:t xml:space="preserve"> </w:t>
      </w:r>
      <w:r>
        <w:rPr>
          <w:rFonts w:hint="eastAsia" w:ascii="仿宋" w:hAnsi="仿宋" w:eastAsia="仿宋" w:cs="仿宋"/>
          <w:b/>
          <w:bCs/>
          <w:color w:val="auto"/>
          <w:spacing w:val="-10"/>
          <w:sz w:val="24"/>
          <w:szCs w:val="24"/>
          <w:highlight w:val="none"/>
        </w:rPr>
        <w:t>四）投标人资格要求</w:t>
      </w:r>
    </w:p>
    <w:p w14:paraId="2706886A">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1.投标人应具备承担本采购项目资格（资质）条件、能力和</w:t>
      </w:r>
      <w:r>
        <w:rPr>
          <w:rFonts w:hint="eastAsia" w:ascii="仿宋" w:hAnsi="仿宋" w:eastAsia="仿宋" w:cs="仿宋"/>
          <w:color w:val="auto"/>
          <w:spacing w:val="-2"/>
          <w:sz w:val="24"/>
          <w:szCs w:val="24"/>
          <w:highlight w:val="none"/>
        </w:rPr>
        <w:t>信誉；</w:t>
      </w:r>
    </w:p>
    <w:p w14:paraId="2FFF8784">
      <w:pPr>
        <w:keepNext w:val="0"/>
        <w:keepLines w:val="0"/>
        <w:pageBreakBefore w:val="0"/>
        <w:widowControl w:val="0"/>
        <w:kinsoku/>
        <w:wordWrap/>
        <w:overflowPunct/>
        <w:topLinePunct w:val="0"/>
        <w:autoSpaceDE w:val="0"/>
        <w:autoSpaceDN w:val="0"/>
        <w:bidi w:val="0"/>
        <w:adjustRightInd w:val="0"/>
        <w:snapToGrid/>
        <w:spacing w:line="420" w:lineRule="exact"/>
        <w:ind w:right="0" w:firstLine="45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金融、保险、通讯等特定行业的全国性企业所设立的区域性分支机构，</w:t>
      </w:r>
      <w:r>
        <w:rPr>
          <w:rFonts w:hint="eastAsia" w:ascii="仿宋" w:hAnsi="仿宋" w:eastAsia="仿宋" w:cs="仿宋"/>
          <w:color w:val="auto"/>
          <w:spacing w:val="-3"/>
          <w:sz w:val="24"/>
          <w:szCs w:val="24"/>
          <w:highlight w:val="none"/>
        </w:rPr>
        <w:t>如果已经依法办理了工商、税务和社保登记手续，并且获得总公司（</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3"/>
          <w:sz w:val="24"/>
          <w:szCs w:val="24"/>
          <w:highlight w:val="none"/>
        </w:rPr>
        <w:t>总机</w:t>
      </w:r>
      <w:r>
        <w:rPr>
          <w:rFonts w:hint="eastAsia" w:ascii="仿宋" w:hAnsi="仿宋" w:eastAsia="仿宋" w:cs="仿宋"/>
          <w:color w:val="auto"/>
          <w:spacing w:val="-1"/>
          <w:sz w:val="24"/>
          <w:szCs w:val="24"/>
          <w:highlight w:val="none"/>
        </w:rPr>
        <w:t>构）授权（在投标文件中提供相关材料</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1"/>
          <w:sz w:val="24"/>
          <w:szCs w:val="24"/>
          <w:highlight w:val="none"/>
        </w:rPr>
        <w:t>证明其具备实际</w:t>
      </w:r>
      <w:r>
        <w:rPr>
          <w:rFonts w:hint="eastAsia" w:ascii="仿宋" w:hAnsi="仿宋" w:eastAsia="仿宋" w:cs="仿宋"/>
          <w:color w:val="auto"/>
          <w:spacing w:val="-2"/>
          <w:sz w:val="24"/>
          <w:szCs w:val="24"/>
          <w:highlight w:val="none"/>
        </w:rPr>
        <w:t>承担责任的能</w:t>
      </w:r>
      <w:r>
        <w:rPr>
          <w:rFonts w:hint="eastAsia" w:ascii="仿宋" w:hAnsi="仿宋" w:eastAsia="仿宋" w:cs="仿宋"/>
          <w:color w:val="auto"/>
          <w:spacing w:val="-1"/>
          <w:sz w:val="24"/>
          <w:szCs w:val="24"/>
          <w:highlight w:val="none"/>
        </w:rPr>
        <w:t>力和法定的缔结合同能力，可以独立参加政府采购活动，由单位负责人签</w:t>
      </w:r>
      <w:r>
        <w:rPr>
          <w:rFonts w:hint="eastAsia" w:ascii="仿宋" w:hAnsi="仿宋" w:eastAsia="仿宋" w:cs="仿宋"/>
          <w:color w:val="auto"/>
          <w:spacing w:val="-2"/>
          <w:sz w:val="24"/>
          <w:szCs w:val="24"/>
          <w:highlight w:val="none"/>
        </w:rPr>
        <w:t>署相关文件材料。</w:t>
      </w:r>
    </w:p>
    <w:p w14:paraId="4E603BFF">
      <w:pPr>
        <w:keepNext w:val="0"/>
        <w:keepLines w:val="0"/>
        <w:pageBreakBefore w:val="0"/>
        <w:widowControl w:val="0"/>
        <w:kinsoku/>
        <w:wordWrap/>
        <w:overflowPunct/>
        <w:topLinePunct w:val="0"/>
        <w:autoSpaceDE w:val="0"/>
        <w:autoSpaceDN w:val="0"/>
        <w:bidi w:val="0"/>
        <w:adjustRightInd w:val="0"/>
        <w:snapToGrid/>
        <w:spacing w:line="420" w:lineRule="exact"/>
        <w:ind w:right="0" w:firstLine="46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2.如以联合体形式参加政府采购活动的，联合体各方应当指定牵头人，</w:t>
      </w:r>
      <w:r>
        <w:rPr>
          <w:rFonts w:hint="eastAsia" w:ascii="仿宋" w:hAnsi="仿宋" w:eastAsia="仿宋" w:cs="仿宋"/>
          <w:color w:val="auto"/>
          <w:spacing w:val="1"/>
          <w:sz w:val="24"/>
          <w:szCs w:val="24"/>
          <w:highlight w:val="none"/>
        </w:rPr>
        <w:t>授权其代表所有联合体成员负责投标和合同实施阶段的主办、协调工作，</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9"/>
          <w:sz w:val="24"/>
          <w:szCs w:val="24"/>
          <w:highlight w:val="none"/>
        </w:rPr>
        <w:t>并应当向采购代理机构提交由所有联合体成</w:t>
      </w:r>
      <w:r>
        <w:rPr>
          <w:rFonts w:hint="eastAsia" w:ascii="仿宋" w:hAnsi="仿宋" w:eastAsia="仿宋" w:cs="仿宋"/>
          <w:color w:val="auto"/>
          <w:spacing w:val="8"/>
          <w:sz w:val="24"/>
          <w:szCs w:val="24"/>
          <w:highlight w:val="none"/>
        </w:rPr>
        <w:t>员各方法定代表人签署的授</w:t>
      </w:r>
      <w:r>
        <w:rPr>
          <w:rFonts w:hint="eastAsia" w:ascii="仿宋" w:hAnsi="仿宋" w:eastAsia="仿宋" w:cs="仿宋"/>
          <w:color w:val="auto"/>
          <w:sz w:val="24"/>
          <w:szCs w:val="24"/>
          <w:highlight w:val="none"/>
        </w:rPr>
        <w:t>权书，同时应当提交联合体协议，载明联合</w:t>
      </w:r>
      <w:r>
        <w:rPr>
          <w:rFonts w:hint="eastAsia" w:ascii="仿宋" w:hAnsi="仿宋" w:eastAsia="仿宋" w:cs="仿宋"/>
          <w:color w:val="auto"/>
          <w:spacing w:val="-1"/>
          <w:sz w:val="24"/>
          <w:szCs w:val="24"/>
          <w:highlight w:val="none"/>
        </w:rPr>
        <w:t>体各方承担的工作和义务。联</w:t>
      </w:r>
      <w:r>
        <w:rPr>
          <w:rFonts w:hint="eastAsia" w:ascii="仿宋" w:hAnsi="仿宋" w:eastAsia="仿宋" w:cs="仿宋"/>
          <w:color w:val="auto"/>
          <w:sz w:val="24"/>
          <w:szCs w:val="24"/>
          <w:highlight w:val="none"/>
        </w:rPr>
        <w:t>合体协议中应当注明由联合体各成员方共同</w:t>
      </w:r>
      <w:r>
        <w:rPr>
          <w:rFonts w:hint="eastAsia" w:ascii="仿宋" w:hAnsi="仿宋" w:eastAsia="仿宋" w:cs="仿宋"/>
          <w:color w:val="auto"/>
          <w:spacing w:val="-1"/>
          <w:sz w:val="24"/>
          <w:szCs w:val="24"/>
          <w:highlight w:val="none"/>
        </w:rPr>
        <w:t>与采购人签订合同，并就采购合同约定的事项对采购人承担连带责任。</w:t>
      </w:r>
    </w:p>
    <w:p w14:paraId="40BCD0D8">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3.联合体各方不得再以自</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z w:val="24"/>
          <w:szCs w:val="24"/>
          <w:highlight w:val="none"/>
        </w:rPr>
        <w:t>己名义单独或参加其他联合体在</w:t>
      </w:r>
      <w:r>
        <w:rPr>
          <w:rFonts w:hint="eastAsia" w:ascii="仿宋" w:hAnsi="仿宋" w:eastAsia="仿宋" w:cs="仿宋"/>
          <w:color w:val="auto"/>
          <w:spacing w:val="-1"/>
          <w:sz w:val="24"/>
          <w:szCs w:val="24"/>
          <w:highlight w:val="none"/>
        </w:rPr>
        <w:t>本采购项</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1"/>
          <w:sz w:val="24"/>
          <w:szCs w:val="24"/>
          <w:highlight w:val="none"/>
        </w:rPr>
        <w:t>目</w:t>
      </w:r>
      <w:r>
        <w:rPr>
          <w:rFonts w:hint="eastAsia" w:ascii="仿宋" w:hAnsi="仿宋" w:eastAsia="仿宋" w:cs="仿宋"/>
          <w:color w:val="auto"/>
          <w:spacing w:val="-4"/>
          <w:sz w:val="24"/>
          <w:szCs w:val="24"/>
          <w:highlight w:val="none"/>
        </w:rPr>
        <w:t>中投标，否则各相关投标均无效。</w:t>
      </w:r>
    </w:p>
    <w:p w14:paraId="7A1AA65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4.投标人不得存在下列情形之一：</w:t>
      </w:r>
    </w:p>
    <w:p w14:paraId="73F9DE25">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4"/>
          <w:sz w:val="24"/>
          <w:szCs w:val="24"/>
          <w:highlight w:val="none"/>
        </w:rPr>
        <w:t>）为采购人不具有独立法人资格的附属机构（单位</w:t>
      </w:r>
      <w:r>
        <w:rPr>
          <w:rFonts w:hint="eastAsia" w:ascii="仿宋" w:hAnsi="仿宋" w:eastAsia="仿宋" w:cs="仿宋"/>
          <w:color w:val="auto"/>
          <w:spacing w:val="1"/>
          <w:sz w:val="24"/>
          <w:szCs w:val="24"/>
          <w:highlight w:val="none"/>
        </w:rPr>
        <w:t>）；</w:t>
      </w:r>
    </w:p>
    <w:p w14:paraId="59C240BC">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1"/>
          <w:sz w:val="24"/>
          <w:szCs w:val="24"/>
          <w:highlight w:val="none"/>
        </w:rPr>
        <w:t>）与采购人存在利害关系且可能影响招标公正性；</w:t>
      </w:r>
    </w:p>
    <w:p w14:paraId="53A23FDC">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（3）与本采购项目的其他投标人为同一个单位负责人；</w:t>
      </w:r>
    </w:p>
    <w:p w14:paraId="1C05B7E9">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
          <w:sz w:val="24"/>
          <w:szCs w:val="24"/>
          <w:highlight w:val="none"/>
        </w:rPr>
        <w:t>）与本采购项目的其他投标人存在控股、管理关系；</w:t>
      </w:r>
    </w:p>
    <w:p w14:paraId="43C2B480">
      <w:pPr>
        <w:keepNext w:val="0"/>
        <w:keepLines w:val="0"/>
        <w:pageBreakBefore w:val="0"/>
        <w:widowControl w:val="0"/>
        <w:kinsoku/>
        <w:wordWrap/>
        <w:overflowPunct/>
        <w:topLinePunct w:val="0"/>
        <w:autoSpaceDE w:val="0"/>
        <w:autoSpaceDN w:val="0"/>
        <w:bidi w:val="0"/>
        <w:adjustRightInd w:val="0"/>
        <w:snapToGrid/>
        <w:spacing w:line="420" w:lineRule="exact"/>
        <w:ind w:right="0" w:firstLine="48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1"/>
          <w:sz w:val="24"/>
          <w:szCs w:val="24"/>
          <w:highlight w:val="none"/>
        </w:rPr>
        <w:t>）为本采购项</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1"/>
          <w:sz w:val="24"/>
          <w:szCs w:val="24"/>
          <w:highlight w:val="none"/>
        </w:rPr>
        <w:t>目的设计单位、规范编制或者项目管理、监理、检</w:t>
      </w:r>
      <w:r>
        <w:rPr>
          <w:rFonts w:hint="eastAsia" w:ascii="仿宋" w:hAnsi="仿宋" w:eastAsia="仿宋" w:cs="仿宋"/>
          <w:color w:val="auto"/>
          <w:spacing w:val="-3"/>
          <w:sz w:val="24"/>
          <w:szCs w:val="24"/>
          <w:highlight w:val="none"/>
        </w:rPr>
        <w:t>测等服务的供应商；</w:t>
      </w:r>
    </w:p>
    <w:p w14:paraId="634BC79B">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（6）为本采购项目的采购代理机构；</w:t>
      </w:r>
    </w:p>
    <w:p w14:paraId="3A44034A">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1"/>
          <w:sz w:val="24"/>
          <w:szCs w:val="24"/>
          <w:highlight w:val="none"/>
        </w:rPr>
        <w:t>）与本采购项目的采购代理机构同为一个法定代表人；</w:t>
      </w:r>
    </w:p>
    <w:p w14:paraId="01A376EA">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（8）与本采购项目的采购代理机构存在控股或参股关系；</w:t>
      </w:r>
    </w:p>
    <w:p w14:paraId="2971EBDF">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（9）被依法暂停或者取消投标资格；</w:t>
      </w:r>
    </w:p>
    <w:p w14:paraId="0C082CC8">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pacing w:val="-3"/>
          <w:sz w:val="24"/>
          <w:szCs w:val="24"/>
          <w:highlight w:val="none"/>
        </w:rPr>
        <w:t>10）被责令停产停业、暂扣或者吊销许可证</w:t>
      </w:r>
      <w:r>
        <w:rPr>
          <w:rFonts w:hint="eastAsia" w:ascii="仿宋" w:hAnsi="仿宋" w:eastAsia="仿宋" w:cs="仿宋"/>
          <w:color w:val="auto"/>
          <w:spacing w:val="-4"/>
          <w:sz w:val="24"/>
          <w:szCs w:val="24"/>
          <w:highlight w:val="none"/>
        </w:rPr>
        <w:t>、暂扣或者吊销执照；</w:t>
      </w:r>
    </w:p>
    <w:p w14:paraId="55E5010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pacing w:val="-3"/>
          <w:sz w:val="24"/>
          <w:szCs w:val="24"/>
          <w:highlight w:val="none"/>
        </w:rPr>
        <w:t>11</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3"/>
          <w:sz w:val="24"/>
          <w:szCs w:val="24"/>
          <w:highlight w:val="none"/>
        </w:rPr>
        <w:t>）进入清算程序，或被宣告破产，或其他丧失履约</w:t>
      </w:r>
      <w:r>
        <w:rPr>
          <w:rFonts w:hint="eastAsia" w:ascii="仿宋" w:hAnsi="仿宋" w:eastAsia="仿宋" w:cs="仿宋"/>
          <w:color w:val="auto"/>
          <w:spacing w:val="-4"/>
          <w:sz w:val="24"/>
          <w:szCs w:val="24"/>
          <w:highlight w:val="none"/>
        </w:rPr>
        <w:t>能力的情形；</w:t>
      </w:r>
    </w:p>
    <w:p w14:paraId="6D28105F">
      <w:pPr>
        <w:keepNext w:val="0"/>
        <w:keepLines w:val="0"/>
        <w:pageBreakBefore w:val="0"/>
        <w:widowControl w:val="0"/>
        <w:kinsoku/>
        <w:wordWrap/>
        <w:overflowPunct/>
        <w:topLinePunct w:val="0"/>
        <w:autoSpaceDE w:val="0"/>
        <w:autoSpaceDN w:val="0"/>
        <w:bidi w:val="0"/>
        <w:adjustRightInd w:val="0"/>
        <w:snapToGrid/>
        <w:spacing w:line="420" w:lineRule="exact"/>
        <w:ind w:right="0" w:firstLine="45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7"/>
          <w:sz w:val="24"/>
          <w:szCs w:val="24"/>
          <w:highlight w:val="none"/>
        </w:rPr>
        <w:t>12</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7"/>
          <w:sz w:val="24"/>
          <w:szCs w:val="24"/>
          <w:highlight w:val="none"/>
        </w:rPr>
        <w:t>）被“</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7"/>
          <w:sz w:val="24"/>
          <w:szCs w:val="24"/>
          <w:highlight w:val="none"/>
        </w:rPr>
        <w:t>信用中国”</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7"/>
          <w:sz w:val="24"/>
          <w:szCs w:val="24"/>
          <w:highlight w:val="none"/>
        </w:rPr>
        <w:t>中国政府采购网”</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7"/>
          <w:sz w:val="24"/>
          <w:szCs w:val="24"/>
          <w:highlight w:val="none"/>
        </w:rPr>
        <w:t>列入失信被执行人、重大税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收违法案件当事人名单、政府采购严重违法失信行为记录名单或尚在行政</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处罚期内的；</w:t>
      </w:r>
    </w:p>
    <w:p w14:paraId="12A95B59">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3"/>
          <w:sz w:val="24"/>
          <w:szCs w:val="24"/>
          <w:highlight w:val="none"/>
        </w:rPr>
        <w:t>13）法律法规或投标人须知前附表规定的其他情形。</w:t>
      </w:r>
    </w:p>
    <w:p w14:paraId="28FC6832">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5.单位负责人为同一人或者存在直接控股、管理关系的不同供应商，不得参加同一合同项下的政府采购活动。</w:t>
      </w:r>
    </w:p>
    <w:p w14:paraId="66103688">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6.公益一类事业单位不得参与承接政府购买服务。</w:t>
      </w:r>
    </w:p>
    <w:p w14:paraId="5DF699E5">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（五）投标费用和安全责任</w:t>
      </w:r>
    </w:p>
    <w:p w14:paraId="65AD6768">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1.投标人准备和参加投标活动发生的费用自理。不论投标结果如何，投标人均应自行承担所有与投标有关的全部费用。</w:t>
      </w:r>
    </w:p>
    <w:p w14:paraId="5052D6F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2.本项目招标代理服务费由中标单位支付，招标代理服务费按</w:t>
      </w:r>
      <w:r>
        <w:rPr>
          <w:rFonts w:hint="eastAsia" w:ascii="仿宋" w:hAnsi="仿宋" w:eastAsia="仿宋" w:cs="仿宋"/>
          <w:color w:val="auto"/>
          <w:spacing w:val="2"/>
          <w:sz w:val="24"/>
          <w:szCs w:val="24"/>
          <w:highlight w:val="none"/>
          <w:lang w:val="en-US" w:eastAsia="zh-CN"/>
        </w:rPr>
        <w:t>伍仟捌佰捌拾元整</w:t>
      </w:r>
      <w:r>
        <w:rPr>
          <w:rFonts w:hint="eastAsia" w:ascii="仿宋" w:hAnsi="仿宋" w:eastAsia="仿宋" w:cs="仿宋"/>
          <w:color w:val="auto"/>
          <w:spacing w:val="-3"/>
          <w:sz w:val="24"/>
          <w:szCs w:val="24"/>
          <w:highlight w:val="none"/>
        </w:rPr>
        <w:t>收取。</w:t>
      </w:r>
    </w:p>
    <w:p w14:paraId="4C131C9C">
      <w:pPr>
        <w:spacing w:line="420" w:lineRule="exact"/>
        <w:ind w:firstLine="476" w:firstLineChars="200"/>
        <w:rPr>
          <w:rFonts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缴纳形式：转账或现金；</w:t>
      </w:r>
    </w:p>
    <w:p w14:paraId="0F29EE2F">
      <w:pPr>
        <w:spacing w:line="420" w:lineRule="exact"/>
        <w:ind w:firstLine="476" w:firstLineChars="200"/>
        <w:rPr>
          <w:rFonts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户 名：金华同慷建设管理咨询有限公司；</w:t>
      </w:r>
    </w:p>
    <w:p w14:paraId="0327E8CD">
      <w:pPr>
        <w:spacing w:line="420" w:lineRule="exact"/>
        <w:ind w:firstLine="476" w:firstLineChars="200"/>
        <w:rPr>
          <w:rFonts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开户行及账号：武义农商营业部201000196279614。</w:t>
      </w:r>
    </w:p>
    <w:p w14:paraId="4D40D5BA">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3.在采购及合同执行过程中，供应商应承担</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pacing w:val="-1"/>
          <w:sz w:val="24"/>
          <w:szCs w:val="24"/>
          <w:highlight w:val="none"/>
        </w:rPr>
        <w:t>其行为所造成的人身</w:t>
      </w:r>
      <w:r>
        <w:rPr>
          <w:rFonts w:hint="eastAsia" w:ascii="仿宋" w:hAnsi="仿宋" w:eastAsia="仿宋" w:cs="仿宋"/>
          <w:color w:val="auto"/>
          <w:spacing w:val="-6"/>
          <w:sz w:val="24"/>
          <w:szCs w:val="24"/>
          <w:highlight w:val="none"/>
        </w:rPr>
        <w:t>伤害、财产损失或损坏的责任，无论何种原因所造成的，采购人均不负责。</w:t>
      </w:r>
    </w:p>
    <w:p w14:paraId="13594CD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b/>
          <w:bCs/>
          <w:color w:val="auto"/>
          <w:spacing w:val="-8"/>
          <w:sz w:val="24"/>
          <w:szCs w:val="24"/>
          <w:highlight w:val="none"/>
        </w:rPr>
        <w:t>六）语言文字和计量</w:t>
      </w:r>
    </w:p>
    <w:p w14:paraId="7DB8C4F3">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1.招标投标文件使用的语言文字为中文。专用术语使用外文的，应附</w:t>
      </w:r>
      <w:r>
        <w:rPr>
          <w:rFonts w:hint="eastAsia" w:ascii="仿宋" w:hAnsi="仿宋" w:eastAsia="仿宋" w:cs="仿宋"/>
          <w:color w:val="auto"/>
          <w:spacing w:val="-4"/>
          <w:sz w:val="24"/>
          <w:szCs w:val="24"/>
          <w:highlight w:val="none"/>
        </w:rPr>
        <w:t>有中文注释。</w:t>
      </w:r>
    </w:p>
    <w:p w14:paraId="64F1328C">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2.投标计量单位，招标采购文件已有明确规定的，使用招</w:t>
      </w:r>
      <w:r>
        <w:rPr>
          <w:rFonts w:hint="eastAsia" w:ascii="仿宋" w:hAnsi="仿宋" w:eastAsia="仿宋" w:cs="仿宋"/>
          <w:color w:val="auto"/>
          <w:spacing w:val="-1"/>
          <w:sz w:val="24"/>
          <w:szCs w:val="24"/>
          <w:highlight w:val="none"/>
        </w:rPr>
        <w:t>标采购文件规定的计量单位；招标采购文件没有规定的，应采用中华人民共和国法定</w:t>
      </w:r>
      <w:r>
        <w:rPr>
          <w:rFonts w:hint="eastAsia" w:ascii="仿宋" w:hAnsi="仿宋" w:eastAsia="仿宋" w:cs="仿宋"/>
          <w:color w:val="auto"/>
          <w:spacing w:val="-2"/>
          <w:sz w:val="24"/>
          <w:szCs w:val="24"/>
          <w:highlight w:val="none"/>
        </w:rPr>
        <w:t>计量单位（货币单位：人民币元</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2"/>
          <w:sz w:val="24"/>
          <w:szCs w:val="24"/>
          <w:highlight w:val="none"/>
        </w:rPr>
        <w:t>否则视同未响</w:t>
      </w:r>
      <w:r>
        <w:rPr>
          <w:rFonts w:hint="eastAsia" w:ascii="仿宋" w:hAnsi="仿宋" w:eastAsia="仿宋" w:cs="仿宋"/>
          <w:color w:val="auto"/>
          <w:spacing w:val="-3"/>
          <w:sz w:val="24"/>
          <w:szCs w:val="24"/>
          <w:highlight w:val="none"/>
        </w:rPr>
        <w:t>应。</w:t>
      </w:r>
    </w:p>
    <w:p w14:paraId="4F065BBC">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b/>
          <w:bCs/>
          <w:color w:val="auto"/>
          <w:spacing w:val="-10"/>
          <w:sz w:val="24"/>
          <w:szCs w:val="24"/>
          <w:highlight w:val="none"/>
        </w:rPr>
        <w:t>七）计量单位</w:t>
      </w:r>
    </w:p>
    <w:p w14:paraId="1C44BD60">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所有计量均采用中华人民共和国法定计量单位。</w:t>
      </w:r>
    </w:p>
    <w:p w14:paraId="62E03F47">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（八）踏勘现场</w:t>
      </w:r>
    </w:p>
    <w:p w14:paraId="4FABC695">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1.投标人须知前附表规定组织踏勘现场的，采购人按投标人须知前附表规定的时间、地点组织投标人踏勘项目现场。部分投标人未按时参加踏</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
          <w:sz w:val="24"/>
          <w:szCs w:val="24"/>
          <w:highlight w:val="none"/>
        </w:rPr>
        <w:t>勘现场的，不影响踏勘现场的正常进行。</w:t>
      </w:r>
    </w:p>
    <w:p w14:paraId="64E60ED4">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2.投标人踏勘现场发生的费用自理。</w:t>
      </w:r>
    </w:p>
    <w:p w14:paraId="466E7C94">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2"/>
          <w:sz w:val="24"/>
          <w:szCs w:val="24"/>
          <w:highlight w:val="none"/>
        </w:rPr>
        <w:t>除采购人的原因外，投标人自行负责在踏勘现场中所发生的人员伤</w:t>
      </w:r>
      <w:r>
        <w:rPr>
          <w:rFonts w:hint="eastAsia" w:ascii="仿宋" w:hAnsi="仿宋" w:eastAsia="仿宋" w:cs="仿宋"/>
          <w:color w:val="auto"/>
          <w:spacing w:val="-3"/>
          <w:sz w:val="24"/>
          <w:szCs w:val="24"/>
          <w:highlight w:val="none"/>
        </w:rPr>
        <w:t>亡和财产损失。</w:t>
      </w:r>
    </w:p>
    <w:p w14:paraId="03032D7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rPr>
        <w:t>4.采购人在踏勘现场中介绍的场地和相关的周边环境情况，供</w:t>
      </w:r>
      <w:r>
        <w:rPr>
          <w:rFonts w:hint="eastAsia" w:ascii="仿宋" w:hAnsi="仿宋" w:eastAsia="仿宋" w:cs="仿宋"/>
          <w:color w:val="auto"/>
          <w:spacing w:val="-1"/>
          <w:sz w:val="24"/>
          <w:szCs w:val="24"/>
          <w:highlight w:val="none"/>
        </w:rPr>
        <w:t>投标人</w:t>
      </w:r>
      <w:r>
        <w:rPr>
          <w:rFonts w:hint="eastAsia" w:ascii="仿宋" w:hAnsi="仿宋" w:eastAsia="仿宋" w:cs="仿宋"/>
          <w:color w:val="auto"/>
          <w:spacing w:val="-2"/>
          <w:sz w:val="24"/>
          <w:szCs w:val="24"/>
          <w:highlight w:val="none"/>
        </w:rPr>
        <w:t>在编制投标文件时参考，采购人不对投标人据此作出的判断和决策负责。</w:t>
      </w:r>
    </w:p>
    <w:p w14:paraId="76EB8F3C">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（九）标前答疑会</w:t>
      </w:r>
    </w:p>
    <w:p w14:paraId="5384DE73">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1.投标人须知前附表规定召开标前答疑会的，采购人按投标人须知前附表规定的时间和地点召开标前答疑会，澄清</w:t>
      </w:r>
      <w:r>
        <w:rPr>
          <w:rFonts w:hint="eastAsia" w:ascii="仿宋" w:hAnsi="仿宋" w:eastAsia="仿宋" w:cs="仿宋"/>
          <w:color w:val="auto"/>
          <w:spacing w:val="-2"/>
          <w:sz w:val="24"/>
          <w:szCs w:val="24"/>
          <w:highlight w:val="none"/>
        </w:rPr>
        <w:t>投标人提出的问题。</w:t>
      </w:r>
    </w:p>
    <w:p w14:paraId="72896A23">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2.投标人应按投标人须知前附表规定的时间和形式将提出</w:t>
      </w:r>
      <w:r>
        <w:rPr>
          <w:rFonts w:hint="eastAsia" w:ascii="仿宋" w:hAnsi="仿宋" w:eastAsia="仿宋" w:cs="仿宋"/>
          <w:color w:val="auto"/>
          <w:spacing w:val="-1"/>
          <w:sz w:val="24"/>
          <w:szCs w:val="24"/>
          <w:highlight w:val="none"/>
        </w:rPr>
        <w:t>的问题送达采购人，以便采购人在会议期间澄清。</w:t>
      </w:r>
    </w:p>
    <w:p w14:paraId="2568AB12">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3.标前答疑会后，采购人将对投标人所提问题</w:t>
      </w:r>
      <w:r>
        <w:rPr>
          <w:rFonts w:hint="eastAsia" w:ascii="仿宋" w:hAnsi="仿宋" w:eastAsia="仿宋" w:cs="仿宋"/>
          <w:color w:val="auto"/>
          <w:spacing w:val="-1"/>
          <w:sz w:val="24"/>
          <w:szCs w:val="24"/>
          <w:highlight w:val="none"/>
        </w:rPr>
        <w:t>的澄清，以投标人须知前附表规定的形式通知潜在投标人。该澄清内容为招标采购文件的组成部</w:t>
      </w:r>
      <w:r>
        <w:rPr>
          <w:rFonts w:hint="eastAsia" w:ascii="仿宋" w:hAnsi="仿宋" w:eastAsia="仿宋" w:cs="仿宋"/>
          <w:color w:val="auto"/>
          <w:spacing w:val="-8"/>
          <w:sz w:val="24"/>
          <w:szCs w:val="24"/>
          <w:highlight w:val="none"/>
        </w:rPr>
        <w:t>分。</w:t>
      </w:r>
    </w:p>
    <w:p w14:paraId="3C695F3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b/>
          <w:bCs/>
          <w:color w:val="auto"/>
          <w:spacing w:val="-9"/>
          <w:sz w:val="24"/>
          <w:szCs w:val="24"/>
          <w:highlight w:val="none"/>
        </w:rPr>
        <w:t>十）转包与分包</w:t>
      </w:r>
    </w:p>
    <w:p w14:paraId="4151BDBC">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1.转包：见投标人须知前附表。</w:t>
      </w:r>
    </w:p>
    <w:p w14:paraId="3752D3DF">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2.分包：见投标人须知前附表。</w:t>
      </w:r>
    </w:p>
    <w:p w14:paraId="1F1DE07F">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b/>
          <w:bCs/>
          <w:color w:val="auto"/>
          <w:spacing w:val="-9"/>
          <w:sz w:val="24"/>
          <w:szCs w:val="24"/>
          <w:highlight w:val="none"/>
        </w:rPr>
        <w:t>十一）特别说明</w:t>
      </w:r>
    </w:p>
    <w:p w14:paraId="3C3EAF8D">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4"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▲1.投标人投标所使用的资格、信誉、荣誉、业绩与企业认证必须为</w:t>
      </w:r>
      <w:r>
        <w:rPr>
          <w:rFonts w:hint="eastAsia" w:ascii="仿宋" w:hAnsi="仿宋" w:eastAsia="仿宋" w:cs="仿宋"/>
          <w:color w:val="auto"/>
          <w:spacing w:val="-3"/>
          <w:sz w:val="24"/>
          <w:szCs w:val="24"/>
          <w:highlight w:val="none"/>
        </w:rPr>
        <w:t>本法人所拥有。</w:t>
      </w:r>
    </w:p>
    <w:p w14:paraId="3C5F92BC">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4"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▲2.投标人应仔细阅读招标文件的所有内容，按照招标文件的要求提</w:t>
      </w:r>
      <w:r>
        <w:rPr>
          <w:rFonts w:hint="eastAsia" w:ascii="仿宋" w:hAnsi="仿宋" w:eastAsia="仿宋" w:cs="仿宋"/>
          <w:color w:val="auto"/>
          <w:spacing w:val="-1"/>
          <w:sz w:val="24"/>
          <w:szCs w:val="24"/>
          <w:highlight w:val="none"/>
        </w:rPr>
        <w:t>交投标文件。投标人必须对投标文件所提供的全部资料的真实性承担法律责任，并无条件接受采购代理机构、采购人及政府采购监督管理部门等对</w:t>
      </w:r>
      <w:r>
        <w:rPr>
          <w:rFonts w:hint="eastAsia" w:ascii="仿宋" w:hAnsi="仿宋" w:eastAsia="仿宋" w:cs="仿宋"/>
          <w:color w:val="auto"/>
          <w:spacing w:val="-2"/>
          <w:sz w:val="24"/>
          <w:szCs w:val="24"/>
          <w:highlight w:val="none"/>
        </w:rPr>
        <w:t>其中任何资料进行核实的要求。</w:t>
      </w:r>
    </w:p>
    <w:p w14:paraId="7D77A203">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4"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▲3.投标人在投标活动中提供任何虚假材料，其投标无效，并报监管</w:t>
      </w:r>
      <w:r>
        <w:rPr>
          <w:rFonts w:hint="eastAsia" w:ascii="仿宋" w:hAnsi="仿宋" w:eastAsia="仿宋" w:cs="仿宋"/>
          <w:color w:val="auto"/>
          <w:spacing w:val="2"/>
          <w:sz w:val="24"/>
          <w:szCs w:val="24"/>
          <w:highlight w:val="none"/>
        </w:rPr>
        <w:t>部门查处</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中标后发现的，中标人须依照《中华人民共和国消费者权益</w:t>
      </w:r>
      <w:r>
        <w:rPr>
          <w:rFonts w:hint="eastAsia" w:ascii="仿宋" w:hAnsi="仿宋" w:eastAsia="仿宋" w:cs="仿宋"/>
          <w:color w:val="auto"/>
          <w:sz w:val="24"/>
          <w:szCs w:val="24"/>
          <w:highlight w:val="none"/>
        </w:rPr>
        <w:t>保护法》</w:t>
      </w:r>
      <w:r>
        <w:rPr>
          <w:rFonts w:hint="eastAsia" w:ascii="仿宋" w:hAnsi="仿宋" w:eastAsia="仿宋" w:cs="仿宋"/>
          <w:color w:val="auto"/>
          <w:sz w:val="24"/>
          <w:szCs w:val="24"/>
          <w:highlight w:val="none"/>
          <w:lang w:eastAsia="zh-CN"/>
        </w:rPr>
        <w:t>第四十九条</w:t>
      </w:r>
      <w:r>
        <w:rPr>
          <w:rFonts w:hint="eastAsia" w:ascii="仿宋" w:hAnsi="仿宋" w:eastAsia="仿宋" w:cs="仿宋"/>
          <w:color w:val="auto"/>
          <w:sz w:val="24"/>
          <w:szCs w:val="24"/>
          <w:highlight w:val="none"/>
        </w:rPr>
        <w:t>之规定双倍赔偿采购人</w:t>
      </w:r>
      <w:r>
        <w:rPr>
          <w:rFonts w:hint="eastAsia" w:ascii="仿宋" w:hAnsi="仿宋" w:eastAsia="仿宋" w:cs="仿宋"/>
          <w:color w:val="auto"/>
          <w:spacing w:val="-1"/>
          <w:sz w:val="24"/>
          <w:szCs w:val="24"/>
          <w:highlight w:val="none"/>
        </w:rPr>
        <w:t>，且民事赔偿并不免除违法投标人的行政与刑事责任。</w:t>
      </w:r>
    </w:p>
    <w:p w14:paraId="38BACE4F">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（十二）保密</w:t>
      </w:r>
    </w:p>
    <w:p w14:paraId="2977D691">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textAlignment w:val="auto"/>
        <w:outlineLvl w:val="9"/>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1.本项目评标过程实行全程录音、录像监控，投标人在评标过程中所进行的试图影响评标结果的不公正活动，可能导致其投标被拒绝。</w:t>
      </w:r>
    </w:p>
    <w:p w14:paraId="21A253D3">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2.参与招标投标活动的各方应对招标采购文件和投标文件</w:t>
      </w:r>
      <w:r>
        <w:rPr>
          <w:rFonts w:hint="eastAsia" w:ascii="仿宋" w:hAnsi="仿宋" w:eastAsia="仿宋" w:cs="仿宋"/>
          <w:color w:val="auto"/>
          <w:spacing w:val="-1"/>
          <w:sz w:val="24"/>
          <w:szCs w:val="24"/>
          <w:highlight w:val="none"/>
        </w:rPr>
        <w:t>中的商业和技术等秘密保密</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否则应承担相应的法律责任。</w:t>
      </w:r>
    </w:p>
    <w:p w14:paraId="41846BE9">
      <w:pPr>
        <w:keepNext w:val="0"/>
        <w:keepLines w:val="0"/>
        <w:pageBreakBefore w:val="0"/>
        <w:widowControl w:val="0"/>
        <w:kinsoku/>
        <w:wordWrap/>
        <w:overflowPunct/>
        <w:topLinePunct w:val="0"/>
        <w:autoSpaceDE w:val="0"/>
        <w:autoSpaceDN w:val="0"/>
        <w:bidi w:val="0"/>
        <w:adjustRightInd w:val="0"/>
        <w:snapToGrid/>
        <w:spacing w:line="420" w:lineRule="exact"/>
        <w:ind w:right="0" w:firstLine="48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3.凡是与审查、澄清、评价和比较投标的有关资料以及授标建议等，</w:t>
      </w:r>
      <w:r>
        <w:rPr>
          <w:rFonts w:hint="eastAsia" w:ascii="仿宋" w:hAnsi="仿宋" w:eastAsia="仿宋" w:cs="仿宋"/>
          <w:color w:val="auto"/>
          <w:spacing w:val="-1"/>
          <w:sz w:val="24"/>
          <w:szCs w:val="24"/>
          <w:highlight w:val="none"/>
        </w:rPr>
        <w:t>采购人、评委、采购代理机构均不得向投标人或与评标无关的其他人员透</w:t>
      </w:r>
      <w:r>
        <w:rPr>
          <w:rFonts w:hint="eastAsia" w:ascii="仿宋" w:hAnsi="仿宋" w:eastAsia="仿宋" w:cs="仿宋"/>
          <w:color w:val="auto"/>
          <w:spacing w:val="-9"/>
          <w:sz w:val="24"/>
          <w:szCs w:val="24"/>
          <w:highlight w:val="none"/>
        </w:rPr>
        <w:t>露。</w:t>
      </w:r>
    </w:p>
    <w:p w14:paraId="381656B1">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4.采购人和评标委员会不向未中标的投标人解释未中标原因，也不公</w:t>
      </w:r>
      <w:r>
        <w:rPr>
          <w:rFonts w:hint="eastAsia" w:ascii="仿宋" w:hAnsi="仿宋" w:eastAsia="仿宋" w:cs="仿宋"/>
          <w:color w:val="auto"/>
          <w:spacing w:val="-2"/>
          <w:sz w:val="24"/>
          <w:szCs w:val="24"/>
          <w:highlight w:val="none"/>
        </w:rPr>
        <w:t>布评标过程中的相关细节。</w:t>
      </w:r>
    </w:p>
    <w:p w14:paraId="7EA250FC">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b/>
          <w:bCs/>
          <w:color w:val="auto"/>
          <w:spacing w:val="-9"/>
          <w:sz w:val="24"/>
          <w:szCs w:val="24"/>
          <w:highlight w:val="none"/>
        </w:rPr>
        <w:t>十三）知识产权</w:t>
      </w:r>
    </w:p>
    <w:p w14:paraId="20E14673">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须保证采购人在中华人民共和国境内使用投标资料、技术、服务或其任何一部分时，享有不受限制的无偿使用权，不会产生因第三方提出侵犯其专利权、商标权或其他知识产权而引起的法律或经济纠纷。如投</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
          <w:sz w:val="24"/>
          <w:szCs w:val="24"/>
          <w:highlight w:val="none"/>
        </w:rPr>
        <w:t>标人不拥有相应的知识产权，则在投标报价中必须包括合法获取该知识产权的一切相关费用。如因此导致采购人损失的，投标人须承担全部赔偿责</w:t>
      </w:r>
      <w:r>
        <w:rPr>
          <w:rFonts w:hint="eastAsia" w:ascii="仿宋" w:hAnsi="仿宋" w:eastAsia="仿宋" w:cs="仿宋"/>
          <w:color w:val="auto"/>
          <w:spacing w:val="-6"/>
          <w:sz w:val="24"/>
          <w:szCs w:val="24"/>
          <w:highlight w:val="none"/>
        </w:rPr>
        <w:t>任。</w:t>
      </w:r>
    </w:p>
    <w:p w14:paraId="5A1F4DFF">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2"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二、招标采购文件</w:t>
      </w:r>
    </w:p>
    <w:p w14:paraId="0083D7C3">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w:t>
      </w:r>
      <w:r>
        <w:rPr>
          <w:rFonts w:hint="eastAsia" w:ascii="仿宋" w:hAnsi="仿宋" w:eastAsia="仿宋" w:cs="仿宋"/>
          <w:color w:val="auto"/>
          <w:spacing w:val="-67"/>
          <w:sz w:val="24"/>
          <w:szCs w:val="24"/>
          <w:highlight w:val="none"/>
        </w:rPr>
        <w:t xml:space="preserve"> </w:t>
      </w:r>
      <w:r>
        <w:rPr>
          <w:rFonts w:hint="eastAsia" w:ascii="仿宋" w:hAnsi="仿宋" w:eastAsia="仿宋" w:cs="仿宋"/>
          <w:b/>
          <w:bCs/>
          <w:color w:val="auto"/>
          <w:spacing w:val="-7"/>
          <w:sz w:val="24"/>
          <w:szCs w:val="24"/>
          <w:highlight w:val="none"/>
        </w:rPr>
        <w:t>一）招标采购文件的组成</w:t>
      </w:r>
    </w:p>
    <w:p w14:paraId="4ED9F50E">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2" w:firstLineChars="200"/>
        <w:textAlignment w:val="auto"/>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7"/>
          <w:sz w:val="24"/>
          <w:szCs w:val="24"/>
          <w:highlight w:val="none"/>
        </w:rPr>
        <w:t>本招标采购文件包括：</w:t>
      </w:r>
      <w:r>
        <w:rPr>
          <w:rFonts w:hint="eastAsia" w:ascii="仿宋" w:hAnsi="仿宋" w:eastAsia="仿宋" w:cs="仿宋"/>
          <w:color w:val="auto"/>
          <w:spacing w:val="2"/>
          <w:sz w:val="24"/>
          <w:szCs w:val="24"/>
          <w:highlight w:val="none"/>
        </w:rPr>
        <w:t xml:space="preserve"> </w:t>
      </w:r>
    </w:p>
    <w:p w14:paraId="633F402C">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1.招标公告；</w:t>
      </w:r>
    </w:p>
    <w:p w14:paraId="664A2BDA">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50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2.投标人须知；</w:t>
      </w:r>
      <w:r>
        <w:rPr>
          <w:rFonts w:hint="eastAsia" w:ascii="仿宋" w:hAnsi="仿宋" w:eastAsia="仿宋" w:cs="仿宋"/>
          <w:color w:val="auto"/>
          <w:sz w:val="24"/>
          <w:szCs w:val="24"/>
          <w:highlight w:val="none"/>
        </w:rPr>
        <w:t xml:space="preserve">  </w:t>
      </w:r>
    </w:p>
    <w:p w14:paraId="633E5407">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6" w:firstLineChars="200"/>
        <w:textAlignment w:val="auto"/>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6"/>
          <w:sz w:val="24"/>
          <w:szCs w:val="24"/>
          <w:highlight w:val="none"/>
        </w:rPr>
        <w:t>3.招标采购需求；</w:t>
      </w:r>
      <w:r>
        <w:rPr>
          <w:rFonts w:hint="eastAsia" w:ascii="仿宋" w:hAnsi="仿宋" w:eastAsia="仿宋" w:cs="仿宋"/>
          <w:color w:val="auto"/>
          <w:spacing w:val="4"/>
          <w:sz w:val="24"/>
          <w:szCs w:val="24"/>
          <w:highlight w:val="none"/>
        </w:rPr>
        <w:t xml:space="preserve"> </w:t>
      </w:r>
    </w:p>
    <w:p w14:paraId="33377453">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6" w:firstLineChars="200"/>
        <w:textAlignment w:val="auto"/>
        <w:outlineLvl w:val="9"/>
        <w:rPr>
          <w:rFonts w:hint="eastAsia" w:ascii="仿宋" w:hAnsi="仿宋" w:eastAsia="仿宋" w:cs="仿宋"/>
          <w:color w:val="auto"/>
          <w:spacing w:val="4"/>
          <w:sz w:val="24"/>
          <w:szCs w:val="24"/>
          <w:highlight w:val="none"/>
        </w:rPr>
      </w:pPr>
      <w:r>
        <w:rPr>
          <w:rFonts w:hint="eastAsia" w:ascii="仿宋" w:hAnsi="仿宋" w:eastAsia="仿宋" w:cs="仿宋"/>
          <w:color w:val="auto"/>
          <w:spacing w:val="-6"/>
          <w:sz w:val="24"/>
          <w:szCs w:val="24"/>
          <w:highlight w:val="none"/>
        </w:rPr>
        <w:t>4.合同主要条款；</w:t>
      </w:r>
      <w:r>
        <w:rPr>
          <w:rFonts w:hint="eastAsia" w:ascii="仿宋" w:hAnsi="仿宋" w:eastAsia="仿宋" w:cs="仿宋"/>
          <w:color w:val="auto"/>
          <w:spacing w:val="4"/>
          <w:sz w:val="24"/>
          <w:szCs w:val="24"/>
          <w:highlight w:val="none"/>
        </w:rPr>
        <w:t xml:space="preserve"> </w:t>
      </w:r>
    </w:p>
    <w:p w14:paraId="10B738BD">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5.评标办法；</w:t>
      </w:r>
    </w:p>
    <w:p w14:paraId="6AAB515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6.投标文件格式；</w:t>
      </w:r>
    </w:p>
    <w:p w14:paraId="5A951033">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7.投标人须知前附表规定的其他资料；</w:t>
      </w:r>
    </w:p>
    <w:p w14:paraId="4AA7FA48">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8.本项目招标采购文件的更正、澄清、修改的内容，构成招标采购文</w:t>
      </w:r>
      <w:r>
        <w:rPr>
          <w:rFonts w:hint="eastAsia" w:ascii="仿宋" w:hAnsi="仿宋" w:eastAsia="仿宋" w:cs="仿宋"/>
          <w:color w:val="auto"/>
          <w:spacing w:val="-3"/>
          <w:sz w:val="24"/>
          <w:szCs w:val="24"/>
          <w:highlight w:val="none"/>
        </w:rPr>
        <w:t>件的组成部分。</w:t>
      </w:r>
    </w:p>
    <w:p w14:paraId="2839D868">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b/>
          <w:bCs/>
          <w:color w:val="auto"/>
          <w:spacing w:val="-8"/>
          <w:sz w:val="24"/>
          <w:szCs w:val="24"/>
          <w:highlight w:val="none"/>
        </w:rPr>
        <w:t>二）投标人的风险</w:t>
      </w:r>
    </w:p>
    <w:p w14:paraId="57509C26">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投标人未按照招标采购文件要求提供全部资料，或者投标人未对招标采购文件在各方面作出实质性响应是投标人的风险，并可能导致其投标被</w:t>
      </w:r>
      <w:r>
        <w:rPr>
          <w:rFonts w:hint="eastAsia" w:ascii="仿宋" w:hAnsi="仿宋" w:eastAsia="仿宋" w:cs="仿宋"/>
          <w:color w:val="auto"/>
          <w:spacing w:val="-6"/>
          <w:sz w:val="24"/>
          <w:szCs w:val="24"/>
          <w:highlight w:val="none"/>
        </w:rPr>
        <w:t>拒绝。</w:t>
      </w:r>
    </w:p>
    <w:p w14:paraId="4C9740FA">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w:t>
      </w:r>
      <w:r>
        <w:rPr>
          <w:rFonts w:hint="eastAsia" w:ascii="仿宋" w:hAnsi="仿宋" w:eastAsia="仿宋" w:cs="仿宋"/>
          <w:color w:val="auto"/>
          <w:spacing w:val="-67"/>
          <w:sz w:val="24"/>
          <w:szCs w:val="24"/>
          <w:highlight w:val="none"/>
        </w:rPr>
        <w:t xml:space="preserve"> </w:t>
      </w:r>
      <w:r>
        <w:rPr>
          <w:rFonts w:hint="eastAsia" w:ascii="仿宋" w:hAnsi="仿宋" w:eastAsia="仿宋" w:cs="仿宋"/>
          <w:b/>
          <w:bCs/>
          <w:color w:val="auto"/>
          <w:spacing w:val="-6"/>
          <w:sz w:val="24"/>
          <w:szCs w:val="24"/>
          <w:highlight w:val="none"/>
        </w:rPr>
        <w:t>三）招标采购文件的澄清与修改</w:t>
      </w:r>
    </w:p>
    <w:p w14:paraId="6B2852E2">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投标人应认真阅读本招标采购文件所有的事项、格式、条款和技术规范等，发现其中有误或有不合理要求的，投标人必须在投标人须知前附表规定的时间前以书面形式要求采购代理机构澄清。采购代理机构对已发出的招标采购文件进行必要更正、澄清、修改的，应当在招标采购文件要</w:t>
      </w:r>
      <w:r>
        <w:rPr>
          <w:rFonts w:hint="eastAsia" w:ascii="仿宋" w:hAnsi="仿宋" w:eastAsia="仿宋" w:cs="仿宋"/>
          <w:color w:val="auto"/>
          <w:spacing w:val="-4"/>
          <w:sz w:val="24"/>
          <w:szCs w:val="24"/>
          <w:highlight w:val="none"/>
        </w:rPr>
        <w:t>求提交投标文件截止时间15日前，在原公告发布媒体上发布更正公告。</w:t>
      </w:r>
    </w:p>
    <w:p w14:paraId="594B478A">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2.采购代理机构必须以书面形式答复投标人要求澄清的问</w:t>
      </w:r>
      <w:r>
        <w:rPr>
          <w:rFonts w:hint="eastAsia" w:ascii="仿宋" w:hAnsi="仿宋" w:eastAsia="仿宋" w:cs="仿宋"/>
          <w:color w:val="auto"/>
          <w:spacing w:val="-1"/>
          <w:sz w:val="24"/>
          <w:szCs w:val="24"/>
          <w:highlight w:val="none"/>
        </w:rPr>
        <w:t>题，并将不包含问题来源的答复书面通知潜在投标人；除书面答复以外的其他澄清方</w:t>
      </w:r>
      <w:r>
        <w:rPr>
          <w:rFonts w:hint="eastAsia" w:ascii="仿宋" w:hAnsi="仿宋" w:eastAsia="仿宋" w:cs="仿宋"/>
          <w:color w:val="auto"/>
          <w:spacing w:val="-2"/>
          <w:sz w:val="24"/>
          <w:szCs w:val="24"/>
          <w:highlight w:val="none"/>
        </w:rPr>
        <w:t>式及澄清内容均无效。</w:t>
      </w:r>
    </w:p>
    <w:p w14:paraId="4FA8096C">
      <w:pPr>
        <w:keepNext w:val="0"/>
        <w:keepLines w:val="0"/>
        <w:pageBreakBefore w:val="0"/>
        <w:widowControl w:val="0"/>
        <w:kinsoku/>
        <w:wordWrap/>
        <w:overflowPunct/>
        <w:topLinePunct w:val="0"/>
        <w:autoSpaceDE w:val="0"/>
        <w:autoSpaceDN w:val="0"/>
        <w:bidi w:val="0"/>
        <w:adjustRightInd w:val="0"/>
        <w:snapToGrid/>
        <w:spacing w:line="420" w:lineRule="exact"/>
        <w:ind w:right="0" w:firstLine="464"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3.招标采购文件更正、澄清、修改的内容为招标采购文件的组成部分。</w:t>
      </w:r>
      <w:r>
        <w:rPr>
          <w:rFonts w:hint="eastAsia" w:ascii="仿宋" w:hAnsi="仿宋" w:eastAsia="仿宋" w:cs="仿宋"/>
          <w:color w:val="auto"/>
          <w:spacing w:val="-1"/>
          <w:sz w:val="24"/>
          <w:szCs w:val="24"/>
          <w:highlight w:val="none"/>
        </w:rPr>
        <w:t>当招标采购文件与招标采购文件的更正、澄清、修改内容就同一内容的表述不一致时，以最后发出的公告为准。</w:t>
      </w:r>
    </w:p>
    <w:p w14:paraId="1BCB7DF0">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4.招标采购文件的更正、澄清、修改都应该通过采购代理机构</w:t>
      </w:r>
      <w:r>
        <w:rPr>
          <w:rFonts w:hint="eastAsia" w:ascii="仿宋" w:hAnsi="仿宋" w:eastAsia="仿宋" w:cs="仿宋"/>
          <w:color w:val="auto"/>
          <w:spacing w:val="-1"/>
          <w:sz w:val="24"/>
          <w:szCs w:val="24"/>
          <w:highlight w:val="none"/>
        </w:rPr>
        <w:t>以法定形式发布，采购人非通过采购代理机构，不得擅自更正、澄清、修改招标</w:t>
      </w:r>
      <w:r>
        <w:rPr>
          <w:rFonts w:hint="eastAsia" w:ascii="仿宋" w:hAnsi="仿宋" w:eastAsia="仿宋" w:cs="仿宋"/>
          <w:color w:val="auto"/>
          <w:spacing w:val="-4"/>
          <w:sz w:val="24"/>
          <w:szCs w:val="24"/>
          <w:highlight w:val="none"/>
        </w:rPr>
        <w:t>采购文件。</w:t>
      </w:r>
    </w:p>
    <w:p w14:paraId="371122BA">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z w:val="24"/>
          <w:szCs w:val="24"/>
          <w:highlight w:val="none"/>
        </w:rPr>
        <w:t>5.采购人可以视采购具体情况，延长投标</w:t>
      </w:r>
      <w:r>
        <w:rPr>
          <w:rFonts w:hint="eastAsia" w:ascii="仿宋" w:hAnsi="仿宋" w:eastAsia="仿宋" w:cs="仿宋"/>
          <w:color w:val="auto"/>
          <w:spacing w:val="-1"/>
          <w:sz w:val="24"/>
          <w:szCs w:val="24"/>
          <w:highlight w:val="none"/>
        </w:rPr>
        <w:t>截止时间和开标时间，并依</w:t>
      </w:r>
      <w:r>
        <w:rPr>
          <w:rFonts w:hint="eastAsia" w:ascii="仿宋" w:hAnsi="仿宋" w:eastAsia="仿宋" w:cs="仿宋"/>
          <w:color w:val="auto"/>
          <w:spacing w:val="-3"/>
          <w:sz w:val="24"/>
          <w:szCs w:val="24"/>
          <w:highlight w:val="none"/>
        </w:rPr>
        <w:t>法在招标采购文件要求提交投标文件的截止时间</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3"/>
          <w:sz w:val="24"/>
          <w:szCs w:val="24"/>
          <w:highlight w:val="none"/>
        </w:rPr>
        <w:t>5日前，将变更时间在原</w:t>
      </w:r>
      <w:r>
        <w:rPr>
          <w:rFonts w:hint="eastAsia" w:ascii="仿宋" w:hAnsi="仿宋" w:eastAsia="仿宋" w:cs="仿宋"/>
          <w:color w:val="auto"/>
          <w:spacing w:val="-2"/>
          <w:sz w:val="24"/>
          <w:szCs w:val="24"/>
          <w:highlight w:val="none"/>
        </w:rPr>
        <w:t>公告发布媒体上发布变更公告。</w:t>
      </w:r>
    </w:p>
    <w:p w14:paraId="069C3CFE">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6.投标人应及时关注本项目原公告媒体上发</w:t>
      </w:r>
      <w:r>
        <w:rPr>
          <w:rFonts w:hint="eastAsia" w:ascii="仿宋" w:hAnsi="仿宋" w:eastAsia="仿宋" w:cs="仿宋"/>
          <w:color w:val="auto"/>
          <w:spacing w:val="-1"/>
          <w:sz w:val="24"/>
          <w:szCs w:val="24"/>
          <w:highlight w:val="none"/>
        </w:rPr>
        <w:t>布的更正、澄清、修改内容并自行下载，采购人、采购代理机构不再另行通知。</w:t>
      </w:r>
    </w:p>
    <w:p w14:paraId="615CD5DB">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0" w:firstLineChars="200"/>
        <w:textAlignment w:val="auto"/>
        <w:outlineLvl w:val="1"/>
        <w:rPr>
          <w:rFonts w:hint="eastAsia" w:ascii="仿宋" w:hAnsi="仿宋" w:eastAsia="仿宋" w:cs="仿宋"/>
          <w:color w:val="auto"/>
          <w:sz w:val="24"/>
          <w:szCs w:val="24"/>
          <w:highlight w:val="none"/>
        </w:rPr>
      </w:pPr>
      <w:bookmarkStart w:id="3" w:name="bookmark6"/>
      <w:bookmarkEnd w:id="3"/>
      <w:r>
        <w:rPr>
          <w:rFonts w:hint="eastAsia" w:ascii="仿宋" w:hAnsi="仿宋" w:eastAsia="仿宋" w:cs="仿宋"/>
          <w:b/>
          <w:bCs/>
          <w:color w:val="auto"/>
          <w:spacing w:val="-8"/>
          <w:sz w:val="24"/>
          <w:szCs w:val="24"/>
          <w:highlight w:val="none"/>
        </w:rPr>
        <w:t>三、投标文件</w:t>
      </w:r>
    </w:p>
    <w:p w14:paraId="15440BC4">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b/>
          <w:bCs/>
          <w:color w:val="auto"/>
          <w:spacing w:val="-8"/>
          <w:sz w:val="24"/>
          <w:szCs w:val="24"/>
          <w:highlight w:val="none"/>
        </w:rPr>
        <w:t>一）投标文件的组成</w:t>
      </w:r>
    </w:p>
    <w:p w14:paraId="2EA0C337">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投标文件的组成在投标人须知前附表中载明；投标人在评标过程中作出的符合法律法规和招标采购文件规定的澄清确认，构成投标文件的组成</w:t>
      </w:r>
      <w:r>
        <w:rPr>
          <w:rFonts w:hint="eastAsia" w:ascii="仿宋" w:hAnsi="仿宋" w:eastAsia="仿宋" w:cs="仿宋"/>
          <w:color w:val="auto"/>
          <w:spacing w:val="-5"/>
          <w:sz w:val="24"/>
          <w:szCs w:val="24"/>
          <w:highlight w:val="none"/>
        </w:rPr>
        <w:t>部分。</w:t>
      </w:r>
    </w:p>
    <w:p w14:paraId="4DFCDF4E">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b/>
          <w:bCs/>
          <w:color w:val="auto"/>
          <w:spacing w:val="-10"/>
          <w:sz w:val="24"/>
          <w:szCs w:val="24"/>
          <w:highlight w:val="none"/>
        </w:rPr>
        <w:t>二）投标报价</w:t>
      </w:r>
    </w:p>
    <w:p w14:paraId="36EDD5C4">
      <w:pPr>
        <w:keepNext w:val="0"/>
        <w:keepLines w:val="0"/>
        <w:pageBreakBefore w:val="0"/>
        <w:widowControl w:val="0"/>
        <w:kinsoku/>
        <w:wordWrap/>
        <w:overflowPunct/>
        <w:topLinePunct w:val="0"/>
        <w:autoSpaceDE w:val="0"/>
        <w:autoSpaceDN w:val="0"/>
        <w:bidi w:val="0"/>
        <w:adjustRightInd w:val="0"/>
        <w:snapToGrid/>
        <w:spacing w:line="420" w:lineRule="exact"/>
        <w:ind w:right="0" w:firstLine="48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1.投标报价应包括国家规定的增值税税金，除投标人须知前附</w:t>
      </w:r>
      <w:r>
        <w:rPr>
          <w:rFonts w:hint="eastAsia" w:ascii="仿宋" w:hAnsi="仿宋" w:eastAsia="仿宋" w:cs="仿宋"/>
          <w:color w:val="auto"/>
          <w:sz w:val="24"/>
          <w:szCs w:val="24"/>
          <w:highlight w:val="none"/>
        </w:rPr>
        <w:t>表另有</w:t>
      </w:r>
      <w:r>
        <w:rPr>
          <w:rFonts w:hint="eastAsia" w:ascii="仿宋" w:hAnsi="仿宋" w:eastAsia="仿宋" w:cs="仿宋"/>
          <w:color w:val="auto"/>
          <w:spacing w:val="-6"/>
          <w:sz w:val="24"/>
          <w:szCs w:val="24"/>
          <w:highlight w:val="none"/>
        </w:rPr>
        <w:t>规定外。</w:t>
      </w:r>
    </w:p>
    <w:p w14:paraId="047460B0">
      <w:pPr>
        <w:keepNext w:val="0"/>
        <w:keepLines w:val="0"/>
        <w:pageBreakBefore w:val="0"/>
        <w:widowControl w:val="0"/>
        <w:kinsoku/>
        <w:wordWrap/>
        <w:overflowPunct/>
        <w:topLinePunct w:val="0"/>
        <w:autoSpaceDE w:val="0"/>
        <w:autoSpaceDN w:val="0"/>
        <w:bidi w:val="0"/>
        <w:adjustRightInd w:val="0"/>
        <w:snapToGrid/>
        <w:spacing w:line="420" w:lineRule="exact"/>
        <w:ind w:right="0" w:firstLine="51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2.投标人应充分了解该项</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8"/>
          <w:sz w:val="24"/>
          <w:szCs w:val="24"/>
          <w:highlight w:val="none"/>
        </w:rPr>
        <w:t>目的总体情况以及影响投标报价的其他要</w:t>
      </w:r>
      <w:r>
        <w:rPr>
          <w:rFonts w:hint="eastAsia" w:ascii="仿宋" w:hAnsi="仿宋" w:eastAsia="仿宋" w:cs="仿宋"/>
          <w:color w:val="auto"/>
          <w:spacing w:val="-14"/>
          <w:sz w:val="24"/>
          <w:szCs w:val="24"/>
          <w:highlight w:val="none"/>
        </w:rPr>
        <w:t>素。</w:t>
      </w:r>
    </w:p>
    <w:p w14:paraId="522E7854">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3.本项目的报价方式见投标人须知前附表</w:t>
      </w:r>
      <w:r>
        <w:rPr>
          <w:rFonts w:hint="eastAsia" w:ascii="仿宋" w:hAnsi="仿宋" w:eastAsia="仿宋" w:cs="仿宋"/>
          <w:color w:val="auto"/>
          <w:spacing w:val="1"/>
          <w:sz w:val="24"/>
          <w:szCs w:val="24"/>
          <w:highlight w:val="none"/>
        </w:rPr>
        <w:t>。投标人在投标截止时间前</w:t>
      </w:r>
      <w:r>
        <w:rPr>
          <w:rFonts w:hint="eastAsia" w:ascii="仿宋" w:hAnsi="仿宋" w:eastAsia="仿宋" w:cs="仿宋"/>
          <w:color w:val="auto"/>
          <w:spacing w:val="-2"/>
          <w:sz w:val="24"/>
          <w:szCs w:val="24"/>
          <w:highlight w:val="none"/>
        </w:rPr>
        <w:t>修改报价一览表中的投标报价，应同时修改投标文件“</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2"/>
          <w:sz w:val="24"/>
          <w:szCs w:val="24"/>
          <w:highlight w:val="none"/>
        </w:rPr>
        <w:t>清单报价”</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2"/>
          <w:sz w:val="24"/>
          <w:szCs w:val="24"/>
          <w:highlight w:val="none"/>
        </w:rPr>
        <w:t>中的相应</w:t>
      </w:r>
      <w:r>
        <w:rPr>
          <w:rFonts w:hint="eastAsia" w:ascii="仿宋" w:hAnsi="仿宋" w:eastAsia="仿宋" w:cs="仿宋"/>
          <w:color w:val="auto"/>
          <w:spacing w:val="-4"/>
          <w:sz w:val="24"/>
          <w:szCs w:val="24"/>
          <w:highlight w:val="none"/>
        </w:rPr>
        <w:t>报价。</w:t>
      </w:r>
    </w:p>
    <w:p w14:paraId="594719D8">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4.采购人设有最高限价的，投标人的投标报价不得超过最</w:t>
      </w:r>
      <w:r>
        <w:rPr>
          <w:rFonts w:hint="eastAsia" w:ascii="仿宋" w:hAnsi="仿宋" w:eastAsia="仿宋" w:cs="仿宋"/>
          <w:color w:val="auto"/>
          <w:spacing w:val="1"/>
          <w:sz w:val="24"/>
          <w:szCs w:val="24"/>
          <w:highlight w:val="none"/>
        </w:rPr>
        <w:t>高限价，最</w:t>
      </w:r>
      <w:r>
        <w:rPr>
          <w:rFonts w:hint="eastAsia" w:ascii="仿宋" w:hAnsi="仿宋" w:eastAsia="仿宋" w:cs="仿宋"/>
          <w:color w:val="auto"/>
          <w:spacing w:val="-3"/>
          <w:sz w:val="24"/>
          <w:szCs w:val="24"/>
          <w:highlight w:val="none"/>
        </w:rPr>
        <w:t>高限价在招标文件中载明。</w:t>
      </w:r>
    </w:p>
    <w:p w14:paraId="2FA2D19B">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5.采购人不接受具有附加条件的报价或多个方案的报价。</w:t>
      </w:r>
    </w:p>
    <w:p w14:paraId="3A188646">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6.投标报价的其他要求见投标人须知前附表。</w:t>
      </w:r>
    </w:p>
    <w:p w14:paraId="77FBEA75">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w:t>
      </w:r>
      <w:r>
        <w:rPr>
          <w:rFonts w:hint="eastAsia" w:ascii="仿宋" w:hAnsi="仿宋" w:eastAsia="仿宋" w:cs="仿宋"/>
          <w:color w:val="auto"/>
          <w:spacing w:val="-64"/>
          <w:sz w:val="24"/>
          <w:szCs w:val="24"/>
          <w:highlight w:val="none"/>
        </w:rPr>
        <w:t xml:space="preserve"> </w:t>
      </w:r>
      <w:r>
        <w:rPr>
          <w:rFonts w:hint="eastAsia" w:ascii="仿宋" w:hAnsi="仿宋" w:eastAsia="仿宋" w:cs="仿宋"/>
          <w:b/>
          <w:bCs/>
          <w:color w:val="auto"/>
          <w:spacing w:val="-10"/>
          <w:sz w:val="24"/>
          <w:szCs w:val="24"/>
          <w:highlight w:val="none"/>
        </w:rPr>
        <w:t>三）投标有效期</w:t>
      </w:r>
    </w:p>
    <w:p w14:paraId="5C44E12B">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2"/>
          <w:sz w:val="24"/>
          <w:szCs w:val="24"/>
          <w:highlight w:val="none"/>
        </w:rPr>
        <w:t>除投标人须知前附表另有规定外，投标有效期为</w:t>
      </w:r>
      <w:r>
        <w:rPr>
          <w:rFonts w:hint="eastAsia" w:ascii="仿宋" w:hAnsi="仿宋" w:eastAsia="仿宋" w:cs="仿宋"/>
          <w:color w:val="auto"/>
          <w:spacing w:val="-3"/>
          <w:sz w:val="24"/>
          <w:szCs w:val="24"/>
          <w:highlight w:val="none"/>
        </w:rPr>
        <w:t>90天。</w:t>
      </w:r>
    </w:p>
    <w:p w14:paraId="732E35D2">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2.在投标有效期内，投标人撤销投标文件的，应承担</w:t>
      </w:r>
      <w:r>
        <w:rPr>
          <w:rFonts w:hint="eastAsia" w:ascii="仿宋" w:hAnsi="仿宋" w:eastAsia="仿宋" w:cs="仿宋"/>
          <w:color w:val="auto"/>
          <w:spacing w:val="1"/>
          <w:sz w:val="24"/>
          <w:szCs w:val="24"/>
          <w:highlight w:val="none"/>
        </w:rPr>
        <w:t>招标采购文件和</w:t>
      </w:r>
      <w:r>
        <w:rPr>
          <w:rFonts w:hint="eastAsia" w:ascii="仿宋" w:hAnsi="仿宋" w:eastAsia="仿宋" w:cs="仿宋"/>
          <w:color w:val="auto"/>
          <w:spacing w:val="-4"/>
          <w:sz w:val="24"/>
          <w:szCs w:val="24"/>
          <w:highlight w:val="none"/>
        </w:rPr>
        <w:t>法律规定的责任。</w:t>
      </w:r>
    </w:p>
    <w:p w14:paraId="6F0876A1">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z w:val="24"/>
          <w:szCs w:val="24"/>
          <w:highlight w:val="none"/>
        </w:rPr>
        <w:t>出现特殊情况需要延长投标有效期的，采购人以书面形式通知所有</w:t>
      </w:r>
      <w:r>
        <w:rPr>
          <w:rFonts w:hint="eastAsia" w:ascii="仿宋" w:hAnsi="仿宋" w:eastAsia="仿宋" w:cs="仿宋"/>
          <w:color w:val="auto"/>
          <w:spacing w:val="-1"/>
          <w:sz w:val="24"/>
          <w:szCs w:val="24"/>
          <w:highlight w:val="none"/>
        </w:rPr>
        <w:t>投标人延长投标有效期。投标人应予以书面答复，同意延长但不得要求或被允许修改其投标文件；投标人拒绝延长的，其投标失效。</w:t>
      </w:r>
    </w:p>
    <w:p w14:paraId="5710DEF7">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w:t>
      </w:r>
      <w:r>
        <w:rPr>
          <w:rFonts w:hint="eastAsia" w:ascii="仿宋" w:hAnsi="仿宋" w:eastAsia="仿宋" w:cs="仿宋"/>
          <w:color w:val="auto"/>
          <w:spacing w:val="-36"/>
          <w:sz w:val="24"/>
          <w:szCs w:val="24"/>
          <w:highlight w:val="none"/>
        </w:rPr>
        <w:t xml:space="preserve"> </w:t>
      </w:r>
      <w:r>
        <w:rPr>
          <w:rFonts w:hint="eastAsia" w:ascii="仿宋" w:hAnsi="仿宋" w:eastAsia="仿宋" w:cs="仿宋"/>
          <w:b/>
          <w:bCs/>
          <w:color w:val="auto"/>
          <w:spacing w:val="-7"/>
          <w:sz w:val="24"/>
          <w:szCs w:val="24"/>
          <w:highlight w:val="none"/>
        </w:rPr>
        <w:t>四）投标保证金（本项目不适用）</w:t>
      </w:r>
    </w:p>
    <w:p w14:paraId="7C28D061">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（五）资格审查资料</w:t>
      </w:r>
    </w:p>
    <w:p w14:paraId="270ABA5F">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1.投标人应按要求提交资格文件及符合招标文</w:t>
      </w:r>
      <w:r>
        <w:rPr>
          <w:rFonts w:hint="eastAsia" w:ascii="仿宋" w:hAnsi="仿宋" w:eastAsia="仿宋" w:cs="仿宋"/>
          <w:color w:val="auto"/>
          <w:spacing w:val="-2"/>
          <w:sz w:val="24"/>
          <w:szCs w:val="24"/>
          <w:highlight w:val="none"/>
        </w:rPr>
        <w:t>件规定的文件。</w:t>
      </w:r>
    </w:p>
    <w:p w14:paraId="276AEFA6">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2.投标人应提交具有资格参加投标和中标后有能力独立</w:t>
      </w:r>
      <w:r>
        <w:rPr>
          <w:rFonts w:hint="eastAsia" w:ascii="仿宋" w:hAnsi="仿宋" w:eastAsia="仿宋" w:cs="仿宋"/>
          <w:color w:val="auto"/>
          <w:spacing w:val="1"/>
          <w:sz w:val="24"/>
          <w:szCs w:val="24"/>
          <w:highlight w:val="none"/>
        </w:rPr>
        <w:t>履行合同的相</w:t>
      </w:r>
      <w:r>
        <w:rPr>
          <w:rFonts w:hint="eastAsia" w:ascii="仿宋" w:hAnsi="仿宋" w:eastAsia="仿宋" w:cs="仿宋"/>
          <w:color w:val="auto"/>
          <w:spacing w:val="-6"/>
          <w:sz w:val="24"/>
          <w:szCs w:val="24"/>
          <w:highlight w:val="none"/>
        </w:rPr>
        <w:t>关文件。</w:t>
      </w:r>
    </w:p>
    <w:p w14:paraId="58EFBB52">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3.投标人除必须具有履行合同所需提供的</w:t>
      </w:r>
      <w:r>
        <w:rPr>
          <w:rFonts w:hint="eastAsia" w:ascii="仿宋" w:hAnsi="仿宋" w:eastAsia="仿宋" w:cs="仿宋"/>
          <w:color w:val="auto"/>
          <w:spacing w:val="1"/>
          <w:sz w:val="24"/>
          <w:szCs w:val="24"/>
          <w:highlight w:val="none"/>
        </w:rPr>
        <w:t>货物以及服务的能力外，还</w:t>
      </w:r>
      <w:r>
        <w:rPr>
          <w:rFonts w:hint="eastAsia" w:ascii="仿宋" w:hAnsi="仿宋" w:eastAsia="仿宋" w:cs="仿宋"/>
          <w:color w:val="auto"/>
          <w:spacing w:val="-2"/>
          <w:sz w:val="24"/>
          <w:szCs w:val="24"/>
          <w:highlight w:val="none"/>
        </w:rPr>
        <w:t>必须具备相应的财务、技术方面的能力。</w:t>
      </w:r>
    </w:p>
    <w:p w14:paraId="59CE43FE">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4.投标人应提交根据合同要求提供的产品质量合格以及符</w:t>
      </w:r>
      <w:r>
        <w:rPr>
          <w:rFonts w:hint="eastAsia" w:ascii="仿宋" w:hAnsi="仿宋" w:eastAsia="仿宋" w:cs="仿宋"/>
          <w:color w:val="auto"/>
          <w:spacing w:val="1"/>
          <w:sz w:val="24"/>
          <w:szCs w:val="24"/>
          <w:highlight w:val="none"/>
        </w:rPr>
        <w:t>合招标文件</w:t>
      </w:r>
      <w:r>
        <w:rPr>
          <w:rFonts w:hint="eastAsia" w:ascii="仿宋" w:hAnsi="仿宋" w:eastAsia="仿宋" w:cs="仿宋"/>
          <w:color w:val="auto"/>
          <w:spacing w:val="-3"/>
          <w:sz w:val="24"/>
          <w:szCs w:val="24"/>
          <w:highlight w:val="none"/>
        </w:rPr>
        <w:t>规定的相关文件。</w:t>
      </w:r>
    </w:p>
    <w:p w14:paraId="572953BD">
      <w:pPr>
        <w:keepNext w:val="0"/>
        <w:keepLines w:val="0"/>
        <w:pageBreakBefore w:val="0"/>
        <w:widowControl w:val="0"/>
        <w:kinsoku/>
        <w:wordWrap/>
        <w:overflowPunct/>
        <w:topLinePunct w:val="0"/>
        <w:autoSpaceDE w:val="0"/>
        <w:autoSpaceDN w:val="0"/>
        <w:bidi w:val="0"/>
        <w:adjustRightInd w:val="0"/>
        <w:snapToGrid/>
        <w:spacing w:line="420" w:lineRule="exact"/>
        <w:ind w:right="0" w:firstLine="52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5.投标人所提供产品与招标文件的要求相一致的相关文件可以</w:t>
      </w:r>
      <w:r>
        <w:rPr>
          <w:rFonts w:hint="eastAsia" w:ascii="仿宋" w:hAnsi="仿宋" w:eastAsia="仿宋" w:cs="仿宋"/>
          <w:color w:val="auto"/>
          <w:spacing w:val="10"/>
          <w:sz w:val="24"/>
          <w:szCs w:val="24"/>
          <w:highlight w:val="none"/>
        </w:rPr>
        <w:t>是手</w:t>
      </w:r>
      <w:r>
        <w:rPr>
          <w:rFonts w:hint="eastAsia" w:ascii="仿宋" w:hAnsi="仿宋" w:eastAsia="仿宋" w:cs="仿宋"/>
          <w:color w:val="auto"/>
          <w:spacing w:val="-2"/>
          <w:sz w:val="24"/>
          <w:szCs w:val="24"/>
          <w:highlight w:val="none"/>
        </w:rPr>
        <w:t>册、图纸、文字资料和数据等。</w:t>
      </w:r>
    </w:p>
    <w:p w14:paraId="704FEA46">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b/>
          <w:bCs/>
          <w:color w:val="auto"/>
          <w:spacing w:val="-8"/>
          <w:sz w:val="24"/>
          <w:szCs w:val="24"/>
          <w:highlight w:val="none"/>
        </w:rPr>
        <w:t>六）投标文件的编制</w:t>
      </w:r>
    </w:p>
    <w:p w14:paraId="75467D37">
      <w:pPr>
        <w:keepNext w:val="0"/>
        <w:keepLines w:val="0"/>
        <w:pageBreakBefore w:val="0"/>
        <w:widowControl w:val="0"/>
        <w:kinsoku/>
        <w:wordWrap/>
        <w:overflowPunct/>
        <w:topLinePunct w:val="0"/>
        <w:autoSpaceDE w:val="0"/>
        <w:autoSpaceDN w:val="0"/>
        <w:bidi w:val="0"/>
        <w:adjustRightInd w:val="0"/>
        <w:snapToGrid/>
        <w:spacing w:line="420" w:lineRule="exact"/>
        <w:ind w:right="0" w:firstLine="468"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1.投标文件（资格文件、商务技术文件、报价文件）应按第六章“投标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文件格式”及“</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4"/>
          <w:sz w:val="24"/>
          <w:szCs w:val="24"/>
          <w:highlight w:val="none"/>
        </w:rPr>
        <w:t>政采云电子投标客户端”软件进行编写，如有必要，可以增加</w:t>
      </w:r>
      <w:r>
        <w:rPr>
          <w:rFonts w:hint="eastAsia" w:ascii="仿宋" w:hAnsi="仿宋" w:eastAsia="仿宋" w:cs="仿宋"/>
          <w:color w:val="auto"/>
          <w:spacing w:val="-1"/>
          <w:sz w:val="24"/>
          <w:szCs w:val="24"/>
          <w:highlight w:val="none"/>
        </w:rPr>
        <w:t>附页，作为投标文件的组成部分。在满足招标采购文件实质性要求的基础上，可以提出比招标采购文件要求更有利于采购人的承诺。</w:t>
      </w:r>
    </w:p>
    <w:p w14:paraId="7349746D">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2.投标文件应当对招标采购文件有关</w:t>
      </w:r>
      <w:r>
        <w:rPr>
          <w:rFonts w:hint="eastAsia" w:ascii="仿宋" w:hAnsi="仿宋" w:eastAsia="仿宋" w:cs="仿宋"/>
          <w:color w:val="auto"/>
          <w:spacing w:val="2"/>
          <w:sz w:val="24"/>
          <w:szCs w:val="24"/>
          <w:highlight w:val="none"/>
          <w:lang w:eastAsia="zh-CN"/>
        </w:rPr>
        <w:t>服务期</w:t>
      </w:r>
      <w:r>
        <w:rPr>
          <w:rFonts w:hint="eastAsia" w:ascii="仿宋" w:hAnsi="仿宋" w:eastAsia="仿宋" w:cs="仿宋"/>
          <w:color w:val="auto"/>
          <w:spacing w:val="2"/>
          <w:sz w:val="24"/>
          <w:szCs w:val="24"/>
          <w:highlight w:val="none"/>
        </w:rPr>
        <w:t>、投标有</w:t>
      </w:r>
      <w:r>
        <w:rPr>
          <w:rFonts w:hint="eastAsia" w:ascii="仿宋" w:hAnsi="仿宋" w:eastAsia="仿宋" w:cs="仿宋"/>
          <w:color w:val="auto"/>
          <w:spacing w:val="1"/>
          <w:sz w:val="24"/>
          <w:szCs w:val="24"/>
          <w:highlight w:val="none"/>
        </w:rPr>
        <w:t>效期、采购人</w:t>
      </w:r>
      <w:r>
        <w:rPr>
          <w:rFonts w:hint="eastAsia" w:ascii="仿宋" w:hAnsi="仿宋" w:eastAsia="仿宋" w:cs="仿宋"/>
          <w:color w:val="auto"/>
          <w:spacing w:val="-2"/>
          <w:sz w:val="24"/>
          <w:szCs w:val="24"/>
          <w:highlight w:val="none"/>
        </w:rPr>
        <w:t>要求、招标范围等实质性内容作出响应。</w:t>
      </w:r>
    </w:p>
    <w:p w14:paraId="09F5A83B">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22"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15"/>
          <w:sz w:val="24"/>
          <w:szCs w:val="24"/>
          <w:highlight w:val="none"/>
        </w:rPr>
        <w:t>四、投标</w:t>
      </w:r>
    </w:p>
    <w:p w14:paraId="2DA09574">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w:t>
      </w:r>
      <w:r>
        <w:rPr>
          <w:rFonts w:hint="eastAsia" w:ascii="仿宋" w:hAnsi="仿宋" w:eastAsia="仿宋" w:cs="仿宋"/>
          <w:color w:val="auto"/>
          <w:spacing w:val="-69"/>
          <w:sz w:val="24"/>
          <w:szCs w:val="24"/>
          <w:highlight w:val="none"/>
        </w:rPr>
        <w:t xml:space="preserve"> </w:t>
      </w:r>
      <w:r>
        <w:rPr>
          <w:rFonts w:hint="eastAsia" w:ascii="仿宋" w:hAnsi="仿宋" w:eastAsia="仿宋" w:cs="仿宋"/>
          <w:b/>
          <w:bCs/>
          <w:color w:val="auto"/>
          <w:spacing w:val="-8"/>
          <w:sz w:val="24"/>
          <w:szCs w:val="24"/>
          <w:highlight w:val="none"/>
        </w:rPr>
        <w:t>一）投标文件的递交</w:t>
      </w:r>
    </w:p>
    <w:p w14:paraId="31F9DD1E">
      <w:pPr>
        <w:keepNext w:val="0"/>
        <w:keepLines w:val="0"/>
        <w:pageBreakBefore w:val="0"/>
        <w:widowControl w:val="0"/>
        <w:kinsoku/>
        <w:wordWrap/>
        <w:overflowPunct/>
        <w:topLinePunct w:val="0"/>
        <w:autoSpaceDE w:val="0"/>
        <w:autoSpaceDN w:val="0"/>
        <w:bidi w:val="0"/>
        <w:adjustRightInd w:val="0"/>
        <w:snapToGrid/>
        <w:spacing w:line="420" w:lineRule="exact"/>
        <w:ind w:right="0" w:firstLine="48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1.投标人应在投标人须知前附表规定的投标截止时间前将电子投</w:t>
      </w:r>
      <w:r>
        <w:rPr>
          <w:rFonts w:hint="eastAsia" w:ascii="仿宋" w:hAnsi="仿宋" w:eastAsia="仿宋" w:cs="仿宋"/>
          <w:color w:val="auto"/>
          <w:sz w:val="24"/>
          <w:szCs w:val="24"/>
          <w:highlight w:val="none"/>
        </w:rPr>
        <w:t>标文</w:t>
      </w:r>
      <w:r>
        <w:rPr>
          <w:rFonts w:hint="eastAsia" w:ascii="仿宋" w:hAnsi="仿宋" w:eastAsia="仿宋" w:cs="仿宋"/>
          <w:color w:val="auto"/>
          <w:spacing w:val="-3"/>
          <w:sz w:val="24"/>
          <w:szCs w:val="24"/>
          <w:highlight w:val="none"/>
        </w:rPr>
        <w:t>件传输递交。</w:t>
      </w:r>
    </w:p>
    <w:p w14:paraId="2FDF4A4E">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rPr>
        <w:t>2.逾期上传或逾期解密的投标文件，电子交</w:t>
      </w:r>
      <w:r>
        <w:rPr>
          <w:rFonts w:hint="eastAsia" w:ascii="仿宋" w:hAnsi="仿宋" w:eastAsia="仿宋" w:cs="仿宋"/>
          <w:color w:val="auto"/>
          <w:spacing w:val="-1"/>
          <w:sz w:val="24"/>
          <w:szCs w:val="24"/>
          <w:highlight w:val="none"/>
        </w:rPr>
        <w:t>易平台予以拒收。</w:t>
      </w:r>
    </w:p>
    <w:p w14:paraId="414D176C">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3.投标人递交投标文件的地点：见投标人须知前附表。</w:t>
      </w:r>
    </w:p>
    <w:p w14:paraId="6C0106F1">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w:t>
      </w:r>
      <w:r>
        <w:rPr>
          <w:rFonts w:hint="eastAsia" w:ascii="仿宋" w:hAnsi="仿宋" w:eastAsia="仿宋" w:cs="仿宋"/>
          <w:color w:val="auto"/>
          <w:spacing w:val="-77"/>
          <w:sz w:val="24"/>
          <w:szCs w:val="24"/>
          <w:highlight w:val="none"/>
        </w:rPr>
        <w:t xml:space="preserve"> </w:t>
      </w:r>
      <w:r>
        <w:rPr>
          <w:rFonts w:hint="eastAsia" w:ascii="仿宋" w:hAnsi="仿宋" w:eastAsia="仿宋" w:cs="仿宋"/>
          <w:b/>
          <w:bCs/>
          <w:color w:val="auto"/>
          <w:spacing w:val="-6"/>
          <w:sz w:val="24"/>
          <w:szCs w:val="24"/>
          <w:highlight w:val="none"/>
        </w:rPr>
        <w:t>二）投标文件的修改与撤回</w:t>
      </w:r>
    </w:p>
    <w:p w14:paraId="7F47BF14">
      <w:pPr>
        <w:keepNext w:val="0"/>
        <w:keepLines w:val="0"/>
        <w:pageBreakBefore w:val="0"/>
        <w:widowControl w:val="0"/>
        <w:kinsoku/>
        <w:wordWrap/>
        <w:overflowPunct/>
        <w:topLinePunct w:val="0"/>
        <w:autoSpaceDE w:val="0"/>
        <w:autoSpaceDN w:val="0"/>
        <w:bidi w:val="0"/>
        <w:adjustRightInd w:val="0"/>
        <w:snapToGrid/>
        <w:spacing w:line="420" w:lineRule="exact"/>
        <w:ind w:right="0" w:firstLine="484"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1.投标人应当在投标截止时间前完成投标文件的传输递交，并可以补</w:t>
      </w:r>
      <w:r>
        <w:rPr>
          <w:rFonts w:hint="eastAsia" w:ascii="仿宋" w:hAnsi="仿宋" w:eastAsia="仿宋" w:cs="仿宋"/>
          <w:color w:val="auto"/>
          <w:spacing w:val="-1"/>
          <w:sz w:val="24"/>
          <w:szCs w:val="24"/>
          <w:highlight w:val="none"/>
        </w:rPr>
        <w:t>充、修改或者撤回投标文件。补充或者修改投标文件的，应当先行撤回原文件，补充、修改后重新传输递交。投标截止时间前未完成传输的，视为</w:t>
      </w:r>
      <w:r>
        <w:rPr>
          <w:rFonts w:hint="eastAsia" w:ascii="仿宋" w:hAnsi="仿宋" w:eastAsia="仿宋" w:cs="仿宋"/>
          <w:color w:val="auto"/>
          <w:spacing w:val="-6"/>
          <w:sz w:val="24"/>
          <w:szCs w:val="24"/>
          <w:highlight w:val="none"/>
        </w:rPr>
        <w:t>撤回投标文件。投标截止时间后递交的投标文件，电子交易平台予以拒收。</w:t>
      </w:r>
    </w:p>
    <w:p w14:paraId="286A20D8">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2.在投标截止时</w:t>
      </w:r>
      <w:r>
        <w:rPr>
          <w:rFonts w:hint="eastAsia" w:ascii="仿宋" w:hAnsi="仿宋" w:eastAsia="仿宋" w:cs="仿宋"/>
          <w:color w:val="auto"/>
          <w:spacing w:val="2"/>
          <w:sz w:val="24"/>
          <w:szCs w:val="24"/>
          <w:highlight w:val="none"/>
          <w:lang w:eastAsia="zh-CN"/>
        </w:rPr>
        <w:t>间之</w:t>
      </w:r>
      <w:r>
        <w:rPr>
          <w:rFonts w:hint="eastAsia" w:ascii="仿宋" w:hAnsi="仿宋" w:eastAsia="仿宋" w:cs="仿宋"/>
          <w:color w:val="auto"/>
          <w:spacing w:val="2"/>
          <w:sz w:val="24"/>
          <w:szCs w:val="24"/>
          <w:highlight w:val="none"/>
        </w:rPr>
        <w:t>前，除投标人补充、修改或者撤回投标文件外，任</w:t>
      </w:r>
      <w:r>
        <w:rPr>
          <w:rFonts w:hint="eastAsia" w:ascii="仿宋" w:hAnsi="仿宋" w:eastAsia="仿宋" w:cs="仿宋"/>
          <w:color w:val="auto"/>
          <w:spacing w:val="-1"/>
          <w:sz w:val="24"/>
          <w:szCs w:val="24"/>
          <w:highlight w:val="none"/>
        </w:rPr>
        <w:t>何单位和个人不得解密或提取投标文件。</w:t>
      </w:r>
    </w:p>
    <w:p w14:paraId="55C69B8C">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3.采购人、采购代理机构可以视情况延长投标文件提交的</w:t>
      </w:r>
      <w:r>
        <w:rPr>
          <w:rFonts w:hint="eastAsia" w:ascii="仿宋" w:hAnsi="仿宋" w:eastAsia="仿宋" w:cs="仿宋"/>
          <w:color w:val="auto"/>
          <w:spacing w:val="1"/>
          <w:sz w:val="24"/>
          <w:szCs w:val="24"/>
          <w:highlight w:val="none"/>
        </w:rPr>
        <w:t>截止时</w:t>
      </w:r>
      <w:r>
        <w:rPr>
          <w:rFonts w:hint="eastAsia" w:ascii="仿宋" w:hAnsi="仿宋" w:eastAsia="仿宋" w:cs="仿宋"/>
          <w:color w:val="auto"/>
          <w:spacing w:val="-1"/>
          <w:sz w:val="24"/>
          <w:szCs w:val="24"/>
          <w:highlight w:val="none"/>
        </w:rPr>
        <w:t>间。在上述情况下，采购代理机构与投标人以前在投标截止期方面的全部权利、责任和义务，将适用于延长至新的投标截止期。</w:t>
      </w:r>
    </w:p>
    <w:p w14:paraId="01C0F4EA">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6"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五、开标</w:t>
      </w:r>
    </w:p>
    <w:p w14:paraId="53BB4545">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w:t>
      </w:r>
      <w:r>
        <w:rPr>
          <w:rFonts w:hint="eastAsia" w:ascii="仿宋" w:hAnsi="仿宋" w:eastAsia="仿宋" w:cs="仿宋"/>
          <w:color w:val="auto"/>
          <w:spacing w:val="-69"/>
          <w:sz w:val="24"/>
          <w:szCs w:val="24"/>
          <w:highlight w:val="none"/>
        </w:rPr>
        <w:t xml:space="preserve"> </w:t>
      </w:r>
      <w:r>
        <w:rPr>
          <w:rFonts w:hint="eastAsia" w:ascii="仿宋" w:hAnsi="仿宋" w:eastAsia="仿宋" w:cs="仿宋"/>
          <w:b/>
          <w:bCs/>
          <w:color w:val="auto"/>
          <w:spacing w:val="-8"/>
          <w:sz w:val="24"/>
          <w:szCs w:val="24"/>
          <w:highlight w:val="none"/>
        </w:rPr>
        <w:t>一）开标时间和地点</w:t>
      </w:r>
    </w:p>
    <w:p w14:paraId="0FD42307">
      <w:pPr>
        <w:keepNext w:val="0"/>
        <w:keepLines w:val="0"/>
        <w:pageBreakBefore w:val="0"/>
        <w:widowControl w:val="0"/>
        <w:kinsoku/>
        <w:wordWrap/>
        <w:overflowPunct/>
        <w:topLinePunct w:val="0"/>
        <w:autoSpaceDE w:val="0"/>
        <w:autoSpaceDN w:val="0"/>
        <w:bidi w:val="0"/>
        <w:adjustRightInd w:val="0"/>
        <w:snapToGrid/>
        <w:spacing w:line="420" w:lineRule="exact"/>
        <w:ind w:right="0" w:firstLine="51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采购人在投标人须知前附表规定的开标时间和投标人须知前</w:t>
      </w:r>
      <w:r>
        <w:rPr>
          <w:rFonts w:hint="eastAsia" w:ascii="仿宋" w:hAnsi="仿宋" w:eastAsia="仿宋" w:cs="仿宋"/>
          <w:color w:val="auto"/>
          <w:spacing w:val="8"/>
          <w:sz w:val="24"/>
          <w:szCs w:val="24"/>
          <w:highlight w:val="none"/>
        </w:rPr>
        <w:t>附表规</w:t>
      </w:r>
      <w:r>
        <w:rPr>
          <w:rFonts w:hint="eastAsia" w:ascii="仿宋" w:hAnsi="仿宋" w:eastAsia="仿宋" w:cs="仿宋"/>
          <w:color w:val="auto"/>
          <w:spacing w:val="-3"/>
          <w:sz w:val="24"/>
          <w:szCs w:val="24"/>
          <w:highlight w:val="none"/>
        </w:rPr>
        <w:t>定的地点开标。</w:t>
      </w:r>
    </w:p>
    <w:p w14:paraId="3F7A8641">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b/>
          <w:bCs/>
          <w:color w:val="auto"/>
          <w:spacing w:val="-10"/>
          <w:sz w:val="24"/>
          <w:szCs w:val="24"/>
          <w:highlight w:val="none"/>
        </w:rPr>
        <w:t>二）开标程序</w:t>
      </w:r>
    </w:p>
    <w:p w14:paraId="7551915E">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1.具体开标程序见投标人须知前附表。</w:t>
      </w:r>
    </w:p>
    <w:p w14:paraId="61691DDD">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2.开标过程中，因投标人自身原因造成电子版投标文件无法解密读取</w:t>
      </w:r>
      <w:r>
        <w:rPr>
          <w:rFonts w:hint="eastAsia" w:ascii="仿宋" w:hAnsi="仿宋" w:eastAsia="仿宋" w:cs="仿宋"/>
          <w:color w:val="auto"/>
          <w:spacing w:val="-3"/>
          <w:sz w:val="24"/>
          <w:szCs w:val="24"/>
          <w:highlight w:val="none"/>
        </w:rPr>
        <w:t>的，经监标人确认后当场宣布为废标。</w:t>
      </w:r>
    </w:p>
    <w:p w14:paraId="7979ABE9">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3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w:t>
      </w:r>
      <w:r>
        <w:rPr>
          <w:rFonts w:hint="eastAsia" w:ascii="仿宋" w:hAnsi="仿宋" w:eastAsia="仿宋" w:cs="仿宋"/>
          <w:color w:val="auto"/>
          <w:spacing w:val="-65"/>
          <w:sz w:val="24"/>
          <w:szCs w:val="24"/>
          <w:highlight w:val="none"/>
        </w:rPr>
        <w:t xml:space="preserve"> </w:t>
      </w:r>
      <w:r>
        <w:rPr>
          <w:rFonts w:hint="eastAsia" w:ascii="仿宋" w:hAnsi="仿宋" w:eastAsia="仿宋" w:cs="仿宋"/>
          <w:b/>
          <w:bCs/>
          <w:color w:val="auto"/>
          <w:spacing w:val="-11"/>
          <w:sz w:val="24"/>
          <w:szCs w:val="24"/>
          <w:highlight w:val="none"/>
        </w:rPr>
        <w:t>三）开标异议</w:t>
      </w:r>
    </w:p>
    <w:p w14:paraId="79E3296F">
      <w:pPr>
        <w:keepNext w:val="0"/>
        <w:keepLines w:val="0"/>
        <w:pageBreakBefore w:val="0"/>
        <w:widowControl w:val="0"/>
        <w:numPr>
          <w:ilvl w:val="0"/>
          <w:numId w:val="3"/>
        </w:numPr>
        <w:kinsoku/>
        <w:wordWrap/>
        <w:overflowPunct/>
        <w:topLinePunct w:val="0"/>
        <w:autoSpaceDE w:val="0"/>
        <w:autoSpaceDN w:val="0"/>
        <w:bidi w:val="0"/>
        <w:adjustRightInd w:val="0"/>
        <w:snapToGrid/>
        <w:spacing w:line="420" w:lineRule="exact"/>
        <w:ind w:right="0" w:firstLine="484" w:firstLineChars="200"/>
        <w:jc w:val="both"/>
        <w:textAlignment w:val="auto"/>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pacing w:val="1"/>
          <w:sz w:val="24"/>
          <w:szCs w:val="24"/>
          <w:highlight w:val="none"/>
        </w:rPr>
        <w:t>投标人认为采购过程或中标结果使自己的合法权益受到损害的，应</w:t>
      </w:r>
      <w:r>
        <w:rPr>
          <w:rFonts w:hint="eastAsia" w:ascii="仿宋" w:hAnsi="仿宋" w:eastAsia="仿宋" w:cs="仿宋"/>
          <w:color w:val="auto"/>
          <w:spacing w:val="-3"/>
          <w:sz w:val="24"/>
          <w:szCs w:val="24"/>
          <w:highlight w:val="none"/>
        </w:rPr>
        <w:t>当在中标结果公告之日起七个</w:t>
      </w:r>
      <w:r>
        <w:rPr>
          <w:rFonts w:hint="eastAsia" w:ascii="仿宋" w:hAnsi="仿宋" w:eastAsia="仿宋" w:cs="仿宋"/>
          <w:color w:val="auto"/>
          <w:spacing w:val="-3"/>
          <w:sz w:val="24"/>
          <w:szCs w:val="24"/>
          <w:highlight w:val="none"/>
          <w:lang w:eastAsia="zh-CN"/>
        </w:rPr>
        <w:t>工作日</w:t>
      </w:r>
      <w:r>
        <w:rPr>
          <w:rFonts w:hint="eastAsia" w:ascii="仿宋" w:hAnsi="仿宋" w:eastAsia="仿宋" w:cs="仿宋"/>
          <w:color w:val="auto"/>
          <w:spacing w:val="-3"/>
          <w:sz w:val="24"/>
          <w:szCs w:val="24"/>
          <w:highlight w:val="none"/>
        </w:rPr>
        <w:t>内，以书面形式向采购代理机构</w:t>
      </w:r>
      <w:r>
        <w:rPr>
          <w:rFonts w:hint="eastAsia" w:ascii="仿宋" w:hAnsi="仿宋" w:eastAsia="仿宋" w:cs="仿宋"/>
          <w:color w:val="auto"/>
          <w:spacing w:val="-4"/>
          <w:sz w:val="24"/>
          <w:szCs w:val="24"/>
          <w:highlight w:val="none"/>
        </w:rPr>
        <w:t>提出</w:t>
      </w:r>
      <w:r>
        <w:rPr>
          <w:rFonts w:hint="eastAsia" w:ascii="仿宋" w:hAnsi="仿宋" w:eastAsia="仿宋" w:cs="仿宋"/>
          <w:color w:val="auto"/>
          <w:spacing w:val="-1"/>
          <w:sz w:val="24"/>
          <w:szCs w:val="24"/>
          <w:highlight w:val="none"/>
        </w:rPr>
        <w:t>质疑。投标人对招标采购单位的质疑答复不满意或者招标采购单位未在规</w:t>
      </w:r>
      <w:r>
        <w:rPr>
          <w:rFonts w:hint="eastAsia" w:ascii="仿宋" w:hAnsi="仿宋" w:eastAsia="仿宋" w:cs="仿宋"/>
          <w:color w:val="auto"/>
          <w:spacing w:val="-3"/>
          <w:sz w:val="24"/>
          <w:szCs w:val="24"/>
          <w:highlight w:val="none"/>
        </w:rPr>
        <w:t>定时间</w:t>
      </w:r>
      <w:r>
        <w:rPr>
          <w:rFonts w:hint="eastAsia" w:ascii="仿宋" w:hAnsi="仿宋" w:eastAsia="仿宋" w:cs="仿宋"/>
          <w:color w:val="auto"/>
          <w:spacing w:val="-3"/>
          <w:sz w:val="24"/>
          <w:szCs w:val="24"/>
          <w:highlight w:val="none"/>
          <w:lang w:eastAsia="zh-CN"/>
        </w:rPr>
        <w:t>内作出答复</w:t>
      </w:r>
      <w:r>
        <w:rPr>
          <w:rFonts w:hint="eastAsia" w:ascii="仿宋" w:hAnsi="仿宋" w:eastAsia="仿宋" w:cs="仿宋"/>
          <w:color w:val="auto"/>
          <w:spacing w:val="-3"/>
          <w:sz w:val="24"/>
          <w:szCs w:val="24"/>
          <w:highlight w:val="none"/>
        </w:rPr>
        <w:t>的，可以在答复期满后十五个</w:t>
      </w:r>
      <w:r>
        <w:rPr>
          <w:rFonts w:hint="eastAsia" w:ascii="仿宋" w:hAnsi="仿宋" w:eastAsia="仿宋" w:cs="仿宋"/>
          <w:color w:val="auto"/>
          <w:spacing w:val="-3"/>
          <w:sz w:val="24"/>
          <w:szCs w:val="24"/>
          <w:highlight w:val="none"/>
          <w:lang w:eastAsia="zh-CN"/>
        </w:rPr>
        <w:t>工作日</w:t>
      </w:r>
      <w:r>
        <w:rPr>
          <w:rFonts w:hint="eastAsia" w:ascii="仿宋" w:hAnsi="仿宋" w:eastAsia="仿宋" w:cs="仿宋"/>
          <w:color w:val="auto"/>
          <w:spacing w:val="-3"/>
          <w:sz w:val="24"/>
          <w:szCs w:val="24"/>
          <w:highlight w:val="none"/>
        </w:rPr>
        <w:t>内向同级政府采购监管部门投诉。</w:t>
      </w:r>
    </w:p>
    <w:p w14:paraId="306ADB5B">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right="0" w:rightChars="0" w:firstLine="488"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2.质疑、投诉应当采用书面形式，质疑书、投诉书均应明确阐述招标</w:t>
      </w:r>
      <w:r>
        <w:rPr>
          <w:rFonts w:hint="eastAsia" w:ascii="仿宋" w:hAnsi="仿宋" w:eastAsia="仿宋" w:cs="仿宋"/>
          <w:color w:val="auto"/>
          <w:spacing w:val="-1"/>
          <w:sz w:val="24"/>
          <w:szCs w:val="24"/>
          <w:highlight w:val="none"/>
        </w:rPr>
        <w:t>采购过程或中标结果中使自己合法权益受到损害的实质性内容，提供相关事实、依据和证据及其来源或线索，便于有关单位调查、答复和处理，否</w:t>
      </w:r>
      <w:r>
        <w:rPr>
          <w:rFonts w:hint="eastAsia" w:ascii="仿宋" w:hAnsi="仿宋" w:eastAsia="仿宋" w:cs="仿宋"/>
          <w:color w:val="auto"/>
          <w:spacing w:val="-3"/>
          <w:sz w:val="24"/>
          <w:szCs w:val="24"/>
          <w:highlight w:val="none"/>
        </w:rPr>
        <w:t>则，将不予受理。</w:t>
      </w:r>
    </w:p>
    <w:p w14:paraId="795D54CB">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2"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六、评标</w:t>
      </w:r>
    </w:p>
    <w:p w14:paraId="451F3B21">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b/>
          <w:bCs/>
          <w:color w:val="auto"/>
          <w:spacing w:val="-8"/>
          <w:sz w:val="24"/>
          <w:szCs w:val="24"/>
          <w:highlight w:val="none"/>
        </w:rPr>
        <w:t>一）组建评标委员会</w:t>
      </w:r>
    </w:p>
    <w:p w14:paraId="7FA4F004">
      <w:pPr>
        <w:keepNext w:val="0"/>
        <w:keepLines w:val="0"/>
        <w:pageBreakBefore w:val="0"/>
        <w:widowControl w:val="0"/>
        <w:kinsoku/>
        <w:wordWrap/>
        <w:overflowPunct/>
        <w:topLinePunct w:val="0"/>
        <w:autoSpaceDE w:val="0"/>
        <w:autoSpaceDN w:val="0"/>
        <w:bidi w:val="0"/>
        <w:adjustRightInd w:val="0"/>
        <w:snapToGrid/>
        <w:spacing w:line="420" w:lineRule="exact"/>
        <w:ind w:right="0" w:firstLine="48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1.评标由采购人依法组建的评标委员会负责。评标委员会由采购人有</w:t>
      </w:r>
      <w:r>
        <w:rPr>
          <w:rFonts w:hint="eastAsia" w:ascii="仿宋" w:hAnsi="仿宋" w:eastAsia="仿宋" w:cs="仿宋"/>
          <w:color w:val="auto"/>
          <w:spacing w:val="-2"/>
          <w:sz w:val="24"/>
          <w:szCs w:val="24"/>
          <w:highlight w:val="none"/>
        </w:rPr>
        <w:t>关技术、经济等方面的专家组成。</w:t>
      </w:r>
    </w:p>
    <w:p w14:paraId="09AE6F1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2.评标委员会成员有下列情形之一的，应</w:t>
      </w:r>
      <w:r>
        <w:rPr>
          <w:rFonts w:hint="eastAsia" w:ascii="仿宋" w:hAnsi="仿宋" w:eastAsia="仿宋" w:cs="仿宋"/>
          <w:color w:val="auto"/>
          <w:spacing w:val="-1"/>
          <w:sz w:val="24"/>
          <w:szCs w:val="24"/>
          <w:highlight w:val="none"/>
        </w:rPr>
        <w:t>当回避：</w:t>
      </w:r>
    </w:p>
    <w:p w14:paraId="63490395">
      <w:pPr>
        <w:keepNext w:val="0"/>
        <w:keepLines w:val="0"/>
        <w:pageBreakBefore w:val="0"/>
        <w:widowControl w:val="0"/>
        <w:kinsoku/>
        <w:wordWrap/>
        <w:overflowPunct/>
        <w:topLinePunct w:val="0"/>
        <w:autoSpaceDE w:val="0"/>
        <w:autoSpaceDN w:val="0"/>
        <w:bidi w:val="0"/>
        <w:adjustRightInd w:val="0"/>
        <w:snapToGrid/>
        <w:spacing w:line="420" w:lineRule="exact"/>
        <w:ind w:right="0" w:firstLine="48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参加采购活动前三年内，与投标人存在劳动关系，或者担任过</w:t>
      </w:r>
      <w:r>
        <w:rPr>
          <w:rFonts w:hint="eastAsia" w:ascii="仿宋" w:hAnsi="仿宋" w:eastAsia="仿宋" w:cs="仿宋"/>
          <w:color w:val="auto"/>
          <w:spacing w:val="-1"/>
          <w:sz w:val="24"/>
          <w:szCs w:val="24"/>
          <w:highlight w:val="none"/>
        </w:rPr>
        <w:t>投标人的董事、监事，或者是供应商的控股股东或实际控制人；</w:t>
      </w:r>
    </w:p>
    <w:p w14:paraId="052F493D">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与供应商的法定代表人或者负责人有夫妻、直系血亲、三代以</w:t>
      </w:r>
      <w:r>
        <w:rPr>
          <w:rFonts w:hint="eastAsia" w:ascii="仿宋" w:hAnsi="仿宋" w:eastAsia="仿宋" w:cs="仿宋"/>
          <w:color w:val="auto"/>
          <w:spacing w:val="-5"/>
          <w:sz w:val="24"/>
          <w:szCs w:val="24"/>
          <w:highlight w:val="none"/>
        </w:rPr>
        <w:t>内旁系血亲或者近姻亲关系；</w:t>
      </w:r>
    </w:p>
    <w:p w14:paraId="4C26D28B">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lang w:val="en-US" w:eastAsia="zh-CN"/>
        </w:rPr>
        <w:t>3</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与供应商有其他可能影响政府采购活动公平、公正进行的关系。</w:t>
      </w:r>
    </w:p>
    <w:p w14:paraId="0FA6E13D">
      <w:pPr>
        <w:keepNext w:val="0"/>
        <w:keepLines w:val="0"/>
        <w:pageBreakBefore w:val="0"/>
        <w:widowControl w:val="0"/>
        <w:kinsoku/>
        <w:wordWrap/>
        <w:overflowPunct/>
        <w:topLinePunct w:val="0"/>
        <w:autoSpaceDE w:val="0"/>
        <w:autoSpaceDN w:val="0"/>
        <w:bidi w:val="0"/>
        <w:adjustRightInd w:val="0"/>
        <w:snapToGrid/>
        <w:spacing w:line="420" w:lineRule="exact"/>
        <w:ind w:right="0" w:firstLine="49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4</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评审专家发现本人与参加采购活动的供</w:t>
      </w:r>
      <w:r>
        <w:rPr>
          <w:rFonts w:hint="eastAsia" w:ascii="仿宋" w:hAnsi="仿宋" w:eastAsia="仿宋" w:cs="仿宋"/>
          <w:color w:val="auto"/>
          <w:spacing w:val="3"/>
          <w:sz w:val="24"/>
          <w:szCs w:val="24"/>
          <w:highlight w:val="none"/>
        </w:rPr>
        <w:t>应商有利害关系的，或</w:t>
      </w:r>
      <w:r>
        <w:rPr>
          <w:rFonts w:hint="eastAsia" w:ascii="仿宋" w:hAnsi="仿宋" w:eastAsia="仿宋" w:cs="仿宋"/>
          <w:color w:val="auto"/>
          <w:spacing w:val="-1"/>
          <w:sz w:val="24"/>
          <w:szCs w:val="24"/>
          <w:highlight w:val="none"/>
        </w:rPr>
        <w:t>者已参加过该项目采购文件等论证活动的，应当主动提出回避。</w:t>
      </w:r>
    </w:p>
    <w:p w14:paraId="56E8486B">
      <w:pPr>
        <w:keepNext w:val="0"/>
        <w:keepLines w:val="0"/>
        <w:pageBreakBefore w:val="0"/>
        <w:widowControl w:val="0"/>
        <w:kinsoku/>
        <w:wordWrap/>
        <w:overflowPunct/>
        <w:topLinePunct w:val="0"/>
        <w:autoSpaceDE w:val="0"/>
        <w:autoSpaceDN w:val="0"/>
        <w:bidi w:val="0"/>
        <w:adjustRightInd w:val="0"/>
        <w:snapToGrid/>
        <w:spacing w:line="420" w:lineRule="exact"/>
        <w:ind w:right="0" w:firstLine="49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5</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财政部门政府采购监督管理工作人员，</w:t>
      </w:r>
      <w:r>
        <w:rPr>
          <w:rFonts w:hint="eastAsia" w:ascii="仿宋" w:hAnsi="仿宋" w:eastAsia="仿宋" w:cs="仿宋"/>
          <w:color w:val="auto"/>
          <w:spacing w:val="3"/>
          <w:sz w:val="24"/>
          <w:szCs w:val="24"/>
          <w:highlight w:val="none"/>
        </w:rPr>
        <w:t>不得作为评审专家参与</w:t>
      </w:r>
      <w:r>
        <w:rPr>
          <w:rFonts w:hint="eastAsia" w:ascii="仿宋" w:hAnsi="仿宋" w:eastAsia="仿宋" w:cs="仿宋"/>
          <w:color w:val="auto"/>
          <w:spacing w:val="-8"/>
          <w:sz w:val="24"/>
          <w:szCs w:val="24"/>
          <w:highlight w:val="none"/>
        </w:rPr>
        <w:t>政府采购项</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8"/>
          <w:sz w:val="24"/>
          <w:szCs w:val="24"/>
          <w:highlight w:val="none"/>
        </w:rPr>
        <w:t>目的评审活动。</w:t>
      </w:r>
    </w:p>
    <w:p w14:paraId="27422683">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6</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采购代理机构工作人员不得参加由本机构代理的政府采购项</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2"/>
          <w:sz w:val="24"/>
          <w:szCs w:val="24"/>
          <w:highlight w:val="none"/>
        </w:rPr>
        <w:t>目</w:t>
      </w:r>
      <w:r>
        <w:rPr>
          <w:rFonts w:hint="eastAsia" w:ascii="仿宋" w:hAnsi="仿宋" w:eastAsia="仿宋" w:cs="仿宋"/>
          <w:color w:val="auto"/>
          <w:spacing w:val="-11"/>
          <w:sz w:val="24"/>
          <w:szCs w:val="24"/>
          <w:highlight w:val="none"/>
        </w:rPr>
        <w:t>的评审。</w:t>
      </w:r>
    </w:p>
    <w:p w14:paraId="7ADB7010">
      <w:pPr>
        <w:keepNext w:val="0"/>
        <w:keepLines w:val="0"/>
        <w:pageBreakBefore w:val="0"/>
        <w:widowControl w:val="0"/>
        <w:kinsoku/>
        <w:wordWrap/>
        <w:overflowPunct/>
        <w:topLinePunct w:val="0"/>
        <w:autoSpaceDE w:val="0"/>
        <w:autoSpaceDN w:val="0"/>
        <w:bidi w:val="0"/>
        <w:adjustRightInd w:val="0"/>
        <w:snapToGrid/>
        <w:spacing w:line="420" w:lineRule="exact"/>
        <w:ind w:right="0" w:firstLine="49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7</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评审专家对本单位的政府采购项目只能</w:t>
      </w:r>
      <w:r>
        <w:rPr>
          <w:rFonts w:hint="eastAsia" w:ascii="仿宋" w:hAnsi="仿宋" w:eastAsia="仿宋" w:cs="仿宋"/>
          <w:color w:val="auto"/>
          <w:spacing w:val="3"/>
          <w:sz w:val="24"/>
          <w:szCs w:val="24"/>
          <w:highlight w:val="none"/>
        </w:rPr>
        <w:t>作为采购人代表参与评</w:t>
      </w:r>
      <w:r>
        <w:rPr>
          <w:rFonts w:hint="eastAsia" w:ascii="仿宋" w:hAnsi="仿宋" w:eastAsia="仿宋" w:cs="仿宋"/>
          <w:color w:val="auto"/>
          <w:spacing w:val="-10"/>
          <w:sz w:val="24"/>
          <w:szCs w:val="24"/>
          <w:highlight w:val="none"/>
        </w:rPr>
        <w:t>审活动。</w:t>
      </w:r>
    </w:p>
    <w:p w14:paraId="2886A2DC">
      <w:pPr>
        <w:keepNext w:val="0"/>
        <w:keepLines w:val="0"/>
        <w:pageBreakBefore w:val="0"/>
        <w:widowControl w:val="0"/>
        <w:kinsoku/>
        <w:wordWrap/>
        <w:overflowPunct/>
        <w:topLinePunct w:val="0"/>
        <w:autoSpaceDE w:val="0"/>
        <w:autoSpaceDN w:val="0"/>
        <w:bidi w:val="0"/>
        <w:adjustRightInd w:val="0"/>
        <w:snapToGrid/>
        <w:spacing w:line="420" w:lineRule="exact"/>
        <w:ind w:right="0" w:firstLine="50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5"/>
          <w:sz w:val="24"/>
          <w:szCs w:val="24"/>
          <w:highlight w:val="none"/>
          <w:lang w:val="en-US" w:eastAsia="zh-CN"/>
        </w:rPr>
        <w:t>8</w:t>
      </w: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5"/>
          <w:sz w:val="24"/>
          <w:szCs w:val="24"/>
          <w:highlight w:val="none"/>
        </w:rPr>
        <w:t>曾因在招标、评标以及其他与招标投标有关活动中从事违法行</w:t>
      </w:r>
      <w:r>
        <w:rPr>
          <w:rFonts w:hint="eastAsia" w:ascii="仿宋" w:hAnsi="仿宋" w:eastAsia="仿宋" w:cs="仿宋"/>
          <w:color w:val="auto"/>
          <w:spacing w:val="-2"/>
          <w:sz w:val="24"/>
          <w:szCs w:val="24"/>
          <w:highlight w:val="none"/>
        </w:rPr>
        <w:t>为而受过行政处罚或刑事处罚的。</w:t>
      </w:r>
    </w:p>
    <w:p w14:paraId="68BA0FB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3.评标过程中，评标委员会成员有回避事由、擅离职守或</w:t>
      </w:r>
      <w:r>
        <w:rPr>
          <w:rFonts w:hint="eastAsia" w:ascii="仿宋" w:hAnsi="仿宋" w:eastAsia="仿宋" w:cs="仿宋"/>
          <w:color w:val="auto"/>
          <w:spacing w:val="1"/>
          <w:sz w:val="24"/>
          <w:szCs w:val="24"/>
          <w:highlight w:val="none"/>
        </w:rPr>
        <w:t>者因健康等</w:t>
      </w:r>
      <w:r>
        <w:rPr>
          <w:rFonts w:hint="eastAsia" w:ascii="仿宋" w:hAnsi="仿宋" w:eastAsia="仿宋" w:cs="仿宋"/>
          <w:color w:val="auto"/>
          <w:spacing w:val="-1"/>
          <w:sz w:val="24"/>
          <w:szCs w:val="24"/>
          <w:highlight w:val="none"/>
        </w:rPr>
        <w:t>原因不能继续评标的，采购人有权更换。被更换的评标委员会成员作出的评审结论无效，由更换后的评标委员会成员重新进行评审。</w:t>
      </w:r>
    </w:p>
    <w:p w14:paraId="6ECFFAD8">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b/>
          <w:bCs/>
          <w:color w:val="auto"/>
          <w:spacing w:val="-10"/>
          <w:sz w:val="24"/>
          <w:szCs w:val="24"/>
          <w:highlight w:val="none"/>
        </w:rPr>
        <w:t>二）评标原则</w:t>
      </w:r>
    </w:p>
    <w:p w14:paraId="69726E92">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评标活动遵循公平、公正、科学和择优的原则。本项目采用不公开方</w:t>
      </w:r>
      <w:r>
        <w:rPr>
          <w:rFonts w:hint="eastAsia" w:ascii="仿宋" w:hAnsi="仿宋" w:eastAsia="仿宋" w:cs="仿宋"/>
          <w:color w:val="auto"/>
          <w:spacing w:val="-2"/>
          <w:sz w:val="24"/>
          <w:szCs w:val="24"/>
          <w:highlight w:val="none"/>
        </w:rPr>
        <w:t>式评标，评标的依据为招标采购文件和投标文件。</w:t>
      </w:r>
    </w:p>
    <w:p w14:paraId="386C738D">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2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4"/>
          <w:sz w:val="24"/>
          <w:szCs w:val="24"/>
          <w:highlight w:val="none"/>
        </w:rPr>
        <w:t>（</w:t>
      </w:r>
      <w:r>
        <w:rPr>
          <w:rFonts w:hint="eastAsia" w:ascii="仿宋" w:hAnsi="仿宋" w:eastAsia="仿宋" w:cs="仿宋"/>
          <w:color w:val="auto"/>
          <w:spacing w:val="-68"/>
          <w:sz w:val="24"/>
          <w:szCs w:val="24"/>
          <w:highlight w:val="none"/>
        </w:rPr>
        <w:t xml:space="preserve"> </w:t>
      </w:r>
      <w:r>
        <w:rPr>
          <w:rFonts w:hint="eastAsia" w:ascii="仿宋" w:hAnsi="仿宋" w:eastAsia="仿宋" w:cs="仿宋"/>
          <w:b/>
          <w:bCs/>
          <w:color w:val="auto"/>
          <w:spacing w:val="-14"/>
          <w:sz w:val="24"/>
          <w:szCs w:val="24"/>
          <w:highlight w:val="none"/>
        </w:rPr>
        <w:t>三）评标</w:t>
      </w:r>
    </w:p>
    <w:p w14:paraId="6F358CAF">
      <w:pPr>
        <w:keepNext w:val="0"/>
        <w:keepLines w:val="0"/>
        <w:pageBreakBefore w:val="0"/>
        <w:widowControl w:val="0"/>
        <w:kinsoku/>
        <w:wordWrap/>
        <w:overflowPunct/>
        <w:topLinePunct w:val="0"/>
        <w:autoSpaceDE w:val="0"/>
        <w:autoSpaceDN w:val="0"/>
        <w:bidi w:val="0"/>
        <w:adjustRightInd w:val="0"/>
        <w:snapToGrid/>
        <w:spacing w:line="420" w:lineRule="exact"/>
        <w:ind w:right="0" w:firstLine="484"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1.评标委员会按照第五章“</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1"/>
          <w:sz w:val="24"/>
          <w:szCs w:val="24"/>
          <w:highlight w:val="none"/>
        </w:rPr>
        <w:t>评标办法”规定的方法、评审因素、标准和</w:t>
      </w:r>
      <w:r>
        <w:rPr>
          <w:rFonts w:hint="eastAsia" w:ascii="仿宋" w:hAnsi="仿宋" w:eastAsia="仿宋" w:cs="仿宋"/>
          <w:color w:val="auto"/>
          <w:spacing w:val="-5"/>
          <w:sz w:val="24"/>
          <w:szCs w:val="24"/>
          <w:highlight w:val="none"/>
        </w:rPr>
        <w:t>程序对投标文件进行评审。“评标办法”没有规定的</w:t>
      </w:r>
      <w:r>
        <w:rPr>
          <w:rFonts w:hint="eastAsia" w:ascii="仿宋" w:hAnsi="仿宋" w:eastAsia="仿宋" w:cs="仿宋"/>
          <w:color w:val="auto"/>
          <w:spacing w:val="-6"/>
          <w:sz w:val="24"/>
          <w:szCs w:val="24"/>
          <w:highlight w:val="none"/>
        </w:rPr>
        <w:t>方法、评审因素和标准，</w:t>
      </w:r>
      <w:r>
        <w:rPr>
          <w:rFonts w:hint="eastAsia" w:ascii="仿宋" w:hAnsi="仿宋" w:eastAsia="仿宋" w:cs="仿宋"/>
          <w:color w:val="auto"/>
          <w:spacing w:val="-3"/>
          <w:sz w:val="24"/>
          <w:szCs w:val="24"/>
          <w:highlight w:val="none"/>
        </w:rPr>
        <w:t>不作为评标依据。</w:t>
      </w:r>
    </w:p>
    <w:p w14:paraId="243309BE">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2.评标完成后，评标委员会应当向采购人提交书面评标</w:t>
      </w:r>
      <w:r>
        <w:rPr>
          <w:rFonts w:hint="eastAsia" w:ascii="仿宋" w:hAnsi="仿宋" w:eastAsia="仿宋" w:cs="仿宋"/>
          <w:color w:val="auto"/>
          <w:spacing w:val="1"/>
          <w:sz w:val="24"/>
          <w:szCs w:val="24"/>
          <w:highlight w:val="none"/>
        </w:rPr>
        <w:t>报告和中标候</w:t>
      </w:r>
      <w:r>
        <w:rPr>
          <w:rFonts w:hint="eastAsia" w:ascii="仿宋" w:hAnsi="仿宋" w:eastAsia="仿宋" w:cs="仿宋"/>
          <w:color w:val="auto"/>
          <w:spacing w:val="-1"/>
          <w:sz w:val="24"/>
          <w:szCs w:val="24"/>
          <w:highlight w:val="none"/>
        </w:rPr>
        <w:t>选人名单。评标委员会推荐中标候选人的人数见投标人须知前附表。</w:t>
      </w:r>
    </w:p>
    <w:p w14:paraId="2C6CF841">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3.本项目评标过程实行全程录音、录像监</w:t>
      </w:r>
      <w:r>
        <w:rPr>
          <w:rFonts w:hint="eastAsia" w:ascii="仿宋" w:hAnsi="仿宋" w:eastAsia="仿宋" w:cs="仿宋"/>
          <w:color w:val="auto"/>
          <w:spacing w:val="1"/>
          <w:sz w:val="24"/>
          <w:szCs w:val="24"/>
          <w:highlight w:val="none"/>
        </w:rPr>
        <w:t>控，投标人在评标过程中所</w:t>
      </w:r>
      <w:r>
        <w:rPr>
          <w:rFonts w:hint="eastAsia" w:ascii="仿宋" w:hAnsi="仿宋" w:eastAsia="仿宋" w:cs="仿宋"/>
          <w:color w:val="auto"/>
          <w:spacing w:val="-1"/>
          <w:sz w:val="24"/>
          <w:szCs w:val="24"/>
          <w:highlight w:val="none"/>
        </w:rPr>
        <w:t>进行的试图影响评标结果的不公正活动，可能导致其投标被拒绝。</w:t>
      </w:r>
    </w:p>
    <w:p w14:paraId="537EC829">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8"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七、合同授予</w:t>
      </w:r>
    </w:p>
    <w:p w14:paraId="710F40C5">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9"/>
          <w:sz w:val="24"/>
          <w:szCs w:val="24"/>
          <w:highlight w:val="none"/>
        </w:rPr>
        <w:t>（</w:t>
      </w:r>
      <w:r>
        <w:rPr>
          <w:rFonts w:hint="eastAsia" w:ascii="仿宋" w:hAnsi="仿宋" w:eastAsia="仿宋" w:cs="仿宋"/>
          <w:color w:val="auto"/>
          <w:spacing w:val="-66"/>
          <w:sz w:val="24"/>
          <w:szCs w:val="24"/>
          <w:highlight w:val="none"/>
        </w:rPr>
        <w:t xml:space="preserve"> </w:t>
      </w:r>
      <w:r>
        <w:rPr>
          <w:rFonts w:hint="eastAsia" w:ascii="仿宋" w:hAnsi="仿宋" w:eastAsia="仿宋" w:cs="仿宋"/>
          <w:b/>
          <w:bCs/>
          <w:color w:val="auto"/>
          <w:spacing w:val="-9"/>
          <w:sz w:val="24"/>
          <w:szCs w:val="24"/>
          <w:highlight w:val="none"/>
        </w:rPr>
        <w:t>一）中标结果公告</w:t>
      </w:r>
    </w:p>
    <w:p w14:paraId="2B4D9C33">
      <w:pPr>
        <w:keepNext w:val="0"/>
        <w:keepLines w:val="0"/>
        <w:pageBreakBefore w:val="0"/>
        <w:widowControl w:val="0"/>
        <w:kinsoku/>
        <w:wordWrap/>
        <w:overflowPunct/>
        <w:topLinePunct w:val="0"/>
        <w:autoSpaceDE w:val="0"/>
        <w:autoSpaceDN w:val="0"/>
        <w:bidi w:val="0"/>
        <w:adjustRightInd w:val="0"/>
        <w:snapToGrid/>
        <w:spacing w:line="420" w:lineRule="exact"/>
        <w:ind w:right="0" w:firstLine="45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w:t>
      </w:r>
      <w:r>
        <w:rPr>
          <w:rFonts w:hint="eastAsia" w:ascii="仿宋" w:hAnsi="仿宋" w:eastAsia="仿宋" w:cs="仿宋"/>
          <w:color w:val="auto"/>
          <w:spacing w:val="-19"/>
          <w:sz w:val="24"/>
          <w:szCs w:val="24"/>
          <w:highlight w:val="none"/>
        </w:rPr>
        <w:t xml:space="preserve"> </w:t>
      </w:r>
      <w:r>
        <w:rPr>
          <w:rFonts w:hint="eastAsia" w:ascii="仿宋" w:hAnsi="仿宋" w:eastAsia="仿宋" w:cs="仿宋"/>
          <w:color w:val="auto"/>
          <w:spacing w:val="-7"/>
          <w:sz w:val="24"/>
          <w:szCs w:val="24"/>
          <w:highlight w:val="none"/>
        </w:rPr>
        <w:t>中标人确定之日起2</w:t>
      </w:r>
      <w:r>
        <w:rPr>
          <w:rFonts w:hint="eastAsia" w:ascii="仿宋" w:hAnsi="仿宋" w:eastAsia="仿宋" w:cs="仿宋"/>
          <w:color w:val="auto"/>
          <w:spacing w:val="-7"/>
          <w:sz w:val="24"/>
          <w:szCs w:val="24"/>
          <w:highlight w:val="none"/>
          <w:lang w:eastAsia="zh-CN"/>
        </w:rPr>
        <w:t>个工作日</w:t>
      </w:r>
      <w:r>
        <w:rPr>
          <w:rFonts w:hint="eastAsia" w:ascii="仿宋" w:hAnsi="仿宋" w:eastAsia="仿宋" w:cs="仿宋"/>
          <w:color w:val="auto"/>
          <w:spacing w:val="-7"/>
          <w:sz w:val="24"/>
          <w:szCs w:val="24"/>
          <w:highlight w:val="none"/>
        </w:rPr>
        <w:t>内，按照投标人须知前附表</w:t>
      </w:r>
      <w:r>
        <w:rPr>
          <w:rFonts w:hint="eastAsia" w:ascii="仿宋" w:hAnsi="仿宋" w:eastAsia="仿宋" w:cs="仿宋"/>
          <w:color w:val="auto"/>
          <w:spacing w:val="-8"/>
          <w:sz w:val="24"/>
          <w:szCs w:val="24"/>
          <w:highlight w:val="none"/>
        </w:rPr>
        <w:t>规定的媒</w:t>
      </w:r>
      <w:r>
        <w:rPr>
          <w:rFonts w:hint="eastAsia" w:ascii="仿宋" w:hAnsi="仿宋" w:eastAsia="仿宋" w:cs="仿宋"/>
          <w:color w:val="auto"/>
          <w:spacing w:val="-5"/>
          <w:sz w:val="24"/>
          <w:szCs w:val="24"/>
          <w:highlight w:val="none"/>
        </w:rPr>
        <w:t>介和期限公告中标结果，中标结果公告期限为1</w:t>
      </w:r>
      <w:r>
        <w:rPr>
          <w:rFonts w:hint="eastAsia" w:ascii="仿宋" w:hAnsi="仿宋" w:eastAsia="仿宋" w:cs="仿宋"/>
          <w:color w:val="auto"/>
          <w:spacing w:val="-5"/>
          <w:sz w:val="24"/>
          <w:szCs w:val="24"/>
          <w:highlight w:val="none"/>
          <w:lang w:eastAsia="zh-CN"/>
        </w:rPr>
        <w:t>个工作日</w:t>
      </w:r>
      <w:r>
        <w:rPr>
          <w:rFonts w:hint="eastAsia" w:ascii="仿宋" w:hAnsi="仿宋" w:eastAsia="仿宋" w:cs="仿宋"/>
          <w:color w:val="auto"/>
          <w:spacing w:val="-5"/>
          <w:sz w:val="24"/>
          <w:szCs w:val="24"/>
          <w:highlight w:val="none"/>
        </w:rPr>
        <w:t>。</w:t>
      </w:r>
    </w:p>
    <w:p w14:paraId="10BAA1A6">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z w:val="24"/>
          <w:szCs w:val="24"/>
          <w:highlight w:val="none"/>
        </w:rPr>
        <w:t>中标结果公告内容包括采购人及其委托的采购代理机构的名称、地</w:t>
      </w:r>
      <w:r>
        <w:rPr>
          <w:rFonts w:hint="eastAsia" w:ascii="仿宋" w:hAnsi="仿宋" w:eastAsia="仿宋" w:cs="仿宋"/>
          <w:color w:val="auto"/>
          <w:spacing w:val="-1"/>
          <w:sz w:val="24"/>
          <w:szCs w:val="24"/>
          <w:highlight w:val="none"/>
        </w:rPr>
        <w:t>址、联系方式，项目名称和项目编号，中标人名称、地址和中标金额，主要中标标的的名称、规格型号、数量、单价、服务要求，中标公告期限以及评审专家抽取规则、开标情况、资格审查情况、符合性审查情况、专家评分情况、中标（成交）候选人推荐情况等。</w:t>
      </w:r>
    </w:p>
    <w:p w14:paraId="601E7389">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b/>
          <w:bCs/>
          <w:color w:val="auto"/>
          <w:spacing w:val="-8"/>
          <w:sz w:val="24"/>
          <w:szCs w:val="24"/>
          <w:highlight w:val="none"/>
        </w:rPr>
        <w:t>二）评标结果异议</w:t>
      </w:r>
    </w:p>
    <w:p w14:paraId="56B6450F">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投标人或者其他利害关系人对评标结果有异议的，应当在中标候选人</w:t>
      </w:r>
      <w:r>
        <w:rPr>
          <w:rFonts w:hint="eastAsia" w:ascii="仿宋" w:hAnsi="仿宋" w:eastAsia="仿宋" w:cs="仿宋"/>
          <w:color w:val="auto"/>
          <w:spacing w:val="-5"/>
          <w:sz w:val="24"/>
          <w:szCs w:val="24"/>
          <w:highlight w:val="none"/>
        </w:rPr>
        <w:t>公示期间提出。采购人将在收到异议之日起</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5"/>
          <w:sz w:val="24"/>
          <w:szCs w:val="24"/>
          <w:highlight w:val="none"/>
        </w:rPr>
        <w:t>7</w:t>
      </w:r>
      <w:r>
        <w:rPr>
          <w:rFonts w:hint="eastAsia" w:ascii="仿宋" w:hAnsi="仿宋" w:eastAsia="仿宋" w:cs="仿宋"/>
          <w:color w:val="auto"/>
          <w:spacing w:val="-5"/>
          <w:sz w:val="24"/>
          <w:szCs w:val="24"/>
          <w:highlight w:val="none"/>
          <w:lang w:eastAsia="zh-CN"/>
        </w:rPr>
        <w:t>个工作日内作出答复</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eastAsia="zh-CN"/>
        </w:rPr>
        <w:t>作出</w:t>
      </w:r>
      <w:r>
        <w:rPr>
          <w:rFonts w:hint="eastAsia" w:ascii="仿宋" w:hAnsi="仿宋" w:eastAsia="仿宋" w:cs="仿宋"/>
          <w:color w:val="auto"/>
          <w:spacing w:val="-2"/>
          <w:sz w:val="24"/>
          <w:szCs w:val="24"/>
          <w:highlight w:val="none"/>
        </w:rPr>
        <w:t>答复前，将暂停招标投标活动。</w:t>
      </w:r>
    </w:p>
    <w:p w14:paraId="34D9375E">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w:t>
      </w:r>
      <w:r>
        <w:rPr>
          <w:rFonts w:hint="eastAsia" w:ascii="仿宋" w:hAnsi="仿宋" w:eastAsia="仿宋" w:cs="仿宋"/>
          <w:color w:val="auto"/>
          <w:spacing w:val="-70"/>
          <w:sz w:val="24"/>
          <w:szCs w:val="24"/>
          <w:highlight w:val="none"/>
        </w:rPr>
        <w:t xml:space="preserve"> </w:t>
      </w:r>
      <w:r>
        <w:rPr>
          <w:rFonts w:hint="eastAsia" w:ascii="仿宋" w:hAnsi="仿宋" w:eastAsia="仿宋" w:cs="仿宋"/>
          <w:b/>
          <w:bCs/>
          <w:color w:val="auto"/>
          <w:spacing w:val="-6"/>
          <w:sz w:val="24"/>
          <w:szCs w:val="24"/>
          <w:highlight w:val="none"/>
        </w:rPr>
        <w:t>三）中标候选人履约能力审查</w:t>
      </w:r>
    </w:p>
    <w:p w14:paraId="1677E527">
      <w:pPr>
        <w:keepNext w:val="0"/>
        <w:keepLines w:val="0"/>
        <w:pageBreakBefore w:val="0"/>
        <w:widowControl w:val="0"/>
        <w:kinsoku/>
        <w:wordWrap/>
        <w:overflowPunct/>
        <w:topLinePunct w:val="0"/>
        <w:autoSpaceDE w:val="0"/>
        <w:autoSpaceDN w:val="0"/>
        <w:bidi w:val="0"/>
        <w:adjustRightInd w:val="0"/>
        <w:snapToGrid/>
        <w:spacing w:line="420" w:lineRule="exact"/>
        <w:ind w:right="0" w:firstLine="464"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中标候选人的经营、财务状况发生较大变化或存在违法行</w:t>
      </w:r>
      <w:r>
        <w:rPr>
          <w:rFonts w:hint="eastAsia" w:ascii="仿宋" w:hAnsi="仿宋" w:eastAsia="仿宋" w:cs="仿宋"/>
          <w:color w:val="auto"/>
          <w:spacing w:val="-5"/>
          <w:sz w:val="24"/>
          <w:szCs w:val="24"/>
          <w:highlight w:val="none"/>
        </w:rPr>
        <w:t>为，采购人</w:t>
      </w:r>
      <w:r>
        <w:rPr>
          <w:rFonts w:hint="eastAsia" w:ascii="仿宋" w:hAnsi="仿宋" w:eastAsia="仿宋" w:cs="仿宋"/>
          <w:color w:val="auto"/>
          <w:spacing w:val="-3"/>
          <w:sz w:val="24"/>
          <w:szCs w:val="24"/>
          <w:highlight w:val="none"/>
        </w:rPr>
        <w:t>认为可能影响其履约能力的，将在发出中标通知书前提请原评标委员会按</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
          <w:sz w:val="24"/>
          <w:szCs w:val="24"/>
          <w:highlight w:val="none"/>
        </w:rPr>
        <w:t>照招标采购文件规定的标准和方法进行审查确认。</w:t>
      </w:r>
    </w:p>
    <w:p w14:paraId="17F30D9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1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8"/>
          <w:sz w:val="24"/>
          <w:szCs w:val="24"/>
          <w:highlight w:val="none"/>
        </w:rPr>
        <w:t>（</w:t>
      </w:r>
      <w:r>
        <w:rPr>
          <w:rFonts w:hint="eastAsia" w:ascii="仿宋" w:hAnsi="仿宋" w:eastAsia="仿宋" w:cs="仿宋"/>
          <w:color w:val="auto"/>
          <w:spacing w:val="-48"/>
          <w:sz w:val="24"/>
          <w:szCs w:val="24"/>
          <w:highlight w:val="none"/>
        </w:rPr>
        <w:t xml:space="preserve"> </w:t>
      </w:r>
      <w:r>
        <w:rPr>
          <w:rFonts w:hint="eastAsia" w:ascii="仿宋" w:hAnsi="仿宋" w:eastAsia="仿宋" w:cs="仿宋"/>
          <w:b/>
          <w:bCs/>
          <w:color w:val="auto"/>
          <w:spacing w:val="-18"/>
          <w:sz w:val="24"/>
          <w:szCs w:val="24"/>
          <w:highlight w:val="none"/>
        </w:rPr>
        <w:t>四）定标</w:t>
      </w:r>
    </w:p>
    <w:p w14:paraId="6A7A049B">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1.按照投标人须知前附表的规定，采购人或采购人委托的评标</w:t>
      </w:r>
      <w:r>
        <w:rPr>
          <w:rFonts w:hint="eastAsia" w:ascii="仿宋" w:hAnsi="仿宋" w:eastAsia="仿宋" w:cs="仿宋"/>
          <w:color w:val="auto"/>
          <w:spacing w:val="-2"/>
          <w:sz w:val="24"/>
          <w:szCs w:val="24"/>
          <w:highlight w:val="none"/>
        </w:rPr>
        <w:t>委员会依法确定中标人。</w:t>
      </w:r>
    </w:p>
    <w:p w14:paraId="0AEB6BB2">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2"/>
          <w:sz w:val="24"/>
          <w:szCs w:val="24"/>
          <w:highlight w:val="none"/>
        </w:rPr>
        <w:t>中标人应为浙</w:t>
      </w:r>
      <w:r>
        <w:rPr>
          <w:rFonts w:hint="eastAsia" w:ascii="仿宋" w:hAnsi="仿宋" w:eastAsia="仿宋" w:cs="仿宋"/>
          <w:color w:val="auto"/>
          <w:spacing w:val="-2"/>
          <w:sz w:val="24"/>
          <w:szCs w:val="24"/>
          <w:highlight w:val="none"/>
          <w:lang w:eastAsia="zh-CN"/>
        </w:rPr>
        <w:t>江省</w:t>
      </w:r>
      <w:r>
        <w:rPr>
          <w:rFonts w:hint="eastAsia" w:ascii="仿宋" w:hAnsi="仿宋" w:eastAsia="仿宋" w:cs="仿宋"/>
          <w:color w:val="auto"/>
          <w:spacing w:val="-2"/>
          <w:sz w:val="24"/>
          <w:szCs w:val="24"/>
          <w:highlight w:val="none"/>
        </w:rPr>
        <w:t>政府采购注册正式供应商，如尚未注册，必须在投</w:t>
      </w:r>
      <w:r>
        <w:rPr>
          <w:rFonts w:hint="eastAsia" w:ascii="仿宋" w:hAnsi="仿宋" w:eastAsia="仿宋" w:cs="仿宋"/>
          <w:color w:val="auto"/>
          <w:spacing w:val="-5"/>
          <w:sz w:val="24"/>
          <w:szCs w:val="24"/>
          <w:highlight w:val="none"/>
        </w:rPr>
        <w:t>标截止前按照《浙江省政府采购供应商注册及诚信管理暂行办法》（</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5"/>
          <w:sz w:val="24"/>
          <w:szCs w:val="24"/>
          <w:highlight w:val="none"/>
        </w:rPr>
        <w:t>浙财</w:t>
      </w:r>
      <w:r>
        <w:rPr>
          <w:rFonts w:hint="eastAsia" w:ascii="仿宋" w:hAnsi="仿宋" w:eastAsia="仿宋" w:cs="仿宋"/>
          <w:color w:val="auto"/>
          <w:spacing w:val="-3"/>
          <w:sz w:val="24"/>
          <w:szCs w:val="24"/>
          <w:highlight w:val="none"/>
        </w:rPr>
        <w:t>采监字</w:t>
      </w:r>
      <w:r>
        <w:rPr>
          <w:rFonts w:hint="eastAsia" w:ascii="仿宋" w:hAnsi="仿宋" w:eastAsia="仿宋" w:cs="仿宋"/>
          <w:color w:val="auto"/>
          <w:spacing w:val="-3"/>
          <w:sz w:val="24"/>
          <w:szCs w:val="24"/>
          <w:highlight w:val="none"/>
          <w:lang w:eastAsia="zh-CN"/>
        </w:rPr>
        <w:t>〔2009〕</w:t>
      </w:r>
      <w:r>
        <w:rPr>
          <w:rFonts w:hint="eastAsia" w:ascii="仿宋" w:hAnsi="仿宋" w:eastAsia="仿宋" w:cs="仿宋"/>
          <w:color w:val="auto"/>
          <w:spacing w:val="-3"/>
          <w:sz w:val="24"/>
          <w:szCs w:val="24"/>
          <w:highlight w:val="none"/>
        </w:rPr>
        <w:t>28号</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3"/>
          <w:sz w:val="24"/>
          <w:szCs w:val="24"/>
          <w:highlight w:val="none"/>
        </w:rPr>
        <w:t>）的相关规定，及时办理更新或供应</w:t>
      </w:r>
      <w:r>
        <w:rPr>
          <w:rFonts w:hint="eastAsia" w:ascii="仿宋" w:hAnsi="仿宋" w:eastAsia="仿宋" w:cs="仿宋"/>
          <w:color w:val="auto"/>
          <w:spacing w:val="-4"/>
          <w:sz w:val="24"/>
          <w:szCs w:val="24"/>
          <w:highlight w:val="none"/>
        </w:rPr>
        <w:t>商注册事项。</w:t>
      </w:r>
    </w:p>
    <w:p w14:paraId="4D244911">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（五）中标通知</w:t>
      </w:r>
    </w:p>
    <w:p w14:paraId="03676A1A">
      <w:pPr>
        <w:keepNext w:val="0"/>
        <w:keepLines w:val="0"/>
        <w:pageBreakBefore w:val="0"/>
        <w:widowControl w:val="0"/>
        <w:kinsoku/>
        <w:wordWrap/>
        <w:overflowPunct/>
        <w:topLinePunct w:val="0"/>
        <w:autoSpaceDE w:val="0"/>
        <w:autoSpaceDN w:val="0"/>
        <w:bidi w:val="0"/>
        <w:adjustRightInd w:val="0"/>
        <w:snapToGrid/>
        <w:spacing w:line="420" w:lineRule="exact"/>
        <w:ind w:right="0" w:firstLine="46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在本章规定的投标有效期内，在公告中标结果的同时，采购人或者采</w:t>
      </w:r>
      <w:r>
        <w:rPr>
          <w:rFonts w:hint="eastAsia" w:ascii="仿宋" w:hAnsi="仿宋" w:eastAsia="仿宋" w:cs="仿宋"/>
          <w:color w:val="auto"/>
          <w:spacing w:val="-2"/>
          <w:sz w:val="24"/>
          <w:szCs w:val="24"/>
          <w:highlight w:val="none"/>
        </w:rPr>
        <w:t>购代理机构向中标人发出中标通知书。</w:t>
      </w:r>
    </w:p>
    <w:p w14:paraId="5DF6E4B9">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w:t>
      </w:r>
      <w:r>
        <w:rPr>
          <w:rFonts w:hint="eastAsia" w:ascii="仿宋" w:hAnsi="仿宋" w:eastAsia="仿宋" w:cs="仿宋"/>
          <w:color w:val="auto"/>
          <w:spacing w:val="-68"/>
          <w:sz w:val="24"/>
          <w:szCs w:val="24"/>
          <w:highlight w:val="none"/>
        </w:rPr>
        <w:t xml:space="preserve"> </w:t>
      </w:r>
      <w:r>
        <w:rPr>
          <w:rFonts w:hint="eastAsia" w:ascii="仿宋" w:hAnsi="仿宋" w:eastAsia="仿宋" w:cs="仿宋"/>
          <w:b/>
          <w:bCs/>
          <w:color w:val="auto"/>
          <w:spacing w:val="-5"/>
          <w:sz w:val="24"/>
          <w:szCs w:val="24"/>
          <w:highlight w:val="none"/>
        </w:rPr>
        <w:t>六）履约保证金（本项目不适用）</w:t>
      </w:r>
    </w:p>
    <w:p w14:paraId="2E67186E">
      <w:pPr>
        <w:pStyle w:val="25"/>
        <w:keepNext w:val="0"/>
        <w:keepLines w:val="0"/>
        <w:pageBreakBefore w:val="0"/>
        <w:kinsoku/>
        <w:wordWrap/>
        <w:overflowPunct/>
        <w:topLinePunct w:val="0"/>
        <w:bidi w:val="0"/>
        <w:adjustRightInd w:val="0"/>
        <w:snapToGrid w:val="0"/>
        <w:spacing w:before="0" w:beforeAutospacing="0" w:after="0" w:afterAutospacing="0" w:line="420" w:lineRule="exact"/>
        <w:ind w:firstLine="480" w:firstLineChars="200"/>
        <w:textAlignment w:val="auto"/>
        <w:outlineLvl w:val="9"/>
        <w:rPr>
          <w:rFonts w:ascii="仿宋" w:eastAsia="仿宋"/>
          <w:b w:val="0"/>
          <w:bCs w:val="0"/>
          <w:color w:val="auto"/>
          <w:highlight w:val="none"/>
        </w:rPr>
      </w:pPr>
      <w:r>
        <w:rPr>
          <w:rFonts w:hint="eastAsia" w:ascii="仿宋" w:eastAsia="仿宋" w:cs="Helvetica"/>
          <w:b w:val="0"/>
          <w:bCs w:val="0"/>
          <w:color w:val="auto"/>
          <w:highlight w:val="none"/>
        </w:rPr>
        <w:t>拟签订的合同文本要求成交人提交履约保证金的，供应商应当以支票、汇票、本票或者金融机构、担保机构出具的保函等非现金形式提交</w:t>
      </w:r>
      <w:r>
        <w:rPr>
          <w:rFonts w:hint="eastAsia" w:ascii="仿宋" w:eastAsia="仿宋"/>
          <w:b w:val="0"/>
          <w:bCs w:val="0"/>
          <w:color w:val="auto"/>
          <w:highlight w:val="none"/>
        </w:rPr>
        <w:t>。履约保证金的数额不得超过政府采购合同总额的1</w:t>
      </w:r>
      <w:r>
        <w:rPr>
          <w:rFonts w:ascii="仿宋" w:eastAsia="仿宋"/>
          <w:b w:val="0"/>
          <w:bCs w:val="0"/>
          <w:color w:val="auto"/>
          <w:highlight w:val="none"/>
        </w:rPr>
        <w:t>%。</w:t>
      </w:r>
      <w:r>
        <w:rPr>
          <w:rFonts w:hint="eastAsia" w:ascii="仿宋" w:eastAsia="仿宋"/>
          <w:b w:val="0"/>
          <w:bCs w:val="0"/>
          <w:color w:val="auto"/>
          <w:highlight w:val="none"/>
        </w:rPr>
        <w:t>鼓励和支持供应商以履约保函形式提供履约保证金。中标人不能按要求提交履约保证金的，视为放弃中标，中标人应当对采购人的损失予以赔偿。</w:t>
      </w:r>
    </w:p>
    <w:p w14:paraId="6C869E9B">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eastAsia="仿宋" w:cs="仿宋_GB2312"/>
          <w:color w:val="auto"/>
          <w:sz w:val="24"/>
          <w:szCs w:val="24"/>
          <w:highlight w:val="none"/>
        </w:rPr>
      </w:pPr>
      <w:r>
        <w:rPr>
          <w:rFonts w:hint="eastAsia" w:ascii="仿宋" w:eastAsia="仿宋" w:cs="仿宋_GB2312"/>
          <w:color w:val="auto"/>
          <w:sz w:val="24"/>
          <w:szCs w:val="24"/>
          <w:highlight w:val="none"/>
        </w:rPr>
        <w:t>供应商可登录政采云平台</w:t>
      </w:r>
      <w:r>
        <w:rPr>
          <w:rFonts w:hint="eastAsia" w:ascii="仿宋" w:eastAsia="仿宋" w:cs="仿宋_GB2312"/>
          <w:color w:val="auto"/>
          <w:sz w:val="24"/>
          <w:szCs w:val="24"/>
          <w:highlight w:val="none"/>
          <w:lang w:eastAsia="zh-CN"/>
        </w:rPr>
        <w:t>－</w:t>
      </w:r>
      <w:r>
        <w:rPr>
          <w:rFonts w:hint="eastAsia" w:ascii="仿宋" w:eastAsia="仿宋" w:cs="仿宋_GB2312"/>
          <w:color w:val="auto"/>
          <w:sz w:val="24"/>
          <w:szCs w:val="24"/>
          <w:highlight w:val="none"/>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1E98E0E1">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4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b/>
          <w:bCs/>
          <w:color w:val="auto"/>
          <w:spacing w:val="-10"/>
          <w:sz w:val="24"/>
          <w:szCs w:val="24"/>
          <w:highlight w:val="none"/>
        </w:rPr>
        <w:t>七）合同签订</w:t>
      </w:r>
    </w:p>
    <w:p w14:paraId="75308345">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4"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pacing w:val="1"/>
          <w:sz w:val="24"/>
          <w:szCs w:val="24"/>
          <w:highlight w:val="none"/>
        </w:rPr>
        <w:t>1.采购人和中标人应当在中标通知书发出之日起</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1"/>
          <w:sz w:val="24"/>
          <w:szCs w:val="24"/>
          <w:highlight w:val="none"/>
        </w:rPr>
        <w:t>20</w:t>
      </w:r>
      <w:r>
        <w:rPr>
          <w:rFonts w:hint="eastAsia" w:ascii="仿宋" w:hAnsi="仿宋" w:eastAsia="仿宋" w:cs="仿宋"/>
          <w:color w:val="auto"/>
          <w:sz w:val="24"/>
          <w:szCs w:val="24"/>
          <w:highlight w:val="none"/>
        </w:rPr>
        <w:t>日历天内，根据</w:t>
      </w:r>
      <w:r>
        <w:rPr>
          <w:rFonts w:hint="eastAsia" w:ascii="仿宋" w:hAnsi="仿宋" w:eastAsia="仿宋" w:cs="仿宋"/>
          <w:color w:val="auto"/>
          <w:spacing w:val="-3"/>
          <w:sz w:val="24"/>
          <w:szCs w:val="24"/>
          <w:highlight w:val="none"/>
        </w:rPr>
        <w:t>招标采购文件和中标人的投标文件订立书面合同，并在签订之日起</w:t>
      </w:r>
      <w:r>
        <w:rPr>
          <w:rFonts w:hint="eastAsia" w:ascii="仿宋" w:hAnsi="仿宋" w:eastAsia="仿宋" w:cs="仿宋"/>
          <w:color w:val="auto"/>
          <w:spacing w:val="-56"/>
          <w:sz w:val="24"/>
          <w:szCs w:val="24"/>
          <w:highlight w:val="none"/>
        </w:rPr>
        <w:t xml:space="preserve"> </w:t>
      </w:r>
      <w:r>
        <w:rPr>
          <w:rFonts w:hint="eastAsia" w:ascii="仿宋" w:hAnsi="仿宋" w:eastAsia="仿宋" w:cs="仿宋"/>
          <w:color w:val="auto"/>
          <w:spacing w:val="-3"/>
          <w:sz w:val="24"/>
          <w:szCs w:val="24"/>
          <w:highlight w:val="none"/>
        </w:rPr>
        <w:t>2</w:t>
      </w:r>
      <w:r>
        <w:rPr>
          <w:rFonts w:hint="eastAsia" w:ascii="仿宋" w:hAnsi="仿宋" w:eastAsia="仿宋" w:cs="仿宋"/>
          <w:color w:val="auto"/>
          <w:spacing w:val="-3"/>
          <w:sz w:val="24"/>
          <w:szCs w:val="24"/>
          <w:highlight w:val="none"/>
          <w:lang w:eastAsia="zh-CN"/>
        </w:rPr>
        <w:t>个工作日</w:t>
      </w:r>
      <w:r>
        <w:rPr>
          <w:rFonts w:hint="eastAsia" w:ascii="仿宋" w:hAnsi="仿宋" w:eastAsia="仿宋" w:cs="仿宋"/>
          <w:color w:val="auto"/>
          <w:spacing w:val="-5"/>
          <w:sz w:val="24"/>
          <w:szCs w:val="24"/>
          <w:highlight w:val="none"/>
        </w:rPr>
        <w:t>内将政府采购合同在浙江政府采购网上公告。鼓励有</w:t>
      </w:r>
      <w:r>
        <w:rPr>
          <w:rFonts w:hint="eastAsia" w:ascii="仿宋" w:hAnsi="仿宋" w:eastAsia="仿宋" w:cs="仿宋"/>
          <w:color w:val="auto"/>
          <w:spacing w:val="-6"/>
          <w:sz w:val="24"/>
          <w:szCs w:val="24"/>
          <w:highlight w:val="none"/>
        </w:rPr>
        <w:t>条件的采购人视</w:t>
      </w:r>
      <w:r>
        <w:rPr>
          <w:rFonts w:hint="eastAsia" w:ascii="仿宋" w:hAnsi="仿宋" w:eastAsia="仿宋" w:cs="仿宋"/>
          <w:color w:val="auto"/>
          <w:spacing w:val="-3"/>
          <w:sz w:val="24"/>
          <w:szCs w:val="24"/>
          <w:highlight w:val="none"/>
        </w:rPr>
        <w:t>情缩减采购合同签订时限，提高采购效率，杜绝“冷、硬、横、推”等不</w:t>
      </w:r>
      <w:r>
        <w:rPr>
          <w:rFonts w:hint="eastAsia" w:ascii="仿宋" w:hAnsi="仿宋" w:eastAsia="仿宋" w:cs="仿宋"/>
          <w:color w:val="auto"/>
          <w:spacing w:val="-2"/>
          <w:sz w:val="24"/>
          <w:szCs w:val="24"/>
          <w:highlight w:val="none"/>
        </w:rPr>
        <w:t>当行为。所签订的合同不得对招标文件确定的事项和中标人投</w:t>
      </w:r>
      <w:r>
        <w:rPr>
          <w:rFonts w:hint="eastAsia" w:ascii="仿宋" w:hAnsi="仿宋" w:eastAsia="仿宋" w:cs="仿宋"/>
          <w:color w:val="auto"/>
          <w:spacing w:val="-3"/>
          <w:sz w:val="24"/>
          <w:szCs w:val="24"/>
          <w:highlight w:val="none"/>
        </w:rPr>
        <w:t>标文件作实</w:t>
      </w:r>
      <w:r>
        <w:rPr>
          <w:rFonts w:hint="eastAsia" w:ascii="仿宋" w:hAnsi="仿宋" w:eastAsia="仿宋" w:cs="仿宋"/>
          <w:color w:val="auto"/>
          <w:spacing w:val="-2"/>
          <w:sz w:val="24"/>
          <w:szCs w:val="24"/>
          <w:highlight w:val="none"/>
        </w:rPr>
        <w:t>质性修改。采购人不得向中标人提出任何不合理的要求作为签</w:t>
      </w:r>
      <w:r>
        <w:rPr>
          <w:rFonts w:hint="eastAsia" w:ascii="仿宋" w:hAnsi="仿宋" w:eastAsia="仿宋" w:cs="仿宋"/>
          <w:color w:val="auto"/>
          <w:spacing w:val="-3"/>
          <w:sz w:val="24"/>
          <w:szCs w:val="24"/>
          <w:highlight w:val="none"/>
        </w:rPr>
        <w:t>订合同的条</w:t>
      </w:r>
      <w:r>
        <w:rPr>
          <w:rFonts w:hint="eastAsia" w:ascii="仿宋" w:hAnsi="仿宋" w:eastAsia="仿宋" w:cs="仿宋"/>
          <w:color w:val="auto"/>
          <w:sz w:val="24"/>
          <w:szCs w:val="24"/>
          <w:highlight w:val="none"/>
        </w:rPr>
        <w:t>件。中标人无正当理由拒签合同，在签订合同时向采购人提出附加条件，</w:t>
      </w:r>
      <w:r>
        <w:rPr>
          <w:rFonts w:hint="eastAsia" w:ascii="仿宋" w:hAnsi="仿宋" w:eastAsia="仿宋" w:cs="仿宋"/>
          <w:color w:val="auto"/>
          <w:spacing w:val="-2"/>
          <w:sz w:val="24"/>
          <w:szCs w:val="24"/>
          <w:highlight w:val="none"/>
        </w:rPr>
        <w:t>或者不按照招标采购文件要求提交履约保证金的，采购人有权</w:t>
      </w:r>
      <w:r>
        <w:rPr>
          <w:rFonts w:hint="eastAsia" w:ascii="仿宋" w:hAnsi="仿宋" w:eastAsia="仿宋" w:cs="仿宋"/>
          <w:color w:val="auto"/>
          <w:spacing w:val="-3"/>
          <w:sz w:val="24"/>
          <w:szCs w:val="24"/>
          <w:highlight w:val="none"/>
        </w:rPr>
        <w:t>取消其中标</w:t>
      </w:r>
      <w:r>
        <w:rPr>
          <w:rFonts w:hint="eastAsia" w:ascii="仿宋" w:hAnsi="仿宋" w:eastAsia="仿宋" w:cs="仿宋"/>
          <w:color w:val="auto"/>
          <w:spacing w:val="-1"/>
          <w:sz w:val="24"/>
          <w:szCs w:val="24"/>
          <w:highlight w:val="none"/>
        </w:rPr>
        <w:t>资格，给采购人造成损失的，中标人应当对采购人的损失予以赔偿。</w:t>
      </w:r>
      <w:r>
        <w:rPr>
          <w:rFonts w:hint="eastAsia" w:ascii="仿宋" w:hAnsi="仿宋" w:eastAsia="仿宋" w:cs="仿宋"/>
          <w:color w:val="auto"/>
          <w:spacing w:val="-2"/>
          <w:sz w:val="24"/>
          <w:szCs w:val="24"/>
          <w:highlight w:val="none"/>
          <w:u w:val="single"/>
        </w:rPr>
        <w:t>并上报主管部门列入黑名单、失信名单。</w:t>
      </w:r>
    </w:p>
    <w:p w14:paraId="21687022">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2.中标人按规定的日期、时间、地点，由法定代表人或其授权代表与</w:t>
      </w:r>
      <w:r>
        <w:rPr>
          <w:rFonts w:hint="eastAsia" w:ascii="仿宋" w:hAnsi="仿宋" w:eastAsia="仿宋" w:cs="仿宋"/>
          <w:color w:val="auto"/>
          <w:spacing w:val="-3"/>
          <w:sz w:val="24"/>
          <w:szCs w:val="24"/>
          <w:highlight w:val="none"/>
        </w:rPr>
        <w:t>采购人代表签订合同。如中标人为联合体的，由联合体成员各方法定代表</w:t>
      </w:r>
      <w:r>
        <w:rPr>
          <w:rFonts w:hint="eastAsia" w:ascii="仿宋" w:hAnsi="仿宋" w:eastAsia="仿宋" w:cs="仿宋"/>
          <w:color w:val="auto"/>
          <w:spacing w:val="-1"/>
          <w:sz w:val="24"/>
          <w:szCs w:val="24"/>
          <w:highlight w:val="none"/>
        </w:rPr>
        <w:t>人或其授权代表与采购人代表签订合同。</w:t>
      </w:r>
    </w:p>
    <w:p w14:paraId="54CADCA5">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3.如签订合同并生效后，供应商无故拒绝或延</w:t>
      </w:r>
      <w:r>
        <w:rPr>
          <w:rFonts w:hint="eastAsia" w:ascii="仿宋" w:hAnsi="仿宋" w:eastAsia="仿宋" w:cs="仿宋"/>
          <w:color w:val="auto"/>
          <w:spacing w:val="-1"/>
          <w:sz w:val="24"/>
          <w:szCs w:val="24"/>
          <w:highlight w:val="none"/>
        </w:rPr>
        <w:t>期，除按照合同条款处理外，列入不良行为记录一次，并给予通报。</w:t>
      </w:r>
    </w:p>
    <w:p w14:paraId="700B0032">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4.中标人拒绝与采购人签订合同的，采购人可以按照评审报告推荐的</w:t>
      </w:r>
      <w:r>
        <w:rPr>
          <w:rFonts w:hint="eastAsia" w:ascii="仿宋" w:hAnsi="仿宋" w:eastAsia="仿宋" w:cs="仿宋"/>
          <w:color w:val="auto"/>
          <w:spacing w:val="-3"/>
          <w:sz w:val="24"/>
          <w:szCs w:val="24"/>
          <w:highlight w:val="none"/>
        </w:rPr>
        <w:t>中标或者中标候选人名单排序，确定下一候选人为中标人，也可以重新开</w:t>
      </w:r>
      <w:r>
        <w:rPr>
          <w:rFonts w:hint="eastAsia" w:ascii="仿宋" w:hAnsi="仿宋" w:eastAsia="仿宋" w:cs="仿宋"/>
          <w:color w:val="auto"/>
          <w:spacing w:val="-2"/>
          <w:sz w:val="24"/>
          <w:szCs w:val="24"/>
          <w:highlight w:val="none"/>
        </w:rPr>
        <w:t>展政府采购活动。</w:t>
      </w:r>
    </w:p>
    <w:p w14:paraId="4A330C62">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5.政府采购货物和服务项目不得收取质量</w:t>
      </w:r>
      <w:r>
        <w:rPr>
          <w:rFonts w:hint="eastAsia" w:ascii="仿宋" w:hAnsi="仿宋" w:eastAsia="仿宋" w:cs="仿宋"/>
          <w:color w:val="auto"/>
          <w:spacing w:val="-1"/>
          <w:sz w:val="24"/>
          <w:szCs w:val="24"/>
          <w:highlight w:val="none"/>
        </w:rPr>
        <w:t>保证金。政府采购工程以及</w:t>
      </w:r>
      <w:r>
        <w:rPr>
          <w:rFonts w:hint="eastAsia" w:ascii="仿宋" w:hAnsi="仿宋" w:eastAsia="仿宋" w:cs="仿宋"/>
          <w:color w:val="auto"/>
          <w:spacing w:val="-3"/>
          <w:sz w:val="24"/>
          <w:szCs w:val="24"/>
          <w:highlight w:val="none"/>
        </w:rPr>
        <w:t>与工程建设有关的货物、服务，采用招标方式采购的，按国家和省有关规</w:t>
      </w:r>
      <w:r>
        <w:rPr>
          <w:rFonts w:hint="eastAsia" w:ascii="仿宋" w:hAnsi="仿宋" w:eastAsia="仿宋" w:cs="仿宋"/>
          <w:color w:val="auto"/>
          <w:spacing w:val="-4"/>
          <w:sz w:val="24"/>
          <w:szCs w:val="24"/>
          <w:highlight w:val="none"/>
        </w:rPr>
        <w:t>定执行。</w:t>
      </w:r>
    </w:p>
    <w:p w14:paraId="426DDD6D">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6.投标人在本招标项目的竞争中应自觉遵循诚实信用原则，不得存在</w:t>
      </w:r>
      <w:r>
        <w:rPr>
          <w:rFonts w:hint="eastAsia" w:ascii="仿宋" w:hAnsi="仿宋" w:eastAsia="仿宋" w:cs="仿宋"/>
          <w:color w:val="auto"/>
          <w:spacing w:val="-3"/>
          <w:sz w:val="24"/>
          <w:szCs w:val="24"/>
          <w:highlight w:val="none"/>
        </w:rPr>
        <w:t>腐败、欺诈或其他违背诚信原则的行为。如果采购人有证据表明投标人在本招标项目的竞争中存在腐败、欺诈、失信记录或其他严重违背诚信原则</w:t>
      </w:r>
      <w:r>
        <w:rPr>
          <w:rFonts w:hint="eastAsia" w:ascii="仿宋" w:hAnsi="仿宋" w:eastAsia="仿宋" w:cs="仿宋"/>
          <w:color w:val="auto"/>
          <w:spacing w:val="-1"/>
          <w:sz w:val="24"/>
          <w:szCs w:val="24"/>
          <w:highlight w:val="none"/>
        </w:rPr>
        <w:t>的行为，则将拒绝其投标，或中标无效。</w:t>
      </w:r>
    </w:p>
    <w:p w14:paraId="2C7F117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（八）验收</w:t>
      </w:r>
    </w:p>
    <w:p w14:paraId="4CABF003">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1.采购人组织对供应商履约的验收。大型或者复杂的政府采购项</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4"/>
          <w:sz w:val="24"/>
          <w:szCs w:val="24"/>
          <w:highlight w:val="none"/>
        </w:rPr>
        <w:t>目，</w:t>
      </w:r>
      <w:r>
        <w:rPr>
          <w:rFonts w:hint="eastAsia" w:ascii="仿宋" w:hAnsi="仿宋" w:eastAsia="仿宋" w:cs="仿宋"/>
          <w:color w:val="auto"/>
          <w:spacing w:val="-3"/>
          <w:sz w:val="24"/>
          <w:szCs w:val="24"/>
          <w:highlight w:val="none"/>
        </w:rPr>
        <w:t>应当邀请国家认可的质量检测机构参加验收工作。验收方成员应当在验收书上签字，并承担相应的法律责任。如果发现与合同中</w:t>
      </w:r>
      <w:r>
        <w:rPr>
          <w:rFonts w:hint="eastAsia" w:ascii="仿宋" w:hAnsi="仿宋" w:eastAsia="仿宋" w:cs="仿宋"/>
          <w:color w:val="auto"/>
          <w:spacing w:val="-4"/>
          <w:sz w:val="24"/>
          <w:szCs w:val="24"/>
          <w:highlight w:val="none"/>
        </w:rPr>
        <w:t>要求不符，供应商</w:t>
      </w:r>
      <w:r>
        <w:rPr>
          <w:rFonts w:hint="eastAsia" w:ascii="仿宋" w:hAnsi="仿宋" w:eastAsia="仿宋" w:cs="仿宋"/>
          <w:color w:val="auto"/>
          <w:spacing w:val="-1"/>
          <w:sz w:val="24"/>
          <w:szCs w:val="24"/>
          <w:highlight w:val="none"/>
        </w:rPr>
        <w:t>须承担由此发生的一切损失和费用，并接受相应的处理。</w:t>
      </w:r>
    </w:p>
    <w:p w14:paraId="76B06AE7">
      <w:pPr>
        <w:keepNext w:val="0"/>
        <w:keepLines w:val="0"/>
        <w:pageBreakBefore w:val="0"/>
        <w:widowControl w:val="0"/>
        <w:kinsoku/>
        <w:wordWrap/>
        <w:overflowPunct/>
        <w:topLinePunct w:val="0"/>
        <w:autoSpaceDE w:val="0"/>
        <w:autoSpaceDN w:val="0"/>
        <w:bidi w:val="0"/>
        <w:adjustRightInd w:val="0"/>
        <w:snapToGrid/>
        <w:spacing w:line="420" w:lineRule="exact"/>
        <w:ind w:right="0" w:firstLine="504"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2.采购人可以邀请参加本项</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6"/>
          <w:sz w:val="24"/>
          <w:szCs w:val="24"/>
          <w:highlight w:val="none"/>
        </w:rPr>
        <w:t>目的其他投标人或者第三方机构参与验</w:t>
      </w:r>
      <w:r>
        <w:rPr>
          <w:rFonts w:hint="eastAsia" w:ascii="仿宋" w:hAnsi="仿宋" w:eastAsia="仿宋" w:cs="仿宋"/>
          <w:color w:val="auto"/>
          <w:spacing w:val="-3"/>
          <w:sz w:val="24"/>
          <w:szCs w:val="24"/>
          <w:highlight w:val="none"/>
        </w:rPr>
        <w:t>收。参与验收的投标人或者第三方机构的意见作为验收书的参考资料一并</w:t>
      </w:r>
      <w:r>
        <w:rPr>
          <w:rFonts w:hint="eastAsia" w:ascii="仿宋" w:hAnsi="仿宋" w:eastAsia="仿宋" w:cs="仿宋"/>
          <w:color w:val="auto"/>
          <w:spacing w:val="-5"/>
          <w:sz w:val="24"/>
          <w:szCs w:val="24"/>
          <w:highlight w:val="none"/>
        </w:rPr>
        <w:t>存档。</w:t>
      </w:r>
    </w:p>
    <w:p w14:paraId="7637342E">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3.严格按照采购合同开展履约验收。采购</w:t>
      </w:r>
      <w:r>
        <w:rPr>
          <w:rFonts w:hint="eastAsia" w:ascii="仿宋" w:hAnsi="仿宋" w:eastAsia="仿宋" w:cs="仿宋"/>
          <w:color w:val="auto"/>
          <w:spacing w:val="-1"/>
          <w:sz w:val="24"/>
          <w:szCs w:val="24"/>
          <w:highlight w:val="none"/>
        </w:rPr>
        <w:t>人成立验收小组，按照采购</w:t>
      </w:r>
      <w:r>
        <w:rPr>
          <w:rFonts w:hint="eastAsia" w:ascii="仿宋" w:hAnsi="仿宋" w:eastAsia="仿宋" w:cs="仿宋"/>
          <w:color w:val="auto"/>
          <w:spacing w:val="-3"/>
          <w:sz w:val="24"/>
          <w:szCs w:val="24"/>
          <w:highlight w:val="none"/>
        </w:rPr>
        <w:t>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w:t>
      </w:r>
      <w:r>
        <w:rPr>
          <w:rFonts w:hint="eastAsia" w:ascii="仿宋" w:hAnsi="仿宋" w:eastAsia="仿宋" w:cs="仿宋"/>
          <w:color w:val="auto"/>
          <w:spacing w:val="-1"/>
          <w:sz w:val="24"/>
          <w:szCs w:val="24"/>
          <w:highlight w:val="none"/>
        </w:rPr>
        <w:t>约验收的各项资料应当存档备查。</w:t>
      </w:r>
    </w:p>
    <w:p w14:paraId="180C5DC4">
      <w:pPr>
        <w:keepNext w:val="0"/>
        <w:keepLines w:val="0"/>
        <w:pageBreakBefore w:val="0"/>
        <w:widowControl w:val="0"/>
        <w:kinsoku/>
        <w:wordWrap/>
        <w:overflowPunct/>
        <w:topLinePunct w:val="0"/>
        <w:autoSpaceDE w:val="0"/>
        <w:autoSpaceDN w:val="0"/>
        <w:bidi w:val="0"/>
        <w:adjustRightInd w:val="0"/>
        <w:snapToGrid/>
        <w:spacing w:line="420" w:lineRule="exact"/>
        <w:ind w:right="0" w:firstLine="46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4.采购人原则上应当在履约验收之日起</w:t>
      </w:r>
      <w:r>
        <w:rPr>
          <w:rFonts w:hint="eastAsia" w:ascii="仿宋" w:hAnsi="仿宋" w:eastAsia="仿宋" w:cs="仿宋"/>
          <w:color w:val="auto"/>
          <w:spacing w:val="-59"/>
          <w:sz w:val="24"/>
          <w:szCs w:val="24"/>
          <w:highlight w:val="none"/>
        </w:rPr>
        <w:t xml:space="preserve"> </w:t>
      </w:r>
      <w:r>
        <w:rPr>
          <w:rFonts w:hint="eastAsia" w:ascii="仿宋" w:hAnsi="仿宋" w:eastAsia="仿宋" w:cs="仿宋"/>
          <w:color w:val="auto"/>
          <w:spacing w:val="-3"/>
          <w:sz w:val="24"/>
          <w:szCs w:val="24"/>
          <w:highlight w:val="none"/>
        </w:rPr>
        <w:t>2</w:t>
      </w:r>
      <w:r>
        <w:rPr>
          <w:rFonts w:hint="eastAsia" w:ascii="仿宋" w:hAnsi="仿宋" w:eastAsia="仿宋" w:cs="仿宋"/>
          <w:color w:val="auto"/>
          <w:spacing w:val="-3"/>
          <w:sz w:val="24"/>
          <w:szCs w:val="24"/>
          <w:highlight w:val="none"/>
          <w:lang w:eastAsia="zh-CN"/>
        </w:rPr>
        <w:t>个工作日</w:t>
      </w:r>
      <w:r>
        <w:rPr>
          <w:rFonts w:hint="eastAsia" w:ascii="仿宋" w:hAnsi="仿宋" w:eastAsia="仿宋" w:cs="仿宋"/>
          <w:color w:val="auto"/>
          <w:spacing w:val="-3"/>
          <w:sz w:val="24"/>
          <w:szCs w:val="24"/>
          <w:highlight w:val="none"/>
        </w:rPr>
        <w:t>内，将履约验收结</w:t>
      </w:r>
      <w:r>
        <w:rPr>
          <w:rFonts w:hint="eastAsia" w:ascii="仿宋" w:hAnsi="仿宋" w:eastAsia="仿宋" w:cs="仿宋"/>
          <w:color w:val="auto"/>
          <w:spacing w:val="-2"/>
          <w:sz w:val="24"/>
          <w:szCs w:val="24"/>
          <w:highlight w:val="none"/>
        </w:rPr>
        <w:t>果在浙江政府采购网上公告。</w:t>
      </w:r>
    </w:p>
    <w:p w14:paraId="024D6286">
      <w:pPr>
        <w:keepNext w:val="0"/>
        <w:keepLines w:val="0"/>
        <w:pageBreakBefore w:val="0"/>
        <w:widowControl w:val="0"/>
        <w:kinsoku/>
        <w:wordWrap/>
        <w:overflowPunct/>
        <w:topLinePunct w:val="0"/>
        <w:autoSpaceDE w:val="0"/>
        <w:autoSpaceDN w:val="0"/>
        <w:bidi w:val="0"/>
        <w:adjustRightInd w:val="0"/>
        <w:snapToGrid/>
        <w:spacing w:line="420" w:lineRule="exact"/>
        <w:ind w:right="0" w:firstLine="468"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5.验收合格的项</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3"/>
          <w:sz w:val="24"/>
          <w:szCs w:val="24"/>
          <w:highlight w:val="none"/>
        </w:rPr>
        <w:t>目，采购人将根据采购合同的约定及时向供应商支付</w:t>
      </w:r>
      <w:r>
        <w:rPr>
          <w:rFonts w:hint="eastAsia" w:ascii="仿宋" w:hAnsi="仿宋" w:eastAsia="仿宋" w:cs="仿宋"/>
          <w:color w:val="auto"/>
          <w:spacing w:val="-10"/>
          <w:sz w:val="24"/>
          <w:szCs w:val="24"/>
          <w:highlight w:val="none"/>
        </w:rPr>
        <w:t>采购资金、退还履约保证金。验收不合格的项</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10"/>
          <w:sz w:val="24"/>
          <w:szCs w:val="24"/>
          <w:highlight w:val="none"/>
        </w:rPr>
        <w:t>目，采购人将依法及时</w:t>
      </w:r>
      <w:r>
        <w:rPr>
          <w:rFonts w:hint="eastAsia" w:ascii="仿宋" w:hAnsi="仿宋" w:eastAsia="仿宋" w:cs="仿宋"/>
          <w:color w:val="auto"/>
          <w:spacing w:val="-11"/>
          <w:sz w:val="24"/>
          <w:szCs w:val="24"/>
          <w:highlight w:val="none"/>
        </w:rPr>
        <w:t>处理。</w:t>
      </w:r>
      <w:r>
        <w:rPr>
          <w:rFonts w:hint="eastAsia" w:ascii="仿宋" w:hAnsi="仿宋" w:eastAsia="仿宋" w:cs="仿宋"/>
          <w:color w:val="auto"/>
          <w:spacing w:val="-3"/>
          <w:sz w:val="24"/>
          <w:szCs w:val="24"/>
          <w:highlight w:val="none"/>
        </w:rPr>
        <w:t>采购合同的履行、违约责任和解决争议的方式等适用《中华人民共和国民</w:t>
      </w:r>
      <w:r>
        <w:rPr>
          <w:rFonts w:hint="eastAsia" w:ascii="仿宋" w:hAnsi="仿宋" w:eastAsia="仿宋" w:cs="仿宋"/>
          <w:color w:val="auto"/>
          <w:spacing w:val="-8"/>
          <w:sz w:val="24"/>
          <w:szCs w:val="24"/>
          <w:highlight w:val="none"/>
        </w:rPr>
        <w:t>法典》。供应商在履约过程中有政府采购法律法规规定的违法违规情形的，</w:t>
      </w:r>
      <w:r>
        <w:rPr>
          <w:rFonts w:hint="eastAsia" w:ascii="仿宋" w:hAnsi="仿宋" w:eastAsia="仿宋" w:cs="仿宋"/>
          <w:color w:val="auto"/>
          <w:spacing w:val="-2"/>
          <w:sz w:val="24"/>
          <w:szCs w:val="24"/>
          <w:highlight w:val="none"/>
        </w:rPr>
        <w:t>采购人应当及时报告本级财政部门。</w:t>
      </w:r>
    </w:p>
    <w:p w14:paraId="1AC301FD">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（九）资金支付</w:t>
      </w:r>
    </w:p>
    <w:p w14:paraId="4BBA7005">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textAlignment w:val="auto"/>
        <w:outlineLvl w:val="9"/>
        <w:rPr>
          <w:rFonts w:hint="eastAsia" w:ascii="仿宋" w:hAnsi="仿宋" w:eastAsia="仿宋" w:cs="仿宋"/>
          <w:color w:val="auto"/>
          <w:spacing w:val="-1"/>
          <w:sz w:val="24"/>
          <w:szCs w:val="24"/>
          <w:highlight w:val="none"/>
        </w:rPr>
      </w:pPr>
      <w:r>
        <w:rPr>
          <w:rFonts w:hint="eastAsia" w:ascii="仿宋" w:hAnsi="仿宋" w:eastAsia="仿宋" w:cs="仿宋"/>
          <w:color w:val="auto"/>
          <w:spacing w:val="-3"/>
          <w:sz w:val="24"/>
          <w:szCs w:val="24"/>
          <w:highlight w:val="none"/>
        </w:rPr>
        <w:t>采购单位应当及时组织项目验收，不得以政府部门审计作为支付供应商款项的条件。采购单位对于满足合同约定支付条件的，</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pacing w:val="-3"/>
          <w:sz w:val="24"/>
          <w:szCs w:val="24"/>
          <w:highlight w:val="none"/>
        </w:rPr>
        <w:t>自收到发票后</w:t>
      </w:r>
      <w:r>
        <w:rPr>
          <w:rFonts w:hint="eastAsia" w:ascii="仿宋" w:hAnsi="仿宋" w:eastAsia="仿宋" w:cs="仿宋"/>
          <w:color w:val="auto"/>
          <w:spacing w:val="-58"/>
          <w:sz w:val="24"/>
          <w:szCs w:val="24"/>
          <w:highlight w:val="none"/>
        </w:rPr>
        <w:t xml:space="preserve"> </w:t>
      </w:r>
      <w:r>
        <w:rPr>
          <w:rFonts w:hint="eastAsia" w:ascii="仿宋" w:hAnsi="仿宋" w:eastAsia="仿宋" w:cs="仿宋"/>
          <w:color w:val="auto"/>
          <w:spacing w:val="-3"/>
          <w:sz w:val="24"/>
          <w:szCs w:val="24"/>
          <w:highlight w:val="none"/>
        </w:rPr>
        <w:t>7</w:t>
      </w:r>
      <w:r>
        <w:rPr>
          <w:rFonts w:hint="eastAsia" w:ascii="仿宋" w:hAnsi="仿宋" w:eastAsia="仿宋" w:cs="仿宋"/>
          <w:color w:val="auto"/>
          <w:spacing w:val="-3"/>
          <w:sz w:val="24"/>
          <w:szCs w:val="24"/>
          <w:highlight w:val="none"/>
          <w:lang w:eastAsia="zh-CN"/>
        </w:rPr>
        <w:t>个工作日</w:t>
      </w:r>
      <w:r>
        <w:rPr>
          <w:rFonts w:hint="eastAsia" w:ascii="仿宋" w:hAnsi="仿宋" w:eastAsia="仿宋" w:cs="仿宋"/>
          <w:color w:val="auto"/>
          <w:spacing w:val="-5"/>
          <w:sz w:val="24"/>
          <w:szCs w:val="24"/>
          <w:highlight w:val="none"/>
        </w:rPr>
        <w:t>内将资金支付到合同约定的供应商账户。采购单位</w:t>
      </w:r>
      <w:r>
        <w:rPr>
          <w:rFonts w:hint="eastAsia" w:ascii="仿宋" w:hAnsi="仿宋" w:eastAsia="仿宋" w:cs="仿宋"/>
          <w:color w:val="auto"/>
          <w:spacing w:val="-6"/>
          <w:sz w:val="24"/>
          <w:szCs w:val="24"/>
          <w:highlight w:val="none"/>
        </w:rPr>
        <w:t>不得以机构变</w:t>
      </w:r>
      <w:r>
        <w:rPr>
          <w:rFonts w:hint="eastAsia" w:ascii="仿宋" w:hAnsi="仿宋" w:eastAsia="仿宋" w:cs="仿宋"/>
          <w:color w:val="auto"/>
          <w:spacing w:val="-3"/>
          <w:sz w:val="24"/>
          <w:szCs w:val="24"/>
          <w:highlight w:val="none"/>
        </w:rPr>
        <w:t>动、人员更替、政策调整、单位放假、履行内部付款流程，或者在合同未作约定的情况下以等待竣工验收批复、决算审计等为由迟延付款。迟延支</w:t>
      </w:r>
      <w:r>
        <w:rPr>
          <w:rFonts w:hint="eastAsia" w:ascii="仿宋" w:hAnsi="仿宋" w:eastAsia="仿宋" w:cs="仿宋"/>
          <w:color w:val="auto"/>
          <w:spacing w:val="-1"/>
          <w:sz w:val="24"/>
          <w:szCs w:val="24"/>
          <w:highlight w:val="none"/>
        </w:rPr>
        <w:t>付中小企业款项的，供应商可要求采购单位支付逾期利息。</w:t>
      </w:r>
    </w:p>
    <w:p w14:paraId="1D43B03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6"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八、纪律和监督</w:t>
      </w:r>
    </w:p>
    <w:p w14:paraId="3F351DA3">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w:t>
      </w:r>
      <w:r>
        <w:rPr>
          <w:rFonts w:hint="eastAsia" w:ascii="仿宋" w:hAnsi="仿宋" w:eastAsia="仿宋" w:cs="仿宋"/>
          <w:color w:val="auto"/>
          <w:spacing w:val="-67"/>
          <w:sz w:val="24"/>
          <w:szCs w:val="24"/>
          <w:highlight w:val="none"/>
        </w:rPr>
        <w:t xml:space="preserve"> </w:t>
      </w:r>
      <w:r>
        <w:rPr>
          <w:rFonts w:hint="eastAsia" w:ascii="仿宋" w:hAnsi="仿宋" w:eastAsia="仿宋" w:cs="仿宋"/>
          <w:b/>
          <w:bCs/>
          <w:color w:val="auto"/>
          <w:spacing w:val="-7"/>
          <w:sz w:val="24"/>
          <w:szCs w:val="24"/>
          <w:highlight w:val="none"/>
        </w:rPr>
        <w:t>一）对采购人的纪律要求</w:t>
      </w:r>
    </w:p>
    <w:p w14:paraId="60D3A3CB">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采购人不得泄露招标投标活动中应当保密的情况和资料，不得与投标人串通损害国家利益、社会公共利益或者他人合法权益。</w:t>
      </w:r>
    </w:p>
    <w:p w14:paraId="76E91A06">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w:t>
      </w:r>
      <w:r>
        <w:rPr>
          <w:rFonts w:hint="eastAsia" w:ascii="仿宋" w:hAnsi="仿宋" w:eastAsia="仿宋" w:cs="仿宋"/>
          <w:color w:val="auto"/>
          <w:spacing w:val="-67"/>
          <w:sz w:val="24"/>
          <w:szCs w:val="24"/>
          <w:highlight w:val="none"/>
        </w:rPr>
        <w:t xml:space="preserve"> </w:t>
      </w:r>
      <w:r>
        <w:rPr>
          <w:rFonts w:hint="eastAsia" w:ascii="仿宋" w:hAnsi="仿宋" w:eastAsia="仿宋" w:cs="仿宋"/>
          <w:b/>
          <w:bCs/>
          <w:color w:val="auto"/>
          <w:spacing w:val="-7"/>
          <w:sz w:val="24"/>
          <w:szCs w:val="24"/>
          <w:highlight w:val="none"/>
        </w:rPr>
        <w:t>二）对投标人的纪律要求</w:t>
      </w:r>
    </w:p>
    <w:p w14:paraId="25D10CAC">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投标人不得相互串通投标或者与采购人串通投标，不得向采购人或者评标委员会成员行贿谋取中标，不得以他人名义投标或者以其他方式弄虚</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作假骗取中标；投标人不得以任何方式干扰、影响评标工作。</w:t>
      </w:r>
    </w:p>
    <w:p w14:paraId="6F0B7C1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w:t>
      </w:r>
      <w:r>
        <w:rPr>
          <w:rFonts w:hint="eastAsia" w:ascii="仿宋" w:hAnsi="仿宋" w:eastAsia="仿宋" w:cs="仿宋"/>
          <w:color w:val="auto"/>
          <w:spacing w:val="-63"/>
          <w:sz w:val="24"/>
          <w:szCs w:val="24"/>
          <w:highlight w:val="none"/>
        </w:rPr>
        <w:t xml:space="preserve"> </w:t>
      </w:r>
      <w:r>
        <w:rPr>
          <w:rFonts w:hint="eastAsia" w:ascii="仿宋" w:hAnsi="仿宋" w:eastAsia="仿宋" w:cs="仿宋"/>
          <w:b/>
          <w:bCs/>
          <w:color w:val="auto"/>
          <w:spacing w:val="-6"/>
          <w:sz w:val="24"/>
          <w:szCs w:val="24"/>
          <w:highlight w:val="none"/>
        </w:rPr>
        <w:t>三）对评标委员会成员的纪律要求</w:t>
      </w:r>
    </w:p>
    <w:p w14:paraId="79060F14">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w:t>
      </w:r>
      <w:r>
        <w:rPr>
          <w:rFonts w:hint="eastAsia" w:ascii="仿宋" w:hAnsi="仿宋" w:eastAsia="仿宋" w:cs="仿宋"/>
          <w:color w:val="auto"/>
          <w:spacing w:val="-4"/>
          <w:sz w:val="24"/>
          <w:szCs w:val="24"/>
          <w:highlight w:val="none"/>
        </w:rPr>
        <w:t>业道德，不得擅离职守，影响评标程序正常</w:t>
      </w:r>
      <w:r>
        <w:rPr>
          <w:rFonts w:hint="eastAsia" w:ascii="仿宋" w:hAnsi="仿宋" w:eastAsia="仿宋" w:cs="仿宋"/>
          <w:color w:val="auto"/>
          <w:spacing w:val="-5"/>
          <w:sz w:val="24"/>
          <w:szCs w:val="24"/>
          <w:highlight w:val="none"/>
        </w:rPr>
        <w:t>进行，不得使用第五章“评标办</w:t>
      </w:r>
      <w:r>
        <w:rPr>
          <w:rFonts w:hint="eastAsia" w:ascii="仿宋" w:hAnsi="仿宋" w:eastAsia="仿宋" w:cs="仿宋"/>
          <w:color w:val="auto"/>
          <w:spacing w:val="-2"/>
          <w:sz w:val="24"/>
          <w:szCs w:val="24"/>
          <w:highlight w:val="none"/>
        </w:rPr>
        <w:t>法”没有规定的评审因素和标准进行评标。</w:t>
      </w:r>
    </w:p>
    <w:p w14:paraId="0903409A">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w:t>
      </w:r>
      <w:r>
        <w:rPr>
          <w:rFonts w:hint="eastAsia" w:ascii="仿宋" w:hAnsi="仿宋" w:eastAsia="仿宋" w:cs="仿宋"/>
          <w:color w:val="auto"/>
          <w:spacing w:val="-42"/>
          <w:sz w:val="24"/>
          <w:szCs w:val="24"/>
          <w:highlight w:val="none"/>
        </w:rPr>
        <w:t xml:space="preserve"> </w:t>
      </w:r>
      <w:r>
        <w:rPr>
          <w:rFonts w:hint="eastAsia" w:ascii="仿宋" w:hAnsi="仿宋" w:eastAsia="仿宋" w:cs="仿宋"/>
          <w:b/>
          <w:bCs/>
          <w:color w:val="auto"/>
          <w:spacing w:val="-6"/>
          <w:sz w:val="24"/>
          <w:szCs w:val="24"/>
          <w:highlight w:val="none"/>
        </w:rPr>
        <w:t>四）对与评标活动有关的工作人员的纪律要求</w:t>
      </w:r>
    </w:p>
    <w:p w14:paraId="6074C847">
      <w:pPr>
        <w:keepNext w:val="0"/>
        <w:keepLines w:val="0"/>
        <w:pageBreakBefore w:val="0"/>
        <w:widowControl w:val="0"/>
        <w:kinsoku/>
        <w:wordWrap/>
        <w:overflowPunct/>
        <w:topLinePunct w:val="0"/>
        <w:autoSpaceDE w:val="0"/>
        <w:autoSpaceDN w:val="0"/>
        <w:bidi w:val="0"/>
        <w:adjustRightInd w:val="0"/>
        <w:snapToGrid/>
        <w:spacing w:line="420" w:lineRule="exact"/>
        <w:ind w:right="0" w:firstLine="476"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与评标活动有关的工作人员不得收受他人的财物或者其他好处</w:t>
      </w:r>
      <w:r>
        <w:rPr>
          <w:rFonts w:hint="eastAsia" w:ascii="仿宋" w:hAnsi="仿宋" w:eastAsia="仿宋" w:cs="仿宋"/>
          <w:color w:val="auto"/>
          <w:spacing w:val="-2"/>
          <w:sz w:val="24"/>
          <w:szCs w:val="24"/>
          <w:highlight w:val="none"/>
        </w:rPr>
        <w:t>，不得</w:t>
      </w:r>
      <w:r>
        <w:rPr>
          <w:rFonts w:hint="eastAsia" w:ascii="仿宋" w:hAnsi="仿宋" w:eastAsia="仿宋" w:cs="仿宋"/>
          <w:color w:val="auto"/>
          <w:spacing w:val="-1"/>
          <w:sz w:val="24"/>
          <w:szCs w:val="24"/>
          <w:highlight w:val="none"/>
        </w:rPr>
        <w:t>向他人透露对投标文件的评审和比较、中标候选人的推荐情况以</w:t>
      </w:r>
      <w:r>
        <w:rPr>
          <w:rFonts w:hint="eastAsia" w:ascii="仿宋" w:hAnsi="仿宋" w:eastAsia="仿宋" w:cs="仿宋"/>
          <w:color w:val="auto"/>
          <w:spacing w:val="-1"/>
          <w:sz w:val="24"/>
          <w:szCs w:val="24"/>
          <w:highlight w:val="none"/>
          <w:lang w:eastAsia="zh-CN"/>
        </w:rPr>
        <w:t>及与</w:t>
      </w:r>
      <w:r>
        <w:rPr>
          <w:rFonts w:hint="eastAsia" w:ascii="仿宋" w:hAnsi="仿宋" w:eastAsia="仿宋" w:cs="仿宋"/>
          <w:color w:val="auto"/>
          <w:spacing w:val="-1"/>
          <w:sz w:val="24"/>
          <w:szCs w:val="24"/>
          <w:highlight w:val="none"/>
        </w:rPr>
        <w:t>评标有</w:t>
      </w:r>
      <w:r>
        <w:rPr>
          <w:rFonts w:hint="eastAsia" w:ascii="仿宋" w:hAnsi="仿宋" w:eastAsia="仿宋" w:cs="仿宋"/>
          <w:color w:val="auto"/>
          <w:spacing w:val="-7"/>
          <w:sz w:val="24"/>
          <w:szCs w:val="24"/>
          <w:highlight w:val="none"/>
        </w:rPr>
        <w:t>关的其他情况。在评标活动中，与评标活动有关的工作人员不得擅离职守，</w:t>
      </w:r>
      <w:r>
        <w:rPr>
          <w:rFonts w:hint="eastAsia" w:ascii="仿宋" w:hAnsi="仿宋" w:eastAsia="仿宋" w:cs="仿宋"/>
          <w:color w:val="auto"/>
          <w:spacing w:val="-3"/>
          <w:sz w:val="24"/>
          <w:szCs w:val="24"/>
          <w:highlight w:val="none"/>
        </w:rPr>
        <w:t>影响评标程序正常进行。</w:t>
      </w:r>
    </w:p>
    <w:p w14:paraId="7A1E27BD">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2"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九、</w:t>
      </w:r>
      <w:r>
        <w:rPr>
          <w:rFonts w:hint="eastAsia" w:ascii="仿宋" w:hAnsi="仿宋" w:eastAsia="仿宋" w:cs="仿宋"/>
          <w:b/>
          <w:bCs/>
          <w:color w:val="auto"/>
          <w:spacing w:val="-5"/>
          <w:sz w:val="24"/>
          <w:szCs w:val="24"/>
          <w:highlight w:val="none"/>
          <w:lang w:eastAsia="zh-CN"/>
        </w:rPr>
        <w:t>采购方</w:t>
      </w:r>
      <w:r>
        <w:rPr>
          <w:rFonts w:hint="eastAsia" w:ascii="仿宋" w:hAnsi="仿宋" w:eastAsia="仿宋" w:cs="仿宋"/>
          <w:b/>
          <w:bCs/>
          <w:color w:val="auto"/>
          <w:spacing w:val="-5"/>
          <w:sz w:val="24"/>
          <w:szCs w:val="24"/>
          <w:highlight w:val="none"/>
        </w:rPr>
        <w:t>式改变</w:t>
      </w:r>
    </w:p>
    <w:p w14:paraId="7A19C8B5">
      <w:pPr>
        <w:keepNext w:val="0"/>
        <w:keepLines w:val="0"/>
        <w:pageBreakBefore w:val="0"/>
        <w:widowControl w:val="0"/>
        <w:kinsoku/>
        <w:wordWrap/>
        <w:overflowPunct/>
        <w:topLinePunct w:val="0"/>
        <w:autoSpaceDE w:val="0"/>
        <w:autoSpaceDN w:val="0"/>
        <w:bidi w:val="0"/>
        <w:adjustRightInd w:val="0"/>
        <w:snapToGrid/>
        <w:spacing w:line="420" w:lineRule="exact"/>
        <w:ind w:right="0" w:firstLine="46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（一）在符合资格的投标人不足规定数量或投标人提供的货物（服务）</w:t>
      </w:r>
      <w:r>
        <w:rPr>
          <w:rFonts w:hint="eastAsia" w:ascii="仿宋" w:hAnsi="仿宋" w:eastAsia="仿宋" w:cs="仿宋"/>
          <w:color w:val="auto"/>
          <w:spacing w:val="-1"/>
          <w:sz w:val="24"/>
          <w:szCs w:val="24"/>
          <w:highlight w:val="none"/>
        </w:rPr>
        <w:t>及其报价、售后服务承诺等不能满足采购人要求，以及招标采购过程中出现其他不正常情况时，采购人将需要重新选择合适的方式进行采购。</w:t>
      </w:r>
    </w:p>
    <w:p w14:paraId="5F372072">
      <w:pPr>
        <w:keepNext w:val="0"/>
        <w:keepLines w:val="0"/>
        <w:pageBreakBefore w:val="0"/>
        <w:widowControl w:val="0"/>
        <w:kinsoku/>
        <w:wordWrap/>
        <w:overflowPunct/>
        <w:topLinePunct w:val="0"/>
        <w:autoSpaceDE w:val="0"/>
        <w:autoSpaceDN w:val="0"/>
        <w:bidi w:val="0"/>
        <w:adjustRightInd w:val="0"/>
        <w:snapToGrid/>
        <w:spacing w:line="420" w:lineRule="exact"/>
        <w:ind w:right="0" w:firstLine="45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74"/>
          <w:sz w:val="24"/>
          <w:szCs w:val="24"/>
          <w:highlight w:val="none"/>
        </w:rPr>
        <w:t xml:space="preserve"> </w:t>
      </w:r>
      <w:r>
        <w:rPr>
          <w:rFonts w:hint="eastAsia" w:ascii="仿宋" w:hAnsi="仿宋" w:eastAsia="仿宋" w:cs="仿宋"/>
          <w:color w:val="auto"/>
          <w:spacing w:val="-6"/>
          <w:sz w:val="24"/>
          <w:szCs w:val="24"/>
          <w:highlight w:val="none"/>
        </w:rPr>
        <w:t>二）出现下列情形之一的，应予废标：</w:t>
      </w:r>
      <w:r>
        <w:rPr>
          <w:rFonts w:hint="eastAsia" w:ascii="仿宋" w:hAnsi="仿宋" w:eastAsia="仿宋" w:cs="仿宋"/>
          <w:color w:val="auto"/>
          <w:sz w:val="24"/>
          <w:szCs w:val="24"/>
          <w:highlight w:val="none"/>
        </w:rPr>
        <w:t xml:space="preserve"> </w:t>
      </w:r>
    </w:p>
    <w:p w14:paraId="09893759">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right="0" w:rightChars="0" w:firstLine="472" w:firstLineChars="200"/>
        <w:textAlignment w:val="auto"/>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1.</w:t>
      </w:r>
      <w:r>
        <w:rPr>
          <w:rFonts w:hint="eastAsia" w:ascii="仿宋" w:hAnsi="仿宋" w:eastAsia="仿宋" w:cs="仿宋"/>
          <w:color w:val="auto"/>
          <w:spacing w:val="-2"/>
          <w:sz w:val="24"/>
          <w:szCs w:val="24"/>
          <w:highlight w:val="none"/>
        </w:rPr>
        <w:t>投标截止时间止，投标人少于三家的；</w:t>
      </w:r>
    </w:p>
    <w:p w14:paraId="76A35002">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ind w:right="0" w:rightChars="0" w:firstLine="49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val="en-US" w:eastAsia="zh-CN"/>
        </w:rPr>
        <w:t>2.</w:t>
      </w:r>
      <w:r>
        <w:rPr>
          <w:rFonts w:hint="eastAsia" w:ascii="仿宋" w:hAnsi="仿宋" w:eastAsia="仿宋" w:cs="仿宋"/>
          <w:color w:val="auto"/>
          <w:spacing w:val="4"/>
          <w:sz w:val="24"/>
          <w:szCs w:val="24"/>
          <w:highlight w:val="none"/>
        </w:rPr>
        <w:t>符合专业条件的供应商或者对招标文件作实质响应的供应商不足三</w:t>
      </w:r>
      <w:r>
        <w:rPr>
          <w:rFonts w:hint="eastAsia" w:ascii="仿宋" w:hAnsi="仿宋" w:eastAsia="仿宋" w:cs="仿宋"/>
          <w:color w:val="auto"/>
          <w:spacing w:val="-9"/>
          <w:sz w:val="24"/>
          <w:szCs w:val="24"/>
          <w:highlight w:val="none"/>
        </w:rPr>
        <w:t>家的；</w:t>
      </w:r>
    </w:p>
    <w:p w14:paraId="47BEC57E">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3.出现影响采购公正的违法、违规行为的；</w:t>
      </w:r>
    </w:p>
    <w:p w14:paraId="5907E76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2" w:firstLineChars="200"/>
        <w:textAlignment w:val="auto"/>
        <w:outlineLvl w:val="9"/>
        <w:rPr>
          <w:rFonts w:hint="eastAsia" w:ascii="仿宋" w:hAnsi="仿宋" w:eastAsia="仿宋" w:cs="仿宋"/>
          <w:color w:val="auto"/>
          <w:spacing w:val="1"/>
          <w:sz w:val="24"/>
          <w:szCs w:val="24"/>
          <w:highlight w:val="none"/>
        </w:rPr>
      </w:pPr>
      <w:r>
        <w:rPr>
          <w:rFonts w:hint="eastAsia" w:ascii="仿宋" w:hAnsi="仿宋" w:eastAsia="仿宋" w:cs="仿宋"/>
          <w:color w:val="auto"/>
          <w:spacing w:val="-2"/>
          <w:sz w:val="24"/>
          <w:szCs w:val="24"/>
          <w:highlight w:val="none"/>
        </w:rPr>
        <w:t>4.投标人的报价均超过了采购预算，采购人不能支付的；</w:t>
      </w:r>
      <w:r>
        <w:rPr>
          <w:rFonts w:hint="eastAsia" w:ascii="仿宋" w:hAnsi="仿宋" w:eastAsia="仿宋" w:cs="仿宋"/>
          <w:color w:val="auto"/>
          <w:spacing w:val="1"/>
          <w:sz w:val="24"/>
          <w:szCs w:val="24"/>
          <w:highlight w:val="none"/>
        </w:rPr>
        <w:t xml:space="preserve"> </w:t>
      </w:r>
    </w:p>
    <w:p w14:paraId="6C16ECA7">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5.因重大变故，采购任务取消的；</w:t>
      </w:r>
    </w:p>
    <w:p w14:paraId="773184DF">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40"/>
          <w:sz w:val="24"/>
          <w:szCs w:val="24"/>
          <w:highlight w:val="none"/>
          <w:lang w:eastAsia="zh-CN"/>
        </w:rPr>
        <w:t>法律法规</w:t>
      </w:r>
      <w:r>
        <w:rPr>
          <w:rFonts w:hint="eastAsia" w:ascii="仿宋" w:hAnsi="仿宋" w:eastAsia="仿宋" w:cs="仿宋"/>
          <w:color w:val="auto"/>
          <w:spacing w:val="-2"/>
          <w:sz w:val="24"/>
          <w:szCs w:val="24"/>
          <w:highlight w:val="none"/>
        </w:rPr>
        <w:t>规定应当重新招标的其他情形。</w:t>
      </w:r>
    </w:p>
    <w:p w14:paraId="394E79BF">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3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11"/>
          <w:sz w:val="24"/>
          <w:szCs w:val="24"/>
          <w:highlight w:val="none"/>
        </w:rPr>
        <w:t>三</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11"/>
          <w:sz w:val="24"/>
          <w:szCs w:val="24"/>
          <w:highlight w:val="none"/>
        </w:rPr>
        <w:t>）电子交易活动的中止：</w:t>
      </w:r>
    </w:p>
    <w:p w14:paraId="5E13B9CD">
      <w:pPr>
        <w:keepNext w:val="0"/>
        <w:keepLines w:val="0"/>
        <w:pageBreakBefore w:val="0"/>
        <w:widowControl w:val="0"/>
        <w:kinsoku/>
        <w:wordWrap/>
        <w:overflowPunct/>
        <w:topLinePunct w:val="0"/>
        <w:autoSpaceDE w:val="0"/>
        <w:autoSpaceDN w:val="0"/>
        <w:bidi w:val="0"/>
        <w:adjustRightInd w:val="0"/>
        <w:snapToGrid/>
        <w:spacing w:line="420" w:lineRule="exact"/>
        <w:ind w:right="0" w:firstLine="45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1.电子交易活动的中止。采购过程中出现以下情形，导致电子交易平台</w:t>
      </w:r>
      <w:r>
        <w:rPr>
          <w:rFonts w:hint="eastAsia" w:ascii="仿宋" w:hAnsi="仿宋" w:eastAsia="仿宋" w:cs="仿宋"/>
          <w:color w:val="auto"/>
          <w:spacing w:val="-1"/>
          <w:sz w:val="24"/>
          <w:szCs w:val="24"/>
          <w:highlight w:val="none"/>
        </w:rPr>
        <w:t>无法正常运行，或者无法保证电子交易的公平、公正和安全时，采购机构</w:t>
      </w:r>
      <w:r>
        <w:rPr>
          <w:rFonts w:hint="eastAsia" w:ascii="仿宋" w:hAnsi="仿宋" w:eastAsia="仿宋" w:cs="仿宋"/>
          <w:color w:val="auto"/>
          <w:spacing w:val="-3"/>
          <w:sz w:val="24"/>
          <w:szCs w:val="24"/>
          <w:highlight w:val="none"/>
        </w:rPr>
        <w:t>可中止电子交易活动：</w:t>
      </w:r>
    </w:p>
    <w:p w14:paraId="41C48E4F">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电子交易平台发生故障而无法登录访问的；</w:t>
      </w:r>
    </w:p>
    <w:p w14:paraId="56E0B81A">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电子交易平台应用或数据库出现错误，不能进行正常操作的；</w:t>
      </w:r>
    </w:p>
    <w:p w14:paraId="4916A411">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电子交易平台发现严重安全漏洞，有潜在泄密危险的；</w:t>
      </w:r>
    </w:p>
    <w:p w14:paraId="244B5D44">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2" w:firstLineChars="200"/>
        <w:textAlignment w:val="auto"/>
        <w:outlineLvl w:val="9"/>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4</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病毒发作导致不能进行正常操作的；</w:t>
      </w:r>
    </w:p>
    <w:p w14:paraId="622B5737">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lang w:val="en-US" w:eastAsia="zh-CN"/>
        </w:rPr>
        <w:t>5</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其他无法保证电子交易的公平、公正和安全的情况。</w:t>
      </w:r>
    </w:p>
    <w:p w14:paraId="4DF339AA">
      <w:pPr>
        <w:keepNext w:val="0"/>
        <w:keepLines w:val="0"/>
        <w:pageBreakBefore w:val="0"/>
        <w:widowControl w:val="0"/>
        <w:kinsoku/>
        <w:wordWrap/>
        <w:overflowPunct/>
        <w:topLinePunct w:val="0"/>
        <w:autoSpaceDE w:val="0"/>
        <w:autoSpaceDN w:val="0"/>
        <w:bidi w:val="0"/>
        <w:adjustRightInd w:val="0"/>
        <w:snapToGrid/>
        <w:spacing w:line="420" w:lineRule="exact"/>
        <w:ind w:right="0" w:firstLine="456"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2.出现以上情形，不影响采购公平、公正性的，采购组织机构可以待上</w:t>
      </w:r>
      <w:r>
        <w:rPr>
          <w:rFonts w:hint="eastAsia" w:ascii="仿宋" w:hAnsi="仿宋" w:eastAsia="仿宋" w:cs="仿宋"/>
          <w:color w:val="auto"/>
          <w:spacing w:val="-1"/>
          <w:sz w:val="24"/>
          <w:szCs w:val="24"/>
          <w:highlight w:val="none"/>
        </w:rPr>
        <w:t>述情形消除后继续组织电子交易活动，也可以决定某些环节以纸质形式进行；影响或可能影响采购公平、公正性的，应当重新采购。</w:t>
      </w:r>
    </w:p>
    <w:p w14:paraId="2F43DC6B">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2"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十、重新开展采购</w:t>
      </w:r>
    </w:p>
    <w:p w14:paraId="5620D59D">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有政府采购法第七十一条、第七十二条规定的违法行为之一</w:t>
      </w:r>
      <w:r>
        <w:rPr>
          <w:rFonts w:hint="eastAsia" w:ascii="仿宋" w:hAnsi="仿宋" w:eastAsia="仿宋" w:cs="仿宋"/>
          <w:color w:val="auto"/>
          <w:spacing w:val="1"/>
          <w:sz w:val="24"/>
          <w:szCs w:val="24"/>
          <w:highlight w:val="none"/>
        </w:rPr>
        <w:t>，影响或</w:t>
      </w:r>
      <w:r>
        <w:rPr>
          <w:rFonts w:hint="eastAsia" w:ascii="仿宋" w:hAnsi="仿宋" w:eastAsia="仿宋" w:cs="仿宋"/>
          <w:color w:val="auto"/>
          <w:spacing w:val="-1"/>
          <w:sz w:val="24"/>
          <w:szCs w:val="24"/>
          <w:highlight w:val="none"/>
        </w:rPr>
        <w:t>者可能影响中标、成交结果的，依照下列规定处理：</w:t>
      </w:r>
    </w:p>
    <w:p w14:paraId="3B4FD489">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textAlignment w:val="auto"/>
        <w:outlineLvl w:val="9"/>
        <w:rPr>
          <w:rFonts w:hint="eastAsia" w:ascii="仿宋" w:hAnsi="仿宋" w:eastAsia="仿宋" w:cs="仿宋"/>
          <w:color w:val="auto"/>
          <w:spacing w:val="-3"/>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z w:val="24"/>
          <w:szCs w:val="24"/>
          <w:highlight w:val="none"/>
        </w:rPr>
        <w:t>一）未确定中标或者中标人的，终止本次政府采购活动，重新开展</w:t>
      </w:r>
      <w:r>
        <w:rPr>
          <w:rFonts w:hint="eastAsia" w:ascii="仿宋" w:hAnsi="仿宋" w:eastAsia="仿宋" w:cs="仿宋"/>
          <w:color w:val="auto"/>
          <w:spacing w:val="-3"/>
          <w:sz w:val="24"/>
          <w:szCs w:val="24"/>
          <w:highlight w:val="none"/>
        </w:rPr>
        <w:t>政府采购活动。</w:t>
      </w:r>
    </w:p>
    <w:p w14:paraId="30B787DF">
      <w:pPr>
        <w:keepNext w:val="0"/>
        <w:keepLines w:val="0"/>
        <w:pageBreakBefore w:val="0"/>
        <w:widowControl w:val="0"/>
        <w:kinsoku/>
        <w:wordWrap/>
        <w:overflowPunct/>
        <w:topLinePunct w:val="0"/>
        <w:autoSpaceDE w:val="0"/>
        <w:autoSpaceDN w:val="0"/>
        <w:bidi w:val="0"/>
        <w:adjustRightInd w:val="0"/>
        <w:snapToGrid/>
        <w:spacing w:line="420" w:lineRule="exact"/>
        <w:ind w:right="0" w:firstLine="48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74"/>
          <w:sz w:val="24"/>
          <w:szCs w:val="24"/>
          <w:highlight w:val="none"/>
        </w:rPr>
        <w:t xml:space="preserve"> </w:t>
      </w:r>
      <w:r>
        <w:rPr>
          <w:rFonts w:hint="eastAsia" w:ascii="仿宋" w:hAnsi="仿宋" w:eastAsia="仿宋" w:cs="仿宋"/>
          <w:color w:val="auto"/>
          <w:spacing w:val="1"/>
          <w:sz w:val="24"/>
          <w:szCs w:val="24"/>
          <w:highlight w:val="none"/>
        </w:rPr>
        <w:t>二）已确定中标或者中标人但尚未签订政府采</w:t>
      </w:r>
      <w:r>
        <w:rPr>
          <w:rFonts w:hint="eastAsia" w:ascii="仿宋" w:hAnsi="仿宋" w:eastAsia="仿宋" w:cs="仿宋"/>
          <w:color w:val="auto"/>
          <w:sz w:val="24"/>
          <w:szCs w:val="24"/>
          <w:highlight w:val="none"/>
        </w:rPr>
        <w:t>购合同的，中标或者</w:t>
      </w:r>
      <w:r>
        <w:rPr>
          <w:rFonts w:hint="eastAsia" w:ascii="仿宋" w:hAnsi="仿宋" w:eastAsia="仿宋" w:cs="仿宋"/>
          <w:color w:val="auto"/>
          <w:spacing w:val="6"/>
          <w:sz w:val="24"/>
          <w:szCs w:val="24"/>
          <w:highlight w:val="none"/>
        </w:rPr>
        <w:t>成交结果无效</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6"/>
          <w:sz w:val="24"/>
          <w:szCs w:val="24"/>
          <w:highlight w:val="none"/>
        </w:rPr>
        <w:t>，从合格的中标或者成交候选人中另行确定中标或者中标</w:t>
      </w:r>
      <w:r>
        <w:rPr>
          <w:rFonts w:hint="eastAsia" w:ascii="仿宋" w:hAnsi="仿宋" w:eastAsia="仿宋" w:cs="仿宋"/>
          <w:color w:val="auto"/>
          <w:spacing w:val="-1"/>
          <w:sz w:val="24"/>
          <w:szCs w:val="24"/>
          <w:highlight w:val="none"/>
        </w:rPr>
        <w:t>人；没有合格的中标或者成交候选人的，重新开展政府采购活动。</w:t>
      </w:r>
    </w:p>
    <w:p w14:paraId="669D6B47">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z w:val="24"/>
          <w:szCs w:val="24"/>
          <w:highlight w:val="none"/>
        </w:rPr>
        <w:t>三）政府采购合同已签订但尚未履行的，撤销合同，从合格的中标</w:t>
      </w:r>
      <w:r>
        <w:rPr>
          <w:rFonts w:hint="eastAsia" w:ascii="仿宋" w:hAnsi="仿宋" w:eastAsia="仿宋" w:cs="仿宋"/>
          <w:color w:val="auto"/>
          <w:spacing w:val="-1"/>
          <w:sz w:val="24"/>
          <w:szCs w:val="24"/>
          <w:highlight w:val="none"/>
        </w:rPr>
        <w:t>或者成交候选人中另行确定中标或者中标人；没有合格的中标或者成交候选人的，重新开展政府采购活动。</w:t>
      </w:r>
    </w:p>
    <w:p w14:paraId="39906624">
      <w:pPr>
        <w:keepNext w:val="0"/>
        <w:keepLines w:val="0"/>
        <w:pageBreakBefore w:val="0"/>
        <w:widowControl w:val="0"/>
        <w:kinsoku/>
        <w:wordWrap/>
        <w:overflowPunct/>
        <w:topLinePunct w:val="0"/>
        <w:autoSpaceDE w:val="0"/>
        <w:autoSpaceDN w:val="0"/>
        <w:bidi w:val="0"/>
        <w:adjustRightInd w:val="0"/>
        <w:snapToGrid/>
        <w:spacing w:line="420" w:lineRule="exact"/>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z w:val="24"/>
          <w:szCs w:val="24"/>
          <w:highlight w:val="none"/>
        </w:rPr>
        <w:t>四）政府采购合同已经履行，给采购人、供应商造成损失</w:t>
      </w:r>
      <w:r>
        <w:rPr>
          <w:rFonts w:hint="eastAsia" w:ascii="仿宋" w:hAnsi="仿宋" w:eastAsia="仿宋" w:cs="仿宋"/>
          <w:color w:val="auto"/>
          <w:spacing w:val="-1"/>
          <w:sz w:val="24"/>
          <w:szCs w:val="24"/>
          <w:highlight w:val="none"/>
        </w:rPr>
        <w:t>的，由责</w:t>
      </w:r>
      <w:r>
        <w:rPr>
          <w:rFonts w:hint="eastAsia" w:ascii="仿宋" w:hAnsi="仿宋" w:eastAsia="仿宋" w:cs="仿宋"/>
          <w:color w:val="auto"/>
          <w:spacing w:val="-2"/>
          <w:sz w:val="24"/>
          <w:szCs w:val="24"/>
          <w:highlight w:val="none"/>
        </w:rPr>
        <w:t>任人承担赔偿责任。</w:t>
      </w:r>
    </w:p>
    <w:p w14:paraId="689ADB93">
      <w:pPr>
        <w:keepNext w:val="0"/>
        <w:keepLines w:val="0"/>
        <w:pageBreakBefore w:val="0"/>
        <w:widowControl w:val="0"/>
        <w:kinsoku/>
        <w:wordWrap/>
        <w:overflowPunct/>
        <w:topLinePunct w:val="0"/>
        <w:autoSpaceDE w:val="0"/>
        <w:autoSpaceDN w:val="0"/>
        <w:bidi w:val="0"/>
        <w:adjustRightInd w:val="0"/>
        <w:snapToGrid/>
        <w:spacing w:line="420" w:lineRule="exact"/>
        <w:ind w:right="0" w:firstLine="48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77"/>
          <w:sz w:val="24"/>
          <w:szCs w:val="24"/>
          <w:highlight w:val="none"/>
        </w:rPr>
        <w:t xml:space="preserve"> </w:t>
      </w:r>
      <w:r>
        <w:rPr>
          <w:rFonts w:hint="eastAsia" w:ascii="仿宋" w:hAnsi="仿宋" w:eastAsia="仿宋" w:cs="仿宋"/>
          <w:color w:val="auto"/>
          <w:spacing w:val="1"/>
          <w:sz w:val="24"/>
          <w:szCs w:val="24"/>
          <w:highlight w:val="none"/>
        </w:rPr>
        <w:t>五）政府采购当事人有其他违反政府采购法或者政府</w:t>
      </w:r>
      <w:r>
        <w:rPr>
          <w:rFonts w:hint="eastAsia" w:ascii="仿宋" w:hAnsi="仿宋" w:eastAsia="仿宋" w:cs="仿宋"/>
          <w:color w:val="auto"/>
          <w:sz w:val="24"/>
          <w:szCs w:val="24"/>
          <w:highlight w:val="none"/>
        </w:rPr>
        <w:t>采购法实施条</w:t>
      </w:r>
      <w:r>
        <w:rPr>
          <w:rFonts w:hint="eastAsia" w:ascii="仿宋" w:hAnsi="仿宋" w:eastAsia="仿宋" w:cs="仿宋"/>
          <w:color w:val="auto"/>
          <w:spacing w:val="-1"/>
          <w:sz w:val="24"/>
          <w:szCs w:val="24"/>
          <w:highlight w:val="none"/>
        </w:rPr>
        <w:t>例等法律法规规定的行为，经改正后仍然影响或者可能影响中标、成交结果或者依法被认定为中标、成交无效的，依照前款规定处理。</w:t>
      </w:r>
    </w:p>
    <w:p w14:paraId="024A6F7E">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6"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十一、询问、质疑、投诉</w:t>
      </w:r>
    </w:p>
    <w:p w14:paraId="1254B8BE">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color w:val="auto"/>
          <w:spacing w:val="-7"/>
          <w:sz w:val="24"/>
          <w:szCs w:val="24"/>
          <w:highlight w:val="none"/>
        </w:rPr>
        <w:t>一）供应商询问</w:t>
      </w:r>
    </w:p>
    <w:p w14:paraId="27DE27CE">
      <w:pPr>
        <w:keepNext w:val="0"/>
        <w:keepLines w:val="0"/>
        <w:pageBreakBefore w:val="0"/>
        <w:widowControl w:val="0"/>
        <w:kinsoku/>
        <w:wordWrap/>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供应商可以就采购文件中特定资格条件、采购需求、评分办法及采购</w:t>
      </w:r>
      <w:r>
        <w:rPr>
          <w:rFonts w:hint="eastAsia" w:ascii="仿宋" w:hAnsi="仿宋" w:eastAsia="仿宋" w:cs="仿宋"/>
          <w:color w:val="auto"/>
          <w:spacing w:val="-1"/>
          <w:sz w:val="24"/>
          <w:szCs w:val="24"/>
          <w:highlight w:val="none"/>
        </w:rPr>
        <w:t>过程中有关现场考察或开标前答疑会事项向采购人提出询问，采购人将对此</w:t>
      </w:r>
      <w:r>
        <w:rPr>
          <w:rFonts w:hint="eastAsia" w:ascii="仿宋" w:hAnsi="仿宋" w:eastAsia="仿宋" w:cs="仿宋"/>
          <w:color w:val="auto"/>
          <w:spacing w:val="-1"/>
          <w:sz w:val="24"/>
          <w:szCs w:val="24"/>
          <w:highlight w:val="none"/>
          <w:lang w:eastAsia="zh-CN"/>
        </w:rPr>
        <w:t>作出</w:t>
      </w:r>
      <w:r>
        <w:rPr>
          <w:rFonts w:hint="eastAsia" w:ascii="仿宋" w:hAnsi="仿宋" w:eastAsia="仿宋" w:cs="仿宋"/>
          <w:color w:val="auto"/>
          <w:spacing w:val="-1"/>
          <w:sz w:val="24"/>
          <w:szCs w:val="24"/>
          <w:highlight w:val="none"/>
        </w:rPr>
        <w:t>答复；供应商可以就采购活动中的其他事项向采购代理机构提出询问，采购代理机构将对此</w:t>
      </w:r>
      <w:r>
        <w:rPr>
          <w:rFonts w:hint="eastAsia" w:ascii="仿宋" w:hAnsi="仿宋" w:eastAsia="仿宋" w:cs="仿宋"/>
          <w:color w:val="auto"/>
          <w:spacing w:val="-1"/>
          <w:sz w:val="24"/>
          <w:szCs w:val="24"/>
          <w:highlight w:val="none"/>
          <w:lang w:eastAsia="zh-CN"/>
        </w:rPr>
        <w:t>作出</w:t>
      </w:r>
      <w:r>
        <w:rPr>
          <w:rFonts w:hint="eastAsia" w:ascii="仿宋" w:hAnsi="仿宋" w:eastAsia="仿宋" w:cs="仿宋"/>
          <w:color w:val="auto"/>
          <w:spacing w:val="-1"/>
          <w:sz w:val="24"/>
          <w:szCs w:val="24"/>
          <w:highlight w:val="none"/>
        </w:rPr>
        <w:t>答复。答复的内容不得涉及商业秘密。</w:t>
      </w:r>
    </w:p>
    <w:p w14:paraId="6E55EA4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color w:val="auto"/>
          <w:spacing w:val="-7"/>
          <w:sz w:val="24"/>
          <w:szCs w:val="24"/>
          <w:highlight w:val="none"/>
        </w:rPr>
        <w:t>二）供应商质疑</w:t>
      </w:r>
    </w:p>
    <w:p w14:paraId="0F93AC5B">
      <w:pPr>
        <w:keepNext w:val="0"/>
        <w:keepLines w:val="0"/>
        <w:pageBreakBefore w:val="0"/>
        <w:widowControl w:val="0"/>
        <w:kinsoku/>
        <w:wordWrap/>
        <w:overflowPunct/>
        <w:topLinePunct w:val="0"/>
        <w:autoSpaceDE w:val="0"/>
        <w:autoSpaceDN w:val="0"/>
        <w:bidi w:val="0"/>
        <w:adjustRightInd w:val="0"/>
        <w:snapToGrid/>
        <w:spacing w:line="420" w:lineRule="exact"/>
        <w:ind w:right="0" w:firstLine="46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1.提出质疑的供应商应当是参与所质疑项目采购活动的供应</w:t>
      </w:r>
      <w:r>
        <w:rPr>
          <w:rFonts w:hint="eastAsia" w:ascii="仿宋" w:hAnsi="仿宋" w:eastAsia="仿宋" w:cs="仿宋"/>
          <w:color w:val="auto"/>
          <w:spacing w:val="-6"/>
          <w:sz w:val="24"/>
          <w:szCs w:val="24"/>
          <w:highlight w:val="none"/>
        </w:rPr>
        <w:t>商。潜在供</w:t>
      </w:r>
      <w:r>
        <w:rPr>
          <w:rFonts w:hint="eastAsia" w:ascii="仿宋" w:hAnsi="仿宋" w:eastAsia="仿宋" w:cs="仿宋"/>
          <w:color w:val="auto"/>
          <w:spacing w:val="-1"/>
          <w:sz w:val="24"/>
          <w:szCs w:val="24"/>
          <w:highlight w:val="none"/>
        </w:rPr>
        <w:t>应商已依法获取其可质疑的采购文件的，可以对该文件提出质疑。</w:t>
      </w:r>
    </w:p>
    <w:p w14:paraId="01C71648">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9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2.供应商认为采购文件、采购过程和成交结果使自己的权益受到损害</w:t>
      </w:r>
      <w:r>
        <w:rPr>
          <w:rFonts w:hint="eastAsia" w:ascii="仿宋" w:hAnsi="仿宋" w:eastAsia="仿宋" w:cs="仿宋"/>
          <w:color w:val="auto"/>
          <w:spacing w:val="-3"/>
          <w:sz w:val="24"/>
          <w:szCs w:val="24"/>
          <w:highlight w:val="none"/>
        </w:rPr>
        <w:t>的，可以在知道或者应知其权益受到损害之</w:t>
      </w:r>
      <w:r>
        <w:rPr>
          <w:rFonts w:hint="eastAsia" w:ascii="仿宋" w:hAnsi="仿宋" w:eastAsia="仿宋" w:cs="仿宋"/>
          <w:color w:val="auto"/>
          <w:spacing w:val="-4"/>
          <w:sz w:val="24"/>
          <w:szCs w:val="24"/>
          <w:highlight w:val="none"/>
        </w:rPr>
        <w:t>日起七个</w:t>
      </w:r>
      <w:r>
        <w:rPr>
          <w:rFonts w:hint="eastAsia" w:ascii="仿宋" w:hAnsi="仿宋" w:eastAsia="仿宋" w:cs="仿宋"/>
          <w:color w:val="auto"/>
          <w:spacing w:val="-4"/>
          <w:sz w:val="24"/>
          <w:szCs w:val="24"/>
          <w:highlight w:val="none"/>
          <w:lang w:eastAsia="zh-CN"/>
        </w:rPr>
        <w:t>工作日</w:t>
      </w:r>
      <w:r>
        <w:rPr>
          <w:rFonts w:hint="eastAsia" w:ascii="仿宋" w:hAnsi="仿宋" w:eastAsia="仿宋" w:cs="仿宋"/>
          <w:color w:val="auto"/>
          <w:spacing w:val="-4"/>
          <w:sz w:val="24"/>
          <w:szCs w:val="24"/>
          <w:highlight w:val="none"/>
        </w:rPr>
        <w:t>内，以书面形</w:t>
      </w:r>
      <w:r>
        <w:rPr>
          <w:rFonts w:hint="eastAsia" w:ascii="仿宋" w:hAnsi="仿宋" w:eastAsia="仿宋" w:cs="仿宋"/>
          <w:color w:val="auto"/>
          <w:spacing w:val="-1"/>
          <w:sz w:val="24"/>
          <w:szCs w:val="24"/>
          <w:highlight w:val="none"/>
        </w:rPr>
        <w:t>式向采购人或者采购代理机构提出质疑，质疑供应商应当在法定质疑期内一次性提出针对采购程序环节的质疑。否则，采购人或者采购代理机构不</w:t>
      </w:r>
      <w:r>
        <w:rPr>
          <w:rFonts w:hint="eastAsia" w:ascii="仿宋" w:hAnsi="仿宋" w:eastAsia="仿宋" w:cs="仿宋"/>
          <w:color w:val="auto"/>
          <w:spacing w:val="-9"/>
          <w:sz w:val="24"/>
          <w:szCs w:val="24"/>
          <w:highlight w:val="none"/>
        </w:rPr>
        <w:t>予受理：</w:t>
      </w:r>
    </w:p>
    <w:p w14:paraId="36D86BE8">
      <w:pPr>
        <w:keepNext w:val="0"/>
        <w:keepLines w:val="0"/>
        <w:pageBreakBefore w:val="0"/>
        <w:widowControl w:val="0"/>
        <w:kinsoku/>
        <w:wordWrap/>
        <w:overflowPunct/>
        <w:topLinePunct w:val="0"/>
        <w:autoSpaceDE w:val="0"/>
        <w:autoSpaceDN w:val="0"/>
        <w:bidi w:val="0"/>
        <w:adjustRightInd w:val="0"/>
        <w:snapToGrid/>
        <w:spacing w:line="420" w:lineRule="exact"/>
        <w:ind w:right="0" w:firstLine="46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5"/>
          <w:sz w:val="24"/>
          <w:szCs w:val="24"/>
          <w:highlight w:val="none"/>
          <w:lang w:val="en-US" w:eastAsia="zh-CN"/>
        </w:rPr>
        <w:t>1</w:t>
      </w: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5"/>
          <w:sz w:val="24"/>
          <w:szCs w:val="24"/>
          <w:highlight w:val="none"/>
        </w:rPr>
        <w:t>对采购文件提出质疑的，质疑期限为供应商获得采购文件之日或</w:t>
      </w:r>
      <w:r>
        <w:rPr>
          <w:rFonts w:hint="eastAsia" w:ascii="仿宋" w:hAnsi="仿宋" w:eastAsia="仿宋" w:cs="仿宋"/>
          <w:color w:val="auto"/>
          <w:spacing w:val="-4"/>
          <w:sz w:val="24"/>
          <w:szCs w:val="24"/>
          <w:highlight w:val="none"/>
        </w:rPr>
        <w:t>者采购公告</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4"/>
          <w:sz w:val="24"/>
          <w:szCs w:val="24"/>
          <w:highlight w:val="none"/>
        </w:rPr>
        <w:t>5个工作日期限届满之日起计算。采购文件在公告</w:t>
      </w:r>
      <w:r>
        <w:rPr>
          <w:rFonts w:hint="eastAsia" w:ascii="仿宋" w:hAnsi="仿宋" w:eastAsia="仿宋" w:cs="仿宋"/>
          <w:color w:val="auto"/>
          <w:spacing w:val="-60"/>
          <w:sz w:val="24"/>
          <w:szCs w:val="24"/>
          <w:highlight w:val="none"/>
        </w:rPr>
        <w:t xml:space="preserve"> </w:t>
      </w:r>
      <w:r>
        <w:rPr>
          <w:rFonts w:hint="eastAsia" w:ascii="仿宋" w:hAnsi="仿宋" w:eastAsia="仿宋" w:cs="仿宋"/>
          <w:color w:val="auto"/>
          <w:spacing w:val="-4"/>
          <w:sz w:val="24"/>
          <w:szCs w:val="24"/>
          <w:highlight w:val="none"/>
        </w:rPr>
        <w:t>5</w:t>
      </w:r>
      <w:r>
        <w:rPr>
          <w:rFonts w:hint="eastAsia" w:ascii="仿宋" w:hAnsi="仿宋" w:eastAsia="仿宋" w:cs="仿宋"/>
          <w:color w:val="auto"/>
          <w:spacing w:val="-4"/>
          <w:sz w:val="24"/>
          <w:szCs w:val="24"/>
          <w:highlight w:val="none"/>
          <w:lang w:eastAsia="zh-CN"/>
        </w:rPr>
        <w:t>个工作日</w:t>
      </w:r>
      <w:r>
        <w:rPr>
          <w:rFonts w:hint="eastAsia" w:ascii="仿宋" w:hAnsi="仿宋" w:eastAsia="仿宋" w:cs="仿宋"/>
          <w:color w:val="auto"/>
          <w:spacing w:val="-1"/>
          <w:sz w:val="24"/>
          <w:szCs w:val="24"/>
          <w:highlight w:val="none"/>
        </w:rPr>
        <w:t>期限届满后获得的，应当自采购文件公告期限届满之日起计算，且应当在采购响应截止时间之前提出。根据采购人与采购代理机构签订的委托协议的规定：对采购文件中特定资格条件、采购需求、评分办法提出的质疑，原则上由采购人负责答复；对采购文件中其他内容提出的质疑，原则上由</w:t>
      </w:r>
      <w:r>
        <w:rPr>
          <w:rFonts w:hint="eastAsia" w:ascii="仿宋" w:hAnsi="仿宋" w:eastAsia="仿宋" w:cs="仿宋"/>
          <w:color w:val="auto"/>
          <w:spacing w:val="-2"/>
          <w:sz w:val="24"/>
          <w:szCs w:val="24"/>
          <w:highlight w:val="none"/>
        </w:rPr>
        <w:t>采购代理机构负责答复。</w:t>
      </w:r>
    </w:p>
    <w:p w14:paraId="75D8D92F">
      <w:pPr>
        <w:keepNext w:val="0"/>
        <w:keepLines w:val="0"/>
        <w:pageBreakBefore w:val="0"/>
        <w:widowControl w:val="0"/>
        <w:kinsoku/>
        <w:wordWrap/>
        <w:overflowPunct/>
        <w:topLinePunct w:val="0"/>
        <w:autoSpaceDE w:val="0"/>
        <w:autoSpaceDN w:val="0"/>
        <w:bidi w:val="0"/>
        <w:adjustRightInd w:val="0"/>
        <w:snapToGrid/>
        <w:spacing w:line="420" w:lineRule="exact"/>
        <w:ind w:right="0" w:firstLine="46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对采购过程提出质疑的，质疑期限为各采购程序环节结束之日起</w:t>
      </w:r>
      <w:r>
        <w:rPr>
          <w:rFonts w:hint="eastAsia" w:ascii="仿宋" w:hAnsi="仿宋" w:eastAsia="仿宋" w:cs="仿宋"/>
          <w:color w:val="auto"/>
          <w:spacing w:val="-1"/>
          <w:sz w:val="24"/>
          <w:szCs w:val="24"/>
          <w:highlight w:val="none"/>
        </w:rPr>
        <w:t>计算。根据采购人与采购代理机构签订的委托协议的规定：对采购过程中</w:t>
      </w:r>
      <w:r>
        <w:rPr>
          <w:rFonts w:hint="eastAsia" w:ascii="仿宋" w:hAnsi="仿宋" w:eastAsia="仿宋" w:cs="仿宋"/>
          <w:color w:val="auto"/>
          <w:spacing w:val="6"/>
          <w:sz w:val="24"/>
          <w:szCs w:val="24"/>
          <w:highlight w:val="none"/>
        </w:rPr>
        <w:t>有关现场考察或开标前答疑会事项提出的质疑</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6"/>
          <w:sz w:val="24"/>
          <w:szCs w:val="24"/>
          <w:highlight w:val="none"/>
        </w:rPr>
        <w:t>，原则上由采购人负责答</w:t>
      </w:r>
      <w:r>
        <w:rPr>
          <w:rFonts w:hint="eastAsia" w:ascii="仿宋" w:hAnsi="仿宋" w:eastAsia="仿宋" w:cs="仿宋"/>
          <w:color w:val="auto"/>
          <w:spacing w:val="-6"/>
          <w:sz w:val="24"/>
          <w:szCs w:val="24"/>
          <w:highlight w:val="none"/>
        </w:rPr>
        <w:t>复；对采购过程中其他事项提出的质疑，原则上由采购代理机构负责答复。</w:t>
      </w:r>
    </w:p>
    <w:p w14:paraId="3543FEA8">
      <w:pPr>
        <w:keepNext w:val="0"/>
        <w:keepLines w:val="0"/>
        <w:pageBreakBefore w:val="0"/>
        <w:widowControl w:val="0"/>
        <w:kinsoku/>
        <w:wordWrap/>
        <w:overflowPunct/>
        <w:topLinePunct w:val="0"/>
        <w:autoSpaceDE w:val="0"/>
        <w:autoSpaceDN w:val="0"/>
        <w:bidi w:val="0"/>
        <w:adjustRightInd w:val="0"/>
        <w:snapToGrid/>
        <w:spacing w:line="420" w:lineRule="exact"/>
        <w:ind w:right="0" w:firstLine="46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val="en-US" w:eastAsia="zh-CN"/>
        </w:rPr>
        <w:t>3</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对采购结果提出质疑的，质疑期限自采购结果公告</w:t>
      </w:r>
      <w:r>
        <w:rPr>
          <w:rFonts w:hint="eastAsia" w:ascii="仿宋" w:hAnsi="仿宋" w:eastAsia="仿宋" w:cs="仿宋"/>
          <w:color w:val="auto"/>
          <w:spacing w:val="-5"/>
          <w:sz w:val="24"/>
          <w:szCs w:val="24"/>
          <w:highlight w:val="none"/>
        </w:rPr>
        <w:t>期限届满</w:t>
      </w:r>
      <w:r>
        <w:rPr>
          <w:rFonts w:hint="eastAsia" w:ascii="仿宋" w:hAnsi="仿宋" w:eastAsia="仿宋" w:cs="仿宋"/>
          <w:color w:val="auto"/>
          <w:spacing w:val="-5"/>
          <w:sz w:val="24"/>
          <w:szCs w:val="24"/>
          <w:highlight w:val="none"/>
          <w:lang w:eastAsia="zh-CN"/>
        </w:rPr>
        <w:t>之日起</w:t>
      </w:r>
      <w:r>
        <w:rPr>
          <w:rFonts w:hint="eastAsia" w:ascii="仿宋" w:hAnsi="仿宋" w:eastAsia="仿宋" w:cs="仿宋"/>
          <w:color w:val="auto"/>
          <w:spacing w:val="-1"/>
          <w:sz w:val="24"/>
          <w:szCs w:val="24"/>
          <w:highlight w:val="none"/>
        </w:rPr>
        <w:t>计算。对采购结果提出质疑的，采购代理机构负责答复。</w:t>
      </w:r>
    </w:p>
    <w:p w14:paraId="088436AB">
      <w:pPr>
        <w:keepNext w:val="0"/>
        <w:keepLines w:val="0"/>
        <w:pageBreakBefore w:val="0"/>
        <w:widowControl w:val="0"/>
        <w:kinsoku/>
        <w:wordWrap/>
        <w:overflowPunct/>
        <w:topLinePunct w:val="0"/>
        <w:autoSpaceDE w:val="0"/>
        <w:autoSpaceDN w:val="0"/>
        <w:bidi w:val="0"/>
        <w:adjustRightInd w:val="0"/>
        <w:snapToGrid/>
        <w:spacing w:line="420" w:lineRule="exact"/>
        <w:ind w:right="0" w:firstLine="46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3.供应商提出质疑应当提交质疑函和必要的相关材料。质疑函应当包括下列内容：</w:t>
      </w:r>
    </w:p>
    <w:p w14:paraId="2CB8E489">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供应商的姓名或者名称、地址、邮编、联系人及</w:t>
      </w: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spacing w:val="-4"/>
          <w:sz w:val="24"/>
          <w:szCs w:val="24"/>
          <w:highlight w:val="none"/>
          <w:lang w:eastAsia="zh-CN"/>
        </w:rPr>
        <w:t>；</w:t>
      </w:r>
    </w:p>
    <w:p w14:paraId="458A3863">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质疑项目的名称、编号；</w:t>
      </w:r>
    </w:p>
    <w:p w14:paraId="68C4CA7F">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14:paraId="08862F02">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4</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事实依据；</w:t>
      </w:r>
    </w:p>
    <w:p w14:paraId="780CCE5C">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5</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必要的法律依据；</w:t>
      </w:r>
    </w:p>
    <w:p w14:paraId="329E6DE3">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lang w:val="en-US" w:eastAsia="zh-CN"/>
        </w:rPr>
        <w:t>6</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rPr>
        <w:t>提出质疑的</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7"/>
          <w:sz w:val="24"/>
          <w:szCs w:val="24"/>
          <w:highlight w:val="none"/>
        </w:rPr>
        <w:t>日期。</w:t>
      </w:r>
    </w:p>
    <w:p w14:paraId="4FC87CC3">
      <w:pPr>
        <w:keepNext w:val="0"/>
        <w:keepLines w:val="0"/>
        <w:pageBreakBefore w:val="0"/>
        <w:widowControl w:val="0"/>
        <w:kinsoku/>
        <w:wordWrap w:val="0"/>
        <w:overflowPunct/>
        <w:topLinePunct w:val="0"/>
        <w:autoSpaceDE w:val="0"/>
        <w:autoSpaceDN w:val="0"/>
        <w:bidi w:val="0"/>
        <w:adjustRightInd w:val="0"/>
        <w:snapToGrid/>
        <w:spacing w:line="420" w:lineRule="exact"/>
        <w:ind w:right="0" w:firstLine="488"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供应商提交的质疑函需一式三份。供应商为自然人的，应当由本人签</w:t>
      </w:r>
      <w:r>
        <w:rPr>
          <w:rFonts w:hint="eastAsia" w:ascii="仿宋" w:hAnsi="仿宋" w:eastAsia="仿宋" w:cs="仿宋"/>
          <w:color w:val="auto"/>
          <w:spacing w:val="-1"/>
          <w:sz w:val="24"/>
          <w:szCs w:val="24"/>
          <w:highlight w:val="none"/>
        </w:rPr>
        <w:t>字；供应商为法人或者其他组织的，应当由法定代表人、主要负责人，或者其授权代表签字或者盖章，并加盖公章。</w:t>
      </w:r>
      <w:r>
        <w:rPr>
          <w:rFonts w:hint="eastAsia" w:ascii="仿宋" w:hAnsi="仿宋" w:eastAsia="仿宋" w:cs="仿宋"/>
          <w:color w:val="auto"/>
          <w:spacing w:val="2"/>
          <w:sz w:val="24"/>
          <w:szCs w:val="24"/>
          <w:highlight w:val="none"/>
        </w:rPr>
        <w:t>质疑函范本及制作说明</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格式见《政府采购质疑和投诉办法》</w:t>
      </w:r>
      <w:r>
        <w:rPr>
          <w:rFonts w:hint="eastAsia" w:ascii="仿宋" w:hAnsi="仿宋" w:eastAsia="仿宋" w:cs="仿宋"/>
          <w:color w:val="auto"/>
          <w:spacing w:val="1"/>
          <w:sz w:val="24"/>
          <w:szCs w:val="24"/>
          <w:highlight w:val="none"/>
        </w:rPr>
        <w:t>（财政</w:t>
      </w:r>
      <w:r>
        <w:rPr>
          <w:rFonts w:hint="eastAsia" w:ascii="仿宋" w:hAnsi="仿宋" w:eastAsia="仿宋" w:cs="仿宋"/>
          <w:color w:val="auto"/>
          <w:spacing w:val="-15"/>
          <w:sz w:val="24"/>
          <w:szCs w:val="24"/>
          <w:highlight w:val="none"/>
        </w:rPr>
        <w:t xml:space="preserve">部令 第94号）附件范本 </w:t>
      </w:r>
      <w:r>
        <w:rPr>
          <w:rFonts w:hint="eastAsia" w:ascii="仿宋" w:hAnsi="仿宋" w:eastAsia="仿宋" w:cs="仿宋"/>
          <w:color w:val="auto"/>
          <w:spacing w:val="-15"/>
          <w:sz w:val="24"/>
          <w:szCs w:val="24"/>
          <w:highlight w:val="none"/>
          <w:lang w:eastAsia="zh-CN"/>
        </w:rPr>
        <w:t>，下</w:t>
      </w:r>
      <w:r>
        <w:rPr>
          <w:rFonts w:hint="eastAsia" w:ascii="仿宋" w:hAnsi="仿宋" w:eastAsia="仿宋" w:cs="仿宋"/>
          <w:color w:val="auto"/>
          <w:spacing w:val="-15"/>
          <w:sz w:val="24"/>
          <w:szCs w:val="24"/>
          <w:highlight w:val="none"/>
        </w:rPr>
        <w:t>载网址</w:t>
      </w:r>
      <w:r>
        <w:rPr>
          <w:rFonts w:hint="eastAsia" w:ascii="仿宋" w:hAnsi="仿宋" w:eastAsia="仿宋" w:cs="仿宋"/>
          <w:color w:val="auto"/>
          <w:spacing w:val="-15"/>
          <w:sz w:val="24"/>
          <w:szCs w:val="24"/>
          <w:highlight w:val="none"/>
          <w:lang w:eastAsia="zh-CN"/>
        </w:rPr>
        <w:t>：</w:t>
      </w:r>
      <w:r>
        <w:rPr>
          <w:rFonts w:hint="eastAsia" w:ascii="仿宋" w:hAnsi="仿宋" w:eastAsia="仿宋" w:cs="仿宋"/>
          <w:color w:val="auto"/>
          <w:spacing w:val="-15"/>
          <w:sz w:val="24"/>
          <w:szCs w:val="24"/>
          <w:highlight w:val="none"/>
        </w:rPr>
        <w:t>浙江政府采购网</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2"/>
          <w:sz w:val="24"/>
          <w:szCs w:val="24"/>
          <w:highlight w:val="none"/>
        </w:rPr>
        <w:t>，位置：“</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2"/>
          <w:sz w:val="24"/>
          <w:szCs w:val="24"/>
          <w:highlight w:val="none"/>
        </w:rPr>
        <w:t>首页</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下载专区</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质疑投诉模板”。</w:t>
      </w:r>
    </w:p>
    <w:p w14:paraId="5B43C0F0">
      <w:pPr>
        <w:keepNext w:val="0"/>
        <w:keepLines w:val="0"/>
        <w:pageBreakBefore w:val="0"/>
        <w:widowControl w:val="0"/>
        <w:kinsoku/>
        <w:wordWrap/>
        <w:overflowPunct/>
        <w:topLinePunct w:val="0"/>
        <w:autoSpaceDE w:val="0"/>
        <w:autoSpaceDN w:val="0"/>
        <w:bidi w:val="0"/>
        <w:adjustRightInd w:val="0"/>
        <w:snapToGrid/>
        <w:spacing w:line="420" w:lineRule="exact"/>
        <w:ind w:right="0" w:firstLine="50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4.采购人或者采购代理机构应当在收到供</w:t>
      </w:r>
      <w:r>
        <w:rPr>
          <w:rFonts w:hint="eastAsia" w:ascii="仿宋" w:hAnsi="仿宋" w:eastAsia="仿宋" w:cs="仿宋"/>
          <w:color w:val="auto"/>
          <w:spacing w:val="4"/>
          <w:sz w:val="24"/>
          <w:szCs w:val="24"/>
          <w:highlight w:val="none"/>
        </w:rPr>
        <w:t>应商的书面质疑后七个工作</w:t>
      </w:r>
      <w:r>
        <w:rPr>
          <w:rFonts w:hint="eastAsia" w:ascii="仿宋" w:hAnsi="仿宋" w:eastAsia="仿宋" w:cs="仿宋"/>
          <w:color w:val="auto"/>
          <w:spacing w:val="-1"/>
          <w:sz w:val="24"/>
          <w:szCs w:val="24"/>
          <w:highlight w:val="none"/>
        </w:rPr>
        <w:t>日内</w:t>
      </w:r>
      <w:r>
        <w:rPr>
          <w:rFonts w:hint="eastAsia" w:ascii="仿宋" w:hAnsi="仿宋" w:eastAsia="仿宋" w:cs="仿宋"/>
          <w:color w:val="auto"/>
          <w:spacing w:val="-1"/>
          <w:sz w:val="24"/>
          <w:szCs w:val="24"/>
          <w:highlight w:val="none"/>
          <w:lang w:eastAsia="zh-CN"/>
        </w:rPr>
        <w:t>作出</w:t>
      </w:r>
      <w:r>
        <w:rPr>
          <w:rFonts w:hint="eastAsia" w:ascii="仿宋" w:hAnsi="仿宋" w:eastAsia="仿宋" w:cs="仿宋"/>
          <w:color w:val="auto"/>
          <w:spacing w:val="-1"/>
          <w:sz w:val="24"/>
          <w:szCs w:val="24"/>
          <w:highlight w:val="none"/>
        </w:rPr>
        <w:t>答复，并以书面形式通知质疑供应商和其他与质疑处理结果有利害关系的政府采购当事人，但答复的内容不得涉及商业秘密。</w:t>
      </w:r>
    </w:p>
    <w:p w14:paraId="3E407C00">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5.询问或者质疑事项可能影响采购结果的，采购人应当暂停签订合同，</w:t>
      </w:r>
      <w:r>
        <w:rPr>
          <w:rFonts w:hint="eastAsia" w:ascii="仿宋" w:hAnsi="仿宋" w:eastAsia="仿宋" w:cs="仿宋"/>
          <w:color w:val="auto"/>
          <w:spacing w:val="-4"/>
          <w:sz w:val="24"/>
          <w:szCs w:val="24"/>
          <w:highlight w:val="none"/>
        </w:rPr>
        <w:t>已经签订合同的，应当中止履行合同。</w:t>
      </w:r>
    </w:p>
    <w:p w14:paraId="3B168B98">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5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72"/>
          <w:sz w:val="24"/>
          <w:szCs w:val="24"/>
          <w:highlight w:val="none"/>
        </w:rPr>
        <w:t xml:space="preserve"> </w:t>
      </w:r>
      <w:r>
        <w:rPr>
          <w:rFonts w:hint="eastAsia" w:ascii="仿宋" w:hAnsi="仿宋" w:eastAsia="仿宋" w:cs="仿宋"/>
          <w:color w:val="auto"/>
          <w:spacing w:val="-7"/>
          <w:sz w:val="24"/>
          <w:szCs w:val="24"/>
          <w:highlight w:val="none"/>
        </w:rPr>
        <w:t>三）供应商投诉</w:t>
      </w:r>
    </w:p>
    <w:p w14:paraId="15B0079E">
      <w:pPr>
        <w:keepNext w:val="0"/>
        <w:keepLines w:val="0"/>
        <w:pageBreakBefore w:val="0"/>
        <w:widowControl w:val="0"/>
        <w:kinsoku/>
        <w:wordWrap/>
        <w:overflowPunct/>
        <w:topLinePunct w:val="0"/>
        <w:autoSpaceDE w:val="0"/>
        <w:autoSpaceDN w:val="0"/>
        <w:bidi w:val="0"/>
        <w:adjustRightInd w:val="0"/>
        <w:snapToGrid/>
        <w:spacing w:line="420" w:lineRule="exact"/>
        <w:ind w:right="0" w:firstLine="46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1.质疑供应商对采购人、采购代理机构的答复不满意或者采</w:t>
      </w:r>
      <w:r>
        <w:rPr>
          <w:rFonts w:hint="eastAsia" w:ascii="仿宋" w:hAnsi="仿宋" w:eastAsia="仿宋" w:cs="仿宋"/>
          <w:color w:val="auto"/>
          <w:spacing w:val="-6"/>
          <w:sz w:val="24"/>
          <w:szCs w:val="24"/>
          <w:highlight w:val="none"/>
        </w:rPr>
        <w:t>购人、采购</w:t>
      </w:r>
      <w:r>
        <w:rPr>
          <w:rFonts w:hint="eastAsia" w:ascii="仿宋" w:hAnsi="仿宋" w:eastAsia="仿宋" w:cs="仿宋"/>
          <w:color w:val="auto"/>
          <w:spacing w:val="-3"/>
          <w:sz w:val="24"/>
          <w:szCs w:val="24"/>
          <w:highlight w:val="none"/>
        </w:rPr>
        <w:t>代理机构未在规定的时间</w:t>
      </w:r>
      <w:r>
        <w:rPr>
          <w:rFonts w:hint="eastAsia" w:ascii="仿宋" w:hAnsi="仿宋" w:eastAsia="仿宋" w:cs="仿宋"/>
          <w:color w:val="auto"/>
          <w:spacing w:val="-3"/>
          <w:sz w:val="24"/>
          <w:szCs w:val="24"/>
          <w:highlight w:val="none"/>
          <w:lang w:eastAsia="zh-CN"/>
        </w:rPr>
        <w:t>内作出答复</w:t>
      </w:r>
      <w:r>
        <w:rPr>
          <w:rFonts w:hint="eastAsia" w:ascii="仿宋" w:hAnsi="仿宋" w:eastAsia="仿宋" w:cs="仿宋"/>
          <w:color w:val="auto"/>
          <w:spacing w:val="-3"/>
          <w:sz w:val="24"/>
          <w:szCs w:val="24"/>
          <w:highlight w:val="none"/>
        </w:rPr>
        <w:t>的，可以在答复期满后十五个</w:t>
      </w:r>
      <w:r>
        <w:rPr>
          <w:rFonts w:hint="eastAsia" w:ascii="仿宋" w:hAnsi="仿宋" w:eastAsia="仿宋" w:cs="仿宋"/>
          <w:color w:val="auto"/>
          <w:spacing w:val="-3"/>
          <w:sz w:val="24"/>
          <w:szCs w:val="24"/>
          <w:highlight w:val="none"/>
          <w:lang w:eastAsia="zh-CN"/>
        </w:rPr>
        <w:t>工作日</w:t>
      </w:r>
      <w:r>
        <w:rPr>
          <w:rFonts w:hint="eastAsia" w:ascii="仿宋" w:hAnsi="仿宋" w:eastAsia="仿宋" w:cs="仿宋"/>
          <w:color w:val="auto"/>
          <w:spacing w:val="-1"/>
          <w:sz w:val="24"/>
          <w:szCs w:val="24"/>
          <w:highlight w:val="none"/>
        </w:rPr>
        <w:t>内向同级政府采购监督管理部门提出投诉。</w:t>
      </w:r>
    </w:p>
    <w:p w14:paraId="21B6870F">
      <w:pPr>
        <w:keepNext w:val="0"/>
        <w:keepLines w:val="0"/>
        <w:pageBreakBefore w:val="0"/>
        <w:widowControl w:val="0"/>
        <w:kinsoku/>
        <w:wordWrap/>
        <w:overflowPunct/>
        <w:topLinePunct w:val="0"/>
        <w:autoSpaceDE w:val="0"/>
        <w:autoSpaceDN w:val="0"/>
        <w:bidi w:val="0"/>
        <w:adjustRightInd w:val="0"/>
        <w:snapToGrid/>
        <w:spacing w:line="420" w:lineRule="exact"/>
        <w:ind w:right="0" w:firstLine="464"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2.供应商投诉的事项不得超出已质疑事项的范围</w:t>
      </w:r>
      <w:r>
        <w:rPr>
          <w:rFonts w:hint="eastAsia" w:ascii="仿宋" w:hAnsi="仿宋" w:eastAsia="仿宋" w:cs="仿宋"/>
          <w:color w:val="auto"/>
          <w:spacing w:val="-5"/>
          <w:sz w:val="24"/>
          <w:szCs w:val="24"/>
          <w:highlight w:val="none"/>
        </w:rPr>
        <w:t>，基于质疑答复内容提</w:t>
      </w:r>
      <w:r>
        <w:rPr>
          <w:rFonts w:hint="eastAsia" w:ascii="仿宋" w:hAnsi="仿宋" w:eastAsia="仿宋" w:cs="仿宋"/>
          <w:color w:val="auto"/>
          <w:spacing w:val="-6"/>
          <w:sz w:val="24"/>
          <w:szCs w:val="24"/>
          <w:highlight w:val="none"/>
        </w:rPr>
        <w:t>出的投诉事项除外。</w:t>
      </w:r>
    </w:p>
    <w:p w14:paraId="5B54E57D">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7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3.供应商投诉应当有明确的请求和必要的佐证材料。</w:t>
      </w:r>
    </w:p>
    <w:p w14:paraId="6078DA74">
      <w:pPr>
        <w:keepNext w:val="0"/>
        <w:keepLines w:val="0"/>
        <w:pageBreakBefore w:val="0"/>
        <w:widowControl w:val="0"/>
        <w:kinsoku/>
        <w:wordWrap/>
        <w:overflowPunct/>
        <w:topLinePunct w:val="0"/>
        <w:autoSpaceDE w:val="0"/>
        <w:autoSpaceDN w:val="0"/>
        <w:bidi w:val="0"/>
        <w:adjustRightInd w:val="0"/>
        <w:snapToGrid/>
        <w:spacing w:line="420" w:lineRule="exact"/>
        <w:ind w:right="0" w:firstLine="456"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4.以联合体形式参加政府采购活动的，其投诉应当由组成联合体的所有</w:t>
      </w:r>
      <w:r>
        <w:rPr>
          <w:rFonts w:hint="eastAsia" w:ascii="仿宋" w:hAnsi="仿宋" w:eastAsia="仿宋" w:cs="仿宋"/>
          <w:color w:val="auto"/>
          <w:spacing w:val="-2"/>
          <w:sz w:val="24"/>
          <w:szCs w:val="24"/>
          <w:highlight w:val="none"/>
        </w:rPr>
        <w:t>供应商共同提出。</w:t>
      </w:r>
    </w:p>
    <w:p w14:paraId="45CB9786">
      <w:pPr>
        <w:keepNext w:val="0"/>
        <w:keepLines w:val="0"/>
        <w:pageBreakBefore w:val="0"/>
        <w:widowControl w:val="0"/>
        <w:kinsoku/>
        <w:wordWrap/>
        <w:overflowPunct/>
        <w:topLinePunct w:val="0"/>
        <w:autoSpaceDE w:val="0"/>
        <w:autoSpaceDN w:val="0"/>
        <w:bidi w:val="0"/>
        <w:adjustRightInd w:val="0"/>
        <w:snapToGrid/>
        <w:spacing w:line="420" w:lineRule="exact"/>
        <w:ind w:left="0" w:right="0" w:firstLine="466"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十二、需要补充的其他内容</w:t>
      </w:r>
    </w:p>
    <w:p w14:paraId="090F96A7">
      <w:pPr>
        <w:keepNext w:val="0"/>
        <w:keepLines w:val="0"/>
        <w:pageBreakBefore w:val="0"/>
        <w:widowControl w:val="0"/>
        <w:kinsoku/>
        <w:wordWrap/>
        <w:overflowPunct/>
        <w:topLinePunct w:val="0"/>
        <w:autoSpaceDE w:val="0"/>
        <w:autoSpaceDN w:val="0"/>
        <w:bidi w:val="0"/>
        <w:adjustRightInd w:val="0"/>
        <w:snapToGrid/>
        <w:spacing w:line="420" w:lineRule="exact"/>
        <w:ind w:right="0" w:firstLine="472" w:firstLineChars="200"/>
        <w:textAlignment w:val="auto"/>
        <w:outlineLvl w:val="9"/>
        <w:rPr>
          <w:rFonts w:ascii="仿宋" w:hAnsi="仿宋" w:eastAsia="仿宋" w:cs="仿宋"/>
          <w:b/>
          <w:color w:val="auto"/>
          <w:highlight w:val="none"/>
        </w:rPr>
      </w:pPr>
      <w:r>
        <w:rPr>
          <w:rFonts w:hint="eastAsia" w:ascii="仿宋" w:hAnsi="仿宋" w:eastAsia="仿宋" w:cs="仿宋"/>
          <w:color w:val="auto"/>
          <w:spacing w:val="-2"/>
          <w:sz w:val="24"/>
          <w:szCs w:val="24"/>
          <w:highlight w:val="none"/>
        </w:rPr>
        <w:t>需要补充的其他内容：见投标人须知前附表。</w:t>
      </w:r>
    </w:p>
    <w:p w14:paraId="787A2745">
      <w:pPr>
        <w:widowControl/>
        <w:tabs>
          <w:tab w:val="left" w:pos="450"/>
          <w:tab w:val="left" w:pos="2520"/>
          <w:tab w:val="left" w:pos="8280"/>
        </w:tabs>
        <w:spacing w:line="312" w:lineRule="auto"/>
        <w:jc w:val="center"/>
        <w:outlineLvl w:val="0"/>
        <w:rPr>
          <w:rFonts w:hint="eastAsia" w:ascii="仿宋" w:hAnsi="仿宋" w:eastAsia="仿宋" w:cs="仿宋"/>
          <w:b/>
          <w:color w:val="auto"/>
          <w:kern w:val="44"/>
          <w:sz w:val="36"/>
          <w:szCs w:val="36"/>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kern w:val="44"/>
          <w:sz w:val="36"/>
          <w:szCs w:val="36"/>
          <w:highlight w:val="none"/>
        </w:rPr>
        <w:t>第三章  招标需求</w:t>
      </w:r>
    </w:p>
    <w:p w14:paraId="2656284B">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1"/>
        <w:rPr>
          <w:rFonts w:hint="default" w:ascii="仿宋" w:hAnsi="仿宋" w:eastAsia="仿宋" w:cs="仿宋"/>
          <w:b/>
          <w:color w:val="auto"/>
          <w:kern w:val="1"/>
          <w:sz w:val="24"/>
          <w:szCs w:val="24"/>
          <w:highlight w:val="none"/>
          <w:lang w:val="en-US" w:eastAsia="zh-CN"/>
        </w:rPr>
      </w:pPr>
      <w:r>
        <w:rPr>
          <w:rFonts w:hint="eastAsia" w:ascii="仿宋" w:hAnsi="仿宋" w:eastAsia="仿宋" w:cs="仿宋"/>
          <w:b/>
          <w:color w:val="auto"/>
          <w:kern w:val="1"/>
          <w:sz w:val="24"/>
          <w:szCs w:val="24"/>
          <w:highlight w:val="none"/>
        </w:rPr>
        <w:t>一、</w:t>
      </w:r>
      <w:r>
        <w:rPr>
          <w:rFonts w:hint="eastAsia" w:ascii="仿宋" w:hAnsi="仿宋" w:eastAsia="仿宋" w:cs="仿宋"/>
          <w:b/>
          <w:color w:val="auto"/>
          <w:kern w:val="1"/>
          <w:sz w:val="24"/>
          <w:szCs w:val="24"/>
          <w:highlight w:val="none"/>
          <w:lang w:val="en-US" w:eastAsia="zh-CN"/>
        </w:rPr>
        <w:t>项目背景</w:t>
      </w:r>
    </w:p>
    <w:p w14:paraId="6DD54B81">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武义县殡仪馆迁建工程－景观工程已正式完成移交，由我馆管理使用。该</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eastAsia="zh-CN"/>
        </w:rPr>
        <w:t>绿化面积广、植被种类多，为确保绿化景观长期保持设计效果与良好状态，避免因缺乏专业、持续的养护导致植被枯萎、景观损坏等问题，需引入专业绿化养护服务，实施标准化管理。</w:t>
      </w:r>
    </w:p>
    <w:p w14:paraId="53F2407D">
      <w:pPr>
        <w:keepNext w:val="0"/>
        <w:keepLines w:val="0"/>
        <w:pageBreakBefore w:val="0"/>
        <w:widowControl w:val="0"/>
        <w:kinsoku/>
        <w:wordWrap/>
        <w:overflowPunct/>
        <w:topLinePunct w:val="0"/>
        <w:bidi w:val="0"/>
        <w:spacing w:line="288" w:lineRule="auto"/>
        <w:ind w:firstLine="482" w:firstLineChars="200"/>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kern w:val="1"/>
          <w:sz w:val="24"/>
          <w:szCs w:val="24"/>
          <w:highlight w:val="none"/>
        </w:rPr>
        <w:t>二、</w:t>
      </w:r>
      <w:r>
        <w:rPr>
          <w:rFonts w:hint="eastAsia" w:ascii="仿宋" w:hAnsi="仿宋" w:eastAsia="仿宋" w:cs="仿宋"/>
          <w:b/>
          <w:bCs/>
          <w:color w:val="auto"/>
          <w:sz w:val="24"/>
          <w:szCs w:val="24"/>
          <w:highlight w:val="none"/>
          <w:lang w:val="en-US" w:eastAsia="zh-CN"/>
        </w:rPr>
        <w:t>项目基本情况</w:t>
      </w:r>
    </w:p>
    <w:p w14:paraId="0058FFDE">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color w:val="auto"/>
          <w:sz w:val="24"/>
          <w:szCs w:val="24"/>
          <w:highlight w:val="none"/>
          <w:lang w:val="en-US" w:eastAsia="zh-CN"/>
        </w:rPr>
        <w:t>本项目位于武义县履坦镇福泽路6号，服务涵盖馆区全部绿化区域，总面积约37736.8㎡，其中含水域面积约20389.8㎡；馆区内行道树共1502株，其中140株还有1年免费养护期。具体内容详见《绿化养护工作内容一览表》</w:t>
      </w:r>
      <w:r>
        <w:rPr>
          <w:rFonts w:hint="eastAsia" w:ascii="仿宋" w:hAnsi="仿宋" w:eastAsia="仿宋" w:cs="仿宋"/>
          <w:b/>
          <w:bCs/>
          <w:i w:val="0"/>
          <w:iCs w:val="0"/>
          <w:color w:val="auto"/>
          <w:kern w:val="0"/>
          <w:sz w:val="28"/>
          <w:szCs w:val="28"/>
          <w:highlight w:val="none"/>
          <w:u w:val="none"/>
          <w:lang w:val="en-US" w:eastAsia="zh-CN" w:bidi="ar"/>
        </w:rPr>
        <w:t>：</w:t>
      </w:r>
    </w:p>
    <w:p w14:paraId="2C7987C1">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仿宋" w:hAnsi="仿宋" w:eastAsia="仿宋" w:cs="仿宋"/>
          <w:b/>
          <w:bCs/>
          <w:i w:val="0"/>
          <w:iCs w:val="0"/>
          <w:color w:val="auto"/>
          <w:kern w:val="0"/>
          <w:sz w:val="28"/>
          <w:szCs w:val="28"/>
          <w:highlight w:val="none"/>
          <w:u w:val="none"/>
          <w:lang w:val="en-US" w:eastAsia="zh-CN" w:bidi="ar"/>
        </w:rPr>
      </w:pPr>
      <w:r>
        <w:rPr>
          <w:rFonts w:hint="eastAsia" w:ascii="仿宋" w:hAnsi="仿宋" w:eastAsia="仿宋" w:cs="仿宋"/>
          <w:b/>
          <w:bCs/>
          <w:i w:val="0"/>
          <w:iCs w:val="0"/>
          <w:color w:val="auto"/>
          <w:kern w:val="0"/>
          <w:sz w:val="28"/>
          <w:szCs w:val="28"/>
          <w:highlight w:val="none"/>
          <w:u w:val="none"/>
          <w:lang w:val="en-US" w:eastAsia="zh-CN" w:bidi="ar"/>
        </w:rPr>
        <w:t>绿化养护工作内容一览表</w:t>
      </w:r>
    </w:p>
    <w:tbl>
      <w:tblPr>
        <w:tblStyle w:val="27"/>
        <w:tblW w:w="49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731"/>
        <w:gridCol w:w="1483"/>
        <w:gridCol w:w="3973"/>
        <w:gridCol w:w="1468"/>
      </w:tblGrid>
      <w:tr w14:paraId="5FD1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449" w:type="pct"/>
            <w:tcBorders>
              <w:top w:val="single" w:color="auto" w:sz="4" w:space="0"/>
              <w:left w:val="single" w:color="auto" w:sz="4" w:space="0"/>
              <w:bottom w:val="single" w:color="auto" w:sz="4" w:space="0"/>
              <w:right w:val="single" w:color="auto" w:sz="4" w:space="0"/>
            </w:tcBorders>
            <w:noWrap w:val="0"/>
            <w:vAlign w:val="center"/>
          </w:tcPr>
          <w:p w14:paraId="3A3F726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w:t>
            </w:r>
          </w:p>
        </w:tc>
        <w:tc>
          <w:tcPr>
            <w:tcW w:w="910" w:type="pct"/>
            <w:tcBorders>
              <w:top w:val="single" w:color="auto" w:sz="4" w:space="0"/>
              <w:left w:val="nil"/>
              <w:bottom w:val="single" w:color="auto" w:sz="4" w:space="0"/>
              <w:right w:val="single" w:color="auto" w:sz="4" w:space="0"/>
            </w:tcBorders>
            <w:noWrap w:val="0"/>
            <w:vAlign w:val="center"/>
          </w:tcPr>
          <w:p w14:paraId="1896E2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绿化养护内容</w:t>
            </w:r>
          </w:p>
        </w:tc>
        <w:tc>
          <w:tcPr>
            <w:tcW w:w="779" w:type="pct"/>
            <w:tcBorders>
              <w:top w:val="single" w:color="auto" w:sz="4" w:space="0"/>
              <w:left w:val="nil"/>
              <w:bottom w:val="single" w:color="auto" w:sz="4" w:space="0"/>
              <w:right w:val="single" w:color="auto" w:sz="4" w:space="0"/>
            </w:tcBorders>
            <w:noWrap w:val="0"/>
            <w:vAlign w:val="center"/>
          </w:tcPr>
          <w:p w14:paraId="41AA5E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面积/数量</w:t>
            </w:r>
          </w:p>
        </w:tc>
        <w:tc>
          <w:tcPr>
            <w:tcW w:w="2088" w:type="pct"/>
            <w:tcBorders>
              <w:top w:val="single" w:color="auto" w:sz="4" w:space="0"/>
              <w:left w:val="nil"/>
              <w:bottom w:val="single" w:color="auto" w:sz="4" w:space="0"/>
              <w:right w:val="single" w:color="auto" w:sz="4" w:space="0"/>
            </w:tcBorders>
            <w:noWrap w:val="0"/>
            <w:vAlign w:val="center"/>
          </w:tcPr>
          <w:p w14:paraId="736B76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养护内容</w:t>
            </w:r>
          </w:p>
        </w:tc>
        <w:tc>
          <w:tcPr>
            <w:tcW w:w="771" w:type="pct"/>
            <w:tcBorders>
              <w:top w:val="single" w:color="auto" w:sz="4" w:space="0"/>
              <w:left w:val="nil"/>
              <w:bottom w:val="single" w:color="auto" w:sz="4" w:space="0"/>
              <w:right w:val="single" w:color="auto" w:sz="4" w:space="0"/>
            </w:tcBorders>
            <w:noWrap w:val="0"/>
            <w:vAlign w:val="center"/>
          </w:tcPr>
          <w:p w14:paraId="70871FD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二年总价</w:t>
            </w:r>
          </w:p>
        </w:tc>
      </w:tr>
      <w:tr w14:paraId="2FB7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9" w:type="pct"/>
            <w:tcBorders>
              <w:top w:val="nil"/>
              <w:left w:val="single" w:color="auto" w:sz="4" w:space="0"/>
              <w:bottom w:val="single" w:color="auto" w:sz="4" w:space="0"/>
              <w:right w:val="single" w:color="auto" w:sz="4" w:space="0"/>
            </w:tcBorders>
            <w:noWrap w:val="0"/>
            <w:vAlign w:val="center"/>
          </w:tcPr>
          <w:p w14:paraId="04F1593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910" w:type="pct"/>
            <w:tcBorders>
              <w:top w:val="single" w:color="auto" w:sz="4" w:space="0"/>
              <w:left w:val="nil"/>
              <w:right w:val="single" w:color="auto" w:sz="4" w:space="0"/>
            </w:tcBorders>
            <w:noWrap w:val="0"/>
            <w:vAlign w:val="center"/>
          </w:tcPr>
          <w:p w14:paraId="6753AB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绿地面积</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5F9A78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37666㎡</w:t>
            </w:r>
          </w:p>
        </w:tc>
        <w:tc>
          <w:tcPr>
            <w:tcW w:w="2088" w:type="pct"/>
            <w:tcBorders>
              <w:top w:val="single" w:color="auto" w:sz="4" w:space="0"/>
              <w:left w:val="single" w:color="auto" w:sz="4" w:space="0"/>
              <w:bottom w:val="single" w:color="auto" w:sz="4" w:space="0"/>
              <w:right w:val="single" w:color="auto" w:sz="4" w:space="0"/>
            </w:tcBorders>
            <w:noWrap w:val="0"/>
            <w:vAlign w:val="center"/>
          </w:tcPr>
          <w:p w14:paraId="47AB0AE3">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面积内含行道树、绿地、灌木丛</w:t>
            </w:r>
          </w:p>
        </w:tc>
        <w:tc>
          <w:tcPr>
            <w:tcW w:w="771" w:type="pct"/>
            <w:vMerge w:val="restart"/>
            <w:tcBorders>
              <w:top w:val="single" w:color="auto" w:sz="4" w:space="0"/>
              <w:left w:val="single" w:color="auto" w:sz="4" w:space="0"/>
              <w:right w:val="single" w:color="auto" w:sz="4" w:space="0"/>
            </w:tcBorders>
            <w:noWrap w:val="0"/>
            <w:vAlign w:val="center"/>
          </w:tcPr>
          <w:p w14:paraId="4BB632B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392000元</w:t>
            </w:r>
          </w:p>
        </w:tc>
      </w:tr>
      <w:tr w14:paraId="31A5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9" w:type="pct"/>
            <w:tcBorders>
              <w:top w:val="nil"/>
              <w:left w:val="single" w:color="auto" w:sz="4" w:space="0"/>
              <w:bottom w:val="single" w:color="auto" w:sz="4" w:space="0"/>
              <w:right w:val="single" w:color="auto" w:sz="4" w:space="0"/>
            </w:tcBorders>
            <w:noWrap w:val="0"/>
            <w:vAlign w:val="center"/>
          </w:tcPr>
          <w:p w14:paraId="7106C28A">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w:t>
            </w:r>
          </w:p>
        </w:tc>
        <w:tc>
          <w:tcPr>
            <w:tcW w:w="910" w:type="pct"/>
            <w:tcBorders>
              <w:top w:val="single" w:color="auto" w:sz="4" w:space="0"/>
              <w:left w:val="nil"/>
              <w:bottom w:val="single" w:color="auto" w:sz="4" w:space="0"/>
              <w:right w:val="single" w:color="auto" w:sz="4" w:space="0"/>
            </w:tcBorders>
            <w:noWrap w:val="0"/>
            <w:vAlign w:val="center"/>
          </w:tcPr>
          <w:p w14:paraId="7AD36F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行道树</w:t>
            </w:r>
          </w:p>
        </w:tc>
        <w:tc>
          <w:tcPr>
            <w:tcW w:w="779" w:type="pct"/>
            <w:tcBorders>
              <w:top w:val="single" w:color="auto" w:sz="4" w:space="0"/>
              <w:left w:val="single" w:color="auto" w:sz="4" w:space="0"/>
              <w:bottom w:val="single" w:color="auto" w:sz="4" w:space="0"/>
              <w:right w:val="single" w:color="auto" w:sz="4" w:space="0"/>
            </w:tcBorders>
            <w:noWrap/>
            <w:vAlign w:val="center"/>
          </w:tcPr>
          <w:p w14:paraId="40DA624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1502株</w:t>
            </w:r>
          </w:p>
        </w:tc>
        <w:tc>
          <w:tcPr>
            <w:tcW w:w="2088" w:type="pct"/>
            <w:tcBorders>
              <w:top w:val="single" w:color="auto" w:sz="4" w:space="0"/>
              <w:left w:val="single" w:color="auto" w:sz="4" w:space="0"/>
              <w:bottom w:val="single" w:color="auto" w:sz="4" w:space="0"/>
              <w:right w:val="single" w:color="auto" w:sz="4" w:space="0"/>
            </w:tcBorders>
            <w:noWrap w:val="0"/>
            <w:vAlign w:val="center"/>
          </w:tcPr>
          <w:p w14:paraId="571546B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eastAsia="zh-CN"/>
              </w:rPr>
              <w:t>养护、病虫害防治、修剪等，其中</w:t>
            </w:r>
            <w:r>
              <w:rPr>
                <w:rFonts w:hint="eastAsia" w:ascii="仿宋" w:hAnsi="仿宋" w:eastAsia="仿宋" w:cs="仿宋"/>
                <w:i w:val="0"/>
                <w:iCs w:val="0"/>
                <w:color w:val="auto"/>
                <w:sz w:val="24"/>
                <w:szCs w:val="24"/>
                <w:highlight w:val="none"/>
                <w:u w:val="none"/>
                <w:lang w:val="en-US" w:eastAsia="zh-CN"/>
              </w:rPr>
              <w:t>140株还有1年免费养护期。</w:t>
            </w:r>
          </w:p>
        </w:tc>
        <w:tc>
          <w:tcPr>
            <w:tcW w:w="771" w:type="pct"/>
            <w:vMerge w:val="continue"/>
            <w:tcBorders>
              <w:left w:val="single" w:color="auto" w:sz="4" w:space="0"/>
              <w:right w:val="single" w:color="auto" w:sz="4" w:space="0"/>
            </w:tcBorders>
            <w:noWrap w:val="0"/>
            <w:vAlign w:val="center"/>
          </w:tcPr>
          <w:p w14:paraId="4D0916BD">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lang w:val="en-US" w:eastAsia="zh-CN"/>
              </w:rPr>
            </w:pPr>
          </w:p>
        </w:tc>
      </w:tr>
      <w:tr w14:paraId="2916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9" w:type="pct"/>
            <w:tcBorders>
              <w:top w:val="single" w:color="auto" w:sz="4" w:space="0"/>
              <w:left w:val="single" w:color="auto" w:sz="4" w:space="0"/>
              <w:bottom w:val="single" w:color="auto" w:sz="4" w:space="0"/>
              <w:right w:val="single" w:color="auto" w:sz="4" w:space="0"/>
            </w:tcBorders>
            <w:noWrap w:val="0"/>
            <w:vAlign w:val="center"/>
          </w:tcPr>
          <w:p w14:paraId="466F2357">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w:t>
            </w:r>
          </w:p>
        </w:tc>
        <w:tc>
          <w:tcPr>
            <w:tcW w:w="910" w:type="pct"/>
            <w:tcBorders>
              <w:top w:val="single" w:color="auto" w:sz="4" w:space="0"/>
              <w:left w:val="single" w:color="auto" w:sz="4" w:space="0"/>
              <w:bottom w:val="single" w:color="auto" w:sz="4" w:space="0"/>
              <w:right w:val="single" w:color="auto" w:sz="4" w:space="0"/>
            </w:tcBorders>
            <w:noWrap w:val="0"/>
            <w:vAlign w:val="center"/>
          </w:tcPr>
          <w:p w14:paraId="212FDD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水域面积</w:t>
            </w:r>
          </w:p>
        </w:tc>
        <w:tc>
          <w:tcPr>
            <w:tcW w:w="779" w:type="pct"/>
            <w:tcBorders>
              <w:top w:val="single" w:color="auto" w:sz="4" w:space="0"/>
              <w:left w:val="single" w:color="auto" w:sz="4" w:space="0"/>
              <w:bottom w:val="single" w:color="auto" w:sz="4" w:space="0"/>
              <w:right w:val="single" w:color="auto" w:sz="4" w:space="0"/>
            </w:tcBorders>
            <w:noWrap w:val="0"/>
            <w:vAlign w:val="center"/>
          </w:tcPr>
          <w:p w14:paraId="47311E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20389.8㎡</w:t>
            </w:r>
          </w:p>
        </w:tc>
        <w:tc>
          <w:tcPr>
            <w:tcW w:w="2088" w:type="pct"/>
            <w:tcBorders>
              <w:top w:val="single" w:color="auto" w:sz="4" w:space="0"/>
              <w:left w:val="single" w:color="auto" w:sz="4" w:space="0"/>
              <w:bottom w:val="single" w:color="auto" w:sz="4" w:space="0"/>
              <w:right w:val="single" w:color="auto" w:sz="4" w:space="0"/>
            </w:tcBorders>
            <w:noWrap w:val="0"/>
            <w:vAlign w:val="center"/>
          </w:tcPr>
          <w:p w14:paraId="566594C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auto"/>
                <w:sz w:val="24"/>
                <w:szCs w:val="24"/>
                <w:highlight w:val="none"/>
                <w:lang w:val="en-US" w:eastAsia="zh-CN"/>
              </w:rPr>
              <w:t>做到水面无任何漂浮物（包括各类垃圾、水草及树枝等）</w:t>
            </w:r>
          </w:p>
        </w:tc>
        <w:tc>
          <w:tcPr>
            <w:tcW w:w="771" w:type="pct"/>
            <w:vMerge w:val="continue"/>
            <w:tcBorders>
              <w:left w:val="single" w:color="auto" w:sz="4" w:space="0"/>
              <w:bottom w:val="single" w:color="auto" w:sz="4" w:space="0"/>
              <w:right w:val="single" w:color="auto" w:sz="4" w:space="0"/>
            </w:tcBorders>
            <w:noWrap w:val="0"/>
            <w:vAlign w:val="center"/>
          </w:tcPr>
          <w:p w14:paraId="74E5B0CE">
            <w:pPr>
              <w:keepNext w:val="0"/>
              <w:keepLines w:val="0"/>
              <w:widowControl/>
              <w:suppressLineNumbers w:val="0"/>
              <w:jc w:val="left"/>
              <w:textAlignment w:val="center"/>
              <w:rPr>
                <w:rFonts w:hint="default" w:ascii="仿宋" w:hAnsi="仿宋" w:eastAsia="仿宋" w:cs="仿宋"/>
                <w:color w:val="auto"/>
                <w:kern w:val="2"/>
                <w:sz w:val="24"/>
                <w:szCs w:val="24"/>
                <w:highlight w:val="none"/>
                <w:lang w:val="en-US" w:eastAsia="zh-CN" w:bidi="ar-SA"/>
              </w:rPr>
            </w:pPr>
          </w:p>
        </w:tc>
      </w:tr>
    </w:tbl>
    <w:p w14:paraId="59EDF8C8">
      <w:pPr>
        <w:keepNext w:val="0"/>
        <w:keepLines w:val="0"/>
        <w:pageBreakBefore w:val="0"/>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val="en-US" w:eastAsia="zh-CN"/>
        </w:rPr>
        <w:t>此面积及数量测算只作为招投标参考，具体面积及数量以实际测量为准。</w:t>
      </w:r>
      <w:r>
        <w:rPr>
          <w:rFonts w:hint="eastAsia" w:ascii="仿宋" w:hAnsi="仿宋" w:eastAsia="仿宋" w:cs="仿宋"/>
          <w:b/>
          <w:bCs/>
          <w:color w:val="auto"/>
          <w:sz w:val="24"/>
          <w:szCs w:val="24"/>
          <w:highlight w:val="none"/>
          <w:lang w:val="en-US" w:eastAsia="zh-CN"/>
        </w:rPr>
        <w:t>投标人须自行实地考察踏勘，核算成本，对绿地面积和苗木数量有争议的，不影响本项目最终报价。</w:t>
      </w:r>
    </w:p>
    <w:p w14:paraId="72243E94">
      <w:pPr>
        <w:keepNext w:val="0"/>
        <w:keepLines w:val="0"/>
        <w:pageBreakBefore w:val="0"/>
        <w:widowControl w:val="0"/>
        <w:kinsoku/>
        <w:wordWrap/>
        <w:overflowPunct/>
        <w:topLinePunct w:val="0"/>
        <w:bidi w:val="0"/>
        <w:spacing w:line="288" w:lineRule="auto"/>
        <w:ind w:firstLine="482" w:firstLineChars="200"/>
        <w:textAlignment w:val="auto"/>
        <w:outlineLvl w:val="1"/>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val="en-US" w:eastAsia="zh-CN"/>
        </w:rPr>
        <w:t>养护标准及要求</w:t>
      </w:r>
    </w:p>
    <w:p w14:paraId="1BC53AE2">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绿化养护根据绿地所处地段等实际情况均为二级，具体绿化养护和保洁管理按照《武义县殡仪馆（新馆）绿化养护作业管理要求》，中标单位应精心组织、精心管护，保质保量完成养护任务。包括松土除草、修剪、中耕施肥、病虫害防治、抗旱防涝、补植移栽、清除死树和枯枝、树干刷白、草坪切边、立架加固、抗灾抢险、设施维护、卫生保洁、河道水面清理、安全保护措施等一切养护工作（含养护所需材料）。</w:t>
      </w:r>
    </w:p>
    <w:p w14:paraId="17263014">
      <w:pPr>
        <w:keepNext w:val="0"/>
        <w:keepLines w:val="0"/>
        <w:pageBreakBefore w:val="0"/>
        <w:kinsoku/>
        <w:wordWrap/>
        <w:overflowPunct/>
        <w:topLinePunct w:val="0"/>
        <w:bidi w:val="0"/>
        <w:spacing w:line="440" w:lineRule="exact"/>
        <w:ind w:firstLine="480" w:firstLineChars="200"/>
        <w:textAlignment w:val="auto"/>
        <w:rPr>
          <w:rFonts w:hint="default" w:eastAsia="宋体"/>
          <w:lang w:val="en-US" w:eastAsia="zh-CN"/>
        </w:rPr>
      </w:pPr>
      <w:r>
        <w:rPr>
          <w:rFonts w:hint="eastAsia" w:ascii="仿宋" w:hAnsi="仿宋" w:eastAsia="仿宋" w:cs="仿宋"/>
          <w:color w:val="auto"/>
          <w:sz w:val="24"/>
          <w:szCs w:val="24"/>
          <w:highlight w:val="none"/>
          <w:lang w:val="en-US" w:eastAsia="zh-CN"/>
        </w:rPr>
        <w:t>2.重大节日及重大活动期间，中标单位有义务按照上级统一要求，认真做好管养工作。养护期内，养护过程中如台风、大雨、高空作业等造成的安全责任及管养过程中其他所有的安全责任均由中标单位负责。中标人需购买作业人员意外险及第三方责任险。</w:t>
      </w:r>
    </w:p>
    <w:p w14:paraId="2282F6E2">
      <w:pPr>
        <w:keepNext w:val="0"/>
        <w:keepLines w:val="0"/>
        <w:pageBreakBefore w:val="0"/>
        <w:widowControl w:val="0"/>
        <w:tabs>
          <w:tab w:val="left" w:pos="540"/>
        </w:tabs>
        <w:kinsoku/>
        <w:wordWrap/>
        <w:overflowPunct/>
        <w:topLinePunct w:val="0"/>
        <w:autoSpaceDE w:val="0"/>
        <w:autoSpaceDN w:val="0"/>
        <w:bidi w:val="0"/>
        <w:adjustRightInd w:val="0"/>
        <w:spacing w:line="288" w:lineRule="auto"/>
        <w:ind w:firstLine="482" w:firstLineChars="200"/>
        <w:textAlignment w:val="auto"/>
        <w:outlineLvl w:val="1"/>
        <w:rPr>
          <w:rFonts w:hint="eastAsia" w:ascii="仿宋" w:hAnsi="仿宋" w:eastAsia="仿宋" w:cs="仿宋"/>
          <w:b/>
          <w:bCs/>
          <w:color w:val="auto"/>
          <w:sz w:val="24"/>
          <w:szCs w:val="24"/>
          <w:highlight w:val="none"/>
          <w:lang w:val="en-US" w:eastAsia="zh-CN"/>
        </w:rPr>
      </w:pPr>
      <w:bookmarkStart w:id="4" w:name="_Toc893"/>
      <w:r>
        <w:rPr>
          <w:rFonts w:hint="eastAsia" w:ascii="仿宋" w:hAnsi="仿宋" w:eastAsia="仿宋" w:cs="仿宋"/>
          <w:b/>
          <w:bCs/>
          <w:color w:val="auto"/>
          <w:sz w:val="24"/>
          <w:szCs w:val="24"/>
          <w:highlight w:val="none"/>
          <w:lang w:val="en-US" w:eastAsia="zh-CN"/>
        </w:rPr>
        <w:t>四、人员、机械设施要求</w:t>
      </w:r>
      <w:bookmarkEnd w:id="4"/>
    </w:p>
    <w:p w14:paraId="7B1DA267">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养护管理单位需配备具有绿化养护管理经验的项目负责人1人和养护人员2人，投标人可根据工作量增配，养护费用不增加。养护人员可因人员内部调休由投标人自行安排，但需提前以书面形式报备业主单位同意。</w:t>
      </w:r>
    </w:p>
    <w:p w14:paraId="51FCCC09">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投入本项目机械设施、工具及各类型车辆设备的整体配置由投标人自行安排，但需提前以书面形式报备业主单位同意。</w:t>
      </w:r>
    </w:p>
    <w:p w14:paraId="4F0BCAD4">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2.养护管理单位在服务期内所投入车辆必须符合当地的环保使用要求。</w:t>
      </w:r>
    </w:p>
    <w:p w14:paraId="075BF3ED">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3.养护管理单位必须在本项目服务期开始执行之日起一个月内按要求配齐自有车辆、设备。 </w:t>
      </w:r>
    </w:p>
    <w:p w14:paraId="48D3D65B">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养护管理单位应针对本项目组建完善的项目部，履行本项目的管理和作业质量监管工作，配齐合格管理人员；按约定的标准定岗位、定人员、定职责，各部门一线员工由养护管理单位自行合理调配，另外配备有专业资格的安全员、资料员、绿化工等。</w:t>
      </w:r>
    </w:p>
    <w:p w14:paraId="0193F97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宋体" w:hAnsi="宋体" w:eastAsia="宋体" w:cs="宋体"/>
          <w:b/>
          <w:color w:val="auto"/>
          <w:sz w:val="24"/>
          <w:szCs w:val="24"/>
          <w:highlight w:val="none"/>
          <w:lang w:val="en-US" w:eastAsia="zh-CN"/>
        </w:rPr>
        <w:t>★</w:t>
      </w:r>
      <w:r>
        <w:rPr>
          <w:rFonts w:hint="eastAsia" w:ascii="仿宋" w:hAnsi="仿宋" w:eastAsia="仿宋" w:cs="仿宋"/>
          <w:b/>
          <w:color w:val="auto"/>
          <w:sz w:val="24"/>
          <w:szCs w:val="24"/>
          <w:highlight w:val="none"/>
          <w:lang w:val="en-US" w:eastAsia="zh-CN"/>
        </w:rPr>
        <w:t>中标人的作业人员、车辆设备确保每月15日前提供台账资料供采购人进行管理和接受检查。如采购人认为需增加其他设施设备进行作业，则中标人须无条件服从，费用不作调整。</w:t>
      </w:r>
    </w:p>
    <w:p w14:paraId="0CECECAE">
      <w:pPr>
        <w:keepNext w:val="0"/>
        <w:keepLines w:val="0"/>
        <w:pageBreakBefore w:val="0"/>
        <w:widowControl w:val="0"/>
        <w:tabs>
          <w:tab w:val="left" w:pos="540"/>
        </w:tabs>
        <w:kinsoku/>
        <w:wordWrap/>
        <w:overflowPunct/>
        <w:topLinePunct w:val="0"/>
        <w:autoSpaceDE w:val="0"/>
        <w:autoSpaceDN w:val="0"/>
        <w:bidi w:val="0"/>
        <w:adjustRightInd w:val="0"/>
        <w:spacing w:line="288" w:lineRule="auto"/>
        <w:ind w:firstLine="482" w:firstLineChars="200"/>
        <w:textAlignment w:val="auto"/>
        <w:outlineLvl w:val="1"/>
        <w:rPr>
          <w:rFonts w:hint="eastAsia" w:ascii="仿宋" w:hAnsi="仿宋" w:eastAsia="仿宋" w:cs="仿宋"/>
          <w:b/>
          <w:bCs/>
          <w:color w:val="auto"/>
          <w:sz w:val="24"/>
          <w:szCs w:val="24"/>
          <w:highlight w:val="none"/>
          <w:lang w:val="en-US" w:eastAsia="zh-CN"/>
        </w:rPr>
      </w:pPr>
      <w:bookmarkStart w:id="5" w:name="_Toc14326"/>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kern w:val="0"/>
          <w:sz w:val="24"/>
          <w:szCs w:val="24"/>
          <w:highlight w:val="none"/>
        </w:rPr>
        <w:t>合同履约期限</w:t>
      </w:r>
      <w:bookmarkEnd w:id="5"/>
    </w:p>
    <w:p w14:paraId="4E7C4441">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lang w:eastAsia="zh-CN"/>
        </w:rPr>
        <w:t>本项目服务期</w:t>
      </w:r>
      <w:r>
        <w:rPr>
          <w:rFonts w:hint="eastAsia" w:ascii="仿宋" w:hAnsi="仿宋" w:eastAsia="仿宋" w:cs="仿宋"/>
          <w:b w:val="0"/>
          <w:bCs w:val="0"/>
          <w:color w:val="auto"/>
          <w:kern w:val="0"/>
          <w:sz w:val="24"/>
          <w:szCs w:val="24"/>
          <w:highlight w:val="none"/>
          <w:lang w:val="en-US" w:eastAsia="zh-CN"/>
        </w:rPr>
        <w:t>为</w:t>
      </w:r>
      <w:r>
        <w:rPr>
          <w:rFonts w:hint="eastAsia" w:ascii="仿宋" w:hAnsi="仿宋" w:eastAsia="仿宋" w:cs="仿宋"/>
          <w:b w:val="0"/>
          <w:bCs w:val="0"/>
          <w:color w:val="auto"/>
          <w:kern w:val="0"/>
          <w:sz w:val="24"/>
          <w:szCs w:val="24"/>
          <w:highlight w:val="none"/>
          <w:lang w:eastAsia="zh-CN"/>
        </w:rPr>
        <w:t>1+1（即</w:t>
      </w: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kern w:val="0"/>
          <w:sz w:val="24"/>
          <w:szCs w:val="24"/>
          <w:highlight w:val="none"/>
          <w:lang w:eastAsia="zh-CN"/>
        </w:rPr>
        <w:t>年）</w:t>
      </w:r>
      <w:r>
        <w:rPr>
          <w:rFonts w:hint="eastAsia" w:ascii="仿宋" w:hAnsi="仿宋" w:eastAsia="仿宋" w:cs="仿宋"/>
          <w:color w:val="auto"/>
          <w:sz w:val="24"/>
          <w:szCs w:val="24"/>
          <w:highlight w:val="none"/>
          <w:lang w:val="en-US" w:eastAsia="zh-CN"/>
        </w:rPr>
        <w:t>模式</w:t>
      </w:r>
      <w:r>
        <w:rPr>
          <w:rFonts w:hint="eastAsia" w:ascii="仿宋" w:hAnsi="仿宋" w:eastAsia="仿宋" w:cs="仿宋"/>
          <w:b w:val="0"/>
          <w:bCs w:val="0"/>
          <w:color w:val="auto"/>
          <w:kern w:val="0"/>
          <w:sz w:val="24"/>
          <w:szCs w:val="24"/>
          <w:highlight w:val="none"/>
          <w:lang w:eastAsia="zh-CN"/>
        </w:rPr>
        <w:t>，服务期</w:t>
      </w:r>
      <w:r>
        <w:rPr>
          <w:rFonts w:hint="eastAsia" w:ascii="仿宋" w:hAnsi="仿宋" w:eastAsia="仿宋" w:cs="仿宋"/>
          <w:b w:val="0"/>
          <w:bCs w:val="0"/>
          <w:color w:val="auto"/>
          <w:kern w:val="0"/>
          <w:sz w:val="24"/>
          <w:szCs w:val="24"/>
          <w:highlight w:val="none"/>
          <w:lang w:val="en-US" w:eastAsia="zh-CN"/>
        </w:rPr>
        <w:t>每1</w:t>
      </w:r>
      <w:r>
        <w:rPr>
          <w:rFonts w:hint="eastAsia" w:ascii="仿宋" w:hAnsi="仿宋" w:eastAsia="仿宋" w:cs="仿宋"/>
          <w:b w:val="0"/>
          <w:bCs w:val="0"/>
          <w:color w:val="auto"/>
          <w:kern w:val="0"/>
          <w:sz w:val="24"/>
          <w:szCs w:val="24"/>
          <w:highlight w:val="none"/>
          <w:lang w:eastAsia="zh-CN"/>
        </w:rPr>
        <w:t>年满后采购人根据中标</w:t>
      </w:r>
      <w:r>
        <w:rPr>
          <w:rFonts w:hint="eastAsia" w:ascii="仿宋" w:hAnsi="仿宋" w:eastAsia="仿宋" w:cs="仿宋"/>
          <w:b w:val="0"/>
          <w:bCs w:val="0"/>
          <w:color w:val="auto"/>
          <w:kern w:val="0"/>
          <w:sz w:val="24"/>
          <w:szCs w:val="24"/>
          <w:highlight w:val="none"/>
          <w:lang w:val="en-US" w:eastAsia="zh-CN"/>
        </w:rPr>
        <w:t>人</w:t>
      </w:r>
      <w:r>
        <w:rPr>
          <w:rFonts w:hint="eastAsia" w:ascii="仿宋" w:hAnsi="仿宋" w:eastAsia="仿宋" w:cs="仿宋"/>
          <w:b w:val="0"/>
          <w:bCs w:val="0"/>
          <w:color w:val="auto"/>
          <w:kern w:val="0"/>
          <w:sz w:val="24"/>
          <w:szCs w:val="24"/>
          <w:highlight w:val="none"/>
          <w:lang w:eastAsia="zh-CN"/>
        </w:rPr>
        <w:t>上一年度的合同履约及考核情况有权单方决定是否续签合同</w:t>
      </w:r>
      <w:r>
        <w:rPr>
          <w:rFonts w:hint="eastAsia" w:ascii="仿宋" w:hAnsi="仿宋" w:eastAsia="仿宋" w:cs="仿宋"/>
          <w:color w:val="auto"/>
          <w:sz w:val="24"/>
          <w:szCs w:val="24"/>
          <w:highlight w:val="none"/>
          <w:lang w:val="en-US" w:eastAsia="zh-CN"/>
        </w:rPr>
        <w:t>。</w:t>
      </w:r>
    </w:p>
    <w:p w14:paraId="5250A5E8">
      <w:pPr>
        <w:keepNext w:val="0"/>
        <w:keepLines w:val="0"/>
        <w:pageBreakBefore w:val="0"/>
        <w:widowControl w:val="0"/>
        <w:tabs>
          <w:tab w:val="left" w:pos="540"/>
        </w:tabs>
        <w:kinsoku/>
        <w:wordWrap/>
        <w:overflowPunct/>
        <w:topLinePunct w:val="0"/>
        <w:autoSpaceDE w:val="0"/>
        <w:autoSpaceDN w:val="0"/>
        <w:bidi w:val="0"/>
        <w:adjustRightInd w:val="0"/>
        <w:spacing w:line="288" w:lineRule="auto"/>
        <w:ind w:firstLine="482" w:firstLineChars="200"/>
        <w:textAlignment w:val="auto"/>
        <w:outlineLvl w:val="1"/>
        <w:rPr>
          <w:rFonts w:hint="eastAsia" w:ascii="仿宋" w:hAnsi="仿宋" w:eastAsia="仿宋" w:cs="仿宋"/>
          <w:b/>
          <w:bCs/>
          <w:color w:val="auto"/>
          <w:sz w:val="24"/>
          <w:szCs w:val="24"/>
          <w:highlight w:val="none"/>
          <w:lang w:val="zh-CN"/>
        </w:rPr>
      </w:pPr>
      <w:bookmarkStart w:id="6" w:name="_Toc1055"/>
      <w:r>
        <w:rPr>
          <w:rFonts w:hint="eastAsia" w:ascii="仿宋" w:hAnsi="仿宋" w:eastAsia="仿宋" w:cs="仿宋"/>
          <w:b/>
          <w:bCs/>
          <w:color w:val="auto"/>
          <w:sz w:val="24"/>
          <w:szCs w:val="24"/>
          <w:highlight w:val="none"/>
          <w:lang w:val="en-US" w:eastAsia="zh-CN"/>
        </w:rPr>
        <w:t>六、监督管理</w:t>
      </w:r>
      <w:bookmarkEnd w:id="6"/>
      <w:r>
        <w:rPr>
          <w:rFonts w:hint="eastAsia" w:ascii="仿宋" w:hAnsi="仿宋" w:eastAsia="仿宋" w:cs="仿宋"/>
          <w:b/>
          <w:bCs/>
          <w:color w:val="auto"/>
          <w:sz w:val="24"/>
          <w:szCs w:val="24"/>
          <w:highlight w:val="none"/>
          <w:lang w:val="en-US" w:eastAsia="zh-CN"/>
        </w:rPr>
        <w:t xml:space="preserve"> </w:t>
      </w:r>
    </w:p>
    <w:p w14:paraId="5F1F050F">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强化组织管理。本项目由武义县殡仪馆具体负责绿化养护招标、日常监管、检查验收、经费初审等事宜。根据现状，合理划分养护区块，组织公开招标确定中标单位，与中标单位签订绿化养护合同；并严格实行督查制度，加强对绿化养护工作的监督、检查和考核，切实提高绿化养护水平。 </w:t>
      </w:r>
    </w:p>
    <w:p w14:paraId="32A50401">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加强技术指导。中标单位要根据签订的养护合同，精心组织，落实人员，明确、细化养护标准和技术指标。武义县殡仪馆要加强对绿化中标单位的技术指导，督促中标单位按照标准及时做好各项养护工作，提高养护水平。 </w:t>
      </w:r>
    </w:p>
    <w:p w14:paraId="64580D0A">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严格考核奖惩。武义县殡仪馆日常巡查人员及考核组在进行检查考核时必须严格按照相关要求进行考核打分，对日常巡查中发现的扣分项需拍照留档，作为扣分依据。对于月考核分数低于75分或中标人在养护期间私自转包的以及其他行为给采购人造成严重不良影响的，采购人有权立即终止养护合同，由此造成损失由中标人自己承担；对于单月考核分小于75分，约谈养护项目负责人或企业法人代表，一年内有累计2个月（非连续）考核分小于75分，采购人予以通报；一年内有累计3个月（非连续）考核分小于75分，采购人有权立即终止养护合同，由此造成损失由中标人自己承担。</w:t>
      </w:r>
    </w:p>
    <w:p w14:paraId="4E93F5D9">
      <w:pPr>
        <w:keepNext w:val="0"/>
        <w:keepLines w:val="0"/>
        <w:pageBreakBefore w:val="0"/>
        <w:widowControl w:val="0"/>
        <w:tabs>
          <w:tab w:val="left" w:pos="540"/>
        </w:tabs>
        <w:kinsoku/>
        <w:wordWrap/>
        <w:overflowPunct/>
        <w:topLinePunct w:val="0"/>
        <w:autoSpaceDE w:val="0"/>
        <w:autoSpaceDN w:val="0"/>
        <w:bidi w:val="0"/>
        <w:adjustRightInd w:val="0"/>
        <w:spacing w:line="288" w:lineRule="auto"/>
        <w:ind w:firstLine="482" w:firstLineChars="200"/>
        <w:textAlignment w:val="auto"/>
        <w:outlineLvl w:val="1"/>
        <w:rPr>
          <w:rFonts w:hint="eastAsia" w:ascii="仿宋" w:hAnsi="仿宋" w:eastAsia="仿宋" w:cs="仿宋"/>
          <w:b/>
          <w:bCs/>
          <w:color w:val="auto"/>
          <w:sz w:val="24"/>
          <w:szCs w:val="24"/>
          <w:highlight w:val="none"/>
          <w:lang w:val="en-US" w:eastAsia="zh-CN"/>
        </w:rPr>
      </w:pPr>
      <w:bookmarkStart w:id="7" w:name="_Toc31768"/>
      <w:r>
        <w:rPr>
          <w:rFonts w:hint="eastAsia" w:ascii="仿宋" w:hAnsi="仿宋" w:eastAsia="仿宋" w:cs="仿宋"/>
          <w:b/>
          <w:bCs/>
          <w:color w:val="auto"/>
          <w:sz w:val="24"/>
          <w:szCs w:val="24"/>
          <w:highlight w:val="none"/>
          <w:lang w:val="en-US" w:eastAsia="zh-CN"/>
        </w:rPr>
        <w:t>七、付款方式</w:t>
      </w:r>
      <w:bookmarkEnd w:id="7"/>
    </w:p>
    <w:p w14:paraId="590C1412">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本项目</w:t>
      </w:r>
      <w:r>
        <w:rPr>
          <w:rFonts w:hint="eastAsia" w:ascii="仿宋" w:hAnsi="仿宋" w:eastAsia="仿宋" w:cs="仿宋"/>
          <w:color w:val="auto"/>
          <w:sz w:val="24"/>
          <w:szCs w:val="24"/>
        </w:rPr>
        <w:t>合同签订</w:t>
      </w:r>
      <w:r>
        <w:rPr>
          <w:rFonts w:hint="eastAsia" w:ascii="仿宋" w:hAnsi="仿宋" w:eastAsia="仿宋" w:cs="仿宋"/>
          <w:color w:val="auto"/>
          <w:sz w:val="24"/>
          <w:szCs w:val="24"/>
          <w:lang w:val="en-US" w:eastAsia="zh-CN"/>
        </w:rPr>
        <w:t>生效</w:t>
      </w:r>
      <w:r>
        <w:rPr>
          <w:rFonts w:hint="eastAsia" w:ascii="仿宋" w:hAnsi="仿宋" w:eastAsia="仿宋" w:cs="仿宋"/>
          <w:color w:val="auto"/>
          <w:sz w:val="24"/>
          <w:szCs w:val="24"/>
        </w:rPr>
        <w:t>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val="en-US" w:eastAsia="zh-CN"/>
        </w:rPr>
        <w:t>每季度末，根据采购人组织的月养护质量考核结果，核算该季度实际应付金额。</w:t>
      </w:r>
      <w:r>
        <w:rPr>
          <w:rFonts w:hint="eastAsia" w:ascii="仿宋" w:hAnsi="仿宋" w:eastAsia="仿宋" w:cs="仿宋"/>
          <w:color w:val="auto"/>
          <w:sz w:val="24"/>
          <w:szCs w:val="24"/>
          <w:lang w:val="en-US" w:eastAsia="zh-CN"/>
        </w:rPr>
        <w:t>结算服务款时中标人应提供增值税专用发票</w:t>
      </w:r>
      <w:r>
        <w:rPr>
          <w:rFonts w:hint="eastAsia" w:ascii="仿宋" w:hAnsi="仿宋" w:eastAsia="仿宋" w:cs="仿宋"/>
          <w:color w:val="auto"/>
          <w:sz w:val="24"/>
          <w:szCs w:val="24"/>
          <w:highlight w:val="none"/>
          <w:lang w:val="en-US" w:eastAsia="zh-CN"/>
        </w:rPr>
        <w:t>。</w:t>
      </w:r>
    </w:p>
    <w:p w14:paraId="2AC17E6D">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中标人必须按规定按时，足额发放人员工资、法定假日加班工资、夏季高温补贴等，不得随意克扣、拖延、漏发。</w:t>
      </w:r>
    </w:p>
    <w:p w14:paraId="236C89E1">
      <w:pPr>
        <w:keepNext w:val="0"/>
        <w:keepLines w:val="0"/>
        <w:pageBreakBefore w:val="0"/>
        <w:widowControl w:val="0"/>
        <w:tabs>
          <w:tab w:val="left" w:pos="540"/>
        </w:tabs>
        <w:kinsoku/>
        <w:wordWrap/>
        <w:overflowPunct/>
        <w:topLinePunct w:val="0"/>
        <w:autoSpaceDE w:val="0"/>
        <w:autoSpaceDN w:val="0"/>
        <w:bidi w:val="0"/>
        <w:adjustRightInd w:val="0"/>
        <w:spacing w:line="288" w:lineRule="auto"/>
        <w:ind w:firstLine="482" w:firstLineChars="200"/>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八、武义县殡仪馆（新馆）绿化养护作业管理要求</w:t>
      </w:r>
    </w:p>
    <w:p w14:paraId="1668BD72">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8" w:name="_Toc31562"/>
      <w:r>
        <w:rPr>
          <w:rFonts w:hint="eastAsia" w:ascii="仿宋" w:hAnsi="仿宋" w:eastAsia="仿宋" w:cs="仿宋"/>
          <w:b/>
          <w:bCs/>
          <w:color w:val="auto"/>
          <w:sz w:val="24"/>
          <w:szCs w:val="24"/>
          <w:highlight w:val="none"/>
          <w:lang w:val="en-US" w:eastAsia="zh-CN"/>
        </w:rPr>
        <w:t>（一）总体要求</w:t>
      </w:r>
      <w:bookmarkEnd w:id="8"/>
    </w:p>
    <w:p w14:paraId="2DBB4AE1">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1.为了加强武义县殡仪馆园林绿化市场化养护管理，确保园林绿地植物生长良好，设施完善，环境卫生整洁美观，特制定本管理要求。</w:t>
      </w:r>
    </w:p>
    <w:p w14:paraId="07F1D9A1">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2.武义县殡仪馆进行市场化绿化养护管理的所有绿地都按照本管理要求执行。</w:t>
      </w:r>
    </w:p>
    <w:p w14:paraId="21E425E9">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3.对实行绿化养护管理的绿地，综合城市园林绿地的规模、性质、位置、设施量、服务对象、重要程度、安保需求等因素对管护要求提出不同标准。</w:t>
      </w:r>
    </w:p>
    <w:p w14:paraId="3A230BC4">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4.养护和保洁管理人员要求：中标人应安排足够的专业养护管理人员和专业技术工人进行作业，作业过程中无违章操作现象，无安全事故。</w:t>
      </w:r>
    </w:p>
    <w:p w14:paraId="3CD0CF5D">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5.中标人在武义县殡仪馆范围内设有固定的办公场所，所提供的植物材料、生产资料、机械设备和工具必须满足绿化养护的要求。</w:t>
      </w:r>
    </w:p>
    <w:p w14:paraId="2649FBC9">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9" w:name="_Toc9154"/>
      <w:r>
        <w:rPr>
          <w:rFonts w:hint="eastAsia" w:ascii="仿宋" w:hAnsi="仿宋" w:eastAsia="仿宋" w:cs="仿宋"/>
          <w:b/>
          <w:bCs/>
          <w:color w:val="auto"/>
          <w:sz w:val="24"/>
          <w:szCs w:val="24"/>
          <w:highlight w:val="none"/>
          <w:lang w:val="en-US" w:eastAsia="zh-CN"/>
        </w:rPr>
        <w:t>（二）绿地绿化养护的作业要求</w:t>
      </w:r>
      <w:bookmarkEnd w:id="9"/>
    </w:p>
    <w:p w14:paraId="780E194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全年</w:t>
      </w:r>
      <w:r>
        <w:rPr>
          <w:rFonts w:hint="eastAsia" w:ascii="仿宋" w:hAnsi="仿宋" w:eastAsia="仿宋" w:cs="仿宋"/>
          <w:color w:val="auto"/>
          <w:sz w:val="24"/>
          <w:szCs w:val="24"/>
          <w:highlight w:val="none"/>
          <w:lang w:val="en-US" w:eastAsia="zh-CN"/>
        </w:rPr>
        <w:t>绿地绿化养护和保洁</w:t>
      </w:r>
      <w:r>
        <w:rPr>
          <w:rFonts w:hint="default" w:ascii="仿宋" w:hAnsi="仿宋" w:eastAsia="仿宋" w:cs="仿宋"/>
          <w:color w:val="auto"/>
          <w:sz w:val="24"/>
          <w:szCs w:val="24"/>
          <w:highlight w:val="none"/>
          <w:lang w:val="en-US" w:eastAsia="zh-CN"/>
        </w:rPr>
        <w:t>作业内容：包括</w:t>
      </w:r>
      <w:r>
        <w:rPr>
          <w:rFonts w:hint="eastAsia" w:ascii="仿宋" w:hAnsi="仿宋" w:eastAsia="仿宋" w:cs="仿宋"/>
          <w:color w:val="auto"/>
          <w:sz w:val="24"/>
          <w:szCs w:val="24"/>
          <w:highlight w:val="none"/>
          <w:lang w:val="en-US" w:eastAsia="zh-CN"/>
        </w:rPr>
        <w:t>绿地</w:t>
      </w:r>
      <w:r>
        <w:rPr>
          <w:rFonts w:hint="default" w:ascii="仿宋" w:hAnsi="仿宋" w:eastAsia="仿宋" w:cs="仿宋"/>
          <w:color w:val="auto"/>
          <w:sz w:val="24"/>
          <w:szCs w:val="24"/>
          <w:highlight w:val="none"/>
          <w:lang w:val="en-US" w:eastAsia="zh-CN"/>
        </w:rPr>
        <w:t>保洁</w:t>
      </w:r>
      <w:r>
        <w:rPr>
          <w:rFonts w:hint="eastAsia" w:ascii="仿宋" w:hAnsi="仿宋" w:eastAsia="仿宋" w:cs="仿宋"/>
          <w:color w:val="auto"/>
          <w:sz w:val="24"/>
          <w:szCs w:val="24"/>
          <w:highlight w:val="none"/>
          <w:lang w:val="en-US" w:eastAsia="zh-CN"/>
        </w:rPr>
        <w:t>管理</w:t>
      </w:r>
      <w:r>
        <w:rPr>
          <w:rFonts w:hint="default" w:ascii="仿宋" w:hAnsi="仿宋" w:eastAsia="仿宋" w:cs="仿宋"/>
          <w:color w:val="auto"/>
          <w:sz w:val="24"/>
          <w:szCs w:val="24"/>
          <w:highlight w:val="none"/>
          <w:lang w:val="en-US" w:eastAsia="zh-CN"/>
        </w:rPr>
        <w:t>、浇水管理、排水管理、松土除草、修剪管理、施肥管理、苗木补植、防护</w:t>
      </w:r>
      <w:r>
        <w:rPr>
          <w:rFonts w:hint="eastAsia" w:ascii="仿宋" w:hAnsi="仿宋" w:eastAsia="仿宋" w:cs="仿宋"/>
          <w:color w:val="auto"/>
          <w:sz w:val="24"/>
          <w:szCs w:val="24"/>
          <w:highlight w:val="none"/>
          <w:lang w:val="en-US" w:eastAsia="zh-CN"/>
        </w:rPr>
        <w:t>管理</w:t>
      </w:r>
      <w:r>
        <w:rPr>
          <w:rFonts w:hint="default" w:ascii="仿宋" w:hAnsi="仿宋" w:eastAsia="仿宋" w:cs="仿宋"/>
          <w:color w:val="auto"/>
          <w:sz w:val="24"/>
          <w:szCs w:val="24"/>
          <w:highlight w:val="none"/>
          <w:lang w:val="en-US" w:eastAsia="zh-CN"/>
        </w:rPr>
        <w:t>、花卉管理、草坪</w:t>
      </w:r>
      <w:r>
        <w:rPr>
          <w:rFonts w:hint="eastAsia" w:ascii="仿宋" w:hAnsi="仿宋" w:eastAsia="仿宋" w:cs="仿宋"/>
          <w:color w:val="auto"/>
          <w:sz w:val="24"/>
          <w:szCs w:val="24"/>
          <w:highlight w:val="none"/>
          <w:lang w:val="en-US" w:eastAsia="zh-CN"/>
        </w:rPr>
        <w:t>养护</w:t>
      </w:r>
      <w:r>
        <w:rPr>
          <w:rFonts w:hint="default" w:ascii="仿宋" w:hAnsi="仿宋" w:eastAsia="仿宋" w:cs="仿宋"/>
          <w:color w:val="auto"/>
          <w:sz w:val="24"/>
          <w:szCs w:val="24"/>
          <w:highlight w:val="none"/>
          <w:lang w:val="en-US" w:eastAsia="zh-CN"/>
        </w:rPr>
        <w:t>管理、地被养护管理、苗木支撑</w:t>
      </w:r>
      <w:r>
        <w:rPr>
          <w:rFonts w:hint="eastAsia" w:ascii="仿宋" w:hAnsi="仿宋" w:eastAsia="仿宋" w:cs="仿宋"/>
          <w:color w:val="auto"/>
          <w:sz w:val="24"/>
          <w:szCs w:val="24"/>
          <w:highlight w:val="none"/>
          <w:lang w:val="en-US" w:eastAsia="zh-CN"/>
        </w:rPr>
        <w:t>管理、</w:t>
      </w:r>
      <w:r>
        <w:rPr>
          <w:rFonts w:hint="default" w:ascii="仿宋" w:hAnsi="仿宋" w:eastAsia="仿宋" w:cs="仿宋"/>
          <w:color w:val="auto"/>
          <w:sz w:val="24"/>
          <w:szCs w:val="24"/>
          <w:highlight w:val="none"/>
          <w:lang w:val="en-US" w:eastAsia="zh-CN"/>
        </w:rPr>
        <w:t>供水管线管理维修</w:t>
      </w:r>
      <w:r>
        <w:rPr>
          <w:rFonts w:hint="eastAsia" w:ascii="仿宋" w:hAnsi="仿宋" w:eastAsia="仿宋" w:cs="仿宋"/>
          <w:color w:val="auto"/>
          <w:sz w:val="24"/>
          <w:szCs w:val="24"/>
          <w:highlight w:val="none"/>
          <w:lang w:val="en-US" w:eastAsia="zh-CN"/>
        </w:rPr>
        <w:t>、道路绿化带养护、行道树养护</w:t>
      </w:r>
      <w:r>
        <w:rPr>
          <w:rFonts w:hint="default" w:ascii="仿宋" w:hAnsi="仿宋" w:eastAsia="仿宋" w:cs="仿宋"/>
          <w:color w:val="auto"/>
          <w:sz w:val="24"/>
          <w:szCs w:val="24"/>
          <w:highlight w:val="none"/>
          <w:lang w:val="en-US" w:eastAsia="zh-CN"/>
        </w:rPr>
        <w:t>等在内的</w:t>
      </w:r>
      <w:r>
        <w:rPr>
          <w:rFonts w:hint="eastAsia" w:ascii="仿宋" w:hAnsi="仿宋" w:eastAsia="仿宋" w:cs="仿宋"/>
          <w:color w:val="auto"/>
          <w:sz w:val="24"/>
          <w:szCs w:val="24"/>
          <w:highlight w:val="none"/>
          <w:lang w:val="en-US" w:eastAsia="zh-CN"/>
        </w:rPr>
        <w:t>绿化养护和保洁</w:t>
      </w:r>
      <w:r>
        <w:rPr>
          <w:rFonts w:hint="default" w:ascii="仿宋" w:hAnsi="仿宋" w:eastAsia="仿宋" w:cs="仿宋"/>
          <w:color w:val="auto"/>
          <w:sz w:val="24"/>
          <w:szCs w:val="24"/>
          <w:highlight w:val="none"/>
          <w:lang w:val="en-US" w:eastAsia="zh-CN"/>
        </w:rPr>
        <w:t>管理工作。</w:t>
      </w:r>
    </w:p>
    <w:p w14:paraId="053B3E6D">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1.保洁</w:t>
      </w:r>
    </w:p>
    <w:p w14:paraId="4CD0B0C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1.1绿地</w:t>
      </w:r>
      <w:r>
        <w:rPr>
          <w:rFonts w:hint="default" w:ascii="仿宋" w:hAnsi="仿宋" w:eastAsia="仿宋" w:cs="仿宋"/>
          <w:color w:val="auto"/>
          <w:sz w:val="24"/>
          <w:szCs w:val="24"/>
          <w:highlight w:val="none"/>
          <w:lang w:val="en-US" w:eastAsia="zh-CN"/>
        </w:rPr>
        <w:t>保洁</w:t>
      </w:r>
    </w:p>
    <w:p w14:paraId="7B2C1532">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绿地</w:t>
      </w:r>
      <w:r>
        <w:rPr>
          <w:rFonts w:hint="default" w:ascii="仿宋" w:hAnsi="仿宋" w:eastAsia="仿宋" w:cs="仿宋"/>
          <w:color w:val="auto"/>
          <w:sz w:val="24"/>
          <w:szCs w:val="24"/>
          <w:highlight w:val="none"/>
          <w:lang w:val="en-US" w:eastAsia="zh-CN"/>
        </w:rPr>
        <w:t>保洁范围为绿地及绿地外缘线外1米范围内。</w:t>
      </w:r>
    </w:p>
    <w:p w14:paraId="3FAAD248">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绿地内不得有落叶枯枝，保持通透干净；保持绿地内无垃圾杂物，无鼠洞和蚊蝇滋生等，发现鼠洞要随时堵塞</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及时清除“树挂”等污染物。绿地外缘线一米内按照环卫人工清扫标准执行。严禁焚烧垃圾和枯枝落叶，植物垃圾定点收集，收集点管理规范整洁，及时清理外运。工作面日事日毕、日产日清，垃圾不得在工作时间外堆积在工作现场。</w:t>
      </w:r>
    </w:p>
    <w:p w14:paraId="74B5ABAD">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浇水</w:t>
      </w:r>
    </w:p>
    <w:p w14:paraId="207DEDC2">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r>
        <w:rPr>
          <w:rFonts w:hint="default" w:ascii="仿宋" w:hAnsi="仿宋" w:eastAsia="仿宋" w:cs="仿宋"/>
          <w:color w:val="auto"/>
          <w:sz w:val="24"/>
          <w:szCs w:val="24"/>
          <w:highlight w:val="none"/>
          <w:lang w:val="en-US" w:eastAsia="zh-CN"/>
        </w:rPr>
        <w:t>浇水应根据季节气候特点、土壤保水、植物需水等情况，适时适量进行浇水，促其正常生长。早春萌芽前浇灌返青水；栽植生长季，根据植物长势及天气状况适时适量浇水，遇高温季节要适当增加浇水次数，但要避开中午高温时段；春秋返碱较重季节要及时灌透水；冬季土壤冻土层未形成前浇灌冻水。</w:t>
      </w:r>
    </w:p>
    <w:p w14:paraId="086E96FC">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r>
        <w:rPr>
          <w:rFonts w:hint="default" w:ascii="仿宋" w:hAnsi="仿宋" w:eastAsia="仿宋" w:cs="仿宋"/>
          <w:color w:val="auto"/>
          <w:sz w:val="24"/>
          <w:szCs w:val="24"/>
          <w:highlight w:val="none"/>
          <w:lang w:val="en-US" w:eastAsia="zh-CN"/>
        </w:rPr>
        <w:t>浇水质量要求：浇水前应先进行中耕松土，每次透水应达到</w:t>
      </w:r>
      <w:r>
        <w:rPr>
          <w:rFonts w:hint="eastAsia" w:ascii="仿宋" w:hAnsi="仿宋" w:eastAsia="仿宋" w:cs="仿宋"/>
          <w:color w:val="auto"/>
          <w:sz w:val="24"/>
          <w:szCs w:val="24"/>
          <w:highlight w:val="none"/>
          <w:lang w:val="en-US" w:eastAsia="zh-CN"/>
        </w:rPr>
        <w:t>适当</w:t>
      </w:r>
      <w:r>
        <w:rPr>
          <w:rFonts w:hint="default" w:ascii="仿宋" w:hAnsi="仿宋" w:eastAsia="仿宋" w:cs="仿宋"/>
          <w:color w:val="auto"/>
          <w:sz w:val="24"/>
          <w:szCs w:val="24"/>
          <w:highlight w:val="none"/>
          <w:lang w:val="en-US" w:eastAsia="zh-CN"/>
        </w:rPr>
        <w:t>的浸润深度，地面应无径流。浇水时水流不能冲击地面或植物，要远距离缓冲。因浇水造成的树木倾斜应及时扶正、培土。</w:t>
      </w:r>
    </w:p>
    <w:p w14:paraId="5733D6BC">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r>
        <w:rPr>
          <w:rFonts w:hint="default" w:ascii="仿宋" w:hAnsi="仿宋" w:eastAsia="仿宋" w:cs="仿宋"/>
          <w:color w:val="auto"/>
          <w:sz w:val="24"/>
          <w:szCs w:val="24"/>
          <w:highlight w:val="none"/>
          <w:lang w:val="en-US" w:eastAsia="zh-CN"/>
        </w:rPr>
        <w:t>用水车浇灌树木时，应连接软管，进行缓流浇灌，保证一次浇足浇透，严禁用高压水流直冲。</w:t>
      </w:r>
    </w:p>
    <w:p w14:paraId="1136691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r>
        <w:rPr>
          <w:rFonts w:hint="default" w:ascii="仿宋" w:hAnsi="仿宋" w:eastAsia="仿宋" w:cs="仿宋"/>
          <w:color w:val="auto"/>
          <w:sz w:val="24"/>
          <w:szCs w:val="24"/>
          <w:highlight w:val="none"/>
          <w:lang w:val="en-US" w:eastAsia="zh-CN"/>
        </w:rPr>
        <w:t>使用喷灌时，应专人看管，调整喷灌头角度，不得喷到人行道路上。</w:t>
      </w:r>
    </w:p>
    <w:p w14:paraId="36E8C95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r>
        <w:rPr>
          <w:rFonts w:hint="default" w:ascii="仿宋" w:hAnsi="仿宋" w:eastAsia="仿宋" w:cs="仿宋"/>
          <w:color w:val="auto"/>
          <w:sz w:val="24"/>
          <w:szCs w:val="24"/>
          <w:highlight w:val="none"/>
          <w:lang w:val="en-US" w:eastAsia="zh-CN"/>
        </w:rPr>
        <w:t>新植苗木应加强养护管理，保证成活率达到95%以上。</w:t>
      </w:r>
    </w:p>
    <w:p w14:paraId="060C01C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r>
        <w:rPr>
          <w:rFonts w:hint="default" w:ascii="仿宋" w:hAnsi="仿宋" w:eastAsia="仿宋" w:cs="仿宋"/>
          <w:color w:val="auto"/>
          <w:sz w:val="24"/>
          <w:szCs w:val="24"/>
          <w:highlight w:val="none"/>
          <w:lang w:val="en-US" w:eastAsia="zh-CN"/>
        </w:rPr>
        <w:t>加强肥水管理，特别是返青水和冻水应适时浇灌，并浇足浇透。合理安排修剪时期和修剪量，使树木枝条充分木质化，有效控制病虫害的发生，提高抗寒能力，确保树木安全越冬。</w:t>
      </w:r>
    </w:p>
    <w:p w14:paraId="6580059E">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r>
        <w:rPr>
          <w:rFonts w:hint="default" w:ascii="仿宋" w:hAnsi="仿宋" w:eastAsia="仿宋" w:cs="仿宋"/>
          <w:color w:val="auto"/>
          <w:sz w:val="24"/>
          <w:szCs w:val="24"/>
          <w:highlight w:val="none"/>
          <w:lang w:val="en-US" w:eastAsia="zh-CN"/>
        </w:rPr>
        <w:t>当日用完水后关闭总阀门，严禁出现跑漏现象。</w:t>
      </w:r>
    </w:p>
    <w:p w14:paraId="75525A79">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r>
        <w:rPr>
          <w:rFonts w:hint="default" w:ascii="仿宋" w:hAnsi="仿宋" w:eastAsia="仿宋" w:cs="仿宋"/>
          <w:color w:val="auto"/>
          <w:sz w:val="24"/>
          <w:szCs w:val="24"/>
          <w:highlight w:val="none"/>
          <w:lang w:val="en-US" w:eastAsia="zh-CN"/>
        </w:rPr>
        <w:t>不得出现因浇水不当引发投诉、大面积跑水等问题。</w:t>
      </w:r>
    </w:p>
    <w:p w14:paraId="0EFB8D0D">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r>
        <w:rPr>
          <w:rFonts w:hint="default" w:ascii="仿宋" w:hAnsi="仿宋" w:eastAsia="仿宋" w:cs="仿宋"/>
          <w:color w:val="auto"/>
          <w:sz w:val="24"/>
          <w:szCs w:val="24"/>
          <w:highlight w:val="none"/>
          <w:lang w:val="en-US" w:eastAsia="zh-CN"/>
        </w:rPr>
        <w:t>所有浇水阀门、井盖在使用完毕后应恢复原位，关严盖好。</w:t>
      </w:r>
    </w:p>
    <w:p w14:paraId="2FF1DE06">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2.10</w:t>
      </w:r>
      <w:r>
        <w:rPr>
          <w:rFonts w:hint="default" w:ascii="仿宋" w:hAnsi="仿宋" w:eastAsia="仿宋" w:cs="仿宋"/>
          <w:color w:val="auto"/>
          <w:sz w:val="24"/>
          <w:szCs w:val="24"/>
          <w:highlight w:val="none"/>
          <w:lang w:val="en-US" w:eastAsia="zh-CN"/>
        </w:rPr>
        <w:t>所有浇水管线使用完毕后应及时收回，不得阻碍人行及交通。</w:t>
      </w:r>
    </w:p>
    <w:p w14:paraId="53361AF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lang w:val="en-US" w:eastAsia="zh-CN"/>
        </w:rPr>
        <w:t>排水</w:t>
      </w:r>
    </w:p>
    <w:p w14:paraId="04A083C5">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r>
        <w:rPr>
          <w:rFonts w:hint="default" w:ascii="仿宋" w:hAnsi="仿宋" w:eastAsia="仿宋" w:cs="仿宋"/>
          <w:color w:val="auto"/>
          <w:sz w:val="24"/>
          <w:szCs w:val="24"/>
          <w:highlight w:val="none"/>
          <w:lang w:val="en-US" w:eastAsia="zh-CN"/>
        </w:rPr>
        <w:t>在雨季提前清理排水沟，井篦子，排水不畅的地方要采用强排方式，防止植物因涝</w:t>
      </w:r>
      <w:r>
        <w:rPr>
          <w:rFonts w:hint="eastAsia" w:ascii="仿宋" w:hAnsi="仿宋" w:eastAsia="仿宋" w:cs="仿宋"/>
          <w:color w:val="auto"/>
          <w:sz w:val="24"/>
          <w:szCs w:val="24"/>
          <w:highlight w:val="none"/>
          <w:lang w:val="en-US" w:eastAsia="zh-CN"/>
        </w:rPr>
        <w:t>致死</w:t>
      </w:r>
      <w:r>
        <w:rPr>
          <w:rFonts w:hint="default" w:ascii="仿宋" w:hAnsi="仿宋" w:eastAsia="仿宋" w:cs="仿宋"/>
          <w:color w:val="auto"/>
          <w:sz w:val="24"/>
          <w:szCs w:val="24"/>
          <w:highlight w:val="none"/>
          <w:lang w:val="en-US" w:eastAsia="zh-CN"/>
        </w:rPr>
        <w:t>。</w:t>
      </w:r>
    </w:p>
    <w:p w14:paraId="33FD68D9">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r>
        <w:rPr>
          <w:rFonts w:hint="default" w:ascii="仿宋" w:hAnsi="仿宋" w:eastAsia="仿宋" w:cs="仿宋"/>
          <w:color w:val="auto"/>
          <w:sz w:val="24"/>
          <w:szCs w:val="24"/>
          <w:highlight w:val="none"/>
          <w:lang w:val="en-US" w:eastAsia="zh-CN"/>
        </w:rPr>
        <w:t>绿地和树池内积水不得超过24小时；宿根花卉种植地积水不得超过12小时。有明显积水点处应进行改造</w:t>
      </w:r>
      <w:r>
        <w:rPr>
          <w:rFonts w:hint="eastAsia" w:ascii="仿宋" w:hAnsi="仿宋" w:eastAsia="仿宋" w:cs="仿宋"/>
          <w:color w:val="auto"/>
          <w:sz w:val="24"/>
          <w:szCs w:val="24"/>
          <w:highlight w:val="none"/>
          <w:lang w:val="en-US" w:eastAsia="zh-CN"/>
        </w:rPr>
        <w:t>。</w:t>
      </w:r>
    </w:p>
    <w:p w14:paraId="5DBC9757">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default" w:ascii="仿宋" w:hAnsi="仿宋" w:eastAsia="仿宋" w:cs="仿宋"/>
          <w:color w:val="auto"/>
          <w:sz w:val="24"/>
          <w:szCs w:val="24"/>
          <w:highlight w:val="none"/>
          <w:lang w:val="en-US" w:eastAsia="zh-CN"/>
        </w:rPr>
        <w:t>松土除草</w:t>
      </w:r>
    </w:p>
    <w:p w14:paraId="19623542">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w:t>
      </w:r>
      <w:r>
        <w:rPr>
          <w:rFonts w:hint="default" w:ascii="仿宋" w:hAnsi="仿宋" w:eastAsia="仿宋" w:cs="仿宋"/>
          <w:color w:val="auto"/>
          <w:sz w:val="24"/>
          <w:szCs w:val="24"/>
          <w:highlight w:val="none"/>
          <w:lang w:val="en-US" w:eastAsia="zh-CN"/>
        </w:rPr>
        <w:t>松土深度宜在5</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10cm，以不影响根系和损伤树皮为准，松土后保证不出现土块。树木应适时松土，易板结土壤在蒸腾旺季应每月一次。</w:t>
      </w:r>
    </w:p>
    <w:p w14:paraId="69E3C262">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w:t>
      </w:r>
      <w:r>
        <w:rPr>
          <w:rFonts w:hint="default" w:ascii="仿宋" w:hAnsi="仿宋" w:eastAsia="仿宋" w:cs="仿宋"/>
          <w:color w:val="auto"/>
          <w:sz w:val="24"/>
          <w:szCs w:val="24"/>
          <w:highlight w:val="none"/>
          <w:lang w:val="en-US" w:eastAsia="zh-CN"/>
        </w:rPr>
        <w:t>植物周围的杂草必须及时</w:t>
      </w:r>
      <w:r>
        <w:rPr>
          <w:rFonts w:hint="eastAsia" w:ascii="仿宋" w:hAnsi="仿宋" w:eastAsia="仿宋" w:cs="仿宋"/>
          <w:color w:val="auto"/>
          <w:sz w:val="24"/>
          <w:szCs w:val="24"/>
          <w:highlight w:val="none"/>
          <w:lang w:val="en-US" w:eastAsia="zh-CN"/>
        </w:rPr>
        <w:t>清</w:t>
      </w:r>
      <w:r>
        <w:rPr>
          <w:rFonts w:hint="default" w:ascii="仿宋" w:hAnsi="仿宋" w:eastAsia="仿宋" w:cs="仿宋"/>
          <w:color w:val="auto"/>
          <w:sz w:val="24"/>
          <w:szCs w:val="24"/>
          <w:highlight w:val="none"/>
          <w:lang w:val="en-US" w:eastAsia="zh-CN"/>
        </w:rPr>
        <w:t>除，杂草生长季节结合中耕要不间断进行除草工作。草坪、树穴、绿篱内除下的杂草等杂物必须装袋，当天必须清走，集中处理。</w:t>
      </w:r>
    </w:p>
    <w:p w14:paraId="5F8774C0">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w:t>
      </w:r>
      <w:r>
        <w:rPr>
          <w:rFonts w:hint="default" w:ascii="仿宋" w:hAnsi="仿宋" w:eastAsia="仿宋" w:cs="仿宋"/>
          <w:color w:val="auto"/>
          <w:sz w:val="24"/>
          <w:szCs w:val="24"/>
          <w:highlight w:val="none"/>
          <w:lang w:val="en-US" w:eastAsia="zh-CN"/>
        </w:rPr>
        <w:t>禁止使用</w:t>
      </w:r>
      <w:r>
        <w:rPr>
          <w:rFonts w:hint="eastAsia" w:ascii="仿宋" w:hAnsi="仿宋" w:eastAsia="仿宋" w:cs="仿宋"/>
          <w:color w:val="auto"/>
          <w:sz w:val="24"/>
          <w:szCs w:val="24"/>
          <w:highlight w:val="none"/>
          <w:lang w:val="en-US" w:eastAsia="zh-CN"/>
        </w:rPr>
        <w:t>高毒性</w:t>
      </w:r>
      <w:r>
        <w:rPr>
          <w:rFonts w:hint="default" w:ascii="仿宋" w:hAnsi="仿宋" w:eastAsia="仿宋" w:cs="仿宋"/>
          <w:color w:val="auto"/>
          <w:sz w:val="24"/>
          <w:szCs w:val="24"/>
          <w:highlight w:val="none"/>
          <w:lang w:val="en-US" w:eastAsia="zh-CN"/>
        </w:rPr>
        <w:t>除草剂除草</w:t>
      </w:r>
      <w:r>
        <w:rPr>
          <w:rFonts w:hint="eastAsia" w:ascii="仿宋" w:hAnsi="仿宋" w:eastAsia="仿宋" w:cs="仿宋"/>
          <w:color w:val="auto"/>
          <w:sz w:val="24"/>
          <w:szCs w:val="24"/>
          <w:highlight w:val="none"/>
          <w:lang w:val="en-US" w:eastAsia="zh-CN"/>
        </w:rPr>
        <w:t>（如百草枯、草甘膦等）</w:t>
      </w:r>
      <w:r>
        <w:rPr>
          <w:rFonts w:hint="default" w:ascii="仿宋" w:hAnsi="仿宋" w:eastAsia="仿宋" w:cs="仿宋"/>
          <w:color w:val="auto"/>
          <w:sz w:val="24"/>
          <w:szCs w:val="24"/>
          <w:highlight w:val="none"/>
          <w:lang w:val="en-US" w:eastAsia="zh-CN"/>
        </w:rPr>
        <w:t>。</w:t>
      </w:r>
    </w:p>
    <w:p w14:paraId="3D7D07B7">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修剪管理</w:t>
      </w:r>
    </w:p>
    <w:p w14:paraId="157F3106">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w:t>
      </w:r>
      <w:r>
        <w:rPr>
          <w:rFonts w:hint="default" w:ascii="仿宋" w:hAnsi="仿宋" w:eastAsia="仿宋" w:cs="仿宋"/>
          <w:color w:val="auto"/>
          <w:sz w:val="24"/>
          <w:szCs w:val="24"/>
          <w:highlight w:val="none"/>
          <w:lang w:val="en-US" w:eastAsia="zh-CN"/>
        </w:rPr>
        <w:t>修剪要求</w:t>
      </w:r>
    </w:p>
    <w:p w14:paraId="035D011B">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（1）园林树木修剪应依据园林绿化功能的需要和设计的要求，在不违背树木生长特性和自然分枝规律的前提下（特型树木除外），充分考虑树木与生长环境的关系，并根据树龄及生长势强弱进行修剪。</w:t>
      </w:r>
    </w:p>
    <w:p w14:paraId="3D089C6A">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（2）每年修剪树木前必须制定修剪技术方案，并对工人进行培训，待认真贯彻落实后方可进行操作，做到因地制宜、因树修剪。</w:t>
      </w:r>
    </w:p>
    <w:p w14:paraId="1ACB5F8D">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（3）自然型树木的修剪应以树木自然分枝习性所形成的树冠形状为基础进行修剪。</w:t>
      </w:r>
    </w:p>
    <w:p w14:paraId="42AF7E92">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（4）造型树木的修剪应根据园林绿化对树木的特定要求，适当控制树木部分枝干，按照绿化美化要求把树木剪成各种理想形态。</w:t>
      </w:r>
    </w:p>
    <w:p w14:paraId="407ED31E">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w:t>
      </w:r>
      <w:r>
        <w:rPr>
          <w:rFonts w:hint="default" w:ascii="仿宋" w:hAnsi="仿宋" w:eastAsia="仿宋" w:cs="仿宋"/>
          <w:color w:val="auto"/>
          <w:sz w:val="24"/>
          <w:szCs w:val="24"/>
          <w:highlight w:val="none"/>
          <w:lang w:val="en-US" w:eastAsia="zh-CN"/>
        </w:rPr>
        <w:t>园林树木修剪的时期</w:t>
      </w:r>
    </w:p>
    <w:p w14:paraId="583A91F9">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（1）园林树木可在休眠期和生长期进行修剪，但更新修剪必须在休眠期进行。</w:t>
      </w:r>
    </w:p>
    <w:p w14:paraId="702E25C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（2）有严重伤流和易流胶的树种应避开生长季和落叶后伤流严重期。</w:t>
      </w:r>
    </w:p>
    <w:p w14:paraId="52B814E6">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（3）抗寒性差的、易抽条的树种宜于早春进行。</w:t>
      </w:r>
    </w:p>
    <w:p w14:paraId="79670259">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（4）常绿树的修剪应避开生长旺盛期。</w:t>
      </w:r>
    </w:p>
    <w:p w14:paraId="1B4B40E7">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（5）绿篱、色块、球类等</w:t>
      </w:r>
      <w:r>
        <w:rPr>
          <w:rFonts w:hint="eastAsia" w:ascii="仿宋" w:hAnsi="仿宋" w:eastAsia="仿宋" w:cs="仿宋"/>
          <w:color w:val="auto"/>
          <w:sz w:val="24"/>
          <w:szCs w:val="24"/>
          <w:highlight w:val="none"/>
          <w:lang w:val="en-US" w:eastAsia="zh-CN"/>
        </w:rPr>
        <w:t>根据</w:t>
      </w:r>
      <w:r>
        <w:rPr>
          <w:rFonts w:hint="default" w:ascii="仿宋" w:hAnsi="仿宋" w:eastAsia="仿宋" w:cs="仿宋"/>
          <w:color w:val="auto"/>
          <w:sz w:val="24"/>
          <w:szCs w:val="24"/>
          <w:highlight w:val="none"/>
          <w:lang w:val="en-US" w:eastAsia="zh-CN"/>
        </w:rPr>
        <w:t>生长情况及时修剪</w:t>
      </w:r>
      <w:r>
        <w:rPr>
          <w:rFonts w:hint="eastAsia" w:ascii="仿宋" w:hAnsi="仿宋" w:eastAsia="仿宋" w:cs="仿宋"/>
          <w:color w:val="auto"/>
          <w:sz w:val="24"/>
          <w:szCs w:val="24"/>
          <w:highlight w:val="none"/>
          <w:lang w:val="en-US" w:eastAsia="zh-CN"/>
        </w:rPr>
        <w:t>。</w:t>
      </w:r>
    </w:p>
    <w:p w14:paraId="64766FAE">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w:t>
      </w:r>
      <w:r>
        <w:rPr>
          <w:rFonts w:hint="default" w:ascii="仿宋" w:hAnsi="仿宋" w:eastAsia="仿宋" w:cs="仿宋"/>
          <w:color w:val="auto"/>
          <w:sz w:val="24"/>
          <w:szCs w:val="24"/>
          <w:highlight w:val="none"/>
          <w:lang w:val="en-US" w:eastAsia="zh-CN"/>
        </w:rPr>
        <w:t>乔木的整形修剪</w:t>
      </w:r>
    </w:p>
    <w:p w14:paraId="712A4DD5">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（1）凡主轴明显的树种，修剪时应注意保护中央领导枝，使其向上直立生长；原中央领导枝受损、折断，应利用顶端侧枝重新培养新的领导枝。</w:t>
      </w:r>
    </w:p>
    <w:p w14:paraId="34DCB75E">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（2）应逐年调整树干与树冠的合理比例。同一树龄和品种的林地，分枝点高度应基本一致。</w:t>
      </w:r>
    </w:p>
    <w:p w14:paraId="3D3C3349">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（3）针叶树应剪除基部</w:t>
      </w:r>
      <w:r>
        <w:rPr>
          <w:rFonts w:hint="eastAsia" w:ascii="仿宋" w:hAnsi="仿宋" w:eastAsia="仿宋" w:cs="仿宋"/>
          <w:color w:val="auto"/>
          <w:sz w:val="24"/>
          <w:szCs w:val="24"/>
          <w:highlight w:val="none"/>
          <w:lang w:val="en-US" w:eastAsia="zh-CN"/>
        </w:rPr>
        <w:t>垂直</w:t>
      </w:r>
      <w:r>
        <w:rPr>
          <w:rFonts w:hint="default" w:ascii="仿宋" w:hAnsi="仿宋" w:eastAsia="仿宋" w:cs="仿宋"/>
          <w:color w:val="auto"/>
          <w:sz w:val="24"/>
          <w:szCs w:val="24"/>
          <w:highlight w:val="none"/>
          <w:lang w:val="en-US" w:eastAsia="zh-CN"/>
        </w:rPr>
        <w:t>枝条，随树木生长可根据需要逐步提高分枝点，并保护主尖直立向上生长。</w:t>
      </w:r>
    </w:p>
    <w:p w14:paraId="25EDDDCE">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5.4</w:t>
      </w:r>
      <w:r>
        <w:rPr>
          <w:rFonts w:hint="default" w:ascii="仿宋" w:hAnsi="仿宋" w:eastAsia="仿宋" w:cs="仿宋"/>
          <w:color w:val="auto"/>
          <w:sz w:val="24"/>
          <w:szCs w:val="24"/>
          <w:highlight w:val="none"/>
          <w:lang w:val="en-US" w:eastAsia="zh-CN"/>
        </w:rPr>
        <w:t>花灌木修剪</w:t>
      </w:r>
    </w:p>
    <w:p w14:paraId="56B7E7FD">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（1）花灌木造型修剪应使</w:t>
      </w:r>
      <w:r>
        <w:rPr>
          <w:rFonts w:hint="eastAsia" w:ascii="仿宋" w:hAnsi="仿宋" w:eastAsia="仿宋" w:cs="仿宋"/>
          <w:color w:val="auto"/>
          <w:sz w:val="24"/>
          <w:szCs w:val="24"/>
          <w:highlight w:val="none"/>
          <w:lang w:val="en-US" w:eastAsia="zh-CN"/>
        </w:rPr>
        <w:t>树形</w:t>
      </w:r>
      <w:r>
        <w:rPr>
          <w:rFonts w:hint="default" w:ascii="仿宋" w:hAnsi="仿宋" w:eastAsia="仿宋" w:cs="仿宋"/>
          <w:color w:val="auto"/>
          <w:sz w:val="24"/>
          <w:szCs w:val="24"/>
          <w:highlight w:val="none"/>
          <w:lang w:val="en-US" w:eastAsia="zh-CN"/>
        </w:rPr>
        <w:t>内高外低，形成自然丰满的圆头形或半圆形</w:t>
      </w:r>
      <w:r>
        <w:rPr>
          <w:rFonts w:hint="eastAsia" w:ascii="仿宋" w:hAnsi="仿宋" w:eastAsia="仿宋" w:cs="仿宋"/>
          <w:color w:val="auto"/>
          <w:sz w:val="24"/>
          <w:szCs w:val="24"/>
          <w:highlight w:val="none"/>
          <w:lang w:val="en-US" w:eastAsia="zh-CN"/>
        </w:rPr>
        <w:t>树形</w:t>
      </w:r>
      <w:r>
        <w:rPr>
          <w:rFonts w:hint="default" w:ascii="仿宋" w:hAnsi="仿宋" w:eastAsia="仿宋" w:cs="仿宋"/>
          <w:color w:val="auto"/>
          <w:sz w:val="24"/>
          <w:szCs w:val="24"/>
          <w:highlight w:val="none"/>
          <w:lang w:val="en-US" w:eastAsia="zh-CN"/>
        </w:rPr>
        <w:t>。</w:t>
      </w:r>
    </w:p>
    <w:p w14:paraId="362D074F">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（2）花灌木内膛小枝应适量疏剪，强壮枝应进行适当短截，下垂细弱枝及地表萌生的地蘖应彻底疏除。</w:t>
      </w:r>
    </w:p>
    <w:p w14:paraId="3B929DC2">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（3）栽种多年的丛生灌木逐年更新衰老枝，疏剪内膛密生枝，培育新枝。栽植多年的有主干的灌木，每年应采取交替回缩主枝控制树冠的剪法，防止树势上强下弱。</w:t>
      </w:r>
    </w:p>
    <w:p w14:paraId="7219D6EC">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（4）生长于树冠外的徒长枝，应及时疏除或早短截，促生二次枝。</w:t>
      </w:r>
    </w:p>
    <w:p w14:paraId="59D977FA">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（5）花落后形成的残花、残果，若无观赏价值或其他需要的宜尽早剪除。</w:t>
      </w:r>
    </w:p>
    <w:p w14:paraId="6DB8E4C5">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（6）成片栽植的灌木丛，修剪时应形成中间高四周低或前面低后面高的丛形。</w:t>
      </w:r>
    </w:p>
    <w:p w14:paraId="2567DDD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（7）多品种栽植的灌木丛，修剪时应突出主栽品种，并留出适当生长空间。</w:t>
      </w:r>
    </w:p>
    <w:p w14:paraId="7BA1305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（8）造型的花灌木修剪应保持</w:t>
      </w:r>
      <w:r>
        <w:rPr>
          <w:rFonts w:hint="eastAsia" w:ascii="仿宋" w:hAnsi="仿宋" w:eastAsia="仿宋" w:cs="仿宋"/>
          <w:color w:val="auto"/>
          <w:sz w:val="24"/>
          <w:szCs w:val="24"/>
          <w:highlight w:val="none"/>
          <w:lang w:val="en-US" w:eastAsia="zh-CN"/>
        </w:rPr>
        <w:t>外形</w:t>
      </w:r>
      <w:r>
        <w:rPr>
          <w:rFonts w:hint="default" w:ascii="仿宋" w:hAnsi="仿宋" w:eastAsia="仿宋" w:cs="仿宋"/>
          <w:color w:val="auto"/>
          <w:sz w:val="24"/>
          <w:szCs w:val="24"/>
          <w:highlight w:val="none"/>
          <w:lang w:val="en-US" w:eastAsia="zh-CN"/>
        </w:rPr>
        <w:t>轮廓清楚，外缘枝叶紧密。</w:t>
      </w:r>
    </w:p>
    <w:p w14:paraId="6436493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（9）花灌木修剪应特别注意：</w:t>
      </w:r>
    </w:p>
    <w:p w14:paraId="0EE0014E">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①当年生枝条开花灌木休眠期修剪时，为控制树木高度，对于生长健壮枝条应在保留3个</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5个芽处短截，促发新枝；一年可数次开花灌木，花落后应及时剪去残花，冬季休眠阶段进行剪枝处理，帮助过冬。</w:t>
      </w:r>
    </w:p>
    <w:p w14:paraId="1910529C">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②一年生枝条开花灌木休眠期适当整形修剪，生长季花落后10天-15天将已开花枝条进行中度或重度短截，疏剪过密枝，以利来年促生健壮新枝。</w:t>
      </w:r>
    </w:p>
    <w:p w14:paraId="5802C7F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③多年生枝条开花灌木应注意培育和保护老枝，剪除干扰</w:t>
      </w:r>
      <w:r>
        <w:rPr>
          <w:rFonts w:hint="eastAsia" w:ascii="仿宋" w:hAnsi="仿宋" w:eastAsia="仿宋" w:cs="仿宋"/>
          <w:color w:val="auto"/>
          <w:sz w:val="24"/>
          <w:szCs w:val="24"/>
          <w:highlight w:val="none"/>
          <w:lang w:val="en-US" w:eastAsia="zh-CN"/>
        </w:rPr>
        <w:t>树形</w:t>
      </w:r>
      <w:r>
        <w:rPr>
          <w:rFonts w:hint="default" w:ascii="仿宋" w:hAnsi="仿宋" w:eastAsia="仿宋" w:cs="仿宋"/>
          <w:color w:val="auto"/>
          <w:sz w:val="24"/>
          <w:szCs w:val="24"/>
          <w:highlight w:val="none"/>
          <w:lang w:val="en-US" w:eastAsia="zh-CN"/>
        </w:rPr>
        <w:t>并影响通风透光的过密枝、弱枝、枯枝或病虫枝。</w:t>
      </w:r>
    </w:p>
    <w:p w14:paraId="2212847D">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w:t>
      </w:r>
      <w:r>
        <w:rPr>
          <w:rFonts w:hint="default" w:ascii="仿宋" w:hAnsi="仿宋" w:eastAsia="仿宋" w:cs="仿宋"/>
          <w:color w:val="auto"/>
          <w:sz w:val="24"/>
          <w:szCs w:val="24"/>
          <w:highlight w:val="none"/>
          <w:lang w:val="en-US" w:eastAsia="zh-CN"/>
        </w:rPr>
        <w:t>绿篱修剪</w:t>
      </w:r>
    </w:p>
    <w:p w14:paraId="43442B7B">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（1）修剪应使绿篱及色带轮廓清楚、线条整齐、顶面平整、高度一致，侧面上下垂直或上窄下宽。</w:t>
      </w:r>
    </w:p>
    <w:p w14:paraId="304B837C">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（2）绿篱及色带每次修剪高度较前一次修剪应提高1cm。</w:t>
      </w:r>
    </w:p>
    <w:p w14:paraId="2879BE55">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（3）修剪后残留绿篱面的枝叶应及时清除干净。</w:t>
      </w:r>
    </w:p>
    <w:p w14:paraId="0CE3EB1F">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w:t>
      </w:r>
      <w:r>
        <w:rPr>
          <w:rFonts w:hint="default" w:ascii="仿宋" w:hAnsi="仿宋" w:eastAsia="仿宋" w:cs="仿宋"/>
          <w:color w:val="auto"/>
          <w:sz w:val="24"/>
          <w:szCs w:val="24"/>
          <w:highlight w:val="none"/>
          <w:lang w:val="en-US" w:eastAsia="zh-CN"/>
        </w:rPr>
        <w:t>藤本修剪</w:t>
      </w:r>
    </w:p>
    <w:p w14:paraId="660CDBBA">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（1）吸附类藤本，应在生长季剪去未能吸附墙体而下垂的枝条，未完全覆盖的植物应短截空隙周围枝条，以便发生副梢，填补空缺。</w:t>
      </w:r>
    </w:p>
    <w:p w14:paraId="4752F85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（2）钩刺类藤本，可按灌木修剪方法疏枝；生长到一定程度，树势衰弱时，应进行回缩修剪，强壮树势。</w:t>
      </w:r>
    </w:p>
    <w:p w14:paraId="75F72FFC">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（3）生长于棚架的藤本，落叶后应疏剪过密枝条，清除枯死枝，使枝条均匀分布架面。</w:t>
      </w:r>
    </w:p>
    <w:p w14:paraId="64B71D4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（4）成年和老年藤本应常疏枝，并适当进行回缩修剪。</w:t>
      </w:r>
    </w:p>
    <w:p w14:paraId="05781FBF">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5.7</w:t>
      </w:r>
      <w:r>
        <w:rPr>
          <w:rFonts w:hint="default" w:ascii="仿宋" w:hAnsi="仿宋" w:eastAsia="仿宋" w:cs="仿宋"/>
          <w:color w:val="auto"/>
          <w:sz w:val="24"/>
          <w:szCs w:val="24"/>
          <w:highlight w:val="none"/>
          <w:lang w:val="en-US" w:eastAsia="zh-CN"/>
        </w:rPr>
        <w:t>园林树木修剪时，落叶树一般不留橛，针叶树应留1cm</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2cm长的橛。修剪的剪口必须平滑，不得劈裂，并注意留芽的方位。直径超过4cm以上的剪锯口，应用刀削平，涂抹防腐剂促进伤口愈合。</w:t>
      </w:r>
    </w:p>
    <w:p w14:paraId="74FD2CDD">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施肥管理</w:t>
      </w:r>
      <w:r>
        <w:rPr>
          <w:rFonts w:hint="eastAsia" w:ascii="仿宋" w:hAnsi="仿宋" w:eastAsia="仿宋" w:cs="仿宋"/>
          <w:color w:val="auto"/>
          <w:sz w:val="24"/>
          <w:szCs w:val="24"/>
          <w:highlight w:val="none"/>
          <w:lang w:val="en-US" w:eastAsia="zh-CN"/>
        </w:rPr>
        <w:t>（按需进行施肥</w:t>
      </w:r>
      <w:r>
        <w:rPr>
          <w:rFonts w:hint="default" w:ascii="仿宋" w:hAnsi="仿宋" w:eastAsia="仿宋" w:cs="仿宋"/>
          <w:color w:val="auto"/>
          <w:sz w:val="24"/>
          <w:szCs w:val="24"/>
          <w:highlight w:val="none"/>
          <w:lang w:val="en-US" w:eastAsia="zh-CN"/>
        </w:rPr>
        <w:t>）。</w:t>
      </w:r>
    </w:p>
    <w:p w14:paraId="7D8F6067">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w:t>
      </w:r>
      <w:r>
        <w:rPr>
          <w:rFonts w:hint="default" w:ascii="仿宋" w:hAnsi="仿宋" w:eastAsia="仿宋" w:cs="仿宋"/>
          <w:color w:val="auto"/>
          <w:sz w:val="24"/>
          <w:szCs w:val="24"/>
          <w:highlight w:val="none"/>
          <w:lang w:val="en-US" w:eastAsia="zh-CN"/>
        </w:rPr>
        <w:t>应根据园林树木生长需要和土壤肥力情况，合理施肥，平衡土壤中各种矿质营养元素，保持土壤肥力和合理结构。</w:t>
      </w:r>
    </w:p>
    <w:p w14:paraId="0E45E63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w:t>
      </w:r>
      <w:r>
        <w:rPr>
          <w:rFonts w:hint="default" w:ascii="仿宋" w:hAnsi="仿宋" w:eastAsia="仿宋" w:cs="仿宋"/>
          <w:color w:val="auto"/>
          <w:sz w:val="24"/>
          <w:szCs w:val="24"/>
          <w:highlight w:val="none"/>
          <w:lang w:val="en-US" w:eastAsia="zh-CN"/>
        </w:rPr>
        <w:t>在树木休眠期以有机肥为主，在与土壤拌匀后，采用穴施、环施和放射状沟施等方法。施肥后踏实，并平整场地。</w:t>
      </w:r>
    </w:p>
    <w:p w14:paraId="56F84F0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6.3</w:t>
      </w:r>
      <w:r>
        <w:rPr>
          <w:rFonts w:hint="default" w:ascii="仿宋" w:hAnsi="仿宋" w:eastAsia="仿宋" w:cs="仿宋"/>
          <w:color w:val="auto"/>
          <w:sz w:val="24"/>
          <w:szCs w:val="24"/>
          <w:highlight w:val="none"/>
          <w:lang w:val="en-US" w:eastAsia="zh-CN"/>
        </w:rPr>
        <w:t>在树木生长季节可根据需要，进行土壤追肥或叶面喷肥。</w:t>
      </w:r>
    </w:p>
    <w:p w14:paraId="53197A89">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w:t>
      </w:r>
      <w:r>
        <w:rPr>
          <w:rFonts w:hint="default" w:ascii="仿宋" w:hAnsi="仿宋" w:eastAsia="仿宋" w:cs="仿宋"/>
          <w:color w:val="auto"/>
          <w:sz w:val="24"/>
          <w:szCs w:val="24"/>
          <w:highlight w:val="none"/>
          <w:lang w:val="en-US" w:eastAsia="zh-CN"/>
        </w:rPr>
        <w:t>园林树木施肥量应根据树木大小、肥料种类及土壤肥力状况而定。</w:t>
      </w:r>
    </w:p>
    <w:p w14:paraId="297B85A9">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施用时要用量准确，并充分粉碎，与土壤混合后要撒施均匀，随即浇水，严禁肥料裸露。</w:t>
      </w:r>
    </w:p>
    <w:p w14:paraId="651D582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w:t>
      </w:r>
      <w:r>
        <w:rPr>
          <w:rFonts w:hint="default" w:ascii="仿宋" w:hAnsi="仿宋" w:eastAsia="仿宋" w:cs="仿宋"/>
          <w:color w:val="auto"/>
          <w:sz w:val="24"/>
          <w:szCs w:val="24"/>
          <w:highlight w:val="none"/>
          <w:lang w:val="en-US" w:eastAsia="zh-CN"/>
        </w:rPr>
        <w:t>用铁篦子等完全封闭的树堰，应预留专门的灌溉和施肥口。</w:t>
      </w:r>
    </w:p>
    <w:p w14:paraId="50ADD0EF">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施肥方法：环施、沟施、穴施、撒施、叶面喷肥。穴施：在树冠正投影线的边缘挖掘单个树穴，将肥料施入后覆土踏实至与地面平。环施：沿树干正投影线外缘开挖30</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40cm的环状沟，将肥料施入沟内覆土踏实至与地面平。放射状沟施：以树干为中心向外挖4</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6条渐远渐深的沟，将肥料施入沟内覆土踏实至与地面平。叶面施肥：将喷施肥料配成药液，均匀喷洒在植物叶片表面。</w:t>
      </w:r>
    </w:p>
    <w:p w14:paraId="00EEE17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default" w:ascii="仿宋" w:hAnsi="仿宋" w:eastAsia="仿宋" w:cs="仿宋"/>
          <w:color w:val="auto"/>
          <w:sz w:val="24"/>
          <w:szCs w:val="24"/>
          <w:highlight w:val="none"/>
          <w:lang w:val="en-US" w:eastAsia="zh-CN"/>
        </w:rPr>
        <w:t>苗木补植</w:t>
      </w:r>
    </w:p>
    <w:p w14:paraId="742CE677">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w:t>
      </w:r>
      <w:r>
        <w:rPr>
          <w:rFonts w:hint="default" w:ascii="仿宋" w:hAnsi="仿宋" w:eastAsia="仿宋" w:cs="仿宋"/>
          <w:color w:val="auto"/>
          <w:sz w:val="24"/>
          <w:szCs w:val="24"/>
          <w:highlight w:val="none"/>
          <w:lang w:val="en-US" w:eastAsia="zh-CN"/>
        </w:rPr>
        <w:t>对人为造成的裸露地，及时补植苗木；</w:t>
      </w:r>
    </w:p>
    <w:p w14:paraId="18C9E41E">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w:t>
      </w:r>
      <w:r>
        <w:rPr>
          <w:rFonts w:hint="default" w:ascii="仿宋" w:hAnsi="仿宋" w:eastAsia="仿宋" w:cs="仿宋"/>
          <w:color w:val="auto"/>
          <w:sz w:val="24"/>
          <w:szCs w:val="24"/>
          <w:highlight w:val="none"/>
          <w:lang w:val="en-US" w:eastAsia="zh-CN"/>
        </w:rPr>
        <w:t>草坪内出现超过2平方米裸露地时应及时补植；</w:t>
      </w:r>
    </w:p>
    <w:p w14:paraId="46D569CF">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w:t>
      </w:r>
      <w:r>
        <w:rPr>
          <w:rFonts w:hint="default" w:ascii="仿宋" w:hAnsi="仿宋" w:eastAsia="仿宋" w:cs="仿宋"/>
          <w:color w:val="auto"/>
          <w:sz w:val="24"/>
          <w:szCs w:val="24"/>
          <w:highlight w:val="none"/>
          <w:lang w:val="en-US" w:eastAsia="zh-CN"/>
        </w:rPr>
        <w:t>绿篱要保持完整，不得出现断垄现象；</w:t>
      </w:r>
    </w:p>
    <w:p w14:paraId="0D8C74D7">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w:t>
      </w:r>
      <w:r>
        <w:rPr>
          <w:rFonts w:hint="default" w:ascii="仿宋" w:hAnsi="仿宋" w:eastAsia="仿宋" w:cs="仿宋"/>
          <w:color w:val="auto"/>
          <w:sz w:val="24"/>
          <w:szCs w:val="24"/>
          <w:highlight w:val="none"/>
          <w:lang w:val="en-US" w:eastAsia="zh-CN"/>
        </w:rPr>
        <w:t>因管理不善造成的缺苗，应及时补齐</w:t>
      </w:r>
      <w:r>
        <w:rPr>
          <w:rFonts w:hint="eastAsia" w:ascii="仿宋" w:hAnsi="仿宋" w:eastAsia="仿宋" w:cs="仿宋"/>
          <w:color w:val="auto"/>
          <w:sz w:val="24"/>
          <w:szCs w:val="24"/>
          <w:highlight w:val="none"/>
          <w:lang w:val="en-US" w:eastAsia="zh-CN"/>
        </w:rPr>
        <w:t>；</w:t>
      </w:r>
    </w:p>
    <w:p w14:paraId="70DA965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7.5苗木死亡补植时限要求：死树3日内清理，7日内完成补植，且保活期</w:t>
      </w:r>
      <w:r>
        <w:rPr>
          <w:rFonts w:hint="default" w:ascii="Arial" w:hAnsi="Arial" w:eastAsia="仿宋" w:cs="Arial"/>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1年</w:t>
      </w:r>
      <w:r>
        <w:rPr>
          <w:rFonts w:hint="default" w:ascii="仿宋" w:hAnsi="仿宋" w:eastAsia="仿宋" w:cs="仿宋"/>
          <w:color w:val="auto"/>
          <w:sz w:val="24"/>
          <w:szCs w:val="24"/>
          <w:highlight w:val="none"/>
          <w:lang w:val="en-US" w:eastAsia="zh-CN"/>
        </w:rPr>
        <w:t>。</w:t>
      </w:r>
    </w:p>
    <w:p w14:paraId="5DAAFBD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default" w:ascii="仿宋" w:hAnsi="仿宋" w:eastAsia="仿宋" w:cs="仿宋"/>
          <w:color w:val="auto"/>
          <w:sz w:val="24"/>
          <w:szCs w:val="24"/>
          <w:highlight w:val="none"/>
          <w:lang w:val="en-US" w:eastAsia="zh-CN"/>
        </w:rPr>
        <w:t>防护</w:t>
      </w:r>
    </w:p>
    <w:p w14:paraId="0318708A">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w:t>
      </w:r>
      <w:r>
        <w:rPr>
          <w:rFonts w:hint="default" w:ascii="仿宋" w:hAnsi="仿宋" w:eastAsia="仿宋" w:cs="仿宋"/>
          <w:color w:val="auto"/>
          <w:sz w:val="24"/>
          <w:szCs w:val="24"/>
          <w:highlight w:val="none"/>
          <w:lang w:val="en-US" w:eastAsia="zh-CN"/>
        </w:rPr>
        <w:t>对不耐寒的树种和树势较弱的植株应分别采取不同防寒措施</w:t>
      </w:r>
      <w:r>
        <w:rPr>
          <w:rFonts w:hint="eastAsia" w:ascii="仿宋" w:hAnsi="仿宋" w:eastAsia="仿宋" w:cs="仿宋"/>
          <w:color w:val="auto"/>
          <w:sz w:val="24"/>
          <w:szCs w:val="24"/>
          <w:highlight w:val="none"/>
          <w:lang w:val="en-US" w:eastAsia="zh-CN"/>
        </w:rPr>
        <w:t>：</w:t>
      </w:r>
    </w:p>
    <w:p w14:paraId="3133F56B">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对</w:t>
      </w:r>
      <w:r>
        <w:rPr>
          <w:rFonts w:hint="eastAsia" w:ascii="仿宋" w:hAnsi="仿宋" w:eastAsia="仿宋" w:cs="仿宋"/>
          <w:color w:val="auto"/>
          <w:sz w:val="24"/>
          <w:szCs w:val="24"/>
          <w:highlight w:val="none"/>
          <w:lang w:val="en-US" w:eastAsia="zh-CN"/>
        </w:rPr>
        <w:t>不耐寒</w:t>
      </w:r>
      <w:r>
        <w:rPr>
          <w:rFonts w:hint="default" w:ascii="仿宋" w:hAnsi="仿宋" w:eastAsia="仿宋" w:cs="仿宋"/>
          <w:color w:val="auto"/>
          <w:sz w:val="24"/>
          <w:szCs w:val="24"/>
          <w:highlight w:val="none"/>
          <w:lang w:val="en-US" w:eastAsia="zh-CN"/>
        </w:rPr>
        <w:t>苗木进行防寒保温处理，确保苗木安全越冬。</w:t>
      </w:r>
    </w:p>
    <w:p w14:paraId="27FA47C5">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涂白宜在秋季气温转变时涂抹，这样可防止植物被日灼、冻害及病虫害；涂白的配料要严格按照要求的配比进行混合，以避免造成</w:t>
      </w:r>
      <w:r>
        <w:rPr>
          <w:rFonts w:hint="eastAsia" w:ascii="仿宋" w:hAnsi="仿宋" w:eastAsia="仿宋" w:cs="仿宋"/>
          <w:color w:val="auto"/>
          <w:sz w:val="24"/>
          <w:szCs w:val="24"/>
          <w:highlight w:val="none"/>
          <w:lang w:val="en-US" w:eastAsia="zh-CN"/>
        </w:rPr>
        <w:t>浪费</w:t>
      </w:r>
      <w:r>
        <w:rPr>
          <w:rFonts w:hint="default" w:ascii="仿宋" w:hAnsi="仿宋" w:eastAsia="仿宋" w:cs="仿宋"/>
          <w:color w:val="auto"/>
          <w:sz w:val="24"/>
          <w:szCs w:val="24"/>
          <w:highlight w:val="none"/>
          <w:lang w:val="en-US" w:eastAsia="zh-CN"/>
        </w:rPr>
        <w:t>；涂白时应注意高度一致。</w:t>
      </w:r>
    </w:p>
    <w:p w14:paraId="590FBCF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w:t>
      </w:r>
      <w:r>
        <w:rPr>
          <w:rFonts w:hint="default" w:ascii="仿宋" w:hAnsi="仿宋" w:eastAsia="仿宋" w:cs="仿宋"/>
          <w:color w:val="auto"/>
          <w:sz w:val="24"/>
          <w:szCs w:val="24"/>
          <w:highlight w:val="none"/>
          <w:lang w:val="en-US" w:eastAsia="zh-CN"/>
        </w:rPr>
        <w:t>对不耐</w:t>
      </w:r>
      <w:r>
        <w:rPr>
          <w:rFonts w:hint="eastAsia" w:ascii="仿宋" w:hAnsi="仿宋" w:eastAsia="仿宋" w:cs="仿宋"/>
          <w:color w:val="auto"/>
          <w:sz w:val="24"/>
          <w:szCs w:val="24"/>
          <w:highlight w:val="none"/>
          <w:lang w:val="en-US" w:eastAsia="zh-CN"/>
        </w:rPr>
        <w:t>热</w:t>
      </w:r>
      <w:r>
        <w:rPr>
          <w:rFonts w:hint="default" w:ascii="仿宋" w:hAnsi="仿宋" w:eastAsia="仿宋" w:cs="仿宋"/>
          <w:color w:val="auto"/>
          <w:sz w:val="24"/>
          <w:szCs w:val="24"/>
          <w:highlight w:val="none"/>
          <w:lang w:val="en-US" w:eastAsia="zh-CN"/>
        </w:rPr>
        <w:t>的树种和树势较弱的植株应分别采取不同</w:t>
      </w:r>
      <w:r>
        <w:rPr>
          <w:rFonts w:hint="eastAsia" w:ascii="仿宋" w:hAnsi="仿宋" w:eastAsia="仿宋" w:cs="仿宋"/>
          <w:color w:val="auto"/>
          <w:sz w:val="24"/>
          <w:szCs w:val="24"/>
          <w:highlight w:val="none"/>
          <w:lang w:val="en-US" w:eastAsia="zh-CN"/>
        </w:rPr>
        <w:t>防晒</w:t>
      </w:r>
      <w:r>
        <w:rPr>
          <w:rFonts w:hint="default" w:ascii="仿宋" w:hAnsi="仿宋" w:eastAsia="仿宋" w:cs="仿宋"/>
          <w:color w:val="auto"/>
          <w:sz w:val="24"/>
          <w:szCs w:val="24"/>
          <w:highlight w:val="none"/>
          <w:lang w:val="en-US" w:eastAsia="zh-CN"/>
        </w:rPr>
        <w:t>措施。</w:t>
      </w:r>
      <w:r>
        <w:rPr>
          <w:rFonts w:hint="eastAsia" w:ascii="仿宋" w:hAnsi="仿宋" w:eastAsia="仿宋" w:cs="仿宋"/>
          <w:color w:val="auto"/>
          <w:sz w:val="24"/>
          <w:szCs w:val="24"/>
          <w:highlight w:val="none"/>
          <w:lang w:val="en-US" w:eastAsia="zh-CN"/>
        </w:rPr>
        <w:t>必要时使用有机营养剂。</w:t>
      </w:r>
    </w:p>
    <w:p w14:paraId="7DEFDAD7">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default" w:ascii="仿宋" w:hAnsi="仿宋" w:eastAsia="仿宋" w:cs="仿宋"/>
          <w:color w:val="auto"/>
          <w:sz w:val="24"/>
          <w:szCs w:val="24"/>
          <w:highlight w:val="none"/>
          <w:lang w:val="en-US" w:eastAsia="zh-CN"/>
        </w:rPr>
        <w:t>花卉管理</w:t>
      </w:r>
    </w:p>
    <w:p w14:paraId="409A682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9.1</w:t>
      </w:r>
      <w:r>
        <w:rPr>
          <w:rFonts w:hint="default" w:ascii="仿宋" w:hAnsi="仿宋" w:eastAsia="仿宋" w:cs="仿宋"/>
          <w:color w:val="auto"/>
          <w:sz w:val="24"/>
          <w:szCs w:val="24"/>
          <w:highlight w:val="none"/>
          <w:lang w:val="en-US" w:eastAsia="zh-CN"/>
        </w:rPr>
        <w:t>时令花卉。按照甲方要求标准及品种每年保持不</w:t>
      </w:r>
      <w:r>
        <w:rPr>
          <w:rFonts w:hint="eastAsia" w:ascii="仿宋" w:hAnsi="仿宋" w:eastAsia="仿宋" w:cs="仿宋"/>
          <w:color w:val="auto"/>
          <w:sz w:val="24"/>
          <w:szCs w:val="24"/>
          <w:highlight w:val="none"/>
          <w:lang w:val="en-US" w:eastAsia="zh-CN"/>
        </w:rPr>
        <w:t>少于5</w:t>
      </w:r>
      <w:r>
        <w:rPr>
          <w:rFonts w:hint="default" w:ascii="仿宋" w:hAnsi="仿宋" w:eastAsia="仿宋" w:cs="仿宋"/>
          <w:color w:val="auto"/>
          <w:sz w:val="24"/>
          <w:szCs w:val="24"/>
          <w:highlight w:val="none"/>
          <w:lang w:val="en-US" w:eastAsia="zh-CN"/>
        </w:rPr>
        <w:t>次的更换和栽植，并保持花繁色艳。布置效果：按设计精心养护，做到四季有花，花期整齐，布置效果好</w:t>
      </w:r>
      <w:r>
        <w:rPr>
          <w:rFonts w:hint="eastAsia" w:ascii="仿宋" w:hAnsi="仿宋" w:eastAsia="仿宋" w:cs="仿宋"/>
          <w:color w:val="auto"/>
          <w:sz w:val="24"/>
          <w:szCs w:val="24"/>
          <w:highlight w:val="none"/>
          <w:lang w:val="en-US" w:eastAsia="zh-CN"/>
        </w:rPr>
        <w:t>。</w:t>
      </w:r>
    </w:p>
    <w:p w14:paraId="0F2928BB">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9.2</w:t>
      </w:r>
      <w:r>
        <w:rPr>
          <w:rFonts w:hint="default" w:ascii="仿宋" w:hAnsi="仿宋" w:eastAsia="仿宋" w:cs="仿宋"/>
          <w:color w:val="auto"/>
          <w:sz w:val="24"/>
          <w:szCs w:val="24"/>
          <w:highlight w:val="none"/>
          <w:lang w:val="en-US" w:eastAsia="zh-CN"/>
        </w:rPr>
        <w:t>宿根花卉。在萌芽前应剪除上年残留枯枝、枯叶；及时浇水，应特别注意返青水和冻水的浇灌时期和灌水量</w:t>
      </w:r>
      <w:r>
        <w:rPr>
          <w:rFonts w:hint="eastAsia" w:ascii="仿宋" w:hAnsi="仿宋" w:eastAsia="仿宋" w:cs="仿宋"/>
          <w:color w:val="auto"/>
          <w:sz w:val="24"/>
          <w:szCs w:val="24"/>
          <w:highlight w:val="none"/>
          <w:lang w:val="en-US" w:eastAsia="zh-CN"/>
        </w:rPr>
        <w:t>。</w:t>
      </w:r>
    </w:p>
    <w:p w14:paraId="5D916EC9">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9.3</w:t>
      </w:r>
      <w:r>
        <w:rPr>
          <w:rFonts w:hint="default" w:ascii="仿宋" w:hAnsi="仿宋" w:eastAsia="仿宋" w:cs="仿宋"/>
          <w:color w:val="auto"/>
          <w:sz w:val="24"/>
          <w:szCs w:val="24"/>
          <w:highlight w:val="none"/>
          <w:lang w:val="en-US" w:eastAsia="zh-CN"/>
        </w:rPr>
        <w:t>及时除草，作业时不能伤根及造成根系裸露，宿根花卉萌芽期应特别注意保护新生嫩芽。</w:t>
      </w:r>
    </w:p>
    <w:p w14:paraId="7869A680">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9.4</w:t>
      </w:r>
      <w:r>
        <w:rPr>
          <w:rFonts w:hint="default" w:ascii="仿宋" w:hAnsi="仿宋" w:eastAsia="仿宋" w:cs="仿宋"/>
          <w:color w:val="auto"/>
          <w:sz w:val="24"/>
          <w:szCs w:val="24"/>
          <w:highlight w:val="none"/>
          <w:lang w:val="en-US" w:eastAsia="zh-CN"/>
        </w:rPr>
        <w:t>及时清理死苗，并按原品种、原规格补齐。</w:t>
      </w:r>
    </w:p>
    <w:p w14:paraId="5FF6A649">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9.5</w:t>
      </w:r>
      <w:r>
        <w:rPr>
          <w:rFonts w:hint="default" w:ascii="仿宋" w:hAnsi="仿宋" w:eastAsia="仿宋" w:cs="仿宋"/>
          <w:color w:val="auto"/>
          <w:sz w:val="24"/>
          <w:szCs w:val="24"/>
          <w:highlight w:val="none"/>
          <w:lang w:val="en-US" w:eastAsia="zh-CN"/>
        </w:rPr>
        <w:t>做好各类花卉病虫害的防治工作。及时清理株间的枯枝落叶，对病虫害早发现早治理。</w:t>
      </w:r>
    </w:p>
    <w:p w14:paraId="6820CAA8">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9.6</w:t>
      </w:r>
      <w:r>
        <w:rPr>
          <w:rFonts w:hint="default" w:ascii="仿宋" w:hAnsi="仿宋" w:eastAsia="仿宋" w:cs="仿宋"/>
          <w:color w:val="auto"/>
          <w:sz w:val="24"/>
          <w:szCs w:val="24"/>
          <w:highlight w:val="none"/>
          <w:lang w:val="en-US" w:eastAsia="zh-CN"/>
        </w:rPr>
        <w:t>对不耐寒的宿根花卉应分别采取覆土等不同防寒措施，确保安全越冬。</w:t>
      </w:r>
    </w:p>
    <w:p w14:paraId="1931409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default" w:ascii="仿宋" w:hAnsi="仿宋" w:eastAsia="仿宋" w:cs="仿宋"/>
          <w:color w:val="auto"/>
          <w:sz w:val="24"/>
          <w:szCs w:val="24"/>
          <w:highlight w:val="none"/>
          <w:lang w:val="en-US" w:eastAsia="zh-CN"/>
        </w:rPr>
        <w:t>草坪养护管理</w:t>
      </w:r>
    </w:p>
    <w:p w14:paraId="5867804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10.1</w:t>
      </w:r>
      <w:r>
        <w:rPr>
          <w:rFonts w:hint="default" w:ascii="仿宋" w:hAnsi="仿宋" w:eastAsia="仿宋" w:cs="仿宋"/>
          <w:color w:val="auto"/>
          <w:sz w:val="24"/>
          <w:szCs w:val="24"/>
          <w:highlight w:val="none"/>
          <w:lang w:val="en-US" w:eastAsia="zh-CN"/>
        </w:rPr>
        <w:t>草坪的养护管理，应在了解各草种生长习性的基础上，根据立地条件、草坪的功能进行。</w:t>
      </w:r>
    </w:p>
    <w:p w14:paraId="7D0F2272">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10.2</w:t>
      </w:r>
      <w:r>
        <w:rPr>
          <w:rFonts w:hint="default" w:ascii="仿宋" w:hAnsi="仿宋" w:eastAsia="仿宋" w:cs="仿宋"/>
          <w:color w:val="auto"/>
          <w:sz w:val="24"/>
          <w:szCs w:val="24"/>
          <w:highlight w:val="none"/>
          <w:lang w:val="en-US" w:eastAsia="zh-CN"/>
        </w:rPr>
        <w:t>草坪的修剪应根据不同草种的习性和观赏效果，进行定期修剪，使草的高度一致，边缘整齐。</w:t>
      </w:r>
    </w:p>
    <w:p w14:paraId="413B3BE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10.3</w:t>
      </w:r>
      <w:r>
        <w:rPr>
          <w:rFonts w:hint="default" w:ascii="仿宋" w:hAnsi="仿宋" w:eastAsia="仿宋" w:cs="仿宋"/>
          <w:color w:val="auto"/>
          <w:sz w:val="24"/>
          <w:szCs w:val="24"/>
          <w:highlight w:val="none"/>
          <w:lang w:val="en-US" w:eastAsia="zh-CN"/>
        </w:rPr>
        <w:t>剪草的高度依草种、季节、环境等因素而定。一次修剪高度原则上不大于草高的1/3。</w:t>
      </w:r>
    </w:p>
    <w:p w14:paraId="37701EFA">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10.4</w:t>
      </w:r>
      <w:r>
        <w:rPr>
          <w:rFonts w:hint="default" w:ascii="仿宋" w:hAnsi="仿宋" w:eastAsia="仿宋" w:cs="仿宋"/>
          <w:color w:val="auto"/>
          <w:sz w:val="24"/>
          <w:szCs w:val="24"/>
          <w:highlight w:val="none"/>
          <w:lang w:val="en-US" w:eastAsia="zh-CN"/>
        </w:rPr>
        <w:t>草坪植物的修剪次数依不同的草种、不同的管理水平和不同的环境条件来确定。</w:t>
      </w:r>
    </w:p>
    <w:p w14:paraId="75295AA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10.5</w:t>
      </w:r>
      <w:r>
        <w:rPr>
          <w:rFonts w:hint="default" w:ascii="仿宋" w:hAnsi="仿宋" w:eastAsia="仿宋" w:cs="仿宋"/>
          <w:color w:val="auto"/>
          <w:sz w:val="24"/>
          <w:szCs w:val="24"/>
          <w:highlight w:val="none"/>
          <w:lang w:val="en-US" w:eastAsia="zh-CN"/>
        </w:rPr>
        <w:t>暖季型草：草坪高度保持在5</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8cm；冷季型草：草坪高度保持在5</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8cm；剪股颖草：修剪要及时，高度保持在0.8</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1.5cm。</w:t>
      </w:r>
    </w:p>
    <w:p w14:paraId="6DA8D51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10.6</w:t>
      </w:r>
      <w:r>
        <w:rPr>
          <w:rFonts w:hint="default" w:ascii="仿宋" w:hAnsi="仿宋" w:eastAsia="仿宋" w:cs="仿宋"/>
          <w:color w:val="auto"/>
          <w:sz w:val="24"/>
          <w:szCs w:val="24"/>
          <w:highlight w:val="none"/>
          <w:lang w:val="en-US" w:eastAsia="zh-CN"/>
        </w:rPr>
        <w:t>草坪浇水，除土壤封冻期外，人工草坪应适时进行浇灌，每次要浇足浇透；11月下旬至12月上旬上冻前要浇足浇透冻水。</w:t>
      </w:r>
    </w:p>
    <w:p w14:paraId="2EB8C4DD">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10.7</w:t>
      </w:r>
      <w:r>
        <w:rPr>
          <w:rFonts w:hint="default" w:ascii="仿宋" w:hAnsi="仿宋" w:eastAsia="仿宋" w:cs="仿宋"/>
          <w:color w:val="auto"/>
          <w:sz w:val="24"/>
          <w:szCs w:val="24"/>
          <w:highlight w:val="none"/>
          <w:lang w:val="en-US" w:eastAsia="zh-CN"/>
        </w:rPr>
        <w:t>草坪雨季应注意排水，干热天气尤其是冷季型</w:t>
      </w:r>
      <w:r>
        <w:rPr>
          <w:rFonts w:hint="eastAsia" w:ascii="仿宋" w:hAnsi="仿宋" w:eastAsia="仿宋" w:cs="仿宋"/>
          <w:color w:val="auto"/>
          <w:sz w:val="24"/>
          <w:szCs w:val="24"/>
          <w:highlight w:val="none"/>
          <w:lang w:val="en-US" w:eastAsia="zh-CN"/>
        </w:rPr>
        <w:t>草坪</w:t>
      </w:r>
      <w:r>
        <w:rPr>
          <w:rFonts w:hint="default" w:ascii="仿宋" w:hAnsi="仿宋" w:eastAsia="仿宋" w:cs="仿宋"/>
          <w:color w:val="auto"/>
          <w:sz w:val="24"/>
          <w:szCs w:val="24"/>
          <w:highlight w:val="none"/>
          <w:lang w:val="en-US" w:eastAsia="zh-CN"/>
        </w:rPr>
        <w:t>适当喷水降温保护草地。</w:t>
      </w:r>
    </w:p>
    <w:p w14:paraId="39BCCBAD">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10.8</w:t>
      </w:r>
      <w:r>
        <w:rPr>
          <w:rFonts w:hint="default" w:ascii="仿宋" w:hAnsi="仿宋" w:eastAsia="仿宋" w:cs="仿宋"/>
          <w:color w:val="auto"/>
          <w:sz w:val="24"/>
          <w:szCs w:val="24"/>
          <w:highlight w:val="none"/>
          <w:lang w:val="en-US" w:eastAsia="zh-CN"/>
        </w:rPr>
        <w:t>施肥，草坪建植时应施基肥，之后每年应根据</w:t>
      </w:r>
      <w:r>
        <w:rPr>
          <w:rFonts w:hint="eastAsia" w:ascii="仿宋" w:hAnsi="仿宋" w:eastAsia="仿宋" w:cs="仿宋"/>
          <w:color w:val="auto"/>
          <w:sz w:val="24"/>
          <w:szCs w:val="24"/>
          <w:highlight w:val="none"/>
          <w:lang w:val="en-US" w:eastAsia="zh-CN"/>
        </w:rPr>
        <w:t>草坪</w:t>
      </w:r>
      <w:r>
        <w:rPr>
          <w:rFonts w:hint="default" w:ascii="仿宋" w:hAnsi="仿宋" w:eastAsia="仿宋" w:cs="仿宋"/>
          <w:color w:val="auto"/>
          <w:sz w:val="24"/>
          <w:szCs w:val="24"/>
          <w:highlight w:val="none"/>
          <w:lang w:val="en-US" w:eastAsia="zh-CN"/>
        </w:rPr>
        <w:t>的生长状况进行适当追肥，保持生长旺盛。</w:t>
      </w:r>
    </w:p>
    <w:p w14:paraId="706CE096">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10.9冬季小籽黑麦草由中标人负责采购及播种，一年进行一次播种，其价格包含在本次投标报价中。</w:t>
      </w:r>
    </w:p>
    <w:p w14:paraId="771E5DFF">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10.10</w:t>
      </w:r>
      <w:r>
        <w:rPr>
          <w:rFonts w:hint="default" w:ascii="仿宋" w:hAnsi="仿宋" w:eastAsia="仿宋" w:cs="仿宋"/>
          <w:color w:val="auto"/>
          <w:sz w:val="24"/>
          <w:szCs w:val="24"/>
          <w:highlight w:val="none"/>
          <w:lang w:val="en-US" w:eastAsia="zh-CN"/>
        </w:rPr>
        <w:t>除杂草管理</w:t>
      </w:r>
    </w:p>
    <w:p w14:paraId="2234C1F8">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（1）草坪要及时清除杂草，保持草坪纯度。</w:t>
      </w:r>
    </w:p>
    <w:p w14:paraId="3F53423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（2）使用除草剂必须慎重，应先试验，再应用。</w:t>
      </w:r>
    </w:p>
    <w:p w14:paraId="7B6D81BE">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（3）对被破坏或其他原因引起死亡的</w:t>
      </w:r>
      <w:r>
        <w:rPr>
          <w:rFonts w:hint="eastAsia" w:ascii="仿宋" w:hAnsi="仿宋" w:eastAsia="仿宋" w:cs="仿宋"/>
          <w:color w:val="auto"/>
          <w:sz w:val="24"/>
          <w:szCs w:val="24"/>
          <w:highlight w:val="none"/>
          <w:lang w:val="en-US" w:eastAsia="zh-CN"/>
        </w:rPr>
        <w:t>草坪</w:t>
      </w:r>
      <w:r>
        <w:rPr>
          <w:rFonts w:hint="default" w:ascii="仿宋" w:hAnsi="仿宋" w:eastAsia="仿宋" w:cs="仿宋"/>
          <w:color w:val="auto"/>
          <w:sz w:val="24"/>
          <w:szCs w:val="24"/>
          <w:highlight w:val="none"/>
          <w:lang w:val="en-US" w:eastAsia="zh-CN"/>
        </w:rPr>
        <w:t>应及时更换补植，使草坪保持完整，无裸露地面。</w:t>
      </w:r>
    </w:p>
    <w:p w14:paraId="1045F562">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（4）补植时应补种与原草坪相同的草种；适当密植，并加强管理养护，尽快与周围草坪一致。</w:t>
      </w:r>
    </w:p>
    <w:p w14:paraId="372854D9">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（5）三年生以上草坪应采取打孔透气、疏草等措施。</w:t>
      </w:r>
    </w:p>
    <w:p w14:paraId="5CD39BC7">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r>
        <w:rPr>
          <w:rFonts w:hint="default" w:ascii="仿宋" w:hAnsi="仿宋" w:eastAsia="仿宋" w:cs="仿宋"/>
          <w:color w:val="auto"/>
          <w:sz w:val="24"/>
          <w:szCs w:val="24"/>
          <w:highlight w:val="none"/>
          <w:lang w:val="en-US" w:eastAsia="zh-CN"/>
        </w:rPr>
        <w:t>地被养护管理</w:t>
      </w:r>
    </w:p>
    <w:p w14:paraId="15F67790">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1.1</w:t>
      </w:r>
      <w:r>
        <w:rPr>
          <w:rFonts w:hint="default" w:ascii="仿宋" w:hAnsi="仿宋" w:eastAsia="仿宋" w:cs="仿宋"/>
          <w:color w:val="auto"/>
          <w:sz w:val="24"/>
          <w:szCs w:val="24"/>
          <w:highlight w:val="none"/>
          <w:lang w:val="en-US" w:eastAsia="zh-CN"/>
        </w:rPr>
        <w:t>草本类地被植物养护管理参照草坪和花卉的养护管理。</w:t>
      </w:r>
    </w:p>
    <w:p w14:paraId="77226AB6">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w:t>
      </w:r>
      <w:r>
        <w:rPr>
          <w:rFonts w:hint="default" w:ascii="仿宋" w:hAnsi="仿宋" w:eastAsia="仿宋" w:cs="仿宋"/>
          <w:color w:val="auto"/>
          <w:sz w:val="24"/>
          <w:szCs w:val="24"/>
          <w:highlight w:val="none"/>
          <w:lang w:val="en-US" w:eastAsia="zh-CN"/>
        </w:rPr>
        <w:t>木本类地被植物养护管理技术措施参照园林树木的养护管理。</w:t>
      </w:r>
    </w:p>
    <w:p w14:paraId="0E41DAA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r>
        <w:rPr>
          <w:rFonts w:hint="default" w:ascii="仿宋" w:hAnsi="仿宋" w:eastAsia="仿宋" w:cs="仿宋"/>
          <w:color w:val="auto"/>
          <w:sz w:val="24"/>
          <w:szCs w:val="24"/>
          <w:highlight w:val="none"/>
          <w:lang w:val="en-US" w:eastAsia="zh-CN"/>
        </w:rPr>
        <w:t>苗木支撑管理</w:t>
      </w:r>
    </w:p>
    <w:p w14:paraId="0C8CDE37">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12.1</w:t>
      </w:r>
      <w:r>
        <w:rPr>
          <w:rFonts w:hint="default" w:ascii="仿宋" w:hAnsi="仿宋" w:eastAsia="仿宋" w:cs="仿宋"/>
          <w:color w:val="auto"/>
          <w:sz w:val="24"/>
          <w:szCs w:val="24"/>
          <w:highlight w:val="none"/>
          <w:lang w:val="en-US" w:eastAsia="zh-CN"/>
        </w:rPr>
        <w:t>达到三年的并长势旺盛非必要需支撑防护的，应及时清除。</w:t>
      </w:r>
    </w:p>
    <w:p w14:paraId="6F2BDC52">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12.2</w:t>
      </w:r>
      <w:r>
        <w:rPr>
          <w:rFonts w:hint="default" w:ascii="仿宋" w:hAnsi="仿宋" w:eastAsia="仿宋" w:cs="仿宋"/>
          <w:color w:val="auto"/>
          <w:sz w:val="24"/>
          <w:szCs w:val="24"/>
          <w:highlight w:val="none"/>
          <w:lang w:val="en-US" w:eastAsia="zh-CN"/>
        </w:rPr>
        <w:t>苗木无倒伏和倾斜现象，对缺失和松懈的支撑，应及时加固。</w:t>
      </w:r>
    </w:p>
    <w:p w14:paraId="183310AD">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12.3</w:t>
      </w:r>
      <w:r>
        <w:rPr>
          <w:rFonts w:hint="default" w:ascii="仿宋" w:hAnsi="仿宋" w:eastAsia="仿宋" w:cs="仿宋"/>
          <w:color w:val="auto"/>
          <w:sz w:val="24"/>
          <w:szCs w:val="24"/>
          <w:highlight w:val="none"/>
          <w:lang w:val="en-US" w:eastAsia="zh-CN"/>
        </w:rPr>
        <w:t>根据苗木长势每年不少于2次调整支架与植物接触处的松紧度，避免出现勒痕，对损伤的树皮进行处理。</w:t>
      </w:r>
    </w:p>
    <w:p w14:paraId="7C49270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r>
        <w:rPr>
          <w:rFonts w:hint="default" w:ascii="仿宋" w:hAnsi="仿宋" w:eastAsia="仿宋" w:cs="仿宋"/>
          <w:color w:val="auto"/>
          <w:sz w:val="24"/>
          <w:szCs w:val="24"/>
          <w:highlight w:val="none"/>
          <w:lang w:val="en-US" w:eastAsia="zh-CN"/>
        </w:rPr>
        <w:t>供水管线管理维修</w:t>
      </w:r>
    </w:p>
    <w:p w14:paraId="37E64B8B">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应对管理范围内的供水管线及设施设备及时巡检维修，保证管理范围内的正常供水。</w:t>
      </w:r>
    </w:p>
    <w:p w14:paraId="7EB5C6AB">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14.馆内道路绿化带养护标准</w:t>
      </w:r>
    </w:p>
    <w:p w14:paraId="0D756896">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14.1总体标准：指馆内道路绿化带养护的整体质量，内容有养护质量，树木存活率、设施维护、土肥、病虫害防治标准及其管理标准。</w:t>
      </w:r>
    </w:p>
    <w:p w14:paraId="4442A67B">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14.1.1按馆内道路绿化带的立地条件，对植物进行特殊养护，精心养护，使植物健康生长，具有良好的道路景观。</w:t>
      </w:r>
    </w:p>
    <w:p w14:paraId="498B606F">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14.1.2病虫害防治标准：提倡综合防治，病虫害应控制在不影响观赏效果的危害程度之内。</w:t>
      </w:r>
    </w:p>
    <w:p w14:paraId="4CB8C29D">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14.1.3树木种植成活率标准：当年新栽植物成活率达95%以上，历年苗木存活率98%以上，无缺株、死株，并视季节及时补种。</w:t>
      </w:r>
    </w:p>
    <w:p w14:paraId="078C105C">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14.1.4土肥标准：土壤疏松，无积水，充分利用有机肥，也可用复合肥，增强土壤肥力，要求一年施肥一次以上。</w:t>
      </w:r>
    </w:p>
    <w:p w14:paraId="2827C9AB">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14.2馆内道路绿化带的具体管养标准：</w:t>
      </w:r>
    </w:p>
    <w:p w14:paraId="3F49D521">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14.2.1馆内道路绿化带景观要求：</w:t>
      </w:r>
    </w:p>
    <w:p w14:paraId="34C98F3B">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14.2.1.1采用修剪等特殊手法，控制植物高度，植物高度不得影响交通视线。</w:t>
      </w:r>
    </w:p>
    <w:p w14:paraId="14A494FC">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14.2.1.2特殊地段的景观应按设计精心养护，形成有特色的植物景观。整形植物必须及时修剪保持形态，悬垂植物生长健壮，及时通过修剪去除枯死枝和调整高度及生长密度，整体效果好。</w:t>
      </w:r>
    </w:p>
    <w:p w14:paraId="1DD7FD8F">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14.2.1.3花卉花期整齐，株行距适宜，无空秃，色彩效果好。</w:t>
      </w:r>
    </w:p>
    <w:p w14:paraId="393B6CEB">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14.2.1.4绿化带必须无裸地，无枯枝残叶，无杂草，整洁无垃圾；植物叶面无陈旧积尘。</w:t>
      </w:r>
    </w:p>
    <w:p w14:paraId="38F53F04">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14.2.1.5辅助设施（包括支撑物和护栏等）必须完好、无损、整洁。</w:t>
      </w:r>
    </w:p>
    <w:p w14:paraId="76D42D5C">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14.2.1.6馆内道路绿化带夏季做好抗旱保苗工作，冬季浇水应注意不要让水溢出，避免造成路面结冰。</w:t>
      </w:r>
    </w:p>
    <w:p w14:paraId="260E396E">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15.行道树的养护标准</w:t>
      </w:r>
    </w:p>
    <w:p w14:paraId="6C7C93EA">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15.1总体标准：指行道树养护的整体质量，内容有养护质量、病虫害防治标准及管理标准。</w:t>
      </w:r>
    </w:p>
    <w:p w14:paraId="6D2DE15D">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15.1.1养护质量：</w:t>
      </w:r>
    </w:p>
    <w:p w14:paraId="295DAF99">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15.1.1.1植株树冠丰满，完整，茂盛，骨架均匀，树干挺直，具有一定的遮阴及观赏效果。叶片正常，不焦叶，不卷叶，不落叶。</w:t>
      </w:r>
    </w:p>
    <w:p w14:paraId="34A4071E">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15.1.1.2树木及时修剪，无徒长枝，病虫枝，过密枝，枯枝，伤损枝，碰线枝；及时抹芽，主干及一级枝不定芽不超过15CM，倾斜老树要控制倾斜度，并逐渐扶正。</w:t>
      </w:r>
    </w:p>
    <w:p w14:paraId="6F18DAD9">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15.1.1.3行道树要有群体特色效果，品种，规格相对统一，补植树品种，规格也应保持一致。</w:t>
      </w:r>
    </w:p>
    <w:p w14:paraId="1F1BBEA6">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15.1.1.4有防台风措施，对危树及时修枝，加固或申报更换等措施，遇灾害性天气及时组织进行抢扶。</w:t>
      </w:r>
    </w:p>
    <w:p w14:paraId="2176DAC5">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15.1.1.5土肥标准：土壤疏松，无积水，根据植物生长特征及时施肥，充分利用有机肥，也可施复合肥，增加土壤肥力，改善土壤理化性状。</w:t>
      </w:r>
    </w:p>
    <w:p w14:paraId="63DA4E79">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15.1.2病虫害防治标准：基本无病虫害危害迹象。</w:t>
      </w:r>
    </w:p>
    <w:p w14:paraId="49A38DF4">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15.1.3管理标准：</w:t>
      </w:r>
    </w:p>
    <w:p w14:paraId="5CAEEB72">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15.1.3.1树穴无杂草，垃圾和其它杂物，树干无钉子，铁丝等破坏树木生长的东西。</w:t>
      </w:r>
    </w:p>
    <w:p w14:paraId="0E929885">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15.2具体养护标准：</w:t>
      </w:r>
    </w:p>
    <w:p w14:paraId="14F58531">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15.2.1植物长势好，叶片健壮，在正常条件下不黄叶，不焦叶，不卷叶，不落叶。枝干健壮，无明显枯枝死杈。</w:t>
      </w:r>
    </w:p>
    <w:p w14:paraId="7F09DB7E">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15.2.2行道树树木保存率100%。</w:t>
      </w:r>
    </w:p>
    <w:p w14:paraId="07BE73D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15.3</w:t>
      </w:r>
      <w:r>
        <w:rPr>
          <w:rFonts w:hint="default" w:ascii="仿宋" w:hAnsi="仿宋" w:eastAsia="仿宋" w:cs="仿宋"/>
          <w:color w:val="auto"/>
          <w:sz w:val="24"/>
          <w:szCs w:val="24"/>
          <w:highlight w:val="none"/>
          <w:lang w:val="en-US" w:eastAsia="zh-CN"/>
        </w:rPr>
        <w:t>行道树中乔木的整形修剪，应注意以下规定：</w:t>
      </w:r>
    </w:p>
    <w:p w14:paraId="0B2F9858">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15.3.1</w:t>
      </w:r>
      <w:r>
        <w:rPr>
          <w:rFonts w:hint="default" w:ascii="仿宋" w:hAnsi="仿宋" w:eastAsia="仿宋" w:cs="仿宋"/>
          <w:color w:val="auto"/>
          <w:sz w:val="24"/>
          <w:szCs w:val="24"/>
          <w:highlight w:val="none"/>
          <w:lang w:val="en-US" w:eastAsia="zh-CN"/>
        </w:rPr>
        <w:t>行道树的树型和分枝点高度应基本一致，对于分支点参差不齐的，要逐年改进；景观乔木修剪时应</w:t>
      </w:r>
      <w:r>
        <w:rPr>
          <w:rFonts w:hint="eastAsia" w:ascii="仿宋" w:hAnsi="仿宋" w:eastAsia="仿宋" w:cs="仿宋"/>
          <w:color w:val="auto"/>
          <w:sz w:val="24"/>
          <w:szCs w:val="24"/>
          <w:highlight w:val="none"/>
          <w:lang w:val="en-US" w:eastAsia="zh-CN"/>
        </w:rPr>
        <w:t>剪除</w:t>
      </w:r>
      <w:r>
        <w:rPr>
          <w:rFonts w:hint="default" w:ascii="仿宋" w:hAnsi="仿宋" w:eastAsia="仿宋" w:cs="仿宋"/>
          <w:color w:val="auto"/>
          <w:sz w:val="24"/>
          <w:szCs w:val="24"/>
          <w:highlight w:val="none"/>
          <w:lang w:val="en-US" w:eastAsia="zh-CN"/>
        </w:rPr>
        <w:t>徒长枝、病虫枝、交叉枝、病生枝、下垂枝、扭伤及枯死枝；有明显主轴的树种应保护中央干；无主干的应修剪成自然行。常绿树的修剪应避开生长旺期，宜轻度修剪，保护中央主枝，保护其自然树形。</w:t>
      </w:r>
    </w:p>
    <w:p w14:paraId="2F038741">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15.3.2</w:t>
      </w:r>
      <w:r>
        <w:rPr>
          <w:rFonts w:hint="default" w:ascii="仿宋" w:hAnsi="仿宋" w:eastAsia="仿宋" w:cs="仿宋"/>
          <w:color w:val="auto"/>
          <w:sz w:val="24"/>
          <w:szCs w:val="24"/>
          <w:highlight w:val="none"/>
          <w:lang w:val="en-US" w:eastAsia="zh-CN"/>
        </w:rPr>
        <w:t>修剪时间：对于不耐寒树种，应在春季发芽前进行；耐寒树种冬季春季均可进行；休眠期修剪均在树液停止流动时进行；生长期修剪宜在八月底前进行。</w:t>
      </w:r>
    </w:p>
    <w:p w14:paraId="130027EA">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15.3.3</w:t>
      </w:r>
      <w:r>
        <w:rPr>
          <w:rFonts w:hint="default" w:ascii="仿宋" w:hAnsi="仿宋" w:eastAsia="仿宋" w:cs="仿宋"/>
          <w:color w:val="auto"/>
          <w:sz w:val="24"/>
          <w:szCs w:val="24"/>
          <w:highlight w:val="none"/>
          <w:lang w:val="en-US" w:eastAsia="zh-CN"/>
        </w:rPr>
        <w:t>树木与电力架空线应保持安全距离，及时修剪树枝</w:t>
      </w:r>
      <w:r>
        <w:rPr>
          <w:rFonts w:hint="eastAsia" w:ascii="仿宋" w:hAnsi="仿宋" w:eastAsia="仿宋" w:cs="仿宋"/>
          <w:color w:val="auto"/>
          <w:sz w:val="24"/>
          <w:szCs w:val="24"/>
          <w:highlight w:val="none"/>
          <w:lang w:val="en-US" w:eastAsia="zh-CN"/>
        </w:rPr>
        <w:t>（如有）</w:t>
      </w:r>
      <w:r>
        <w:rPr>
          <w:rFonts w:hint="default" w:ascii="仿宋" w:hAnsi="仿宋" w:eastAsia="仿宋" w:cs="仿宋"/>
          <w:color w:val="auto"/>
          <w:sz w:val="24"/>
          <w:szCs w:val="24"/>
          <w:highlight w:val="none"/>
          <w:lang w:val="en-US" w:eastAsia="zh-CN"/>
        </w:rPr>
        <w:t>。</w:t>
      </w:r>
    </w:p>
    <w:p w14:paraId="63C5257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15.3.4</w:t>
      </w:r>
      <w:r>
        <w:rPr>
          <w:rFonts w:hint="default" w:ascii="仿宋" w:hAnsi="仿宋" w:eastAsia="仿宋" w:cs="仿宋"/>
          <w:color w:val="auto"/>
          <w:sz w:val="24"/>
          <w:szCs w:val="24"/>
          <w:highlight w:val="none"/>
          <w:lang w:val="en-US" w:eastAsia="zh-CN"/>
        </w:rPr>
        <w:t>路灯和变压设备附近的树枝应与其</w:t>
      </w:r>
      <w:r>
        <w:rPr>
          <w:rFonts w:hint="eastAsia" w:ascii="仿宋" w:hAnsi="仿宋" w:eastAsia="仿宋" w:cs="仿宋"/>
          <w:color w:val="auto"/>
          <w:sz w:val="24"/>
          <w:szCs w:val="24"/>
          <w:highlight w:val="none"/>
          <w:lang w:val="en-US" w:eastAsia="zh-CN"/>
        </w:rPr>
        <w:t>保留</w:t>
      </w:r>
      <w:r>
        <w:rPr>
          <w:rFonts w:hint="default" w:ascii="仿宋" w:hAnsi="仿宋" w:eastAsia="仿宋" w:cs="仿宋"/>
          <w:color w:val="auto"/>
          <w:sz w:val="24"/>
          <w:szCs w:val="24"/>
          <w:highlight w:val="none"/>
          <w:lang w:val="en-US" w:eastAsia="zh-CN"/>
        </w:rPr>
        <w:t>足够的安全距离。</w:t>
      </w:r>
    </w:p>
    <w:p w14:paraId="4F201CE1">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default" w:ascii="仿宋" w:hAnsi="仿宋" w:eastAsia="仿宋" w:cs="仿宋"/>
          <w:b/>
          <w:bCs/>
          <w:color w:val="auto"/>
          <w:sz w:val="24"/>
          <w:szCs w:val="24"/>
          <w:highlight w:val="none"/>
          <w:lang w:val="en-US" w:eastAsia="zh-CN"/>
        </w:rPr>
      </w:pPr>
      <w:bookmarkStart w:id="10" w:name="_Toc7934"/>
      <w:r>
        <w:rPr>
          <w:rFonts w:hint="eastAsia" w:ascii="仿宋" w:hAnsi="仿宋" w:eastAsia="仿宋" w:cs="仿宋"/>
          <w:b/>
          <w:bCs/>
          <w:color w:val="auto"/>
          <w:sz w:val="24"/>
          <w:szCs w:val="24"/>
          <w:highlight w:val="none"/>
          <w:lang w:val="en-US" w:eastAsia="zh-CN"/>
        </w:rPr>
        <w:t>（三）</w:t>
      </w:r>
      <w:r>
        <w:rPr>
          <w:rFonts w:hint="default" w:ascii="仿宋" w:hAnsi="仿宋" w:eastAsia="仿宋" w:cs="仿宋"/>
          <w:b/>
          <w:bCs/>
          <w:color w:val="auto"/>
          <w:sz w:val="24"/>
          <w:szCs w:val="24"/>
          <w:highlight w:val="none"/>
          <w:lang w:val="en-US" w:eastAsia="zh-CN"/>
        </w:rPr>
        <w:t>绿地附属设施的</w:t>
      </w:r>
      <w:r>
        <w:rPr>
          <w:rFonts w:hint="eastAsia" w:ascii="仿宋" w:hAnsi="仿宋" w:eastAsia="仿宋" w:cs="仿宋"/>
          <w:b/>
          <w:bCs/>
          <w:color w:val="auto"/>
          <w:sz w:val="24"/>
          <w:szCs w:val="24"/>
          <w:highlight w:val="none"/>
          <w:lang w:val="en-US" w:eastAsia="zh-CN"/>
        </w:rPr>
        <w:t>作业要求</w:t>
      </w:r>
      <w:bookmarkEnd w:id="10"/>
    </w:p>
    <w:p w14:paraId="45131C5F">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垃圾桶、座椅等便民设施</w:t>
      </w:r>
    </w:p>
    <w:p w14:paraId="17C9E65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r>
        <w:rPr>
          <w:rFonts w:hint="default" w:ascii="仿宋" w:hAnsi="仿宋" w:eastAsia="仿宋" w:cs="仿宋"/>
          <w:color w:val="auto"/>
          <w:sz w:val="24"/>
          <w:szCs w:val="24"/>
          <w:highlight w:val="none"/>
          <w:lang w:val="en-US" w:eastAsia="zh-CN"/>
        </w:rPr>
        <w:t>垃圾桶、标识牌、座椅、护栏、井盖和</w:t>
      </w:r>
      <w:r>
        <w:rPr>
          <w:rFonts w:hint="eastAsia" w:ascii="仿宋" w:hAnsi="仿宋" w:eastAsia="仿宋" w:cs="仿宋"/>
          <w:color w:val="auto"/>
          <w:sz w:val="24"/>
          <w:szCs w:val="24"/>
          <w:highlight w:val="none"/>
          <w:lang w:val="en-US" w:eastAsia="zh-CN"/>
        </w:rPr>
        <w:t>标识牌</w:t>
      </w:r>
      <w:r>
        <w:rPr>
          <w:rFonts w:hint="default" w:ascii="仿宋" w:hAnsi="仿宋" w:eastAsia="仿宋" w:cs="仿宋"/>
          <w:color w:val="auto"/>
          <w:sz w:val="24"/>
          <w:szCs w:val="24"/>
          <w:highlight w:val="none"/>
          <w:lang w:val="en-US" w:eastAsia="zh-CN"/>
        </w:rPr>
        <w:t>等设施</w:t>
      </w:r>
      <w:r>
        <w:rPr>
          <w:rFonts w:hint="eastAsia" w:ascii="仿宋" w:hAnsi="仿宋" w:eastAsia="仿宋" w:cs="仿宋"/>
          <w:color w:val="auto"/>
          <w:sz w:val="24"/>
          <w:szCs w:val="24"/>
          <w:highlight w:val="none"/>
          <w:lang w:val="en-US" w:eastAsia="zh-CN"/>
        </w:rPr>
        <w:t>每周</w:t>
      </w:r>
      <w:r>
        <w:rPr>
          <w:rFonts w:hint="default" w:ascii="仿宋" w:hAnsi="仿宋" w:eastAsia="仿宋" w:cs="仿宋"/>
          <w:color w:val="auto"/>
          <w:sz w:val="24"/>
          <w:szCs w:val="24"/>
          <w:highlight w:val="none"/>
          <w:lang w:val="en-US" w:eastAsia="zh-CN"/>
        </w:rPr>
        <w:t>不少于1次擦拭；及时制止张贴小广告和乱涂乱画现象，并及时清理。</w:t>
      </w:r>
    </w:p>
    <w:p w14:paraId="61430F4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r>
        <w:rPr>
          <w:rFonts w:hint="default" w:ascii="仿宋" w:hAnsi="仿宋" w:eastAsia="仿宋" w:cs="仿宋"/>
          <w:color w:val="auto"/>
          <w:sz w:val="24"/>
          <w:szCs w:val="24"/>
          <w:highlight w:val="none"/>
          <w:lang w:val="en-US" w:eastAsia="zh-CN"/>
        </w:rPr>
        <w:t>垃圾桶、标识牌、座椅、护栏、井盖和</w:t>
      </w:r>
      <w:r>
        <w:rPr>
          <w:rFonts w:hint="eastAsia" w:ascii="仿宋" w:hAnsi="仿宋" w:eastAsia="仿宋" w:cs="仿宋"/>
          <w:color w:val="auto"/>
          <w:sz w:val="24"/>
          <w:szCs w:val="24"/>
          <w:highlight w:val="none"/>
          <w:lang w:val="en-US" w:eastAsia="zh-CN"/>
        </w:rPr>
        <w:t>标识牌</w:t>
      </w:r>
      <w:r>
        <w:rPr>
          <w:rFonts w:hint="default" w:ascii="仿宋" w:hAnsi="仿宋" w:eastAsia="仿宋" w:cs="仿宋"/>
          <w:color w:val="auto"/>
          <w:sz w:val="24"/>
          <w:szCs w:val="24"/>
          <w:highlight w:val="none"/>
          <w:lang w:val="en-US" w:eastAsia="zh-CN"/>
        </w:rPr>
        <w:t>等设施完整、安全，维护及时。必要设置警示标识标志的要及时增设。垃圾桶、标识牌、座椅、护栏、井盖和</w:t>
      </w:r>
      <w:r>
        <w:rPr>
          <w:rFonts w:hint="eastAsia" w:ascii="仿宋" w:hAnsi="仿宋" w:eastAsia="仿宋" w:cs="仿宋"/>
          <w:color w:val="auto"/>
          <w:sz w:val="24"/>
          <w:szCs w:val="24"/>
          <w:highlight w:val="none"/>
          <w:lang w:val="en-US" w:eastAsia="zh-CN"/>
        </w:rPr>
        <w:t>标识牌</w:t>
      </w:r>
      <w:r>
        <w:rPr>
          <w:rFonts w:hint="default" w:ascii="仿宋" w:hAnsi="仿宋" w:eastAsia="仿宋" w:cs="仿宋"/>
          <w:color w:val="auto"/>
          <w:sz w:val="24"/>
          <w:szCs w:val="24"/>
          <w:highlight w:val="none"/>
          <w:lang w:val="en-US" w:eastAsia="zh-CN"/>
        </w:rPr>
        <w:t>等设施换新应使用招标方指定的样式。</w:t>
      </w:r>
    </w:p>
    <w:p w14:paraId="22E11F5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r>
        <w:rPr>
          <w:rFonts w:hint="default" w:ascii="仿宋" w:hAnsi="仿宋" w:eastAsia="仿宋" w:cs="仿宋"/>
          <w:color w:val="auto"/>
          <w:sz w:val="24"/>
          <w:szCs w:val="24"/>
          <w:highlight w:val="none"/>
          <w:lang w:val="en-US" w:eastAsia="zh-CN"/>
        </w:rPr>
        <w:t>垃圾桶保洁：无垃圾溢出，及时擦洗、清掏、更换垃圾袋；不得出现垃圾外溢现象；箱体每</w:t>
      </w:r>
      <w:r>
        <w:rPr>
          <w:rFonts w:hint="eastAsia" w:ascii="仿宋" w:hAnsi="仿宋" w:eastAsia="仿宋" w:cs="仿宋"/>
          <w:color w:val="auto"/>
          <w:sz w:val="24"/>
          <w:szCs w:val="24"/>
          <w:highlight w:val="none"/>
          <w:lang w:val="en-US" w:eastAsia="zh-CN"/>
        </w:rPr>
        <w:t>周</w:t>
      </w:r>
      <w:r>
        <w:rPr>
          <w:rFonts w:hint="default" w:ascii="仿宋" w:hAnsi="仿宋" w:eastAsia="仿宋" w:cs="仿宋"/>
          <w:color w:val="auto"/>
          <w:sz w:val="24"/>
          <w:szCs w:val="24"/>
          <w:highlight w:val="none"/>
          <w:lang w:val="en-US" w:eastAsia="zh-CN"/>
        </w:rPr>
        <w:t>不少于1次擦拭和消毒，不得有异味。</w:t>
      </w:r>
    </w:p>
    <w:p w14:paraId="7BB4A11A">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灯具</w:t>
      </w:r>
    </w:p>
    <w:p w14:paraId="45C19708">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r>
        <w:rPr>
          <w:rFonts w:hint="default" w:ascii="仿宋" w:hAnsi="仿宋" w:eastAsia="仿宋" w:cs="仿宋"/>
          <w:color w:val="auto"/>
          <w:sz w:val="24"/>
          <w:szCs w:val="24"/>
          <w:highlight w:val="none"/>
          <w:lang w:val="en-US" w:eastAsia="zh-CN"/>
        </w:rPr>
        <w:t>灯杆、护栏等设施及时擦拭；及时制止张贴小广告和乱涂乱画现象，并及时清理；</w:t>
      </w:r>
    </w:p>
    <w:p w14:paraId="3EB78215">
      <w:pPr>
        <w:keepNext w:val="0"/>
        <w:keepLines w:val="0"/>
        <w:pageBreakBefore w:val="0"/>
        <w:kinsoku/>
        <w:wordWrap/>
        <w:overflowPunct/>
        <w:topLinePunct w:val="0"/>
        <w:bidi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严格遵守安全操作规程，确保自身和他人的人身安全。工作完毕及时清理场地，清点工具和剩余材料，并保管好所辖工具。</w:t>
      </w:r>
    </w:p>
    <w:p w14:paraId="4CE3484B">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default" w:ascii="仿宋" w:hAnsi="仿宋" w:eastAsia="仿宋" w:cs="仿宋"/>
          <w:b/>
          <w:bCs/>
          <w:color w:val="auto"/>
          <w:sz w:val="24"/>
          <w:szCs w:val="24"/>
          <w:highlight w:val="none"/>
          <w:lang w:val="en-US" w:eastAsia="zh-CN"/>
        </w:rPr>
      </w:pPr>
      <w:bookmarkStart w:id="11" w:name="_Toc2322"/>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水域管理</w:t>
      </w:r>
      <w:r>
        <w:rPr>
          <w:rFonts w:hint="eastAsia" w:ascii="仿宋" w:hAnsi="仿宋" w:eastAsia="仿宋" w:cs="仿宋"/>
          <w:b/>
          <w:bCs/>
          <w:color w:val="auto"/>
          <w:sz w:val="24"/>
          <w:szCs w:val="24"/>
          <w:highlight w:val="none"/>
          <w:lang w:val="en-US" w:eastAsia="zh-CN"/>
        </w:rPr>
        <w:t>作业</w:t>
      </w:r>
      <w:r>
        <w:rPr>
          <w:rFonts w:hint="default" w:ascii="仿宋" w:hAnsi="仿宋" w:eastAsia="仿宋" w:cs="仿宋"/>
          <w:b/>
          <w:bCs/>
          <w:color w:val="auto"/>
          <w:sz w:val="24"/>
          <w:szCs w:val="24"/>
          <w:highlight w:val="none"/>
          <w:lang w:val="en-US" w:eastAsia="zh-CN"/>
        </w:rPr>
        <w:t>要求</w:t>
      </w:r>
      <w:bookmarkEnd w:id="11"/>
    </w:p>
    <w:p w14:paraId="509045C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应设专人进行巡检巡查，设专人清捞水面漂浮物、枯枝落叶及浮萍植物、根据</w:t>
      </w:r>
      <w:r>
        <w:rPr>
          <w:rFonts w:hint="eastAsia" w:ascii="仿宋" w:hAnsi="仿宋" w:eastAsia="仿宋" w:cs="仿宋"/>
          <w:color w:val="auto"/>
          <w:sz w:val="24"/>
          <w:szCs w:val="24"/>
          <w:highlight w:val="none"/>
          <w:lang w:val="en-US" w:eastAsia="zh-CN"/>
        </w:rPr>
        <w:t>采购人</w:t>
      </w:r>
      <w:r>
        <w:rPr>
          <w:rFonts w:hint="default" w:ascii="仿宋" w:hAnsi="仿宋" w:eastAsia="仿宋" w:cs="仿宋"/>
          <w:color w:val="auto"/>
          <w:sz w:val="24"/>
          <w:szCs w:val="24"/>
          <w:highlight w:val="none"/>
          <w:lang w:val="en-US" w:eastAsia="zh-CN"/>
        </w:rPr>
        <w:t>要求，割除岸边芦苇等。</w:t>
      </w:r>
    </w:p>
    <w:p w14:paraId="55870BC3">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保持</w:t>
      </w:r>
      <w:r>
        <w:rPr>
          <w:rFonts w:hint="eastAsia" w:ascii="仿宋" w:hAnsi="仿宋" w:eastAsia="仿宋" w:cs="仿宋"/>
          <w:color w:val="auto"/>
          <w:sz w:val="24"/>
          <w:szCs w:val="24"/>
          <w:highlight w:val="none"/>
          <w:lang w:val="en-US" w:eastAsia="zh-CN"/>
        </w:rPr>
        <w:t>水面</w:t>
      </w:r>
      <w:r>
        <w:rPr>
          <w:rFonts w:hint="default" w:ascii="仿宋" w:hAnsi="仿宋" w:eastAsia="仿宋" w:cs="仿宋"/>
          <w:color w:val="auto"/>
          <w:sz w:val="24"/>
          <w:szCs w:val="24"/>
          <w:highlight w:val="none"/>
          <w:lang w:val="en-US" w:eastAsia="zh-CN"/>
        </w:rPr>
        <w:t>清洁，做到水面无任何漂浮物（包括各类垃圾、水草及树枝等）。</w:t>
      </w:r>
    </w:p>
    <w:p w14:paraId="7C9A74E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每天清捞的垃圾、水草等运至附近垃圾转运站、垃圾场或指定场所进行处理，做到日产日清，不得存在积存、滞运或就地掩埋现象。</w:t>
      </w:r>
    </w:p>
    <w:p w14:paraId="25B88DD2">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水质无异味，水体保持干净清澈。</w:t>
      </w:r>
    </w:p>
    <w:p w14:paraId="737E1085">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高温、冰冻、台风等恶劣天气，保洁时间服从统一安排。</w:t>
      </w:r>
    </w:p>
    <w:p w14:paraId="531046C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.水域</w:t>
      </w:r>
      <w:r>
        <w:rPr>
          <w:rFonts w:hint="default" w:ascii="仿宋" w:hAnsi="仿宋" w:eastAsia="仿宋" w:cs="仿宋"/>
          <w:color w:val="auto"/>
          <w:sz w:val="24"/>
          <w:szCs w:val="24"/>
          <w:highlight w:val="none"/>
          <w:lang w:val="en-US" w:eastAsia="zh-CN"/>
        </w:rPr>
        <w:t>无垃圾、杂物，清捞及时，重点排污口控制到位。巡查到位，清捞及时，污染控制有效，无严重恶臭味。</w:t>
      </w:r>
    </w:p>
    <w:p w14:paraId="0C8FA560">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水面保洁人员必须会游泳，统一着装，文明作业。</w:t>
      </w:r>
    </w:p>
    <w:p w14:paraId="5A9250C5">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default" w:ascii="仿宋" w:hAnsi="仿宋" w:eastAsia="仿宋" w:cs="仿宋"/>
          <w:color w:val="auto"/>
          <w:sz w:val="24"/>
          <w:szCs w:val="24"/>
          <w:highlight w:val="none"/>
          <w:lang w:val="en-US" w:eastAsia="zh-CN"/>
        </w:rPr>
        <w:t>遇重大活动或特殊保障要求，要服从统一安排和调度，配合做好突击性保洁工作。</w:t>
      </w:r>
    </w:p>
    <w:p w14:paraId="00B98431">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default" w:ascii="仿宋" w:hAnsi="仿宋" w:eastAsia="仿宋" w:cs="仿宋"/>
          <w:b/>
          <w:bCs/>
          <w:color w:val="auto"/>
          <w:sz w:val="24"/>
          <w:szCs w:val="24"/>
          <w:highlight w:val="none"/>
          <w:lang w:val="en-US" w:eastAsia="zh-CN"/>
        </w:rPr>
      </w:pPr>
      <w:bookmarkStart w:id="12" w:name="_Toc19054"/>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安全</w:t>
      </w:r>
      <w:r>
        <w:rPr>
          <w:rFonts w:hint="eastAsia" w:ascii="仿宋" w:hAnsi="仿宋" w:eastAsia="仿宋" w:cs="仿宋"/>
          <w:b/>
          <w:bCs/>
          <w:color w:val="auto"/>
          <w:sz w:val="24"/>
          <w:szCs w:val="24"/>
          <w:highlight w:val="none"/>
          <w:lang w:val="en-US" w:eastAsia="zh-CN"/>
        </w:rPr>
        <w:t>作业</w:t>
      </w:r>
      <w:r>
        <w:rPr>
          <w:rFonts w:hint="default" w:ascii="仿宋" w:hAnsi="仿宋" w:eastAsia="仿宋" w:cs="仿宋"/>
          <w:b/>
          <w:bCs/>
          <w:color w:val="auto"/>
          <w:sz w:val="24"/>
          <w:szCs w:val="24"/>
          <w:highlight w:val="none"/>
          <w:lang w:val="en-US" w:eastAsia="zh-CN"/>
        </w:rPr>
        <w:t>管理要求</w:t>
      </w:r>
      <w:bookmarkEnd w:id="12"/>
    </w:p>
    <w:p w14:paraId="30D7BB54">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防火安全管理</w:t>
      </w:r>
    </w:p>
    <w:p w14:paraId="5A15D019">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积极开展防火安全宣传教育，定期向作业人员传授消防知识，建立消防</w:t>
      </w:r>
      <w:r>
        <w:rPr>
          <w:rFonts w:hint="eastAsia" w:ascii="仿宋" w:hAnsi="仿宋" w:eastAsia="仿宋" w:cs="仿宋"/>
          <w:color w:val="auto"/>
          <w:sz w:val="24"/>
          <w:szCs w:val="24"/>
          <w:highlight w:val="none"/>
          <w:lang w:val="en-US" w:eastAsia="zh-CN"/>
        </w:rPr>
        <w:t>队伍</w:t>
      </w:r>
      <w:r>
        <w:rPr>
          <w:rFonts w:hint="default" w:ascii="仿宋" w:hAnsi="仿宋" w:eastAsia="仿宋" w:cs="仿宋"/>
          <w:color w:val="auto"/>
          <w:sz w:val="24"/>
          <w:szCs w:val="24"/>
          <w:highlight w:val="none"/>
          <w:lang w:val="en-US" w:eastAsia="zh-CN"/>
        </w:rPr>
        <w:t>，每季度协调组织进行一次防火演习，发生火灾，及时组织补救并迅速向有关部门报警。</w:t>
      </w:r>
    </w:p>
    <w:p w14:paraId="719EE5A7">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r>
        <w:rPr>
          <w:rFonts w:hint="default" w:ascii="仿宋" w:hAnsi="仿宋" w:eastAsia="仿宋" w:cs="仿宋"/>
          <w:color w:val="auto"/>
          <w:sz w:val="24"/>
          <w:szCs w:val="24"/>
          <w:highlight w:val="none"/>
          <w:lang w:val="en-US" w:eastAsia="zh-CN"/>
        </w:rPr>
        <w:t>充分了解防火和安全工作的具体情况并做好充分准备，制定切实可行的应急预案，确保安全无误。</w:t>
      </w:r>
    </w:p>
    <w:p w14:paraId="5B81431E">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r>
        <w:rPr>
          <w:rFonts w:hint="default" w:ascii="仿宋" w:hAnsi="仿宋" w:eastAsia="仿宋" w:cs="仿宋"/>
          <w:color w:val="auto"/>
          <w:sz w:val="24"/>
          <w:szCs w:val="24"/>
          <w:highlight w:val="none"/>
          <w:lang w:val="en-US" w:eastAsia="zh-CN"/>
        </w:rPr>
        <w:t>如遇周末、节假日、重大活动等特殊情况游客数量增多，尤其是清明节、冬季等重点防火时期，应</w:t>
      </w:r>
      <w:r>
        <w:rPr>
          <w:rFonts w:hint="eastAsia" w:ascii="仿宋" w:hAnsi="仿宋" w:eastAsia="仿宋" w:cs="仿宋"/>
          <w:color w:val="auto"/>
          <w:sz w:val="24"/>
          <w:szCs w:val="24"/>
          <w:highlight w:val="none"/>
          <w:lang w:val="en-US" w:eastAsia="zh-CN"/>
        </w:rPr>
        <w:t>加大人员配备及</w:t>
      </w:r>
      <w:r>
        <w:rPr>
          <w:rFonts w:hint="default" w:ascii="仿宋" w:hAnsi="仿宋" w:eastAsia="仿宋" w:cs="仿宋"/>
          <w:color w:val="auto"/>
          <w:sz w:val="24"/>
          <w:szCs w:val="24"/>
          <w:highlight w:val="none"/>
          <w:lang w:val="en-US" w:eastAsia="zh-CN"/>
        </w:rPr>
        <w:t>巡查</w:t>
      </w:r>
      <w:r>
        <w:rPr>
          <w:rFonts w:hint="eastAsia" w:ascii="仿宋" w:hAnsi="仿宋" w:eastAsia="仿宋" w:cs="仿宋"/>
          <w:color w:val="auto"/>
          <w:sz w:val="24"/>
          <w:szCs w:val="24"/>
          <w:highlight w:val="none"/>
          <w:lang w:val="en-US" w:eastAsia="zh-CN"/>
        </w:rPr>
        <w:t>力度</w:t>
      </w:r>
      <w:r>
        <w:rPr>
          <w:rFonts w:hint="default" w:ascii="仿宋" w:hAnsi="仿宋" w:eastAsia="仿宋" w:cs="仿宋"/>
          <w:color w:val="auto"/>
          <w:sz w:val="24"/>
          <w:szCs w:val="24"/>
          <w:highlight w:val="none"/>
          <w:lang w:val="en-US" w:eastAsia="zh-CN"/>
        </w:rPr>
        <w:t>。</w:t>
      </w:r>
    </w:p>
    <w:p w14:paraId="7044E78B">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r>
        <w:rPr>
          <w:rFonts w:hint="default" w:ascii="仿宋" w:hAnsi="仿宋" w:eastAsia="仿宋" w:cs="仿宋"/>
          <w:color w:val="auto"/>
          <w:sz w:val="24"/>
          <w:szCs w:val="24"/>
          <w:highlight w:val="none"/>
          <w:lang w:val="en-US" w:eastAsia="zh-CN"/>
        </w:rPr>
        <w:t>严禁焚烧垃圾和枯枝落叶。</w:t>
      </w:r>
    </w:p>
    <w:p w14:paraId="574AEF1E">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劳动保护</w:t>
      </w:r>
    </w:p>
    <w:p w14:paraId="66CA9D4F">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加强生产劳动保护</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如因保护措施不当造成中标方工作人员及他人意外人身伤亡和财物损失事故的</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由中标方承担相应责任。如因用工不当，造成的损失由中标单位承担。</w:t>
      </w:r>
    </w:p>
    <w:p w14:paraId="1F5A0479">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default" w:ascii="仿宋" w:hAnsi="仿宋" w:eastAsia="仿宋" w:cs="仿宋"/>
          <w:b/>
          <w:bCs/>
          <w:color w:val="auto"/>
          <w:sz w:val="24"/>
          <w:szCs w:val="24"/>
          <w:highlight w:val="none"/>
          <w:lang w:val="en-US" w:eastAsia="zh-CN"/>
        </w:rPr>
      </w:pPr>
      <w:bookmarkStart w:id="13" w:name="_Toc3778"/>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 w:val="24"/>
          <w:szCs w:val="24"/>
          <w:highlight w:val="none"/>
          <w:lang w:val="en-US" w:eastAsia="zh-CN"/>
        </w:rPr>
        <w:t>数字城管、投诉处理要求</w:t>
      </w:r>
      <w:bookmarkEnd w:id="13"/>
    </w:p>
    <w:p w14:paraId="32F9592D">
      <w:pPr>
        <w:keepNext w:val="0"/>
        <w:keepLines w:val="0"/>
        <w:pageBreakBefore w:val="0"/>
        <w:kinsoku/>
        <w:wordWrap/>
        <w:overflowPunct/>
        <w:topLinePunct w:val="0"/>
        <w:bidi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日常管理中发现的问题及数字城管事件、市长热线工单、市民投诉等督查事件必须及时整改到位并回复。</w:t>
      </w:r>
    </w:p>
    <w:p w14:paraId="73EA68B1">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default" w:ascii="仿宋" w:hAnsi="仿宋" w:eastAsia="仿宋" w:cs="仿宋"/>
          <w:b/>
          <w:bCs/>
          <w:color w:val="auto"/>
          <w:sz w:val="24"/>
          <w:szCs w:val="24"/>
          <w:highlight w:val="none"/>
          <w:lang w:val="en-US" w:eastAsia="zh-CN"/>
        </w:rPr>
      </w:pPr>
      <w:bookmarkStart w:id="14" w:name="_Toc21246"/>
      <w:r>
        <w:rPr>
          <w:rFonts w:hint="eastAsia" w:ascii="仿宋" w:hAnsi="仿宋" w:eastAsia="仿宋" w:cs="仿宋"/>
          <w:b/>
          <w:bCs/>
          <w:color w:val="auto"/>
          <w:sz w:val="24"/>
          <w:szCs w:val="24"/>
          <w:highlight w:val="none"/>
          <w:lang w:val="en-US" w:eastAsia="zh-CN"/>
        </w:rPr>
        <w:t>（七）绿化养护作业标准</w:t>
      </w:r>
      <w:bookmarkEnd w:id="14"/>
    </w:p>
    <w:tbl>
      <w:tblPr>
        <w:tblStyle w:val="28"/>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7636"/>
      </w:tblGrid>
      <w:tr w14:paraId="3F13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75" w:type="dxa"/>
            <w:vAlign w:val="center"/>
          </w:tcPr>
          <w:p w14:paraId="43EF0743">
            <w:pPr>
              <w:keepNext w:val="0"/>
              <w:keepLines w:val="0"/>
              <w:widowControl/>
              <w:suppressLineNumbers w:val="0"/>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bCs/>
                <w:color w:val="auto"/>
                <w:kern w:val="0"/>
                <w:sz w:val="28"/>
                <w:szCs w:val="28"/>
                <w:highlight w:val="none"/>
                <w:lang w:val="en-US" w:eastAsia="zh-CN" w:bidi="ar"/>
              </w:rPr>
              <w:t>内容</w:t>
            </w:r>
          </w:p>
        </w:tc>
        <w:tc>
          <w:tcPr>
            <w:tcW w:w="7636" w:type="dxa"/>
            <w:vAlign w:val="center"/>
          </w:tcPr>
          <w:p w14:paraId="122C9297">
            <w:pPr>
              <w:keepNext w:val="0"/>
              <w:keepLines w:val="0"/>
              <w:widowControl/>
              <w:suppressLineNumbers w:val="0"/>
              <w:jc w:val="center"/>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kern w:val="0"/>
                <w:sz w:val="28"/>
                <w:szCs w:val="28"/>
                <w:highlight w:val="none"/>
                <w:lang w:val="en-US" w:eastAsia="zh-CN" w:bidi="ar"/>
              </w:rPr>
              <w:t>绿化养护和保洁作业标准</w:t>
            </w:r>
          </w:p>
        </w:tc>
      </w:tr>
      <w:tr w14:paraId="1A51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14:paraId="181E7E6F">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行道树</w:t>
            </w:r>
          </w:p>
        </w:tc>
        <w:tc>
          <w:tcPr>
            <w:tcW w:w="7636" w:type="dxa"/>
          </w:tcPr>
          <w:p w14:paraId="31794DCA">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1.树形完整、树冠舒展；保留3级及以上分枝，长势良好，无徒长枝、病虫枝、交叉枝、重叠枝、下垂枝、扭伤枝、萌蘖枝、枯枝以及烂头等。 </w:t>
            </w:r>
          </w:p>
          <w:p w14:paraId="7D5E581F">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2.无死、缺株，及时补种。</w:t>
            </w:r>
          </w:p>
          <w:p w14:paraId="3FE6200B">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3.基本无病虫危害症状，被害株率≤2%。</w:t>
            </w:r>
          </w:p>
          <w:p w14:paraId="1982E370">
            <w:pPr>
              <w:keepNext w:val="0"/>
              <w:keepLines w:val="0"/>
              <w:widowControl/>
              <w:suppressLineNumbers w:val="0"/>
              <w:jc w:val="left"/>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4.树穴有平整盖板或种植植物、覆盖植物树皮碎屑，黄土不裸露，树穴设施完好。</w:t>
            </w:r>
          </w:p>
        </w:tc>
      </w:tr>
      <w:tr w14:paraId="08BC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14:paraId="4C368C4A">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乔木</w:t>
            </w:r>
          </w:p>
        </w:tc>
        <w:tc>
          <w:tcPr>
            <w:tcW w:w="7636" w:type="dxa"/>
          </w:tcPr>
          <w:p w14:paraId="34A8DD5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1.生长健壮，树冠完整，树形优美。分枝点合适，无枯枝死杈；修剪及时、合理，内膛不乱，通风透光。树木不歪斜（造型树木除外）。叶片无黄叶、焦叶、卷叶。</w:t>
            </w:r>
          </w:p>
          <w:p w14:paraId="00B4CD81">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2.无死株，缺株≤1%，适时补种。</w:t>
            </w:r>
          </w:p>
          <w:p w14:paraId="754B6785">
            <w:pPr>
              <w:keepNext w:val="0"/>
              <w:keepLines w:val="0"/>
              <w:widowControl/>
              <w:suppressLineNumbers w:val="0"/>
              <w:jc w:val="left"/>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3.无可视的病虫危害症状，被害株率≤2%。</w:t>
            </w:r>
          </w:p>
        </w:tc>
      </w:tr>
      <w:tr w14:paraId="77AA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14:paraId="249417B4">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花灌木</w:t>
            </w:r>
          </w:p>
        </w:tc>
        <w:tc>
          <w:tcPr>
            <w:tcW w:w="7636" w:type="dxa"/>
          </w:tcPr>
          <w:p w14:paraId="44CC56D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1.花灌木株型丰满，枝叶茂密，开花适时，花后修剪及时合理。</w:t>
            </w:r>
          </w:p>
          <w:p w14:paraId="6C289D14">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2.无死株，缺株≤1%，适时补种。</w:t>
            </w:r>
          </w:p>
          <w:p w14:paraId="7823A45F">
            <w:pPr>
              <w:keepNext w:val="0"/>
              <w:keepLines w:val="0"/>
              <w:widowControl/>
              <w:suppressLineNumbers w:val="0"/>
              <w:jc w:val="left"/>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3.基本无病虫危害症状，被害株率≤2%。</w:t>
            </w:r>
          </w:p>
        </w:tc>
      </w:tr>
      <w:tr w14:paraId="250F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14:paraId="2B1E8A6B">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绿篱（模纹、色块）等</w:t>
            </w:r>
          </w:p>
        </w:tc>
        <w:tc>
          <w:tcPr>
            <w:tcW w:w="7636" w:type="dxa"/>
          </w:tcPr>
          <w:p w14:paraId="7254ED64">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1.绿篱、模纹和色块等修剪及时。绿篱线条清晰，同类观赏面规则，整齐一致；模纹和色块线条流畅、主要观赏面圆润饱满，符合设计要求。枝叶茂密，造型优美。造型树木根据不同的生长特性及时摘心、攀扎。 </w:t>
            </w:r>
          </w:p>
          <w:p w14:paraId="0C401148">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2.无死株，缺株≤1%，成片空缺≤0.3㎡，适时补种。 </w:t>
            </w:r>
          </w:p>
          <w:p w14:paraId="366B9EE4">
            <w:pPr>
              <w:keepNext w:val="0"/>
              <w:keepLines w:val="0"/>
              <w:widowControl/>
              <w:suppressLineNumbers w:val="0"/>
              <w:jc w:val="left"/>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3.基本无病虫危害症状，被害株率≤2%。</w:t>
            </w:r>
          </w:p>
        </w:tc>
      </w:tr>
      <w:tr w14:paraId="33E5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14:paraId="269EA744">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地被花卉</w:t>
            </w:r>
          </w:p>
        </w:tc>
        <w:tc>
          <w:tcPr>
            <w:tcW w:w="7636" w:type="dxa"/>
          </w:tcPr>
          <w:p w14:paraId="69333895">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1.多年生地被植物植株生长健壮，色彩鲜艳，花期整齐，株高一致。</w:t>
            </w:r>
          </w:p>
          <w:p w14:paraId="20CFFF2B">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2.地被植物覆盖率98%以上，植株无倒伏，枯枝、残花量≤5％，绿地内杂草率≤3%，无超过植物高度的杂草。</w:t>
            </w:r>
          </w:p>
          <w:p w14:paraId="5EF5B29B">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3.基本无病虫危害症状，被害面积≤2%。</w:t>
            </w:r>
          </w:p>
          <w:p w14:paraId="45F20555">
            <w:pPr>
              <w:keepNext w:val="0"/>
              <w:keepLines w:val="0"/>
              <w:widowControl/>
              <w:suppressLineNumbers w:val="0"/>
              <w:jc w:val="left"/>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4.植物休眠期枯枝及时修剪。</w:t>
            </w:r>
          </w:p>
        </w:tc>
      </w:tr>
      <w:tr w14:paraId="674C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14:paraId="6CF149A4">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草坪</w:t>
            </w:r>
          </w:p>
        </w:tc>
        <w:tc>
          <w:tcPr>
            <w:tcW w:w="7636" w:type="dxa"/>
          </w:tcPr>
          <w:p w14:paraId="0F419D20">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1.草坪平坦整洁，边缘线清晰，生长茂盛，草根不裸露。 </w:t>
            </w:r>
          </w:p>
          <w:p w14:paraId="753AD130">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2.草坪覆盖率98%以上，单块斑秃面积不超过0.3㎡且100㎡绿地内斑秃面积不超过1块。</w:t>
            </w:r>
          </w:p>
          <w:p w14:paraId="54E28B6C">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3.草坪高度不得大于6cm，及时修剪草坪，每次修剪高度不大于草高的 1/3，修剪后无残留草屑。 </w:t>
            </w:r>
          </w:p>
          <w:p w14:paraId="4673B0C4">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4.绿地内杂草率≤3%，无超过15cm高度的杂草。 </w:t>
            </w:r>
          </w:p>
          <w:p w14:paraId="41AA3DD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5.无可视病虫危害症状，被害面积≤2%，地下害虫≤2头/㎡。 </w:t>
            </w:r>
          </w:p>
          <w:p w14:paraId="1266E836">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6.马尼拉、矮生百慕大等暖季型草坪在每年10月份套种黑麦草等冷季型种子。</w:t>
            </w:r>
          </w:p>
        </w:tc>
      </w:tr>
      <w:tr w14:paraId="4166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14:paraId="4E5F884D">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水生植物</w:t>
            </w:r>
          </w:p>
        </w:tc>
        <w:tc>
          <w:tcPr>
            <w:tcW w:w="7636" w:type="dxa"/>
          </w:tcPr>
          <w:p w14:paraId="51DE8F64">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1.水生植物密度适宜，花期正常、花色鲜艳美观，无干枯叶、残花等。 </w:t>
            </w:r>
          </w:p>
          <w:p w14:paraId="761C6006">
            <w:pPr>
              <w:keepNext w:val="0"/>
              <w:keepLines w:val="0"/>
              <w:widowControl/>
              <w:suppressLineNumbers w:val="0"/>
              <w:jc w:val="left"/>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2.无死株，缺株≤3%，成片空缺≤1㎡，适时补种。无可视的病虫危害症状，被害株率≤2%。</w:t>
            </w:r>
          </w:p>
        </w:tc>
      </w:tr>
      <w:tr w14:paraId="6B47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14:paraId="76C688F9">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攀缘植物</w:t>
            </w:r>
          </w:p>
        </w:tc>
        <w:tc>
          <w:tcPr>
            <w:tcW w:w="7636" w:type="dxa"/>
          </w:tcPr>
          <w:p w14:paraId="4F054EDA">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1.根据不同植物的攀缘特点，及时采取相应的技术措施，生长旺盛。</w:t>
            </w:r>
          </w:p>
          <w:p w14:paraId="0ED5B24B">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2.及时清除枯枝，疏删老弱藤蔓；开花的攀缘植物适时开花。</w:t>
            </w:r>
          </w:p>
          <w:p w14:paraId="54728828">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3.基本无病虫危害症状，被害面积≤2%。</w:t>
            </w:r>
          </w:p>
        </w:tc>
      </w:tr>
      <w:tr w14:paraId="7096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14:paraId="1D45FD5A">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竹类</w:t>
            </w:r>
          </w:p>
        </w:tc>
        <w:tc>
          <w:tcPr>
            <w:tcW w:w="7636" w:type="dxa"/>
          </w:tcPr>
          <w:p w14:paraId="2A6A7A1A">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1.竹林保持适宜密度，通风透光、生长健壮、叶色正常，及时清除老鞭、砍伐后的竹蔸、干枯株等。</w:t>
            </w:r>
          </w:p>
          <w:p w14:paraId="3D10DDC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2.无可视的病虫危害症状，被害株率≤2%，地下害虫≤2 头/㎡。</w:t>
            </w:r>
          </w:p>
        </w:tc>
      </w:tr>
      <w:tr w14:paraId="2DE2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14:paraId="489C4186">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卫生保洁</w:t>
            </w:r>
          </w:p>
        </w:tc>
        <w:tc>
          <w:tcPr>
            <w:tcW w:w="7636" w:type="dxa"/>
          </w:tcPr>
          <w:p w14:paraId="175469D8">
            <w:pPr>
              <w:keepNext w:val="0"/>
              <w:keepLines w:val="0"/>
              <w:pageBreakBefore w:val="0"/>
              <w:widowControl w:val="0"/>
              <w:kinsoku/>
              <w:wordWrap/>
              <w:overflowPunct/>
              <w:topLinePunct w:val="0"/>
              <w:bidi w:val="0"/>
              <w:snapToGrid/>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1.每次8:00前完成全部绿地范围内的保洁工作。</w:t>
            </w:r>
          </w:p>
          <w:p w14:paraId="1825590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2.保持绿地内整洁干净，无建筑垃圾、生活垃圾，无树枝、树叶、草屑等生产垃圾，园路、广场内无杂草，无条状、块状污染物，点状污染物每100㎡≤2处。</w:t>
            </w:r>
          </w:p>
          <w:p w14:paraId="45D5DDC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3.各种园林设施整洁卫生，无灰尘、污渍，无乱贴乱画。</w:t>
            </w:r>
          </w:p>
          <w:p w14:paraId="341F6C76">
            <w:pPr>
              <w:keepNext w:val="0"/>
              <w:keepLines w:val="0"/>
              <w:widowControl/>
              <w:suppressLineNumbers w:val="0"/>
              <w:jc w:val="left"/>
              <w:rPr>
                <w:rFonts w:hint="eastAsia"/>
                <w:color w:val="auto"/>
                <w:highlight w:val="none"/>
                <w:lang w:val="en-US" w:eastAsia="zh-CN"/>
              </w:rPr>
            </w:pPr>
            <w:r>
              <w:rPr>
                <w:rFonts w:hint="eastAsia" w:ascii="仿宋" w:hAnsi="仿宋" w:eastAsia="仿宋" w:cs="仿宋"/>
                <w:color w:val="auto"/>
                <w:kern w:val="0"/>
                <w:sz w:val="24"/>
                <w:szCs w:val="24"/>
                <w:highlight w:val="none"/>
                <w:lang w:val="en-US" w:eastAsia="zh-CN" w:bidi="ar"/>
              </w:rPr>
              <w:t>4.水体清澈，无垃圾，无异味。</w:t>
            </w:r>
          </w:p>
        </w:tc>
      </w:tr>
      <w:tr w14:paraId="3A5F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14:paraId="205A7E58">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园林设施</w:t>
            </w:r>
          </w:p>
        </w:tc>
        <w:tc>
          <w:tcPr>
            <w:tcW w:w="7636" w:type="dxa"/>
          </w:tcPr>
          <w:p w14:paraId="2BD56BD0">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1.各种园林设施完好安全，如有损坏需在2天内进行维修。</w:t>
            </w:r>
          </w:p>
          <w:p w14:paraId="7D47485A">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2.铺装、道路破损每处不得大于0.2㎡，且每500㎡范围内≤2处。</w:t>
            </w:r>
          </w:p>
          <w:p w14:paraId="2AE075DF">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3.侧石破损每处不得大于0.5m，且每1000m内≤1处。</w:t>
            </w:r>
          </w:p>
          <w:p w14:paraId="5993EE2B">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4.树木支撑整齐、牢固、完好。绿地内无残留树桩、铁件和破损支撑、设施等残留物。</w:t>
            </w:r>
          </w:p>
        </w:tc>
      </w:tr>
    </w:tbl>
    <w:p w14:paraId="744BFCFE">
      <w:pPr>
        <w:keepNext w:val="0"/>
        <w:keepLines w:val="0"/>
        <w:pageBreakBefore w:val="0"/>
        <w:widowControl w:val="0"/>
        <w:tabs>
          <w:tab w:val="left" w:pos="540"/>
        </w:tabs>
        <w:kinsoku/>
        <w:wordWrap/>
        <w:overflowPunct/>
        <w:topLinePunct w:val="0"/>
        <w:autoSpaceDE w:val="0"/>
        <w:autoSpaceDN w:val="0"/>
        <w:bidi w:val="0"/>
        <w:adjustRightInd w:val="0"/>
        <w:spacing w:line="288" w:lineRule="auto"/>
        <w:ind w:firstLine="482" w:firstLineChars="200"/>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九、武义县殡仪馆（新馆）绿化养护管理检查考核办法</w:t>
      </w:r>
    </w:p>
    <w:p w14:paraId="1495AC0D">
      <w:pPr>
        <w:keepNext w:val="0"/>
        <w:keepLines w:val="0"/>
        <w:pageBreakBefore w:val="0"/>
        <w:widowControl w:val="0"/>
        <w:kinsoku/>
        <w:wordWrap/>
        <w:overflowPunct/>
        <w:topLinePunct w:val="0"/>
        <w:bidi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为促进武义县殡仪馆（新馆）绿化养护市场化管理工作规范化、制度化，进一步强化考核工作，提高养护管理水平，特制定本办法。</w:t>
      </w:r>
    </w:p>
    <w:p w14:paraId="43C3602F">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15" w:name="_Toc10547"/>
      <w:r>
        <w:rPr>
          <w:rFonts w:hint="eastAsia" w:ascii="仿宋" w:hAnsi="仿宋" w:eastAsia="仿宋" w:cs="仿宋"/>
          <w:b/>
          <w:bCs/>
          <w:color w:val="auto"/>
          <w:sz w:val="24"/>
          <w:szCs w:val="24"/>
          <w:highlight w:val="none"/>
          <w:lang w:val="en-US" w:eastAsia="zh-CN"/>
        </w:rPr>
        <w:t>一、考核范围</w:t>
      </w:r>
      <w:bookmarkEnd w:id="15"/>
      <w:r>
        <w:rPr>
          <w:rFonts w:hint="eastAsia" w:ascii="仿宋" w:hAnsi="仿宋" w:eastAsia="仿宋" w:cs="仿宋"/>
          <w:b/>
          <w:bCs/>
          <w:color w:val="auto"/>
          <w:sz w:val="24"/>
          <w:szCs w:val="24"/>
          <w:highlight w:val="none"/>
          <w:lang w:val="en-US" w:eastAsia="zh-CN"/>
        </w:rPr>
        <w:t xml:space="preserve"> </w:t>
      </w:r>
    </w:p>
    <w:p w14:paraId="4099B25D">
      <w:pPr>
        <w:keepNext w:val="0"/>
        <w:keepLines w:val="0"/>
        <w:pageBreakBefore w:val="0"/>
        <w:widowControl w:val="0"/>
        <w:kinsoku/>
        <w:wordWrap/>
        <w:overflowPunct/>
        <w:topLinePunct w:val="0"/>
        <w:bidi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武义县殡仪馆实行市场化养护管理的所有绿地、馆内道路附属绿地、防护绿地等。 </w:t>
      </w:r>
    </w:p>
    <w:p w14:paraId="6463A751">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16" w:name="_Toc10540"/>
      <w:r>
        <w:rPr>
          <w:rFonts w:hint="eastAsia" w:ascii="仿宋" w:hAnsi="仿宋" w:eastAsia="仿宋" w:cs="仿宋"/>
          <w:b/>
          <w:bCs/>
          <w:color w:val="auto"/>
          <w:sz w:val="24"/>
          <w:szCs w:val="24"/>
          <w:highlight w:val="none"/>
          <w:lang w:val="en-US" w:eastAsia="zh-CN"/>
        </w:rPr>
        <w:t>二、考核内容</w:t>
      </w:r>
      <w:bookmarkEnd w:id="16"/>
      <w:r>
        <w:rPr>
          <w:rFonts w:hint="eastAsia" w:ascii="仿宋" w:hAnsi="仿宋" w:eastAsia="仿宋" w:cs="仿宋"/>
          <w:b/>
          <w:bCs/>
          <w:color w:val="auto"/>
          <w:sz w:val="24"/>
          <w:szCs w:val="24"/>
          <w:highlight w:val="none"/>
          <w:lang w:val="en-US" w:eastAsia="zh-CN"/>
        </w:rPr>
        <w:t xml:space="preserve"> </w:t>
      </w:r>
    </w:p>
    <w:p w14:paraId="00A0FF3F">
      <w:pPr>
        <w:keepNext w:val="0"/>
        <w:keepLines w:val="0"/>
        <w:pageBreakBefore w:val="0"/>
        <w:widowControl w:val="0"/>
        <w:kinsoku/>
        <w:wordWrap/>
        <w:overflowPunct/>
        <w:topLinePunct w:val="0"/>
        <w:bidi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武义县殡仪馆（新馆）绿化养护管理质量、安全文明施工、人员到位情况、台账资料、园林绿化管护、日常保洁、交办件及时处置情况等方面。 </w:t>
      </w:r>
    </w:p>
    <w:p w14:paraId="35CF1CBE">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17" w:name="_Toc20954"/>
      <w:r>
        <w:rPr>
          <w:rFonts w:hint="eastAsia" w:ascii="仿宋" w:hAnsi="仿宋" w:eastAsia="仿宋" w:cs="仿宋"/>
          <w:b/>
          <w:bCs/>
          <w:color w:val="auto"/>
          <w:sz w:val="24"/>
          <w:szCs w:val="24"/>
          <w:highlight w:val="none"/>
          <w:lang w:val="en-US" w:eastAsia="zh-CN"/>
        </w:rPr>
        <w:t>三、考核要求</w:t>
      </w:r>
      <w:bookmarkEnd w:id="17"/>
      <w:r>
        <w:rPr>
          <w:rFonts w:hint="eastAsia" w:ascii="仿宋" w:hAnsi="仿宋" w:eastAsia="仿宋" w:cs="仿宋"/>
          <w:b/>
          <w:bCs/>
          <w:color w:val="auto"/>
          <w:sz w:val="24"/>
          <w:szCs w:val="24"/>
          <w:highlight w:val="none"/>
          <w:lang w:val="en-US" w:eastAsia="zh-CN"/>
        </w:rPr>
        <w:t xml:space="preserve"> </w:t>
      </w:r>
    </w:p>
    <w:p w14:paraId="43F7D8BB">
      <w:pPr>
        <w:keepNext w:val="0"/>
        <w:keepLines w:val="0"/>
        <w:pageBreakBefore w:val="0"/>
        <w:widowControl w:val="0"/>
        <w:kinsoku/>
        <w:wordWrap/>
        <w:overflowPunct/>
        <w:topLinePunct w:val="0"/>
        <w:bidi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武义县殡仪馆要组织有关人员对武义县殡仪馆（新馆）绿化养护情况进行日常巡查，并每月开展集中考核。负责巡查、考核的人员应遵循公开、公平、公正的原则，按照《武义县殡仪馆（新馆）绿化养护日常考核评分表》，认真、严格、实事求是地考核评分，确保考核工作扎实有效。 </w:t>
      </w:r>
    </w:p>
    <w:p w14:paraId="49E54EAC">
      <w:pPr>
        <w:keepNext w:val="0"/>
        <w:keepLines w:val="0"/>
        <w:pageBreakBefore w:val="0"/>
        <w:widowControl w:val="0"/>
        <w:kinsoku/>
        <w:wordWrap/>
        <w:overflowPunct/>
        <w:topLinePunct w:val="0"/>
        <w:bidi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1.人员到位情况可以查阅服务方的考勤表和工作日记，并对照武义县殡仪馆管理人员日常巡查记录确定实际到位情况。 </w:t>
      </w:r>
    </w:p>
    <w:p w14:paraId="0E69607C">
      <w:pPr>
        <w:keepNext w:val="0"/>
        <w:keepLines w:val="0"/>
        <w:pageBreakBefore w:val="0"/>
        <w:widowControl w:val="0"/>
        <w:kinsoku/>
        <w:wordWrap/>
        <w:overflowPunct/>
        <w:topLinePunct w:val="0"/>
        <w:bidi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2.养护工作台账以实际查阅服务方的台账为准。 </w:t>
      </w:r>
    </w:p>
    <w:p w14:paraId="09E6D432">
      <w:pPr>
        <w:keepNext w:val="0"/>
        <w:keepLines w:val="0"/>
        <w:pageBreakBefore w:val="0"/>
        <w:widowControl w:val="0"/>
        <w:kinsoku/>
        <w:wordWrap/>
        <w:overflowPunct/>
        <w:topLinePunct w:val="0"/>
        <w:bidi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3.安全文明施工、巡查监管情况、树木生长、卫生保洁、交办件处置等以武义县殡仪馆管理人员的日常考核记录为准。 </w:t>
      </w:r>
    </w:p>
    <w:p w14:paraId="3722A613">
      <w:pPr>
        <w:keepNext w:val="0"/>
        <w:keepLines w:val="0"/>
        <w:pageBreakBefore w:val="0"/>
        <w:widowControl w:val="0"/>
        <w:kinsoku/>
        <w:wordWrap/>
        <w:overflowPunct/>
        <w:topLinePunct w:val="0"/>
        <w:bidi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4.直接扣分项需附相关资料。 </w:t>
      </w:r>
    </w:p>
    <w:p w14:paraId="57B68C7C">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18" w:name="_Toc21936"/>
      <w:r>
        <w:rPr>
          <w:rFonts w:hint="eastAsia" w:ascii="仿宋" w:hAnsi="仿宋" w:eastAsia="仿宋" w:cs="仿宋"/>
          <w:b/>
          <w:bCs/>
          <w:color w:val="auto"/>
          <w:sz w:val="24"/>
          <w:szCs w:val="24"/>
          <w:highlight w:val="none"/>
          <w:lang w:val="en-US" w:eastAsia="zh-CN"/>
        </w:rPr>
        <w:t>四、考核方式</w:t>
      </w:r>
      <w:bookmarkEnd w:id="18"/>
      <w:r>
        <w:rPr>
          <w:rFonts w:hint="eastAsia" w:ascii="仿宋" w:hAnsi="仿宋" w:eastAsia="仿宋" w:cs="仿宋"/>
          <w:b/>
          <w:bCs/>
          <w:color w:val="auto"/>
          <w:sz w:val="24"/>
          <w:szCs w:val="24"/>
          <w:highlight w:val="none"/>
          <w:lang w:val="en-US" w:eastAsia="zh-CN"/>
        </w:rPr>
        <w:t xml:space="preserve"> </w:t>
      </w:r>
    </w:p>
    <w:p w14:paraId="1462BAD0">
      <w:pPr>
        <w:keepNext w:val="0"/>
        <w:keepLines w:val="0"/>
        <w:pageBreakBefore w:val="0"/>
        <w:widowControl w:val="0"/>
        <w:kinsoku/>
        <w:wordWrap/>
        <w:overflowPunct/>
        <w:topLinePunct w:val="0"/>
        <w:bidi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武义县殡仪馆负责武义县殡仪馆（新馆）绿化养护的日常考核工作，考核采取百分制，每月考核汇总一次，考核结果在每月末以书面形式通知服务方，作为承包经费发放及扣除的依据。 </w:t>
      </w:r>
    </w:p>
    <w:p w14:paraId="4BE44AFD">
      <w:pPr>
        <w:keepNext w:val="0"/>
        <w:keepLines w:val="0"/>
        <w:pageBreakBefore w:val="0"/>
        <w:widowControl w:val="0"/>
        <w:kinsoku/>
        <w:wordWrap/>
        <w:overflowPunct/>
        <w:topLinePunct w:val="0"/>
        <w:bidi w:val="0"/>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考核由武义县殡仪馆管理人员对各承包绿地进行巡查，按照《武义县殡仪馆（新馆）绿化养护日常考核评分表》（见附件1）要求，对发现的问题及时进行记录并通过交办件形式督促养护承包单位及时进行整改，并对安全文明施工、巡查监管情况、树木生长、卫生保洁、交办件处置等日常考核中发现的问题在日常考核记录中进行记录并扣分，在月末考核评分时进行汇总计分。 </w:t>
      </w:r>
    </w:p>
    <w:p w14:paraId="2F93E96A">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482" w:firstLineChars="200"/>
        <w:textAlignment w:val="auto"/>
        <w:outlineLvl w:val="2"/>
        <w:rPr>
          <w:rFonts w:hint="eastAsia" w:ascii="仿宋" w:hAnsi="仿宋" w:eastAsia="仿宋" w:cs="仿宋"/>
          <w:b/>
          <w:bCs/>
          <w:color w:val="auto"/>
          <w:sz w:val="24"/>
          <w:szCs w:val="24"/>
          <w:highlight w:val="none"/>
          <w:lang w:val="en-US" w:eastAsia="zh-CN"/>
        </w:rPr>
      </w:pPr>
      <w:bookmarkStart w:id="19" w:name="_Toc10619"/>
      <w:r>
        <w:rPr>
          <w:rFonts w:hint="eastAsia" w:ascii="仿宋" w:hAnsi="仿宋" w:eastAsia="仿宋" w:cs="仿宋"/>
          <w:b/>
          <w:bCs/>
          <w:color w:val="auto"/>
          <w:sz w:val="24"/>
          <w:szCs w:val="24"/>
          <w:highlight w:val="none"/>
          <w:lang w:val="en-US" w:eastAsia="zh-CN"/>
        </w:rPr>
        <w:t>五、考核运用</w:t>
      </w:r>
      <w:bookmarkEnd w:id="19"/>
      <w:r>
        <w:rPr>
          <w:rFonts w:hint="eastAsia" w:ascii="仿宋" w:hAnsi="仿宋" w:eastAsia="仿宋" w:cs="仿宋"/>
          <w:b/>
          <w:bCs/>
          <w:color w:val="auto"/>
          <w:sz w:val="24"/>
          <w:szCs w:val="24"/>
          <w:highlight w:val="none"/>
          <w:lang w:val="en-US" w:eastAsia="zh-CN"/>
        </w:rPr>
        <w:t xml:space="preserve"> </w:t>
      </w:r>
    </w:p>
    <w:p w14:paraId="0057114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考核分三个等级：A等（</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lang w:eastAsia="zh-CN"/>
        </w:rPr>
        <w:t>分（含）以上）、B等（7</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分（含）-</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lang w:eastAsia="zh-CN"/>
        </w:rPr>
        <w:t>分（不含））、C等（7</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分（不含）以下）。</w:t>
      </w:r>
    </w:p>
    <w:p w14:paraId="78CA1F7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考核为A等的，</w:t>
      </w:r>
      <w:r>
        <w:rPr>
          <w:rFonts w:hint="eastAsia" w:ascii="仿宋" w:hAnsi="仿宋" w:eastAsia="仿宋" w:cs="仿宋"/>
          <w:color w:val="auto"/>
          <w:sz w:val="24"/>
          <w:szCs w:val="24"/>
          <w:highlight w:val="none"/>
          <w:lang w:val="en-US" w:eastAsia="zh-CN"/>
        </w:rPr>
        <w:t>全额计取月养护经费</w:t>
      </w:r>
      <w:r>
        <w:rPr>
          <w:rFonts w:hint="eastAsia" w:ascii="仿宋" w:hAnsi="仿宋" w:eastAsia="仿宋" w:cs="仿宋"/>
          <w:color w:val="auto"/>
          <w:sz w:val="24"/>
          <w:szCs w:val="24"/>
          <w:highlight w:val="none"/>
          <w:lang w:eastAsia="zh-CN"/>
        </w:rPr>
        <w:t>；</w:t>
      </w:r>
    </w:p>
    <w:p w14:paraId="4DBB5CA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考核为B等的，</w:t>
      </w:r>
      <w:r>
        <w:rPr>
          <w:rFonts w:hint="eastAsia" w:ascii="仿宋" w:hAnsi="仿宋" w:eastAsia="仿宋" w:cs="仿宋"/>
          <w:color w:val="auto"/>
          <w:sz w:val="24"/>
          <w:szCs w:val="24"/>
          <w:highlight w:val="none"/>
          <w:lang w:val="en-US" w:eastAsia="zh-CN"/>
        </w:rPr>
        <w:t>每少1分，当月养护经费均扣除500元/分</w:t>
      </w:r>
      <w:r>
        <w:rPr>
          <w:rFonts w:hint="eastAsia" w:ascii="仿宋" w:hAnsi="仿宋" w:eastAsia="仿宋" w:cs="仿宋"/>
          <w:color w:val="auto"/>
          <w:sz w:val="24"/>
          <w:szCs w:val="24"/>
          <w:highlight w:val="none"/>
          <w:lang w:eastAsia="zh-CN"/>
        </w:rPr>
        <w:t>；</w:t>
      </w:r>
    </w:p>
    <w:p w14:paraId="116870B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考核为C等的，</w:t>
      </w:r>
      <w:r>
        <w:rPr>
          <w:rFonts w:hint="eastAsia" w:ascii="仿宋" w:hAnsi="仿宋" w:eastAsia="仿宋" w:cs="仿宋"/>
          <w:color w:val="auto"/>
          <w:sz w:val="24"/>
          <w:szCs w:val="24"/>
          <w:highlight w:val="none"/>
          <w:lang w:val="en-US" w:eastAsia="zh-CN"/>
        </w:rPr>
        <w:t>仅计取60%的月养护经费</w:t>
      </w:r>
      <w:r>
        <w:rPr>
          <w:rFonts w:hint="eastAsia" w:ascii="仿宋" w:hAnsi="仿宋" w:eastAsia="仿宋" w:cs="仿宋"/>
          <w:color w:val="auto"/>
          <w:sz w:val="24"/>
          <w:szCs w:val="24"/>
          <w:highlight w:val="none"/>
        </w:rPr>
        <w:t>。</w:t>
      </w:r>
    </w:p>
    <w:p w14:paraId="721C209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color w:val="auto"/>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5）对于月考核分数低于</w:t>
      </w:r>
      <w:r>
        <w:rPr>
          <w:rFonts w:hint="eastAsia" w:ascii="仿宋" w:hAnsi="仿宋" w:eastAsia="仿宋" w:cs="仿宋"/>
          <w:color w:val="auto"/>
          <w:sz w:val="24"/>
          <w:szCs w:val="24"/>
          <w:highlight w:val="none"/>
          <w:lang w:eastAsia="zh-CN"/>
        </w:rPr>
        <w:t>C等</w:t>
      </w:r>
      <w:r>
        <w:rPr>
          <w:rFonts w:hint="eastAsia" w:ascii="仿宋" w:hAnsi="仿宋" w:eastAsia="仿宋" w:cs="仿宋"/>
          <w:color w:val="auto"/>
          <w:sz w:val="24"/>
          <w:szCs w:val="24"/>
          <w:highlight w:val="none"/>
          <w:lang w:val="en-US" w:eastAsia="zh-CN"/>
        </w:rPr>
        <w:t>或中标人在养护期间私自转包的以及其他行为给采购人造成严重不良影响的，采购人有权立即终止养护合同，由此造成损失由中标人自己承担；对于单月考核分小于</w:t>
      </w:r>
      <w:r>
        <w:rPr>
          <w:rFonts w:hint="eastAsia" w:ascii="仿宋" w:hAnsi="仿宋" w:eastAsia="仿宋" w:cs="仿宋"/>
          <w:color w:val="auto"/>
          <w:sz w:val="24"/>
          <w:szCs w:val="24"/>
          <w:highlight w:val="none"/>
          <w:lang w:eastAsia="zh-CN"/>
        </w:rPr>
        <w:t>C等</w:t>
      </w:r>
      <w:r>
        <w:rPr>
          <w:rFonts w:hint="eastAsia" w:ascii="仿宋" w:hAnsi="仿宋" w:eastAsia="仿宋" w:cs="仿宋"/>
          <w:color w:val="auto"/>
          <w:sz w:val="24"/>
          <w:szCs w:val="24"/>
          <w:highlight w:val="none"/>
          <w:lang w:val="en-US" w:eastAsia="zh-CN"/>
        </w:rPr>
        <w:t>，约谈养护项目负责人或企业法人代表，一年内有累计2个月（非连续）考核分小于</w:t>
      </w:r>
      <w:r>
        <w:rPr>
          <w:rFonts w:hint="eastAsia" w:ascii="仿宋" w:hAnsi="仿宋" w:eastAsia="仿宋" w:cs="仿宋"/>
          <w:color w:val="auto"/>
          <w:sz w:val="24"/>
          <w:szCs w:val="24"/>
          <w:highlight w:val="none"/>
          <w:lang w:eastAsia="zh-CN"/>
        </w:rPr>
        <w:t>C等</w:t>
      </w:r>
      <w:r>
        <w:rPr>
          <w:rFonts w:hint="eastAsia" w:ascii="仿宋" w:hAnsi="仿宋" w:eastAsia="仿宋" w:cs="仿宋"/>
          <w:color w:val="auto"/>
          <w:sz w:val="24"/>
          <w:szCs w:val="24"/>
          <w:highlight w:val="none"/>
          <w:lang w:val="en-US" w:eastAsia="zh-CN"/>
        </w:rPr>
        <w:t>，采购人予以通报；一年内有累计3个月（非连续）考核分小于</w:t>
      </w:r>
      <w:r>
        <w:rPr>
          <w:rFonts w:hint="eastAsia" w:ascii="仿宋" w:hAnsi="仿宋" w:eastAsia="仿宋" w:cs="仿宋"/>
          <w:color w:val="auto"/>
          <w:sz w:val="24"/>
          <w:szCs w:val="24"/>
          <w:highlight w:val="none"/>
          <w:lang w:eastAsia="zh-CN"/>
        </w:rPr>
        <w:t>C等</w:t>
      </w:r>
      <w:r>
        <w:rPr>
          <w:rFonts w:hint="eastAsia" w:ascii="仿宋" w:hAnsi="仿宋" w:eastAsia="仿宋" w:cs="仿宋"/>
          <w:color w:val="auto"/>
          <w:sz w:val="24"/>
          <w:szCs w:val="24"/>
          <w:highlight w:val="none"/>
          <w:lang w:val="en-US" w:eastAsia="zh-CN"/>
        </w:rPr>
        <w:t>，采购人有权立即终止养护合同，由此造成损失由中标人自己承担。</w:t>
      </w:r>
    </w:p>
    <w:p w14:paraId="493DA754">
      <w:pPr>
        <w:keepNext w:val="0"/>
        <w:keepLines w:val="0"/>
        <w:pageBreakBefore w:val="0"/>
        <w:widowControl w:val="0"/>
        <w:kinsoku/>
        <w:wordWrap/>
        <w:overflowPunct/>
        <w:topLinePunct w:val="0"/>
        <w:bidi w:val="0"/>
        <w:snapToGrid/>
        <w:ind w:firstLine="480" w:firstLineChars="200"/>
        <w:textAlignment w:val="auto"/>
        <w:rPr>
          <w:rFonts w:hint="eastAsia" w:ascii="仿宋" w:hAnsi="仿宋" w:eastAsia="仿宋" w:cs="仿宋"/>
          <w:color w:val="auto"/>
          <w:sz w:val="24"/>
          <w:szCs w:val="24"/>
          <w:highlight w:val="none"/>
          <w:lang w:val="en-US" w:eastAsia="zh-CN"/>
        </w:rPr>
      </w:pPr>
    </w:p>
    <w:p w14:paraId="0BAE44C4">
      <w:pP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br w:type="page"/>
      </w:r>
    </w:p>
    <w:p w14:paraId="53E6B051">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both"/>
        <w:textAlignment w:val="auto"/>
        <w:outlineLvl w:val="9"/>
        <w:rPr>
          <w:rFonts w:hint="eastAsia" w:ascii="仿宋" w:hAnsi="仿宋" w:eastAsia="仿宋" w:cs="仿宋"/>
          <w:b/>
          <w:bCs/>
          <w:color w:val="auto"/>
          <w:sz w:val="30"/>
          <w:szCs w:val="30"/>
          <w:highlight w:val="none"/>
          <w:lang w:val="en-US" w:eastAsia="zh-CN"/>
        </w:rPr>
        <w:sectPr>
          <w:footerReference r:id="rId9" w:type="default"/>
          <w:pgSz w:w="11906" w:h="16838"/>
          <w:pgMar w:top="1247" w:right="1134" w:bottom="1020" w:left="1418" w:header="851" w:footer="907" w:gutter="0"/>
          <w:pgBorders>
            <w:top w:val="none" w:sz="0" w:space="0"/>
            <w:left w:val="none" w:sz="0" w:space="0"/>
            <w:bottom w:val="none" w:sz="0" w:space="0"/>
            <w:right w:val="none" w:sz="0" w:space="0"/>
          </w:pgBorders>
          <w:pgNumType w:fmt="decimal"/>
          <w:cols w:space="720" w:num="1"/>
          <w:titlePg/>
          <w:docGrid w:type="lines" w:linePitch="312" w:charSpace="0"/>
        </w:sectPr>
      </w:pPr>
    </w:p>
    <w:p w14:paraId="0D6CD3FD">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jc w:val="both"/>
        <w:textAlignment w:val="auto"/>
        <w:outlineLvl w:val="9"/>
        <w:rPr>
          <w:rFonts w:hint="default" w:ascii="仿宋" w:hAnsi="仿宋" w:eastAsia="仿宋" w:cs="仿宋"/>
          <w:b/>
          <w:bCs/>
          <w:color w:val="auto"/>
          <w:sz w:val="30"/>
          <w:szCs w:val="30"/>
          <w:highlight w:val="none"/>
          <w:lang w:val="en-US" w:eastAsia="zh-CN"/>
        </w:rPr>
      </w:pPr>
      <w:r>
        <w:rPr>
          <w:rFonts w:hint="eastAsia" w:ascii="仿宋" w:hAnsi="仿宋" w:eastAsia="仿宋" w:cs="仿宋"/>
          <w:color w:val="auto"/>
          <w:sz w:val="24"/>
          <w:szCs w:val="24"/>
          <w:highlight w:val="none"/>
          <w:lang w:val="en-US" w:eastAsia="zh-CN"/>
        </w:rPr>
        <w:t>附件1:</w:t>
      </w:r>
    </w:p>
    <w:p w14:paraId="6C124C12">
      <w:pPr>
        <w:keepNext w:val="0"/>
        <w:keepLines w:val="0"/>
        <w:pageBreakBefore w:val="0"/>
        <w:widowControl w:val="0"/>
        <w:tabs>
          <w:tab w:val="left" w:pos="540"/>
        </w:tabs>
        <w:kinsoku/>
        <w:wordWrap/>
        <w:overflowPunct/>
        <w:topLinePunct w:val="0"/>
        <w:autoSpaceDE w:val="0"/>
        <w:autoSpaceDN w:val="0"/>
        <w:bidi w:val="0"/>
        <w:adjustRightInd w:val="0"/>
        <w:snapToGrid/>
        <w:spacing w:line="288" w:lineRule="auto"/>
        <w:ind w:firstLine="602" w:firstLineChars="200"/>
        <w:jc w:val="center"/>
        <w:textAlignment w:val="auto"/>
        <w:outlineLvl w:val="9"/>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武义县殡仪馆（新馆）绿化养护日常考核评分表</w:t>
      </w:r>
    </w:p>
    <w:tbl>
      <w:tblPr>
        <w:tblStyle w:val="28"/>
        <w:tblW w:w="13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533"/>
        <w:gridCol w:w="7025"/>
        <w:gridCol w:w="1529"/>
        <w:gridCol w:w="1730"/>
      </w:tblGrid>
      <w:tr w14:paraId="57B6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gridSpan w:val="2"/>
            <w:vAlign w:val="center"/>
          </w:tcPr>
          <w:p w14:paraId="63341B5F">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考核项目</w:t>
            </w:r>
          </w:p>
        </w:tc>
        <w:tc>
          <w:tcPr>
            <w:tcW w:w="7025" w:type="dxa"/>
            <w:vAlign w:val="center"/>
          </w:tcPr>
          <w:p w14:paraId="7556B376">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考核评分办法</w:t>
            </w:r>
          </w:p>
        </w:tc>
        <w:tc>
          <w:tcPr>
            <w:tcW w:w="1529" w:type="dxa"/>
            <w:vAlign w:val="center"/>
          </w:tcPr>
          <w:p w14:paraId="383BA14A">
            <w:pPr>
              <w:keepNext w:val="0"/>
              <w:keepLines w:val="0"/>
              <w:widowControl/>
              <w:suppressLineNumbers w:val="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分值</w:t>
            </w:r>
          </w:p>
        </w:tc>
        <w:tc>
          <w:tcPr>
            <w:tcW w:w="1730" w:type="dxa"/>
            <w:vAlign w:val="center"/>
          </w:tcPr>
          <w:p w14:paraId="2289797D">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bidi="ar"/>
              </w:rPr>
              <w:t>考核得分</w:t>
            </w:r>
          </w:p>
        </w:tc>
      </w:tr>
      <w:tr w14:paraId="60CB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restart"/>
            <w:vAlign w:val="center"/>
          </w:tcPr>
          <w:p w14:paraId="18A99387">
            <w:pPr>
              <w:keepNext w:val="0"/>
              <w:keepLines w:val="0"/>
              <w:widowControl/>
              <w:suppressLineNumbers w:val="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日常考核</w:t>
            </w:r>
          </w:p>
          <w:p w14:paraId="070DE474">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sz w:val="24"/>
                <w:szCs w:val="24"/>
                <w:highlight w:val="none"/>
                <w:vertAlign w:val="baseline"/>
                <w:lang w:val="en-US" w:eastAsia="zh-CN"/>
              </w:rPr>
            </w:pPr>
          </w:p>
        </w:tc>
        <w:tc>
          <w:tcPr>
            <w:tcW w:w="1533" w:type="dxa"/>
            <w:vAlign w:val="center"/>
          </w:tcPr>
          <w:p w14:paraId="77FC774E">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安全文明施工</w:t>
            </w:r>
          </w:p>
        </w:tc>
        <w:tc>
          <w:tcPr>
            <w:tcW w:w="7025" w:type="dxa"/>
            <w:vAlign w:val="center"/>
          </w:tcPr>
          <w:p w14:paraId="4FB0EC1B">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对发现有安全隐患的树木、设施或作业现场而未做安全防护措施，每次扣1分，有严重安全隐患而未做安全防护措施的每次扣1分；设置不规范，每次扣1分；养护工人未统一着装（有明显反光标志）每人次扣0.5分。</w:t>
            </w:r>
          </w:p>
        </w:tc>
        <w:tc>
          <w:tcPr>
            <w:tcW w:w="1529" w:type="dxa"/>
            <w:vAlign w:val="center"/>
          </w:tcPr>
          <w:p w14:paraId="13F97ADB">
            <w:pPr>
              <w:keepNext w:val="0"/>
              <w:keepLines w:val="0"/>
              <w:pageBreakBefore w:val="0"/>
              <w:widowControl w:val="0"/>
              <w:kinsoku/>
              <w:wordWrap/>
              <w:overflowPunct/>
              <w:topLinePunct w:val="0"/>
              <w:bidi w:val="0"/>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0-6</w:t>
            </w:r>
          </w:p>
        </w:tc>
        <w:tc>
          <w:tcPr>
            <w:tcW w:w="1730" w:type="dxa"/>
            <w:vAlign w:val="center"/>
          </w:tcPr>
          <w:p w14:paraId="56FA8198">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7704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continue"/>
            <w:vAlign w:val="center"/>
          </w:tcPr>
          <w:p w14:paraId="5548D1BD">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sz w:val="24"/>
                <w:szCs w:val="24"/>
                <w:highlight w:val="none"/>
                <w:vertAlign w:val="baseline"/>
                <w:lang w:val="en-US" w:eastAsia="zh-CN"/>
              </w:rPr>
            </w:pPr>
          </w:p>
        </w:tc>
        <w:tc>
          <w:tcPr>
            <w:tcW w:w="1533" w:type="dxa"/>
            <w:vAlign w:val="center"/>
          </w:tcPr>
          <w:p w14:paraId="213AF718">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巡查监管情况</w:t>
            </w:r>
          </w:p>
        </w:tc>
        <w:tc>
          <w:tcPr>
            <w:tcW w:w="7025" w:type="dxa"/>
            <w:vAlign w:val="center"/>
          </w:tcPr>
          <w:p w14:paraId="5A247FE3">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加强绿化及园林设施巡查。对未经批准，擅自占用、改变绿地或擅自砍伐、移植、修剪树木等破坏绿化行为的要及时制止并上报，24小时内未制止或上报的，每起扣0.5分。在公园绿地内停放车辆、攀折枝条、倾倒垃圾杂物、损坏设施等破坏绿化的现象及时制止或处置，并及时上报，未处置或上报的每发现一起扣0.5分。</w:t>
            </w:r>
          </w:p>
        </w:tc>
        <w:tc>
          <w:tcPr>
            <w:tcW w:w="1529" w:type="dxa"/>
            <w:vAlign w:val="center"/>
          </w:tcPr>
          <w:p w14:paraId="4CB75ECB">
            <w:pPr>
              <w:keepNext w:val="0"/>
              <w:keepLines w:val="0"/>
              <w:pageBreakBefore w:val="0"/>
              <w:widowControl w:val="0"/>
              <w:kinsoku/>
              <w:wordWrap/>
              <w:overflowPunct/>
              <w:topLinePunct w:val="0"/>
              <w:bidi w:val="0"/>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0-6</w:t>
            </w:r>
          </w:p>
        </w:tc>
        <w:tc>
          <w:tcPr>
            <w:tcW w:w="1730" w:type="dxa"/>
            <w:vAlign w:val="center"/>
          </w:tcPr>
          <w:p w14:paraId="37F7C24B">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6CCF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continue"/>
            <w:vAlign w:val="center"/>
          </w:tcPr>
          <w:p w14:paraId="06C3ADD4">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sz w:val="24"/>
                <w:szCs w:val="24"/>
                <w:highlight w:val="none"/>
                <w:vertAlign w:val="baseline"/>
                <w:lang w:val="en-US" w:eastAsia="zh-CN"/>
              </w:rPr>
            </w:pPr>
          </w:p>
        </w:tc>
        <w:tc>
          <w:tcPr>
            <w:tcW w:w="1533" w:type="dxa"/>
            <w:vAlign w:val="center"/>
          </w:tcPr>
          <w:p w14:paraId="0B79CDED">
            <w:pPr>
              <w:keepNext w:val="0"/>
              <w:keepLines w:val="0"/>
              <w:widowControl/>
              <w:suppressLineNumbers w:val="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树木生长</w:t>
            </w:r>
          </w:p>
        </w:tc>
        <w:tc>
          <w:tcPr>
            <w:tcW w:w="7025" w:type="dxa"/>
            <w:vAlign w:val="center"/>
          </w:tcPr>
          <w:p w14:paraId="26231C5E">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因养护管理不到位造成树木超过1/3枝条枯死的，每株乔木或球类扣1分，灌木集中死亡超过1㎡，草坪地被超过10㎡的，每处扣1分；因养护管理不到位造成树木严重生长不良的，每株乔木或球类扣0.5分，灌木超过1㎡，草坪地被超过10㎡的，每处扣0.5分。</w:t>
            </w:r>
          </w:p>
        </w:tc>
        <w:tc>
          <w:tcPr>
            <w:tcW w:w="1529" w:type="dxa"/>
            <w:vAlign w:val="center"/>
          </w:tcPr>
          <w:p w14:paraId="630B5248">
            <w:pPr>
              <w:keepNext w:val="0"/>
              <w:keepLines w:val="0"/>
              <w:pageBreakBefore w:val="0"/>
              <w:widowControl w:val="0"/>
              <w:kinsoku/>
              <w:wordWrap/>
              <w:overflowPunct/>
              <w:topLinePunct w:val="0"/>
              <w:bidi w:val="0"/>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0-6</w:t>
            </w:r>
          </w:p>
        </w:tc>
        <w:tc>
          <w:tcPr>
            <w:tcW w:w="1730" w:type="dxa"/>
            <w:vAlign w:val="center"/>
          </w:tcPr>
          <w:p w14:paraId="36D5EBC0">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338A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304" w:type="dxa"/>
            <w:vMerge w:val="continue"/>
            <w:vAlign w:val="center"/>
          </w:tcPr>
          <w:p w14:paraId="3B1ABEA0">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sz w:val="24"/>
                <w:szCs w:val="24"/>
                <w:highlight w:val="none"/>
                <w:vertAlign w:val="baseline"/>
                <w:lang w:val="en-US" w:eastAsia="zh-CN"/>
              </w:rPr>
            </w:pPr>
          </w:p>
        </w:tc>
        <w:tc>
          <w:tcPr>
            <w:tcW w:w="1533" w:type="dxa"/>
            <w:vAlign w:val="center"/>
          </w:tcPr>
          <w:p w14:paraId="67F4D5A2">
            <w:pPr>
              <w:keepNext w:val="0"/>
              <w:keepLines w:val="0"/>
              <w:widowControl/>
              <w:suppressLineNumbers w:val="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kern w:val="0"/>
                <w:sz w:val="24"/>
                <w:szCs w:val="24"/>
                <w:highlight w:val="none"/>
                <w:lang w:val="en-US" w:eastAsia="zh-CN" w:bidi="ar"/>
              </w:rPr>
              <w:t>卫生保洁</w:t>
            </w:r>
          </w:p>
        </w:tc>
        <w:tc>
          <w:tcPr>
            <w:tcW w:w="7025" w:type="dxa"/>
            <w:vAlign w:val="center"/>
          </w:tcPr>
          <w:p w14:paraId="0456E67E">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发现垃圾未日产日清或清理不及时造成垃圾桶满溢、发现垃圾桶外暴露垃圾、垃圾桶收集后未清扫周边地面垃圾的，每起扣0.5分；有明显积尘、污渍、乱贴乱画的每起扣0.5分。</w:t>
            </w:r>
          </w:p>
          <w:p w14:paraId="725E9019">
            <w:pPr>
              <w:keepNext w:val="0"/>
              <w:keepLines w:val="0"/>
              <w:pageBreakBefore w:val="0"/>
              <w:widowControl w:val="0"/>
              <w:kinsoku/>
              <w:wordWrap/>
              <w:overflowPunct/>
              <w:topLinePunct w:val="0"/>
              <w:bidi w:val="0"/>
              <w:snapToGrid/>
              <w:jc w:val="both"/>
              <w:textAlignment w:val="auto"/>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绿地、水域内有垃圾遗留每次扣0.5分。</w:t>
            </w:r>
          </w:p>
        </w:tc>
        <w:tc>
          <w:tcPr>
            <w:tcW w:w="1529" w:type="dxa"/>
            <w:vAlign w:val="center"/>
          </w:tcPr>
          <w:p w14:paraId="0C7D6AF6">
            <w:pPr>
              <w:keepNext w:val="0"/>
              <w:keepLines w:val="0"/>
              <w:pageBreakBefore w:val="0"/>
              <w:widowControl w:val="0"/>
              <w:kinsoku/>
              <w:wordWrap/>
              <w:overflowPunct/>
              <w:topLinePunct w:val="0"/>
              <w:bidi w:val="0"/>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0-5</w:t>
            </w:r>
          </w:p>
        </w:tc>
        <w:tc>
          <w:tcPr>
            <w:tcW w:w="1730" w:type="dxa"/>
            <w:vAlign w:val="center"/>
          </w:tcPr>
          <w:p w14:paraId="52C5714C">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7381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restart"/>
            <w:shd w:val="clear" w:color="auto" w:fill="auto"/>
            <w:vAlign w:val="center"/>
          </w:tcPr>
          <w:p w14:paraId="4ED6E542">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月考核</w:t>
            </w:r>
          </w:p>
        </w:tc>
        <w:tc>
          <w:tcPr>
            <w:tcW w:w="1533" w:type="dxa"/>
            <w:shd w:val="clear" w:color="auto" w:fill="auto"/>
            <w:vAlign w:val="center"/>
          </w:tcPr>
          <w:p w14:paraId="7A0EF577">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人员到位情况</w:t>
            </w:r>
          </w:p>
        </w:tc>
        <w:tc>
          <w:tcPr>
            <w:tcW w:w="7025" w:type="dxa"/>
            <w:shd w:val="clear" w:color="auto" w:fill="auto"/>
            <w:vAlign w:val="center"/>
          </w:tcPr>
          <w:p w14:paraId="22A013A4">
            <w:pPr>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项目负责人每月到位不少于22天，每少一天扣0.5分。</w:t>
            </w:r>
          </w:p>
          <w:p w14:paraId="6B76FF02">
            <w:pPr>
              <w:pStyle w:val="2"/>
              <w:keepNext w:val="0"/>
              <w:keepLines w:val="0"/>
              <w:pageBreakBefore w:val="0"/>
              <w:widowControl w:val="0"/>
              <w:kinsoku/>
              <w:wordWrap/>
              <w:overflowPunct/>
              <w:topLinePunct w:val="0"/>
              <w:bidi w:val="0"/>
              <w:snapToGrid/>
              <w:spacing w:after="0" w:line="240" w:lineRule="auto"/>
              <w:ind w:left="0" w:leftChars="0" w:firstLine="0" w:firstLineChars="0"/>
              <w:jc w:val="both"/>
              <w:textAlignment w:val="auto"/>
              <w:rPr>
                <w:rFonts w:hint="default"/>
                <w:color w:val="auto"/>
                <w:lang w:val="en-US" w:eastAsia="zh-CN"/>
              </w:rPr>
            </w:pPr>
            <w:r>
              <w:rPr>
                <w:rFonts w:hint="eastAsia" w:ascii="仿宋" w:hAnsi="仿宋" w:eastAsia="仿宋" w:cs="仿宋"/>
                <w:color w:val="auto"/>
                <w:sz w:val="24"/>
                <w:szCs w:val="24"/>
                <w:highlight w:val="none"/>
                <w:lang w:val="en-US" w:eastAsia="zh-CN"/>
              </w:rPr>
              <w:t>养护人员每月到位不少于22天，每少一天扣0.5分。</w:t>
            </w:r>
          </w:p>
        </w:tc>
        <w:tc>
          <w:tcPr>
            <w:tcW w:w="1529" w:type="dxa"/>
            <w:shd w:val="clear" w:color="auto" w:fill="auto"/>
            <w:vAlign w:val="center"/>
          </w:tcPr>
          <w:p w14:paraId="64398B9E">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0-22</w:t>
            </w:r>
          </w:p>
        </w:tc>
        <w:tc>
          <w:tcPr>
            <w:tcW w:w="1730" w:type="dxa"/>
            <w:vAlign w:val="center"/>
          </w:tcPr>
          <w:p w14:paraId="3B4F1ED9">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369A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continue"/>
            <w:vAlign w:val="center"/>
          </w:tcPr>
          <w:p w14:paraId="2F642B3B">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sz w:val="24"/>
                <w:szCs w:val="24"/>
                <w:highlight w:val="none"/>
                <w:lang w:val="en-US" w:eastAsia="zh-CN"/>
              </w:rPr>
            </w:pPr>
          </w:p>
        </w:tc>
        <w:tc>
          <w:tcPr>
            <w:tcW w:w="1533" w:type="dxa"/>
            <w:shd w:val="clear" w:color="auto" w:fill="auto"/>
            <w:vAlign w:val="center"/>
          </w:tcPr>
          <w:p w14:paraId="6DC20BFC">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养护工作台账</w:t>
            </w:r>
          </w:p>
        </w:tc>
        <w:tc>
          <w:tcPr>
            <w:tcW w:w="7025" w:type="dxa"/>
            <w:shd w:val="clear" w:color="auto" w:fill="auto"/>
            <w:vAlign w:val="center"/>
          </w:tcPr>
          <w:p w14:paraId="080015E8">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要有养护管理制度、月养护计划、日常养护工作记录、安全台账等，每少一部分扣0.5分。养护日常记录真实齐全，台账记录不全视情扣0.5—1分。</w:t>
            </w:r>
          </w:p>
        </w:tc>
        <w:tc>
          <w:tcPr>
            <w:tcW w:w="1529" w:type="dxa"/>
            <w:shd w:val="clear" w:color="auto" w:fill="auto"/>
            <w:vAlign w:val="center"/>
          </w:tcPr>
          <w:p w14:paraId="0A203556">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0-5</w:t>
            </w:r>
          </w:p>
        </w:tc>
        <w:tc>
          <w:tcPr>
            <w:tcW w:w="1730" w:type="dxa"/>
            <w:vAlign w:val="center"/>
          </w:tcPr>
          <w:p w14:paraId="70EAEB94">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4B71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restart"/>
            <w:vAlign w:val="center"/>
          </w:tcPr>
          <w:p w14:paraId="528C09FF">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月末质量考核</w:t>
            </w:r>
          </w:p>
        </w:tc>
        <w:tc>
          <w:tcPr>
            <w:tcW w:w="1533" w:type="dxa"/>
            <w:shd w:val="clear" w:color="auto" w:fill="auto"/>
            <w:vAlign w:val="center"/>
          </w:tcPr>
          <w:p w14:paraId="49358FC4">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植物长势</w:t>
            </w:r>
          </w:p>
        </w:tc>
        <w:tc>
          <w:tcPr>
            <w:tcW w:w="7025" w:type="dxa"/>
            <w:shd w:val="clear" w:color="auto" w:fill="auto"/>
            <w:vAlign w:val="center"/>
          </w:tcPr>
          <w:p w14:paraId="4D950F71">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1.生长健壮，季相分明，色彩丰富，景观优美。 </w:t>
            </w:r>
          </w:p>
          <w:p w14:paraId="65C7295A">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2.乔木树冠完整，树形优美；花灌木株形丰满，枝叶茂密，开花适时。 </w:t>
            </w:r>
          </w:p>
          <w:p w14:paraId="1FDD293D">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3.叶片在正常条件下不黄叶，不焦叶，不卷叶，不落叶。 </w:t>
            </w:r>
          </w:p>
          <w:p w14:paraId="441B1BE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4.暖季型草坪冬季套种黑麦草，全年草坪基本不枯黄。</w:t>
            </w:r>
          </w:p>
        </w:tc>
        <w:tc>
          <w:tcPr>
            <w:tcW w:w="1529" w:type="dxa"/>
            <w:shd w:val="clear" w:color="auto" w:fill="auto"/>
            <w:vAlign w:val="center"/>
          </w:tcPr>
          <w:p w14:paraId="67D46326">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好：6.1-8</w:t>
            </w:r>
          </w:p>
          <w:p w14:paraId="4F99998E">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良好：4.1-6</w:t>
            </w:r>
          </w:p>
          <w:p w14:paraId="217ABF60">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一般：2.1-4</w:t>
            </w:r>
          </w:p>
          <w:p w14:paraId="6DC9C31C">
            <w:pPr>
              <w:keepNext w:val="0"/>
              <w:keepLines w:val="0"/>
              <w:widowControl/>
              <w:suppressLineNumbers w:val="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差：0-2</w:t>
            </w:r>
          </w:p>
        </w:tc>
        <w:tc>
          <w:tcPr>
            <w:tcW w:w="1730" w:type="dxa"/>
            <w:vAlign w:val="center"/>
          </w:tcPr>
          <w:p w14:paraId="16B28076">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4011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continue"/>
            <w:vAlign w:val="center"/>
          </w:tcPr>
          <w:p w14:paraId="05EB5A1A">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p>
        </w:tc>
        <w:tc>
          <w:tcPr>
            <w:tcW w:w="1533" w:type="dxa"/>
            <w:shd w:val="clear" w:color="auto" w:fill="auto"/>
            <w:vAlign w:val="center"/>
          </w:tcPr>
          <w:p w14:paraId="2C705DED">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植物保存率</w:t>
            </w:r>
          </w:p>
        </w:tc>
        <w:tc>
          <w:tcPr>
            <w:tcW w:w="7025" w:type="dxa"/>
            <w:shd w:val="clear" w:color="auto" w:fill="auto"/>
            <w:vAlign w:val="center"/>
          </w:tcPr>
          <w:p w14:paraId="7FCAD5D4">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1.绿地内无死株残留，及时清理。</w:t>
            </w:r>
          </w:p>
          <w:p w14:paraId="23F2E5EB">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2.行道树无缺株，及时补植。</w:t>
            </w:r>
          </w:p>
          <w:p w14:paraId="3ECB2C37">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3.其他乔木、花灌木缺株≤1%；绿篱缺株≤1%，成片空缺≤0.3㎡；草坪、地被植物覆盖率98%以上，草坪单块斑秃面积不超过0.3㎡且100㎡绿地内斑秃面积不超过1块；水生植物缺株≤3%，成片空缺≤1㎡；空缺苗木适时补种。</w:t>
            </w:r>
          </w:p>
        </w:tc>
        <w:tc>
          <w:tcPr>
            <w:tcW w:w="1529" w:type="dxa"/>
            <w:shd w:val="clear" w:color="auto" w:fill="auto"/>
            <w:vAlign w:val="center"/>
          </w:tcPr>
          <w:p w14:paraId="20FF0D1F">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好：6.1-8</w:t>
            </w:r>
          </w:p>
          <w:p w14:paraId="2E4AF601">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良好：4.1-6</w:t>
            </w:r>
          </w:p>
          <w:p w14:paraId="3A0E3E81">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一般：2.1-4</w:t>
            </w:r>
          </w:p>
          <w:p w14:paraId="6A18F718">
            <w:pPr>
              <w:keepNext w:val="0"/>
              <w:keepLines w:val="0"/>
              <w:widowControl/>
              <w:suppressLineNumbers w:val="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差：0-2</w:t>
            </w:r>
          </w:p>
        </w:tc>
        <w:tc>
          <w:tcPr>
            <w:tcW w:w="1730" w:type="dxa"/>
            <w:vAlign w:val="center"/>
          </w:tcPr>
          <w:p w14:paraId="4A177D94">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4015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continue"/>
            <w:vAlign w:val="center"/>
          </w:tcPr>
          <w:p w14:paraId="44D6615D">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p>
        </w:tc>
        <w:tc>
          <w:tcPr>
            <w:tcW w:w="1533" w:type="dxa"/>
            <w:vAlign w:val="center"/>
          </w:tcPr>
          <w:p w14:paraId="0803730F">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修剪</w:t>
            </w:r>
          </w:p>
        </w:tc>
        <w:tc>
          <w:tcPr>
            <w:tcW w:w="7025" w:type="dxa"/>
            <w:shd w:val="clear" w:color="auto" w:fill="auto"/>
            <w:vAlign w:val="center"/>
          </w:tcPr>
          <w:p w14:paraId="04E52DA1">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1.无断枝、枯枝、病虫枝。</w:t>
            </w:r>
          </w:p>
          <w:p w14:paraId="7F450DCD">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2.乔木无徒长枝、交叉枝、重叠枝、下垂枝、扭伤枝、萌蘖枝等，内膛不乱，通风透光。枝下高基本一致，行道树枝下高基本达到2.5m以上。</w:t>
            </w:r>
          </w:p>
          <w:p w14:paraId="756C193F">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3.花灌木花后修剪及时合理。</w:t>
            </w:r>
          </w:p>
          <w:p w14:paraId="6F470648">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4.绿篱、模纹和色块等修剪及时，无夹杂其他植物。绿篱线条清晰，同类观赏面规则，整齐一致；模纹和色块线条流畅、主要观赏面圆润饱满，符合设计要求。造型树木根据不同的生长特性及时摘心、攀扎。</w:t>
            </w:r>
          </w:p>
          <w:p w14:paraId="51D20A9B">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5.地被、水生植物枯枝、残花量≤5％，修剪及时，植物休眠期枯枝及时修剪。</w:t>
            </w:r>
          </w:p>
          <w:p w14:paraId="122DC9FC">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6.草坪平坦整洁，边缘线清晰，草坪高度不得大于6cm，及时修剪草坪，每次修剪高度不大于草高的1/3，修剪后无残留草屑。</w:t>
            </w:r>
          </w:p>
        </w:tc>
        <w:tc>
          <w:tcPr>
            <w:tcW w:w="1529" w:type="dxa"/>
            <w:shd w:val="clear" w:color="auto" w:fill="auto"/>
            <w:vAlign w:val="center"/>
          </w:tcPr>
          <w:p w14:paraId="31CC25FB">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好：6.1-7</w:t>
            </w:r>
          </w:p>
          <w:p w14:paraId="285909A2">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良好：4.1-6</w:t>
            </w:r>
          </w:p>
          <w:p w14:paraId="3C5E9FFF">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一般：2.1-4</w:t>
            </w:r>
          </w:p>
          <w:p w14:paraId="37FAC1AB">
            <w:pPr>
              <w:keepNext w:val="0"/>
              <w:keepLines w:val="0"/>
              <w:widowControl/>
              <w:suppressLineNumbers w:val="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差：0-2</w:t>
            </w:r>
          </w:p>
        </w:tc>
        <w:tc>
          <w:tcPr>
            <w:tcW w:w="1730" w:type="dxa"/>
            <w:vAlign w:val="center"/>
          </w:tcPr>
          <w:p w14:paraId="7FEEFA62">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3C55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continue"/>
            <w:vAlign w:val="center"/>
          </w:tcPr>
          <w:p w14:paraId="7A5796AA">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p>
        </w:tc>
        <w:tc>
          <w:tcPr>
            <w:tcW w:w="1533" w:type="dxa"/>
            <w:shd w:val="clear" w:color="auto" w:fill="auto"/>
            <w:vAlign w:val="center"/>
          </w:tcPr>
          <w:p w14:paraId="5C441455">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病虫害防治</w:t>
            </w:r>
          </w:p>
        </w:tc>
        <w:tc>
          <w:tcPr>
            <w:tcW w:w="7025" w:type="dxa"/>
            <w:shd w:val="clear" w:color="auto" w:fill="auto"/>
            <w:vAlign w:val="center"/>
          </w:tcPr>
          <w:p w14:paraId="3D0DD666">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基本无病虫危害症状，被害株率或面积≤</w:t>
            </w:r>
            <w:r>
              <w:rPr>
                <w:rFonts w:hint="default" w:ascii="仿宋" w:hAnsi="仿宋" w:eastAsia="仿宋" w:cs="仿宋"/>
                <w:b w:val="0"/>
                <w:bCs w:val="0"/>
                <w:color w:val="auto"/>
                <w:kern w:val="0"/>
                <w:sz w:val="24"/>
                <w:szCs w:val="24"/>
                <w:highlight w:val="none"/>
                <w:vertAlign w:val="baseline"/>
                <w:lang w:val="en-US" w:eastAsia="zh-CN" w:bidi="ar"/>
              </w:rPr>
              <w:t>2%</w:t>
            </w:r>
            <w:r>
              <w:rPr>
                <w:rFonts w:hint="eastAsia" w:ascii="仿宋" w:hAnsi="仿宋" w:eastAsia="仿宋" w:cs="仿宋"/>
                <w:b w:val="0"/>
                <w:bCs w:val="0"/>
                <w:color w:val="auto"/>
                <w:kern w:val="0"/>
                <w:sz w:val="24"/>
                <w:szCs w:val="24"/>
                <w:highlight w:val="none"/>
                <w:vertAlign w:val="baseline"/>
                <w:lang w:val="en-US" w:eastAsia="zh-CN" w:bidi="ar"/>
              </w:rPr>
              <w:t>。</w:t>
            </w:r>
          </w:p>
        </w:tc>
        <w:tc>
          <w:tcPr>
            <w:tcW w:w="1529" w:type="dxa"/>
            <w:shd w:val="clear" w:color="auto" w:fill="auto"/>
            <w:vAlign w:val="center"/>
          </w:tcPr>
          <w:p w14:paraId="7CDC9BEC">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好：6.1-7</w:t>
            </w:r>
          </w:p>
          <w:p w14:paraId="7EB9F8FB">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良好：4.1-6</w:t>
            </w:r>
          </w:p>
          <w:p w14:paraId="63C3243E">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一般：2.1-4</w:t>
            </w:r>
          </w:p>
          <w:p w14:paraId="696B8C47">
            <w:pPr>
              <w:keepNext w:val="0"/>
              <w:keepLines w:val="0"/>
              <w:widowControl/>
              <w:suppressLineNumbers w:val="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差：0-2</w:t>
            </w:r>
          </w:p>
        </w:tc>
        <w:tc>
          <w:tcPr>
            <w:tcW w:w="1730" w:type="dxa"/>
            <w:vAlign w:val="center"/>
          </w:tcPr>
          <w:p w14:paraId="542D8A9B">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53F2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continue"/>
            <w:vAlign w:val="center"/>
          </w:tcPr>
          <w:p w14:paraId="7ED4E067">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p>
        </w:tc>
        <w:tc>
          <w:tcPr>
            <w:tcW w:w="1533" w:type="dxa"/>
            <w:shd w:val="clear" w:color="auto" w:fill="auto"/>
            <w:vAlign w:val="center"/>
          </w:tcPr>
          <w:p w14:paraId="2F698DE7">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杂草</w:t>
            </w:r>
          </w:p>
        </w:tc>
        <w:tc>
          <w:tcPr>
            <w:tcW w:w="7025" w:type="dxa"/>
            <w:shd w:val="clear" w:color="auto" w:fill="auto"/>
            <w:vAlign w:val="center"/>
          </w:tcPr>
          <w:p w14:paraId="26104822">
            <w:pPr>
              <w:keepNext w:val="0"/>
              <w:keepLines w:val="0"/>
              <w:widowControl/>
              <w:suppressLineNumbers w:val="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绿地内杂草率≤</w:t>
            </w:r>
            <w:r>
              <w:rPr>
                <w:rFonts w:hint="default" w:ascii="仿宋" w:hAnsi="仿宋" w:eastAsia="仿宋" w:cs="仿宋"/>
                <w:b w:val="0"/>
                <w:bCs w:val="0"/>
                <w:color w:val="auto"/>
                <w:kern w:val="0"/>
                <w:sz w:val="24"/>
                <w:szCs w:val="24"/>
                <w:highlight w:val="none"/>
                <w:vertAlign w:val="baseline"/>
                <w:lang w:val="en-US" w:eastAsia="zh-CN" w:bidi="ar"/>
              </w:rPr>
              <w:t>3%</w:t>
            </w:r>
            <w:r>
              <w:rPr>
                <w:rFonts w:hint="eastAsia" w:ascii="仿宋" w:hAnsi="仿宋" w:eastAsia="仿宋" w:cs="仿宋"/>
                <w:b w:val="0"/>
                <w:bCs w:val="0"/>
                <w:color w:val="auto"/>
                <w:kern w:val="0"/>
                <w:sz w:val="24"/>
                <w:szCs w:val="24"/>
                <w:highlight w:val="none"/>
                <w:vertAlign w:val="baseline"/>
                <w:lang w:val="en-US" w:eastAsia="zh-CN" w:bidi="ar"/>
              </w:rPr>
              <w:t>。灌木、地被植物内无超过植物高度的杂草，草坪内无超过</w:t>
            </w:r>
            <w:r>
              <w:rPr>
                <w:rFonts w:hint="default" w:ascii="仿宋" w:hAnsi="仿宋" w:eastAsia="仿宋" w:cs="仿宋"/>
                <w:b w:val="0"/>
                <w:bCs w:val="0"/>
                <w:color w:val="auto"/>
                <w:kern w:val="0"/>
                <w:sz w:val="24"/>
                <w:szCs w:val="24"/>
                <w:highlight w:val="none"/>
                <w:vertAlign w:val="baseline"/>
                <w:lang w:val="en-US" w:eastAsia="zh-CN" w:bidi="ar"/>
              </w:rPr>
              <w:t xml:space="preserve">15cm </w:t>
            </w:r>
            <w:r>
              <w:rPr>
                <w:rFonts w:hint="eastAsia" w:ascii="仿宋" w:hAnsi="仿宋" w:eastAsia="仿宋" w:cs="仿宋"/>
                <w:b w:val="0"/>
                <w:bCs w:val="0"/>
                <w:color w:val="auto"/>
                <w:kern w:val="0"/>
                <w:sz w:val="24"/>
                <w:szCs w:val="24"/>
                <w:highlight w:val="none"/>
                <w:vertAlign w:val="baseline"/>
                <w:lang w:val="en-US" w:eastAsia="zh-CN" w:bidi="ar"/>
              </w:rPr>
              <w:t>高度的杂草。</w:t>
            </w:r>
          </w:p>
        </w:tc>
        <w:tc>
          <w:tcPr>
            <w:tcW w:w="1529" w:type="dxa"/>
            <w:shd w:val="clear" w:color="auto" w:fill="auto"/>
            <w:vAlign w:val="center"/>
          </w:tcPr>
          <w:p w14:paraId="6090E78A">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好：4.1-5</w:t>
            </w:r>
          </w:p>
          <w:p w14:paraId="288469D7">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良好：3.1-4</w:t>
            </w:r>
          </w:p>
          <w:p w14:paraId="6F448381">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一般：2.1-3</w:t>
            </w:r>
          </w:p>
          <w:p w14:paraId="6E248E5F">
            <w:pPr>
              <w:keepNext w:val="0"/>
              <w:keepLines w:val="0"/>
              <w:widowControl/>
              <w:suppressLineNumbers w:val="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差：0-2</w:t>
            </w:r>
          </w:p>
        </w:tc>
        <w:tc>
          <w:tcPr>
            <w:tcW w:w="1730" w:type="dxa"/>
            <w:vAlign w:val="center"/>
          </w:tcPr>
          <w:p w14:paraId="0B151E72">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1B7C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continue"/>
            <w:vAlign w:val="center"/>
          </w:tcPr>
          <w:p w14:paraId="43309950">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p>
        </w:tc>
        <w:tc>
          <w:tcPr>
            <w:tcW w:w="1533" w:type="dxa"/>
            <w:vAlign w:val="center"/>
          </w:tcPr>
          <w:p w14:paraId="52050F87">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卫生保洁</w:t>
            </w:r>
          </w:p>
        </w:tc>
        <w:tc>
          <w:tcPr>
            <w:tcW w:w="7025" w:type="dxa"/>
            <w:shd w:val="clear" w:color="auto" w:fill="auto"/>
            <w:vAlign w:val="center"/>
          </w:tcPr>
          <w:p w14:paraId="4593FF5E">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1.保持馆内绿地整洁干净，无建筑垃圾、生活垃圾，无树枝、树叶、草屑等生产垃圾，园路、广场内无杂草，无条状、块状污染物，点状污染物每</w:t>
            </w:r>
            <w:r>
              <w:rPr>
                <w:rFonts w:hint="default" w:ascii="仿宋" w:hAnsi="仿宋" w:eastAsia="仿宋" w:cs="仿宋"/>
                <w:b w:val="0"/>
                <w:bCs w:val="0"/>
                <w:color w:val="auto"/>
                <w:kern w:val="0"/>
                <w:sz w:val="24"/>
                <w:szCs w:val="24"/>
                <w:highlight w:val="none"/>
                <w:vertAlign w:val="baseline"/>
                <w:lang w:val="en-US" w:eastAsia="zh-CN" w:bidi="ar"/>
              </w:rPr>
              <w:t>100</w:t>
            </w:r>
            <w:r>
              <w:rPr>
                <w:rFonts w:hint="eastAsia" w:ascii="仿宋" w:hAnsi="仿宋" w:eastAsia="仿宋" w:cs="仿宋"/>
                <w:b w:val="0"/>
                <w:bCs w:val="0"/>
                <w:color w:val="auto"/>
                <w:kern w:val="0"/>
                <w:sz w:val="24"/>
                <w:szCs w:val="24"/>
                <w:highlight w:val="none"/>
                <w:vertAlign w:val="baseline"/>
                <w:lang w:val="en-US" w:eastAsia="zh-CN" w:bidi="ar"/>
              </w:rPr>
              <w:t>㎡≤</w:t>
            </w:r>
            <w:r>
              <w:rPr>
                <w:rFonts w:hint="default" w:ascii="仿宋" w:hAnsi="仿宋" w:eastAsia="仿宋" w:cs="仿宋"/>
                <w:b w:val="0"/>
                <w:bCs w:val="0"/>
                <w:color w:val="auto"/>
                <w:kern w:val="0"/>
                <w:sz w:val="24"/>
                <w:szCs w:val="24"/>
                <w:highlight w:val="none"/>
                <w:vertAlign w:val="baseline"/>
                <w:lang w:val="en-US" w:eastAsia="zh-CN" w:bidi="ar"/>
              </w:rPr>
              <w:t>2</w:t>
            </w:r>
            <w:r>
              <w:rPr>
                <w:rFonts w:hint="eastAsia" w:ascii="仿宋" w:hAnsi="仿宋" w:eastAsia="仿宋" w:cs="仿宋"/>
                <w:b w:val="0"/>
                <w:bCs w:val="0"/>
                <w:color w:val="auto"/>
                <w:kern w:val="0"/>
                <w:sz w:val="24"/>
                <w:szCs w:val="24"/>
                <w:highlight w:val="none"/>
                <w:vertAlign w:val="baseline"/>
                <w:lang w:val="en-US" w:eastAsia="zh-CN" w:bidi="ar"/>
              </w:rPr>
              <w:t>处。</w:t>
            </w:r>
          </w:p>
          <w:p w14:paraId="5CAF2CC4">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2.各种园林设施整洁卫生，无灰尘、污渍，无乱贴乱画。</w:t>
            </w:r>
          </w:p>
          <w:p w14:paraId="57E120BF">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3.水体清澈，无垃圾，无异味。</w:t>
            </w:r>
          </w:p>
        </w:tc>
        <w:tc>
          <w:tcPr>
            <w:tcW w:w="1529" w:type="dxa"/>
            <w:shd w:val="clear" w:color="auto" w:fill="auto"/>
            <w:vAlign w:val="center"/>
          </w:tcPr>
          <w:p w14:paraId="3DBB1F8B">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好：6.1-7</w:t>
            </w:r>
          </w:p>
          <w:p w14:paraId="3634F449">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良好：4.1-6</w:t>
            </w:r>
          </w:p>
          <w:p w14:paraId="1AC791F2">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一般：2.1-4</w:t>
            </w:r>
          </w:p>
          <w:p w14:paraId="753B136B">
            <w:pPr>
              <w:keepNext w:val="0"/>
              <w:keepLines w:val="0"/>
              <w:widowControl/>
              <w:suppressLineNumbers w:val="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差：0-2</w:t>
            </w:r>
          </w:p>
        </w:tc>
        <w:tc>
          <w:tcPr>
            <w:tcW w:w="1730" w:type="dxa"/>
            <w:vAlign w:val="center"/>
          </w:tcPr>
          <w:p w14:paraId="5D011CD7">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590A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Merge w:val="continue"/>
            <w:vAlign w:val="center"/>
          </w:tcPr>
          <w:p w14:paraId="50773333">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p>
        </w:tc>
        <w:tc>
          <w:tcPr>
            <w:tcW w:w="1533" w:type="dxa"/>
            <w:vAlign w:val="center"/>
          </w:tcPr>
          <w:p w14:paraId="1902FB04">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园林设施</w:t>
            </w:r>
          </w:p>
        </w:tc>
        <w:tc>
          <w:tcPr>
            <w:tcW w:w="7025" w:type="dxa"/>
            <w:shd w:val="clear" w:color="auto" w:fill="auto"/>
            <w:vAlign w:val="center"/>
          </w:tcPr>
          <w:p w14:paraId="16DBB597">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 xml:space="preserve">1.各种园林设施完好安全。 </w:t>
            </w:r>
          </w:p>
          <w:p w14:paraId="7C3FA7EC">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 xml:space="preserve">2.铺装、道路破损每处不得大于 </w:t>
            </w:r>
            <w:r>
              <w:rPr>
                <w:rFonts w:hint="default" w:ascii="仿宋" w:hAnsi="仿宋" w:eastAsia="仿宋" w:cs="仿宋"/>
                <w:b w:val="0"/>
                <w:bCs w:val="0"/>
                <w:color w:val="auto"/>
                <w:kern w:val="0"/>
                <w:sz w:val="24"/>
                <w:szCs w:val="24"/>
                <w:highlight w:val="none"/>
                <w:vertAlign w:val="baseline"/>
                <w:lang w:val="en-US" w:eastAsia="zh-CN" w:bidi="ar"/>
              </w:rPr>
              <w:t>0.2</w:t>
            </w:r>
            <w:r>
              <w:rPr>
                <w:rFonts w:hint="eastAsia" w:ascii="仿宋" w:hAnsi="仿宋" w:eastAsia="仿宋" w:cs="仿宋"/>
                <w:b w:val="0"/>
                <w:bCs w:val="0"/>
                <w:color w:val="auto"/>
                <w:kern w:val="0"/>
                <w:sz w:val="24"/>
                <w:szCs w:val="24"/>
                <w:highlight w:val="none"/>
                <w:vertAlign w:val="baseline"/>
                <w:lang w:val="en-US" w:eastAsia="zh-CN" w:bidi="ar"/>
              </w:rPr>
              <w:t>㎡，且每</w:t>
            </w:r>
            <w:r>
              <w:rPr>
                <w:rFonts w:hint="default" w:ascii="仿宋" w:hAnsi="仿宋" w:eastAsia="仿宋" w:cs="仿宋"/>
                <w:b w:val="0"/>
                <w:bCs w:val="0"/>
                <w:color w:val="auto"/>
                <w:kern w:val="0"/>
                <w:sz w:val="24"/>
                <w:szCs w:val="24"/>
                <w:highlight w:val="none"/>
                <w:vertAlign w:val="baseline"/>
                <w:lang w:val="en-US" w:eastAsia="zh-CN" w:bidi="ar"/>
              </w:rPr>
              <w:t>500</w:t>
            </w:r>
            <w:r>
              <w:rPr>
                <w:rFonts w:hint="eastAsia" w:ascii="仿宋" w:hAnsi="仿宋" w:eastAsia="仿宋" w:cs="仿宋"/>
                <w:b w:val="0"/>
                <w:bCs w:val="0"/>
                <w:color w:val="auto"/>
                <w:kern w:val="0"/>
                <w:sz w:val="24"/>
                <w:szCs w:val="24"/>
                <w:highlight w:val="none"/>
                <w:vertAlign w:val="baseline"/>
                <w:lang w:val="en-US" w:eastAsia="zh-CN" w:bidi="ar"/>
              </w:rPr>
              <w:t>㎡范围内≤</w:t>
            </w:r>
            <w:r>
              <w:rPr>
                <w:rFonts w:hint="default" w:ascii="仿宋" w:hAnsi="仿宋" w:eastAsia="仿宋" w:cs="仿宋"/>
                <w:b w:val="0"/>
                <w:bCs w:val="0"/>
                <w:color w:val="auto"/>
                <w:kern w:val="0"/>
                <w:sz w:val="24"/>
                <w:szCs w:val="24"/>
                <w:highlight w:val="none"/>
                <w:vertAlign w:val="baseline"/>
                <w:lang w:val="en-US" w:eastAsia="zh-CN" w:bidi="ar"/>
              </w:rPr>
              <w:t>2</w:t>
            </w:r>
            <w:r>
              <w:rPr>
                <w:rFonts w:hint="eastAsia" w:ascii="仿宋" w:hAnsi="仿宋" w:eastAsia="仿宋" w:cs="仿宋"/>
                <w:b w:val="0"/>
                <w:bCs w:val="0"/>
                <w:color w:val="auto"/>
                <w:kern w:val="0"/>
                <w:sz w:val="24"/>
                <w:szCs w:val="24"/>
                <w:highlight w:val="none"/>
                <w:vertAlign w:val="baseline"/>
                <w:lang w:val="en-US" w:eastAsia="zh-CN" w:bidi="ar"/>
              </w:rPr>
              <w:t>处。</w:t>
            </w:r>
          </w:p>
          <w:p w14:paraId="4890C641">
            <w:pPr>
              <w:keepNext w:val="0"/>
              <w:keepLines w:val="0"/>
              <w:widowControl/>
              <w:suppressLineNumbers w:val="0"/>
              <w:jc w:val="left"/>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3.侧石破损每处不得大于</w:t>
            </w:r>
            <w:r>
              <w:rPr>
                <w:rFonts w:hint="default" w:ascii="仿宋" w:hAnsi="仿宋" w:eastAsia="仿宋" w:cs="仿宋"/>
                <w:b w:val="0"/>
                <w:bCs w:val="0"/>
                <w:color w:val="auto"/>
                <w:kern w:val="0"/>
                <w:sz w:val="24"/>
                <w:szCs w:val="24"/>
                <w:highlight w:val="none"/>
                <w:vertAlign w:val="baseline"/>
                <w:lang w:val="en-US" w:eastAsia="zh-CN" w:bidi="ar"/>
              </w:rPr>
              <w:t>0.5</w:t>
            </w:r>
            <w:r>
              <w:rPr>
                <w:rFonts w:hint="eastAsia" w:ascii="仿宋" w:hAnsi="仿宋" w:eastAsia="仿宋" w:cs="仿宋"/>
                <w:b w:val="0"/>
                <w:bCs w:val="0"/>
                <w:color w:val="auto"/>
                <w:kern w:val="0"/>
                <w:sz w:val="24"/>
                <w:szCs w:val="24"/>
                <w:highlight w:val="none"/>
                <w:vertAlign w:val="baseline"/>
                <w:lang w:val="en-US" w:eastAsia="zh-CN" w:bidi="ar"/>
              </w:rPr>
              <w:t>㎡，且每</w:t>
            </w:r>
            <w:r>
              <w:rPr>
                <w:rFonts w:hint="default" w:ascii="仿宋" w:hAnsi="仿宋" w:eastAsia="仿宋" w:cs="仿宋"/>
                <w:b w:val="0"/>
                <w:bCs w:val="0"/>
                <w:color w:val="auto"/>
                <w:kern w:val="0"/>
                <w:sz w:val="24"/>
                <w:szCs w:val="24"/>
                <w:highlight w:val="none"/>
                <w:vertAlign w:val="baseline"/>
                <w:lang w:val="en-US" w:eastAsia="zh-CN" w:bidi="ar"/>
              </w:rPr>
              <w:t>1000</w:t>
            </w:r>
            <w:r>
              <w:rPr>
                <w:rFonts w:hint="eastAsia" w:ascii="仿宋" w:hAnsi="仿宋" w:eastAsia="仿宋" w:cs="仿宋"/>
                <w:b w:val="0"/>
                <w:bCs w:val="0"/>
                <w:color w:val="auto"/>
                <w:kern w:val="0"/>
                <w:sz w:val="24"/>
                <w:szCs w:val="24"/>
                <w:highlight w:val="none"/>
                <w:vertAlign w:val="baseline"/>
                <w:lang w:val="en-US" w:eastAsia="zh-CN" w:bidi="ar"/>
              </w:rPr>
              <w:t>㎡≤</w:t>
            </w:r>
            <w:r>
              <w:rPr>
                <w:rFonts w:hint="default" w:ascii="仿宋" w:hAnsi="仿宋" w:eastAsia="仿宋" w:cs="仿宋"/>
                <w:b w:val="0"/>
                <w:bCs w:val="0"/>
                <w:color w:val="auto"/>
                <w:kern w:val="0"/>
                <w:sz w:val="24"/>
                <w:szCs w:val="24"/>
                <w:highlight w:val="none"/>
                <w:vertAlign w:val="baseline"/>
                <w:lang w:val="en-US" w:eastAsia="zh-CN" w:bidi="ar"/>
              </w:rPr>
              <w:t>1</w:t>
            </w:r>
            <w:r>
              <w:rPr>
                <w:rFonts w:hint="eastAsia" w:ascii="仿宋" w:hAnsi="仿宋" w:eastAsia="仿宋" w:cs="仿宋"/>
                <w:b w:val="0"/>
                <w:bCs w:val="0"/>
                <w:color w:val="auto"/>
                <w:kern w:val="0"/>
                <w:sz w:val="24"/>
                <w:szCs w:val="24"/>
                <w:highlight w:val="none"/>
                <w:vertAlign w:val="baseline"/>
                <w:lang w:val="en-US" w:eastAsia="zh-CN" w:bidi="ar"/>
              </w:rPr>
              <w:t>处。</w:t>
            </w:r>
          </w:p>
          <w:p w14:paraId="62AD2E6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4.树木支撑整齐、牢固、完好。绿地内无残留树桩、铁件和破损支撑、设施等残留物。</w:t>
            </w:r>
          </w:p>
        </w:tc>
        <w:tc>
          <w:tcPr>
            <w:tcW w:w="1529" w:type="dxa"/>
            <w:shd w:val="clear" w:color="auto" w:fill="auto"/>
            <w:vAlign w:val="center"/>
          </w:tcPr>
          <w:p w14:paraId="67666036">
            <w:pPr>
              <w:keepNext w:val="0"/>
              <w:keepLines w:val="0"/>
              <w:widowControl/>
              <w:suppressLineNumbers w:val="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好：6.1-8</w:t>
            </w:r>
          </w:p>
          <w:p w14:paraId="2D8BFE5B">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良好：4.1-6</w:t>
            </w:r>
          </w:p>
          <w:p w14:paraId="0FD17BDD">
            <w:pPr>
              <w:keepNext w:val="0"/>
              <w:keepLines w:val="0"/>
              <w:widowControl/>
              <w:suppressLineNumbers w:val="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一般：2.1-4</w:t>
            </w:r>
          </w:p>
          <w:p w14:paraId="126E25D0">
            <w:pPr>
              <w:keepNext w:val="0"/>
              <w:keepLines w:val="0"/>
              <w:widowControl/>
              <w:suppressLineNumbers w:val="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
              </w:rPr>
              <w:t>差：0-2</w:t>
            </w:r>
          </w:p>
        </w:tc>
        <w:tc>
          <w:tcPr>
            <w:tcW w:w="1730" w:type="dxa"/>
            <w:vAlign w:val="center"/>
          </w:tcPr>
          <w:p w14:paraId="35E3BB8D">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2A68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14:paraId="1F8C8F85">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直接扣分项</w:t>
            </w:r>
          </w:p>
        </w:tc>
        <w:tc>
          <w:tcPr>
            <w:tcW w:w="1533" w:type="dxa"/>
            <w:vAlign w:val="center"/>
          </w:tcPr>
          <w:p w14:paraId="609146D9">
            <w:pPr>
              <w:keepNext w:val="0"/>
              <w:keepLines w:val="0"/>
              <w:pageBreakBefore w:val="0"/>
              <w:widowControl w:val="0"/>
              <w:kinsoku/>
              <w:wordWrap/>
              <w:overflowPunct/>
              <w:topLinePunct w:val="0"/>
              <w:bidi w:val="0"/>
              <w:snapToGrid/>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在上述得分外再扣分</w:t>
            </w:r>
          </w:p>
        </w:tc>
        <w:tc>
          <w:tcPr>
            <w:tcW w:w="8554" w:type="dxa"/>
            <w:gridSpan w:val="2"/>
            <w:shd w:val="clear" w:color="auto" w:fill="auto"/>
            <w:vAlign w:val="center"/>
          </w:tcPr>
          <w:p w14:paraId="641C8A50">
            <w:pPr>
              <w:keepNext w:val="0"/>
              <w:keepLines w:val="0"/>
              <w:pageBreakBefore w:val="0"/>
              <w:widowControl w:val="0"/>
              <w:kinsoku/>
              <w:wordWrap/>
              <w:overflowPunct/>
              <w:topLinePunct w:val="0"/>
              <w:bidi w:val="0"/>
              <w:snapToGrid/>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1.因养护管理或防灾措施不到位造成某绿地或道路树木集中死亡或严重生长不良，乔木或球类超过10株、灌木超过10㎡，草坪地被超过100㎡的，每处加扣2分，总扣分不超过10分。</w:t>
            </w:r>
          </w:p>
          <w:p w14:paraId="40548D0A">
            <w:pPr>
              <w:keepNext w:val="0"/>
              <w:keepLines w:val="0"/>
              <w:pageBreakBefore w:val="0"/>
              <w:widowControl w:val="0"/>
              <w:kinsoku/>
              <w:wordWrap/>
              <w:overflowPunct/>
              <w:topLinePunct w:val="0"/>
              <w:bidi w:val="0"/>
              <w:snapToGrid/>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2.苗木死株要求补种的，未在5日内完成。每逾期一天扣0.5分，总扣分不超过10分。</w:t>
            </w:r>
          </w:p>
          <w:p w14:paraId="7F721B13">
            <w:pPr>
              <w:keepNext w:val="0"/>
              <w:keepLines w:val="0"/>
              <w:pageBreakBefore w:val="0"/>
              <w:widowControl w:val="0"/>
              <w:kinsoku/>
              <w:wordWrap/>
              <w:overflowPunct/>
              <w:topLinePunct w:val="0"/>
              <w:bidi w:val="0"/>
              <w:snapToGrid/>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3.发生安全责任事故造成人员重伤、死亡或直接经济损失在5万元以上的，每起扣5分。</w:t>
            </w:r>
          </w:p>
          <w:p w14:paraId="6CCD150B">
            <w:pPr>
              <w:keepNext w:val="0"/>
              <w:keepLines w:val="0"/>
              <w:pageBreakBefore w:val="0"/>
              <w:widowControl w:val="0"/>
              <w:kinsoku/>
              <w:wordWrap/>
              <w:overflowPunct/>
              <w:topLinePunct w:val="0"/>
              <w:bidi w:val="0"/>
              <w:snapToGrid/>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4.重大节日、庆典、“迎检”等活动要求进行的突击性任务因未及时完成受到上级有关部门批评或扣分的每次扣10分。</w:t>
            </w:r>
          </w:p>
          <w:p w14:paraId="57324A3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5.各部门日常巡查交办件、信访件等交办事项未按时处置完成的每件扣1分，因养护不到位被县级部门通报每件扣3分，被媒体曝光或市民投诉造成不良影响的每件扣5分。</w:t>
            </w:r>
          </w:p>
        </w:tc>
        <w:tc>
          <w:tcPr>
            <w:tcW w:w="1730" w:type="dxa"/>
            <w:vAlign w:val="center"/>
          </w:tcPr>
          <w:p w14:paraId="2F2589A2">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r w14:paraId="58B4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91" w:type="dxa"/>
            <w:gridSpan w:val="4"/>
            <w:vAlign w:val="center"/>
          </w:tcPr>
          <w:p w14:paraId="7250C54D">
            <w:pPr>
              <w:keepNext w:val="0"/>
              <w:keepLines w:val="0"/>
              <w:pageBreakBefore w:val="0"/>
              <w:widowControl w:val="0"/>
              <w:kinsoku/>
              <w:wordWrap/>
              <w:overflowPunct/>
              <w:topLinePunct w:val="0"/>
              <w:bidi w:val="0"/>
              <w:snapToGrid/>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合计（满分100分）</w:t>
            </w:r>
          </w:p>
        </w:tc>
        <w:tc>
          <w:tcPr>
            <w:tcW w:w="1730" w:type="dxa"/>
            <w:vAlign w:val="center"/>
          </w:tcPr>
          <w:p w14:paraId="52906F66">
            <w:pPr>
              <w:keepNext w:val="0"/>
              <w:keepLines w:val="0"/>
              <w:pageBreakBefore w:val="0"/>
              <w:widowControl w:val="0"/>
              <w:kinsoku/>
              <w:wordWrap/>
              <w:overflowPunct/>
              <w:topLinePunct w:val="0"/>
              <w:bidi w:val="0"/>
              <w:snapToGrid/>
              <w:jc w:val="both"/>
              <w:textAlignment w:val="auto"/>
              <w:rPr>
                <w:rFonts w:hint="eastAsia" w:ascii="仿宋" w:hAnsi="仿宋" w:eastAsia="仿宋" w:cs="仿宋"/>
                <w:color w:val="auto"/>
                <w:sz w:val="24"/>
                <w:szCs w:val="24"/>
                <w:highlight w:val="none"/>
                <w:vertAlign w:val="baseline"/>
                <w:lang w:val="en-US" w:eastAsia="zh-CN"/>
              </w:rPr>
            </w:pPr>
          </w:p>
        </w:tc>
      </w:tr>
    </w:tbl>
    <w:p w14:paraId="2C8F649A">
      <w:pPr>
        <w:rPr>
          <w:rFonts w:hint="eastAsia" w:ascii="仿宋" w:hAnsi="仿宋" w:eastAsia="仿宋" w:cs="仿宋"/>
          <w:color w:val="auto"/>
          <w:sz w:val="24"/>
          <w:szCs w:val="24"/>
          <w:highlight w:val="none"/>
        </w:rPr>
      </w:pPr>
    </w:p>
    <w:p w14:paraId="519CB8B1">
      <w:pPr>
        <w:autoSpaceDE/>
        <w:autoSpaceDN/>
        <w:adjustRightInd/>
        <w:jc w:val="left"/>
        <w:rPr>
          <w:rFonts w:hint="eastAsia" w:ascii="仿宋" w:hAnsi="仿宋" w:eastAsia="仿宋" w:cs="仿宋"/>
          <w:color w:val="auto"/>
          <w:sz w:val="24"/>
          <w:szCs w:val="24"/>
          <w:highlight w:val="none"/>
          <w:lang w:val="en-US" w:eastAsia="zh-CN"/>
        </w:rPr>
        <w:sectPr>
          <w:pgSz w:w="16838" w:h="11906" w:orient="landscape"/>
          <w:pgMar w:top="1417" w:right="1247" w:bottom="1134" w:left="1020" w:header="851" w:footer="907" w:gutter="0"/>
          <w:pgBorders>
            <w:top w:val="none" w:sz="0" w:space="0"/>
            <w:left w:val="none" w:sz="0" w:space="0"/>
            <w:bottom w:val="none" w:sz="0" w:space="0"/>
            <w:right w:val="none" w:sz="0" w:space="0"/>
          </w:pgBorders>
          <w:pgNumType w:fmt="decimal"/>
          <w:cols w:space="0" w:num="1"/>
          <w:titlePg/>
          <w:rtlGutter w:val="0"/>
          <w:docGrid w:type="lines" w:linePitch="322" w:charSpace="0"/>
        </w:sectPr>
      </w:pPr>
      <w:r>
        <w:rPr>
          <w:rFonts w:hint="eastAsia" w:ascii="仿宋" w:hAnsi="仿宋" w:eastAsia="仿宋" w:cs="仿宋"/>
          <w:color w:val="auto"/>
          <w:sz w:val="24"/>
          <w:szCs w:val="24"/>
          <w:highlight w:val="none"/>
          <w:lang w:val="en-US" w:eastAsia="zh-CN"/>
        </w:rPr>
        <w:t>考核方</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服务方</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 xml:space="preserve">               考核日期：</w:t>
      </w:r>
    </w:p>
    <w:p w14:paraId="7CA2EBEF">
      <w:pPr>
        <w:jc w:val="center"/>
        <w:outlineLvl w:val="0"/>
        <w:rPr>
          <w:rFonts w:ascii="仿宋" w:hAnsi="仿宋" w:eastAsia="仿宋" w:cs="仿宋"/>
          <w:b/>
          <w:color w:val="auto"/>
          <w:kern w:val="44"/>
          <w:sz w:val="36"/>
          <w:szCs w:val="36"/>
          <w:highlight w:val="none"/>
        </w:rPr>
      </w:pPr>
      <w:r>
        <w:rPr>
          <w:rFonts w:hint="eastAsia" w:ascii="仿宋" w:hAnsi="仿宋" w:eastAsia="仿宋" w:cs="仿宋"/>
          <w:b/>
          <w:color w:val="auto"/>
          <w:kern w:val="44"/>
          <w:sz w:val="36"/>
          <w:szCs w:val="36"/>
          <w:highlight w:val="none"/>
        </w:rPr>
        <w:t>第四章  评标办法及评分标准</w:t>
      </w:r>
    </w:p>
    <w:p w14:paraId="00EEFAC8">
      <w:pPr>
        <w:keepNext w:val="0"/>
        <w:keepLines w:val="0"/>
        <w:pageBreakBefore w:val="0"/>
        <w:widowControl w:val="0"/>
        <w:kinsoku/>
        <w:wordWrap/>
        <w:overflowPunct/>
        <w:topLinePunct w:val="0"/>
        <w:autoSpaceDE w:val="0"/>
        <w:autoSpaceDN w:val="0"/>
        <w:bidi w:val="0"/>
        <w:adjustRightInd w:val="0"/>
        <w:spacing w:line="600" w:lineRule="exact"/>
        <w:textAlignment w:val="auto"/>
        <w:rPr>
          <w:rFonts w:ascii="仿宋" w:hAnsi="仿宋" w:eastAsia="仿宋" w:cs="仿宋"/>
          <w:color w:val="auto"/>
          <w:sz w:val="24"/>
          <w:szCs w:val="24"/>
          <w:highlight w:val="none"/>
        </w:rPr>
      </w:pPr>
    </w:p>
    <w:p w14:paraId="49BE7DDB">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textAlignment w:val="auto"/>
        <w:rPr>
          <w:rFonts w:hint="eastAsia" w:ascii="仿宋" w:hAnsi="仿宋" w:eastAsia="仿宋" w:cs="仿宋"/>
          <w:snapToGrid w:val="0"/>
          <w:color w:val="auto"/>
          <w:sz w:val="24"/>
          <w:szCs w:val="24"/>
          <w:highlight w:val="none"/>
        </w:rPr>
      </w:pPr>
      <w:bookmarkStart w:id="20" w:name="_Hlk36476656"/>
      <w:r>
        <w:rPr>
          <w:rFonts w:hint="eastAsia" w:ascii="仿宋" w:hAnsi="仿宋" w:eastAsia="仿宋" w:cs="仿宋"/>
          <w:snapToGrid w:val="0"/>
          <w:color w:val="auto"/>
          <w:sz w:val="24"/>
          <w:szCs w:val="24"/>
          <w:highlight w:val="none"/>
        </w:rPr>
        <w:t>一、采用</w:t>
      </w:r>
      <w:r>
        <w:rPr>
          <w:rFonts w:hint="eastAsia" w:ascii="仿宋" w:hAnsi="仿宋" w:eastAsia="仿宋" w:cs="仿宋"/>
          <w:snapToGrid w:val="0"/>
          <w:color w:val="auto"/>
          <w:sz w:val="24"/>
          <w:szCs w:val="24"/>
          <w:highlight w:val="none"/>
          <w:u w:val="single"/>
        </w:rPr>
        <w:t>综合评分法</w:t>
      </w:r>
      <w:r>
        <w:rPr>
          <w:rFonts w:hint="eastAsia" w:ascii="仿宋" w:hAnsi="仿宋" w:eastAsia="仿宋" w:cs="仿宋"/>
          <w:snapToGrid w:val="0"/>
          <w:color w:val="auto"/>
          <w:sz w:val="24"/>
          <w:szCs w:val="24"/>
          <w:highlight w:val="none"/>
        </w:rPr>
        <w:t>。即在符合招标文件要求的前提下，择定最高得分者为第一中标候选人，即预中标人。</w:t>
      </w:r>
    </w:p>
    <w:p w14:paraId="66E98AA2">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二、合格投标人的评标得分为各项目汇总得分，中标候选资格按评标得分由高到低顺序排列，得分相同的，按投标报价由低到高顺序排列；得分且投标报价相同的，按技术指标由高到低顺序排列。排名第一的投标人为中标候选人。</w:t>
      </w:r>
      <w:r>
        <w:rPr>
          <w:rFonts w:hint="eastAsia" w:ascii="仿宋" w:hAnsi="仿宋" w:eastAsia="仿宋" w:cs="仿宋"/>
          <w:bCs/>
          <w:snapToGrid w:val="0"/>
          <w:color w:val="auto"/>
          <w:sz w:val="24"/>
          <w:szCs w:val="24"/>
          <w:highlight w:val="none"/>
        </w:rPr>
        <w:t>评分过程中采用四舍五入</w:t>
      </w:r>
      <w:r>
        <w:rPr>
          <w:rFonts w:hint="eastAsia" w:ascii="仿宋" w:hAnsi="仿宋" w:eastAsia="仿宋" w:cs="仿宋"/>
          <w:snapToGrid w:val="0"/>
          <w:color w:val="auto"/>
          <w:sz w:val="24"/>
          <w:szCs w:val="24"/>
          <w:highlight w:val="none"/>
        </w:rPr>
        <w:t>法，并保留小数2位。</w:t>
      </w:r>
    </w:p>
    <w:p w14:paraId="2AD1CAEC">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三、评分办法</w:t>
      </w:r>
    </w:p>
    <w:p w14:paraId="0505C126">
      <w:pPr>
        <w:snapToGrid w:val="0"/>
        <w:spacing w:line="600" w:lineRule="exact"/>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（一）满分为100分。总得分=商务技术分（</w:t>
      </w:r>
      <w:r>
        <w:rPr>
          <w:rFonts w:hint="eastAsia" w:ascii="仿宋" w:hAnsi="仿宋" w:eastAsia="仿宋" w:cs="仿宋"/>
          <w:snapToGrid w:val="0"/>
          <w:color w:val="auto"/>
          <w:sz w:val="24"/>
          <w:szCs w:val="24"/>
          <w:highlight w:val="none"/>
          <w:lang w:val="en-US" w:eastAsia="zh-CN"/>
        </w:rPr>
        <w:t>70分</w:t>
      </w:r>
      <w:r>
        <w:rPr>
          <w:rFonts w:hint="eastAsia" w:ascii="仿宋" w:hAnsi="仿宋" w:eastAsia="仿宋" w:cs="仿宋"/>
          <w:snapToGrid w:val="0"/>
          <w:color w:val="auto"/>
          <w:sz w:val="24"/>
          <w:szCs w:val="24"/>
          <w:highlight w:val="none"/>
        </w:rPr>
        <w:t>）+报价分（</w:t>
      </w:r>
      <w:r>
        <w:rPr>
          <w:rFonts w:hint="eastAsia" w:ascii="仿宋" w:hAnsi="仿宋" w:eastAsia="仿宋" w:cs="仿宋"/>
          <w:snapToGrid w:val="0"/>
          <w:color w:val="auto"/>
          <w:sz w:val="24"/>
          <w:szCs w:val="24"/>
          <w:highlight w:val="none"/>
          <w:lang w:val="en-US" w:eastAsia="zh-CN"/>
        </w:rPr>
        <w:t>30</w:t>
      </w:r>
      <w:r>
        <w:rPr>
          <w:rFonts w:hint="eastAsia" w:ascii="仿宋" w:hAnsi="仿宋" w:eastAsia="仿宋" w:cs="仿宋"/>
          <w:snapToGrid w:val="0"/>
          <w:color w:val="auto"/>
          <w:sz w:val="24"/>
          <w:szCs w:val="24"/>
          <w:highlight w:val="none"/>
        </w:rPr>
        <w:t>分）；</w:t>
      </w:r>
    </w:p>
    <w:p w14:paraId="70629856">
      <w:pPr>
        <w:snapToGrid w:val="0"/>
        <w:spacing w:line="600" w:lineRule="exact"/>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（二）商务技术分=所有评委的有效评分的算术平均数。</w:t>
      </w:r>
    </w:p>
    <w:p w14:paraId="1FA47CA2">
      <w:pPr>
        <w:snapToGrid w:val="0"/>
        <w:spacing w:line="600" w:lineRule="exact"/>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（三）报价评分将在有效投标人范围内进行，最高得</w:t>
      </w:r>
      <w:r>
        <w:rPr>
          <w:rFonts w:hint="eastAsia" w:ascii="仿宋" w:hAnsi="仿宋" w:eastAsia="仿宋" w:cs="仿宋"/>
          <w:snapToGrid w:val="0"/>
          <w:color w:val="auto"/>
          <w:sz w:val="24"/>
          <w:szCs w:val="24"/>
          <w:highlight w:val="none"/>
          <w:lang w:val="en-US" w:eastAsia="zh-CN"/>
        </w:rPr>
        <w:t>30</w:t>
      </w:r>
      <w:r>
        <w:rPr>
          <w:rFonts w:hint="eastAsia" w:ascii="仿宋" w:hAnsi="仿宋" w:eastAsia="仿宋" w:cs="仿宋"/>
          <w:snapToGrid w:val="0"/>
          <w:color w:val="auto"/>
          <w:sz w:val="24"/>
          <w:szCs w:val="24"/>
          <w:highlight w:val="none"/>
        </w:rPr>
        <w:t>分，小数点后保留2位小数。满足招标文件要求且投标</w:t>
      </w:r>
      <w:r>
        <w:rPr>
          <w:rFonts w:hint="eastAsia" w:ascii="仿宋" w:hAnsi="仿宋" w:eastAsia="仿宋" w:cs="仿宋"/>
          <w:snapToGrid w:val="0"/>
          <w:color w:val="auto"/>
          <w:sz w:val="24"/>
          <w:szCs w:val="24"/>
          <w:highlight w:val="none"/>
          <w:lang w:eastAsia="zh-CN"/>
        </w:rPr>
        <w:t>报价</w:t>
      </w:r>
      <w:r>
        <w:rPr>
          <w:rFonts w:hint="eastAsia" w:ascii="仿宋" w:hAnsi="仿宋" w:eastAsia="仿宋" w:cs="仿宋"/>
          <w:snapToGrid w:val="0"/>
          <w:color w:val="auto"/>
          <w:sz w:val="24"/>
          <w:szCs w:val="24"/>
          <w:highlight w:val="none"/>
        </w:rPr>
        <w:t>最低的投标</w:t>
      </w:r>
      <w:r>
        <w:rPr>
          <w:rFonts w:hint="eastAsia" w:ascii="仿宋" w:hAnsi="仿宋" w:eastAsia="仿宋" w:cs="仿宋"/>
          <w:snapToGrid w:val="0"/>
          <w:color w:val="auto"/>
          <w:sz w:val="24"/>
          <w:szCs w:val="24"/>
          <w:highlight w:val="none"/>
          <w:lang w:eastAsia="zh-CN"/>
        </w:rPr>
        <w:t>报价</w:t>
      </w:r>
      <w:r>
        <w:rPr>
          <w:rFonts w:hint="eastAsia" w:ascii="仿宋" w:hAnsi="仿宋" w:eastAsia="仿宋" w:cs="仿宋"/>
          <w:snapToGrid w:val="0"/>
          <w:color w:val="auto"/>
          <w:sz w:val="24"/>
          <w:szCs w:val="24"/>
          <w:highlight w:val="none"/>
        </w:rPr>
        <w:t>为评标基准价，其商务报价分为满分。其他投标人的价格分按照下列公式计算：</w:t>
      </w:r>
    </w:p>
    <w:p w14:paraId="63F8B150">
      <w:pPr>
        <w:snapToGrid w:val="0"/>
        <w:spacing w:line="600" w:lineRule="exact"/>
        <w:ind w:firstLine="480" w:firstLineChars="200"/>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报价分=</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rPr>
        <w:t>评标基准价／投标报价</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val="en-US" w:eastAsia="zh-CN"/>
        </w:rPr>
        <w:t>30</w:t>
      </w:r>
      <w:r>
        <w:rPr>
          <w:rFonts w:hint="eastAsia" w:ascii="仿宋" w:hAnsi="仿宋" w:eastAsia="仿宋" w:cs="仿宋"/>
          <w:snapToGrid w:val="0"/>
          <w:color w:val="auto"/>
          <w:sz w:val="24"/>
          <w:szCs w:val="24"/>
          <w:highlight w:val="none"/>
        </w:rPr>
        <w:t>。</w:t>
      </w:r>
    </w:p>
    <w:p w14:paraId="0F5FD783">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（四）落实政府采购政策说明：</w:t>
      </w:r>
    </w:p>
    <w:p w14:paraId="30CE3C0C">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对小型或微型企业投标的扶持：</w:t>
      </w:r>
    </w:p>
    <w:p w14:paraId="5C1F6CD6">
      <w:pPr>
        <w:keepNext w:val="0"/>
        <w:keepLines w:val="0"/>
        <w:pageBreakBefore w:val="0"/>
        <w:widowControl w:val="0"/>
        <w:kinsoku/>
        <w:wordWrap/>
        <w:overflowPunct/>
        <w:topLinePunct w:val="0"/>
        <w:autoSpaceDE w:val="0"/>
        <w:autoSpaceDN w:val="0"/>
        <w:bidi w:val="0"/>
        <w:adjustRightInd w:val="0"/>
        <w:snapToGrid w:val="0"/>
        <w:spacing w:line="600" w:lineRule="exact"/>
        <w:ind w:firstLine="480" w:firstLineChars="200"/>
        <w:textAlignment w:val="auto"/>
        <w:rPr>
          <w:rFonts w:hint="eastAsia" w:ascii="仿宋" w:hAnsi="仿宋" w:eastAsia="仿宋" w:cs="仿宋"/>
          <w:snapToGrid w:val="0"/>
          <w:color w:val="auto"/>
          <w:sz w:val="24"/>
          <w:szCs w:val="24"/>
          <w:highlight w:val="none"/>
        </w:rPr>
      </w:pPr>
      <w:r>
        <w:rPr>
          <w:rFonts w:hint="eastAsia" w:ascii="仿宋" w:hAnsi="仿宋" w:eastAsia="仿宋" w:cs="仿宋"/>
          <w:color w:val="auto"/>
          <w:kern w:val="1"/>
          <w:sz w:val="24"/>
          <w:szCs w:val="24"/>
          <w:highlight w:val="none"/>
        </w:rPr>
        <w:t>根据《政府采购促进中小企业发展管理办法》第九条，该项目专门面向中小企业进行采购，中小微企业参加该项目采购不享受报价扣除。根据财库</w:t>
      </w:r>
      <w:r>
        <w:rPr>
          <w:rFonts w:hint="eastAsia" w:ascii="仿宋" w:hAnsi="仿宋" w:eastAsia="仿宋" w:cs="仿宋"/>
          <w:color w:val="auto"/>
          <w:kern w:val="1"/>
          <w:sz w:val="24"/>
          <w:szCs w:val="24"/>
          <w:highlight w:val="none"/>
          <w:lang w:eastAsia="zh-CN"/>
        </w:rPr>
        <w:t>〔2017〕141号</w:t>
      </w:r>
      <w:r>
        <w:rPr>
          <w:rFonts w:hint="eastAsia" w:ascii="仿宋" w:hAnsi="仿宋" w:eastAsia="仿宋" w:cs="仿宋"/>
          <w:color w:val="auto"/>
          <w:kern w:val="1"/>
          <w:sz w:val="24"/>
          <w:szCs w:val="24"/>
          <w:highlight w:val="none"/>
        </w:rPr>
        <w:t>、财库</w:t>
      </w:r>
      <w:r>
        <w:rPr>
          <w:rFonts w:hint="eastAsia" w:ascii="仿宋" w:hAnsi="仿宋" w:eastAsia="仿宋" w:cs="仿宋"/>
          <w:color w:val="auto"/>
          <w:kern w:val="1"/>
          <w:sz w:val="24"/>
          <w:szCs w:val="24"/>
          <w:highlight w:val="none"/>
          <w:lang w:eastAsia="zh-CN"/>
        </w:rPr>
        <w:t>〔2014〕</w:t>
      </w:r>
      <w:r>
        <w:rPr>
          <w:rFonts w:hint="eastAsia" w:ascii="仿宋" w:hAnsi="仿宋" w:eastAsia="仿宋" w:cs="仿宋"/>
          <w:color w:val="auto"/>
          <w:kern w:val="1"/>
          <w:sz w:val="24"/>
          <w:szCs w:val="24"/>
          <w:highlight w:val="none"/>
        </w:rPr>
        <w:t>68 号的相关规定，残疾人福利性单位和监狱企业在参加政府采购项目时，视同小型、微型企业。</w:t>
      </w:r>
    </w:p>
    <w:p w14:paraId="75C11E65">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0270BC4">
      <w:pPr>
        <w:rPr>
          <w:color w:val="auto"/>
          <w:highlight w:val="none"/>
        </w:rPr>
      </w:pPr>
      <w:r>
        <w:rPr>
          <w:rFonts w:hint="eastAsia" w:ascii="仿宋" w:hAnsi="仿宋" w:eastAsia="仿宋" w:cs="仿宋"/>
          <w:b/>
          <w:color w:val="auto"/>
          <w:sz w:val="24"/>
          <w:szCs w:val="24"/>
          <w:highlight w:val="none"/>
        </w:rPr>
        <w:t>（五）</w:t>
      </w:r>
      <w:r>
        <w:rPr>
          <w:rFonts w:ascii="仿宋" w:hAnsi="仿宋" w:eastAsia="仿宋"/>
          <w:b/>
          <w:bCs/>
          <w:color w:val="auto"/>
          <w:sz w:val="24"/>
          <w:szCs w:val="24"/>
          <w:highlight w:val="none"/>
        </w:rPr>
        <w:t>评标办法前附表</w:t>
      </w:r>
    </w:p>
    <w:tbl>
      <w:tblPr>
        <w:tblStyle w:val="2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325"/>
        <w:gridCol w:w="872"/>
        <w:gridCol w:w="6266"/>
        <w:gridCol w:w="1062"/>
      </w:tblGrid>
      <w:tr w14:paraId="3A92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442E618B">
            <w:pPr>
              <w:pStyle w:val="47"/>
              <w:keepNext w:val="0"/>
              <w:keepLines w:val="0"/>
              <w:pageBreakBefore w:val="0"/>
              <w:kinsoku/>
              <w:wordWrap/>
              <w:overflowPunct/>
              <w:topLinePunct w:val="0"/>
              <w:bidi w:val="0"/>
              <w:spacing w:line="240" w:lineRule="exact"/>
              <w:ind w:firstLine="0" w:firstLineChars="0"/>
              <w:jc w:val="center"/>
              <w:textAlignment w:val="auto"/>
              <w:rPr>
                <w:rFonts w:hint="eastAsia" w:ascii="仿宋" w:hAnsi="仿宋" w:eastAsia="仿宋" w:cs="宋体"/>
                <w:b/>
                <w:bCs/>
                <w:color w:val="auto"/>
                <w:sz w:val="24"/>
                <w:szCs w:val="22"/>
                <w:highlight w:val="none"/>
                <w:lang w:val="en-US" w:eastAsia="zh-CN" w:bidi="ar-SA"/>
              </w:rPr>
            </w:pPr>
            <w:r>
              <w:rPr>
                <w:rFonts w:hint="eastAsia" w:ascii="仿宋" w:hAnsi="仿宋" w:eastAsia="仿宋"/>
                <w:b/>
                <w:bCs/>
                <w:color w:val="auto"/>
                <w:sz w:val="24"/>
                <w:highlight w:val="none"/>
                <w:lang w:val="en-US" w:eastAsia="zh-CN" w:bidi="ar-SA"/>
              </w:rPr>
              <w:t>序号</w:t>
            </w:r>
          </w:p>
        </w:tc>
        <w:tc>
          <w:tcPr>
            <w:tcW w:w="9525" w:type="dxa"/>
            <w:gridSpan w:val="4"/>
            <w:shd w:val="clear" w:color="auto" w:fill="auto"/>
            <w:vAlign w:val="center"/>
          </w:tcPr>
          <w:p w14:paraId="78254E41">
            <w:pPr>
              <w:pStyle w:val="47"/>
              <w:keepNext w:val="0"/>
              <w:keepLines w:val="0"/>
              <w:pageBreakBefore w:val="0"/>
              <w:kinsoku/>
              <w:wordWrap/>
              <w:overflowPunct/>
              <w:topLinePunct w:val="0"/>
              <w:bidi w:val="0"/>
              <w:spacing w:line="240" w:lineRule="exact"/>
              <w:ind w:firstLine="0" w:firstLineChars="0"/>
              <w:jc w:val="center"/>
              <w:textAlignment w:val="auto"/>
              <w:rPr>
                <w:rFonts w:hint="eastAsia" w:ascii="仿宋" w:hAnsi="仿宋" w:eastAsia="仿宋" w:cs="宋体"/>
                <w:b/>
                <w:bCs/>
                <w:color w:val="auto"/>
                <w:sz w:val="24"/>
                <w:szCs w:val="22"/>
                <w:highlight w:val="none"/>
                <w:lang w:val="en-US" w:eastAsia="zh-CN" w:bidi="ar-SA"/>
              </w:rPr>
            </w:pPr>
            <w:r>
              <w:rPr>
                <w:rFonts w:hint="eastAsia" w:ascii="仿宋" w:hAnsi="仿宋" w:eastAsia="仿宋"/>
                <w:b/>
                <w:bCs/>
                <w:color w:val="auto"/>
                <w:sz w:val="24"/>
                <w:highlight w:val="none"/>
                <w:lang w:val="en-US" w:eastAsia="zh-CN" w:bidi="ar-SA"/>
              </w:rPr>
              <w:t>编列内容</w:t>
            </w:r>
          </w:p>
        </w:tc>
      </w:tr>
      <w:tr w14:paraId="23D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70B27DE1">
            <w:pPr>
              <w:pStyle w:val="47"/>
              <w:keepNext w:val="0"/>
              <w:keepLines w:val="0"/>
              <w:pageBreakBefore w:val="0"/>
              <w:kinsoku/>
              <w:wordWrap/>
              <w:overflowPunct/>
              <w:topLinePunct w:val="0"/>
              <w:bidi w:val="0"/>
              <w:spacing w:line="240" w:lineRule="exact"/>
              <w:ind w:firstLine="0" w:firstLineChars="0"/>
              <w:jc w:val="center"/>
              <w:textAlignment w:val="auto"/>
              <w:rPr>
                <w:rFonts w:hint="eastAsia" w:ascii="仿宋" w:hAnsi="仿宋" w:eastAsia="仿宋" w:cs="宋体"/>
                <w:b/>
                <w:bCs/>
                <w:color w:val="auto"/>
                <w:sz w:val="24"/>
                <w:szCs w:val="22"/>
                <w:highlight w:val="none"/>
                <w:lang w:val="en-US" w:eastAsia="zh-CN" w:bidi="ar-SA"/>
              </w:rPr>
            </w:pPr>
            <w:r>
              <w:rPr>
                <w:rFonts w:hint="eastAsia" w:ascii="仿宋" w:hAnsi="仿宋" w:eastAsia="仿宋"/>
                <w:b/>
                <w:bCs/>
                <w:color w:val="auto"/>
                <w:sz w:val="24"/>
                <w:highlight w:val="none"/>
                <w:lang w:val="en-US" w:eastAsia="zh-CN" w:bidi="ar-SA"/>
              </w:rPr>
              <w:t>1</w:t>
            </w:r>
          </w:p>
        </w:tc>
        <w:tc>
          <w:tcPr>
            <w:tcW w:w="9525" w:type="dxa"/>
            <w:gridSpan w:val="4"/>
            <w:shd w:val="clear" w:color="auto" w:fill="auto"/>
            <w:vAlign w:val="center"/>
          </w:tcPr>
          <w:p w14:paraId="5FC284FC">
            <w:pPr>
              <w:keepNext w:val="0"/>
              <w:keepLines w:val="0"/>
              <w:pageBreakBefore w:val="0"/>
              <w:widowControl w:val="0"/>
              <w:kinsoku/>
              <w:wordWrap/>
              <w:overflowPunct/>
              <w:topLinePunct w:val="0"/>
              <w:autoSpaceDE w:val="0"/>
              <w:autoSpaceDN w:val="0"/>
              <w:bidi w:val="0"/>
              <w:adjustRightInd w:val="0"/>
              <w:snapToGrid/>
              <w:spacing w:line="300" w:lineRule="exact"/>
              <w:ind w:firstLine="480" w:firstLineChars="200"/>
              <w:textAlignment w:val="auto"/>
              <w:outlineLvl w:val="0"/>
              <w:rPr>
                <w:rFonts w:ascii="仿宋" w:hAnsi="仿宋" w:eastAsia="仿宋" w:cs="宋体"/>
                <w:color w:val="auto"/>
                <w:sz w:val="24"/>
                <w:highlight w:val="none"/>
              </w:rPr>
            </w:pPr>
            <w:r>
              <w:rPr>
                <w:rFonts w:hint="eastAsia" w:ascii="仿宋" w:hAnsi="仿宋" w:eastAsia="仿宋" w:cs="宋体"/>
                <w:color w:val="auto"/>
                <w:sz w:val="24"/>
                <w:highlight w:val="none"/>
              </w:rPr>
              <w:t>1.本次评标采用综合评分法。</w:t>
            </w:r>
          </w:p>
          <w:p w14:paraId="39713C42">
            <w:pPr>
              <w:keepNext w:val="0"/>
              <w:keepLines w:val="0"/>
              <w:pageBreakBefore w:val="0"/>
              <w:widowControl w:val="0"/>
              <w:kinsoku/>
              <w:wordWrap/>
              <w:overflowPunct/>
              <w:topLinePunct w:val="0"/>
              <w:autoSpaceDE w:val="0"/>
              <w:autoSpaceDN w:val="0"/>
              <w:bidi w:val="0"/>
              <w:adjustRightInd w:val="0"/>
              <w:snapToGrid/>
              <w:spacing w:line="300" w:lineRule="exact"/>
              <w:ind w:firstLine="480" w:firstLineChars="200"/>
              <w:textAlignment w:val="auto"/>
              <w:outlineLvl w:val="0"/>
              <w:rPr>
                <w:rFonts w:ascii="仿宋" w:hAnsi="仿宋" w:eastAsia="仿宋" w:cs="宋体"/>
                <w:color w:val="auto"/>
                <w:sz w:val="24"/>
                <w:highlight w:val="none"/>
              </w:rPr>
            </w:pPr>
            <w:r>
              <w:rPr>
                <w:rFonts w:hint="eastAsia" w:ascii="仿宋" w:hAnsi="仿宋" w:eastAsia="仿宋" w:cs="宋体"/>
                <w:color w:val="auto"/>
                <w:sz w:val="24"/>
                <w:highlight w:val="none"/>
              </w:rPr>
              <w:t>2.评标委员会先对投标文件进行符合性审查，对满足招标采购文件实质性要求的投标文件再进行资格文件、商务技术文件评审，最后对报价文件进行评审。</w:t>
            </w:r>
          </w:p>
          <w:p w14:paraId="43C2CF1E">
            <w:pPr>
              <w:keepNext w:val="0"/>
              <w:keepLines w:val="0"/>
              <w:pageBreakBefore w:val="0"/>
              <w:widowControl w:val="0"/>
              <w:kinsoku/>
              <w:wordWrap/>
              <w:overflowPunct/>
              <w:topLinePunct w:val="0"/>
              <w:autoSpaceDE w:val="0"/>
              <w:autoSpaceDN w:val="0"/>
              <w:bidi w:val="0"/>
              <w:adjustRightInd w:val="0"/>
              <w:snapToGrid/>
              <w:spacing w:line="300" w:lineRule="exact"/>
              <w:ind w:firstLine="480" w:firstLineChars="200"/>
              <w:textAlignment w:val="auto"/>
              <w:outlineLvl w:val="0"/>
              <w:rPr>
                <w:rFonts w:hint="eastAsia" w:ascii="仿宋" w:hAnsi="仿宋" w:eastAsia="仿宋" w:cs="Times New Roman"/>
                <w:b/>
                <w:bCs/>
                <w:color w:val="auto"/>
                <w:sz w:val="24"/>
                <w:szCs w:val="21"/>
                <w:highlight w:val="none"/>
                <w:lang w:val="en-US" w:eastAsia="zh-CN" w:bidi="ar-SA"/>
              </w:rPr>
            </w:pPr>
            <w:r>
              <w:rPr>
                <w:rFonts w:hint="eastAsia" w:ascii="仿宋" w:hAnsi="仿宋" w:eastAsia="仿宋" w:cs="宋体"/>
                <w:color w:val="auto"/>
                <w:sz w:val="24"/>
                <w:highlight w:val="none"/>
              </w:rPr>
              <w:t>3.投标人的评标总得分=商务技术文件得分+报价文件得分；评标委员会按照投标人最终总得分从高到低的顺序对投标人排名并编号，确定第一名为中标候选人。如</w:t>
            </w:r>
            <w:r>
              <w:rPr>
                <w:rFonts w:hint="eastAsia" w:ascii="仿宋" w:hAnsi="仿宋" w:eastAsia="仿宋" w:cs="宋体"/>
                <w:color w:val="auto"/>
                <w:sz w:val="24"/>
                <w:highlight w:val="none"/>
                <w:lang w:eastAsia="zh-CN"/>
              </w:rPr>
              <w:t>出</w:t>
            </w:r>
            <w:r>
              <w:rPr>
                <w:rFonts w:hint="eastAsia" w:ascii="仿宋" w:hAnsi="仿宋" w:eastAsia="仿宋" w:cs="宋体"/>
                <w:color w:val="auto"/>
                <w:sz w:val="24"/>
                <w:highlight w:val="none"/>
              </w:rPr>
              <w:t>现总得分相同的，以商务技术文件得分高者优先；若商务技术文件得分和报价文件得分均相同的，由评标委员会进行投票表决得票多者为中标候选人。</w:t>
            </w:r>
          </w:p>
        </w:tc>
      </w:tr>
      <w:tr w14:paraId="38AB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0278" w:type="dxa"/>
            <w:gridSpan w:val="5"/>
            <w:shd w:val="clear" w:color="auto" w:fill="auto"/>
            <w:vAlign w:val="center"/>
          </w:tcPr>
          <w:p w14:paraId="4293EC81">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left"/>
              <w:textAlignment w:val="auto"/>
              <w:rPr>
                <w:rFonts w:hint="eastAsia" w:ascii="仿宋" w:hAnsi="仿宋" w:eastAsia="仿宋" w:cs="宋体"/>
                <w:color w:val="auto"/>
                <w:sz w:val="22"/>
                <w:szCs w:val="22"/>
                <w:highlight w:val="none"/>
                <w:lang w:val="zh-TW" w:eastAsia="zh-TW" w:bidi="zh-TW"/>
              </w:rPr>
            </w:pPr>
            <w:r>
              <w:rPr>
                <w:rFonts w:hint="eastAsia" w:ascii="仿宋" w:hAnsi="仿宋" w:eastAsia="仿宋"/>
                <w:b/>
                <w:bCs/>
                <w:color w:val="auto"/>
                <w:sz w:val="24"/>
                <w:highlight w:val="none"/>
                <w:lang w:val="en-US" w:eastAsia="zh-CN" w:bidi="ar-SA"/>
              </w:rPr>
              <w:t>（一）资格评审</w:t>
            </w:r>
          </w:p>
        </w:tc>
      </w:tr>
      <w:tr w14:paraId="5029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1FF06378">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center"/>
              <w:textAlignment w:val="auto"/>
              <w:rPr>
                <w:rFonts w:hint="eastAsia" w:ascii="仿宋" w:hAnsi="仿宋" w:eastAsia="仿宋" w:cs="宋体"/>
                <w:b/>
                <w:bCs/>
                <w:color w:val="auto"/>
                <w:sz w:val="24"/>
                <w:szCs w:val="22"/>
                <w:highlight w:val="none"/>
                <w:lang w:val="en-US" w:eastAsia="zh-CN" w:bidi="ar-SA"/>
              </w:rPr>
            </w:pPr>
            <w:r>
              <w:rPr>
                <w:rFonts w:hint="eastAsia" w:ascii="仿宋" w:hAnsi="仿宋" w:eastAsia="仿宋"/>
                <w:b/>
                <w:bCs/>
                <w:color w:val="auto"/>
                <w:sz w:val="24"/>
                <w:highlight w:val="none"/>
                <w:lang w:val="en-US" w:eastAsia="zh-CN" w:bidi="ar-SA"/>
              </w:rPr>
              <w:t>序号</w:t>
            </w:r>
          </w:p>
        </w:tc>
        <w:tc>
          <w:tcPr>
            <w:tcW w:w="2197" w:type="dxa"/>
            <w:gridSpan w:val="2"/>
            <w:shd w:val="clear" w:color="auto" w:fill="auto"/>
            <w:vAlign w:val="center"/>
          </w:tcPr>
          <w:p w14:paraId="58815A27">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center"/>
              <w:textAlignment w:val="auto"/>
              <w:rPr>
                <w:rFonts w:hint="eastAsia" w:ascii="仿宋" w:hAnsi="仿宋" w:eastAsia="仿宋" w:cs="宋体"/>
                <w:b/>
                <w:bCs/>
                <w:color w:val="auto"/>
                <w:sz w:val="24"/>
                <w:szCs w:val="22"/>
                <w:highlight w:val="none"/>
                <w:lang w:val="en-US" w:eastAsia="zh-CN" w:bidi="ar-SA"/>
              </w:rPr>
            </w:pPr>
            <w:r>
              <w:rPr>
                <w:rFonts w:hint="eastAsia" w:ascii="仿宋" w:hAnsi="仿宋" w:eastAsia="仿宋"/>
                <w:b/>
                <w:bCs/>
                <w:color w:val="auto"/>
                <w:sz w:val="24"/>
                <w:highlight w:val="none"/>
                <w:lang w:val="en-US" w:eastAsia="zh-CN" w:bidi="ar-SA"/>
              </w:rPr>
              <w:t>评审因素</w:t>
            </w:r>
          </w:p>
        </w:tc>
        <w:tc>
          <w:tcPr>
            <w:tcW w:w="7328" w:type="dxa"/>
            <w:gridSpan w:val="2"/>
            <w:shd w:val="clear" w:color="auto" w:fill="auto"/>
            <w:vAlign w:val="center"/>
          </w:tcPr>
          <w:p w14:paraId="1D68C047">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center"/>
              <w:textAlignment w:val="auto"/>
              <w:rPr>
                <w:rFonts w:hint="eastAsia" w:ascii="仿宋" w:hAnsi="仿宋" w:eastAsia="仿宋" w:cs="宋体"/>
                <w:b/>
                <w:bCs/>
                <w:color w:val="auto"/>
                <w:sz w:val="24"/>
                <w:szCs w:val="22"/>
                <w:highlight w:val="none"/>
                <w:lang w:val="en-US" w:eastAsia="zh-CN" w:bidi="ar-SA"/>
              </w:rPr>
            </w:pPr>
            <w:r>
              <w:rPr>
                <w:rFonts w:hint="eastAsia" w:ascii="仿宋" w:hAnsi="仿宋" w:eastAsia="仿宋"/>
                <w:b/>
                <w:bCs/>
                <w:color w:val="auto"/>
                <w:sz w:val="24"/>
                <w:highlight w:val="none"/>
                <w:lang w:val="en-US" w:eastAsia="zh-CN" w:bidi="ar-SA"/>
              </w:rPr>
              <w:t>评审标准</w:t>
            </w:r>
          </w:p>
        </w:tc>
      </w:tr>
      <w:tr w14:paraId="237A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753" w:type="dxa"/>
            <w:shd w:val="clear" w:color="auto" w:fill="auto"/>
            <w:vAlign w:val="center"/>
          </w:tcPr>
          <w:p w14:paraId="09389744">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center"/>
              <w:textAlignment w:val="auto"/>
              <w:rPr>
                <w:rFonts w:hint="eastAsia" w:ascii="仿宋" w:hAnsi="仿宋" w:eastAsia="仿宋" w:cs="宋体"/>
                <w:color w:val="auto"/>
                <w:sz w:val="24"/>
                <w:szCs w:val="24"/>
                <w:highlight w:val="none"/>
                <w:lang w:val="zh-TW" w:eastAsia="zh-TW" w:bidi="zh-TW"/>
              </w:rPr>
            </w:pPr>
            <w:r>
              <w:rPr>
                <w:rFonts w:hint="eastAsia" w:ascii="仿宋" w:hAnsi="仿宋" w:eastAsia="仿宋"/>
                <w:color w:val="auto"/>
                <w:sz w:val="24"/>
                <w:szCs w:val="24"/>
                <w:highlight w:val="none"/>
              </w:rPr>
              <w:t>1</w:t>
            </w:r>
          </w:p>
        </w:tc>
        <w:tc>
          <w:tcPr>
            <w:tcW w:w="2197" w:type="dxa"/>
            <w:gridSpan w:val="2"/>
            <w:shd w:val="clear" w:color="auto" w:fill="auto"/>
            <w:vAlign w:val="center"/>
          </w:tcPr>
          <w:p w14:paraId="21371AF2">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center"/>
              <w:textAlignment w:val="auto"/>
              <w:rPr>
                <w:rFonts w:hint="eastAsia" w:ascii="仿宋" w:hAnsi="仿宋" w:eastAsia="仿宋" w:cs="宋体"/>
                <w:color w:val="auto"/>
                <w:sz w:val="24"/>
                <w:szCs w:val="24"/>
                <w:highlight w:val="none"/>
                <w:lang w:val="zh-TW" w:eastAsia="zh-TW" w:bidi="zh-TW"/>
              </w:rPr>
            </w:pPr>
            <w:r>
              <w:rPr>
                <w:rFonts w:hint="eastAsia" w:ascii="仿宋" w:hAnsi="仿宋" w:eastAsia="仿宋"/>
                <w:color w:val="auto"/>
                <w:sz w:val="24"/>
                <w:szCs w:val="24"/>
                <w:lang w:val="en-US" w:eastAsia="zh-CN"/>
              </w:rPr>
              <w:t>基本资质</w:t>
            </w:r>
          </w:p>
        </w:tc>
        <w:tc>
          <w:tcPr>
            <w:tcW w:w="7328" w:type="dxa"/>
            <w:gridSpan w:val="2"/>
            <w:shd w:val="clear" w:color="auto" w:fill="auto"/>
            <w:vAlign w:val="center"/>
          </w:tcPr>
          <w:p w14:paraId="6CFC53B0">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lef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1.符合《中华人民共和国政府采购法》第二十二条的规定</w:t>
            </w:r>
          </w:p>
          <w:p w14:paraId="79D3C015">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left"/>
              <w:textAlignment w:val="auto"/>
              <w:rPr>
                <w:rFonts w:hint="eastAsia" w:ascii="仿宋" w:hAnsi="仿宋" w:eastAsia="仿宋"/>
                <w:color w:val="auto"/>
                <w:sz w:val="24"/>
                <w:szCs w:val="24"/>
                <w:lang w:val="zh-TW" w:eastAsia="zh-CN"/>
              </w:rPr>
            </w:pPr>
            <w:r>
              <w:rPr>
                <w:rFonts w:hint="eastAsia" w:ascii="仿宋" w:hAnsi="仿宋" w:eastAsia="仿宋"/>
                <w:color w:val="auto"/>
                <w:sz w:val="24"/>
                <w:szCs w:val="24"/>
                <w:lang w:val="en-US" w:eastAsia="zh-CN"/>
              </w:rPr>
              <w:t>2.未被“信用中国”（www.creditchina.gov.cn）、中国政府采购网（www.ccgp.gov.cn）列入失信被执行人、重大税收违法案件当事人名单、政府采购严重违法失信行为记录名单</w:t>
            </w:r>
          </w:p>
        </w:tc>
      </w:tr>
      <w:tr w14:paraId="7F72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53" w:type="dxa"/>
            <w:shd w:val="clear" w:color="auto" w:fill="auto"/>
            <w:vAlign w:val="center"/>
          </w:tcPr>
          <w:p w14:paraId="7F24FCE2">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center"/>
              <w:textAlignment w:val="auto"/>
              <w:rPr>
                <w:rFonts w:hint="eastAsia" w:ascii="仿宋" w:hAnsi="仿宋" w:eastAsia="仿宋" w:cs="宋体"/>
                <w:color w:val="auto"/>
                <w:sz w:val="24"/>
                <w:szCs w:val="24"/>
                <w:highlight w:val="none"/>
                <w:lang w:val="en-US" w:eastAsia="zh-CN" w:bidi="zh-TW"/>
              </w:rPr>
            </w:pPr>
            <w:r>
              <w:rPr>
                <w:rFonts w:hint="eastAsia" w:ascii="仿宋" w:hAnsi="仿宋" w:eastAsia="仿宋"/>
                <w:color w:val="auto"/>
                <w:sz w:val="24"/>
                <w:szCs w:val="24"/>
                <w:highlight w:val="none"/>
                <w:lang w:val="en-US" w:eastAsia="zh-CN"/>
              </w:rPr>
              <w:t>2</w:t>
            </w:r>
          </w:p>
        </w:tc>
        <w:tc>
          <w:tcPr>
            <w:tcW w:w="2197" w:type="dxa"/>
            <w:gridSpan w:val="2"/>
            <w:shd w:val="clear" w:color="auto" w:fill="auto"/>
            <w:vAlign w:val="center"/>
          </w:tcPr>
          <w:p w14:paraId="69D86760">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bCs/>
                <w:color w:val="auto"/>
                <w:sz w:val="24"/>
                <w:szCs w:val="24"/>
                <w:highlight w:val="none"/>
                <w:lang w:val="zh-TW" w:eastAsia="zh-CN" w:bidi="ar-SA"/>
              </w:rPr>
            </w:pPr>
            <w:r>
              <w:rPr>
                <w:rFonts w:ascii="仿宋" w:hAnsi="仿宋" w:eastAsia="仿宋"/>
                <w:bCs/>
                <w:color w:val="auto"/>
                <w:sz w:val="24"/>
                <w:szCs w:val="24"/>
                <w:highlight w:val="none"/>
              </w:rPr>
              <w:t>采购政策</w:t>
            </w:r>
          </w:p>
        </w:tc>
        <w:tc>
          <w:tcPr>
            <w:tcW w:w="7328" w:type="dxa"/>
            <w:gridSpan w:val="2"/>
            <w:shd w:val="clear" w:color="auto" w:fill="auto"/>
            <w:vAlign w:val="center"/>
          </w:tcPr>
          <w:p w14:paraId="0F2D90C8">
            <w:pPr>
              <w:keepNext w:val="0"/>
              <w:keepLines w:val="0"/>
              <w:pageBreakBefore w:val="0"/>
              <w:kinsoku/>
              <w:wordWrap/>
              <w:overflowPunct/>
              <w:topLinePunct w:val="0"/>
              <w:bidi w:val="0"/>
              <w:spacing w:line="240" w:lineRule="exact"/>
              <w:jc w:val="left"/>
              <w:textAlignment w:val="auto"/>
              <w:rPr>
                <w:rFonts w:hint="eastAsia" w:ascii="仿宋" w:hAnsi="仿宋" w:eastAsia="仿宋" w:cs="仿宋"/>
                <w:b/>
                <w:bCs/>
                <w:color w:val="auto"/>
                <w:sz w:val="24"/>
                <w:szCs w:val="24"/>
                <w:highlight w:val="none"/>
                <w:lang w:val="en-US" w:eastAsia="zh-CN" w:bidi="ar-SA"/>
              </w:rPr>
            </w:pPr>
            <w:r>
              <w:rPr>
                <w:rFonts w:hint="eastAsia" w:ascii="仿宋" w:hAnsi="仿宋" w:eastAsia="仿宋"/>
                <w:bCs/>
                <w:color w:val="auto"/>
                <w:sz w:val="24"/>
                <w:szCs w:val="24"/>
                <w:highlight w:val="none"/>
              </w:rPr>
              <w:t>供应商应符合中小企业，请根据要求上传《中小企业声明函》，格式以采购文件要求为准；</w:t>
            </w:r>
          </w:p>
        </w:tc>
      </w:tr>
      <w:tr w14:paraId="22AD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53" w:type="dxa"/>
            <w:shd w:val="clear" w:color="auto" w:fill="auto"/>
            <w:vAlign w:val="center"/>
          </w:tcPr>
          <w:p w14:paraId="25D612AC">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center"/>
              <w:textAlignment w:val="auto"/>
              <w:rPr>
                <w:rFonts w:hint="eastAsia" w:ascii="仿宋" w:hAnsi="仿宋" w:eastAsia="仿宋" w:cs="宋体"/>
                <w:color w:val="auto"/>
                <w:sz w:val="24"/>
                <w:szCs w:val="24"/>
                <w:highlight w:val="none"/>
                <w:lang w:val="en-US" w:eastAsia="zh-CN" w:bidi="zh-TW"/>
              </w:rPr>
            </w:pPr>
            <w:r>
              <w:rPr>
                <w:rFonts w:hint="eastAsia" w:ascii="仿宋" w:hAnsi="仿宋" w:eastAsia="仿宋" w:cs="宋体"/>
                <w:color w:val="auto"/>
                <w:sz w:val="24"/>
                <w:szCs w:val="24"/>
                <w:highlight w:val="none"/>
                <w:lang w:val="en-US" w:eastAsia="zh-CN" w:bidi="zh-TW"/>
              </w:rPr>
              <w:t>3</w:t>
            </w:r>
          </w:p>
        </w:tc>
        <w:tc>
          <w:tcPr>
            <w:tcW w:w="2197" w:type="dxa"/>
            <w:gridSpan w:val="2"/>
            <w:shd w:val="clear" w:color="auto" w:fill="auto"/>
            <w:vAlign w:val="center"/>
          </w:tcPr>
          <w:p w14:paraId="528DA745">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center"/>
              <w:textAlignment w:val="auto"/>
              <w:rPr>
                <w:rFonts w:hint="eastAsia" w:ascii="仿宋" w:hAnsi="仿宋" w:eastAsia="仿宋" w:cs="宋体"/>
                <w:color w:val="auto"/>
                <w:sz w:val="24"/>
                <w:szCs w:val="24"/>
                <w:highlight w:val="none"/>
                <w:lang w:val="zh-TW" w:eastAsia="zh-CN" w:bidi="zh-TW"/>
              </w:rPr>
            </w:pPr>
            <w:r>
              <w:rPr>
                <w:rFonts w:hint="eastAsia" w:ascii="仿宋" w:hAnsi="仿宋" w:eastAsia="仿宋"/>
                <w:color w:val="auto"/>
                <w:sz w:val="24"/>
                <w:szCs w:val="24"/>
                <w:highlight w:val="none"/>
                <w:lang w:eastAsia="zh-CN"/>
              </w:rPr>
              <w:t>基本资质</w:t>
            </w:r>
          </w:p>
        </w:tc>
        <w:tc>
          <w:tcPr>
            <w:tcW w:w="7328" w:type="dxa"/>
            <w:gridSpan w:val="2"/>
            <w:shd w:val="clear" w:color="auto" w:fill="auto"/>
            <w:vAlign w:val="center"/>
          </w:tcPr>
          <w:p w14:paraId="3DFA03BD">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textAlignment w:val="auto"/>
              <w:rPr>
                <w:rFonts w:hint="eastAsia" w:ascii="仿宋" w:hAnsi="仿宋" w:eastAsia="仿宋" w:cs="宋体"/>
                <w:color w:val="auto"/>
                <w:sz w:val="24"/>
                <w:szCs w:val="24"/>
                <w:highlight w:val="none"/>
                <w:lang w:val="zh-TW" w:eastAsia="zh-CN" w:bidi="zh-TW"/>
              </w:rPr>
            </w:pPr>
            <w:r>
              <w:rPr>
                <w:rFonts w:hint="eastAsia" w:ascii="仿宋" w:hAnsi="仿宋" w:eastAsia="仿宋"/>
                <w:color w:val="auto"/>
                <w:sz w:val="24"/>
                <w:szCs w:val="24"/>
                <w:highlight w:val="none"/>
                <w:lang w:eastAsia="zh-CN"/>
              </w:rPr>
              <w:t>符合参加政府采购活动应当具备的一般条件的承诺函</w:t>
            </w:r>
          </w:p>
        </w:tc>
      </w:tr>
      <w:tr w14:paraId="2032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22E2A972">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center"/>
              <w:textAlignment w:val="auto"/>
              <w:rPr>
                <w:rFonts w:hint="default" w:ascii="仿宋" w:hAnsi="仿宋" w:eastAsia="仿宋" w:cs="宋体"/>
                <w:color w:val="auto"/>
                <w:sz w:val="24"/>
                <w:szCs w:val="24"/>
                <w:highlight w:val="none"/>
                <w:lang w:val="en-US" w:eastAsia="zh-CN" w:bidi="zh-TW"/>
              </w:rPr>
            </w:pPr>
            <w:r>
              <w:rPr>
                <w:rFonts w:hint="eastAsia" w:ascii="仿宋" w:hAnsi="仿宋" w:eastAsia="仿宋"/>
                <w:color w:val="auto"/>
                <w:sz w:val="24"/>
                <w:szCs w:val="24"/>
                <w:highlight w:val="none"/>
                <w:lang w:val="en-US" w:eastAsia="zh-CN"/>
              </w:rPr>
              <w:t>4</w:t>
            </w:r>
          </w:p>
        </w:tc>
        <w:tc>
          <w:tcPr>
            <w:tcW w:w="2197" w:type="dxa"/>
            <w:gridSpan w:val="2"/>
            <w:shd w:val="clear" w:color="auto" w:fill="auto"/>
            <w:vAlign w:val="center"/>
          </w:tcPr>
          <w:p w14:paraId="05863F4D">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center"/>
              <w:textAlignment w:val="auto"/>
              <w:rPr>
                <w:rFonts w:hint="eastAsia" w:ascii="仿宋" w:hAnsi="仿宋" w:eastAsia="仿宋" w:cs="宋体"/>
                <w:color w:val="auto"/>
                <w:sz w:val="24"/>
                <w:szCs w:val="24"/>
                <w:highlight w:val="none"/>
                <w:lang w:val="zh-TW" w:eastAsia="zh-CN" w:bidi="zh-TW"/>
              </w:rPr>
            </w:pPr>
            <w:r>
              <w:rPr>
                <w:rFonts w:hint="eastAsia" w:ascii="仿宋" w:hAnsi="仿宋" w:eastAsia="仿宋"/>
                <w:color w:val="auto"/>
                <w:sz w:val="24"/>
                <w:szCs w:val="24"/>
                <w:highlight w:val="none"/>
                <w:lang w:eastAsia="zh-CN"/>
              </w:rPr>
              <w:t>基本资质</w:t>
            </w:r>
          </w:p>
        </w:tc>
        <w:tc>
          <w:tcPr>
            <w:tcW w:w="7328" w:type="dxa"/>
            <w:gridSpan w:val="2"/>
            <w:shd w:val="clear" w:color="auto" w:fill="auto"/>
            <w:vAlign w:val="center"/>
          </w:tcPr>
          <w:p w14:paraId="775AE75C">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textAlignment w:val="auto"/>
              <w:rPr>
                <w:rFonts w:hint="eastAsia" w:ascii="仿宋" w:hAnsi="仿宋" w:eastAsia="仿宋" w:cs="宋体"/>
                <w:color w:val="auto"/>
                <w:sz w:val="24"/>
                <w:szCs w:val="24"/>
                <w:highlight w:val="none"/>
                <w:lang w:val="zh-TW" w:eastAsia="zh-CN" w:bidi="zh-TW"/>
              </w:rPr>
            </w:pPr>
            <w:r>
              <w:rPr>
                <w:rFonts w:hint="eastAsia" w:ascii="仿宋" w:hAnsi="仿宋" w:eastAsia="仿宋" w:cs="仿宋"/>
                <w:color w:val="auto"/>
                <w:sz w:val="24"/>
                <w:szCs w:val="24"/>
                <w:highlight w:val="none"/>
              </w:rPr>
              <w:t>法定代表人资格书或法定代表人授权委托书</w:t>
            </w:r>
          </w:p>
        </w:tc>
      </w:tr>
      <w:tr w14:paraId="1F88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22570917">
            <w:pPr>
              <w:pStyle w:val="47"/>
              <w:keepNext w:val="0"/>
              <w:keepLines w:val="0"/>
              <w:pageBreakBefore w:val="0"/>
              <w:widowControl w:val="0"/>
              <w:kinsoku/>
              <w:wordWrap/>
              <w:overflowPunct/>
              <w:topLinePunct w:val="0"/>
              <w:autoSpaceDE w:val="0"/>
              <w:autoSpaceDN w:val="0"/>
              <w:bidi w:val="0"/>
              <w:adjustRightInd w:val="0"/>
              <w:snapToGrid/>
              <w:spacing w:after="0" w:line="240" w:lineRule="exact"/>
              <w:ind w:firstLine="0" w:firstLineChars="0"/>
              <w:jc w:val="center"/>
              <w:textAlignment w:val="auto"/>
              <w:rPr>
                <w:rFonts w:hint="eastAsia" w:ascii="仿宋" w:hAnsi="仿宋" w:eastAsia="仿宋" w:cs="宋体"/>
                <w:color w:val="auto"/>
                <w:sz w:val="24"/>
                <w:szCs w:val="24"/>
                <w:highlight w:val="none"/>
                <w:lang w:val="en-US" w:eastAsia="zh-CN" w:bidi="zh-TW"/>
              </w:rPr>
            </w:pPr>
            <w:r>
              <w:rPr>
                <w:rFonts w:hint="eastAsia" w:ascii="仿宋" w:hAnsi="仿宋" w:eastAsia="仿宋" w:cs="宋体"/>
                <w:color w:val="auto"/>
                <w:sz w:val="24"/>
                <w:szCs w:val="24"/>
                <w:highlight w:val="none"/>
                <w:lang w:val="en-US" w:eastAsia="zh-CN" w:bidi="zh-TW"/>
              </w:rPr>
              <w:t>5</w:t>
            </w:r>
          </w:p>
        </w:tc>
        <w:tc>
          <w:tcPr>
            <w:tcW w:w="2197" w:type="dxa"/>
            <w:gridSpan w:val="2"/>
            <w:shd w:val="clear" w:color="auto" w:fill="auto"/>
            <w:vAlign w:val="center"/>
          </w:tcPr>
          <w:p w14:paraId="2319A0E6">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bCs/>
                <w:color w:val="auto"/>
                <w:sz w:val="24"/>
                <w:szCs w:val="24"/>
                <w:highlight w:val="none"/>
                <w:lang w:val="zh-TW" w:eastAsia="zh-CN" w:bidi="ar-SA"/>
              </w:rPr>
            </w:pPr>
            <w:r>
              <w:rPr>
                <w:rFonts w:ascii="仿宋" w:hAnsi="仿宋" w:eastAsia="仿宋"/>
                <w:bCs/>
                <w:color w:val="auto"/>
                <w:sz w:val="24"/>
                <w:szCs w:val="24"/>
                <w:highlight w:val="none"/>
              </w:rPr>
              <w:t>其他要求</w:t>
            </w:r>
          </w:p>
        </w:tc>
        <w:tc>
          <w:tcPr>
            <w:tcW w:w="7328" w:type="dxa"/>
            <w:gridSpan w:val="2"/>
            <w:shd w:val="clear" w:color="auto" w:fill="auto"/>
            <w:vAlign w:val="center"/>
          </w:tcPr>
          <w:p w14:paraId="0110FB55">
            <w:pPr>
              <w:keepNext w:val="0"/>
              <w:keepLines w:val="0"/>
              <w:pageBreakBefore w:val="0"/>
              <w:kinsoku/>
              <w:wordWrap/>
              <w:overflowPunct/>
              <w:topLinePunct w:val="0"/>
              <w:bidi w:val="0"/>
              <w:spacing w:line="240" w:lineRule="exact"/>
              <w:jc w:val="left"/>
              <w:textAlignment w:val="auto"/>
              <w:rPr>
                <w:rFonts w:hint="eastAsia" w:ascii="仿宋" w:hAnsi="仿宋" w:eastAsia="仿宋" w:cs="仿宋"/>
                <w:b/>
                <w:bCs/>
                <w:color w:val="auto"/>
                <w:sz w:val="24"/>
                <w:szCs w:val="24"/>
                <w:highlight w:val="none"/>
                <w:lang w:val="zh-TW" w:eastAsia="zh-CN" w:bidi="ar-SA"/>
              </w:rPr>
            </w:pPr>
            <w:r>
              <w:rPr>
                <w:rFonts w:ascii="仿宋" w:hAnsi="仿宋" w:eastAsia="仿宋"/>
                <w:bCs/>
                <w:color w:val="auto"/>
                <w:sz w:val="24"/>
                <w:szCs w:val="24"/>
                <w:highlight w:val="none"/>
              </w:rPr>
              <w:t>符合招标文件中规定的资格要求</w:t>
            </w:r>
          </w:p>
        </w:tc>
      </w:tr>
      <w:tr w14:paraId="08C9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0278" w:type="dxa"/>
            <w:gridSpan w:val="5"/>
            <w:shd w:val="clear" w:color="auto" w:fill="auto"/>
            <w:vAlign w:val="center"/>
          </w:tcPr>
          <w:p w14:paraId="0CA94CC8">
            <w:pPr>
              <w:keepNext w:val="0"/>
              <w:keepLines w:val="0"/>
              <w:pageBreakBefore w:val="0"/>
              <w:kinsoku/>
              <w:wordWrap/>
              <w:overflowPunct/>
              <w:topLinePunct w:val="0"/>
              <w:bidi w:val="0"/>
              <w:spacing w:line="240" w:lineRule="exact"/>
              <w:jc w:val="left"/>
              <w:textAlignment w:val="auto"/>
              <w:rPr>
                <w:rFonts w:hint="eastAsia" w:ascii="仿宋" w:hAnsi="仿宋" w:eastAsia="仿宋" w:cs="仿宋"/>
                <w:b/>
                <w:bCs/>
                <w:color w:val="auto"/>
                <w:sz w:val="24"/>
                <w:szCs w:val="24"/>
                <w:highlight w:val="none"/>
                <w:lang w:val="en-US" w:eastAsia="zh-CN" w:bidi="ar-SA"/>
              </w:rPr>
            </w:pPr>
            <w:r>
              <w:rPr>
                <w:rFonts w:ascii="仿宋" w:hAnsi="仿宋" w:eastAsia="仿宋"/>
                <w:b/>
                <w:color w:val="auto"/>
                <w:sz w:val="24"/>
                <w:szCs w:val="24"/>
                <w:highlight w:val="none"/>
              </w:rPr>
              <w:t>（二）符合性评审</w:t>
            </w:r>
          </w:p>
        </w:tc>
      </w:tr>
      <w:tr w14:paraId="63C1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7B028AFB">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b/>
                <w:bCs/>
                <w:color w:val="auto"/>
                <w:sz w:val="24"/>
                <w:szCs w:val="24"/>
                <w:highlight w:val="none"/>
                <w:lang w:val="en-US" w:eastAsia="zh-CN" w:bidi="ar-SA"/>
              </w:rPr>
            </w:pPr>
            <w:r>
              <w:rPr>
                <w:rFonts w:ascii="仿宋" w:hAnsi="仿宋" w:eastAsia="仿宋"/>
                <w:b/>
                <w:bCs/>
                <w:color w:val="auto"/>
                <w:sz w:val="24"/>
                <w:szCs w:val="24"/>
                <w:highlight w:val="none"/>
              </w:rPr>
              <w:t>序号</w:t>
            </w:r>
          </w:p>
        </w:tc>
        <w:tc>
          <w:tcPr>
            <w:tcW w:w="2197" w:type="dxa"/>
            <w:gridSpan w:val="2"/>
            <w:shd w:val="clear" w:color="auto" w:fill="auto"/>
            <w:vAlign w:val="center"/>
          </w:tcPr>
          <w:p w14:paraId="5FEDCFFD">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bCs/>
                <w:color w:val="auto"/>
                <w:sz w:val="24"/>
                <w:szCs w:val="24"/>
                <w:highlight w:val="none"/>
                <w:lang w:val="en-US" w:eastAsia="zh-CN" w:bidi="ar-SA"/>
              </w:rPr>
            </w:pPr>
            <w:r>
              <w:rPr>
                <w:rFonts w:ascii="仿宋" w:hAnsi="仿宋" w:eastAsia="仿宋"/>
                <w:b/>
                <w:bCs/>
                <w:color w:val="auto"/>
                <w:sz w:val="24"/>
                <w:szCs w:val="24"/>
                <w:highlight w:val="none"/>
              </w:rPr>
              <w:t>评审因素</w:t>
            </w:r>
          </w:p>
        </w:tc>
        <w:tc>
          <w:tcPr>
            <w:tcW w:w="7328" w:type="dxa"/>
            <w:gridSpan w:val="2"/>
            <w:shd w:val="clear" w:color="auto" w:fill="auto"/>
            <w:vAlign w:val="center"/>
          </w:tcPr>
          <w:p w14:paraId="6B96C899">
            <w:pPr>
              <w:keepNext w:val="0"/>
              <w:keepLines w:val="0"/>
              <w:pageBreakBefore w:val="0"/>
              <w:kinsoku/>
              <w:wordWrap/>
              <w:overflowPunct/>
              <w:topLinePunct w:val="0"/>
              <w:bidi w:val="0"/>
              <w:spacing w:line="240" w:lineRule="exact"/>
              <w:jc w:val="center"/>
              <w:textAlignment w:val="auto"/>
              <w:rPr>
                <w:rFonts w:hint="eastAsia" w:ascii="仿宋" w:hAnsi="仿宋" w:eastAsia="仿宋" w:cs="仿宋"/>
                <w:b/>
                <w:bCs/>
                <w:color w:val="auto"/>
                <w:sz w:val="24"/>
                <w:szCs w:val="24"/>
                <w:highlight w:val="none"/>
                <w:lang w:val="en-US" w:eastAsia="zh-CN" w:bidi="ar-SA"/>
              </w:rPr>
            </w:pPr>
            <w:r>
              <w:rPr>
                <w:rFonts w:ascii="仿宋" w:hAnsi="仿宋" w:eastAsia="仿宋"/>
                <w:b/>
                <w:color w:val="auto"/>
                <w:sz w:val="24"/>
                <w:szCs w:val="24"/>
                <w:highlight w:val="none"/>
              </w:rPr>
              <w:t>评审标准</w:t>
            </w:r>
          </w:p>
        </w:tc>
      </w:tr>
      <w:tr w14:paraId="12E0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1AEA52F9">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bCs/>
                <w:color w:val="auto"/>
                <w:sz w:val="24"/>
                <w:szCs w:val="24"/>
                <w:highlight w:val="none"/>
                <w:lang w:val="en-US" w:eastAsia="zh-CN" w:bidi="ar-SA"/>
              </w:rPr>
            </w:pPr>
            <w:r>
              <w:rPr>
                <w:rFonts w:hint="eastAsia" w:ascii="仿宋" w:hAnsi="仿宋" w:eastAsia="仿宋"/>
                <w:bCs/>
                <w:color w:val="auto"/>
                <w:sz w:val="24"/>
                <w:szCs w:val="24"/>
                <w:highlight w:val="none"/>
              </w:rPr>
              <w:t>1</w:t>
            </w:r>
          </w:p>
        </w:tc>
        <w:tc>
          <w:tcPr>
            <w:tcW w:w="2197" w:type="dxa"/>
            <w:gridSpan w:val="2"/>
            <w:shd w:val="clear" w:color="auto" w:fill="auto"/>
            <w:vAlign w:val="center"/>
          </w:tcPr>
          <w:p w14:paraId="5D2D406A">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color w:val="auto"/>
                <w:sz w:val="24"/>
                <w:szCs w:val="24"/>
                <w:highlight w:val="none"/>
                <w:lang w:val="en-US" w:eastAsia="zh-CN" w:bidi="ar-SA"/>
              </w:rPr>
            </w:pPr>
            <w:r>
              <w:rPr>
                <w:rFonts w:ascii="仿宋" w:hAnsi="仿宋" w:eastAsia="仿宋"/>
                <w:color w:val="auto"/>
                <w:sz w:val="24"/>
                <w:szCs w:val="24"/>
                <w:highlight w:val="none"/>
              </w:rPr>
              <w:t>投标人名称</w:t>
            </w:r>
          </w:p>
        </w:tc>
        <w:tc>
          <w:tcPr>
            <w:tcW w:w="7328" w:type="dxa"/>
            <w:gridSpan w:val="2"/>
            <w:shd w:val="clear" w:color="auto" w:fill="auto"/>
            <w:vAlign w:val="center"/>
          </w:tcPr>
          <w:p w14:paraId="5098EE55">
            <w:pPr>
              <w:keepNext w:val="0"/>
              <w:keepLines w:val="0"/>
              <w:pageBreakBefore w:val="0"/>
              <w:kinsoku/>
              <w:wordWrap/>
              <w:overflowPunct/>
              <w:topLinePunct w:val="0"/>
              <w:bidi w:val="0"/>
              <w:spacing w:line="240" w:lineRule="exact"/>
              <w:jc w:val="left"/>
              <w:textAlignment w:val="auto"/>
              <w:rPr>
                <w:rFonts w:hint="eastAsia" w:ascii="仿宋" w:hAnsi="仿宋" w:eastAsia="仿宋" w:cs="仿宋"/>
                <w:b/>
                <w:bCs/>
                <w:color w:val="auto"/>
                <w:sz w:val="24"/>
                <w:szCs w:val="24"/>
                <w:highlight w:val="none"/>
                <w:lang w:val="en-US" w:eastAsia="zh-CN" w:bidi="ar-SA"/>
              </w:rPr>
            </w:pPr>
            <w:r>
              <w:rPr>
                <w:rFonts w:hint="eastAsia" w:ascii="仿宋" w:hAnsi="仿宋" w:eastAsia="仿宋"/>
                <w:color w:val="auto"/>
                <w:sz w:val="24"/>
                <w:szCs w:val="24"/>
                <w:lang w:val="en-US" w:eastAsia="zh-CN"/>
              </w:rPr>
              <w:t>与</w:t>
            </w:r>
            <w:r>
              <w:rPr>
                <w:rFonts w:hint="eastAsia" w:ascii="仿宋" w:hAnsi="仿宋" w:eastAsia="仿宋"/>
                <w:color w:val="auto"/>
                <w:sz w:val="24"/>
                <w:szCs w:val="24"/>
              </w:rPr>
              <w:t>有效的营业执照/事业单位法人证书/社会团体法人登记证书等主体资格证明文件</w:t>
            </w:r>
            <w:r>
              <w:rPr>
                <w:rFonts w:hint="eastAsia" w:ascii="仿宋" w:hAnsi="仿宋" w:eastAsia="仿宋"/>
                <w:color w:val="auto"/>
                <w:sz w:val="24"/>
                <w:szCs w:val="24"/>
                <w:lang w:val="en-US" w:eastAsia="zh-CN"/>
              </w:rPr>
              <w:t>一致</w:t>
            </w:r>
            <w:r>
              <w:rPr>
                <w:rFonts w:hint="eastAsia" w:ascii="仿宋" w:hAnsi="仿宋" w:eastAsia="仿宋"/>
                <w:color w:val="auto"/>
                <w:sz w:val="24"/>
                <w:szCs w:val="24"/>
              </w:rPr>
              <w:t>；</w:t>
            </w:r>
          </w:p>
        </w:tc>
      </w:tr>
      <w:tr w14:paraId="1857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1EF30CAD">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bCs/>
                <w:color w:val="auto"/>
                <w:sz w:val="24"/>
                <w:szCs w:val="24"/>
                <w:highlight w:val="none"/>
                <w:lang w:val="en-US" w:eastAsia="zh-CN" w:bidi="ar-SA"/>
              </w:rPr>
            </w:pPr>
            <w:r>
              <w:rPr>
                <w:rFonts w:hint="eastAsia" w:ascii="仿宋" w:hAnsi="仿宋" w:eastAsia="仿宋"/>
                <w:bCs/>
                <w:color w:val="auto"/>
                <w:sz w:val="24"/>
                <w:szCs w:val="24"/>
                <w:highlight w:val="none"/>
              </w:rPr>
              <w:t>2</w:t>
            </w:r>
          </w:p>
        </w:tc>
        <w:tc>
          <w:tcPr>
            <w:tcW w:w="2197" w:type="dxa"/>
            <w:gridSpan w:val="2"/>
            <w:shd w:val="clear" w:color="auto" w:fill="auto"/>
            <w:vAlign w:val="center"/>
          </w:tcPr>
          <w:p w14:paraId="39A3148B">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color w:val="auto"/>
                <w:sz w:val="24"/>
                <w:szCs w:val="24"/>
                <w:highlight w:val="none"/>
                <w:lang w:val="en-US" w:eastAsia="zh-CN" w:bidi="ar-SA"/>
              </w:rPr>
            </w:pPr>
            <w:r>
              <w:rPr>
                <w:rFonts w:ascii="仿宋" w:hAnsi="仿宋" w:eastAsia="仿宋"/>
                <w:color w:val="auto"/>
                <w:sz w:val="24"/>
                <w:szCs w:val="24"/>
                <w:highlight w:val="none"/>
              </w:rPr>
              <w:t>投标文件签字盖章</w:t>
            </w:r>
          </w:p>
        </w:tc>
        <w:tc>
          <w:tcPr>
            <w:tcW w:w="7328" w:type="dxa"/>
            <w:gridSpan w:val="2"/>
            <w:shd w:val="clear" w:color="auto" w:fill="auto"/>
            <w:vAlign w:val="center"/>
          </w:tcPr>
          <w:p w14:paraId="5A936A74">
            <w:pPr>
              <w:keepNext w:val="0"/>
              <w:keepLines w:val="0"/>
              <w:pageBreakBefore w:val="0"/>
              <w:kinsoku/>
              <w:wordWrap/>
              <w:overflowPunct/>
              <w:topLinePunct w:val="0"/>
              <w:bidi w:val="0"/>
              <w:spacing w:line="240" w:lineRule="exact"/>
              <w:jc w:val="left"/>
              <w:textAlignment w:val="auto"/>
              <w:rPr>
                <w:rFonts w:hint="eastAsia" w:ascii="仿宋" w:hAnsi="仿宋" w:eastAsia="仿宋" w:cs="仿宋"/>
                <w:b/>
                <w:bCs/>
                <w:color w:val="auto"/>
                <w:sz w:val="24"/>
                <w:szCs w:val="24"/>
                <w:highlight w:val="none"/>
                <w:lang w:val="en-US" w:eastAsia="zh-CN" w:bidi="ar-SA"/>
              </w:rPr>
            </w:pPr>
            <w:r>
              <w:rPr>
                <w:rFonts w:ascii="仿宋" w:hAnsi="仿宋" w:eastAsia="仿宋"/>
                <w:color w:val="auto"/>
                <w:sz w:val="24"/>
                <w:szCs w:val="24"/>
                <w:highlight w:val="none"/>
              </w:rPr>
              <w:t>符合招标采购文件要求</w:t>
            </w:r>
          </w:p>
        </w:tc>
      </w:tr>
      <w:tr w14:paraId="13FC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46D6E926">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bCs/>
                <w:color w:val="auto"/>
                <w:sz w:val="24"/>
                <w:szCs w:val="24"/>
                <w:highlight w:val="none"/>
                <w:lang w:val="en-US" w:eastAsia="zh-CN" w:bidi="ar-SA"/>
              </w:rPr>
            </w:pPr>
            <w:r>
              <w:rPr>
                <w:rFonts w:hint="eastAsia" w:ascii="仿宋" w:hAnsi="仿宋" w:eastAsia="仿宋"/>
                <w:bCs/>
                <w:color w:val="auto"/>
                <w:sz w:val="24"/>
                <w:szCs w:val="24"/>
                <w:highlight w:val="none"/>
              </w:rPr>
              <w:t>3</w:t>
            </w:r>
          </w:p>
        </w:tc>
        <w:tc>
          <w:tcPr>
            <w:tcW w:w="2197" w:type="dxa"/>
            <w:gridSpan w:val="2"/>
            <w:shd w:val="clear" w:color="auto" w:fill="auto"/>
            <w:vAlign w:val="center"/>
          </w:tcPr>
          <w:p w14:paraId="13D79E6A">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color w:val="auto"/>
                <w:sz w:val="24"/>
                <w:szCs w:val="24"/>
                <w:highlight w:val="none"/>
                <w:lang w:val="en-US" w:eastAsia="zh-CN" w:bidi="ar-SA"/>
              </w:rPr>
            </w:pPr>
            <w:r>
              <w:rPr>
                <w:rFonts w:ascii="仿宋" w:hAnsi="仿宋" w:eastAsia="仿宋"/>
                <w:color w:val="auto"/>
                <w:sz w:val="24"/>
                <w:szCs w:val="24"/>
                <w:highlight w:val="none"/>
              </w:rPr>
              <w:t>投标文件格式</w:t>
            </w:r>
          </w:p>
        </w:tc>
        <w:tc>
          <w:tcPr>
            <w:tcW w:w="7328" w:type="dxa"/>
            <w:gridSpan w:val="2"/>
            <w:shd w:val="clear" w:color="auto" w:fill="auto"/>
            <w:vAlign w:val="center"/>
          </w:tcPr>
          <w:p w14:paraId="201E3D1B">
            <w:pPr>
              <w:keepNext w:val="0"/>
              <w:keepLines w:val="0"/>
              <w:pageBreakBefore w:val="0"/>
              <w:kinsoku/>
              <w:wordWrap/>
              <w:overflowPunct/>
              <w:topLinePunct w:val="0"/>
              <w:bidi w:val="0"/>
              <w:spacing w:line="240" w:lineRule="exact"/>
              <w:jc w:val="left"/>
              <w:textAlignment w:val="auto"/>
              <w:rPr>
                <w:rFonts w:hint="eastAsia" w:ascii="仿宋" w:hAnsi="仿宋" w:eastAsia="仿宋" w:cs="仿宋"/>
                <w:b/>
                <w:bCs/>
                <w:color w:val="auto"/>
                <w:sz w:val="24"/>
                <w:szCs w:val="24"/>
                <w:highlight w:val="none"/>
                <w:lang w:val="en-US" w:eastAsia="zh-CN" w:bidi="ar-SA"/>
              </w:rPr>
            </w:pPr>
            <w:r>
              <w:rPr>
                <w:rFonts w:ascii="仿宋" w:hAnsi="仿宋" w:eastAsia="仿宋"/>
                <w:color w:val="auto"/>
                <w:sz w:val="24"/>
                <w:szCs w:val="24"/>
                <w:highlight w:val="none"/>
              </w:rPr>
              <w:t>符合招标采购文件要求</w:t>
            </w:r>
          </w:p>
        </w:tc>
      </w:tr>
      <w:tr w14:paraId="5672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650F0BA2">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bCs/>
                <w:color w:val="auto"/>
                <w:sz w:val="24"/>
                <w:szCs w:val="24"/>
                <w:highlight w:val="none"/>
                <w:lang w:val="en-US" w:eastAsia="zh-CN" w:bidi="ar-SA"/>
              </w:rPr>
            </w:pPr>
            <w:r>
              <w:rPr>
                <w:rFonts w:hint="eastAsia" w:ascii="仿宋" w:hAnsi="仿宋" w:eastAsia="仿宋"/>
                <w:bCs/>
                <w:color w:val="auto"/>
                <w:sz w:val="24"/>
                <w:szCs w:val="24"/>
                <w:highlight w:val="none"/>
              </w:rPr>
              <w:t>4</w:t>
            </w:r>
          </w:p>
        </w:tc>
        <w:tc>
          <w:tcPr>
            <w:tcW w:w="2197" w:type="dxa"/>
            <w:gridSpan w:val="2"/>
            <w:shd w:val="clear" w:color="auto" w:fill="auto"/>
            <w:vAlign w:val="center"/>
          </w:tcPr>
          <w:p w14:paraId="021D4B33">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投标</w:t>
            </w:r>
            <w:r>
              <w:rPr>
                <w:rFonts w:hint="eastAsia" w:ascii="仿宋" w:hAnsi="仿宋" w:eastAsia="仿宋"/>
                <w:color w:val="auto"/>
                <w:sz w:val="24"/>
                <w:szCs w:val="24"/>
                <w:highlight w:val="none"/>
                <w:lang w:val="en-US" w:eastAsia="zh-CN"/>
              </w:rPr>
              <w:t>内容</w:t>
            </w:r>
          </w:p>
        </w:tc>
        <w:tc>
          <w:tcPr>
            <w:tcW w:w="7328" w:type="dxa"/>
            <w:gridSpan w:val="2"/>
            <w:shd w:val="clear" w:color="auto" w:fill="auto"/>
            <w:vAlign w:val="center"/>
          </w:tcPr>
          <w:p w14:paraId="6A322CD9">
            <w:pPr>
              <w:keepNext w:val="0"/>
              <w:keepLines w:val="0"/>
              <w:pageBreakBefore w:val="0"/>
              <w:kinsoku/>
              <w:wordWrap/>
              <w:overflowPunct/>
              <w:topLinePunct w:val="0"/>
              <w:bidi w:val="0"/>
              <w:spacing w:line="240" w:lineRule="exact"/>
              <w:jc w:val="left"/>
              <w:textAlignment w:val="auto"/>
              <w:rPr>
                <w:rFonts w:ascii="仿宋" w:hAnsi="仿宋" w:eastAsia="仿宋"/>
                <w:color w:val="auto"/>
                <w:sz w:val="24"/>
                <w:szCs w:val="24"/>
                <w:highlight w:val="none"/>
              </w:rPr>
            </w:pPr>
            <w:r>
              <w:rPr>
                <w:rFonts w:ascii="仿宋" w:hAnsi="仿宋" w:eastAsia="仿宋"/>
                <w:color w:val="auto"/>
                <w:sz w:val="24"/>
                <w:szCs w:val="24"/>
                <w:highlight w:val="none"/>
              </w:rPr>
              <w:t>符合招标采购文件要求</w:t>
            </w:r>
          </w:p>
        </w:tc>
      </w:tr>
      <w:tr w14:paraId="3737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4257F7D1">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bCs/>
                <w:color w:val="auto"/>
                <w:sz w:val="24"/>
                <w:szCs w:val="24"/>
                <w:highlight w:val="none"/>
                <w:lang w:val="en-US" w:eastAsia="zh-CN" w:bidi="ar-SA"/>
              </w:rPr>
            </w:pPr>
            <w:r>
              <w:rPr>
                <w:rFonts w:hint="eastAsia" w:ascii="仿宋" w:hAnsi="仿宋" w:eastAsia="仿宋"/>
                <w:bCs/>
                <w:color w:val="auto"/>
                <w:sz w:val="24"/>
                <w:szCs w:val="24"/>
                <w:highlight w:val="none"/>
              </w:rPr>
              <w:t>5</w:t>
            </w:r>
          </w:p>
        </w:tc>
        <w:tc>
          <w:tcPr>
            <w:tcW w:w="2197" w:type="dxa"/>
            <w:gridSpan w:val="2"/>
            <w:shd w:val="clear" w:color="auto" w:fill="auto"/>
            <w:vAlign w:val="center"/>
          </w:tcPr>
          <w:p w14:paraId="24BAE870">
            <w:pPr>
              <w:keepNext w:val="0"/>
              <w:keepLines w:val="0"/>
              <w:pageBreakBefore w:val="0"/>
              <w:kinsoku/>
              <w:wordWrap/>
              <w:overflowPunct/>
              <w:topLinePunct w:val="0"/>
              <w:autoSpaceDE/>
              <w:autoSpaceDN/>
              <w:bidi w:val="0"/>
              <w:adjustRightInd/>
              <w:spacing w:line="240" w:lineRule="exact"/>
              <w:jc w:val="center"/>
              <w:textAlignment w:val="auto"/>
              <w:rPr>
                <w:rFonts w:hint="default" w:ascii="仿宋" w:hAnsi="仿宋" w:eastAsia="仿宋" w:cs="Times New Roman"/>
                <w:color w:val="auto"/>
                <w:sz w:val="24"/>
                <w:szCs w:val="24"/>
                <w:highlight w:val="none"/>
                <w:lang w:val="en-US" w:eastAsia="zh-CN" w:bidi="ar-SA"/>
              </w:rPr>
            </w:pPr>
            <w:r>
              <w:rPr>
                <w:rFonts w:ascii="仿宋" w:hAnsi="仿宋" w:eastAsia="仿宋"/>
                <w:color w:val="auto"/>
                <w:sz w:val="24"/>
                <w:szCs w:val="24"/>
                <w:highlight w:val="none"/>
              </w:rPr>
              <w:t>投标有效期</w:t>
            </w:r>
          </w:p>
        </w:tc>
        <w:tc>
          <w:tcPr>
            <w:tcW w:w="7328" w:type="dxa"/>
            <w:gridSpan w:val="2"/>
            <w:shd w:val="clear" w:color="auto" w:fill="auto"/>
            <w:vAlign w:val="center"/>
          </w:tcPr>
          <w:p w14:paraId="0C004E45">
            <w:pPr>
              <w:keepNext w:val="0"/>
              <w:keepLines w:val="0"/>
              <w:pageBreakBefore w:val="0"/>
              <w:kinsoku/>
              <w:wordWrap/>
              <w:overflowPunct/>
              <w:topLinePunct w:val="0"/>
              <w:bidi w:val="0"/>
              <w:spacing w:line="240" w:lineRule="exact"/>
              <w:jc w:val="left"/>
              <w:textAlignment w:val="auto"/>
              <w:rPr>
                <w:rFonts w:hint="eastAsia" w:ascii="仿宋" w:hAnsi="仿宋" w:eastAsia="仿宋" w:cs="仿宋"/>
                <w:b/>
                <w:bCs/>
                <w:color w:val="auto"/>
                <w:sz w:val="24"/>
                <w:szCs w:val="24"/>
                <w:highlight w:val="none"/>
                <w:lang w:val="en-US" w:eastAsia="zh-CN" w:bidi="ar-SA"/>
              </w:rPr>
            </w:pPr>
            <w:r>
              <w:rPr>
                <w:rFonts w:ascii="仿宋" w:hAnsi="仿宋" w:eastAsia="仿宋"/>
                <w:color w:val="auto"/>
                <w:sz w:val="24"/>
                <w:szCs w:val="24"/>
                <w:highlight w:val="none"/>
              </w:rPr>
              <w:t>符合招标采购文件要求</w:t>
            </w:r>
          </w:p>
        </w:tc>
      </w:tr>
      <w:tr w14:paraId="0D8E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528CC696">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bCs/>
                <w:color w:val="auto"/>
                <w:sz w:val="24"/>
                <w:szCs w:val="24"/>
                <w:highlight w:val="none"/>
                <w:lang w:val="en-US" w:eastAsia="zh-CN" w:bidi="ar-SA"/>
              </w:rPr>
            </w:pPr>
            <w:r>
              <w:rPr>
                <w:rFonts w:hint="eastAsia" w:ascii="仿宋" w:hAnsi="仿宋" w:eastAsia="仿宋"/>
                <w:bCs/>
                <w:color w:val="auto"/>
                <w:sz w:val="24"/>
                <w:szCs w:val="24"/>
                <w:highlight w:val="none"/>
              </w:rPr>
              <w:t>6</w:t>
            </w:r>
          </w:p>
        </w:tc>
        <w:tc>
          <w:tcPr>
            <w:tcW w:w="2197" w:type="dxa"/>
            <w:gridSpan w:val="2"/>
            <w:shd w:val="clear" w:color="auto" w:fill="auto"/>
            <w:vAlign w:val="center"/>
          </w:tcPr>
          <w:p w14:paraId="110D6688">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color w:val="auto"/>
                <w:sz w:val="24"/>
                <w:szCs w:val="24"/>
                <w:highlight w:val="none"/>
                <w:lang w:val="en-US" w:eastAsia="zh-CN" w:bidi="ar-SA"/>
              </w:rPr>
            </w:pPr>
            <w:r>
              <w:rPr>
                <w:rFonts w:ascii="仿宋" w:hAnsi="仿宋" w:eastAsia="仿宋"/>
                <w:color w:val="auto"/>
                <w:sz w:val="24"/>
                <w:szCs w:val="24"/>
                <w:highlight w:val="none"/>
              </w:rPr>
              <w:t>投标</w:t>
            </w:r>
            <w:r>
              <w:rPr>
                <w:rFonts w:hint="eastAsia" w:ascii="仿宋" w:hAnsi="仿宋" w:eastAsia="仿宋"/>
                <w:color w:val="auto"/>
                <w:sz w:val="24"/>
                <w:szCs w:val="24"/>
                <w:highlight w:val="none"/>
                <w:lang w:val="en-US" w:eastAsia="zh-CN"/>
              </w:rPr>
              <w:t>报价</w:t>
            </w:r>
          </w:p>
        </w:tc>
        <w:tc>
          <w:tcPr>
            <w:tcW w:w="7328" w:type="dxa"/>
            <w:gridSpan w:val="2"/>
            <w:shd w:val="clear" w:color="auto" w:fill="auto"/>
            <w:vAlign w:val="center"/>
          </w:tcPr>
          <w:p w14:paraId="49CDDDD9">
            <w:pPr>
              <w:keepNext w:val="0"/>
              <w:keepLines w:val="0"/>
              <w:pageBreakBefore w:val="0"/>
              <w:kinsoku/>
              <w:wordWrap/>
              <w:overflowPunct/>
              <w:topLinePunct w:val="0"/>
              <w:bidi w:val="0"/>
              <w:spacing w:line="240" w:lineRule="exact"/>
              <w:jc w:val="left"/>
              <w:textAlignment w:val="auto"/>
              <w:rPr>
                <w:rFonts w:hint="eastAsia" w:ascii="仿宋" w:hAnsi="仿宋" w:eastAsia="仿宋" w:cs="仿宋"/>
                <w:b/>
                <w:bCs/>
                <w:color w:val="auto"/>
                <w:sz w:val="24"/>
                <w:szCs w:val="24"/>
                <w:highlight w:val="none"/>
                <w:lang w:val="en-US" w:eastAsia="zh-CN" w:bidi="ar-SA"/>
              </w:rPr>
            </w:pPr>
            <w:r>
              <w:rPr>
                <w:rFonts w:ascii="仿宋" w:hAnsi="仿宋" w:eastAsia="仿宋"/>
                <w:color w:val="auto"/>
                <w:sz w:val="24"/>
                <w:szCs w:val="24"/>
                <w:highlight w:val="none"/>
              </w:rPr>
              <w:t>符合招标采购文件要求</w:t>
            </w:r>
          </w:p>
        </w:tc>
      </w:tr>
      <w:tr w14:paraId="3C7B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753" w:type="dxa"/>
            <w:shd w:val="clear" w:color="auto" w:fill="auto"/>
            <w:vAlign w:val="center"/>
          </w:tcPr>
          <w:p w14:paraId="555E0E12">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Times New Roman"/>
                <w:bCs/>
                <w:color w:val="auto"/>
                <w:sz w:val="24"/>
                <w:szCs w:val="24"/>
                <w:highlight w:val="none"/>
                <w:lang w:val="en-US" w:eastAsia="zh-CN" w:bidi="ar-SA"/>
              </w:rPr>
            </w:pPr>
            <w:r>
              <w:rPr>
                <w:rFonts w:hint="eastAsia" w:ascii="仿宋" w:hAnsi="仿宋" w:eastAsia="仿宋" w:cs="Times New Roman"/>
                <w:bCs/>
                <w:color w:val="auto"/>
                <w:sz w:val="24"/>
                <w:szCs w:val="24"/>
                <w:highlight w:val="none"/>
                <w:lang w:val="en-US" w:eastAsia="zh-CN" w:bidi="ar-SA"/>
              </w:rPr>
              <w:t>7</w:t>
            </w:r>
          </w:p>
        </w:tc>
        <w:tc>
          <w:tcPr>
            <w:tcW w:w="2197" w:type="dxa"/>
            <w:gridSpan w:val="2"/>
            <w:shd w:val="clear" w:color="auto" w:fill="auto"/>
            <w:vAlign w:val="center"/>
          </w:tcPr>
          <w:p w14:paraId="127079E4">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服务期限</w:t>
            </w:r>
          </w:p>
        </w:tc>
        <w:tc>
          <w:tcPr>
            <w:tcW w:w="7328" w:type="dxa"/>
            <w:gridSpan w:val="2"/>
            <w:shd w:val="clear" w:color="auto" w:fill="auto"/>
            <w:vAlign w:val="center"/>
          </w:tcPr>
          <w:p w14:paraId="2902D44F">
            <w:pPr>
              <w:keepNext w:val="0"/>
              <w:keepLines w:val="0"/>
              <w:pageBreakBefore w:val="0"/>
              <w:kinsoku/>
              <w:wordWrap/>
              <w:overflowPunct/>
              <w:topLinePunct w:val="0"/>
              <w:bidi w:val="0"/>
              <w:spacing w:line="240" w:lineRule="exact"/>
              <w:jc w:val="left"/>
              <w:textAlignment w:val="auto"/>
              <w:rPr>
                <w:rFonts w:ascii="仿宋" w:hAnsi="仿宋" w:eastAsia="仿宋"/>
                <w:color w:val="auto"/>
                <w:sz w:val="24"/>
                <w:szCs w:val="24"/>
                <w:highlight w:val="none"/>
              </w:rPr>
            </w:pPr>
            <w:r>
              <w:rPr>
                <w:rFonts w:ascii="仿宋" w:hAnsi="仿宋" w:eastAsia="仿宋"/>
                <w:color w:val="auto"/>
                <w:sz w:val="24"/>
                <w:szCs w:val="24"/>
                <w:highlight w:val="none"/>
              </w:rPr>
              <w:t>符合招标采购文件要求</w:t>
            </w:r>
          </w:p>
        </w:tc>
      </w:tr>
      <w:tr w14:paraId="4177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0278" w:type="dxa"/>
            <w:gridSpan w:val="5"/>
            <w:shd w:val="clear" w:color="auto" w:fill="auto"/>
            <w:vAlign w:val="center"/>
          </w:tcPr>
          <w:p w14:paraId="59B7CB4E">
            <w:pPr>
              <w:keepNext w:val="0"/>
              <w:keepLines w:val="0"/>
              <w:pageBreakBefore w:val="0"/>
              <w:kinsoku/>
              <w:wordWrap/>
              <w:overflowPunct/>
              <w:topLinePunct w:val="0"/>
              <w:autoSpaceDE/>
              <w:autoSpaceDN/>
              <w:bidi w:val="0"/>
              <w:adjustRightInd/>
              <w:spacing w:beforeLines="50" w:afterLines="50" w:line="240" w:lineRule="exact"/>
              <w:textAlignment w:val="auto"/>
              <w:rPr>
                <w:rFonts w:ascii="仿宋" w:hAnsi="仿宋" w:eastAsia="仿宋"/>
                <w:b/>
                <w:color w:val="auto"/>
                <w:sz w:val="24"/>
                <w:szCs w:val="24"/>
                <w:highlight w:val="none"/>
              </w:rPr>
            </w:pPr>
            <w:r>
              <w:rPr>
                <w:rFonts w:ascii="仿宋" w:hAnsi="仿宋" w:eastAsia="仿宋"/>
                <w:b/>
                <w:color w:val="auto"/>
                <w:sz w:val="24"/>
                <w:szCs w:val="24"/>
                <w:highlight w:val="none"/>
              </w:rPr>
              <w:t>（三）商务技术分（</w:t>
            </w:r>
            <w:r>
              <w:rPr>
                <w:rFonts w:hint="eastAsia" w:ascii="仿宋" w:hAnsi="仿宋" w:eastAsia="仿宋"/>
                <w:b/>
                <w:color w:val="auto"/>
                <w:sz w:val="24"/>
                <w:szCs w:val="24"/>
                <w:highlight w:val="none"/>
                <w:lang w:val="en-US" w:eastAsia="zh-CN"/>
              </w:rPr>
              <w:t>70分</w:t>
            </w:r>
            <w:r>
              <w:rPr>
                <w:rFonts w:ascii="仿宋" w:hAnsi="仿宋" w:eastAsia="仿宋"/>
                <w:b/>
                <w:color w:val="auto"/>
                <w:sz w:val="24"/>
                <w:szCs w:val="24"/>
                <w:highlight w:val="none"/>
              </w:rPr>
              <w:t>）</w:t>
            </w:r>
          </w:p>
          <w:p w14:paraId="479549BB">
            <w:pPr>
              <w:keepNext w:val="0"/>
              <w:keepLines w:val="0"/>
              <w:pageBreakBefore w:val="0"/>
              <w:kinsoku/>
              <w:wordWrap/>
              <w:overflowPunct/>
              <w:topLinePunct w:val="0"/>
              <w:bidi w:val="0"/>
              <w:spacing w:line="240" w:lineRule="exact"/>
              <w:jc w:val="left"/>
              <w:textAlignment w:val="auto"/>
              <w:rPr>
                <w:rFonts w:ascii="仿宋" w:hAnsi="仿宋" w:eastAsia="仿宋"/>
                <w:color w:val="auto"/>
                <w:sz w:val="24"/>
                <w:szCs w:val="24"/>
                <w:highlight w:val="none"/>
              </w:rPr>
            </w:pPr>
            <w:r>
              <w:rPr>
                <w:rFonts w:ascii="仿宋" w:hAnsi="仿宋" w:eastAsia="仿宋"/>
                <w:bCs/>
                <w:color w:val="auto"/>
                <w:sz w:val="24"/>
                <w:szCs w:val="24"/>
                <w:highlight w:val="none"/>
              </w:rPr>
              <w:t>评标委员会成员应独立对投标人的商务技术文件打分，打分时保留小数1位，投标人最终得分为评标委员会所有成员的算术平均值，评分分值计算保留小数点后两位，小数点后第三位“四舍五入”。</w:t>
            </w:r>
          </w:p>
        </w:tc>
      </w:tr>
      <w:tr w14:paraId="5B55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53" w:type="dxa"/>
            <w:shd w:val="clear" w:color="auto" w:fill="BEBEBE"/>
            <w:vAlign w:val="center"/>
          </w:tcPr>
          <w:p w14:paraId="658B113A">
            <w:pPr>
              <w:keepNext w:val="0"/>
              <w:keepLines w:val="0"/>
              <w:pageBreakBefore w:val="0"/>
              <w:kinsoku/>
              <w:wordWrap/>
              <w:overflowPunct/>
              <w:topLinePunct w:val="0"/>
              <w:autoSpaceDE/>
              <w:autoSpaceDN/>
              <w:bidi w:val="0"/>
              <w:snapToGrid w:val="0"/>
              <w:spacing w:line="240" w:lineRule="exact"/>
              <w:jc w:val="center"/>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325" w:type="dxa"/>
            <w:shd w:val="clear" w:color="auto" w:fill="BEBEBE"/>
            <w:vAlign w:val="center"/>
          </w:tcPr>
          <w:p w14:paraId="2E5E957B">
            <w:pPr>
              <w:keepNext w:val="0"/>
              <w:keepLines w:val="0"/>
              <w:pageBreakBefore w:val="0"/>
              <w:kinsoku/>
              <w:wordWrap/>
              <w:overflowPunct/>
              <w:topLinePunct w:val="0"/>
              <w:autoSpaceDE/>
              <w:autoSpaceDN/>
              <w:bidi w:val="0"/>
              <w:snapToGrid w:val="0"/>
              <w:spacing w:line="240" w:lineRule="exact"/>
              <w:jc w:val="center"/>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评标要素</w:t>
            </w:r>
          </w:p>
        </w:tc>
        <w:tc>
          <w:tcPr>
            <w:tcW w:w="7138" w:type="dxa"/>
            <w:gridSpan w:val="2"/>
            <w:shd w:val="clear" w:color="auto" w:fill="BEBEBE"/>
            <w:vAlign w:val="center"/>
          </w:tcPr>
          <w:p w14:paraId="5C44DF4E">
            <w:pPr>
              <w:pStyle w:val="43"/>
              <w:keepNext w:val="0"/>
              <w:keepLines w:val="0"/>
              <w:pageBreakBefore w:val="0"/>
              <w:kinsoku/>
              <w:wordWrap/>
              <w:overflowPunct/>
              <w:topLinePunct w:val="0"/>
              <w:autoSpaceDE/>
              <w:autoSpaceDN/>
              <w:bidi w:val="0"/>
              <w:snapToGrid w:val="0"/>
              <w:spacing w:after="0" w:line="240" w:lineRule="exact"/>
              <w:jc w:val="center"/>
              <w:textAlignment w:val="auto"/>
              <w:rPr>
                <w:rFonts w:ascii="仿宋" w:hAnsi="仿宋" w:eastAsia="仿宋" w:cs="仿宋"/>
                <w:b/>
                <w:bCs/>
                <w:color w:val="auto"/>
                <w:spacing w:val="0"/>
                <w:kern w:val="2"/>
                <w:highlight w:val="none"/>
              </w:rPr>
            </w:pPr>
            <w:r>
              <w:rPr>
                <w:rFonts w:hint="eastAsia" w:ascii="仿宋" w:hAnsi="仿宋" w:eastAsia="仿宋" w:cs="仿宋"/>
                <w:b/>
                <w:bCs/>
                <w:color w:val="auto"/>
                <w:spacing w:val="0"/>
                <w:kern w:val="2"/>
                <w:highlight w:val="none"/>
              </w:rPr>
              <w:t>评  分  标  准</w:t>
            </w:r>
          </w:p>
        </w:tc>
        <w:tc>
          <w:tcPr>
            <w:tcW w:w="1062" w:type="dxa"/>
            <w:shd w:val="clear" w:color="auto" w:fill="BEBEBE"/>
            <w:vAlign w:val="center"/>
          </w:tcPr>
          <w:p w14:paraId="53BFC817">
            <w:pPr>
              <w:keepNext w:val="0"/>
              <w:keepLines w:val="0"/>
              <w:pageBreakBefore w:val="0"/>
              <w:kinsoku/>
              <w:wordWrap/>
              <w:overflowPunct/>
              <w:topLinePunct w:val="0"/>
              <w:autoSpaceDE/>
              <w:autoSpaceDN/>
              <w:bidi w:val="0"/>
              <w:snapToGrid w:val="0"/>
              <w:spacing w:line="240" w:lineRule="exact"/>
              <w:jc w:val="center"/>
              <w:textAlignment w:val="auto"/>
              <w:rPr>
                <w:rFonts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分值（分）</w:t>
            </w:r>
          </w:p>
        </w:tc>
      </w:tr>
      <w:tr w14:paraId="5FE0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753" w:type="dxa"/>
            <w:vAlign w:val="center"/>
          </w:tcPr>
          <w:p w14:paraId="782946FF">
            <w:pPr>
              <w:tabs>
                <w:tab w:val="left" w:pos="3990"/>
              </w:tabs>
              <w:adjustRightInd w:val="0"/>
              <w:spacing w:line="300" w:lineRule="exact"/>
              <w:jc w:val="center"/>
              <w:rPr>
                <w:rFonts w:hint="default" w:ascii="仿宋" w:hAnsi="仿宋" w:eastAsia="仿宋" w:cs="仿宋"/>
                <w:bCs/>
                <w:color w:val="auto"/>
                <w:sz w:val="22"/>
                <w:szCs w:val="22"/>
                <w:highlight w:val="none"/>
                <w:lang w:val="en-US" w:eastAsia="zh-CN"/>
              </w:rPr>
            </w:pPr>
            <w:r>
              <w:rPr>
                <w:rFonts w:hint="eastAsia" w:ascii="仿宋" w:hAnsi="仿宋" w:eastAsia="仿宋" w:cs="仿宋"/>
                <w:color w:val="auto"/>
                <w:sz w:val="22"/>
                <w:szCs w:val="22"/>
                <w:highlight w:val="none"/>
              </w:rPr>
              <w:t>1</w:t>
            </w:r>
          </w:p>
        </w:tc>
        <w:tc>
          <w:tcPr>
            <w:tcW w:w="1325" w:type="dxa"/>
            <w:vAlign w:val="center"/>
          </w:tcPr>
          <w:p w14:paraId="1D34766A">
            <w:pPr>
              <w:spacing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业绩情况</w:t>
            </w:r>
          </w:p>
        </w:tc>
        <w:tc>
          <w:tcPr>
            <w:tcW w:w="7138" w:type="dxa"/>
            <w:gridSpan w:val="2"/>
            <w:vAlign w:val="center"/>
          </w:tcPr>
          <w:p w14:paraId="23369CDF">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投标供应商自20</w:t>
            </w:r>
            <w:r>
              <w:rPr>
                <w:rFonts w:hint="eastAsia" w:ascii="仿宋" w:hAnsi="仿宋" w:eastAsia="仿宋" w:cs="仿宋"/>
                <w:color w:val="auto"/>
                <w:sz w:val="22"/>
                <w:szCs w:val="22"/>
                <w:highlight w:val="none"/>
                <w:lang w:val="en-US" w:eastAsia="zh-CN"/>
              </w:rPr>
              <w:t>23</w:t>
            </w:r>
            <w:r>
              <w:rPr>
                <w:rFonts w:hint="eastAsia" w:ascii="仿宋" w:hAnsi="仿宋" w:eastAsia="仿宋" w:cs="仿宋"/>
                <w:color w:val="auto"/>
                <w:sz w:val="22"/>
                <w:szCs w:val="22"/>
                <w:highlight w:val="none"/>
                <w:lang w:val="zh-CN"/>
              </w:rPr>
              <w:t>年1月1日至今（以合同签订之日为准），承担过项目</w:t>
            </w:r>
            <w:r>
              <w:rPr>
                <w:rFonts w:hint="eastAsia" w:ascii="仿宋" w:hAnsi="仿宋" w:eastAsia="仿宋" w:cs="仿宋"/>
                <w:color w:val="auto"/>
                <w:sz w:val="22"/>
                <w:szCs w:val="22"/>
                <w:highlight w:val="none"/>
                <w:lang w:val="en-US" w:eastAsia="zh-CN"/>
              </w:rPr>
              <w:t>的，</w:t>
            </w:r>
            <w:r>
              <w:rPr>
                <w:rFonts w:hint="eastAsia" w:ascii="仿宋" w:hAnsi="仿宋" w:eastAsia="仿宋" w:cs="仿宋"/>
                <w:color w:val="auto"/>
                <w:sz w:val="22"/>
                <w:szCs w:val="22"/>
                <w:highlight w:val="none"/>
                <w:lang w:val="zh-CN"/>
              </w:rPr>
              <w:t>每个</w:t>
            </w:r>
            <w:r>
              <w:rPr>
                <w:rFonts w:hint="eastAsia" w:ascii="仿宋" w:hAnsi="仿宋" w:eastAsia="仿宋" w:cs="仿宋"/>
                <w:color w:val="auto"/>
                <w:sz w:val="22"/>
                <w:szCs w:val="22"/>
                <w:highlight w:val="none"/>
                <w:lang w:val="en-US" w:eastAsia="zh-CN"/>
              </w:rPr>
              <w:t>业绩</w:t>
            </w:r>
            <w:r>
              <w:rPr>
                <w:rFonts w:hint="eastAsia" w:ascii="仿宋" w:hAnsi="仿宋" w:eastAsia="仿宋" w:cs="仿宋"/>
                <w:color w:val="auto"/>
                <w:sz w:val="22"/>
                <w:szCs w:val="22"/>
                <w:highlight w:val="none"/>
                <w:lang w:val="zh-CN"/>
              </w:rPr>
              <w:t>得</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val="zh-CN"/>
              </w:rPr>
              <w:t>分，最高得</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val="zh-CN"/>
              </w:rPr>
              <w:t>分。</w:t>
            </w:r>
          </w:p>
          <w:p w14:paraId="7B007DC0">
            <w:pPr>
              <w:pStyle w:val="60"/>
              <w:keepNext w:val="0"/>
              <w:keepLines w:val="0"/>
              <w:pageBreakBefore w:val="0"/>
              <w:widowControl w:val="0"/>
              <w:kinsoku/>
              <w:wordWrap/>
              <w:overflowPunct/>
              <w:topLinePunct w:val="0"/>
              <w:bidi w:val="0"/>
              <w:snapToGrid/>
              <w:spacing w:line="300" w:lineRule="exact"/>
              <w:jc w:val="both"/>
              <w:textAlignment w:val="auto"/>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zh-CN" w:eastAsia="zh-CN"/>
              </w:rPr>
              <w:t>注：</w:t>
            </w:r>
            <w:r>
              <w:rPr>
                <w:rFonts w:hint="eastAsia" w:ascii="仿宋" w:hAnsi="仿宋" w:eastAsia="仿宋" w:cs="仿宋"/>
                <w:b/>
                <w:color w:val="auto"/>
                <w:spacing w:val="-4"/>
                <w:sz w:val="22"/>
                <w:szCs w:val="22"/>
                <w:lang w:eastAsia="zh-CN"/>
              </w:rPr>
              <w:t>需</w:t>
            </w:r>
            <w:r>
              <w:rPr>
                <w:rFonts w:hint="eastAsia" w:ascii="仿宋" w:hAnsi="仿宋" w:eastAsia="仿宋" w:cs="仿宋"/>
                <w:b/>
                <w:bCs/>
                <w:color w:val="auto"/>
                <w:sz w:val="22"/>
                <w:szCs w:val="22"/>
              </w:rPr>
              <w:t>提供相关合同扫描件及相应发票扫描件。未提供合同扫描件、对应发票或提供的合同扫描件字迹模糊无法辨识的</w:t>
            </w:r>
            <w:r>
              <w:rPr>
                <w:rFonts w:hint="eastAsia" w:ascii="仿宋" w:hAnsi="仿宋" w:eastAsia="仿宋" w:cs="仿宋"/>
                <w:b/>
                <w:bCs/>
                <w:color w:val="auto"/>
                <w:sz w:val="22"/>
                <w:szCs w:val="22"/>
                <w:lang w:eastAsia="zh-CN"/>
              </w:rPr>
              <w:t>或</w:t>
            </w:r>
            <w:r>
              <w:rPr>
                <w:rFonts w:hint="eastAsia" w:ascii="仿宋" w:hAnsi="仿宋" w:eastAsia="仿宋" w:cs="仿宋"/>
                <w:b/>
                <w:bCs/>
                <w:color w:val="auto"/>
                <w:sz w:val="22"/>
                <w:szCs w:val="22"/>
              </w:rPr>
              <w:t>提供的业绩无效的，该项业绩均不予计分</w:t>
            </w:r>
            <w:r>
              <w:rPr>
                <w:rFonts w:hint="eastAsia" w:ascii="仿宋" w:hAnsi="仿宋" w:eastAsia="仿宋" w:cs="仿宋"/>
                <w:b/>
                <w:color w:val="auto"/>
                <w:spacing w:val="-4"/>
                <w:sz w:val="22"/>
                <w:szCs w:val="22"/>
              </w:rPr>
              <w:t>。</w:t>
            </w:r>
          </w:p>
        </w:tc>
        <w:tc>
          <w:tcPr>
            <w:tcW w:w="1062" w:type="dxa"/>
            <w:vAlign w:val="center"/>
          </w:tcPr>
          <w:p w14:paraId="7F5A2DDD">
            <w:pPr>
              <w:spacing w:line="3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分</w:t>
            </w:r>
          </w:p>
          <w:p w14:paraId="22374E6D">
            <w:pPr>
              <w:spacing w:line="30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18"/>
                <w:szCs w:val="18"/>
                <w:highlight w:val="none"/>
                <w:lang w:val="en-US" w:eastAsia="zh-CN"/>
              </w:rPr>
              <w:t>（</w:t>
            </w:r>
            <w:r>
              <w:rPr>
                <w:rFonts w:hint="eastAsia" w:ascii="仿宋" w:hAnsi="仿宋" w:eastAsia="仿宋" w:cs="仿宋"/>
                <w:color w:val="auto"/>
                <w:sz w:val="18"/>
                <w:szCs w:val="18"/>
                <w:highlight w:val="none"/>
              </w:rPr>
              <w:t>客观分</w:t>
            </w:r>
            <w:r>
              <w:rPr>
                <w:rFonts w:hint="eastAsia" w:ascii="仿宋" w:hAnsi="仿宋" w:eastAsia="仿宋" w:cs="仿宋"/>
                <w:color w:val="auto"/>
                <w:sz w:val="18"/>
                <w:szCs w:val="18"/>
                <w:highlight w:val="none"/>
                <w:lang w:eastAsia="zh-CN"/>
              </w:rPr>
              <w:t>）</w:t>
            </w:r>
          </w:p>
        </w:tc>
      </w:tr>
      <w:tr w14:paraId="7765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753" w:type="dxa"/>
            <w:shd w:val="clear" w:color="auto" w:fill="auto"/>
            <w:vAlign w:val="center"/>
          </w:tcPr>
          <w:p w14:paraId="12F6A1D2">
            <w:pPr>
              <w:tabs>
                <w:tab w:val="left" w:pos="3990"/>
              </w:tabs>
              <w:adjustRightInd w:val="0"/>
              <w:spacing w:line="300" w:lineRule="exact"/>
              <w:jc w:val="center"/>
              <w:rPr>
                <w:rFonts w:hint="default"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rPr>
              <w:t>2.1</w:t>
            </w:r>
          </w:p>
        </w:tc>
        <w:tc>
          <w:tcPr>
            <w:tcW w:w="1325" w:type="dxa"/>
            <w:vMerge w:val="restart"/>
            <w:vAlign w:val="center"/>
          </w:tcPr>
          <w:p w14:paraId="4026D852">
            <w:pPr>
              <w:spacing w:line="24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人员投入情况</w:t>
            </w:r>
          </w:p>
        </w:tc>
        <w:tc>
          <w:tcPr>
            <w:tcW w:w="7138" w:type="dxa"/>
            <w:gridSpan w:val="2"/>
            <w:vAlign w:val="center"/>
          </w:tcPr>
          <w:p w14:paraId="10934CB6">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1.拟派的项目负责人具有园林及相关专业高级及以上职称的得3分，中级得1分。</w:t>
            </w:r>
          </w:p>
          <w:p w14:paraId="213CB3F4">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2.拟派的项目负责人同时具有：①高级绿化工证书②高级花卉园艺师证书的得4分。</w:t>
            </w:r>
          </w:p>
          <w:p w14:paraId="1F273727">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zh-CN" w:eastAsia="zh-CN"/>
              </w:rPr>
              <w:t>注：须同时提供相关证书扫描件和投标人为其缴纳的2026年1月</w:t>
            </w:r>
            <w:r>
              <w:rPr>
                <w:rFonts w:hint="eastAsia" w:ascii="仿宋" w:hAnsi="仿宋" w:eastAsia="仿宋" w:cs="仿宋"/>
                <w:b/>
                <w:bCs/>
                <w:color w:val="auto"/>
                <w:sz w:val="22"/>
                <w:szCs w:val="22"/>
                <w:highlight w:val="none"/>
              </w:rPr>
              <w:t>至投标截止时止期间任意</w:t>
            </w:r>
            <w:r>
              <w:rPr>
                <w:rFonts w:hint="eastAsia" w:ascii="仿宋" w:hAnsi="仿宋" w:eastAsia="仿宋" w:cs="仿宋"/>
                <w:b/>
                <w:bCs/>
                <w:color w:val="auto"/>
                <w:sz w:val="22"/>
                <w:szCs w:val="22"/>
                <w:highlight w:val="none"/>
                <w:lang w:val="en-US" w:eastAsia="zh-CN"/>
              </w:rPr>
              <w:t>1</w:t>
            </w:r>
            <w:r>
              <w:rPr>
                <w:rFonts w:hint="eastAsia" w:ascii="仿宋" w:hAnsi="仿宋" w:eastAsia="仿宋" w:cs="仿宋"/>
                <w:b/>
                <w:bCs/>
                <w:color w:val="auto"/>
                <w:sz w:val="22"/>
                <w:szCs w:val="22"/>
                <w:highlight w:val="none"/>
                <w:lang w:val="zh-CN" w:eastAsia="zh-CN"/>
              </w:rPr>
              <w:t>个月的社保缴纳证明材料，否则不得分。</w:t>
            </w:r>
          </w:p>
        </w:tc>
        <w:tc>
          <w:tcPr>
            <w:tcW w:w="1062" w:type="dxa"/>
            <w:vAlign w:val="center"/>
          </w:tcPr>
          <w:p w14:paraId="02635B77">
            <w:pPr>
              <w:tabs>
                <w:tab w:val="left" w:pos="3990"/>
              </w:tabs>
              <w:adjustRightInd w:val="0"/>
              <w:spacing w:line="30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分</w:t>
            </w:r>
          </w:p>
          <w:p w14:paraId="05012E61">
            <w:pPr>
              <w:pStyle w:val="6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18"/>
                <w:szCs w:val="18"/>
                <w:highlight w:val="none"/>
                <w:lang w:val="en-US" w:eastAsia="zh-CN"/>
              </w:rPr>
              <w:t>（</w:t>
            </w:r>
            <w:r>
              <w:rPr>
                <w:rFonts w:hint="eastAsia" w:ascii="仿宋" w:hAnsi="仿宋" w:eastAsia="仿宋" w:cs="仿宋"/>
                <w:color w:val="auto"/>
                <w:sz w:val="18"/>
                <w:szCs w:val="18"/>
                <w:highlight w:val="none"/>
              </w:rPr>
              <w:t>客观分</w:t>
            </w:r>
            <w:r>
              <w:rPr>
                <w:rFonts w:hint="eastAsia" w:ascii="仿宋" w:hAnsi="仿宋" w:eastAsia="仿宋" w:cs="仿宋"/>
                <w:color w:val="auto"/>
                <w:sz w:val="18"/>
                <w:szCs w:val="18"/>
                <w:highlight w:val="none"/>
                <w:lang w:eastAsia="zh-CN"/>
              </w:rPr>
              <w:t>）</w:t>
            </w:r>
          </w:p>
        </w:tc>
      </w:tr>
      <w:tr w14:paraId="49BF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53" w:type="dxa"/>
            <w:shd w:val="clear" w:color="auto" w:fill="auto"/>
            <w:vAlign w:val="center"/>
          </w:tcPr>
          <w:p w14:paraId="7F9330F2">
            <w:pPr>
              <w:tabs>
                <w:tab w:val="left" w:pos="3990"/>
              </w:tabs>
              <w:adjustRightInd w:val="0"/>
              <w:spacing w:line="300" w:lineRule="exact"/>
              <w:jc w:val="center"/>
              <w:rPr>
                <w:rFonts w:hint="default"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rPr>
              <w:t>2.2</w:t>
            </w:r>
          </w:p>
        </w:tc>
        <w:tc>
          <w:tcPr>
            <w:tcW w:w="1325" w:type="dxa"/>
            <w:vMerge w:val="continue"/>
            <w:vAlign w:val="center"/>
          </w:tcPr>
          <w:p w14:paraId="2F7588B1">
            <w:pPr>
              <w:spacing w:line="240" w:lineRule="auto"/>
              <w:jc w:val="center"/>
              <w:rPr>
                <w:rFonts w:hint="eastAsia" w:ascii="仿宋" w:hAnsi="仿宋" w:eastAsia="仿宋" w:cs="仿宋"/>
                <w:color w:val="auto"/>
                <w:sz w:val="22"/>
                <w:szCs w:val="22"/>
                <w:highlight w:val="none"/>
                <w:lang w:eastAsia="zh-CN"/>
              </w:rPr>
            </w:pPr>
          </w:p>
        </w:tc>
        <w:tc>
          <w:tcPr>
            <w:tcW w:w="7138" w:type="dxa"/>
            <w:gridSpan w:val="2"/>
            <w:shd w:val="clear" w:color="auto" w:fill="auto"/>
            <w:vAlign w:val="center"/>
          </w:tcPr>
          <w:p w14:paraId="22D0D70D">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Chars="0" w:right="0" w:rightChars="0"/>
              <w:jc w:val="both"/>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1.拟派的绿化作业人员（不含项目负责人）具有：园林及相关专业初级职称的，每个得0.5分；具有中级职称的，每个得1分；具有高级职称的，每个得2分；累计最高得3分</w:t>
            </w: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bCs/>
                <w:color w:val="auto"/>
                <w:sz w:val="22"/>
                <w:szCs w:val="22"/>
                <w:highlight w:val="none"/>
                <w:lang w:val="zh-CN" w:eastAsia="zh-CN"/>
              </w:rPr>
              <w:t>须同时提供相关证书扫描件和投标人为其缴纳的2026年1月</w:t>
            </w:r>
            <w:r>
              <w:rPr>
                <w:rFonts w:hint="eastAsia" w:ascii="仿宋" w:hAnsi="仿宋" w:eastAsia="仿宋" w:cs="仿宋"/>
                <w:b/>
                <w:bCs/>
                <w:color w:val="auto"/>
                <w:sz w:val="22"/>
                <w:szCs w:val="22"/>
                <w:highlight w:val="none"/>
              </w:rPr>
              <w:t>至投标截止时止期间任意</w:t>
            </w:r>
            <w:r>
              <w:rPr>
                <w:rFonts w:hint="eastAsia" w:ascii="仿宋" w:hAnsi="仿宋" w:eastAsia="仿宋" w:cs="仿宋"/>
                <w:b/>
                <w:bCs/>
                <w:color w:val="auto"/>
                <w:sz w:val="22"/>
                <w:szCs w:val="22"/>
                <w:highlight w:val="none"/>
                <w:lang w:val="en-US" w:eastAsia="zh-CN"/>
              </w:rPr>
              <w:t>1</w:t>
            </w:r>
            <w:r>
              <w:rPr>
                <w:rFonts w:hint="eastAsia" w:ascii="仿宋" w:hAnsi="仿宋" w:eastAsia="仿宋" w:cs="仿宋"/>
                <w:b/>
                <w:bCs/>
                <w:color w:val="auto"/>
                <w:sz w:val="22"/>
                <w:szCs w:val="22"/>
                <w:highlight w:val="none"/>
                <w:lang w:val="zh-CN" w:eastAsia="zh-CN"/>
              </w:rPr>
              <w:t>个月的社保缴纳证明材料，否则不得分</w:t>
            </w:r>
            <w:r>
              <w:rPr>
                <w:rFonts w:hint="eastAsia" w:ascii="仿宋" w:hAnsi="仿宋" w:eastAsia="仿宋" w:cs="仿宋"/>
                <w:b/>
                <w:bCs/>
                <w:color w:val="auto"/>
                <w:sz w:val="22"/>
                <w:szCs w:val="22"/>
                <w:highlight w:val="none"/>
                <w:lang w:val="en-US" w:eastAsia="zh-CN"/>
              </w:rPr>
              <w:t>）。</w:t>
            </w:r>
          </w:p>
          <w:p w14:paraId="39E222A0">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Chars="0" w:right="0" w:rightChars="0"/>
              <w:jc w:val="both"/>
              <w:textAlignment w:val="auto"/>
              <w:rPr>
                <w:rFonts w:hint="eastAsia" w:ascii="仿宋" w:hAnsi="仿宋" w:eastAsia="仿宋" w:cs="仿宋"/>
                <w:color w:val="auto"/>
                <w:sz w:val="22"/>
                <w:szCs w:val="22"/>
                <w:highlight w:val="none"/>
                <w:lang w:val="zh-CN" w:eastAsia="zh-CN" w:bidi="ar-SA"/>
              </w:rPr>
            </w:pPr>
            <w:r>
              <w:rPr>
                <w:rFonts w:hint="eastAsia" w:ascii="仿宋" w:hAnsi="仿宋" w:eastAsia="仿宋" w:cs="仿宋"/>
                <w:color w:val="auto"/>
                <w:sz w:val="22"/>
                <w:szCs w:val="22"/>
                <w:highlight w:val="none"/>
                <w:lang w:val="en-US" w:eastAsia="zh-CN"/>
              </w:rPr>
              <w:t>2.拟派的绿化作业人员（不含项目负责人）具有高空作业证的，每人得2分，最高得2分</w:t>
            </w: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bCs/>
                <w:color w:val="auto"/>
                <w:sz w:val="22"/>
                <w:szCs w:val="22"/>
                <w:highlight w:val="none"/>
                <w:lang w:val="zh-CN" w:eastAsia="zh-CN"/>
              </w:rPr>
              <w:t>须同时提供相关证书扫描件和投标人为其缴纳的2026年1月</w:t>
            </w:r>
            <w:r>
              <w:rPr>
                <w:rFonts w:hint="eastAsia" w:ascii="仿宋" w:hAnsi="仿宋" w:eastAsia="仿宋" w:cs="仿宋"/>
                <w:b/>
                <w:bCs/>
                <w:color w:val="auto"/>
                <w:sz w:val="22"/>
                <w:szCs w:val="22"/>
                <w:highlight w:val="none"/>
              </w:rPr>
              <w:t>至投标截止时止期间任意</w:t>
            </w:r>
            <w:r>
              <w:rPr>
                <w:rFonts w:hint="eastAsia" w:ascii="仿宋" w:hAnsi="仿宋" w:eastAsia="仿宋" w:cs="仿宋"/>
                <w:b/>
                <w:bCs/>
                <w:color w:val="auto"/>
                <w:sz w:val="22"/>
                <w:szCs w:val="22"/>
                <w:highlight w:val="none"/>
                <w:lang w:val="en-US" w:eastAsia="zh-CN"/>
              </w:rPr>
              <w:t>1</w:t>
            </w:r>
            <w:r>
              <w:rPr>
                <w:rFonts w:hint="eastAsia" w:ascii="仿宋" w:hAnsi="仿宋" w:eastAsia="仿宋" w:cs="仿宋"/>
                <w:b/>
                <w:bCs/>
                <w:color w:val="auto"/>
                <w:sz w:val="22"/>
                <w:szCs w:val="22"/>
                <w:highlight w:val="none"/>
                <w:lang w:val="zh-CN" w:eastAsia="zh-CN"/>
              </w:rPr>
              <w:t>个月的社保缴纳证明材料，否则不得分</w:t>
            </w:r>
            <w:r>
              <w:rPr>
                <w:rFonts w:hint="eastAsia" w:ascii="仿宋" w:hAnsi="仿宋" w:eastAsia="仿宋" w:cs="仿宋"/>
                <w:b/>
                <w:bCs/>
                <w:color w:val="auto"/>
                <w:sz w:val="22"/>
                <w:szCs w:val="22"/>
                <w:highlight w:val="none"/>
                <w:lang w:val="en-US" w:eastAsia="zh-CN"/>
              </w:rPr>
              <w:t>）。</w:t>
            </w:r>
          </w:p>
        </w:tc>
        <w:tc>
          <w:tcPr>
            <w:tcW w:w="1062" w:type="dxa"/>
            <w:shd w:val="clear" w:color="auto" w:fill="auto"/>
            <w:vAlign w:val="center"/>
          </w:tcPr>
          <w:p w14:paraId="0B603525">
            <w:pPr>
              <w:tabs>
                <w:tab w:val="left" w:pos="3990"/>
              </w:tabs>
              <w:adjustRightInd w:val="0"/>
              <w:spacing w:line="30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0-5分</w:t>
            </w:r>
          </w:p>
          <w:p w14:paraId="756EE534">
            <w:pPr>
              <w:pStyle w:val="3"/>
              <w:ind w:left="0" w:leftChars="0" w:firstLine="0" w:firstLineChars="0"/>
              <w:jc w:val="center"/>
              <w:rPr>
                <w:rFonts w:hint="eastAsia" w:ascii="Times New Roman" w:hAnsi="Times New Roman" w:eastAsia="宋体" w:cs="Times New Roman"/>
                <w:color w:val="auto"/>
                <w:sz w:val="21"/>
                <w:szCs w:val="21"/>
                <w:highlight w:val="none"/>
                <w:lang w:val="en-US" w:eastAsia="zh-CN" w:bidi="ar-SA"/>
              </w:rPr>
            </w:pPr>
            <w:r>
              <w:rPr>
                <w:rFonts w:hint="eastAsia" w:ascii="仿宋" w:hAnsi="仿宋" w:eastAsia="仿宋" w:cs="仿宋"/>
                <w:color w:val="auto"/>
                <w:sz w:val="18"/>
                <w:szCs w:val="18"/>
                <w:highlight w:val="none"/>
                <w:lang w:val="en-US" w:eastAsia="zh-CN"/>
              </w:rPr>
              <w:t>（</w:t>
            </w:r>
            <w:r>
              <w:rPr>
                <w:rFonts w:hint="eastAsia" w:ascii="仿宋" w:hAnsi="仿宋" w:eastAsia="仿宋" w:cs="仿宋"/>
                <w:color w:val="auto"/>
                <w:sz w:val="18"/>
                <w:szCs w:val="18"/>
                <w:highlight w:val="none"/>
              </w:rPr>
              <w:t>客观分</w:t>
            </w:r>
            <w:r>
              <w:rPr>
                <w:rFonts w:hint="eastAsia" w:ascii="仿宋" w:hAnsi="仿宋" w:eastAsia="仿宋" w:cs="仿宋"/>
                <w:color w:val="auto"/>
                <w:sz w:val="18"/>
                <w:szCs w:val="18"/>
                <w:highlight w:val="none"/>
                <w:lang w:eastAsia="zh-CN"/>
              </w:rPr>
              <w:t>）</w:t>
            </w:r>
          </w:p>
        </w:tc>
      </w:tr>
      <w:tr w14:paraId="375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53" w:type="dxa"/>
            <w:shd w:val="clear" w:color="auto" w:fill="auto"/>
            <w:vAlign w:val="center"/>
          </w:tcPr>
          <w:p w14:paraId="73A3D63F">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3.1</w:t>
            </w:r>
          </w:p>
        </w:tc>
        <w:tc>
          <w:tcPr>
            <w:tcW w:w="1325" w:type="dxa"/>
            <w:vMerge w:val="restart"/>
            <w:vAlign w:val="center"/>
          </w:tcPr>
          <w:p w14:paraId="59CC11C6">
            <w:pPr>
              <w:spacing w:line="240" w:lineRule="auto"/>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eastAsia="zh-CN"/>
              </w:rPr>
              <w:t>设备投入情况</w:t>
            </w:r>
          </w:p>
        </w:tc>
        <w:tc>
          <w:tcPr>
            <w:tcW w:w="7138" w:type="dxa"/>
            <w:gridSpan w:val="2"/>
            <w:shd w:val="clear" w:color="auto" w:fill="auto"/>
            <w:vAlign w:val="center"/>
          </w:tcPr>
          <w:p w14:paraId="1F8504CC">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投标人为本项目投入登高车的，每辆得2分，最高得2分。</w:t>
            </w:r>
          </w:p>
          <w:p w14:paraId="525C1023">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注：1.车辆（设备）如是投标人自有的</w:t>
            </w:r>
            <w:r>
              <w:rPr>
                <w:rFonts w:hint="eastAsia" w:ascii="仿宋" w:hAnsi="仿宋" w:eastAsia="仿宋" w:cs="仿宋"/>
                <w:b/>
                <w:bCs/>
                <w:color w:val="auto"/>
                <w:sz w:val="22"/>
                <w:szCs w:val="22"/>
                <w:highlight w:val="none"/>
                <w:lang w:val="zh-CN" w:eastAsia="zh-Hans"/>
              </w:rPr>
              <w:t>须提供</w:t>
            </w:r>
            <w:r>
              <w:rPr>
                <w:rFonts w:hint="eastAsia" w:ascii="仿宋" w:hAnsi="仿宋" w:eastAsia="仿宋" w:cs="仿宋"/>
                <w:b/>
                <w:bCs/>
                <w:color w:val="auto"/>
                <w:sz w:val="22"/>
                <w:szCs w:val="22"/>
                <w:highlight w:val="none"/>
                <w:lang w:val="en-US" w:eastAsia="zh-CN"/>
              </w:rPr>
              <w:t>车辆照片、</w:t>
            </w:r>
            <w:r>
              <w:rPr>
                <w:rFonts w:hint="eastAsia" w:ascii="仿宋" w:hAnsi="仿宋" w:eastAsia="仿宋" w:cs="仿宋"/>
                <w:b/>
                <w:bCs/>
                <w:color w:val="auto"/>
                <w:sz w:val="22"/>
                <w:szCs w:val="22"/>
                <w:highlight w:val="none"/>
                <w:lang w:val="zh-CN" w:eastAsia="zh-Hans"/>
              </w:rPr>
              <w:t>车辆</w:t>
            </w:r>
            <w:r>
              <w:rPr>
                <w:rFonts w:hint="eastAsia" w:ascii="仿宋" w:hAnsi="仿宋" w:eastAsia="仿宋" w:cs="仿宋"/>
                <w:b/>
                <w:bCs/>
                <w:color w:val="auto"/>
                <w:sz w:val="22"/>
                <w:szCs w:val="22"/>
                <w:highlight w:val="none"/>
                <w:lang w:val="zh-CN"/>
              </w:rPr>
              <w:t>行驶证和产权证《机动车登记证》扫描件，</w:t>
            </w:r>
            <w:r>
              <w:rPr>
                <w:rFonts w:hint="eastAsia" w:ascii="仿宋" w:hAnsi="仿宋" w:eastAsia="仿宋" w:cs="仿宋"/>
                <w:b/>
                <w:bCs/>
                <w:color w:val="auto"/>
                <w:sz w:val="22"/>
                <w:szCs w:val="22"/>
                <w:highlight w:val="none"/>
                <w:lang w:val="en-US" w:eastAsia="zh-CN"/>
              </w:rPr>
              <w:t>不提供或提供不全不得分。</w:t>
            </w:r>
          </w:p>
          <w:p w14:paraId="4C7225EF">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auto"/>
                <w:sz w:val="22"/>
                <w:szCs w:val="22"/>
                <w:highlight w:val="none"/>
                <w:lang w:val="en-US" w:eastAsia="zh-CN"/>
              </w:rPr>
              <w:t>2.车辆如是投标人租赁的须</w:t>
            </w:r>
            <w:r>
              <w:rPr>
                <w:rFonts w:hint="eastAsia" w:ascii="仿宋" w:hAnsi="仿宋" w:eastAsia="仿宋" w:cs="仿宋"/>
                <w:b/>
                <w:bCs/>
                <w:color w:val="auto"/>
                <w:sz w:val="22"/>
                <w:szCs w:val="22"/>
                <w:highlight w:val="none"/>
                <w:lang w:val="zh-CN" w:eastAsia="zh-Hans"/>
              </w:rPr>
              <w:t>提供</w:t>
            </w:r>
            <w:r>
              <w:rPr>
                <w:rFonts w:hint="eastAsia" w:ascii="仿宋" w:hAnsi="仿宋" w:eastAsia="仿宋" w:cs="仿宋"/>
                <w:b/>
                <w:bCs/>
                <w:color w:val="auto"/>
                <w:sz w:val="22"/>
                <w:szCs w:val="22"/>
                <w:highlight w:val="none"/>
                <w:lang w:val="en-US" w:eastAsia="zh-CN"/>
              </w:rPr>
              <w:t>车辆照片、</w:t>
            </w:r>
            <w:r>
              <w:rPr>
                <w:rFonts w:hint="eastAsia" w:ascii="仿宋" w:hAnsi="仿宋" w:eastAsia="仿宋" w:cs="仿宋"/>
                <w:b/>
                <w:bCs/>
                <w:color w:val="auto"/>
                <w:sz w:val="22"/>
                <w:szCs w:val="22"/>
                <w:highlight w:val="none"/>
                <w:lang w:val="zh-CN" w:eastAsia="zh-Hans"/>
              </w:rPr>
              <w:t>车辆</w:t>
            </w:r>
            <w:r>
              <w:rPr>
                <w:rFonts w:hint="eastAsia" w:ascii="仿宋" w:hAnsi="仿宋" w:eastAsia="仿宋" w:cs="仿宋"/>
                <w:b/>
                <w:bCs/>
                <w:color w:val="auto"/>
                <w:sz w:val="22"/>
                <w:szCs w:val="22"/>
                <w:highlight w:val="none"/>
                <w:lang w:val="zh-CN"/>
              </w:rPr>
              <w:t>行驶证和产权证《机动车登记证》扫描件和车辆租赁协议扫描件，</w:t>
            </w:r>
            <w:r>
              <w:rPr>
                <w:rFonts w:hint="eastAsia" w:ascii="仿宋" w:hAnsi="仿宋" w:eastAsia="仿宋" w:cs="仿宋"/>
                <w:b/>
                <w:bCs/>
                <w:color w:val="auto"/>
                <w:sz w:val="22"/>
                <w:szCs w:val="22"/>
                <w:highlight w:val="none"/>
                <w:lang w:val="en-US" w:eastAsia="zh-CN"/>
              </w:rPr>
              <w:t>不提供或提供不全不得分。</w:t>
            </w:r>
          </w:p>
        </w:tc>
        <w:tc>
          <w:tcPr>
            <w:tcW w:w="1062" w:type="dxa"/>
            <w:shd w:val="clear" w:color="auto" w:fill="auto"/>
            <w:vAlign w:val="center"/>
          </w:tcPr>
          <w:p w14:paraId="31D9BFE3">
            <w:pPr>
              <w:tabs>
                <w:tab w:val="left" w:pos="3990"/>
              </w:tabs>
              <w:adjustRightInd w:val="0"/>
              <w:spacing w:line="30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0-2分</w:t>
            </w:r>
          </w:p>
          <w:p w14:paraId="4DB670F6">
            <w:pPr>
              <w:pStyle w:val="60"/>
              <w:jc w:val="center"/>
              <w:rPr>
                <w:rFonts w:hint="default" w:ascii="仿宋" w:hAnsi="仿宋" w:eastAsia="仿宋" w:cs="仿宋"/>
                <w:color w:val="auto"/>
                <w:sz w:val="21"/>
                <w:szCs w:val="21"/>
                <w:highlight w:val="none"/>
                <w:lang w:val="en-US" w:eastAsia="zh-CN"/>
              </w:rPr>
            </w:pPr>
            <w:r>
              <w:rPr>
                <w:rFonts w:hint="eastAsia" w:ascii="仿宋" w:hAnsi="仿宋" w:eastAsia="仿宋" w:cs="仿宋"/>
                <w:b w:val="0"/>
                <w:bCs w:val="0"/>
                <w:color w:val="auto"/>
                <w:sz w:val="18"/>
                <w:szCs w:val="18"/>
                <w:highlight w:val="none"/>
                <w:lang w:val="en-US" w:eastAsia="zh-CN"/>
              </w:rPr>
              <w:t>（</w:t>
            </w:r>
            <w:r>
              <w:rPr>
                <w:rFonts w:hint="eastAsia" w:ascii="仿宋" w:hAnsi="仿宋" w:eastAsia="仿宋" w:cs="仿宋"/>
                <w:color w:val="auto"/>
                <w:sz w:val="18"/>
                <w:szCs w:val="18"/>
                <w:highlight w:val="none"/>
              </w:rPr>
              <w:t>客观</w:t>
            </w:r>
            <w:r>
              <w:rPr>
                <w:rFonts w:hint="eastAsia" w:ascii="仿宋" w:hAnsi="仿宋" w:eastAsia="仿宋" w:cs="仿宋"/>
                <w:b w:val="0"/>
                <w:bCs w:val="0"/>
                <w:color w:val="auto"/>
                <w:sz w:val="18"/>
                <w:szCs w:val="18"/>
                <w:highlight w:val="none"/>
              </w:rPr>
              <w:t>分</w:t>
            </w:r>
            <w:r>
              <w:rPr>
                <w:rFonts w:hint="eastAsia" w:ascii="仿宋" w:hAnsi="仿宋" w:eastAsia="仿宋" w:cs="仿宋"/>
                <w:b w:val="0"/>
                <w:bCs w:val="0"/>
                <w:color w:val="auto"/>
                <w:sz w:val="18"/>
                <w:szCs w:val="18"/>
                <w:highlight w:val="none"/>
                <w:lang w:eastAsia="zh-CN"/>
              </w:rPr>
              <w:t>）</w:t>
            </w:r>
          </w:p>
        </w:tc>
      </w:tr>
      <w:tr w14:paraId="42E1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2" w:hRule="exact"/>
          <w:jc w:val="center"/>
        </w:trPr>
        <w:tc>
          <w:tcPr>
            <w:tcW w:w="753" w:type="dxa"/>
            <w:shd w:val="clear" w:color="auto" w:fill="auto"/>
            <w:vAlign w:val="center"/>
          </w:tcPr>
          <w:p w14:paraId="37048BCF">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3.2</w:t>
            </w:r>
          </w:p>
        </w:tc>
        <w:tc>
          <w:tcPr>
            <w:tcW w:w="1325" w:type="dxa"/>
            <w:vMerge w:val="continue"/>
            <w:vAlign w:val="center"/>
          </w:tcPr>
          <w:p w14:paraId="13971CEB">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rPr>
                <w:rFonts w:hint="eastAsia" w:ascii="仿宋" w:hAnsi="仿宋" w:eastAsia="仿宋" w:cs="仿宋"/>
                <w:color w:val="auto"/>
                <w:sz w:val="22"/>
                <w:szCs w:val="22"/>
                <w:highlight w:val="none"/>
                <w:lang w:val="en-US" w:eastAsia="zh-CN" w:bidi="ar-SA"/>
              </w:rPr>
            </w:pPr>
          </w:p>
        </w:tc>
        <w:tc>
          <w:tcPr>
            <w:tcW w:w="7138" w:type="dxa"/>
            <w:gridSpan w:val="2"/>
            <w:shd w:val="clear" w:color="auto" w:fill="auto"/>
            <w:vAlign w:val="center"/>
          </w:tcPr>
          <w:p w14:paraId="44F86D98">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1.投标人为本项目投入割草机的，每台得1分，最高得2分。</w:t>
            </w:r>
          </w:p>
          <w:p w14:paraId="70F6BFC7">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2.投标人为本项目投入喷药机（打药机）的，每台得1分，最高得2分。</w:t>
            </w:r>
          </w:p>
          <w:p w14:paraId="59CBF5EB">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3.投标人为本项目投入树枝粉碎机的，每台1分，最高得2分。</w:t>
            </w:r>
          </w:p>
          <w:p w14:paraId="23BC9A10">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Chars="0" w:right="0" w:right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4.投标人为本项目投入电动修剪机的，每台1分，最高得2分。</w:t>
            </w:r>
          </w:p>
          <w:p w14:paraId="05317F20">
            <w:pPr>
              <w:keepNext w:val="0"/>
              <w:keepLines w:val="0"/>
              <w:pageBreakBefore w:val="0"/>
              <w:widowControl w:val="0"/>
              <w:numPr>
                <w:ilvl w:val="0"/>
                <w:numId w:val="0"/>
              </w:numPr>
              <w:kinsoku/>
              <w:wordWrap/>
              <w:overflowPunct/>
              <w:topLinePunct w:val="0"/>
              <w:autoSpaceDE w:val="0"/>
              <w:autoSpaceDN w:val="0"/>
              <w:bidi w:val="0"/>
              <w:adjustRightInd w:val="0"/>
              <w:snapToGrid/>
              <w:spacing w:line="300" w:lineRule="exact"/>
              <w:ind w:leftChars="0" w:right="0" w:rightChars="0"/>
              <w:jc w:val="both"/>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5.投标人为本项目投入推草机的，每台1分，最高得2分。</w:t>
            </w:r>
          </w:p>
          <w:p w14:paraId="06C1C1EC">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注：1.设备如是投标人自有的</w:t>
            </w:r>
            <w:r>
              <w:rPr>
                <w:rFonts w:hint="eastAsia" w:ascii="仿宋" w:hAnsi="仿宋" w:eastAsia="仿宋" w:cs="仿宋"/>
                <w:b/>
                <w:bCs/>
                <w:color w:val="auto"/>
                <w:sz w:val="22"/>
                <w:szCs w:val="22"/>
                <w:highlight w:val="none"/>
                <w:lang w:val="zh-CN" w:eastAsia="zh-Hans"/>
              </w:rPr>
              <w:t>须提供</w:t>
            </w:r>
            <w:r>
              <w:rPr>
                <w:rFonts w:hint="eastAsia" w:ascii="仿宋" w:hAnsi="仿宋" w:eastAsia="仿宋" w:cs="仿宋"/>
                <w:b/>
                <w:bCs/>
                <w:color w:val="auto"/>
                <w:sz w:val="22"/>
                <w:szCs w:val="22"/>
                <w:highlight w:val="none"/>
                <w:lang w:val="en-US" w:eastAsia="zh-CN"/>
              </w:rPr>
              <w:t>设备照片、</w:t>
            </w:r>
            <w:r>
              <w:rPr>
                <w:rFonts w:hint="eastAsia" w:ascii="仿宋" w:hAnsi="仿宋" w:eastAsia="仿宋" w:cs="仿宋"/>
                <w:b/>
                <w:bCs/>
                <w:color w:val="auto"/>
                <w:sz w:val="22"/>
                <w:szCs w:val="22"/>
                <w:highlight w:val="none"/>
                <w:lang w:val="zh-CN" w:eastAsia="zh-Hans"/>
              </w:rPr>
              <w:t>设备</w:t>
            </w:r>
            <w:r>
              <w:rPr>
                <w:rFonts w:hint="eastAsia" w:ascii="仿宋" w:hAnsi="仿宋" w:eastAsia="仿宋" w:cs="仿宋"/>
                <w:b/>
                <w:bCs/>
                <w:color w:val="auto"/>
                <w:sz w:val="22"/>
                <w:szCs w:val="22"/>
                <w:highlight w:val="none"/>
                <w:lang w:val="zh-CN"/>
              </w:rPr>
              <w:t>购买发票扫描件，</w:t>
            </w:r>
            <w:r>
              <w:rPr>
                <w:rFonts w:hint="eastAsia" w:ascii="仿宋" w:hAnsi="仿宋" w:eastAsia="仿宋" w:cs="仿宋"/>
                <w:b/>
                <w:bCs/>
                <w:color w:val="auto"/>
                <w:sz w:val="22"/>
                <w:szCs w:val="22"/>
                <w:highlight w:val="none"/>
                <w:lang w:val="en-US" w:eastAsia="zh-CN"/>
              </w:rPr>
              <w:t>不提供不得分。</w:t>
            </w:r>
          </w:p>
          <w:p w14:paraId="5B669C32">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2"/>
                <w:szCs w:val="22"/>
                <w:highlight w:val="none"/>
                <w:lang w:val="en-US" w:eastAsia="zh-CN"/>
              </w:rPr>
              <w:t>2.设备如是投标人租赁的须</w:t>
            </w:r>
            <w:r>
              <w:rPr>
                <w:rFonts w:hint="eastAsia" w:ascii="仿宋" w:hAnsi="仿宋" w:eastAsia="仿宋" w:cs="仿宋"/>
                <w:b/>
                <w:bCs/>
                <w:color w:val="auto"/>
                <w:sz w:val="22"/>
                <w:szCs w:val="22"/>
                <w:highlight w:val="none"/>
                <w:lang w:val="zh-CN" w:eastAsia="zh-Hans"/>
              </w:rPr>
              <w:t>提供</w:t>
            </w:r>
            <w:r>
              <w:rPr>
                <w:rFonts w:hint="eastAsia" w:ascii="仿宋" w:hAnsi="仿宋" w:eastAsia="仿宋" w:cs="仿宋"/>
                <w:b/>
                <w:bCs/>
                <w:color w:val="auto"/>
                <w:sz w:val="22"/>
                <w:szCs w:val="22"/>
                <w:highlight w:val="none"/>
                <w:lang w:val="en-US" w:eastAsia="zh-CN"/>
              </w:rPr>
              <w:t>设备照片、</w:t>
            </w:r>
            <w:r>
              <w:rPr>
                <w:rFonts w:hint="eastAsia" w:ascii="仿宋" w:hAnsi="仿宋" w:eastAsia="仿宋" w:cs="仿宋"/>
                <w:b/>
                <w:bCs/>
                <w:color w:val="auto"/>
                <w:sz w:val="22"/>
                <w:szCs w:val="22"/>
                <w:highlight w:val="none"/>
                <w:lang w:val="zh-CN" w:eastAsia="zh-Hans"/>
              </w:rPr>
              <w:t>租赁合同和出租方的购买凭证</w:t>
            </w:r>
            <w:r>
              <w:rPr>
                <w:rFonts w:hint="eastAsia" w:ascii="仿宋" w:hAnsi="仿宋" w:eastAsia="仿宋" w:cs="仿宋"/>
                <w:b/>
                <w:bCs/>
                <w:color w:val="auto"/>
                <w:sz w:val="22"/>
                <w:szCs w:val="22"/>
                <w:highlight w:val="none"/>
                <w:lang w:val="zh-CN"/>
              </w:rPr>
              <w:t>扫描件，</w:t>
            </w:r>
            <w:r>
              <w:rPr>
                <w:rFonts w:hint="eastAsia" w:ascii="仿宋" w:hAnsi="仿宋" w:eastAsia="仿宋" w:cs="仿宋"/>
                <w:b/>
                <w:bCs/>
                <w:color w:val="auto"/>
                <w:sz w:val="22"/>
                <w:szCs w:val="22"/>
                <w:highlight w:val="none"/>
                <w:lang w:val="en-US" w:eastAsia="zh-CN"/>
              </w:rPr>
              <w:t>不提供或提供不全不得分。</w:t>
            </w:r>
          </w:p>
        </w:tc>
        <w:tc>
          <w:tcPr>
            <w:tcW w:w="1062" w:type="dxa"/>
            <w:shd w:val="clear" w:color="auto" w:fill="auto"/>
            <w:vAlign w:val="center"/>
          </w:tcPr>
          <w:p w14:paraId="61D9A663">
            <w:pPr>
              <w:tabs>
                <w:tab w:val="left" w:pos="3990"/>
              </w:tabs>
              <w:adjustRightInd w:val="0"/>
              <w:spacing w:line="300" w:lineRule="exact"/>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0-10分</w:t>
            </w:r>
          </w:p>
          <w:p w14:paraId="12CB6A66">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b w:val="0"/>
                <w:bCs w:val="0"/>
                <w:color w:val="auto"/>
                <w:sz w:val="18"/>
                <w:szCs w:val="18"/>
                <w:highlight w:val="none"/>
                <w:lang w:val="en-US" w:eastAsia="zh-CN"/>
              </w:rPr>
              <w:t>（</w:t>
            </w:r>
            <w:r>
              <w:rPr>
                <w:rFonts w:hint="eastAsia" w:ascii="仿宋" w:hAnsi="仿宋" w:eastAsia="仿宋" w:cs="仿宋"/>
                <w:color w:val="auto"/>
                <w:sz w:val="18"/>
                <w:szCs w:val="18"/>
                <w:highlight w:val="none"/>
              </w:rPr>
              <w:t>客观</w:t>
            </w:r>
            <w:r>
              <w:rPr>
                <w:rFonts w:hint="eastAsia" w:ascii="仿宋" w:hAnsi="仿宋" w:eastAsia="仿宋" w:cs="仿宋"/>
                <w:b w:val="0"/>
                <w:bCs w:val="0"/>
                <w:color w:val="auto"/>
                <w:sz w:val="18"/>
                <w:szCs w:val="18"/>
                <w:highlight w:val="none"/>
              </w:rPr>
              <w:t>分</w:t>
            </w:r>
            <w:r>
              <w:rPr>
                <w:rFonts w:hint="eastAsia" w:ascii="仿宋" w:hAnsi="仿宋" w:eastAsia="仿宋" w:cs="仿宋"/>
                <w:b w:val="0"/>
                <w:bCs w:val="0"/>
                <w:color w:val="auto"/>
                <w:sz w:val="18"/>
                <w:szCs w:val="18"/>
                <w:highlight w:val="none"/>
                <w:lang w:eastAsia="zh-CN"/>
              </w:rPr>
              <w:t>）</w:t>
            </w:r>
          </w:p>
        </w:tc>
      </w:tr>
      <w:tr w14:paraId="0C41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exact"/>
          <w:jc w:val="center"/>
        </w:trPr>
        <w:tc>
          <w:tcPr>
            <w:tcW w:w="753" w:type="dxa"/>
            <w:shd w:val="clear" w:color="auto" w:fill="auto"/>
            <w:vAlign w:val="center"/>
          </w:tcPr>
          <w:p w14:paraId="49639702">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4.1</w:t>
            </w:r>
          </w:p>
        </w:tc>
        <w:tc>
          <w:tcPr>
            <w:tcW w:w="1325" w:type="dxa"/>
            <w:vMerge w:val="restart"/>
            <w:vAlign w:val="center"/>
          </w:tcPr>
          <w:p w14:paraId="5779C1AF">
            <w:pPr>
              <w:spacing w:line="240" w:lineRule="auto"/>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rPr>
              <w:t>作业</w:t>
            </w:r>
            <w:r>
              <w:rPr>
                <w:rFonts w:hint="eastAsia" w:ascii="仿宋" w:hAnsi="仿宋" w:eastAsia="仿宋" w:cs="仿宋"/>
                <w:color w:val="auto"/>
                <w:sz w:val="22"/>
                <w:szCs w:val="22"/>
                <w:highlight w:val="none"/>
                <w:lang w:eastAsia="zh-CN"/>
              </w:rPr>
              <w:t>方案</w:t>
            </w:r>
          </w:p>
        </w:tc>
        <w:tc>
          <w:tcPr>
            <w:tcW w:w="7138" w:type="dxa"/>
            <w:gridSpan w:val="2"/>
            <w:shd w:val="clear" w:color="auto" w:fill="auto"/>
            <w:vAlign w:val="center"/>
          </w:tcPr>
          <w:p w14:paraId="24A76733">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val="en-US" w:eastAsia="zh-CN"/>
              </w:rPr>
              <w:t>根据投标人提供的绿化养护和保洁作业方案、绿地保洁方案的科学性</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、合理性</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、可操作性</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等进行综合评分。</w:t>
            </w:r>
          </w:p>
        </w:tc>
        <w:tc>
          <w:tcPr>
            <w:tcW w:w="1062" w:type="dxa"/>
            <w:shd w:val="clear" w:color="auto" w:fill="auto"/>
            <w:vAlign w:val="center"/>
          </w:tcPr>
          <w:p w14:paraId="5470EEEF">
            <w:pPr>
              <w:tabs>
                <w:tab w:val="left" w:pos="3990"/>
              </w:tabs>
              <w:adjustRightInd w:val="0"/>
              <w:spacing w:line="30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color w:val="auto"/>
                <w:sz w:val="22"/>
                <w:szCs w:val="22"/>
                <w:highlight w:val="none"/>
                <w:lang w:val="en-US" w:eastAsia="zh-CN"/>
              </w:rPr>
              <w:t>0-6分</w:t>
            </w:r>
          </w:p>
        </w:tc>
      </w:tr>
      <w:tr w14:paraId="3784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exact"/>
          <w:jc w:val="center"/>
        </w:trPr>
        <w:tc>
          <w:tcPr>
            <w:tcW w:w="753" w:type="dxa"/>
            <w:shd w:val="clear" w:color="auto" w:fill="auto"/>
            <w:vAlign w:val="center"/>
          </w:tcPr>
          <w:p w14:paraId="6055741D">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4.2</w:t>
            </w:r>
          </w:p>
        </w:tc>
        <w:tc>
          <w:tcPr>
            <w:tcW w:w="1325" w:type="dxa"/>
            <w:vMerge w:val="continue"/>
            <w:vAlign w:val="center"/>
          </w:tcPr>
          <w:p w14:paraId="1992C196">
            <w:pPr>
              <w:spacing w:line="240" w:lineRule="auto"/>
              <w:jc w:val="center"/>
              <w:rPr>
                <w:rFonts w:hint="eastAsia" w:ascii="仿宋" w:hAnsi="仿宋" w:eastAsia="仿宋" w:cs="仿宋"/>
                <w:color w:val="auto"/>
                <w:sz w:val="22"/>
                <w:szCs w:val="22"/>
                <w:highlight w:val="none"/>
                <w:lang w:val="en-US" w:eastAsia="zh-CN" w:bidi="ar-SA"/>
              </w:rPr>
            </w:pPr>
          </w:p>
        </w:tc>
        <w:tc>
          <w:tcPr>
            <w:tcW w:w="7138" w:type="dxa"/>
            <w:gridSpan w:val="2"/>
            <w:shd w:val="clear" w:color="auto" w:fill="auto"/>
            <w:vAlign w:val="center"/>
          </w:tcPr>
          <w:p w14:paraId="017625A0">
            <w:pPr>
              <w:keepNext w:val="0"/>
              <w:keepLines w:val="0"/>
              <w:widowControl/>
              <w:suppressLineNumbers w:val="0"/>
              <w:jc w:val="both"/>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val="en-US" w:eastAsia="zh-CN"/>
              </w:rPr>
              <w:t>根据投标人针对修剪整枝及施肥除草方案</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、工作重点</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、难点的解决措施</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等是否方案内容全面详实，针对性的提出克服难点和要点技术措施，进行综合评分。</w:t>
            </w:r>
          </w:p>
        </w:tc>
        <w:tc>
          <w:tcPr>
            <w:tcW w:w="1062" w:type="dxa"/>
            <w:shd w:val="clear" w:color="auto" w:fill="auto"/>
            <w:vAlign w:val="center"/>
          </w:tcPr>
          <w:p w14:paraId="353A0675">
            <w:pPr>
              <w:tabs>
                <w:tab w:val="left" w:pos="3990"/>
              </w:tabs>
              <w:adjustRightInd w:val="0"/>
              <w:spacing w:line="30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color w:val="auto"/>
                <w:sz w:val="22"/>
                <w:szCs w:val="22"/>
                <w:highlight w:val="none"/>
                <w:lang w:val="en-US" w:eastAsia="zh-CN"/>
              </w:rPr>
              <w:t>0-6分</w:t>
            </w:r>
          </w:p>
        </w:tc>
      </w:tr>
      <w:tr w14:paraId="0F15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exact"/>
          <w:jc w:val="center"/>
        </w:trPr>
        <w:tc>
          <w:tcPr>
            <w:tcW w:w="753" w:type="dxa"/>
            <w:shd w:val="clear" w:color="auto" w:fill="auto"/>
            <w:vAlign w:val="center"/>
          </w:tcPr>
          <w:p w14:paraId="3B92DAA8">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4.3</w:t>
            </w:r>
          </w:p>
        </w:tc>
        <w:tc>
          <w:tcPr>
            <w:tcW w:w="1325" w:type="dxa"/>
            <w:vMerge w:val="continue"/>
            <w:vAlign w:val="center"/>
          </w:tcPr>
          <w:p w14:paraId="3BBBD207">
            <w:pPr>
              <w:spacing w:line="240" w:lineRule="auto"/>
              <w:jc w:val="center"/>
              <w:rPr>
                <w:rFonts w:hint="eastAsia" w:ascii="仿宋" w:hAnsi="仿宋" w:eastAsia="仿宋" w:cs="仿宋"/>
                <w:color w:val="auto"/>
                <w:sz w:val="22"/>
                <w:szCs w:val="22"/>
                <w:highlight w:val="none"/>
                <w:lang w:val="en-US" w:eastAsia="zh-CN" w:bidi="ar-SA"/>
              </w:rPr>
            </w:pPr>
          </w:p>
        </w:tc>
        <w:tc>
          <w:tcPr>
            <w:tcW w:w="7138" w:type="dxa"/>
            <w:gridSpan w:val="2"/>
            <w:shd w:val="clear" w:color="auto" w:fill="auto"/>
            <w:vAlign w:val="center"/>
          </w:tcPr>
          <w:p w14:paraId="774AB1A7">
            <w:pPr>
              <w:keepNext w:val="0"/>
              <w:keepLines w:val="0"/>
              <w:widowControl/>
              <w:suppressLineNumbers w:val="0"/>
              <w:jc w:val="both"/>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val="en-US" w:eastAsia="zh-CN"/>
              </w:rPr>
              <w:t>根据投标人针对本项目园林设施、绿地、树木、保洁、养护等的服务质量保障措施、防治病虫害及抗旱保绿措施是否科学性</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，合理性</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，全面性</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等进行综合评分。</w:t>
            </w:r>
          </w:p>
        </w:tc>
        <w:tc>
          <w:tcPr>
            <w:tcW w:w="1062" w:type="dxa"/>
            <w:shd w:val="clear" w:color="auto" w:fill="auto"/>
            <w:vAlign w:val="center"/>
          </w:tcPr>
          <w:p w14:paraId="101CBD24">
            <w:pPr>
              <w:tabs>
                <w:tab w:val="left" w:pos="3990"/>
              </w:tabs>
              <w:adjustRightInd w:val="0"/>
              <w:spacing w:line="30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color w:val="auto"/>
                <w:sz w:val="22"/>
                <w:szCs w:val="22"/>
                <w:highlight w:val="none"/>
                <w:lang w:val="en-US" w:eastAsia="zh-CN"/>
              </w:rPr>
              <w:t>0-6分</w:t>
            </w:r>
          </w:p>
        </w:tc>
      </w:tr>
      <w:tr w14:paraId="7F32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exact"/>
          <w:jc w:val="center"/>
        </w:trPr>
        <w:tc>
          <w:tcPr>
            <w:tcW w:w="753" w:type="dxa"/>
            <w:shd w:val="clear" w:color="auto" w:fill="auto"/>
            <w:vAlign w:val="center"/>
          </w:tcPr>
          <w:p w14:paraId="1EE11DC2">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5</w:t>
            </w:r>
          </w:p>
        </w:tc>
        <w:tc>
          <w:tcPr>
            <w:tcW w:w="1325" w:type="dxa"/>
            <w:vAlign w:val="center"/>
          </w:tcPr>
          <w:p w14:paraId="53FDE2AE">
            <w:pPr>
              <w:spacing w:line="24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园林绿化垃圾处置方案</w:t>
            </w:r>
          </w:p>
        </w:tc>
        <w:tc>
          <w:tcPr>
            <w:tcW w:w="7138" w:type="dxa"/>
            <w:gridSpan w:val="2"/>
            <w:shd w:val="clear" w:color="auto" w:fill="auto"/>
            <w:vAlign w:val="center"/>
          </w:tcPr>
          <w:p w14:paraId="7CB4DFC8">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根据投标人针对园林绿化垃圾处置方案是否合理</w:t>
            </w:r>
            <w:r>
              <w:rPr>
                <w:rFonts w:hint="default" w:ascii="仿宋" w:hAnsi="仿宋" w:eastAsia="仿宋" w:cs="仿宋"/>
                <w:b/>
                <w:bCs/>
                <w:color w:val="auto"/>
                <w:sz w:val="21"/>
                <w:szCs w:val="21"/>
                <w:highlight w:val="none"/>
                <w:lang w:eastAsia="zh-CN"/>
              </w:rPr>
              <w:t>（评分范围：1分，0.5分，0分）</w:t>
            </w:r>
            <w:r>
              <w:rPr>
                <w:rFonts w:hint="eastAsia" w:ascii="仿宋" w:hAnsi="仿宋" w:eastAsia="仿宋" w:cs="仿宋"/>
                <w:color w:val="auto"/>
                <w:sz w:val="22"/>
                <w:szCs w:val="22"/>
                <w:highlight w:val="none"/>
                <w:lang w:val="en-US" w:eastAsia="zh-CN"/>
              </w:rPr>
              <w:t>、科学性</w:t>
            </w:r>
            <w:r>
              <w:rPr>
                <w:rFonts w:hint="default" w:ascii="仿宋" w:hAnsi="仿宋" w:eastAsia="仿宋" w:cs="仿宋"/>
                <w:b/>
                <w:bCs/>
                <w:color w:val="auto"/>
                <w:sz w:val="21"/>
                <w:szCs w:val="21"/>
                <w:highlight w:val="none"/>
                <w:lang w:eastAsia="zh-CN"/>
              </w:rPr>
              <w:t>（评分范围：1分，0.5分，0分）</w:t>
            </w:r>
            <w:r>
              <w:rPr>
                <w:rFonts w:hint="eastAsia" w:ascii="仿宋" w:hAnsi="仿宋" w:eastAsia="仿宋" w:cs="仿宋"/>
                <w:b/>
                <w:bCs/>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有针对性</w:t>
            </w:r>
            <w:r>
              <w:rPr>
                <w:rFonts w:hint="default" w:ascii="仿宋" w:hAnsi="仿宋" w:eastAsia="仿宋" w:cs="仿宋"/>
                <w:b/>
                <w:bCs/>
                <w:color w:val="auto"/>
                <w:sz w:val="21"/>
                <w:szCs w:val="21"/>
                <w:highlight w:val="none"/>
                <w:lang w:eastAsia="zh-CN"/>
              </w:rPr>
              <w:t>（评分范围：1分，0.5分，0分）</w:t>
            </w:r>
            <w:r>
              <w:rPr>
                <w:rFonts w:hint="eastAsia" w:ascii="仿宋" w:hAnsi="仿宋" w:eastAsia="仿宋" w:cs="仿宋"/>
                <w:color w:val="auto"/>
                <w:sz w:val="22"/>
                <w:szCs w:val="22"/>
                <w:highlight w:val="none"/>
                <w:lang w:val="en-US" w:eastAsia="zh-CN"/>
              </w:rPr>
              <w:t>进行打分。</w:t>
            </w:r>
          </w:p>
        </w:tc>
        <w:tc>
          <w:tcPr>
            <w:tcW w:w="1062" w:type="dxa"/>
            <w:shd w:val="clear" w:color="auto" w:fill="auto"/>
            <w:vAlign w:val="center"/>
          </w:tcPr>
          <w:p w14:paraId="456C523C">
            <w:pPr>
              <w:tabs>
                <w:tab w:val="left" w:pos="3990"/>
              </w:tabs>
              <w:adjustRightInd w:val="0"/>
              <w:spacing w:line="300" w:lineRule="exact"/>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0-3分</w:t>
            </w:r>
          </w:p>
        </w:tc>
      </w:tr>
      <w:tr w14:paraId="69D9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exact"/>
          <w:jc w:val="center"/>
        </w:trPr>
        <w:tc>
          <w:tcPr>
            <w:tcW w:w="753" w:type="dxa"/>
            <w:shd w:val="clear" w:color="auto" w:fill="auto"/>
            <w:vAlign w:val="center"/>
          </w:tcPr>
          <w:p w14:paraId="29E38704">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6</w:t>
            </w:r>
          </w:p>
        </w:tc>
        <w:tc>
          <w:tcPr>
            <w:tcW w:w="1325" w:type="dxa"/>
            <w:vAlign w:val="center"/>
          </w:tcPr>
          <w:p w14:paraId="751DE10A">
            <w:pPr>
              <w:spacing w:line="240" w:lineRule="auto"/>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应急预案</w:t>
            </w:r>
          </w:p>
        </w:tc>
        <w:tc>
          <w:tcPr>
            <w:tcW w:w="7138" w:type="dxa"/>
            <w:gridSpan w:val="2"/>
            <w:shd w:val="clear" w:color="auto" w:fill="auto"/>
            <w:vAlign w:val="center"/>
          </w:tcPr>
          <w:p w14:paraId="554FEE25">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val="en-US" w:eastAsia="zh-CN"/>
              </w:rPr>
              <w:t>根据投标人针对本项目提供应急处置方案，包含不限于以下几项内容：极端天气（防汛抗台、防雪抗冻）应急保障方案、重大活动任务或假日突发事件处理预案、各类创建迎检重大活动方案等，是否具有科学性</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、全面性</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等进行综合评分。</w:t>
            </w:r>
          </w:p>
        </w:tc>
        <w:tc>
          <w:tcPr>
            <w:tcW w:w="1062" w:type="dxa"/>
            <w:shd w:val="clear" w:color="auto" w:fill="auto"/>
            <w:vAlign w:val="center"/>
          </w:tcPr>
          <w:p w14:paraId="44018EB7">
            <w:pPr>
              <w:tabs>
                <w:tab w:val="left" w:pos="3990"/>
              </w:tabs>
              <w:adjustRightInd w:val="0"/>
              <w:spacing w:line="30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color w:val="auto"/>
                <w:sz w:val="22"/>
                <w:szCs w:val="22"/>
                <w:highlight w:val="none"/>
                <w:lang w:val="en-US" w:eastAsia="zh-CN"/>
              </w:rPr>
              <w:t>0-4分</w:t>
            </w:r>
          </w:p>
        </w:tc>
      </w:tr>
      <w:tr w14:paraId="671F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exact"/>
          <w:jc w:val="center"/>
        </w:trPr>
        <w:tc>
          <w:tcPr>
            <w:tcW w:w="753" w:type="dxa"/>
            <w:shd w:val="clear" w:color="auto" w:fill="auto"/>
            <w:vAlign w:val="center"/>
          </w:tcPr>
          <w:p w14:paraId="4F944A8C">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7</w:t>
            </w:r>
          </w:p>
        </w:tc>
        <w:tc>
          <w:tcPr>
            <w:tcW w:w="1325" w:type="dxa"/>
            <w:vAlign w:val="center"/>
          </w:tcPr>
          <w:p w14:paraId="28643481">
            <w:pPr>
              <w:spacing w:line="240" w:lineRule="auto"/>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rPr>
              <w:t>文明安全保障措施</w:t>
            </w:r>
          </w:p>
        </w:tc>
        <w:tc>
          <w:tcPr>
            <w:tcW w:w="7138" w:type="dxa"/>
            <w:gridSpan w:val="2"/>
            <w:shd w:val="clear" w:color="auto" w:fill="auto"/>
            <w:vAlign w:val="center"/>
          </w:tcPr>
          <w:p w14:paraId="13ADE585">
            <w:pPr>
              <w:spacing w:line="240" w:lineRule="auto"/>
              <w:jc w:val="both"/>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rPr>
              <w:t>根据</w:t>
            </w:r>
            <w:r>
              <w:rPr>
                <w:rFonts w:hint="eastAsia" w:ascii="仿宋" w:hAnsi="仿宋" w:eastAsia="仿宋" w:cs="仿宋"/>
                <w:color w:val="auto"/>
                <w:sz w:val="22"/>
                <w:szCs w:val="22"/>
                <w:highlight w:val="none"/>
                <w:lang w:val="en-US" w:eastAsia="zh-CN"/>
              </w:rPr>
              <w:t>投标人</w:t>
            </w:r>
            <w:r>
              <w:rPr>
                <w:rFonts w:hint="eastAsia" w:ascii="仿宋" w:hAnsi="仿宋" w:eastAsia="仿宋" w:cs="仿宋"/>
                <w:color w:val="auto"/>
                <w:sz w:val="22"/>
                <w:szCs w:val="22"/>
                <w:highlight w:val="none"/>
              </w:rPr>
              <w:t>提供的文明安全作业保障措施，措施是否全面</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rPr>
              <w:t>、可行</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等进行综合评分。</w:t>
            </w:r>
          </w:p>
        </w:tc>
        <w:tc>
          <w:tcPr>
            <w:tcW w:w="1062" w:type="dxa"/>
            <w:shd w:val="clear" w:color="auto" w:fill="auto"/>
            <w:vAlign w:val="center"/>
          </w:tcPr>
          <w:p w14:paraId="34AD9FF9">
            <w:pPr>
              <w:tabs>
                <w:tab w:val="left" w:pos="3990"/>
              </w:tabs>
              <w:adjustRightInd w:val="0"/>
              <w:spacing w:line="30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color w:val="auto"/>
                <w:sz w:val="22"/>
                <w:szCs w:val="22"/>
                <w:highlight w:val="none"/>
                <w:lang w:val="en-US" w:eastAsia="zh-CN"/>
              </w:rPr>
              <w:t>0-4分</w:t>
            </w:r>
          </w:p>
        </w:tc>
      </w:tr>
      <w:tr w14:paraId="495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jc w:val="center"/>
        </w:trPr>
        <w:tc>
          <w:tcPr>
            <w:tcW w:w="753" w:type="dxa"/>
            <w:shd w:val="clear" w:color="auto" w:fill="auto"/>
            <w:vAlign w:val="center"/>
          </w:tcPr>
          <w:p w14:paraId="2154F809">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8</w:t>
            </w:r>
          </w:p>
        </w:tc>
        <w:tc>
          <w:tcPr>
            <w:tcW w:w="1325" w:type="dxa"/>
            <w:vAlign w:val="center"/>
          </w:tcPr>
          <w:p w14:paraId="0ECFDC96">
            <w:pPr>
              <w:spacing w:line="240" w:lineRule="auto"/>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rPr>
              <w:t>合理化建议</w:t>
            </w:r>
          </w:p>
        </w:tc>
        <w:tc>
          <w:tcPr>
            <w:tcW w:w="7138" w:type="dxa"/>
            <w:gridSpan w:val="2"/>
            <w:shd w:val="clear" w:color="auto" w:fill="auto"/>
            <w:vAlign w:val="center"/>
          </w:tcPr>
          <w:p w14:paraId="6C3BD404">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kern w:val="2"/>
                <w:sz w:val="22"/>
                <w:szCs w:val="22"/>
                <w:highlight w:val="none"/>
                <w:lang w:val="en-US" w:eastAsia="zh-CN" w:bidi="ar-SA"/>
              </w:rPr>
              <w:t>自身经验提出的有助于本项目实施的合理化建议进行综合打分，</w:t>
            </w:r>
            <w:r>
              <w:rPr>
                <w:rFonts w:hint="eastAsia" w:ascii="仿宋" w:hAnsi="仿宋" w:eastAsia="仿宋" w:cs="仿宋"/>
                <w:color w:val="auto"/>
                <w:sz w:val="22"/>
                <w:szCs w:val="22"/>
                <w:highlight w:val="none"/>
                <w:lang w:val="en-US" w:eastAsia="zh-CN"/>
              </w:rPr>
              <w:t>根据建议的合理性</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、适用性</w:t>
            </w:r>
            <w:r>
              <w:rPr>
                <w:rFonts w:hint="default" w:ascii="仿宋" w:hAnsi="仿宋" w:eastAsia="仿宋" w:cs="仿宋"/>
                <w:b/>
                <w:bCs/>
                <w:color w:val="auto"/>
                <w:sz w:val="21"/>
                <w:szCs w:val="21"/>
                <w:highlight w:val="none"/>
                <w:lang w:eastAsia="zh-CN"/>
              </w:rPr>
              <w:t>（评分范围：2分，1.5分，1分，0.5分，0分）</w:t>
            </w:r>
            <w:r>
              <w:rPr>
                <w:rFonts w:hint="eastAsia" w:ascii="仿宋" w:hAnsi="仿宋" w:eastAsia="仿宋" w:cs="仿宋"/>
                <w:color w:val="auto"/>
                <w:sz w:val="22"/>
                <w:szCs w:val="22"/>
                <w:highlight w:val="none"/>
                <w:lang w:val="en-US" w:eastAsia="zh-CN"/>
              </w:rPr>
              <w:t>等进行综合评分。</w:t>
            </w:r>
          </w:p>
        </w:tc>
        <w:tc>
          <w:tcPr>
            <w:tcW w:w="1062" w:type="dxa"/>
            <w:shd w:val="clear" w:color="auto" w:fill="auto"/>
            <w:vAlign w:val="center"/>
          </w:tcPr>
          <w:p w14:paraId="051BEC68">
            <w:pPr>
              <w:tabs>
                <w:tab w:val="left" w:pos="3990"/>
              </w:tabs>
              <w:adjustRightInd w:val="0"/>
              <w:spacing w:line="30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color w:val="auto"/>
                <w:sz w:val="22"/>
                <w:szCs w:val="22"/>
                <w:highlight w:val="none"/>
                <w:lang w:val="en-US" w:eastAsia="zh-CN"/>
              </w:rPr>
              <w:t>0-4分</w:t>
            </w:r>
          </w:p>
        </w:tc>
      </w:tr>
      <w:tr w14:paraId="0ACF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exact"/>
          <w:jc w:val="center"/>
        </w:trPr>
        <w:tc>
          <w:tcPr>
            <w:tcW w:w="753" w:type="dxa"/>
            <w:shd w:val="clear" w:color="auto" w:fill="auto"/>
            <w:vAlign w:val="center"/>
          </w:tcPr>
          <w:p w14:paraId="01EBED1E">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9</w:t>
            </w:r>
          </w:p>
        </w:tc>
        <w:tc>
          <w:tcPr>
            <w:tcW w:w="1325" w:type="dxa"/>
            <w:vAlign w:val="center"/>
          </w:tcPr>
          <w:p w14:paraId="1BB0CEBA">
            <w:pPr>
              <w:spacing w:line="240" w:lineRule="auto"/>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val="en-US" w:eastAsia="zh-CN"/>
              </w:rPr>
              <w:t>企业管理制度</w:t>
            </w:r>
          </w:p>
        </w:tc>
        <w:tc>
          <w:tcPr>
            <w:tcW w:w="7138" w:type="dxa"/>
            <w:gridSpan w:val="2"/>
            <w:shd w:val="clear" w:color="auto" w:fill="auto"/>
            <w:vAlign w:val="center"/>
          </w:tcPr>
          <w:p w14:paraId="3F42CFDD">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投标人具有完善的安全生产相关管理制度</w:t>
            </w:r>
            <w:r>
              <w:rPr>
                <w:rFonts w:hint="default" w:ascii="仿宋" w:hAnsi="仿宋" w:eastAsia="仿宋" w:cs="仿宋"/>
                <w:b/>
                <w:bCs/>
                <w:color w:val="auto"/>
                <w:sz w:val="21"/>
                <w:szCs w:val="21"/>
                <w:highlight w:val="none"/>
                <w:lang w:eastAsia="zh-CN"/>
              </w:rPr>
              <w:t>（评分范围：1分，0.5分，0分）</w:t>
            </w:r>
            <w:r>
              <w:rPr>
                <w:rFonts w:hint="eastAsia" w:ascii="仿宋" w:hAnsi="仿宋" w:eastAsia="仿宋" w:cs="仿宋"/>
                <w:color w:val="auto"/>
                <w:sz w:val="22"/>
                <w:szCs w:val="22"/>
                <w:highlight w:val="none"/>
                <w:lang w:val="en-US" w:eastAsia="zh-CN"/>
              </w:rPr>
              <w:t>、项目档案管理制度</w:t>
            </w:r>
            <w:r>
              <w:rPr>
                <w:rFonts w:hint="default" w:ascii="仿宋" w:hAnsi="仿宋" w:eastAsia="仿宋" w:cs="仿宋"/>
                <w:b/>
                <w:bCs/>
                <w:color w:val="auto"/>
                <w:sz w:val="21"/>
                <w:szCs w:val="21"/>
                <w:highlight w:val="none"/>
                <w:lang w:eastAsia="zh-CN"/>
              </w:rPr>
              <w:t>（评分范围：1分，0.5分，0分）</w:t>
            </w:r>
            <w:r>
              <w:rPr>
                <w:rFonts w:hint="eastAsia" w:ascii="仿宋" w:hAnsi="仿宋" w:eastAsia="仿宋" w:cs="仿宋"/>
                <w:color w:val="auto"/>
                <w:sz w:val="22"/>
                <w:szCs w:val="22"/>
                <w:highlight w:val="none"/>
                <w:lang w:val="en-US" w:eastAsia="zh-CN"/>
              </w:rPr>
              <w:t>、员工考核制度</w:t>
            </w:r>
            <w:r>
              <w:rPr>
                <w:rFonts w:hint="default" w:ascii="仿宋" w:hAnsi="仿宋" w:eastAsia="仿宋" w:cs="仿宋"/>
                <w:b/>
                <w:bCs/>
                <w:color w:val="auto"/>
                <w:sz w:val="21"/>
                <w:szCs w:val="21"/>
                <w:highlight w:val="none"/>
                <w:lang w:eastAsia="zh-CN"/>
              </w:rPr>
              <w:t>（评分范围：1分，0.5分，0分）</w:t>
            </w:r>
            <w:r>
              <w:rPr>
                <w:rFonts w:hint="eastAsia" w:ascii="仿宋" w:hAnsi="仿宋" w:eastAsia="仿宋" w:cs="仿宋"/>
                <w:color w:val="auto"/>
                <w:sz w:val="22"/>
                <w:szCs w:val="22"/>
                <w:highlight w:val="none"/>
                <w:lang w:val="en-US" w:eastAsia="zh-CN"/>
              </w:rPr>
              <w:t>、培训制度</w:t>
            </w:r>
            <w:r>
              <w:rPr>
                <w:rFonts w:hint="default" w:ascii="仿宋" w:hAnsi="仿宋" w:eastAsia="仿宋" w:cs="仿宋"/>
                <w:b/>
                <w:bCs/>
                <w:color w:val="auto"/>
                <w:sz w:val="21"/>
                <w:szCs w:val="21"/>
                <w:highlight w:val="none"/>
                <w:lang w:eastAsia="zh-CN"/>
              </w:rPr>
              <w:t>（评分范围：1分，0.5分，0分）</w:t>
            </w:r>
            <w:r>
              <w:rPr>
                <w:rFonts w:hint="eastAsia" w:ascii="仿宋" w:hAnsi="仿宋" w:eastAsia="仿宋" w:cs="仿宋"/>
                <w:color w:val="auto"/>
                <w:sz w:val="22"/>
                <w:szCs w:val="22"/>
                <w:highlight w:val="none"/>
                <w:lang w:val="en-US" w:eastAsia="zh-CN"/>
              </w:rPr>
              <w:t>、员工奖惩制度</w:t>
            </w:r>
            <w:r>
              <w:rPr>
                <w:rFonts w:hint="default" w:ascii="仿宋" w:hAnsi="仿宋" w:eastAsia="仿宋" w:cs="仿宋"/>
                <w:b/>
                <w:bCs/>
                <w:color w:val="auto"/>
                <w:sz w:val="21"/>
                <w:szCs w:val="21"/>
                <w:highlight w:val="none"/>
                <w:lang w:eastAsia="zh-CN"/>
              </w:rPr>
              <w:t>（评分范围：1分，0.5分，0分）</w:t>
            </w:r>
            <w:r>
              <w:rPr>
                <w:rFonts w:hint="eastAsia" w:ascii="仿宋" w:hAnsi="仿宋" w:eastAsia="仿宋" w:cs="仿宋"/>
                <w:color w:val="auto"/>
                <w:sz w:val="22"/>
                <w:szCs w:val="22"/>
                <w:highlight w:val="none"/>
                <w:lang w:val="en-US" w:eastAsia="zh-CN"/>
              </w:rPr>
              <w:t>等进行综合评分。</w:t>
            </w:r>
          </w:p>
        </w:tc>
        <w:tc>
          <w:tcPr>
            <w:tcW w:w="1062" w:type="dxa"/>
            <w:shd w:val="clear" w:color="auto" w:fill="auto"/>
            <w:vAlign w:val="center"/>
          </w:tcPr>
          <w:p w14:paraId="53541F9D">
            <w:pPr>
              <w:tabs>
                <w:tab w:val="left" w:pos="3990"/>
              </w:tabs>
              <w:adjustRightInd w:val="0"/>
              <w:spacing w:line="30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color w:val="auto"/>
                <w:sz w:val="22"/>
                <w:szCs w:val="22"/>
                <w:highlight w:val="none"/>
                <w:lang w:val="en-US" w:eastAsia="zh-CN"/>
              </w:rPr>
              <w:t>0-5分</w:t>
            </w:r>
          </w:p>
        </w:tc>
      </w:tr>
      <w:tr w14:paraId="3EAB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exact"/>
          <w:jc w:val="center"/>
        </w:trPr>
        <w:tc>
          <w:tcPr>
            <w:tcW w:w="753" w:type="dxa"/>
            <w:shd w:val="clear" w:color="auto" w:fill="auto"/>
            <w:vAlign w:val="center"/>
          </w:tcPr>
          <w:p w14:paraId="5EB1098D">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10</w:t>
            </w:r>
          </w:p>
        </w:tc>
        <w:tc>
          <w:tcPr>
            <w:tcW w:w="1325" w:type="dxa"/>
            <w:vAlign w:val="center"/>
          </w:tcPr>
          <w:p w14:paraId="5774B32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rPr>
              <w:t>培训方案</w:t>
            </w:r>
          </w:p>
        </w:tc>
        <w:tc>
          <w:tcPr>
            <w:tcW w:w="7138" w:type="dxa"/>
            <w:gridSpan w:val="2"/>
            <w:shd w:val="clear" w:color="auto" w:fill="auto"/>
            <w:vAlign w:val="center"/>
          </w:tcPr>
          <w:p w14:paraId="0C48ED0C">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2"/>
                <w:sz w:val="22"/>
                <w:szCs w:val="22"/>
                <w:highlight w:val="none"/>
                <w:lang w:val="en-US" w:eastAsia="zh-CN" w:bidi="ar-SA"/>
              </w:rPr>
              <w:t>根据投标人提供的项目培训方案打分，包括培训承诺</w:t>
            </w:r>
            <w:r>
              <w:rPr>
                <w:rFonts w:hint="default" w:ascii="仿宋" w:hAnsi="仿宋" w:eastAsia="仿宋" w:cs="仿宋"/>
                <w:b/>
                <w:bCs/>
                <w:color w:val="auto"/>
                <w:sz w:val="21"/>
                <w:szCs w:val="21"/>
                <w:highlight w:val="none"/>
                <w:lang w:eastAsia="zh-CN"/>
              </w:rPr>
              <w:t>（评分范围：0.5分，0分）</w:t>
            </w:r>
            <w:r>
              <w:rPr>
                <w:rFonts w:hint="eastAsia" w:ascii="仿宋" w:hAnsi="仿宋" w:eastAsia="仿宋" w:cs="仿宋"/>
                <w:color w:val="auto"/>
                <w:kern w:val="2"/>
                <w:sz w:val="22"/>
                <w:szCs w:val="22"/>
                <w:highlight w:val="none"/>
                <w:lang w:val="en-US" w:eastAsia="zh-CN" w:bidi="ar-SA"/>
              </w:rPr>
              <w:t>、培训内容</w:t>
            </w:r>
            <w:r>
              <w:rPr>
                <w:rFonts w:hint="default" w:ascii="仿宋" w:hAnsi="仿宋" w:eastAsia="仿宋" w:cs="仿宋"/>
                <w:b/>
                <w:bCs/>
                <w:color w:val="auto"/>
                <w:sz w:val="21"/>
                <w:szCs w:val="21"/>
                <w:highlight w:val="none"/>
                <w:lang w:eastAsia="zh-CN"/>
              </w:rPr>
              <w:t>（评分范围：0.5分，0分）</w:t>
            </w:r>
            <w:r>
              <w:rPr>
                <w:rFonts w:hint="eastAsia" w:ascii="仿宋" w:hAnsi="仿宋" w:eastAsia="仿宋" w:cs="仿宋"/>
                <w:color w:val="auto"/>
                <w:kern w:val="2"/>
                <w:sz w:val="22"/>
                <w:szCs w:val="22"/>
                <w:highlight w:val="none"/>
                <w:lang w:val="en-US" w:eastAsia="zh-CN" w:bidi="ar-SA"/>
              </w:rPr>
              <w:t>、培训流程</w:t>
            </w:r>
            <w:r>
              <w:rPr>
                <w:rFonts w:hint="default" w:ascii="仿宋" w:hAnsi="仿宋" w:eastAsia="仿宋" w:cs="仿宋"/>
                <w:b/>
                <w:bCs/>
                <w:color w:val="auto"/>
                <w:sz w:val="21"/>
                <w:szCs w:val="21"/>
                <w:highlight w:val="none"/>
                <w:lang w:eastAsia="zh-CN"/>
              </w:rPr>
              <w:t>（评分范围：0.5分，0分）</w:t>
            </w:r>
            <w:r>
              <w:rPr>
                <w:rFonts w:hint="eastAsia" w:ascii="仿宋" w:hAnsi="仿宋" w:eastAsia="仿宋" w:cs="仿宋"/>
                <w:color w:val="auto"/>
                <w:kern w:val="2"/>
                <w:sz w:val="22"/>
                <w:szCs w:val="22"/>
                <w:highlight w:val="none"/>
                <w:lang w:val="en-US" w:eastAsia="zh-CN" w:bidi="ar-SA"/>
              </w:rPr>
              <w:t>、培训师资</w:t>
            </w:r>
            <w:r>
              <w:rPr>
                <w:rFonts w:hint="default" w:ascii="仿宋" w:hAnsi="仿宋" w:eastAsia="仿宋" w:cs="仿宋"/>
                <w:b/>
                <w:bCs/>
                <w:color w:val="auto"/>
                <w:sz w:val="21"/>
                <w:szCs w:val="21"/>
                <w:highlight w:val="none"/>
                <w:lang w:eastAsia="zh-CN"/>
              </w:rPr>
              <w:t>（评分范围：0.5分，0分）</w:t>
            </w:r>
            <w:r>
              <w:rPr>
                <w:rFonts w:hint="eastAsia" w:ascii="仿宋" w:hAnsi="仿宋" w:eastAsia="仿宋" w:cs="仿宋"/>
                <w:color w:val="auto"/>
                <w:kern w:val="2"/>
                <w:sz w:val="22"/>
                <w:szCs w:val="22"/>
                <w:highlight w:val="none"/>
                <w:lang w:val="en-US" w:eastAsia="zh-CN" w:bidi="ar-SA"/>
              </w:rPr>
              <w:t>等内容进行综合打分。</w:t>
            </w:r>
          </w:p>
        </w:tc>
        <w:tc>
          <w:tcPr>
            <w:tcW w:w="1062" w:type="dxa"/>
            <w:shd w:val="clear" w:color="auto" w:fill="auto"/>
            <w:vAlign w:val="center"/>
          </w:tcPr>
          <w:p w14:paraId="1E994860">
            <w:pPr>
              <w:tabs>
                <w:tab w:val="left" w:pos="3990"/>
              </w:tabs>
              <w:adjustRightInd w:val="0"/>
              <w:spacing w:line="300" w:lineRule="exact"/>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0-2分</w:t>
            </w:r>
          </w:p>
        </w:tc>
      </w:tr>
      <w:tr w14:paraId="6D2D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exact"/>
          <w:jc w:val="center"/>
        </w:trPr>
        <w:tc>
          <w:tcPr>
            <w:tcW w:w="753" w:type="dxa"/>
            <w:shd w:val="clear" w:color="auto" w:fill="auto"/>
            <w:vAlign w:val="center"/>
          </w:tcPr>
          <w:p w14:paraId="717CD414">
            <w:pPr>
              <w:keepNext w:val="0"/>
              <w:keepLines w:val="0"/>
              <w:pageBreakBefore w:val="0"/>
              <w:kinsoku/>
              <w:overflowPunct/>
              <w:topLinePunct w:val="0"/>
              <w:bidi w:val="0"/>
              <w:snapToGrid w:val="0"/>
              <w:spacing w:line="240" w:lineRule="exact"/>
              <w:ind w:firstLine="13" w:firstLineChars="6"/>
              <w:jc w:val="center"/>
              <w:textAlignment w:val="auto"/>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11</w:t>
            </w:r>
          </w:p>
        </w:tc>
        <w:tc>
          <w:tcPr>
            <w:tcW w:w="1325" w:type="dxa"/>
            <w:vAlign w:val="center"/>
          </w:tcPr>
          <w:p w14:paraId="429B7747">
            <w:pPr>
              <w:spacing w:line="240" w:lineRule="auto"/>
              <w:jc w:val="center"/>
              <w:rPr>
                <w:rFonts w:hint="eastAsia" w:ascii="仿宋" w:hAnsi="仿宋" w:eastAsia="仿宋" w:cs="仿宋"/>
                <w:color w:val="auto"/>
                <w:sz w:val="22"/>
                <w:szCs w:val="22"/>
                <w:highlight w:val="none"/>
                <w:lang w:val="en-US" w:eastAsia="zh-CN" w:bidi="ar-SA"/>
              </w:rPr>
            </w:pPr>
            <w:r>
              <w:rPr>
                <w:rFonts w:hint="eastAsia" w:ascii="仿宋" w:hAnsi="仿宋" w:eastAsia="仿宋" w:cs="仿宋"/>
                <w:color w:val="auto"/>
                <w:sz w:val="22"/>
                <w:szCs w:val="22"/>
                <w:highlight w:val="none"/>
                <w:lang w:eastAsia="zh-CN"/>
              </w:rPr>
              <w:t>其他服务承诺</w:t>
            </w:r>
          </w:p>
        </w:tc>
        <w:tc>
          <w:tcPr>
            <w:tcW w:w="7138" w:type="dxa"/>
            <w:gridSpan w:val="2"/>
            <w:shd w:val="clear" w:color="auto" w:fill="auto"/>
            <w:vAlign w:val="center"/>
          </w:tcPr>
          <w:p w14:paraId="3515B11B">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val="en-US" w:eastAsia="zh-CN"/>
              </w:rPr>
              <w:t>根据投标人针对本项目作出服务承诺（包括但不限于招标采购需求的服务承诺、配合采购人工作的服务承诺和附加服务承诺）的完整性</w:t>
            </w:r>
            <w:r>
              <w:rPr>
                <w:rFonts w:hint="default" w:ascii="仿宋" w:hAnsi="仿宋" w:eastAsia="仿宋" w:cs="仿宋"/>
                <w:b/>
                <w:bCs/>
                <w:color w:val="auto"/>
                <w:sz w:val="21"/>
                <w:szCs w:val="21"/>
                <w:highlight w:val="none"/>
                <w:lang w:eastAsia="zh-CN"/>
              </w:rPr>
              <w:t>（评分范围：1分，0.5分，0分）</w:t>
            </w:r>
            <w:r>
              <w:rPr>
                <w:rFonts w:hint="eastAsia" w:ascii="仿宋" w:hAnsi="仿宋" w:eastAsia="仿宋" w:cs="仿宋"/>
                <w:color w:val="auto"/>
                <w:sz w:val="22"/>
                <w:szCs w:val="22"/>
                <w:highlight w:val="none"/>
                <w:lang w:val="en-US" w:eastAsia="zh-CN"/>
              </w:rPr>
              <w:t>、优越性</w:t>
            </w:r>
            <w:r>
              <w:rPr>
                <w:rFonts w:hint="default" w:ascii="仿宋" w:hAnsi="仿宋" w:eastAsia="仿宋" w:cs="仿宋"/>
                <w:b/>
                <w:bCs/>
                <w:color w:val="auto"/>
                <w:sz w:val="21"/>
                <w:szCs w:val="21"/>
                <w:highlight w:val="none"/>
                <w:lang w:eastAsia="zh-CN"/>
              </w:rPr>
              <w:t>（评分范围：1分，0.5分，0分）</w:t>
            </w:r>
            <w:r>
              <w:rPr>
                <w:rFonts w:hint="eastAsia" w:ascii="仿宋" w:hAnsi="仿宋" w:eastAsia="仿宋" w:cs="仿宋"/>
                <w:color w:val="auto"/>
                <w:sz w:val="22"/>
                <w:szCs w:val="22"/>
                <w:highlight w:val="none"/>
                <w:lang w:val="en-US" w:eastAsia="zh-CN"/>
              </w:rPr>
              <w:t>及适用性</w:t>
            </w:r>
            <w:r>
              <w:rPr>
                <w:rFonts w:hint="default" w:ascii="仿宋" w:hAnsi="仿宋" w:eastAsia="仿宋" w:cs="仿宋"/>
                <w:b/>
                <w:bCs/>
                <w:color w:val="auto"/>
                <w:sz w:val="21"/>
                <w:szCs w:val="21"/>
                <w:highlight w:val="none"/>
                <w:lang w:eastAsia="zh-CN"/>
              </w:rPr>
              <w:t>（评分范围：1分，0.5分，0分）</w:t>
            </w:r>
            <w:r>
              <w:rPr>
                <w:rFonts w:hint="eastAsia" w:ascii="仿宋" w:hAnsi="仿宋" w:eastAsia="仿宋" w:cs="仿宋"/>
                <w:color w:val="auto"/>
                <w:sz w:val="22"/>
                <w:szCs w:val="22"/>
                <w:highlight w:val="none"/>
                <w:lang w:val="en-US" w:eastAsia="zh-CN"/>
              </w:rPr>
              <w:t>等进行综合评分。</w:t>
            </w:r>
          </w:p>
        </w:tc>
        <w:tc>
          <w:tcPr>
            <w:tcW w:w="1062" w:type="dxa"/>
            <w:shd w:val="clear" w:color="auto" w:fill="auto"/>
            <w:vAlign w:val="center"/>
          </w:tcPr>
          <w:p w14:paraId="6F356CA5">
            <w:pPr>
              <w:tabs>
                <w:tab w:val="left" w:pos="3990"/>
              </w:tabs>
              <w:adjustRightInd w:val="0"/>
              <w:spacing w:line="300" w:lineRule="exact"/>
              <w:jc w:val="center"/>
              <w:rPr>
                <w:rFonts w:hint="eastAsia" w:ascii="仿宋" w:hAnsi="仿宋" w:eastAsia="仿宋" w:cs="仿宋"/>
                <w:b w:val="0"/>
                <w:bCs w:val="0"/>
                <w:color w:val="auto"/>
                <w:sz w:val="18"/>
                <w:szCs w:val="18"/>
                <w:highlight w:val="none"/>
                <w:lang w:val="en-US" w:eastAsia="zh-CN"/>
              </w:rPr>
            </w:pPr>
            <w:r>
              <w:rPr>
                <w:rFonts w:hint="eastAsia" w:ascii="仿宋" w:hAnsi="仿宋" w:eastAsia="仿宋" w:cs="仿宋"/>
                <w:color w:val="auto"/>
                <w:sz w:val="22"/>
                <w:szCs w:val="22"/>
                <w:highlight w:val="none"/>
                <w:lang w:val="en-US" w:eastAsia="zh-CN"/>
              </w:rPr>
              <w:t>0-3分</w:t>
            </w:r>
          </w:p>
        </w:tc>
      </w:tr>
      <w:tr w14:paraId="449D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0278" w:type="dxa"/>
            <w:gridSpan w:val="5"/>
            <w:vAlign w:val="center"/>
          </w:tcPr>
          <w:p w14:paraId="284DE1B8">
            <w:pPr>
              <w:pStyle w:val="50"/>
              <w:keepNext w:val="0"/>
              <w:keepLines w:val="0"/>
              <w:pageBreakBefore w:val="0"/>
              <w:kinsoku/>
              <w:wordWrap/>
              <w:overflowPunct/>
              <w:topLinePunct w:val="0"/>
              <w:bidi w:val="0"/>
              <w:snapToGrid/>
              <w:spacing w:before="0" w:beforeAutospacing="0" w:after="0" w:afterAutospacing="0" w:line="240" w:lineRule="exact"/>
              <w:textAlignment w:val="auto"/>
              <w:rPr>
                <w:rFonts w:ascii="仿宋" w:hAnsi="仿宋" w:eastAsia="仿宋" w:cs="Times New Roman"/>
                <w:color w:val="auto"/>
                <w:kern w:val="2"/>
                <w:highlight w:val="none"/>
              </w:rPr>
            </w:pPr>
            <w:r>
              <w:rPr>
                <w:rFonts w:ascii="仿宋" w:hAnsi="仿宋" w:eastAsia="仿宋" w:cs="Times New Roman"/>
                <w:color w:val="auto"/>
                <w:kern w:val="2"/>
                <w:highlight w:val="none"/>
              </w:rPr>
              <w:t>注：1.如在投标文件中未涉及上述评分内容的，均按0分计。</w:t>
            </w:r>
          </w:p>
          <w:p w14:paraId="33AAD692">
            <w:pPr>
              <w:keepNext w:val="0"/>
              <w:keepLines w:val="0"/>
              <w:pageBreakBefore w:val="0"/>
              <w:kinsoku/>
              <w:wordWrap/>
              <w:overflowPunct/>
              <w:topLinePunct w:val="0"/>
              <w:bidi w:val="0"/>
              <w:snapToGrid/>
              <w:spacing w:line="240" w:lineRule="exact"/>
              <w:ind w:firstLine="480" w:firstLineChars="200"/>
              <w:jc w:val="left"/>
              <w:textAlignment w:val="auto"/>
              <w:rPr>
                <w:rFonts w:hint="eastAsia" w:ascii="仿宋" w:hAnsi="仿宋" w:eastAsia="仿宋" w:cs="仿宋"/>
                <w:color w:val="auto"/>
                <w:sz w:val="24"/>
                <w:szCs w:val="24"/>
                <w:highlight w:val="none"/>
                <w:lang w:val="en-US" w:eastAsia="zh-CN" w:bidi="ar-SA"/>
              </w:rPr>
            </w:pPr>
            <w:r>
              <w:rPr>
                <w:rFonts w:ascii="仿宋" w:hAnsi="仿宋" w:eastAsia="仿宋"/>
                <w:color w:val="auto"/>
                <w:kern w:val="2"/>
                <w:sz w:val="24"/>
                <w:szCs w:val="24"/>
                <w:highlight w:val="none"/>
              </w:rPr>
              <w:t>2.投标文件中提供的材料均应清晰可辨，否则不得分。</w:t>
            </w:r>
          </w:p>
        </w:tc>
      </w:tr>
    </w:tbl>
    <w:p w14:paraId="5B5B6684">
      <w:pPr>
        <w:pStyle w:val="23"/>
        <w:keepNext w:val="0"/>
        <w:keepLines w:val="0"/>
        <w:pageBreakBefore w:val="0"/>
        <w:widowControl w:val="0"/>
        <w:kinsoku/>
        <w:wordWrap/>
        <w:overflowPunct/>
        <w:topLinePunct w:val="0"/>
        <w:autoSpaceDE w:val="0"/>
        <w:autoSpaceDN w:val="0"/>
        <w:bidi w:val="0"/>
        <w:adjustRightInd w:val="0"/>
        <w:snapToGrid/>
        <w:spacing w:line="380" w:lineRule="exact"/>
        <w:ind w:left="0" w:leftChars="0"/>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注：本次评审通过资格审查和符合性评审的单位全部入围进行商务评审。</w:t>
      </w:r>
      <w:bookmarkEnd w:id="20"/>
    </w:p>
    <w:p w14:paraId="153B326C">
      <w:pPr>
        <w:keepNext w:val="0"/>
        <w:keepLines w:val="0"/>
        <w:pageBreakBefore w:val="0"/>
        <w:widowControl w:val="0"/>
        <w:kinsoku/>
        <w:wordWrap/>
        <w:overflowPunct/>
        <w:topLinePunct w:val="0"/>
        <w:autoSpaceDE w:val="0"/>
        <w:autoSpaceDN w:val="0"/>
        <w:bidi w:val="0"/>
        <w:adjustRightInd w:val="0"/>
        <w:snapToGrid/>
        <w:spacing w:line="380" w:lineRule="exact"/>
        <w:ind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rPr>
        <w:t>四、评标办法</w:t>
      </w:r>
    </w:p>
    <w:p w14:paraId="4619B09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见评标办法前附表。</w:t>
      </w:r>
    </w:p>
    <w:p w14:paraId="0D2CA49B">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rPr>
        <w:t>五、评审标准</w:t>
      </w:r>
    </w:p>
    <w:p w14:paraId="3044CD1B">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rPr>
        <w:t>（一）符合性评审标准</w:t>
      </w:r>
    </w:p>
    <w:p w14:paraId="44E3CA5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评审标准：见评标办法前附表。</w:t>
      </w:r>
    </w:p>
    <w:p w14:paraId="60387F7E">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rPr>
        <w:t>（二）分值构成与评分标准</w:t>
      </w:r>
    </w:p>
    <w:p w14:paraId="66A97B22">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val="en-US" w:eastAsia="zh-CN"/>
        </w:rPr>
        <w:t>1.</w:t>
      </w:r>
      <w:r>
        <w:rPr>
          <w:rFonts w:hint="eastAsia" w:ascii="仿宋" w:hAnsi="Times New Roman" w:eastAsia="仿宋" w:cs="仿宋"/>
          <w:color w:val="auto"/>
          <w:kern w:val="2"/>
          <w:sz w:val="24"/>
          <w:szCs w:val="24"/>
          <w:highlight w:val="none"/>
        </w:rPr>
        <w:t>分值构成</w:t>
      </w:r>
    </w:p>
    <w:p w14:paraId="75AC2DBD">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1</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商务技术部分：见评标办法前附表；</w:t>
      </w:r>
    </w:p>
    <w:p w14:paraId="0D738418">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2</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 xml:space="preserve">报价部分：见评标办法前附表； </w:t>
      </w:r>
    </w:p>
    <w:p w14:paraId="71CCB09B">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2.评标基准价计算</w:t>
      </w:r>
    </w:p>
    <w:p w14:paraId="5C5B68FC">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评标基准价计算方法：见评标办法前附表。</w:t>
      </w:r>
    </w:p>
    <w:p w14:paraId="0E4EE9B2">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val="en-US" w:eastAsia="zh-CN"/>
        </w:rPr>
        <w:t>3.</w:t>
      </w:r>
      <w:r>
        <w:rPr>
          <w:rFonts w:hint="eastAsia" w:ascii="仿宋" w:hAnsi="Times New Roman" w:eastAsia="仿宋" w:cs="仿宋"/>
          <w:color w:val="auto"/>
          <w:kern w:val="2"/>
          <w:sz w:val="24"/>
          <w:szCs w:val="24"/>
          <w:highlight w:val="none"/>
        </w:rPr>
        <w:t>投标报价的计算方式</w:t>
      </w:r>
    </w:p>
    <w:p w14:paraId="32D59515">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 xml:space="preserve">报价得分计算公式：见评标办法前附表。 </w:t>
      </w:r>
    </w:p>
    <w:p w14:paraId="75C6F0DC">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4.评分标准</w:t>
      </w:r>
    </w:p>
    <w:p w14:paraId="2FBBB1E3">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1</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 xml:space="preserve">资信业绩评分标准：见评标办法前附表； </w:t>
      </w:r>
    </w:p>
    <w:p w14:paraId="2EC8688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2</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 xml:space="preserve">技术方案评分标准：见评标办法前附表； </w:t>
      </w:r>
    </w:p>
    <w:p w14:paraId="523D1DAC">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 xml:space="preserve">（3）投标报价评分标准：见评标办法前附表； </w:t>
      </w:r>
    </w:p>
    <w:p w14:paraId="0181D6C5">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4</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 xml:space="preserve">其他因素评分标准：见评标办法前附表。 </w:t>
      </w:r>
    </w:p>
    <w:p w14:paraId="484F515C">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5.投标人综合得分=商务技术分+报价分。</w:t>
      </w:r>
    </w:p>
    <w:p w14:paraId="40951A8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6.评标委员会按本章评标办法前附表规定的量化因素和分值进行打分，并计算出综合评估得分。综合得分计算保留小数点后两位，小数点后第三位“四舍五入”。</w:t>
      </w:r>
    </w:p>
    <w:p w14:paraId="75E480BC">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7.采购代理机构有权对评标委员会各成员的评分情况和评审意见进行合理性和合规性审查</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如发现评标委员会成员的评审意见带有明显倾向性，或不按规定程序和标准评审、计分的，评标委员会成员应进行书面澄清和说明；评标委员会成员拒不接受采购代理机构审查的，采购代理机构将向同级政府采购监督管理部门报告并予以处理。</w:t>
      </w:r>
    </w:p>
    <w:p w14:paraId="01A863E9">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lang w:eastAsia="zh-CN"/>
        </w:rPr>
        <w:t>（三）</w:t>
      </w:r>
      <w:r>
        <w:rPr>
          <w:rFonts w:hint="eastAsia" w:ascii="仿宋" w:hAnsi="Times New Roman" w:eastAsia="仿宋" w:cs="仿宋"/>
          <w:b/>
          <w:bCs/>
          <w:color w:val="auto"/>
          <w:kern w:val="2"/>
          <w:sz w:val="24"/>
          <w:szCs w:val="24"/>
          <w:highlight w:val="none"/>
        </w:rPr>
        <w:t>投标文件的澄清</w:t>
      </w:r>
    </w:p>
    <w:p w14:paraId="19C8B965">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14:paraId="3DFD588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2.对于投标文件中含义不明确、同类问题表述不一致或者有明显文字和计算错误的内容需要投标人作出必要的澄清、说明或者补正的，评标委员会应当采用通过电子交易平台交换数据电文（或书面形式）要求投标人作出必要的澄清、说明或者补正。投标人拒不澄清确认的，评标委员会应当否决其投标。给予投标人澄清、说明或者补正的时间为发出通知后</w:t>
      </w:r>
      <w:r>
        <w:rPr>
          <w:rFonts w:hint="eastAsia" w:ascii="仿宋" w:hAnsi="Times New Roman" w:eastAsia="仿宋" w:cs="仿宋"/>
          <w:color w:val="auto"/>
          <w:kern w:val="2"/>
          <w:sz w:val="24"/>
          <w:szCs w:val="24"/>
          <w:highlight w:val="none"/>
          <w:lang w:val="en-US" w:eastAsia="zh-CN"/>
        </w:rPr>
        <w:t>15</w:t>
      </w:r>
      <w:r>
        <w:rPr>
          <w:rFonts w:hint="eastAsia" w:ascii="仿宋" w:hAnsi="Times New Roman" w:eastAsia="仿宋" w:cs="仿宋"/>
          <w:color w:val="auto"/>
          <w:kern w:val="2"/>
          <w:sz w:val="24"/>
          <w:szCs w:val="24"/>
          <w:highlight w:val="none"/>
        </w:rPr>
        <w:t>分钟。投标人逾期或未按要求澄清回复的，将视为不予回复或确认，评标委员会有权否决其投标。投标人通讯不畅通，导致不能及时联系的，视为投标人不予回复或确认。</w:t>
      </w:r>
    </w:p>
    <w:p w14:paraId="1720F908">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投标人的澄清、说明或者补正应当采用通过电子交易平台交换数据电文</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或书面形式</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并电子签章（或加盖单位公章）</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投标人的澄清、说明或者补正不得超出投标文件的范围或者改变投标文件的实质性内容。</w:t>
      </w:r>
    </w:p>
    <w:p w14:paraId="0D64042D">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1</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投标文件中报价一览表内容与投标文件中相应内容不一致的，以报价一览表为准；政采云交易系统开标记录（报价）中的投标报价与投标人上传的报价文件（PDF）中投标报价不一致的，以报价文件（PDF）中的投标报价为准；</w:t>
      </w:r>
    </w:p>
    <w:p w14:paraId="296104BB">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2</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大写金额和小写金额不一致的，以大写金额为准；</w:t>
      </w:r>
    </w:p>
    <w:p w14:paraId="4243D14D">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3</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单价金额小数点或者百分比有明显错位的，以报价一览表的总价为准，并修改单价；</w:t>
      </w:r>
    </w:p>
    <w:p w14:paraId="34D9A6CE">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outlineLvl w:val="9"/>
        <w:rPr>
          <w:rFonts w:hint="eastAsia" w:ascii="仿宋" w:hAnsi="Times New Roman" w:eastAsia="仿宋" w:cs="仿宋"/>
          <w:color w:val="auto"/>
          <w:kern w:val="2"/>
          <w:sz w:val="24"/>
          <w:szCs w:val="24"/>
          <w:highlight w:val="none"/>
          <w:lang w:eastAsia="zh-CN"/>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4</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总价金额与按单价汇总金额不一致的，以单价金额计算结果为准</w:t>
      </w:r>
      <w:r>
        <w:rPr>
          <w:rFonts w:hint="eastAsia" w:ascii="仿宋" w:hAnsi="Times New Roman" w:eastAsia="仿宋" w:cs="仿宋"/>
          <w:color w:val="auto"/>
          <w:kern w:val="2"/>
          <w:sz w:val="24"/>
          <w:szCs w:val="24"/>
          <w:highlight w:val="none"/>
          <w:lang w:eastAsia="zh-CN"/>
        </w:rPr>
        <w:t>；</w:t>
      </w:r>
    </w:p>
    <w:p w14:paraId="78B6674F">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5</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总价金额与投标费率计算金额不一致的，以投标费率计算金额结果为准。</w:t>
      </w:r>
    </w:p>
    <w:p w14:paraId="1F8828D5">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同时出现两种以上不一致的，按照前款规定的顺序修正。修正后的报价投标人确认后产生约束力，投标人不确认的，其投标无效。</w:t>
      </w:r>
    </w:p>
    <w:p w14:paraId="6F2C9DBF">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3.澄清、说明或补正不得超出投标文件的范围且不得改变投标文件的实质性内容，并构成投标文件的组成部分。</w:t>
      </w:r>
    </w:p>
    <w:p w14:paraId="6481C973">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4.评标委员会对投标人提交的澄清、说明或补正有疑问的，可以要求投标人进一步澄清、说明或补正，直至满足评标委员会的要求。</w:t>
      </w:r>
    </w:p>
    <w:p w14:paraId="44700A92">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color w:val="auto"/>
          <w:kern w:val="2"/>
          <w:sz w:val="24"/>
          <w:szCs w:val="24"/>
          <w:highlight w:val="none"/>
        </w:rPr>
        <w:t>评标委员会认为投标人的报价明显低于其他通过符合性审查投标人的报价为有可能影响产品质量或者不能诚信履约的异常低价的，评标委员会应当要求投标人在合理的期限内通过政采云平台提供线上澄清或者说明，并提供相关佐证材料。投标人不能在规定时间内合理说明其报价合理 性并提供相关佐证材料的，评标委员会可以否决其投标人，并在评标报告中说明。也可以由采购人按照招标文件规定的标准和方法对投标人的履约能力进行审查确认。</w:t>
      </w:r>
      <w:r>
        <w:rPr>
          <w:rFonts w:hint="eastAsia" w:ascii="仿宋" w:hAnsi="Times New Roman" w:eastAsia="仿宋" w:cs="仿宋"/>
          <w:b/>
          <w:bCs/>
          <w:color w:val="auto"/>
          <w:kern w:val="2"/>
          <w:sz w:val="24"/>
          <w:szCs w:val="24"/>
          <w:highlight w:val="none"/>
        </w:rPr>
        <w:t>评审中出现下列情形之一的，评审委员会应当启动异常低价投标（响应）审查程序：</w:t>
      </w:r>
    </w:p>
    <w:p w14:paraId="0E12B42C">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rPr>
        <w:t>（1）投标（响应）报价低于全部通过符合性审查供应商投标（响应）报价平均值50%的，即投标（响应）报价</w:t>
      </w:r>
      <w:r>
        <w:rPr>
          <w:rFonts w:hint="eastAsia" w:ascii="仿宋" w:eastAsia="仿宋" w:cs="仿宋"/>
          <w:b/>
          <w:bCs/>
          <w:color w:val="auto"/>
          <w:kern w:val="2"/>
          <w:sz w:val="24"/>
          <w:szCs w:val="24"/>
          <w:highlight w:val="none"/>
          <w:lang w:eastAsia="zh-CN"/>
        </w:rPr>
        <w:t>〈</w:t>
      </w:r>
      <w:r>
        <w:rPr>
          <w:rFonts w:hint="eastAsia" w:ascii="仿宋" w:hAnsi="Times New Roman" w:eastAsia="仿宋" w:cs="仿宋"/>
          <w:b/>
          <w:bCs/>
          <w:color w:val="auto"/>
          <w:kern w:val="2"/>
          <w:sz w:val="24"/>
          <w:szCs w:val="24"/>
          <w:highlight w:val="none"/>
        </w:rPr>
        <w:t>全部通过符合性审查供应商投标（响应）报价平均值×50%；</w:t>
      </w:r>
    </w:p>
    <w:p w14:paraId="21433369">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rPr>
        <w:t>（2）投标（响应）报价低于通过符合性审查且报价次低供应商投标（响应）报价50%的，即投标（响应）报价</w:t>
      </w:r>
      <w:r>
        <w:rPr>
          <w:rFonts w:hint="eastAsia" w:ascii="仿宋" w:eastAsia="仿宋" w:cs="仿宋"/>
          <w:b/>
          <w:bCs/>
          <w:color w:val="auto"/>
          <w:kern w:val="2"/>
          <w:sz w:val="24"/>
          <w:szCs w:val="24"/>
          <w:highlight w:val="none"/>
          <w:lang w:eastAsia="zh-CN"/>
        </w:rPr>
        <w:t>〈</w:t>
      </w:r>
      <w:r>
        <w:rPr>
          <w:rFonts w:hint="eastAsia" w:ascii="仿宋" w:hAnsi="Times New Roman" w:eastAsia="仿宋" w:cs="仿宋"/>
          <w:b/>
          <w:bCs/>
          <w:color w:val="auto"/>
          <w:kern w:val="2"/>
          <w:sz w:val="24"/>
          <w:szCs w:val="24"/>
          <w:highlight w:val="none"/>
        </w:rPr>
        <w:t>通过符合性审查且报价次低供应商投标（响应）报价×50%；</w:t>
      </w:r>
    </w:p>
    <w:p w14:paraId="42F51B1C">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rPr>
        <w:t>（3）投标（响应）报价低于采购项目最高限价45%的，即投标（响应）报价</w:t>
      </w:r>
      <w:r>
        <w:rPr>
          <w:rFonts w:hint="eastAsia" w:ascii="仿宋" w:eastAsia="仿宋" w:cs="仿宋"/>
          <w:b/>
          <w:bCs/>
          <w:color w:val="auto"/>
          <w:kern w:val="2"/>
          <w:sz w:val="24"/>
          <w:szCs w:val="24"/>
          <w:highlight w:val="none"/>
          <w:lang w:eastAsia="zh-CN"/>
        </w:rPr>
        <w:t>〈</w:t>
      </w:r>
      <w:r>
        <w:rPr>
          <w:rFonts w:hint="eastAsia" w:ascii="仿宋" w:hAnsi="Times New Roman" w:eastAsia="仿宋" w:cs="仿宋"/>
          <w:b/>
          <w:bCs/>
          <w:color w:val="auto"/>
          <w:kern w:val="2"/>
          <w:sz w:val="24"/>
          <w:szCs w:val="24"/>
          <w:highlight w:val="none"/>
        </w:rPr>
        <w:t>采购项目最高限价×45%；</w:t>
      </w:r>
    </w:p>
    <w:p w14:paraId="00C8D2A8">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rPr>
        <w:t>（4）其他评审委员会认为供应商报价过低，有可能影响产品质量或者不能诚信履约的情形。</w:t>
      </w:r>
    </w:p>
    <w:p w14:paraId="2C8798E3">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lang w:eastAsia="zh-CN"/>
        </w:rPr>
        <w:t>（四）</w:t>
      </w:r>
      <w:r>
        <w:rPr>
          <w:rFonts w:hint="eastAsia" w:ascii="仿宋" w:hAnsi="Times New Roman" w:eastAsia="仿宋" w:cs="仿宋"/>
          <w:b/>
          <w:bCs/>
          <w:color w:val="auto"/>
          <w:kern w:val="2"/>
          <w:sz w:val="24"/>
          <w:szCs w:val="24"/>
          <w:highlight w:val="none"/>
        </w:rPr>
        <w:t>有下列情况之一的，投标无效：</w:t>
      </w:r>
    </w:p>
    <w:p w14:paraId="1E174A64">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1.投标人不具备招标文件中规定的资格要求的（投标人未提供有效的资格文件的，视为投标人不具备招标文件中规定的资格要求）；</w:t>
      </w:r>
    </w:p>
    <w:p w14:paraId="33B5CBF1">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2.如以联合体形式参加政府采购活动的，联合体协议不符合招标文件规定的联合体协议要求的；</w:t>
      </w:r>
    </w:p>
    <w:p w14:paraId="0DDB97D7">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3.投标文件未按招标文件及更正、澄清、修改后的内容编制，又不符合实质性要求的；</w:t>
      </w:r>
    </w:p>
    <w:p w14:paraId="21790971">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4.投标文件中法定代表人授权书所载内容与本项目内容有异的；</w:t>
      </w:r>
    </w:p>
    <w:p w14:paraId="505AF0DE">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5.投标文件未按照招标文件要求编制、签署、盖章（CA数字证书电子签章）的；</w:t>
      </w:r>
    </w:p>
    <w:p w14:paraId="5028861F">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6.未传输递交电子投标文件的或规定时间内未解密或解密失败的；</w:t>
      </w:r>
    </w:p>
    <w:p w14:paraId="0327C6BA">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7.投标文件中承诺的投标有效期、服务期（工期）、质保期等商务条款不能满足招标采购文件要求的；</w:t>
      </w:r>
    </w:p>
    <w:p w14:paraId="692E6579">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 xml:space="preserve">8.投标文件含有采购人不能接受的附加条件的；  </w:t>
      </w:r>
    </w:p>
    <w:p w14:paraId="098FAD63">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9.投标文件内容不符合采购需求中实质性要求的；</w:t>
      </w:r>
    </w:p>
    <w:p w14:paraId="0EDA48F4">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10.投标技术方案不明确，存在一个或一个以上备选（替代）投标方案的；</w:t>
      </w:r>
    </w:p>
    <w:p w14:paraId="3348AAA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11.投标文件出现不是唯一的、有选择性投标报价的，未采用人民币报价或者未按照招标采购文件标明的方式报价的；</w:t>
      </w:r>
    </w:p>
    <w:p w14:paraId="795ADA61">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12.投标报价高于本项目采购预算或者最高限价的；</w:t>
      </w:r>
    </w:p>
    <w:p w14:paraId="09D72C25">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13.报价明显低于其他通过符合性审查投标人的报价或出现“0元</w:t>
      </w:r>
      <w:r>
        <w:rPr>
          <w:rFonts w:hint="eastAsia" w:ascii="仿宋"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补贴</w:t>
      </w:r>
      <w:r>
        <w:rPr>
          <w:rFonts w:hint="eastAsia" w:ascii="仿宋"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 xml:space="preserve"> 免费赠送”等形式的无偿报价的，有可能影响产品质量或者不能诚信履约的，未能按要求提供书面说明或者提交相关佐证材料，不能说明其报价合理性的；</w:t>
      </w:r>
    </w:p>
    <w:p w14:paraId="03F3D95A">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 xml:space="preserve">14.投标文件内容填写不完整或字迹不能辨认或有漏项的； </w:t>
      </w:r>
    </w:p>
    <w:p w14:paraId="32758312">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15.投标人对根据修正原则修正后的报价不确认的；</w:t>
      </w:r>
    </w:p>
    <w:p w14:paraId="3D6F12C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16.投标文件对招标采购文件的偏差超出招标采购文件规定的偏差范围或最高项数；</w:t>
      </w:r>
    </w:p>
    <w:p w14:paraId="558292A9">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17.采购人拟采购的产品属于政府强制采购的节能产品品目清单范围的，投标人未按招标文件要求提供国家确定的认证机构出具的、处于有效期之内的节能产品认证证书的；</w:t>
      </w:r>
    </w:p>
    <w:p w14:paraId="5F9C94FE">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18.投标人未提供中小企业声明函或提供的中小企业声明函与实际情况不符的。</w:t>
      </w:r>
    </w:p>
    <w:p w14:paraId="472CF137">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19.投标人提供虚假材料投标的（包括但不限于以下情节）：</w:t>
      </w:r>
    </w:p>
    <w:p w14:paraId="7462866A">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（1）使用伪造、变造的许可证件；</w:t>
      </w:r>
    </w:p>
    <w:p w14:paraId="207E051A">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（2）提供虚假的财务状况或者业绩；</w:t>
      </w:r>
    </w:p>
    <w:p w14:paraId="6C14157E">
      <w:pPr>
        <w:keepNext w:val="0"/>
        <w:keepLines w:val="0"/>
        <w:pageBreakBefore w:val="0"/>
        <w:widowControl w:val="0"/>
        <w:kinsoku/>
        <w:wordWrap/>
        <w:overflowPunct/>
        <w:topLinePunct w:val="0"/>
        <w:autoSpaceDE w:val="0"/>
        <w:autoSpaceDN w:val="0"/>
        <w:bidi w:val="0"/>
        <w:adjustRightInd w:val="0"/>
        <w:snapToGrid/>
        <w:spacing w:line="380" w:lineRule="exact"/>
        <w:ind w:left="479" w:leftChars="228" w:firstLine="0" w:firstLineChars="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（3）提供虚假的项目负责人或者主要技术人员简历、劳动关系证明、社保证明；</w:t>
      </w:r>
    </w:p>
    <w:p w14:paraId="6DCCB0E2">
      <w:pPr>
        <w:keepNext w:val="0"/>
        <w:keepLines w:val="0"/>
        <w:pageBreakBefore w:val="0"/>
        <w:widowControl w:val="0"/>
        <w:kinsoku/>
        <w:wordWrap/>
        <w:overflowPunct/>
        <w:topLinePunct w:val="0"/>
        <w:autoSpaceDE w:val="0"/>
        <w:autoSpaceDN w:val="0"/>
        <w:bidi w:val="0"/>
        <w:adjustRightInd w:val="0"/>
        <w:snapToGrid/>
        <w:spacing w:line="380" w:lineRule="exact"/>
        <w:ind w:left="479" w:leftChars="228" w:firstLine="0" w:firstLineChars="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（4）提供虚假的信用状况；</w:t>
      </w:r>
    </w:p>
    <w:p w14:paraId="0AFFC744">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（5）其他弄虚作假的行为。</w:t>
      </w:r>
    </w:p>
    <w:p w14:paraId="1E680A8C">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20.投标人有恶意串通、妨碍其他投标人的竞争行为、损害采购人或者其他投标人的合法权益情形的；有下列情形之一的，属于或视为恶意串通，其投标无效：</w:t>
      </w:r>
    </w:p>
    <w:p w14:paraId="3EE46FDD">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（1）投标人直接或者间接从采购人或者采购代理机构处获得其他投标人的相关情况并修改其投标文件或者响应文件；</w:t>
      </w:r>
    </w:p>
    <w:p w14:paraId="585F2FBB">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（2）投标人按照采购人或者采购代理机构的授意撤换、修改投标文件或者响应文件；</w:t>
      </w:r>
    </w:p>
    <w:p w14:paraId="2CFE84FC">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（3）投标人之间协商报价、技术方案等投标文件或者响应文件的实质性内容；</w:t>
      </w:r>
    </w:p>
    <w:p w14:paraId="2582C2F0">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（4）属于同一集团、协会、商会等组织成员的投标人按照该组织要求协同参加政府采购活动；</w:t>
      </w:r>
    </w:p>
    <w:p w14:paraId="52B33E95">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（5）投标人之间事先约定由某一特定投标人中标、成交；</w:t>
      </w:r>
    </w:p>
    <w:p w14:paraId="2E38C220">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（6）投标人之间商定部分投标人放弃参加政府采购活动或者放弃中标、成交；</w:t>
      </w:r>
    </w:p>
    <w:p w14:paraId="36F55D29">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（7）投标人与采购人或者采购代理机构之间、投标人相互之间，为谋求特定投标人中标、成交或者排斥其他投标人的其他串通行为；</w:t>
      </w:r>
    </w:p>
    <w:p w14:paraId="77937619">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（8）不同投标人的投标文件由同一单位或者个人编制；</w:t>
      </w:r>
    </w:p>
    <w:p w14:paraId="5B4684E7">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（9）不同投标人委托同一单位或者个人办理投标事宜；</w:t>
      </w:r>
    </w:p>
    <w:p w14:paraId="2B1E5347">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（10）不同投标人的投标文件载明的项目管理成员或者联系人员为同一人；</w:t>
      </w:r>
    </w:p>
    <w:p w14:paraId="09576D98">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 xml:space="preserve">（11）不同投标人的投标文件异常一致或者投标报价呈规律性差异； </w:t>
      </w:r>
    </w:p>
    <w:p w14:paraId="15F368CE">
      <w:pPr>
        <w:keepNext w:val="0"/>
        <w:keepLines w:val="0"/>
        <w:pageBreakBefore w:val="0"/>
        <w:widowControl w:val="0"/>
        <w:kinsoku/>
        <w:wordWrap/>
        <w:overflowPunct/>
        <w:topLinePunct w:val="0"/>
        <w:autoSpaceDE w:val="0"/>
        <w:autoSpaceDN w:val="0"/>
        <w:bidi w:val="0"/>
        <w:adjustRightInd w:val="0"/>
        <w:snapToGrid/>
        <w:spacing w:line="380" w:lineRule="exact"/>
        <w:ind w:firstLine="482" w:firstLineChars="200"/>
        <w:textAlignment w:val="auto"/>
        <w:outlineLvl w:val="9"/>
        <w:rPr>
          <w:rFonts w:ascii="仿宋" w:eastAsia="仿宋" w:cs="仿宋"/>
          <w:b/>
          <w:bCs/>
          <w:color w:val="auto"/>
          <w:kern w:val="2"/>
          <w:sz w:val="24"/>
          <w:szCs w:val="24"/>
          <w:highlight w:val="none"/>
        </w:rPr>
      </w:pPr>
      <w:bookmarkStart w:id="21" w:name="OLE_LINK43"/>
      <w:r>
        <w:rPr>
          <w:rFonts w:hint="eastAsia" w:ascii="仿宋" w:eastAsia="仿宋" w:cs="仿宋"/>
          <w:b/>
          <w:bCs/>
          <w:color w:val="auto"/>
          <w:kern w:val="2"/>
          <w:sz w:val="24"/>
          <w:szCs w:val="24"/>
          <w:highlight w:val="none"/>
        </w:rPr>
        <w:t>21.</w:t>
      </w:r>
      <w:bookmarkEnd w:id="21"/>
      <w:r>
        <w:rPr>
          <w:rFonts w:hint="eastAsia" w:ascii="仿宋" w:eastAsia="仿宋" w:cs="仿宋"/>
          <w:b/>
          <w:bCs/>
          <w:color w:val="auto"/>
          <w:kern w:val="2"/>
          <w:sz w:val="24"/>
          <w:szCs w:val="24"/>
          <w:highlight w:val="none"/>
        </w:rPr>
        <w:t>除政府采购法律法规规定的恶意串通、视同串通投标情形外，在不影响公平竞争的前提下，采购人、采购代理机构应在采购文件中明确规定参与同一个标段</w:t>
      </w:r>
      <w:r>
        <w:rPr>
          <w:rFonts w:hint="eastAsia" w:ascii="仿宋" w:eastAsia="仿宋" w:cs="仿宋"/>
          <w:b/>
          <w:bCs/>
          <w:color w:val="auto"/>
          <w:kern w:val="2"/>
          <w:sz w:val="24"/>
          <w:szCs w:val="24"/>
          <w:highlight w:val="none"/>
          <w:lang w:eastAsia="zh-CN"/>
        </w:rPr>
        <w:t>（</w:t>
      </w:r>
      <w:r>
        <w:rPr>
          <w:rFonts w:hint="eastAsia" w:ascii="仿宋" w:eastAsia="仿宋" w:cs="仿宋"/>
          <w:b/>
          <w:bCs/>
          <w:color w:val="auto"/>
          <w:kern w:val="2"/>
          <w:sz w:val="24"/>
          <w:szCs w:val="24"/>
          <w:highlight w:val="none"/>
        </w:rPr>
        <w:t>包</w:t>
      </w:r>
      <w:r>
        <w:rPr>
          <w:rFonts w:hint="eastAsia" w:ascii="仿宋" w:eastAsia="仿宋" w:cs="仿宋"/>
          <w:b/>
          <w:bCs/>
          <w:color w:val="auto"/>
          <w:kern w:val="2"/>
          <w:sz w:val="24"/>
          <w:szCs w:val="24"/>
          <w:highlight w:val="none"/>
          <w:lang w:eastAsia="zh-CN"/>
        </w:rPr>
        <w:t>）</w:t>
      </w:r>
      <w:r>
        <w:rPr>
          <w:rFonts w:hint="eastAsia" w:ascii="仿宋" w:eastAsia="仿宋" w:cs="仿宋"/>
          <w:b/>
          <w:bCs/>
          <w:color w:val="auto"/>
          <w:kern w:val="2"/>
          <w:sz w:val="24"/>
          <w:szCs w:val="24"/>
          <w:highlight w:val="none"/>
        </w:rPr>
        <w:t>的供应商存在下列情形之一的，其投标</w:t>
      </w:r>
      <w:r>
        <w:rPr>
          <w:rFonts w:hint="eastAsia" w:ascii="仿宋" w:eastAsia="仿宋" w:cs="仿宋"/>
          <w:b/>
          <w:bCs/>
          <w:color w:val="auto"/>
          <w:kern w:val="2"/>
          <w:sz w:val="24"/>
          <w:szCs w:val="24"/>
          <w:highlight w:val="none"/>
          <w:lang w:eastAsia="zh-CN"/>
        </w:rPr>
        <w:t>（</w:t>
      </w:r>
      <w:r>
        <w:rPr>
          <w:rFonts w:hint="eastAsia" w:ascii="仿宋" w:eastAsia="仿宋" w:cs="仿宋"/>
          <w:b/>
          <w:bCs/>
          <w:color w:val="auto"/>
          <w:kern w:val="2"/>
          <w:sz w:val="24"/>
          <w:szCs w:val="24"/>
          <w:highlight w:val="none"/>
        </w:rPr>
        <w:t>响应</w:t>
      </w:r>
      <w:r>
        <w:rPr>
          <w:rFonts w:hint="eastAsia" w:ascii="仿宋" w:eastAsia="仿宋" w:cs="仿宋"/>
          <w:b/>
          <w:bCs/>
          <w:color w:val="auto"/>
          <w:kern w:val="2"/>
          <w:sz w:val="24"/>
          <w:szCs w:val="24"/>
          <w:highlight w:val="none"/>
          <w:lang w:eastAsia="zh-CN"/>
        </w:rPr>
        <w:t>）</w:t>
      </w:r>
      <w:r>
        <w:rPr>
          <w:rFonts w:hint="eastAsia" w:ascii="仿宋" w:eastAsia="仿宋" w:cs="仿宋"/>
          <w:b/>
          <w:bCs/>
          <w:color w:val="auto"/>
          <w:kern w:val="2"/>
          <w:sz w:val="24"/>
          <w:szCs w:val="24"/>
          <w:highlight w:val="none"/>
        </w:rPr>
        <w:t>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555AEC1">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outlineLvl w:val="9"/>
        <w:rPr>
          <w:rFonts w:hint="default" w:ascii="仿宋" w:hAnsi="Times New Roman" w:eastAsia="仿宋" w:cs="仿宋"/>
          <w:color w:val="auto"/>
          <w:kern w:val="2"/>
          <w:sz w:val="24"/>
          <w:szCs w:val="24"/>
          <w:highlight w:val="none"/>
          <w:lang w:val="en-US" w:eastAsia="zh-CN"/>
        </w:rPr>
      </w:pPr>
      <w:r>
        <w:rPr>
          <w:rFonts w:hint="eastAsia" w:ascii="仿宋" w:eastAsia="仿宋" w:cs="仿宋"/>
          <w:color w:val="auto"/>
          <w:kern w:val="2"/>
          <w:sz w:val="24"/>
          <w:szCs w:val="24"/>
          <w:highlight w:val="none"/>
        </w:rPr>
        <w:t>22.</w:t>
      </w:r>
      <w:r>
        <w:rPr>
          <w:rFonts w:hint="eastAsia" w:ascii="仿宋" w:eastAsia="仿宋" w:cs="仿宋"/>
          <w:color w:val="auto"/>
          <w:kern w:val="2"/>
          <w:sz w:val="24"/>
          <w:szCs w:val="24"/>
          <w:highlight w:val="none"/>
          <w:lang w:eastAsia="zh-CN"/>
        </w:rPr>
        <w:t>法律法规</w:t>
      </w:r>
      <w:r>
        <w:rPr>
          <w:rFonts w:hint="eastAsia" w:ascii="仿宋" w:eastAsia="仿宋" w:cs="仿宋"/>
          <w:color w:val="auto"/>
          <w:kern w:val="2"/>
          <w:sz w:val="24"/>
          <w:szCs w:val="24"/>
          <w:highlight w:val="none"/>
        </w:rPr>
        <w:t>、规章（适用本县的）及省级以上规范性文件（适用本县的）规定的其他无效情形。</w:t>
      </w:r>
    </w:p>
    <w:p w14:paraId="50CBE822">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rPr>
        <w:t>（五）评标报告</w:t>
      </w:r>
    </w:p>
    <w:p w14:paraId="0043099B">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评标报告与推荐中标候选人。评标委员会根据全体评标成员签字的原始评标记录和评标结果编写评标报告，并推荐中标候选人，评审报告由评标委员会成员签字确认，并通过电子交易平台向采购人、采购代理机构提交。</w:t>
      </w:r>
    </w:p>
    <w:p w14:paraId="695868F5">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2.评标争议事项处理。评标委员会成员对需要共同认定的事项存在争 议的，应当按照少数服从多数的原则作出结论。持不同意见的评标委员会成员应当在评标报告上签署不同意见及理由，否则视为同意评标报告。</w:t>
      </w:r>
    </w:p>
    <w:p w14:paraId="6A49D9F0">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2"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b/>
          <w:bCs/>
          <w:color w:val="auto"/>
          <w:kern w:val="2"/>
          <w:sz w:val="24"/>
          <w:szCs w:val="24"/>
          <w:highlight w:val="none"/>
        </w:rPr>
        <w:t>六、采购项目需要落实的政府采购政策（进口除外）</w:t>
      </w:r>
    </w:p>
    <w:p w14:paraId="3B991CF9">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2"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b/>
          <w:bCs/>
          <w:color w:val="auto"/>
          <w:kern w:val="2"/>
          <w:sz w:val="24"/>
          <w:szCs w:val="24"/>
          <w:highlight w:val="none"/>
        </w:rPr>
        <w:t>（一）本项目原则上采购本国生产的货物、工程和服务，不允许采购进口产品。</w:t>
      </w:r>
      <w:r>
        <w:rPr>
          <w:rFonts w:hint="eastAsia" w:ascii="仿宋" w:hAnsi="Times New Roman" w:eastAsia="仿宋" w:cs="仿宋"/>
          <w:color w:val="auto"/>
          <w:kern w:val="2"/>
          <w:sz w:val="24"/>
          <w:szCs w:val="24"/>
          <w:highlight w:val="none"/>
        </w:rPr>
        <w:t>除非采购人采购进口产品，已经在采购活动开始前向财政部门提出申请并获得财政部门审核同意，且在采购需求中明确规定可以采购进口产品，未明确视同不得采购进口产品（但如果因信息不对称等原因，仍有满足需求的国内产品要求参与采购竞争的，采购人、采购机构不会对其加以限制，仍将按照公平竞争原则实施采购）。</w:t>
      </w:r>
    </w:p>
    <w:p w14:paraId="109407BB">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rPr>
        <w:t>（二）支持绿色发展</w:t>
      </w:r>
    </w:p>
    <w:p w14:paraId="6B68388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 ▲采购人拟采购的产品属于政府强制采购的节能产品品目清单范围的，供应商未按采购文件要求提供国家确定的认证机构出具的、处于有效期之内的节能产品认证证书的，投标无效。</w:t>
      </w:r>
    </w:p>
    <w:p w14:paraId="48E3998E">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2.为助力打好污染防治攻坚战，推广使用绿色包装，政府采购货物、社保证明；</w:t>
      </w:r>
    </w:p>
    <w:p w14:paraId="1BF4A2ED">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lang w:eastAsia="zh-CN"/>
        </w:rPr>
        <w:t>（三）</w:t>
      </w:r>
      <w:r>
        <w:rPr>
          <w:rFonts w:hint="eastAsia" w:ascii="仿宋" w:hAnsi="Times New Roman" w:eastAsia="仿宋" w:cs="仿宋"/>
          <w:b/>
          <w:bCs/>
          <w:color w:val="auto"/>
          <w:kern w:val="2"/>
          <w:sz w:val="24"/>
          <w:szCs w:val="24"/>
          <w:highlight w:val="none"/>
        </w:rPr>
        <w:t>支持中小企业发展</w:t>
      </w:r>
    </w:p>
    <w:p w14:paraId="2E4F7DD5">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1</w:t>
      </w:r>
      <w:r>
        <w:rPr>
          <w:rFonts w:hint="eastAsia" w:ascii="仿宋" w:hAnsi="Times New Roman" w:eastAsia="仿宋" w:cs="仿宋"/>
          <w:color w:val="auto"/>
          <w:kern w:val="2"/>
          <w:sz w:val="24"/>
          <w:szCs w:val="24"/>
          <w:highlight w:val="none"/>
          <w:lang w:val="en-US" w:eastAsia="zh-CN"/>
        </w:rPr>
        <w:t>.</w:t>
      </w:r>
      <w:r>
        <w:rPr>
          <w:rFonts w:hint="eastAsia" w:ascii="仿宋" w:hAnsi="Times New Roman" w:eastAsia="仿宋" w:cs="仿宋"/>
          <w:color w:val="auto"/>
          <w:kern w:val="2"/>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2326BC7">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符合中小企业划分标准的个体工商户，在政府采购活动中视同中小企业。</w:t>
      </w:r>
    </w:p>
    <w:p w14:paraId="3B120411">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2.在政府采购活动中，供应商提供的货物、工程或者服务符合下列情形的，享受中小企业扶持政策：</w:t>
      </w:r>
    </w:p>
    <w:p w14:paraId="5B62C41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1</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在货物采购项目中，货物由中小企业制造，即货物由中小企业生产且使用该中小企业商号或者注册商标；</w:t>
      </w:r>
    </w:p>
    <w:p w14:paraId="135982BF">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2</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在工程采购项目中，工程由中小企业承建，即工程施工单位为中小企业；</w:t>
      </w:r>
    </w:p>
    <w:p w14:paraId="772BBF5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lang w:val="en-US" w:eastAsia="zh-CN"/>
        </w:rPr>
        <w:t>3</w:t>
      </w:r>
      <w:r>
        <w:rPr>
          <w:rFonts w:hint="eastAsia" w:ascii="仿宋" w:hAnsi="Times New Roman" w:eastAsia="仿宋" w:cs="仿宋"/>
          <w:color w:val="auto"/>
          <w:kern w:val="2"/>
          <w:sz w:val="24"/>
          <w:szCs w:val="24"/>
          <w:highlight w:val="none"/>
          <w:lang w:eastAsia="zh-CN"/>
        </w:rPr>
        <w:t>）</w:t>
      </w:r>
      <w:r>
        <w:rPr>
          <w:rFonts w:hint="eastAsia" w:ascii="仿宋" w:hAnsi="Times New Roman" w:eastAsia="仿宋" w:cs="仿宋"/>
          <w:color w:val="auto"/>
          <w:kern w:val="2"/>
          <w:sz w:val="24"/>
          <w:szCs w:val="24"/>
          <w:highlight w:val="none"/>
        </w:rPr>
        <w:t>在服务采购项目中，服务由中小企业承接，即提供服务的人员为中小企业依照《中华人民共和国劳动合同法》订立劳动合同的从业人员。</w:t>
      </w:r>
    </w:p>
    <w:p w14:paraId="718C202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在货物采购项目中，供应商提供的货物既有中小企业制造货物，也有大型企业制造货物的，不享受中小企业扶持政策。</w:t>
      </w:r>
    </w:p>
    <w:p w14:paraId="1C1CC6C7">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以联合体形式参加政府采购活动，联合体各方均为中小企业的，联合体视同中小企业。其中，联合体各方均为小微企业的，联合体视同小微企业。</w:t>
      </w:r>
    </w:p>
    <w:p w14:paraId="2DE8E74F">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val="en-US" w:eastAsia="zh-CN"/>
        </w:rPr>
        <w:t>3.</w:t>
      </w:r>
      <w:r>
        <w:rPr>
          <w:rFonts w:hint="eastAsia" w:ascii="仿宋" w:hAnsi="Times New Roman" w:eastAsia="仿宋" w:cs="仿宋"/>
          <w:color w:val="auto"/>
          <w:kern w:val="2"/>
          <w:sz w:val="24"/>
          <w:szCs w:val="24"/>
          <w:highlight w:val="none"/>
        </w:rPr>
        <w:t>对于未预留份额专门面向中小企业的政府采购货物或服务项目，以及预留份额政府采购货物或服务项目中的非预留部分标项，对小型和微型企业的投标报价给予扣除，用扣除后的价格参与评审。接受大中型企业与小微企业组成联合体或者允许大中型企业向一家或者多家小微企业分包的政府采购货物或服务项 目，对于联合协议或者分包意向协议约定小微企业的合同份额占到合同总金额30%以上的，对联合体或者大中型企业的报 价给予扣除，用扣除后的价格参加评审。组成联合体或者接受分包的小微 企业与联合体内其他企业、分包企业之间存在直接控股、管理关系的，不 享受价格扣除优惠政策。</w:t>
      </w:r>
    </w:p>
    <w:p w14:paraId="77FD15B3">
      <w:pPr>
        <w:keepNext w:val="0"/>
        <w:keepLines w:val="0"/>
        <w:pageBreakBefore w:val="0"/>
        <w:widowControl w:val="0"/>
        <w:numPr>
          <w:ilvl w:val="0"/>
          <w:numId w:val="4"/>
        </w:numPr>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符合《关于促进残疾人就业政府采购政策的通知》（财库</w:t>
      </w:r>
      <w:r>
        <w:rPr>
          <w:rFonts w:hint="eastAsia" w:ascii="仿宋" w:eastAsia="仿宋" w:cs="仿宋"/>
          <w:color w:val="auto"/>
          <w:kern w:val="2"/>
          <w:sz w:val="24"/>
          <w:szCs w:val="24"/>
          <w:highlight w:val="none"/>
          <w:lang w:eastAsia="zh-CN"/>
        </w:rPr>
        <w:t>〔2017〕141号</w:t>
      </w:r>
      <w:r>
        <w:rPr>
          <w:rFonts w:hint="eastAsia" w:ascii="仿宋" w:hAnsi="Times New Roman" w:eastAsia="仿宋" w:cs="仿宋"/>
          <w:color w:val="auto"/>
          <w:kern w:val="2"/>
          <w:sz w:val="24"/>
          <w:szCs w:val="24"/>
          <w:highlight w:val="none"/>
        </w:rPr>
        <w:t>）规定的条件并提供《残疾人福利性单位声明函》（附件1）的残疾人福利性单位视同小型、微型企业；</w:t>
      </w:r>
    </w:p>
    <w:p w14:paraId="0297A00A">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5.符合《关于政府采购支持监狱企业发展有关问题的通知》（财库</w:t>
      </w:r>
      <w:r>
        <w:rPr>
          <w:rFonts w:hint="eastAsia" w:ascii="仿宋" w:eastAsia="仿宋" w:cs="仿宋"/>
          <w:color w:val="auto"/>
          <w:kern w:val="2"/>
          <w:sz w:val="24"/>
          <w:szCs w:val="24"/>
          <w:highlight w:val="none"/>
          <w:lang w:eastAsia="zh-CN"/>
        </w:rPr>
        <w:t>〔2014〕68号</w:t>
      </w:r>
      <w:r>
        <w:rPr>
          <w:rFonts w:hint="eastAsia" w:ascii="仿宋" w:hAnsi="Times New Roman" w:eastAsia="仿宋" w:cs="仿宋"/>
          <w:color w:val="auto"/>
          <w:kern w:val="2"/>
          <w:sz w:val="24"/>
          <w:szCs w:val="24"/>
          <w:highlight w:val="none"/>
        </w:rPr>
        <w:t>）规定的监狱企业并提供由省级以上监狱管理局、戒毒管理局（含新疆生产建设兵团）出具的属于监狱企业证明文件的，视同为小型、微型企业。</w:t>
      </w:r>
    </w:p>
    <w:p w14:paraId="2B17F2D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6.可享受中小企业扶持政策的供应商应按照采购文件格式要求提供 《中小企业声明函》，供应商提供的《中小企业声明函》与实际情况不符的，供应商未按采购文件要求提供国家确定的认证机构出具的、处于有效期之内的产品认证证书的，不享受中小企业扶持政策。声明内容不实的，属于提供虚假材料谋取中标、成交的，依法承担法律责任。</w:t>
      </w:r>
    </w:p>
    <w:p w14:paraId="34A6EAEB">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7.中小企业享受扶持政策获得政府采购合同的，小微企业不得将合同分包给大中型企业，中型企业不得将合同分包给大型企业。</w:t>
      </w:r>
    </w:p>
    <w:p w14:paraId="6E7FA91E">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2" w:firstLineChars="200"/>
        <w:textAlignment w:val="auto"/>
        <w:outlineLvl w:val="9"/>
        <w:rPr>
          <w:rFonts w:hint="eastAsia" w:ascii="仿宋" w:hAnsi="Times New Roman" w:eastAsia="仿宋" w:cs="仿宋"/>
          <w:b/>
          <w:bCs/>
          <w:color w:val="auto"/>
          <w:kern w:val="2"/>
          <w:sz w:val="24"/>
          <w:szCs w:val="24"/>
          <w:highlight w:val="none"/>
        </w:rPr>
      </w:pPr>
      <w:r>
        <w:rPr>
          <w:rFonts w:hint="eastAsia" w:ascii="仿宋" w:hAnsi="Times New Roman" w:eastAsia="仿宋" w:cs="仿宋"/>
          <w:b/>
          <w:bCs/>
          <w:color w:val="auto"/>
          <w:kern w:val="2"/>
          <w:sz w:val="24"/>
          <w:szCs w:val="24"/>
          <w:highlight w:val="none"/>
        </w:rPr>
        <w:t>七、评审纪律和要求</w:t>
      </w:r>
    </w:p>
    <w:p w14:paraId="19F7D6F9">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（一）评审专家必须公平、公正评审，遵纪守法，客观、廉洁地履行职责。</w:t>
      </w:r>
    </w:p>
    <w:p w14:paraId="537268E4">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（二）评审专家在评审开始前，应关闭并上交随身携带的各种通信工具。</w:t>
      </w:r>
    </w:p>
    <w:p w14:paraId="7906B960">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（三）评审专家在评审过程中，未经许可不得中途离开评审现场，不得迟到早退。</w:t>
      </w:r>
    </w:p>
    <w:p w14:paraId="409E0BEA">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（四）评审专家和工作人员不得透露评审过程中的讨论情况和评审结果。</w:t>
      </w:r>
    </w:p>
    <w:p w14:paraId="2B1B2A1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（五）评审时，评审专家须按招标文件规定的程序、条件和标准，对投标人投标文件的合规性、完整性和有效性进行审查、比较和评估，其中 对投标人的资格条件、主要技术参数、商务报价和其他评审要素等，评审 专家应逐项进行审查、比较，不得漏评少评。如发现与招标文件要求相偏离的，应对其偏离情形进行必要的核实，并在工作底稿中予以说明；如属于实质性偏离或符合无效投标文件的，可询问投标人，并允许投标人进行陈述申辩，但不允许其对偏离条款进行补充、修正或撤回。</w:t>
      </w:r>
    </w:p>
    <w:p w14:paraId="447B24BD">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（六）</w:t>
      </w:r>
      <w:r>
        <w:rPr>
          <w:rFonts w:hint="eastAsia" w:ascii="仿宋" w:hAnsi="Times New Roman" w:eastAsia="仿宋" w:cs="仿宋"/>
          <w:color w:val="auto"/>
          <w:kern w:val="2"/>
          <w:sz w:val="24"/>
          <w:szCs w:val="24"/>
          <w:highlight w:val="none"/>
        </w:rPr>
        <w:t>采购人、采购代理机构不得向评审委员会的评审专家作倾向性、误导性的解释或者说明。</w:t>
      </w:r>
    </w:p>
    <w:p w14:paraId="73D3DB4A">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lang w:eastAsia="zh-CN"/>
        </w:rPr>
        <w:t>（七）</w:t>
      </w:r>
      <w:r>
        <w:rPr>
          <w:rFonts w:hint="eastAsia" w:ascii="仿宋" w:hAnsi="Times New Roman" w:eastAsia="仿宋" w:cs="仿宋"/>
          <w:color w:val="auto"/>
          <w:kern w:val="2"/>
          <w:sz w:val="24"/>
          <w:szCs w:val="24"/>
          <w:highlight w:val="none"/>
        </w:rPr>
        <w:t>采购代理机构应当为评审专家提供必要的评审条件和相应的评审工作底稿，并严格按规定程序组织评审专家有步骤地进行项目评审，对各评审专家的评审情况和评审意见进行合理性和合规性审查 ，对明显畸高、畸低的重大差异评审情况（其总评分偏离平均分30%以上），提醒相关评审专家进行复核或书面说明理由。</w:t>
      </w:r>
    </w:p>
    <w:p w14:paraId="61106424">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（八）评审专家在评审过程中不得将自己的观点强加给其他评审专家，评审专家应自主发表见解，对评审意见承担个人责任。</w:t>
      </w:r>
    </w:p>
    <w:p w14:paraId="45C054CF">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九）评审结束后，评审委员会应向采购代理机构提交项目评审报告。评审报告是采购人确定中标人的合法依据，评审委员会应当如实、客观地反映评审情况，按招标文件的评审办法和细则的规定推荐中标候选人，说明推荐理由，并重点对中标候选人的技术、服务和价格等情况进行评价和比较。如排名第一的投标人报价为最高报价的，评审报告中须对其报价的合理性等进行分析和特别说明。</w:t>
      </w:r>
    </w:p>
    <w:p w14:paraId="1F742F6E">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（十）评审专家应当独立、客观、公正地提出评审意见，不得带有倾向性，不得影响其他评审专家评审，并在评审报告上签字；如对评审报告有异议的，可在报告上签署不同意见，并说明理由，否则将视为同意。</w:t>
      </w:r>
    </w:p>
    <w:p w14:paraId="166DE021">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（十一）评审专家应当遵守评审工作纪律，不得泄露评审文件、评审情况和评审中获悉的商业秘密。</w:t>
      </w:r>
    </w:p>
    <w:p w14:paraId="3852D1C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评审委员会在评审过程中发现投标人有行贿、提供虚假材料或者串通等违法行为的，应当及时向财政部门报告。</w:t>
      </w:r>
    </w:p>
    <w:p w14:paraId="0655DA5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（十二）招标文件内容违反国家有关强制性规定的，评审委员会应当停止评审并向采购代理机构说明情况。</w:t>
      </w:r>
    </w:p>
    <w:p w14:paraId="0BC10DF0">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Times New Roman" w:eastAsia="仿宋" w:cs="仿宋"/>
          <w:color w:val="auto"/>
          <w:kern w:val="2"/>
          <w:sz w:val="24"/>
          <w:szCs w:val="24"/>
          <w:highlight w:val="none"/>
        </w:rPr>
      </w:pPr>
      <w:r>
        <w:rPr>
          <w:rFonts w:hint="eastAsia" w:ascii="仿宋" w:hAnsi="Times New Roman" w:eastAsia="仿宋" w:cs="仿宋"/>
          <w:color w:val="auto"/>
          <w:kern w:val="2"/>
          <w:sz w:val="24"/>
          <w:szCs w:val="24"/>
          <w:highlight w:val="none"/>
        </w:rPr>
        <w:t>（十三）评审专家应当配合采购代理机构答复投标人提出的质疑。</w:t>
      </w:r>
    </w:p>
    <w:p w14:paraId="16CC7970">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480" w:firstLineChars="200"/>
        <w:textAlignment w:val="auto"/>
        <w:outlineLvl w:val="9"/>
        <w:rPr>
          <w:rFonts w:hint="eastAsia" w:ascii="仿宋" w:hAnsi="仿宋" w:eastAsia="仿宋" w:cs="仿宋"/>
          <w:b/>
          <w:color w:val="auto"/>
          <w:kern w:val="44"/>
          <w:sz w:val="36"/>
          <w:szCs w:val="36"/>
          <w:highlight w:val="none"/>
        </w:rPr>
      </w:pPr>
      <w:r>
        <w:rPr>
          <w:rFonts w:hint="eastAsia" w:ascii="仿宋" w:hAnsi="Times New Roman" w:eastAsia="仿宋" w:cs="仿宋"/>
          <w:color w:val="auto"/>
          <w:kern w:val="2"/>
          <w:sz w:val="24"/>
          <w:szCs w:val="24"/>
          <w:highlight w:val="none"/>
        </w:rPr>
        <w:t>（十四）评审专家应当配合财政部门的投诉处理工作</w:t>
      </w:r>
      <w:r>
        <w:rPr>
          <w:rFonts w:hint="eastAsia" w:ascii="仿宋" w:hAnsi="Times New Roman" w:eastAsia="仿宋" w:cs="仿宋"/>
          <w:color w:val="auto"/>
          <w:kern w:val="2"/>
          <w:sz w:val="24"/>
          <w:szCs w:val="24"/>
          <w:highlight w:val="none"/>
          <w:lang w:eastAsia="zh-CN"/>
        </w:rPr>
        <w:t>。</w:t>
      </w:r>
    </w:p>
    <w:p w14:paraId="66B22B22">
      <w:pPr>
        <w:jc w:val="center"/>
        <w:rPr>
          <w:rFonts w:hint="eastAsia" w:ascii="仿宋" w:hAnsi="仿宋" w:eastAsia="仿宋" w:cs="仿宋"/>
          <w:b/>
          <w:color w:val="auto"/>
          <w:kern w:val="44"/>
          <w:sz w:val="36"/>
          <w:szCs w:val="36"/>
          <w:highlight w:val="none"/>
        </w:rPr>
      </w:pPr>
    </w:p>
    <w:p w14:paraId="4C8A1AE9">
      <w:pPr>
        <w:jc w:val="center"/>
        <w:rPr>
          <w:rFonts w:hint="eastAsia" w:ascii="仿宋" w:hAnsi="仿宋" w:eastAsia="仿宋" w:cs="仿宋"/>
          <w:b/>
          <w:color w:val="auto"/>
          <w:kern w:val="44"/>
          <w:sz w:val="36"/>
          <w:szCs w:val="36"/>
          <w:highlight w:val="none"/>
        </w:rPr>
      </w:pPr>
    </w:p>
    <w:p w14:paraId="4DE3824A">
      <w:pPr>
        <w:jc w:val="center"/>
        <w:rPr>
          <w:rFonts w:hint="eastAsia" w:ascii="仿宋" w:hAnsi="仿宋" w:eastAsia="仿宋" w:cs="仿宋"/>
          <w:b/>
          <w:color w:val="auto"/>
          <w:kern w:val="44"/>
          <w:sz w:val="36"/>
          <w:szCs w:val="36"/>
          <w:highlight w:val="none"/>
        </w:rPr>
      </w:pPr>
    </w:p>
    <w:p w14:paraId="007D0BB4">
      <w:pPr>
        <w:jc w:val="center"/>
        <w:rPr>
          <w:rFonts w:hint="eastAsia" w:ascii="仿宋" w:hAnsi="仿宋" w:eastAsia="仿宋" w:cs="仿宋"/>
          <w:b/>
          <w:color w:val="auto"/>
          <w:kern w:val="44"/>
          <w:sz w:val="36"/>
          <w:szCs w:val="36"/>
          <w:highlight w:val="none"/>
        </w:rPr>
      </w:pPr>
    </w:p>
    <w:p w14:paraId="26EF26E4">
      <w:pPr>
        <w:jc w:val="center"/>
        <w:rPr>
          <w:rFonts w:hint="eastAsia" w:ascii="仿宋" w:hAnsi="仿宋" w:eastAsia="仿宋" w:cs="仿宋"/>
          <w:b/>
          <w:color w:val="auto"/>
          <w:kern w:val="44"/>
          <w:sz w:val="36"/>
          <w:szCs w:val="36"/>
          <w:highlight w:val="none"/>
        </w:rPr>
      </w:pPr>
    </w:p>
    <w:p w14:paraId="24ADA59C">
      <w:pPr>
        <w:rPr>
          <w:rFonts w:hint="eastAsia" w:ascii="仿宋" w:hAnsi="仿宋" w:eastAsia="仿宋" w:cs="仿宋"/>
          <w:b/>
          <w:color w:val="auto"/>
          <w:kern w:val="44"/>
          <w:sz w:val="36"/>
          <w:szCs w:val="36"/>
          <w:highlight w:val="none"/>
        </w:rPr>
      </w:pPr>
      <w:r>
        <w:rPr>
          <w:rFonts w:hint="eastAsia" w:ascii="仿宋" w:hAnsi="仿宋" w:eastAsia="仿宋" w:cs="仿宋"/>
          <w:b/>
          <w:color w:val="auto"/>
          <w:kern w:val="44"/>
          <w:sz w:val="36"/>
          <w:szCs w:val="36"/>
          <w:highlight w:val="none"/>
        </w:rPr>
        <w:br w:type="page"/>
      </w:r>
    </w:p>
    <w:p w14:paraId="2664236F">
      <w:pPr>
        <w:jc w:val="center"/>
        <w:outlineLvl w:val="0"/>
        <w:rPr>
          <w:rFonts w:ascii="仿宋" w:hAnsi="仿宋" w:eastAsia="仿宋" w:cs="仿宋"/>
          <w:b/>
          <w:color w:val="auto"/>
          <w:kern w:val="44"/>
          <w:sz w:val="36"/>
          <w:szCs w:val="36"/>
          <w:highlight w:val="none"/>
        </w:rPr>
      </w:pPr>
      <w:r>
        <w:rPr>
          <w:rFonts w:hint="eastAsia" w:ascii="仿宋" w:hAnsi="仿宋" w:eastAsia="仿宋" w:cs="仿宋"/>
          <w:b/>
          <w:color w:val="auto"/>
          <w:kern w:val="44"/>
          <w:sz w:val="36"/>
          <w:szCs w:val="36"/>
          <w:highlight w:val="none"/>
        </w:rPr>
        <w:t>第五章  武义县政府采购合同（通用条款）</w:t>
      </w:r>
    </w:p>
    <w:p w14:paraId="652A0DAD">
      <w:pPr>
        <w:spacing w:line="420" w:lineRule="exact"/>
        <w:jc w:val="center"/>
        <w:rPr>
          <w:rFonts w:ascii="仿宋" w:hAnsi="仿宋" w:eastAsia="仿宋" w:cs="仿宋"/>
          <w:color w:val="auto"/>
          <w:sz w:val="24"/>
          <w:szCs w:val="24"/>
          <w:highlight w:val="none"/>
        </w:rPr>
      </w:pPr>
    </w:p>
    <w:p w14:paraId="11189D73">
      <w:pPr>
        <w:spacing w:line="42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甲方（采购人）：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签订日期：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B3B7AEE">
      <w:pPr>
        <w:spacing w:line="42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乙方（供货单位）：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签订地点：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542BDDC">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中华人民共和国政府采购法》等有关规定，以及</w:t>
      </w:r>
      <w:r>
        <w:rPr>
          <w:rFonts w:hint="eastAsia" w:ascii="仿宋" w:hAnsi="仿宋" w:eastAsia="仿宋" w:cs="仿宋"/>
          <w:color w:val="auto"/>
          <w:sz w:val="24"/>
          <w:szCs w:val="24"/>
          <w:highlight w:val="none"/>
          <w:u w:val="single"/>
          <w:lang w:eastAsia="zh-CN"/>
        </w:rPr>
        <w:t>武义县殡仪馆（新馆）绿化养护服务采购项目（第二次）</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lang w:eastAsia="zh-CN"/>
        </w:rPr>
        <w:t>JHTK-ZB2026060</w:t>
      </w:r>
      <w:r>
        <w:rPr>
          <w:rFonts w:hint="eastAsia" w:ascii="仿宋" w:hAnsi="仿宋" w:eastAsia="仿宋" w:cs="仿宋"/>
          <w:color w:val="auto"/>
          <w:sz w:val="24"/>
          <w:szCs w:val="24"/>
          <w:highlight w:val="none"/>
        </w:rPr>
        <w:t>）采购文件相关要求，经法定程序采购，双方同意签订以下合同条款，以便双方共同遵守、履行合同。</w:t>
      </w:r>
    </w:p>
    <w:p w14:paraId="0A62B9B4">
      <w:pPr>
        <w:spacing w:line="420" w:lineRule="exac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 一、采购项目</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3332"/>
        <w:gridCol w:w="1388"/>
        <w:gridCol w:w="1260"/>
        <w:gridCol w:w="1440"/>
      </w:tblGrid>
      <w:tr w14:paraId="4141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56" w:type="dxa"/>
            <w:vAlign w:val="center"/>
          </w:tcPr>
          <w:p w14:paraId="641CABBA">
            <w:pPr>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3332" w:type="dxa"/>
            <w:vAlign w:val="center"/>
          </w:tcPr>
          <w:p w14:paraId="79EAF10A">
            <w:pPr>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w:t>
            </w:r>
          </w:p>
        </w:tc>
        <w:tc>
          <w:tcPr>
            <w:tcW w:w="1388" w:type="dxa"/>
            <w:vAlign w:val="center"/>
          </w:tcPr>
          <w:p w14:paraId="236AAE92">
            <w:pPr>
              <w:spacing w:line="42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服务期</w:t>
            </w:r>
          </w:p>
        </w:tc>
        <w:tc>
          <w:tcPr>
            <w:tcW w:w="1260" w:type="dxa"/>
            <w:vAlign w:val="center"/>
          </w:tcPr>
          <w:p w14:paraId="7D4A2E51">
            <w:pPr>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1440" w:type="dxa"/>
            <w:vAlign w:val="center"/>
          </w:tcPr>
          <w:p w14:paraId="68967FBC">
            <w:pPr>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合价（元）</w:t>
            </w:r>
          </w:p>
        </w:tc>
      </w:tr>
      <w:tr w14:paraId="25C2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56" w:type="dxa"/>
          </w:tcPr>
          <w:p w14:paraId="2E88936B">
            <w:pPr>
              <w:spacing w:line="420" w:lineRule="exact"/>
              <w:rPr>
                <w:rFonts w:ascii="仿宋" w:hAnsi="仿宋" w:eastAsia="仿宋" w:cs="仿宋"/>
                <w:color w:val="auto"/>
                <w:sz w:val="24"/>
                <w:szCs w:val="24"/>
                <w:highlight w:val="none"/>
              </w:rPr>
            </w:pPr>
          </w:p>
        </w:tc>
        <w:tc>
          <w:tcPr>
            <w:tcW w:w="3332" w:type="dxa"/>
          </w:tcPr>
          <w:p w14:paraId="663F2641">
            <w:pPr>
              <w:spacing w:line="420" w:lineRule="exact"/>
              <w:rPr>
                <w:rFonts w:ascii="仿宋" w:hAnsi="仿宋" w:eastAsia="仿宋" w:cs="仿宋"/>
                <w:color w:val="auto"/>
                <w:sz w:val="24"/>
                <w:szCs w:val="24"/>
                <w:highlight w:val="none"/>
              </w:rPr>
            </w:pPr>
          </w:p>
        </w:tc>
        <w:tc>
          <w:tcPr>
            <w:tcW w:w="1388" w:type="dxa"/>
          </w:tcPr>
          <w:p w14:paraId="514941E9">
            <w:pPr>
              <w:spacing w:line="420" w:lineRule="exact"/>
              <w:rPr>
                <w:rFonts w:ascii="仿宋" w:hAnsi="仿宋" w:eastAsia="仿宋" w:cs="仿宋"/>
                <w:color w:val="auto"/>
                <w:sz w:val="24"/>
                <w:szCs w:val="24"/>
                <w:highlight w:val="none"/>
              </w:rPr>
            </w:pPr>
          </w:p>
        </w:tc>
        <w:tc>
          <w:tcPr>
            <w:tcW w:w="1260" w:type="dxa"/>
          </w:tcPr>
          <w:p w14:paraId="225357CC">
            <w:pPr>
              <w:spacing w:line="420" w:lineRule="exact"/>
              <w:rPr>
                <w:rFonts w:ascii="仿宋" w:hAnsi="仿宋" w:eastAsia="仿宋" w:cs="仿宋"/>
                <w:color w:val="auto"/>
                <w:sz w:val="24"/>
                <w:szCs w:val="24"/>
                <w:highlight w:val="none"/>
              </w:rPr>
            </w:pPr>
          </w:p>
        </w:tc>
        <w:tc>
          <w:tcPr>
            <w:tcW w:w="1440" w:type="dxa"/>
          </w:tcPr>
          <w:p w14:paraId="77511B6D">
            <w:pPr>
              <w:spacing w:line="420" w:lineRule="exact"/>
              <w:rPr>
                <w:rFonts w:ascii="仿宋" w:hAnsi="仿宋" w:eastAsia="仿宋" w:cs="仿宋"/>
                <w:color w:val="auto"/>
                <w:sz w:val="24"/>
                <w:szCs w:val="24"/>
                <w:highlight w:val="none"/>
              </w:rPr>
            </w:pPr>
          </w:p>
        </w:tc>
      </w:tr>
      <w:tr w14:paraId="1980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56" w:type="dxa"/>
          </w:tcPr>
          <w:p w14:paraId="7AD5D06B">
            <w:pPr>
              <w:spacing w:line="420" w:lineRule="exact"/>
              <w:rPr>
                <w:rFonts w:ascii="仿宋" w:hAnsi="仿宋" w:eastAsia="仿宋" w:cs="仿宋"/>
                <w:color w:val="auto"/>
                <w:sz w:val="24"/>
                <w:szCs w:val="24"/>
                <w:highlight w:val="none"/>
              </w:rPr>
            </w:pPr>
          </w:p>
        </w:tc>
        <w:tc>
          <w:tcPr>
            <w:tcW w:w="3332" w:type="dxa"/>
          </w:tcPr>
          <w:p w14:paraId="3BEAEE0C">
            <w:pPr>
              <w:spacing w:line="420" w:lineRule="exact"/>
              <w:rPr>
                <w:rFonts w:ascii="仿宋" w:hAnsi="仿宋" w:eastAsia="仿宋" w:cs="仿宋"/>
                <w:color w:val="auto"/>
                <w:sz w:val="24"/>
                <w:szCs w:val="24"/>
                <w:highlight w:val="none"/>
              </w:rPr>
            </w:pPr>
          </w:p>
        </w:tc>
        <w:tc>
          <w:tcPr>
            <w:tcW w:w="1388" w:type="dxa"/>
          </w:tcPr>
          <w:p w14:paraId="1CADBF67">
            <w:pPr>
              <w:spacing w:line="420" w:lineRule="exact"/>
              <w:rPr>
                <w:rFonts w:ascii="仿宋" w:hAnsi="仿宋" w:eastAsia="仿宋" w:cs="仿宋"/>
                <w:color w:val="auto"/>
                <w:sz w:val="24"/>
                <w:szCs w:val="24"/>
                <w:highlight w:val="none"/>
              </w:rPr>
            </w:pPr>
          </w:p>
        </w:tc>
        <w:tc>
          <w:tcPr>
            <w:tcW w:w="1260" w:type="dxa"/>
          </w:tcPr>
          <w:p w14:paraId="2C0F799F">
            <w:pPr>
              <w:spacing w:line="420" w:lineRule="exact"/>
              <w:rPr>
                <w:rFonts w:ascii="仿宋" w:hAnsi="仿宋" w:eastAsia="仿宋" w:cs="仿宋"/>
                <w:color w:val="auto"/>
                <w:sz w:val="24"/>
                <w:szCs w:val="24"/>
                <w:highlight w:val="none"/>
              </w:rPr>
            </w:pPr>
          </w:p>
        </w:tc>
        <w:tc>
          <w:tcPr>
            <w:tcW w:w="1440" w:type="dxa"/>
          </w:tcPr>
          <w:p w14:paraId="4E5EEF2D">
            <w:pPr>
              <w:spacing w:line="420" w:lineRule="exact"/>
              <w:rPr>
                <w:rFonts w:ascii="仿宋" w:hAnsi="仿宋" w:eastAsia="仿宋" w:cs="仿宋"/>
                <w:color w:val="auto"/>
                <w:sz w:val="24"/>
                <w:szCs w:val="24"/>
                <w:highlight w:val="none"/>
              </w:rPr>
            </w:pPr>
          </w:p>
        </w:tc>
      </w:tr>
      <w:tr w14:paraId="51C7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56" w:type="dxa"/>
          </w:tcPr>
          <w:p w14:paraId="54C32C12">
            <w:pPr>
              <w:spacing w:line="420" w:lineRule="exact"/>
              <w:rPr>
                <w:rFonts w:ascii="仿宋" w:hAnsi="仿宋" w:eastAsia="仿宋" w:cs="仿宋"/>
                <w:color w:val="auto"/>
                <w:sz w:val="24"/>
                <w:szCs w:val="24"/>
                <w:highlight w:val="none"/>
              </w:rPr>
            </w:pPr>
          </w:p>
        </w:tc>
        <w:tc>
          <w:tcPr>
            <w:tcW w:w="3332" w:type="dxa"/>
          </w:tcPr>
          <w:p w14:paraId="076EBD96">
            <w:pPr>
              <w:spacing w:line="420" w:lineRule="exact"/>
              <w:rPr>
                <w:rFonts w:ascii="仿宋" w:hAnsi="仿宋" w:eastAsia="仿宋" w:cs="仿宋"/>
                <w:color w:val="auto"/>
                <w:sz w:val="24"/>
                <w:szCs w:val="24"/>
                <w:highlight w:val="none"/>
              </w:rPr>
            </w:pPr>
          </w:p>
        </w:tc>
        <w:tc>
          <w:tcPr>
            <w:tcW w:w="1388" w:type="dxa"/>
          </w:tcPr>
          <w:p w14:paraId="2ABBAE82">
            <w:pPr>
              <w:spacing w:line="420" w:lineRule="exact"/>
              <w:rPr>
                <w:rFonts w:ascii="仿宋" w:hAnsi="仿宋" w:eastAsia="仿宋" w:cs="仿宋"/>
                <w:color w:val="auto"/>
                <w:sz w:val="24"/>
                <w:szCs w:val="24"/>
                <w:highlight w:val="none"/>
              </w:rPr>
            </w:pPr>
          </w:p>
        </w:tc>
        <w:tc>
          <w:tcPr>
            <w:tcW w:w="1260" w:type="dxa"/>
          </w:tcPr>
          <w:p w14:paraId="2814F788">
            <w:pPr>
              <w:spacing w:line="420" w:lineRule="exact"/>
              <w:rPr>
                <w:rFonts w:ascii="仿宋" w:hAnsi="仿宋" w:eastAsia="仿宋" w:cs="仿宋"/>
                <w:color w:val="auto"/>
                <w:sz w:val="24"/>
                <w:szCs w:val="24"/>
                <w:highlight w:val="none"/>
              </w:rPr>
            </w:pPr>
          </w:p>
        </w:tc>
        <w:tc>
          <w:tcPr>
            <w:tcW w:w="1440" w:type="dxa"/>
          </w:tcPr>
          <w:p w14:paraId="5D05787D">
            <w:pPr>
              <w:spacing w:line="420" w:lineRule="exact"/>
              <w:rPr>
                <w:rFonts w:ascii="仿宋" w:hAnsi="仿宋" w:eastAsia="仿宋" w:cs="仿宋"/>
                <w:color w:val="auto"/>
                <w:sz w:val="24"/>
                <w:szCs w:val="24"/>
                <w:highlight w:val="none"/>
              </w:rPr>
            </w:pPr>
          </w:p>
        </w:tc>
      </w:tr>
      <w:tr w14:paraId="7A69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76" w:type="dxa"/>
            <w:gridSpan w:val="5"/>
            <w:vAlign w:val="center"/>
          </w:tcPr>
          <w:p w14:paraId="08345CFA">
            <w:pPr>
              <w:spacing w:line="42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  佰   拾   万   仟   佰   拾   元    角    分  ￥：</w:t>
            </w:r>
          </w:p>
        </w:tc>
      </w:tr>
    </w:tbl>
    <w:p w14:paraId="4A48E84A">
      <w:pPr>
        <w:spacing w:line="420" w:lineRule="exac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二、服务要求</w:t>
      </w:r>
    </w:p>
    <w:p w14:paraId="3D90FBA1">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25DB7A82">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3EDF6D48">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p w14:paraId="787749CC">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AFBC408">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（以上按采购文件采购需求中对应的服务要求内容填写）</w:t>
      </w:r>
    </w:p>
    <w:p w14:paraId="519EC897">
      <w:pPr>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三、服务质量要求</w:t>
      </w:r>
    </w:p>
    <w:p w14:paraId="13C278BF">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58F40FFE">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14:paraId="2D9A6DC2">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p w14:paraId="0C810080">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13D942B6">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（以上按采购文件采购需求中对应的服务质量内容填写）</w:t>
      </w:r>
    </w:p>
    <w:p w14:paraId="5BBB6F4D">
      <w:pPr>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四、项目验收</w:t>
      </w:r>
    </w:p>
    <w:p w14:paraId="39088439">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项目由甲方单位组织验收。</w:t>
      </w:r>
    </w:p>
    <w:p w14:paraId="6E3C29C5">
      <w:pPr>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五、付款方式</w:t>
      </w:r>
    </w:p>
    <w:p w14:paraId="25FD298D">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（按采购文件规定付款方式填写）</w:t>
      </w:r>
    </w:p>
    <w:p w14:paraId="56954387">
      <w:pPr>
        <w:spacing w:line="4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履约保证金</w:t>
      </w:r>
    </w:p>
    <w:p w14:paraId="768E5BF2">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乙</w:t>
      </w:r>
      <w:r>
        <w:rPr>
          <w:rFonts w:hint="eastAsia" w:ascii="仿宋" w:hAnsi="仿宋" w:eastAsia="仿宋" w:cs="仿宋"/>
          <w:color w:val="auto"/>
          <w:sz w:val="24"/>
          <w:highlight w:val="none"/>
        </w:rPr>
        <w:t>方在签订合同前需向</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缴纳</w:t>
      </w:r>
      <w:r>
        <w:rPr>
          <w:rFonts w:hint="eastAsia" w:ascii="仿宋" w:hAnsi="仿宋" w:eastAsia="仿宋" w:cs="仿宋"/>
          <w:color w:val="auto"/>
          <w:sz w:val="24"/>
          <w:highlight w:val="none"/>
          <w:lang w:val="en-US" w:eastAsia="zh-CN"/>
        </w:rPr>
        <w:t>人民币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的履约保证金。</w:t>
      </w:r>
    </w:p>
    <w:p w14:paraId="4379D706">
      <w:pPr>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履约保证金在甲方将项目验收合格后，无息退还给乙方。</w:t>
      </w:r>
    </w:p>
    <w:p w14:paraId="0816B6F8">
      <w:pPr>
        <w:spacing w:line="420" w:lineRule="exact"/>
        <w:ind w:firstLine="480" w:firstLineChars="200"/>
        <w:rPr>
          <w:color w:val="auto"/>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如乙方未能履行合同规定的义务，甲方有权在履约保证金中取得补偿。</w:t>
      </w:r>
    </w:p>
    <w:p w14:paraId="231505E2">
      <w:pPr>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七、产品数量变更</w:t>
      </w:r>
    </w:p>
    <w:p w14:paraId="20768CF7">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过程中，甲方根据实际情况，需要增减与合同标的相同的产品（或服务），在不改变合同其他条款的前提下，可以与乙方协商签订补充合同，但所有补充合同的采购金额不得超过原合同采购金额的10%，增减产品（或服务）的价格为相应中标产品（或服务）的价格，且事先须向武义县财政局审核备案。</w:t>
      </w:r>
    </w:p>
    <w:p w14:paraId="39DF4CC1">
      <w:pPr>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八、售后服务</w:t>
      </w:r>
    </w:p>
    <w:p w14:paraId="12B84E30">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具体售后服务条款参照</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文件及乙方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文件中的售后服务承诺。</w:t>
      </w:r>
    </w:p>
    <w:p w14:paraId="5B119F0C">
      <w:pPr>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九、违约责任</w:t>
      </w:r>
    </w:p>
    <w:p w14:paraId="2A6FAAA8">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乙方不能交付产品（或服务），乙方向甲方支付合同款总价5%的违约金。</w:t>
      </w:r>
    </w:p>
    <w:p w14:paraId="69CDF476">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乙方逾期交付产品（或服务）的，每延误1天扣罚1000元，如乙方逾期15天，甲方有权解除合同，解除合同的通知自到达乙方时生效。</w:t>
      </w:r>
    </w:p>
    <w:p w14:paraId="6146D944">
      <w:pPr>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十、其他约定事项</w:t>
      </w:r>
    </w:p>
    <w:p w14:paraId="6CA66C7D">
      <w:pPr>
        <w:spacing w:line="42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14:paraId="753A2373">
      <w:pPr>
        <w:spacing w:line="42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14:paraId="6A6287CB">
      <w:pPr>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十一、解决合同纠纷方式</w:t>
      </w:r>
    </w:p>
    <w:p w14:paraId="68891FB8">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未尽事宜或履行时发生争议，由双方本着诚实信用的原则协商解决，协商不成功可选择</w:t>
      </w:r>
      <w:r>
        <w:rPr>
          <w:rFonts w:hint="eastAsia" w:ascii="仿宋" w:hAnsi="仿宋" w:eastAsia="仿宋" w:cs="仿宋"/>
          <w:color w:val="auto"/>
          <w:sz w:val="24"/>
          <w:szCs w:val="24"/>
          <w:highlight w:val="none"/>
          <w:u w:val="single"/>
        </w:rPr>
        <w:t>武义县</w:t>
      </w:r>
      <w:r>
        <w:rPr>
          <w:rFonts w:hint="eastAsia" w:ascii="仿宋" w:hAnsi="仿宋" w:eastAsia="仿宋" w:cs="仿宋"/>
          <w:color w:val="auto"/>
          <w:sz w:val="24"/>
          <w:szCs w:val="24"/>
          <w:highlight w:val="none"/>
        </w:rPr>
        <w:t>人民法院起诉。</w:t>
      </w:r>
    </w:p>
    <w:p w14:paraId="41C2B5A7">
      <w:pPr>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w:t>
      </w:r>
      <w:r>
        <w:rPr>
          <w:rFonts w:hint="eastAsia" w:ascii="仿宋" w:hAnsi="仿宋" w:eastAsia="仿宋" w:cs="仿宋"/>
          <w:b/>
          <w:color w:val="auto"/>
          <w:sz w:val="24"/>
          <w:szCs w:val="24"/>
          <w:highlight w:val="none"/>
          <w:lang w:eastAsia="zh-CN"/>
        </w:rPr>
        <w:t>其他</w:t>
      </w:r>
    </w:p>
    <w:p w14:paraId="12383B8E">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本项目的招标文件、投标文件、中标通知书作为合同的附件，具有同等法律效力。</w:t>
      </w:r>
    </w:p>
    <w:p w14:paraId="6E5E4B5F">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本合同自签订之日起生效。</w:t>
      </w:r>
    </w:p>
    <w:p w14:paraId="48650EE5">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本合同一式陆份，甲乙双方各执两份，采监科备案一份，代理机构存档一份。</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9"/>
        <w:gridCol w:w="4727"/>
      </w:tblGrid>
      <w:tr w14:paraId="2135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exact"/>
          <w:jc w:val="center"/>
        </w:trPr>
        <w:tc>
          <w:tcPr>
            <w:tcW w:w="4809" w:type="dxa"/>
          </w:tcPr>
          <w:p w14:paraId="3913451F">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甲  方</w:t>
            </w:r>
          </w:p>
          <w:p w14:paraId="69EAD05D">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单位名称（盖章）：</w:t>
            </w:r>
          </w:p>
          <w:p w14:paraId="0B647C8B">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单位地址：</w:t>
            </w:r>
          </w:p>
          <w:p w14:paraId="1ED3B312">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w:t>
            </w:r>
          </w:p>
          <w:p w14:paraId="0DB5D4B9">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或项目经办人（签字）：</w:t>
            </w:r>
          </w:p>
          <w:p w14:paraId="246251A7">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电话：</w:t>
            </w:r>
          </w:p>
          <w:p w14:paraId="21082484">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邮政编码：</w:t>
            </w:r>
          </w:p>
          <w:p w14:paraId="402F7DF4">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p>
          <w:p w14:paraId="5E6C8072">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p>
          <w:p w14:paraId="4A004809">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p>
        </w:tc>
        <w:tc>
          <w:tcPr>
            <w:tcW w:w="4727" w:type="dxa"/>
          </w:tcPr>
          <w:p w14:paraId="4BEA1059">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乙  方</w:t>
            </w:r>
          </w:p>
          <w:p w14:paraId="6381D163">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单位名称（盖章）：</w:t>
            </w:r>
          </w:p>
          <w:p w14:paraId="0284C13E">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单位地址：</w:t>
            </w:r>
          </w:p>
          <w:p w14:paraId="2260391C">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w:t>
            </w:r>
          </w:p>
          <w:p w14:paraId="633779A5">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或委托代理人（签字）：</w:t>
            </w:r>
          </w:p>
          <w:p w14:paraId="27188144">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电话：</w:t>
            </w:r>
          </w:p>
          <w:p w14:paraId="6CF671DD">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开户银行（必填）：</w:t>
            </w:r>
          </w:p>
          <w:p w14:paraId="3C135D8F">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账号（必填）：</w:t>
            </w:r>
          </w:p>
          <w:p w14:paraId="5A447B99">
            <w:pPr>
              <w:keepNext w:val="0"/>
              <w:keepLines w:val="0"/>
              <w:pageBreakBefore w:val="0"/>
              <w:widowControl w:val="0"/>
              <w:kinsoku/>
              <w:wordWrap/>
              <w:overflowPunct/>
              <w:topLinePunct w:val="0"/>
              <w:autoSpaceDE w:val="0"/>
              <w:autoSpaceDN w:val="0"/>
              <w:bidi w:val="0"/>
              <w:adjustRightInd w:val="0"/>
              <w:snapToGrid/>
              <w:spacing w:line="360" w:lineRule="exact"/>
              <w:ind w:left="-78" w:leftChars="-37" w:right="-57" w:rightChars="-27"/>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邮政编码： </w:t>
            </w:r>
          </w:p>
        </w:tc>
      </w:tr>
      <w:tr w14:paraId="00E0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jc w:val="center"/>
        </w:trPr>
        <w:tc>
          <w:tcPr>
            <w:tcW w:w="9536" w:type="dxa"/>
            <w:gridSpan w:val="2"/>
          </w:tcPr>
          <w:p w14:paraId="703AE17D">
            <w:pPr>
              <w:tabs>
                <w:tab w:val="left" w:pos="760"/>
              </w:tabs>
              <w:spacing w:line="360" w:lineRule="auto"/>
              <w:jc w:val="left"/>
              <w:rPr>
                <w:rFonts w:ascii="仿宋" w:hAnsi="仿宋" w:eastAsia="仿宋" w:cs="仿宋"/>
                <w:color w:val="auto"/>
                <w:sz w:val="24"/>
                <w:highlight w:val="none"/>
              </w:rPr>
            </w:pPr>
          </w:p>
          <w:p w14:paraId="3BBCBDF6">
            <w:pPr>
              <w:tabs>
                <w:tab w:val="left" w:pos="760"/>
              </w:tabs>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见证方（盖章）：金华同慷建设管理咨询有限公司</w:t>
            </w:r>
          </w:p>
          <w:p w14:paraId="002430C4">
            <w:pPr>
              <w:tabs>
                <w:tab w:val="left" w:pos="760"/>
              </w:tabs>
              <w:spacing w:line="360" w:lineRule="auto"/>
              <w:jc w:val="left"/>
              <w:rPr>
                <w:rFonts w:ascii="仿宋" w:hAnsi="仿宋" w:eastAsia="仿宋" w:cs="仿宋"/>
                <w:color w:val="auto"/>
                <w:highlight w:val="none"/>
              </w:rPr>
            </w:pPr>
          </w:p>
        </w:tc>
      </w:tr>
    </w:tbl>
    <w:p w14:paraId="482A3D6F">
      <w:pPr>
        <w:rPr>
          <w:rFonts w:hint="eastAsia" w:ascii="仿宋" w:hAnsi="仿宋" w:eastAsia="仿宋" w:cs="仿宋"/>
          <w:b/>
          <w:color w:val="auto"/>
          <w:kern w:val="44"/>
          <w:sz w:val="36"/>
          <w:szCs w:val="36"/>
          <w:highlight w:val="none"/>
        </w:rPr>
      </w:pPr>
      <w:r>
        <w:rPr>
          <w:rFonts w:hint="eastAsia" w:ascii="仿宋" w:hAnsi="仿宋" w:eastAsia="仿宋" w:cs="仿宋"/>
          <w:b/>
          <w:color w:val="auto"/>
          <w:kern w:val="44"/>
          <w:sz w:val="36"/>
          <w:szCs w:val="36"/>
          <w:highlight w:val="none"/>
        </w:rPr>
        <w:br w:type="page"/>
      </w:r>
    </w:p>
    <w:p w14:paraId="45520441">
      <w:pPr>
        <w:widowControl/>
        <w:tabs>
          <w:tab w:val="left" w:pos="450"/>
          <w:tab w:val="left" w:pos="2520"/>
          <w:tab w:val="left" w:pos="8280"/>
        </w:tabs>
        <w:spacing w:line="312" w:lineRule="auto"/>
        <w:jc w:val="center"/>
        <w:outlineLvl w:val="0"/>
        <w:rPr>
          <w:rFonts w:ascii="仿宋" w:hAnsi="仿宋" w:eastAsia="仿宋" w:cs="仿宋"/>
          <w:b/>
          <w:color w:val="auto"/>
          <w:kern w:val="44"/>
          <w:sz w:val="36"/>
          <w:szCs w:val="36"/>
          <w:highlight w:val="none"/>
        </w:rPr>
      </w:pPr>
      <w:r>
        <w:rPr>
          <w:rFonts w:hint="eastAsia" w:ascii="仿宋" w:hAnsi="仿宋" w:eastAsia="仿宋" w:cs="仿宋"/>
          <w:b/>
          <w:color w:val="auto"/>
          <w:kern w:val="44"/>
          <w:sz w:val="36"/>
          <w:szCs w:val="36"/>
          <w:highlight w:val="none"/>
        </w:rPr>
        <w:t>第六章  应提交的有关格式范例</w:t>
      </w:r>
    </w:p>
    <w:p w14:paraId="6D31FA69">
      <w:pPr>
        <w:widowControl/>
        <w:tabs>
          <w:tab w:val="left" w:pos="450"/>
          <w:tab w:val="left" w:pos="8280"/>
        </w:tabs>
        <w:spacing w:line="312" w:lineRule="auto"/>
        <w:ind w:firstLine="480"/>
        <w:jc w:val="center"/>
        <w:rPr>
          <w:rFonts w:ascii="仿宋" w:hAnsi="仿宋" w:eastAsia="仿宋" w:cs="仿宋"/>
          <w:b/>
          <w:bCs/>
          <w:color w:val="auto"/>
          <w:sz w:val="32"/>
          <w:szCs w:val="32"/>
          <w:highlight w:val="none"/>
        </w:rPr>
      </w:pPr>
    </w:p>
    <w:p w14:paraId="57085917">
      <w:pPr>
        <w:widowControl/>
        <w:tabs>
          <w:tab w:val="left" w:pos="450"/>
          <w:tab w:val="left" w:pos="2520"/>
          <w:tab w:val="left" w:pos="8280"/>
        </w:tabs>
        <w:spacing w:line="312" w:lineRule="auto"/>
        <w:jc w:val="center"/>
        <w:outlineLvl w:val="1"/>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一、封面格式</w:t>
      </w:r>
    </w:p>
    <w:p w14:paraId="7AC63E19">
      <w:pPr>
        <w:widowControl/>
        <w:tabs>
          <w:tab w:val="left" w:pos="8280"/>
        </w:tabs>
        <w:spacing w:line="312" w:lineRule="auto"/>
        <w:ind w:firstLine="480"/>
        <w:jc w:val="center"/>
        <w:rPr>
          <w:rFonts w:ascii="仿宋" w:hAnsi="仿宋" w:eastAsia="仿宋" w:cs="仿宋"/>
          <w:b/>
          <w:color w:val="auto"/>
          <w:sz w:val="30"/>
          <w:szCs w:val="30"/>
          <w:highlight w:val="none"/>
        </w:rPr>
      </w:pPr>
    </w:p>
    <w:p w14:paraId="6D23CD3E">
      <w:pPr>
        <w:widowControl/>
        <w:tabs>
          <w:tab w:val="left" w:pos="450"/>
          <w:tab w:val="left" w:pos="2520"/>
          <w:tab w:val="left" w:pos="8280"/>
        </w:tabs>
        <w:spacing w:line="312"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资格文件/商务</w:t>
      </w:r>
      <w:r>
        <w:rPr>
          <w:rFonts w:hint="eastAsia" w:ascii="仿宋" w:hAnsi="仿宋" w:eastAsia="仿宋" w:cs="仿宋"/>
          <w:b/>
          <w:bCs/>
          <w:color w:val="auto"/>
          <w:sz w:val="30"/>
          <w:szCs w:val="30"/>
          <w:highlight w:val="none"/>
        </w:rPr>
        <w:t>技术</w:t>
      </w:r>
      <w:r>
        <w:rPr>
          <w:rFonts w:hint="eastAsia" w:ascii="仿宋" w:hAnsi="仿宋" w:eastAsia="仿宋" w:cs="仿宋"/>
          <w:b/>
          <w:color w:val="auto"/>
          <w:sz w:val="30"/>
          <w:szCs w:val="30"/>
          <w:highlight w:val="none"/>
        </w:rPr>
        <w:t>文件/报价文件</w:t>
      </w:r>
    </w:p>
    <w:p w14:paraId="3FC9CF7E">
      <w:pPr>
        <w:widowControl/>
        <w:tabs>
          <w:tab w:val="left" w:pos="275"/>
          <w:tab w:val="left" w:pos="8280"/>
        </w:tabs>
        <w:spacing w:line="312" w:lineRule="auto"/>
        <w:ind w:firstLine="480"/>
        <w:jc w:val="left"/>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ab/>
      </w:r>
    </w:p>
    <w:p w14:paraId="21741BE0">
      <w:pPr>
        <w:widowControl/>
        <w:tabs>
          <w:tab w:val="left" w:pos="275"/>
          <w:tab w:val="left" w:pos="8280"/>
        </w:tabs>
        <w:spacing w:line="312" w:lineRule="auto"/>
        <w:jc w:val="left"/>
        <w:rPr>
          <w:rFonts w:ascii="仿宋" w:hAnsi="仿宋" w:eastAsia="仿宋" w:cs="仿宋"/>
          <w:b/>
          <w:color w:val="auto"/>
          <w:sz w:val="30"/>
          <w:szCs w:val="30"/>
          <w:highlight w:val="none"/>
          <w:u w:val="single"/>
        </w:rPr>
      </w:pPr>
      <w:r>
        <w:rPr>
          <w:rFonts w:hint="eastAsia" w:ascii="仿宋" w:hAnsi="仿宋" w:eastAsia="仿宋" w:cs="仿宋"/>
          <w:b/>
          <w:color w:val="auto"/>
          <w:sz w:val="30"/>
          <w:szCs w:val="30"/>
          <w:highlight w:val="none"/>
        </w:rPr>
        <w:t>项目名称：</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w:t>
      </w:r>
      <w:r>
        <w:rPr>
          <w:rFonts w:hint="eastAsia" w:ascii="仿宋" w:hAnsi="仿宋" w:eastAsia="仿宋" w:cs="仿宋"/>
          <w:b/>
          <w:color w:val="auto"/>
          <w:sz w:val="30"/>
          <w:szCs w:val="30"/>
          <w:highlight w:val="none"/>
          <w:u w:val="single"/>
        </w:rPr>
        <w:t xml:space="preserve">      </w:t>
      </w:r>
    </w:p>
    <w:p w14:paraId="13A419A7">
      <w:pPr>
        <w:widowControl/>
        <w:tabs>
          <w:tab w:val="left" w:pos="275"/>
          <w:tab w:val="left" w:pos="8280"/>
        </w:tabs>
        <w:spacing w:line="312" w:lineRule="auto"/>
        <w:ind w:firstLine="443" w:firstLineChars="147"/>
        <w:jc w:val="left"/>
        <w:rPr>
          <w:rFonts w:ascii="仿宋" w:hAnsi="仿宋" w:eastAsia="仿宋" w:cs="仿宋"/>
          <w:b/>
          <w:color w:val="auto"/>
          <w:sz w:val="30"/>
          <w:szCs w:val="30"/>
          <w:highlight w:val="none"/>
        </w:rPr>
      </w:pPr>
    </w:p>
    <w:p w14:paraId="07AF545B">
      <w:pPr>
        <w:widowControl/>
        <w:tabs>
          <w:tab w:val="left" w:pos="275"/>
          <w:tab w:val="left" w:pos="8280"/>
        </w:tabs>
        <w:spacing w:line="312" w:lineRule="auto"/>
        <w:jc w:val="left"/>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项目编号：</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rPr>
        <w:t xml:space="preserve">   </w:t>
      </w:r>
    </w:p>
    <w:p w14:paraId="3DC3A722">
      <w:pPr>
        <w:widowControl/>
        <w:tabs>
          <w:tab w:val="left" w:pos="765"/>
          <w:tab w:val="left" w:pos="8280"/>
        </w:tabs>
        <w:spacing w:line="312" w:lineRule="auto"/>
        <w:ind w:firstLine="480"/>
        <w:jc w:val="left"/>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ab/>
      </w:r>
    </w:p>
    <w:p w14:paraId="26BABC88">
      <w:pPr>
        <w:widowControl/>
        <w:tabs>
          <w:tab w:val="left" w:pos="765"/>
          <w:tab w:val="left" w:pos="8280"/>
        </w:tabs>
        <w:spacing w:line="312" w:lineRule="auto"/>
        <w:jc w:val="left"/>
        <w:rPr>
          <w:rFonts w:hint="eastAsia" w:ascii="仿宋" w:hAnsi="仿宋" w:eastAsia="仿宋" w:cs="仿宋"/>
          <w:b/>
          <w:color w:val="auto"/>
          <w:sz w:val="30"/>
          <w:szCs w:val="30"/>
          <w:highlight w:val="none"/>
          <w:u w:val="single"/>
        </w:rPr>
      </w:pPr>
      <w:r>
        <w:rPr>
          <w:rFonts w:hint="eastAsia" w:ascii="仿宋" w:hAnsi="仿宋" w:eastAsia="仿宋" w:cs="仿宋"/>
          <w:b/>
          <w:color w:val="auto"/>
          <w:sz w:val="30"/>
          <w:szCs w:val="30"/>
          <w:highlight w:val="none"/>
        </w:rPr>
        <w:t>投标人：</w:t>
      </w:r>
      <w:r>
        <w:rPr>
          <w:rFonts w:hint="eastAsia" w:ascii="仿宋" w:hAnsi="仿宋" w:eastAsia="仿宋" w:cs="仿宋"/>
          <w:b/>
          <w:color w:val="auto"/>
          <w:sz w:val="30"/>
          <w:szCs w:val="30"/>
          <w:highlight w:val="none"/>
          <w:u w:val="single"/>
        </w:rPr>
        <w:t xml:space="preserve">           （盖章）     </w:t>
      </w:r>
      <w:r>
        <w:rPr>
          <w:rFonts w:hint="eastAsia" w:ascii="仿宋" w:hAnsi="仿宋" w:eastAsia="仿宋" w:cs="仿宋"/>
          <w:b/>
          <w:color w:val="auto"/>
          <w:sz w:val="30"/>
          <w:szCs w:val="30"/>
          <w:highlight w:val="none"/>
          <w:u w:val="single"/>
          <w:lang w:val="en-US" w:eastAsia="zh-CN"/>
        </w:rPr>
        <w:t xml:space="preserve">       </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w:t>
      </w:r>
      <w:r>
        <w:rPr>
          <w:rFonts w:hint="eastAsia" w:ascii="仿宋" w:hAnsi="仿宋" w:eastAsia="仿宋" w:cs="仿宋"/>
          <w:b/>
          <w:color w:val="auto"/>
          <w:sz w:val="30"/>
          <w:szCs w:val="30"/>
          <w:highlight w:val="none"/>
          <w:u w:val="single"/>
        </w:rPr>
        <w:t xml:space="preserve">      </w:t>
      </w:r>
    </w:p>
    <w:p w14:paraId="1C679635">
      <w:pPr>
        <w:pStyle w:val="2"/>
        <w:rPr>
          <w:rFonts w:hint="eastAsia"/>
          <w:color w:val="auto"/>
          <w:highlight w:val="none"/>
        </w:rPr>
      </w:pPr>
    </w:p>
    <w:p w14:paraId="17161F20">
      <w:pPr>
        <w:widowControl/>
        <w:tabs>
          <w:tab w:val="left" w:pos="765"/>
          <w:tab w:val="left" w:pos="8280"/>
        </w:tabs>
        <w:spacing w:line="312" w:lineRule="auto"/>
        <w:jc w:val="left"/>
        <w:rPr>
          <w:rFonts w:hint="default"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法定代表人或委托代理人（签字或盖章）：</w:t>
      </w:r>
      <w:r>
        <w:rPr>
          <w:rFonts w:hint="eastAsia" w:ascii="仿宋" w:hAnsi="仿宋" w:eastAsia="仿宋" w:cs="仿宋"/>
          <w:b/>
          <w:color w:val="auto"/>
          <w:sz w:val="30"/>
          <w:szCs w:val="30"/>
          <w:highlight w:val="none"/>
          <w:u w:val="single"/>
          <w:lang w:val="en-US" w:eastAsia="zh-CN"/>
        </w:rPr>
        <w:t xml:space="preserve">     </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w:t>
      </w:r>
    </w:p>
    <w:p w14:paraId="0C1B8915">
      <w:pPr>
        <w:widowControl/>
        <w:tabs>
          <w:tab w:val="left" w:pos="8280"/>
        </w:tabs>
        <w:spacing w:line="312" w:lineRule="auto"/>
        <w:ind w:firstLine="480"/>
        <w:jc w:val="center"/>
        <w:rPr>
          <w:rFonts w:ascii="仿宋" w:hAnsi="仿宋" w:eastAsia="仿宋" w:cs="仿宋"/>
          <w:b/>
          <w:color w:val="auto"/>
          <w:sz w:val="30"/>
          <w:szCs w:val="30"/>
          <w:highlight w:val="none"/>
        </w:rPr>
      </w:pPr>
    </w:p>
    <w:p w14:paraId="07C29D55">
      <w:pPr>
        <w:widowControl/>
        <w:tabs>
          <w:tab w:val="left" w:pos="350"/>
          <w:tab w:val="left" w:pos="8280"/>
        </w:tabs>
        <w:spacing w:line="312" w:lineRule="auto"/>
        <w:jc w:val="left"/>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日期：       年     月     日</w:t>
      </w:r>
    </w:p>
    <w:p w14:paraId="13F63555">
      <w:pPr>
        <w:widowControl/>
        <w:tabs>
          <w:tab w:val="left" w:pos="350"/>
          <w:tab w:val="left" w:pos="8280"/>
        </w:tabs>
        <w:spacing w:line="312" w:lineRule="auto"/>
        <w:ind w:firstLine="480"/>
        <w:jc w:val="left"/>
        <w:rPr>
          <w:rFonts w:ascii="仿宋" w:hAnsi="仿宋" w:eastAsia="仿宋" w:cs="仿宋"/>
          <w:b/>
          <w:color w:val="auto"/>
          <w:sz w:val="32"/>
          <w:szCs w:val="32"/>
          <w:highlight w:val="none"/>
        </w:rPr>
      </w:pPr>
    </w:p>
    <w:p w14:paraId="12A04423">
      <w:pPr>
        <w:widowControl/>
        <w:tabs>
          <w:tab w:val="left" w:pos="450"/>
          <w:tab w:val="left" w:pos="2520"/>
          <w:tab w:val="left" w:pos="8280"/>
        </w:tabs>
        <w:spacing w:line="312" w:lineRule="auto"/>
        <w:ind w:firstLine="480"/>
        <w:jc w:val="center"/>
        <w:rPr>
          <w:rFonts w:ascii="仿宋" w:hAnsi="仿宋" w:eastAsia="仿宋" w:cs="仿宋"/>
          <w:b/>
          <w:bCs/>
          <w:color w:val="auto"/>
          <w:sz w:val="32"/>
          <w:szCs w:val="32"/>
          <w:highlight w:val="none"/>
        </w:rPr>
      </w:pPr>
    </w:p>
    <w:p w14:paraId="57A9BE9A">
      <w:pPr>
        <w:widowControl/>
        <w:tabs>
          <w:tab w:val="left" w:pos="450"/>
          <w:tab w:val="left" w:pos="2520"/>
          <w:tab w:val="left" w:pos="8280"/>
        </w:tabs>
        <w:spacing w:line="312" w:lineRule="auto"/>
        <w:ind w:firstLine="480"/>
        <w:jc w:val="center"/>
        <w:rPr>
          <w:rFonts w:ascii="仿宋" w:hAnsi="仿宋" w:eastAsia="仿宋" w:cs="仿宋"/>
          <w:b/>
          <w:bCs/>
          <w:color w:val="auto"/>
          <w:sz w:val="32"/>
          <w:szCs w:val="32"/>
          <w:highlight w:val="none"/>
        </w:rPr>
        <w:sectPr>
          <w:footerReference r:id="rId10" w:type="default"/>
          <w:pgSz w:w="11906" w:h="16838"/>
          <w:pgMar w:top="1247" w:right="1134" w:bottom="1020" w:left="1418" w:header="851" w:footer="907" w:gutter="0"/>
          <w:pgBorders>
            <w:top w:val="none" w:sz="0" w:space="0"/>
            <w:left w:val="none" w:sz="0" w:space="0"/>
            <w:bottom w:val="none" w:sz="0" w:space="0"/>
            <w:right w:val="none" w:sz="0" w:space="0"/>
          </w:pgBorders>
          <w:pgNumType w:fmt="decimal"/>
          <w:cols w:space="720" w:num="1"/>
          <w:titlePg/>
          <w:docGrid w:type="lines" w:linePitch="312" w:charSpace="0"/>
        </w:sectPr>
      </w:pPr>
    </w:p>
    <w:p w14:paraId="798BCFE0">
      <w:pPr>
        <w:widowControl/>
        <w:tabs>
          <w:tab w:val="left" w:pos="450"/>
          <w:tab w:val="left" w:pos="2520"/>
          <w:tab w:val="left" w:pos="8280"/>
        </w:tabs>
        <w:spacing w:line="312" w:lineRule="auto"/>
        <w:jc w:val="center"/>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二、符合参加政府采购活动应当具备的一般条件的承诺函</w:t>
      </w:r>
    </w:p>
    <w:p w14:paraId="09152704">
      <w:pPr>
        <w:autoSpaceDE/>
        <w:autoSpaceDN/>
        <w:adjustRightInd/>
        <w:spacing w:line="520" w:lineRule="exact"/>
        <w:rPr>
          <w:rFonts w:hint="eastAsia" w:ascii="Times New Roman" w:hAnsi="Times New Roman" w:eastAsia="方正仿宋_GB2312" w:cs="Times New Roman"/>
          <w:color w:val="auto"/>
          <w:sz w:val="24"/>
          <w:highlight w:val="none"/>
          <w:lang w:eastAsia="zh-CN"/>
        </w:rPr>
      </w:pPr>
      <w:r>
        <w:rPr>
          <w:rFonts w:hint="eastAsia" w:ascii="Times New Roman" w:hAnsi="Times New Roman" w:eastAsia="方正仿宋_GB2312" w:cs="Times New Roman"/>
          <w:color w:val="auto"/>
          <w:sz w:val="24"/>
          <w:highlight w:val="none"/>
          <w:u w:val="single"/>
          <w:lang w:eastAsia="zh-CN"/>
        </w:rPr>
        <w:t>（采购人）、（采购代理机构）</w:t>
      </w:r>
      <w:r>
        <w:rPr>
          <w:rFonts w:hint="eastAsia" w:ascii="Times New Roman" w:hAnsi="Times New Roman" w:eastAsia="方正仿宋_GB2312" w:cs="Times New Roman"/>
          <w:color w:val="auto"/>
          <w:sz w:val="24"/>
          <w:highlight w:val="none"/>
          <w:lang w:eastAsia="zh-CN"/>
        </w:rPr>
        <w:t>：</w:t>
      </w:r>
    </w:p>
    <w:p w14:paraId="028B54B0">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ascii="Times New Roman" w:hAnsi="Times New Roman" w:eastAsia="方正仿宋_GB2312" w:cs="Times New Roman"/>
          <w:color w:val="auto"/>
          <w:sz w:val="24"/>
          <w:highlight w:val="none"/>
          <w:lang w:eastAsia="zh-CN"/>
        </w:rPr>
        <w:t>我方参与</w:t>
      </w:r>
      <w:r>
        <w:rPr>
          <w:rFonts w:hint="eastAsia" w:ascii="Times New Roman" w:hAnsi="Times New Roman" w:eastAsia="方正仿宋_GB2312" w:cs="Times New Roman"/>
          <w:color w:val="auto"/>
          <w:sz w:val="24"/>
          <w:highlight w:val="none"/>
          <w:u w:val="single"/>
          <w:lang w:val="en-US" w:eastAsia="zh-CN"/>
        </w:rPr>
        <w:t xml:space="preserve">                </w:t>
      </w:r>
      <w:r>
        <w:rPr>
          <w:rFonts w:hint="eastAsia" w:ascii="Times New Roman" w:hAnsi="Times New Roman" w:eastAsia="方正仿宋_GB2312" w:cs="Times New Roman"/>
          <w:color w:val="auto"/>
          <w:sz w:val="24"/>
          <w:highlight w:val="none"/>
          <w:lang w:eastAsia="zh-CN"/>
        </w:rPr>
        <w:t>项目【项目编号：</w:t>
      </w:r>
      <w:r>
        <w:rPr>
          <w:rFonts w:hint="eastAsia" w:ascii="Times New Roman" w:hAnsi="Times New Roman" w:eastAsia="方正仿宋_GB2312" w:cs="Times New Roman"/>
          <w:color w:val="auto"/>
          <w:sz w:val="24"/>
          <w:highlight w:val="none"/>
          <w:u w:val="single"/>
          <w:lang w:val="en-US" w:eastAsia="zh-CN"/>
        </w:rPr>
        <w:t xml:space="preserve">                </w:t>
      </w:r>
      <w:r>
        <w:rPr>
          <w:rFonts w:hint="eastAsia" w:ascii="Times New Roman" w:hAnsi="Times New Roman" w:eastAsia="方正仿宋_GB2312" w:cs="Times New Roman"/>
          <w:color w:val="auto"/>
          <w:sz w:val="24"/>
          <w:highlight w:val="none"/>
          <w:lang w:eastAsia="zh-CN"/>
        </w:rPr>
        <w:t>】政府采购活动，郑重承诺：</w:t>
      </w:r>
    </w:p>
    <w:p w14:paraId="2E055675">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ascii="Times New Roman" w:hAnsi="Times New Roman" w:eastAsia="方正仿宋_GB2312" w:cs="Times New Roman"/>
          <w:color w:val="auto"/>
          <w:sz w:val="24"/>
          <w:highlight w:val="none"/>
          <w:lang w:eastAsia="zh-CN"/>
        </w:rPr>
        <w:t>（一）具备《中华人民共和国政府采购法》第二十二条第一款规定的条件：</w:t>
      </w:r>
    </w:p>
    <w:p w14:paraId="423BBD5B">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eastAsia="方正仿宋_GB2312" w:cs="Times New Roman"/>
          <w:color w:val="auto"/>
          <w:sz w:val="24"/>
          <w:highlight w:val="none"/>
          <w:lang w:eastAsia="zh-CN"/>
        </w:rPr>
        <w:t>1.</w:t>
      </w:r>
      <w:r>
        <w:rPr>
          <w:rFonts w:hint="eastAsia" w:ascii="Times New Roman" w:hAnsi="Times New Roman" w:eastAsia="方正仿宋_GB2312" w:cs="Times New Roman"/>
          <w:color w:val="auto"/>
          <w:sz w:val="24"/>
          <w:highlight w:val="none"/>
          <w:lang w:eastAsia="zh-CN"/>
        </w:rPr>
        <w:t>具有独立承担民事责任的能力；</w:t>
      </w:r>
    </w:p>
    <w:p w14:paraId="1B57DCE7">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eastAsia="方正仿宋_GB2312" w:cs="Times New Roman"/>
          <w:color w:val="auto"/>
          <w:sz w:val="24"/>
          <w:highlight w:val="none"/>
          <w:lang w:eastAsia="zh-CN"/>
        </w:rPr>
        <w:t>2.</w:t>
      </w:r>
      <w:r>
        <w:rPr>
          <w:rFonts w:hint="eastAsia" w:ascii="Times New Roman" w:hAnsi="Times New Roman" w:eastAsia="方正仿宋_GB2312" w:cs="Times New Roman"/>
          <w:color w:val="auto"/>
          <w:sz w:val="24"/>
          <w:highlight w:val="none"/>
          <w:lang w:eastAsia="zh-CN"/>
        </w:rPr>
        <w:t xml:space="preserve">具有良好的商业信誉和健全的财务会计制度； </w:t>
      </w:r>
    </w:p>
    <w:p w14:paraId="4DD14C1D">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eastAsia="方正仿宋_GB2312" w:cs="Times New Roman"/>
          <w:color w:val="auto"/>
          <w:sz w:val="24"/>
          <w:highlight w:val="none"/>
          <w:lang w:eastAsia="zh-CN"/>
        </w:rPr>
        <w:t>3.</w:t>
      </w:r>
      <w:r>
        <w:rPr>
          <w:rFonts w:hint="eastAsia" w:ascii="Times New Roman" w:hAnsi="Times New Roman" w:eastAsia="方正仿宋_GB2312" w:cs="Times New Roman"/>
          <w:color w:val="auto"/>
          <w:sz w:val="24"/>
          <w:highlight w:val="none"/>
          <w:lang w:eastAsia="zh-CN"/>
        </w:rPr>
        <w:t>具有履行合同所必需的设备和专业技术能力；</w:t>
      </w:r>
    </w:p>
    <w:p w14:paraId="68F9957A">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eastAsia="方正仿宋_GB2312" w:cs="Times New Roman"/>
          <w:color w:val="auto"/>
          <w:sz w:val="24"/>
          <w:highlight w:val="none"/>
          <w:lang w:eastAsia="zh-CN"/>
        </w:rPr>
        <w:t>4.</w:t>
      </w:r>
      <w:r>
        <w:rPr>
          <w:rFonts w:hint="eastAsia" w:ascii="Times New Roman" w:hAnsi="Times New Roman" w:eastAsia="方正仿宋_GB2312" w:cs="Times New Roman"/>
          <w:color w:val="auto"/>
          <w:sz w:val="24"/>
          <w:highlight w:val="none"/>
          <w:lang w:eastAsia="zh-CN"/>
        </w:rPr>
        <w:t>有依法缴纳税收和社会保障资金的良好记录；</w:t>
      </w:r>
    </w:p>
    <w:p w14:paraId="61F2382F">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eastAsia="方正仿宋_GB2312" w:cs="Times New Roman"/>
          <w:color w:val="auto"/>
          <w:sz w:val="24"/>
          <w:highlight w:val="none"/>
          <w:lang w:eastAsia="zh-CN"/>
        </w:rPr>
        <w:t>5.</w:t>
      </w:r>
      <w:r>
        <w:rPr>
          <w:rFonts w:hint="eastAsia" w:ascii="Times New Roman" w:hAnsi="Times New Roman" w:eastAsia="方正仿宋_GB2312" w:cs="Times New Roman"/>
          <w:color w:val="auto"/>
          <w:sz w:val="24"/>
          <w:highlight w:val="none"/>
          <w:lang w:eastAsia="zh-CN"/>
        </w:rPr>
        <w:t>参加政府采购活动前三年内，在经营活动中没有重大违法记录；</w:t>
      </w:r>
    </w:p>
    <w:p w14:paraId="7D643421">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eastAsia="方正仿宋_GB2312" w:cs="Times New Roman"/>
          <w:color w:val="auto"/>
          <w:sz w:val="24"/>
          <w:highlight w:val="none"/>
          <w:lang w:eastAsia="zh-CN"/>
        </w:rPr>
        <w:t>6.</w:t>
      </w:r>
      <w:r>
        <w:rPr>
          <w:rFonts w:hint="eastAsia" w:ascii="Times New Roman" w:hAnsi="Times New Roman" w:eastAsia="方正仿宋_GB2312" w:cs="Times New Roman"/>
          <w:color w:val="auto"/>
          <w:sz w:val="24"/>
          <w:highlight w:val="none"/>
          <w:lang w:eastAsia="zh-CN"/>
        </w:rPr>
        <w:t>具有法律、行政法规规定的其他条件。</w:t>
      </w:r>
    </w:p>
    <w:p w14:paraId="15C6A1D4">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ascii="Times New Roman" w:hAnsi="Times New Roman" w:eastAsia="方正仿宋_GB2312" w:cs="Times New Roman"/>
          <w:color w:val="auto"/>
          <w:sz w:val="24"/>
          <w:highlight w:val="none"/>
          <w:lang w:eastAsia="zh-CN"/>
        </w:rPr>
        <w:t>（二）未被信用中国（www.creditchina.gov.cn</w:t>
      </w:r>
      <w:r>
        <w:rPr>
          <w:rFonts w:hint="eastAsia" w:eastAsia="方正仿宋_GB2312" w:cs="Times New Roman"/>
          <w:color w:val="auto"/>
          <w:sz w:val="24"/>
          <w:highlight w:val="none"/>
          <w:lang w:eastAsia="zh-CN"/>
        </w:rPr>
        <w:t>）</w:t>
      </w:r>
      <w:r>
        <w:rPr>
          <w:rFonts w:hint="eastAsia" w:ascii="Times New Roman" w:hAnsi="Times New Roman" w:eastAsia="方正仿宋_GB2312" w:cs="Times New Roman"/>
          <w:color w:val="auto"/>
          <w:sz w:val="24"/>
          <w:highlight w:val="none"/>
          <w:lang w:eastAsia="zh-CN"/>
        </w:rPr>
        <w:t>、中国政府采购网（www.ccgp.gov.cn）列入失信被执行人、重大税收违法案件当事人名单、政府采购严重违法失信行为记录名单。</w:t>
      </w:r>
    </w:p>
    <w:p w14:paraId="0016675D">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ascii="Times New Roman" w:hAnsi="Times New Roman" w:eastAsia="方正仿宋_GB2312" w:cs="Times New Roman"/>
          <w:color w:val="auto"/>
          <w:sz w:val="24"/>
          <w:highlight w:val="none"/>
          <w:lang w:eastAsia="zh-CN"/>
        </w:rPr>
        <w:t>（三）不存在以下情况：</w:t>
      </w:r>
    </w:p>
    <w:p w14:paraId="71997173">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eastAsia="方正仿宋_GB2312" w:cs="Times New Roman"/>
          <w:color w:val="auto"/>
          <w:sz w:val="24"/>
          <w:highlight w:val="none"/>
          <w:lang w:eastAsia="zh-CN"/>
        </w:rPr>
        <w:t>1.</w:t>
      </w:r>
      <w:r>
        <w:rPr>
          <w:rFonts w:hint="eastAsia" w:ascii="Times New Roman" w:hAnsi="Times New Roman" w:eastAsia="方正仿宋_GB2312" w:cs="Times New Roman"/>
          <w:color w:val="auto"/>
          <w:sz w:val="24"/>
          <w:highlight w:val="none"/>
          <w:lang w:eastAsia="zh-CN"/>
        </w:rPr>
        <w:t>单位负责人为同一人或者存在直接控股、管理关系的不同供应商参加同一合同项下的政府采购活动的；</w:t>
      </w:r>
    </w:p>
    <w:p w14:paraId="6DA353B5">
      <w:pPr>
        <w:autoSpaceDE/>
        <w:autoSpaceDN/>
        <w:adjustRightInd/>
        <w:spacing w:line="520" w:lineRule="exact"/>
        <w:ind w:firstLine="600" w:firstLineChars="250"/>
        <w:rPr>
          <w:rFonts w:hint="eastAsia" w:ascii="Times New Roman" w:hAnsi="Times New Roman" w:eastAsia="方正仿宋_GB2312" w:cs="Times New Roman"/>
          <w:color w:val="auto"/>
          <w:sz w:val="24"/>
          <w:highlight w:val="none"/>
          <w:lang w:eastAsia="zh-CN"/>
        </w:rPr>
      </w:pPr>
      <w:r>
        <w:rPr>
          <w:rFonts w:hint="eastAsia" w:eastAsia="方正仿宋_GB2312" w:cs="Times New Roman"/>
          <w:color w:val="auto"/>
          <w:sz w:val="24"/>
          <w:highlight w:val="none"/>
          <w:lang w:eastAsia="zh-CN"/>
        </w:rPr>
        <w:t>2.</w:t>
      </w:r>
      <w:r>
        <w:rPr>
          <w:rFonts w:hint="eastAsia" w:ascii="Times New Roman" w:hAnsi="Times New Roman" w:eastAsia="方正仿宋_GB2312" w:cs="Times New Roman"/>
          <w:color w:val="auto"/>
          <w:sz w:val="24"/>
          <w:highlight w:val="none"/>
          <w:lang w:eastAsia="zh-CN"/>
        </w:rPr>
        <w:t>为采购项目提供整体设计、规范编制或者项目管理、监理、检测等服务后再参加该采购项目的其他采购活动的。</w:t>
      </w:r>
    </w:p>
    <w:p w14:paraId="174B1BE7">
      <w:pPr>
        <w:pStyle w:val="3"/>
        <w:rPr>
          <w:rFonts w:hint="eastAsia" w:ascii="Times New Roman" w:hAnsi="Times New Roman" w:eastAsia="方正仿宋_GB2312" w:cs="Times New Roman"/>
          <w:color w:val="auto"/>
          <w:sz w:val="24"/>
          <w:highlight w:val="none"/>
          <w:lang w:val="en-US" w:eastAsia="zh-CN"/>
        </w:rPr>
      </w:pPr>
    </w:p>
    <w:p w14:paraId="7E061A02">
      <w:pPr>
        <w:pStyle w:val="11"/>
        <w:rPr>
          <w:rFonts w:hint="default"/>
          <w:color w:val="auto"/>
          <w:highlight w:val="none"/>
          <w:lang w:val="en-US" w:eastAsia="zh-CN"/>
        </w:rPr>
      </w:pPr>
    </w:p>
    <w:p w14:paraId="06C2FA20">
      <w:pPr>
        <w:spacing w:beforeLines="50"/>
        <w:ind w:firstLine="3600" w:firstLineChars="1500"/>
        <w:rPr>
          <w:rFonts w:eastAsia="方正仿宋_GB2312"/>
          <w:color w:val="auto"/>
          <w:sz w:val="24"/>
          <w:highlight w:val="none"/>
        </w:rPr>
      </w:pPr>
      <w:r>
        <w:rPr>
          <w:rFonts w:eastAsia="方正仿宋_GB2312"/>
          <w:color w:val="auto"/>
          <w:sz w:val="24"/>
          <w:highlight w:val="none"/>
        </w:rPr>
        <w:t>投标人：</w:t>
      </w:r>
      <w:r>
        <w:rPr>
          <w:rFonts w:eastAsia="方正仿宋_GB2312"/>
          <w:color w:val="auto"/>
          <w:sz w:val="24"/>
          <w:highlight w:val="none"/>
          <w:u w:val="single"/>
        </w:rPr>
        <w:t>（</w:t>
      </w:r>
      <w:r>
        <w:rPr>
          <w:rFonts w:hint="eastAsia" w:eastAsia="方正仿宋_GB2312"/>
          <w:color w:val="auto"/>
          <w:sz w:val="24"/>
          <w:highlight w:val="none"/>
          <w:u w:val="single"/>
          <w:lang w:eastAsia="zh-CN"/>
        </w:rPr>
        <w:t>盖章</w:t>
      </w:r>
      <w:r>
        <w:rPr>
          <w:rFonts w:eastAsia="方正仿宋_GB2312"/>
          <w:color w:val="auto"/>
          <w:sz w:val="24"/>
          <w:highlight w:val="none"/>
          <w:u w:val="single"/>
        </w:rPr>
        <w:t>）</w:t>
      </w:r>
    </w:p>
    <w:p w14:paraId="4A11B342">
      <w:pPr>
        <w:spacing w:beforeLines="50"/>
        <w:ind w:firstLine="3600" w:firstLineChars="1500"/>
        <w:rPr>
          <w:rFonts w:eastAsia="方正仿宋_GB2312"/>
          <w:color w:val="auto"/>
          <w:sz w:val="24"/>
          <w:highlight w:val="none"/>
          <w:u w:val="single"/>
        </w:rPr>
      </w:pPr>
      <w:r>
        <w:rPr>
          <w:rFonts w:eastAsia="方正仿宋_GB2312"/>
          <w:color w:val="auto"/>
          <w:sz w:val="24"/>
          <w:highlight w:val="none"/>
        </w:rPr>
        <w:t>法定代表人或委托代理人：</w:t>
      </w:r>
      <w:r>
        <w:rPr>
          <w:rFonts w:eastAsia="方正仿宋_GB2312"/>
          <w:color w:val="auto"/>
          <w:sz w:val="24"/>
          <w:highlight w:val="none"/>
          <w:u w:val="single"/>
        </w:rPr>
        <w:t>（签字或盖章）</w:t>
      </w:r>
    </w:p>
    <w:p w14:paraId="3E34D1B1">
      <w:pPr>
        <w:spacing w:beforeLines="50"/>
        <w:ind w:firstLine="3600" w:firstLineChars="1500"/>
        <w:rPr>
          <w:rFonts w:ascii="仿宋" w:hAnsi="仿宋" w:eastAsia="仿宋" w:cs="仿宋"/>
          <w:color w:val="auto"/>
          <w:sz w:val="24"/>
          <w:szCs w:val="24"/>
          <w:highlight w:val="none"/>
        </w:rPr>
      </w:pPr>
      <w:r>
        <w:rPr>
          <w:rFonts w:hint="eastAsia" w:ascii="Times New Roman" w:hAnsi="Times New Roman" w:eastAsia="方正仿宋_GB2312" w:cs="Times New Roman"/>
          <w:color w:val="auto"/>
          <w:sz w:val="24"/>
          <w:highlight w:val="none"/>
        </w:rPr>
        <w:t>日期</w:t>
      </w:r>
      <w:r>
        <w:rPr>
          <w:rFonts w:hint="eastAsia" w:eastAsia="方正仿宋_GB2312"/>
          <w:color w:val="auto"/>
          <w:sz w:val="24"/>
          <w:highlight w:val="none"/>
        </w:rPr>
        <w:t>：</w:t>
      </w:r>
    </w:p>
    <w:p w14:paraId="5F32E2AE">
      <w:pPr>
        <w:rPr>
          <w:rFonts w:hint="eastAsia" w:ascii="仿宋" w:hAnsi="仿宋" w:eastAsia="仿宋" w:cs="仿宋"/>
          <w:b/>
          <w:bCs/>
          <w:color w:val="auto"/>
          <w:sz w:val="30"/>
          <w:szCs w:val="30"/>
          <w:highlight w:val="none"/>
        </w:rPr>
      </w:pPr>
    </w:p>
    <w:p w14:paraId="7CBF7274">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193D2590">
      <w:pPr>
        <w:widowControl/>
        <w:tabs>
          <w:tab w:val="left" w:pos="450"/>
          <w:tab w:val="left" w:pos="2520"/>
          <w:tab w:val="left" w:pos="8280"/>
        </w:tabs>
        <w:spacing w:line="312" w:lineRule="auto"/>
        <w:jc w:val="center"/>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三、法定代表人资格书</w:t>
      </w:r>
    </w:p>
    <w:p w14:paraId="2014A642">
      <w:pPr>
        <w:pStyle w:val="13"/>
        <w:ind w:firstLine="0" w:firstLineChars="0"/>
        <w:jc w:val="both"/>
        <w:rPr>
          <w:rFonts w:hint="eastAsia" w:ascii="宋体" w:hAnsi="宋体"/>
          <w:b w:val="0"/>
          <w:bCs w:val="0"/>
          <w:color w:val="auto"/>
          <w:sz w:val="24"/>
          <w:szCs w:val="24"/>
          <w:highlight w:val="none"/>
        </w:rPr>
      </w:pPr>
    </w:p>
    <w:p w14:paraId="2E4696EB">
      <w:pPr>
        <w:pStyle w:val="13"/>
        <w:spacing w:line="660" w:lineRule="exact"/>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单位名称：</w:t>
      </w:r>
    </w:p>
    <w:p w14:paraId="239F3367">
      <w:pPr>
        <w:pStyle w:val="13"/>
        <w:spacing w:line="660" w:lineRule="exact"/>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地址：</w:t>
      </w:r>
    </w:p>
    <w:p w14:paraId="763FB57F">
      <w:pPr>
        <w:pStyle w:val="13"/>
        <w:spacing w:line="660" w:lineRule="exact"/>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rPr>
        <w:t>姓名：        性别：        年龄</w:t>
      </w:r>
      <w:r>
        <w:rPr>
          <w:rFonts w:hint="eastAsia" w:ascii="仿宋" w:hAnsi="仿宋" w:eastAsia="仿宋" w:cs="仿宋"/>
          <w:b w:val="0"/>
          <w:bCs w:val="0"/>
          <w:color w:val="auto"/>
          <w:sz w:val="24"/>
          <w:szCs w:val="24"/>
          <w:highlight w:val="none"/>
          <w:u w:val="single"/>
          <w:lang w:eastAsia="zh-CN"/>
        </w:rPr>
        <w:t>：</w:t>
      </w:r>
      <w:r>
        <w:rPr>
          <w:rFonts w:hint="eastAsia" w:ascii="仿宋" w:hAnsi="仿宋" w:eastAsia="仿宋" w:cs="仿宋"/>
          <w:b w:val="0"/>
          <w:bCs w:val="0"/>
          <w:color w:val="auto"/>
          <w:sz w:val="24"/>
          <w:szCs w:val="24"/>
          <w:highlight w:val="none"/>
          <w:u w:val="single"/>
        </w:rPr>
        <w:t xml:space="preserve">          职务：            </w:t>
      </w:r>
    </w:p>
    <w:p w14:paraId="3B0DEA97">
      <w:pPr>
        <w:pStyle w:val="13"/>
        <w:spacing w:line="660" w:lineRule="exact"/>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系</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的法定代表人。为</w:t>
      </w:r>
      <w:r>
        <w:rPr>
          <w:rFonts w:hint="eastAsia" w:ascii="仿宋" w:hAnsi="仿宋" w:eastAsia="仿宋" w:cs="仿宋"/>
          <w:b w:val="0"/>
          <w:bCs w:val="0"/>
          <w:color w:val="auto"/>
          <w:sz w:val="24"/>
          <w:szCs w:val="24"/>
          <w:highlight w:val="none"/>
          <w:u w:val="single"/>
        </w:rPr>
        <w:t xml:space="preserve">            （项目名称）</w:t>
      </w:r>
      <w:r>
        <w:rPr>
          <w:rFonts w:hint="eastAsia" w:ascii="仿宋" w:hAnsi="仿宋" w:eastAsia="仿宋" w:cs="仿宋"/>
          <w:b w:val="0"/>
          <w:bCs w:val="0"/>
          <w:color w:val="auto"/>
          <w:sz w:val="24"/>
          <w:szCs w:val="24"/>
          <w:highlight w:val="none"/>
        </w:rPr>
        <w:t>，签署上述投标文件、进行合同谈判、签署合同和处理与之有关的一切事务。</w:t>
      </w:r>
    </w:p>
    <w:p w14:paraId="36B2A063">
      <w:pPr>
        <w:pStyle w:val="13"/>
        <w:spacing w:line="660" w:lineRule="exact"/>
        <w:ind w:firstLine="480" w:firstLineChars="200"/>
        <w:jc w:val="both"/>
        <w:rPr>
          <w:rFonts w:hint="eastAsia" w:ascii="宋体" w:hAnsi="宋体"/>
          <w:b w:val="0"/>
          <w:bCs w:val="0"/>
          <w:color w:val="auto"/>
          <w:sz w:val="24"/>
          <w:szCs w:val="24"/>
          <w:highlight w:val="none"/>
        </w:rPr>
      </w:pPr>
      <w:r>
        <w:rPr>
          <w:rFonts w:hint="eastAsia" w:ascii="仿宋" w:hAnsi="仿宋" w:eastAsia="仿宋" w:cs="仿宋"/>
          <w:b w:val="0"/>
          <w:bCs w:val="0"/>
          <w:color w:val="auto"/>
          <w:sz w:val="24"/>
          <w:szCs w:val="24"/>
          <w:highlight w:val="none"/>
        </w:rPr>
        <w:t>特此说明。</w:t>
      </w:r>
    </w:p>
    <w:p w14:paraId="307CCBC0">
      <w:pPr>
        <w:pStyle w:val="13"/>
        <w:spacing w:line="660" w:lineRule="exact"/>
        <w:ind w:firstLine="482" w:firstLineChars="200"/>
        <w:jc w:val="both"/>
        <w:rPr>
          <w:rFonts w:hint="eastAsia" w:ascii="宋体" w:hAnsi="宋体" w:eastAsia="仿宋"/>
          <w:b/>
          <w:bCs/>
          <w:color w:val="auto"/>
          <w:sz w:val="24"/>
          <w:szCs w:val="24"/>
          <w:highlight w:val="none"/>
          <w:lang w:val="en-US" w:eastAsia="zh-CN"/>
        </w:rPr>
      </w:pPr>
      <w:r>
        <w:rPr>
          <w:rFonts w:hint="eastAsia" w:ascii="仿宋" w:hAnsi="仿宋" w:eastAsia="仿宋" w:cs="仿宋"/>
          <w:b/>
          <w:bCs/>
          <w:color w:val="auto"/>
          <w:sz w:val="24"/>
          <w:szCs w:val="24"/>
          <w:highlight w:val="none"/>
        </w:rPr>
        <w:t>附</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法定代表人身份证复印件（正反面）</w:t>
      </w:r>
      <w:r>
        <w:rPr>
          <w:rFonts w:hint="eastAsia" w:ascii="仿宋" w:hAnsi="仿宋" w:eastAsia="仿宋" w:cs="仿宋"/>
          <w:b/>
          <w:bCs/>
          <w:color w:val="auto"/>
          <w:sz w:val="24"/>
          <w:szCs w:val="24"/>
          <w:highlight w:val="none"/>
          <w:lang w:eastAsia="zh-CN"/>
        </w:rPr>
        <w:t>。</w:t>
      </w:r>
    </w:p>
    <w:p w14:paraId="0A814B02">
      <w:pPr>
        <w:pStyle w:val="13"/>
        <w:spacing w:line="660" w:lineRule="exact"/>
        <w:ind w:firstLine="0" w:firstLineChars="0"/>
        <w:jc w:val="both"/>
        <w:rPr>
          <w:rFonts w:hint="eastAsia" w:ascii="宋体" w:hAnsi="宋体"/>
          <w:b w:val="0"/>
          <w:bCs w:val="0"/>
          <w:color w:val="auto"/>
          <w:sz w:val="24"/>
          <w:szCs w:val="24"/>
          <w:highlight w:val="none"/>
        </w:rPr>
      </w:pPr>
    </w:p>
    <w:p w14:paraId="7C8162F1">
      <w:pPr>
        <w:pStyle w:val="13"/>
        <w:spacing w:line="660" w:lineRule="exact"/>
        <w:ind w:firstLine="5280" w:firstLineChars="2200"/>
        <w:jc w:val="both"/>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（盖章）    </w:t>
      </w:r>
    </w:p>
    <w:p w14:paraId="616706E9">
      <w:pPr>
        <w:spacing w:line="420" w:lineRule="exact"/>
        <w:ind w:firstLine="480" w:firstLineChars="200"/>
        <w:rPr>
          <w:rFonts w:ascii="仿宋" w:hAnsi="仿宋" w:eastAsia="仿宋" w:cs="仿宋"/>
          <w:color w:val="auto"/>
          <w:sz w:val="24"/>
          <w:szCs w:val="24"/>
          <w:highlight w:val="none"/>
        </w:rPr>
      </w:pPr>
    </w:p>
    <w:p w14:paraId="75E151E2">
      <w:pPr>
        <w:pStyle w:val="13"/>
        <w:spacing w:line="660" w:lineRule="exact"/>
        <w:ind w:firstLine="5040" w:firstLineChars="2100"/>
        <w:jc w:val="both"/>
        <w:rPr>
          <w:rFonts w:ascii="宋体" w:hAnsi="宋体"/>
          <w:color w:val="auto"/>
          <w:sz w:val="28"/>
          <w:szCs w:val="28"/>
          <w:highlight w:val="none"/>
        </w:rPr>
      </w:pPr>
      <w:r>
        <w:rPr>
          <w:rFonts w:hint="eastAsia" w:ascii="仿宋" w:hAnsi="仿宋" w:eastAsia="仿宋" w:cs="仿宋"/>
          <w:b w:val="0"/>
          <w:bCs w:val="0"/>
          <w:color w:val="auto"/>
          <w:sz w:val="24"/>
          <w:szCs w:val="24"/>
          <w:highlight w:val="none"/>
        </w:rPr>
        <w:t>日期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817736C">
      <w:pPr>
        <w:pStyle w:val="13"/>
        <w:ind w:firstLine="562" w:firstLineChars="0"/>
        <w:jc w:val="both"/>
        <w:rPr>
          <w:rFonts w:ascii="宋体" w:hAnsi="宋体"/>
          <w:color w:val="auto"/>
          <w:sz w:val="28"/>
          <w:szCs w:val="28"/>
          <w:highlight w:val="none"/>
        </w:rPr>
      </w:pPr>
    </w:p>
    <w:p w14:paraId="10F807FC">
      <w:pPr>
        <w:pStyle w:val="13"/>
        <w:ind w:firstLine="0" w:firstLineChars="0"/>
        <w:jc w:val="center"/>
        <w:outlineLvl w:val="1"/>
        <w:rPr>
          <w:rFonts w:hint="eastAsia" w:ascii="仿宋" w:hAnsi="仿宋" w:eastAsia="仿宋" w:cs="仿宋"/>
          <w:b/>
          <w:bCs/>
          <w:color w:val="auto"/>
          <w:kern w:val="0"/>
          <w:sz w:val="30"/>
          <w:szCs w:val="30"/>
          <w:highlight w:val="none"/>
          <w:lang w:val="en-US" w:eastAsia="zh-CN" w:bidi="ar-SA"/>
        </w:rPr>
      </w:pPr>
      <w:r>
        <w:rPr>
          <w:rFonts w:hint="eastAsia" w:ascii="宋体" w:hAnsi="宋体"/>
          <w:color w:val="auto"/>
          <w:sz w:val="28"/>
          <w:szCs w:val="28"/>
          <w:highlight w:val="none"/>
        </w:rPr>
        <w:br w:type="page"/>
      </w:r>
      <w:r>
        <w:rPr>
          <w:rFonts w:hint="eastAsia" w:ascii="仿宋" w:hAnsi="仿宋" w:eastAsia="仿宋" w:cs="仿宋"/>
          <w:b/>
          <w:bCs/>
          <w:color w:val="auto"/>
          <w:kern w:val="0"/>
          <w:sz w:val="30"/>
          <w:szCs w:val="30"/>
          <w:highlight w:val="none"/>
          <w:lang w:val="en-US" w:eastAsia="zh-CN" w:bidi="ar-SA"/>
        </w:rPr>
        <w:t>或三、法定代表人授权委托书</w:t>
      </w:r>
    </w:p>
    <w:p w14:paraId="4A1478A8">
      <w:pPr>
        <w:pStyle w:val="13"/>
        <w:ind w:firstLine="562" w:firstLineChars="0"/>
        <w:jc w:val="center"/>
        <w:rPr>
          <w:rFonts w:hint="eastAsia" w:ascii="宋体" w:hAnsi="宋体"/>
          <w:b w:val="0"/>
          <w:bCs w:val="0"/>
          <w:color w:val="auto"/>
          <w:sz w:val="24"/>
          <w:szCs w:val="24"/>
          <w:highlight w:val="none"/>
        </w:rPr>
      </w:pPr>
    </w:p>
    <w:p w14:paraId="40DFAB31">
      <w:pPr>
        <w:pStyle w:val="48"/>
        <w:tabs>
          <w:tab w:val="left" w:pos="3025"/>
          <w:tab w:val="left" w:pos="4105"/>
          <w:tab w:val="left" w:pos="8800"/>
        </w:tabs>
        <w:spacing w:after="120" w:line="457" w:lineRule="exact"/>
        <w:ind w:left="280"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本人作为</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rPr>
        <w:t>的法定代表人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在此授权我公司的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作为我的合法的委托代理人，以我的名义并代表我公司全权处理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项目投标的各项事宜</w:t>
      </w:r>
      <w:r>
        <w:rPr>
          <w:rFonts w:hint="eastAsia" w:ascii="仿宋" w:hAnsi="仿宋" w:eastAsia="仿宋" w:cs="仿宋"/>
          <w:i/>
          <w:iCs/>
          <w:color w:val="auto"/>
          <w:sz w:val="24"/>
          <w:szCs w:val="24"/>
          <w:highlight w:val="none"/>
        </w:rPr>
        <w:t>。</w:t>
      </w:r>
    </w:p>
    <w:p w14:paraId="79BA79AC">
      <w:pPr>
        <w:pStyle w:val="48"/>
        <w:tabs>
          <w:tab w:val="left" w:pos="3070"/>
          <w:tab w:val="left" w:pos="3910"/>
          <w:tab w:val="left" w:pos="4750"/>
          <w:tab w:val="left" w:pos="6085"/>
          <w:tab w:val="left" w:pos="6925"/>
          <w:tab w:val="left" w:pos="7765"/>
        </w:tabs>
        <w:spacing w:after="120" w:line="461" w:lineRule="exact"/>
        <w:ind w:firstLine="7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本授权书期限自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日起至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日止。</w:t>
      </w:r>
    </w:p>
    <w:p w14:paraId="1DCB81D3">
      <w:pPr>
        <w:pStyle w:val="48"/>
        <w:spacing w:after="120" w:line="465" w:lineRule="exact"/>
        <w:ind w:left="28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在此授权范围和期限内，被授权人所实施的行为具有法律效力，授权人予以认可。</w:t>
      </w:r>
    </w:p>
    <w:p w14:paraId="649250DD">
      <w:pPr>
        <w:pStyle w:val="48"/>
        <w:spacing w:after="120" w:line="461" w:lineRule="exact"/>
        <w:ind w:firstLine="7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委托代理人无权转让委托权，特此委托。</w:t>
      </w:r>
    </w:p>
    <w:p w14:paraId="26AEAAFE">
      <w:pPr>
        <w:pStyle w:val="48"/>
        <w:tabs>
          <w:tab w:val="left" w:pos="3385"/>
          <w:tab w:val="left" w:pos="4835"/>
        </w:tabs>
        <w:spacing w:after="120" w:line="461" w:lineRule="exact"/>
        <w:ind w:firstLine="7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年龄：</w:t>
      </w:r>
    </w:p>
    <w:p w14:paraId="7BB55748">
      <w:pPr>
        <w:pStyle w:val="48"/>
        <w:tabs>
          <w:tab w:val="left" w:pos="3385"/>
        </w:tabs>
        <w:spacing w:after="120" w:line="461" w:lineRule="exact"/>
        <w:ind w:firstLine="7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职务：</w:t>
      </w:r>
    </w:p>
    <w:p w14:paraId="60F66F56">
      <w:pPr>
        <w:pStyle w:val="48"/>
        <w:spacing w:after="300" w:line="461" w:lineRule="exact"/>
        <w:ind w:firstLine="7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委托代理人手机号码：</w:t>
      </w:r>
    </w:p>
    <w:p w14:paraId="5A4EEC82">
      <w:pPr>
        <w:snapToGrid w:val="0"/>
        <w:spacing w:line="360" w:lineRule="auto"/>
        <w:rPr>
          <w:rFonts w:hint="eastAsia" w:ascii="仿宋" w:hAnsi="仿宋" w:eastAsia="仿宋" w:cs="仿宋"/>
          <w:color w:val="auto"/>
          <w:sz w:val="24"/>
          <w:szCs w:val="24"/>
          <w:highlight w:val="none"/>
        </w:rPr>
      </w:pPr>
    </w:p>
    <w:p w14:paraId="0FA5C3C3">
      <w:pPr>
        <w:spacing w:line="360" w:lineRule="auto"/>
        <w:rPr>
          <w:rFonts w:hint="eastAsia" w:ascii="仿宋" w:hAnsi="仿宋" w:eastAsia="仿宋" w:cs="仿宋"/>
          <w:color w:val="auto"/>
          <w:sz w:val="24"/>
          <w:szCs w:val="24"/>
          <w:highlight w:val="none"/>
        </w:rPr>
      </w:pPr>
    </w:p>
    <w:p w14:paraId="324CA0ED">
      <w:pPr>
        <w:spacing w:line="360" w:lineRule="auto"/>
        <w:rPr>
          <w:rFonts w:hint="eastAsia" w:ascii="仿宋" w:hAnsi="仿宋" w:eastAsia="仿宋" w:cs="仿宋"/>
          <w:color w:val="auto"/>
          <w:sz w:val="24"/>
          <w:szCs w:val="24"/>
          <w:highlight w:val="none"/>
        </w:rPr>
      </w:pPr>
    </w:p>
    <w:p w14:paraId="5DD41FBB">
      <w:pPr>
        <w:pStyle w:val="13"/>
        <w:spacing w:line="660" w:lineRule="exact"/>
        <w:ind w:firstLine="48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附：</w:t>
      </w:r>
      <w:r>
        <w:rPr>
          <w:rFonts w:hint="eastAsia" w:ascii="仿宋" w:hAnsi="仿宋" w:eastAsia="仿宋" w:cs="仿宋"/>
          <w:b/>
          <w:bCs/>
          <w:color w:val="auto"/>
          <w:sz w:val="24"/>
          <w:szCs w:val="24"/>
          <w:highlight w:val="none"/>
        </w:rPr>
        <w:t>法定代表人和被授权人身份证复印件（正反面）。</w:t>
      </w:r>
    </w:p>
    <w:p w14:paraId="11CA4EE7">
      <w:pPr>
        <w:spacing w:line="360" w:lineRule="auto"/>
        <w:ind w:firstLine="4440" w:firstLineChars="1850"/>
        <w:rPr>
          <w:rFonts w:hint="eastAsia" w:ascii="仿宋" w:hAnsi="仿宋" w:eastAsia="仿宋" w:cs="仿宋"/>
          <w:color w:val="auto"/>
          <w:sz w:val="24"/>
          <w:szCs w:val="24"/>
          <w:highlight w:val="none"/>
        </w:rPr>
      </w:pPr>
    </w:p>
    <w:p w14:paraId="6BBB6E94">
      <w:pPr>
        <w:spacing w:beforeLines="50"/>
        <w:ind w:firstLine="3600" w:firstLineChars="1500"/>
        <w:rPr>
          <w:rFonts w:eastAsia="方正仿宋_GB2312"/>
          <w:color w:val="auto"/>
          <w:sz w:val="24"/>
          <w:highlight w:val="none"/>
        </w:rPr>
      </w:pPr>
      <w:r>
        <w:rPr>
          <w:rFonts w:eastAsia="方正仿宋_GB2312"/>
          <w:color w:val="auto"/>
          <w:sz w:val="24"/>
          <w:highlight w:val="none"/>
        </w:rPr>
        <w:t>投标人：</w:t>
      </w:r>
      <w:r>
        <w:rPr>
          <w:rFonts w:eastAsia="方正仿宋_GB2312"/>
          <w:color w:val="auto"/>
          <w:sz w:val="24"/>
          <w:highlight w:val="none"/>
          <w:u w:val="single"/>
        </w:rPr>
        <w:t>（</w:t>
      </w:r>
      <w:r>
        <w:rPr>
          <w:rFonts w:hint="eastAsia" w:eastAsia="方正仿宋_GB2312"/>
          <w:color w:val="auto"/>
          <w:sz w:val="24"/>
          <w:highlight w:val="none"/>
          <w:u w:val="single"/>
          <w:lang w:eastAsia="zh-CN"/>
        </w:rPr>
        <w:t>盖章</w:t>
      </w:r>
      <w:r>
        <w:rPr>
          <w:rFonts w:eastAsia="方正仿宋_GB2312"/>
          <w:color w:val="auto"/>
          <w:sz w:val="24"/>
          <w:highlight w:val="none"/>
          <w:u w:val="single"/>
        </w:rPr>
        <w:t>）</w:t>
      </w:r>
    </w:p>
    <w:p w14:paraId="49FFCB74">
      <w:pPr>
        <w:spacing w:beforeLines="50"/>
        <w:ind w:firstLine="3600" w:firstLineChars="1500"/>
        <w:rPr>
          <w:rFonts w:eastAsia="方正仿宋_GB2312"/>
          <w:color w:val="auto"/>
          <w:sz w:val="24"/>
          <w:highlight w:val="none"/>
          <w:u w:val="single"/>
        </w:rPr>
      </w:pPr>
      <w:r>
        <w:rPr>
          <w:rFonts w:eastAsia="方正仿宋_GB2312"/>
          <w:color w:val="auto"/>
          <w:sz w:val="24"/>
          <w:highlight w:val="none"/>
        </w:rPr>
        <w:t>法定代表人：</w:t>
      </w:r>
      <w:r>
        <w:rPr>
          <w:rFonts w:eastAsia="方正仿宋_GB2312"/>
          <w:color w:val="auto"/>
          <w:sz w:val="24"/>
          <w:highlight w:val="none"/>
          <w:u w:val="single"/>
        </w:rPr>
        <w:t>（签字或盖章）</w:t>
      </w:r>
    </w:p>
    <w:p w14:paraId="153D99B6">
      <w:pPr>
        <w:spacing w:beforeLines="50"/>
        <w:ind w:firstLine="3600" w:firstLineChars="1500"/>
        <w:rPr>
          <w:rFonts w:eastAsia="方正仿宋_GB2312"/>
          <w:color w:val="auto"/>
          <w:sz w:val="24"/>
          <w:highlight w:val="none"/>
        </w:rPr>
      </w:pPr>
      <w:r>
        <w:rPr>
          <w:rFonts w:hint="eastAsia" w:eastAsia="方正仿宋_GB2312"/>
          <w:color w:val="auto"/>
          <w:sz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85D55D5">
      <w:pPr>
        <w:spacing w:line="420" w:lineRule="exact"/>
        <w:rPr>
          <w:rFonts w:ascii="仿宋" w:hAnsi="仿宋" w:eastAsia="仿宋" w:cs="仿宋"/>
          <w:color w:val="auto"/>
          <w:sz w:val="24"/>
          <w:szCs w:val="24"/>
          <w:highlight w:val="none"/>
        </w:rPr>
      </w:pPr>
    </w:p>
    <w:p w14:paraId="16DE8627">
      <w:pPr>
        <w:spacing w:line="312" w:lineRule="auto"/>
        <w:rPr>
          <w:rFonts w:ascii="仿宋" w:hAnsi="仿宋" w:eastAsia="仿宋" w:cs="仿宋"/>
          <w:color w:val="auto"/>
          <w:sz w:val="24"/>
          <w:szCs w:val="24"/>
          <w:highlight w:val="none"/>
        </w:rPr>
      </w:pPr>
    </w:p>
    <w:p w14:paraId="6C6F8849">
      <w:pPr>
        <w:spacing w:line="312" w:lineRule="auto"/>
        <w:rPr>
          <w:rFonts w:ascii="仿宋" w:hAnsi="仿宋" w:eastAsia="仿宋" w:cs="仿宋"/>
          <w:color w:val="auto"/>
          <w:sz w:val="24"/>
          <w:szCs w:val="24"/>
          <w:highlight w:val="none"/>
        </w:rPr>
      </w:pPr>
    </w:p>
    <w:p w14:paraId="22F3600C">
      <w:pPr>
        <w:spacing w:line="312" w:lineRule="auto"/>
        <w:rPr>
          <w:rFonts w:ascii="仿宋" w:hAnsi="仿宋" w:eastAsia="仿宋" w:cs="仿宋"/>
          <w:color w:val="auto"/>
          <w:sz w:val="24"/>
          <w:szCs w:val="24"/>
          <w:highlight w:val="none"/>
        </w:rPr>
      </w:pPr>
    </w:p>
    <w:p w14:paraId="61DCC58C">
      <w:pPr>
        <w:spacing w:line="312" w:lineRule="auto"/>
        <w:rPr>
          <w:rFonts w:ascii="仿宋" w:hAnsi="仿宋" w:eastAsia="仿宋" w:cs="仿宋"/>
          <w:color w:val="auto"/>
          <w:sz w:val="24"/>
          <w:szCs w:val="24"/>
          <w:highlight w:val="none"/>
        </w:rPr>
      </w:pPr>
    </w:p>
    <w:p w14:paraId="5D3A2C19">
      <w:pPr>
        <w:pStyle w:val="13"/>
        <w:ind w:firstLine="0" w:firstLineChars="0"/>
        <w:jc w:val="center"/>
        <w:outlineLvl w:val="1"/>
        <w:rPr>
          <w:rFonts w:ascii="Times New Roman" w:hAnsi="Times New Roman" w:eastAsia="方正仿宋_GB2312"/>
          <w:color w:val="auto"/>
          <w:szCs w:val="21"/>
          <w:highlight w:val="none"/>
        </w:rPr>
      </w:pPr>
      <w:r>
        <w:rPr>
          <w:rFonts w:hint="eastAsia" w:ascii="仿宋" w:hAnsi="仿宋" w:eastAsia="仿宋" w:cs="仿宋"/>
          <w:b/>
          <w:bCs/>
          <w:color w:val="auto"/>
          <w:sz w:val="30"/>
          <w:szCs w:val="30"/>
          <w:highlight w:val="none"/>
        </w:rPr>
        <w:br w:type="page"/>
      </w:r>
      <w:r>
        <w:rPr>
          <w:rFonts w:hint="eastAsia" w:ascii="仿宋" w:hAnsi="仿宋" w:eastAsia="仿宋" w:cs="仿宋"/>
          <w:b/>
          <w:bCs/>
          <w:color w:val="auto"/>
          <w:kern w:val="0"/>
          <w:sz w:val="30"/>
          <w:szCs w:val="30"/>
          <w:highlight w:val="none"/>
          <w:lang w:val="en-US" w:eastAsia="zh-CN" w:bidi="ar-SA"/>
        </w:rPr>
        <w:t>四、投标声明函</w:t>
      </w:r>
    </w:p>
    <w:p w14:paraId="31C29580">
      <w:pPr>
        <w:pStyle w:val="14"/>
        <w:spacing w:before="120" w:after="120" w:line="288" w:lineRule="auto"/>
        <w:rPr>
          <w:rFonts w:ascii="仿宋" w:hAnsi="仿宋" w:eastAsia="仿宋"/>
          <w:color w:val="auto"/>
          <w:szCs w:val="24"/>
          <w:highlight w:val="none"/>
        </w:rPr>
      </w:pPr>
      <w:r>
        <w:rPr>
          <w:rFonts w:ascii="仿宋" w:hAnsi="仿宋" w:eastAsia="仿宋"/>
          <w:color w:val="auto"/>
          <w:szCs w:val="24"/>
          <w:highlight w:val="none"/>
        </w:rPr>
        <w:t>致：</w:t>
      </w:r>
      <w:r>
        <w:rPr>
          <w:rFonts w:ascii="仿宋" w:hAnsi="仿宋" w:eastAsia="仿宋"/>
          <w:color w:val="auto"/>
          <w:szCs w:val="24"/>
          <w:highlight w:val="none"/>
          <w:u w:val="single"/>
        </w:rPr>
        <w:t xml:space="preserve">              （采购人） </w:t>
      </w:r>
    </w:p>
    <w:p w14:paraId="39AE5CFA">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ascii="仿宋" w:hAnsi="仿宋" w:eastAsia="仿宋"/>
          <w:color w:val="auto"/>
          <w:sz w:val="24"/>
          <w:szCs w:val="24"/>
          <w:highlight w:val="none"/>
        </w:rPr>
      </w:pPr>
      <w:r>
        <w:rPr>
          <w:rFonts w:ascii="仿宋" w:hAnsi="仿宋" w:eastAsia="仿宋"/>
          <w:color w:val="auto"/>
          <w:sz w:val="24"/>
          <w:szCs w:val="24"/>
          <w:highlight w:val="none"/>
        </w:rPr>
        <w:t xml:space="preserve">    </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（投标人名称）系中华人民共和国合法企业，经营地址</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w:t>
      </w:r>
    </w:p>
    <w:p w14:paraId="02EE763A">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olor w:val="auto"/>
          <w:sz w:val="24"/>
          <w:szCs w:val="24"/>
          <w:highlight w:val="none"/>
        </w:rPr>
      </w:pPr>
      <w:r>
        <w:rPr>
          <w:rFonts w:ascii="仿宋" w:hAnsi="仿宋" w:eastAsia="仿宋"/>
          <w:color w:val="auto"/>
          <w:sz w:val="24"/>
          <w:szCs w:val="24"/>
          <w:highlight w:val="none"/>
        </w:rPr>
        <w:t>我</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姓名）系</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（投标人名称）的法定代表人，我方愿意参加贵方组织的</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项目的投标，为便于贵方公正、择优地确定中标人，我方就本次投标有关事项郑重声明如下：</w:t>
      </w:r>
    </w:p>
    <w:p w14:paraId="7E0815F5">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（一）</w:t>
      </w:r>
      <w:r>
        <w:rPr>
          <w:rFonts w:ascii="仿宋" w:hAnsi="仿宋" w:eastAsia="仿宋"/>
          <w:color w:val="auto"/>
          <w:sz w:val="24"/>
          <w:szCs w:val="24"/>
          <w:highlight w:val="none"/>
        </w:rPr>
        <w:t>我方向贵方提交的所有投标文件、资料都是准确的和真实的；</w:t>
      </w:r>
    </w:p>
    <w:p w14:paraId="10C8CA1B">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（二）</w:t>
      </w:r>
      <w:r>
        <w:rPr>
          <w:rFonts w:ascii="仿宋" w:hAnsi="仿宋" w:eastAsia="仿宋"/>
          <w:color w:val="auto"/>
          <w:sz w:val="24"/>
          <w:szCs w:val="24"/>
          <w:highlight w:val="none"/>
        </w:rPr>
        <w:t>我方不是采购人的附属机构；在获知本项目采购信息后，与采购人聘请的为此项目提供咨询服务的公司及其附属机构没有任何联系。</w:t>
      </w:r>
    </w:p>
    <w:p w14:paraId="2436857F">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b/>
          <w:bCs/>
          <w:color w:val="auto"/>
          <w:sz w:val="24"/>
          <w:szCs w:val="24"/>
          <w:highlight w:val="none"/>
          <w:u w:val="single"/>
        </w:rPr>
      </w:pPr>
      <w:r>
        <w:rPr>
          <w:rFonts w:hint="eastAsia" w:ascii="仿宋" w:hAnsi="仿宋" w:eastAsia="仿宋" w:cs="仿宋_GB2312"/>
          <w:color w:val="auto"/>
          <w:sz w:val="24"/>
          <w:szCs w:val="24"/>
          <w:highlight w:val="none"/>
        </w:rPr>
        <w:t>（三）我方拟在中标后将</w:t>
      </w:r>
      <w:r>
        <w:rPr>
          <w:rFonts w:hint="eastAsia"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rPr>
        <w:t>工作分包，分包承担主体是</w:t>
      </w:r>
      <w:r>
        <w:rPr>
          <w:rFonts w:hint="eastAsia"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rPr>
        <w:t>，我方承诺分包承担主体具备相应资质条件</w:t>
      </w:r>
      <w:r>
        <w:rPr>
          <w:rFonts w:hint="eastAsia"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rPr>
        <w:t>，且不再次分包。</w:t>
      </w:r>
      <w:r>
        <w:rPr>
          <w:rFonts w:hint="eastAsia" w:ascii="仿宋" w:hAnsi="仿宋" w:eastAsia="仿宋" w:cs="仿宋_GB2312"/>
          <w:b/>
          <w:bCs/>
          <w:color w:val="auto"/>
          <w:sz w:val="24"/>
          <w:szCs w:val="24"/>
          <w:highlight w:val="none"/>
          <w:u w:val="single"/>
        </w:rPr>
        <w:t>（不再将工作进行分包或本项目不允许分包的</w:t>
      </w:r>
      <w:r>
        <w:rPr>
          <w:rFonts w:hint="eastAsia" w:ascii="仿宋" w:hAnsi="仿宋" w:eastAsia="仿宋" w:cs="仿宋_GB2312"/>
          <w:b/>
          <w:bCs/>
          <w:color w:val="auto"/>
          <w:sz w:val="24"/>
          <w:szCs w:val="24"/>
          <w:highlight w:val="none"/>
          <w:u w:val="single"/>
          <w:lang w:eastAsia="zh-CN"/>
        </w:rPr>
        <w:t>，在</w:t>
      </w:r>
      <w:r>
        <w:rPr>
          <w:rFonts w:hint="eastAsia" w:ascii="仿宋" w:hAnsi="仿宋" w:eastAsia="仿宋" w:cs="仿宋_GB2312"/>
          <w:b/>
          <w:bCs/>
          <w:color w:val="auto"/>
          <w:sz w:val="24"/>
          <w:szCs w:val="24"/>
          <w:highlight w:val="none"/>
          <w:u w:val="single"/>
        </w:rPr>
        <w:t>下划线处填写“/”。）</w:t>
      </w:r>
    </w:p>
    <w:p w14:paraId="32948F88">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（四）</w:t>
      </w:r>
      <w:r>
        <w:rPr>
          <w:rFonts w:ascii="仿宋" w:hAnsi="仿宋" w:eastAsia="仿宋"/>
          <w:color w:val="auto"/>
          <w:sz w:val="24"/>
          <w:szCs w:val="24"/>
          <w:highlight w:val="none"/>
        </w:rPr>
        <w:t>我方在此声明，所递交的投标文件及有关资料内容完整、真实和准确，如有虚假或隐瞒，我方愿意承担一切后果和责任。严格遵守《中华人民共和国政府采购法》等相关法律法规的规定：</w:t>
      </w:r>
      <w:r>
        <w:rPr>
          <w:rFonts w:hint="eastAsia" w:ascii="仿宋" w:hAnsi="仿宋" w:eastAsia="仿宋"/>
          <w:color w:val="auto"/>
          <w:sz w:val="24"/>
          <w:szCs w:val="24"/>
          <w:highlight w:val="none"/>
        </w:rPr>
        <w:t>投标人</w:t>
      </w:r>
      <w:r>
        <w:rPr>
          <w:rFonts w:ascii="仿宋" w:hAnsi="仿宋" w:eastAsia="仿宋"/>
          <w:color w:val="auto"/>
          <w:sz w:val="24"/>
          <w:szCs w:val="24"/>
          <w:highlight w:val="none"/>
        </w:rPr>
        <w:t>有下列情形之一的，处以采购金额5‰以上10‰以下的罚款，列入不良行为记录名单，在一至三年内禁止参加政府采购活动；如有违法所得并将其没收；情节严重的，由工商行政管理机关吊销营业执照；构成犯罪的，依法追究刑事责任：</w:t>
      </w:r>
    </w:p>
    <w:p w14:paraId="6F11ED7B">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提供虚假材料谋取中标、成交的；</w:t>
      </w:r>
    </w:p>
    <w:p w14:paraId="12B698F6">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采取不正当手段诋毁、排挤其他投标</w:t>
      </w:r>
      <w:r>
        <w:rPr>
          <w:rFonts w:hint="eastAsia" w:ascii="仿宋" w:hAnsi="仿宋" w:eastAsia="仿宋"/>
          <w:color w:val="auto"/>
          <w:sz w:val="24"/>
          <w:szCs w:val="24"/>
          <w:highlight w:val="none"/>
        </w:rPr>
        <w:t>人</w:t>
      </w:r>
      <w:r>
        <w:rPr>
          <w:rFonts w:ascii="仿宋" w:hAnsi="仿宋" w:eastAsia="仿宋"/>
          <w:color w:val="auto"/>
          <w:sz w:val="24"/>
          <w:szCs w:val="24"/>
          <w:highlight w:val="none"/>
        </w:rPr>
        <w:t>的；</w:t>
      </w:r>
    </w:p>
    <w:p w14:paraId="64FDDFE9">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3.与其他</w:t>
      </w:r>
      <w:r>
        <w:rPr>
          <w:rFonts w:ascii="仿宋" w:hAnsi="仿宋" w:eastAsia="仿宋"/>
          <w:color w:val="auto"/>
          <w:sz w:val="24"/>
          <w:szCs w:val="24"/>
          <w:highlight w:val="none"/>
        </w:rPr>
        <w:t>投标</w:t>
      </w:r>
      <w:r>
        <w:rPr>
          <w:rFonts w:hint="eastAsia" w:ascii="仿宋" w:hAnsi="仿宋" w:eastAsia="仿宋"/>
          <w:color w:val="auto"/>
          <w:sz w:val="24"/>
          <w:szCs w:val="24"/>
          <w:highlight w:val="none"/>
        </w:rPr>
        <w:t>人</w:t>
      </w:r>
      <w:r>
        <w:rPr>
          <w:rFonts w:ascii="仿宋" w:hAnsi="仿宋" w:eastAsia="仿宋"/>
          <w:color w:val="auto"/>
          <w:sz w:val="24"/>
          <w:szCs w:val="24"/>
          <w:highlight w:val="none"/>
        </w:rPr>
        <w:t>恶意串通的；</w:t>
      </w:r>
    </w:p>
    <w:p w14:paraId="1009E464">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4.</w:t>
      </w:r>
      <w:r>
        <w:rPr>
          <w:rFonts w:ascii="仿宋" w:hAnsi="仿宋" w:eastAsia="仿宋"/>
          <w:color w:val="auto"/>
          <w:sz w:val="24"/>
          <w:szCs w:val="24"/>
          <w:highlight w:val="none"/>
        </w:rPr>
        <w:t>向采购单位行贿或者提供其他不正当利益的；</w:t>
      </w:r>
    </w:p>
    <w:p w14:paraId="66C4B36E">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拒绝有关部门监督检查或提供虚假情况的。</w:t>
      </w:r>
    </w:p>
    <w:p w14:paraId="0DEC264A">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rPr>
        <w:t>）投标有效期</w:t>
      </w:r>
      <w:r>
        <w:rPr>
          <w:rFonts w:hint="eastAsia" w:ascii="仿宋" w:hAnsi="仿宋" w:eastAsia="仿宋"/>
          <w:color w:val="auto"/>
          <w:sz w:val="24"/>
          <w:szCs w:val="24"/>
          <w:highlight w:val="none"/>
          <w:lang w:val="en-US" w:eastAsia="zh-CN"/>
        </w:rPr>
        <w:t>自投标截止日起</w:t>
      </w:r>
      <w:r>
        <w:rPr>
          <w:rFonts w:hint="eastAsia" w:ascii="仿宋" w:hAnsi="仿宋" w:eastAsia="仿宋"/>
          <w:color w:val="auto"/>
          <w:sz w:val="24"/>
          <w:szCs w:val="24"/>
          <w:highlight w:val="none"/>
          <w:u w:val="single"/>
          <w:lang w:val="en-US" w:eastAsia="zh-CN"/>
        </w:rPr>
        <w:t>90</w:t>
      </w:r>
      <w:r>
        <w:rPr>
          <w:rFonts w:hint="eastAsia" w:ascii="仿宋" w:hAnsi="仿宋" w:eastAsia="仿宋"/>
          <w:color w:val="auto"/>
          <w:sz w:val="24"/>
          <w:szCs w:val="24"/>
          <w:highlight w:val="none"/>
          <w:lang w:val="en-US" w:eastAsia="zh-CN"/>
        </w:rPr>
        <w:t>天</w:t>
      </w:r>
      <w:r>
        <w:rPr>
          <w:rFonts w:hint="eastAsia" w:ascii="仿宋" w:hAnsi="仿宋" w:eastAsia="仿宋"/>
          <w:color w:val="auto"/>
          <w:sz w:val="24"/>
          <w:szCs w:val="24"/>
          <w:highlight w:val="none"/>
        </w:rPr>
        <w:t>。</w:t>
      </w:r>
    </w:p>
    <w:p w14:paraId="4D414F1B">
      <w:pPr>
        <w:autoSpaceDE/>
        <w:autoSpaceDN/>
        <w:adjustRightInd/>
        <w:spacing w:line="460" w:lineRule="exact"/>
        <w:ind w:firstLine="2400" w:firstLineChars="1000"/>
        <w:rPr>
          <w:rFonts w:ascii="仿宋" w:hAnsi="仿宋" w:eastAsia="仿宋"/>
          <w:color w:val="auto"/>
          <w:sz w:val="24"/>
          <w:szCs w:val="24"/>
          <w:highlight w:val="none"/>
        </w:rPr>
      </w:pPr>
      <w:r>
        <w:rPr>
          <w:rFonts w:ascii="仿宋" w:hAnsi="仿宋" w:eastAsia="仿宋"/>
          <w:color w:val="auto"/>
          <w:sz w:val="24"/>
          <w:szCs w:val="24"/>
          <w:highlight w:val="none"/>
        </w:rPr>
        <w:t>投 标 人：</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（盖章）</w:t>
      </w:r>
    </w:p>
    <w:p w14:paraId="0C333A1C">
      <w:pPr>
        <w:autoSpaceDE/>
        <w:autoSpaceDN/>
        <w:adjustRightInd/>
        <w:spacing w:line="460" w:lineRule="exact"/>
        <w:ind w:firstLine="2400" w:firstLineChars="1000"/>
        <w:rPr>
          <w:rFonts w:ascii="仿宋" w:hAnsi="仿宋" w:eastAsia="仿宋"/>
          <w:color w:val="auto"/>
          <w:sz w:val="24"/>
          <w:szCs w:val="24"/>
          <w:highlight w:val="none"/>
        </w:rPr>
      </w:pPr>
      <w:r>
        <w:rPr>
          <w:rFonts w:ascii="仿宋" w:hAnsi="仿宋" w:eastAsia="仿宋"/>
          <w:color w:val="auto"/>
          <w:sz w:val="24"/>
          <w:szCs w:val="24"/>
          <w:highlight w:val="none"/>
        </w:rPr>
        <w:t>法定代表人或其委托代理人：</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（签字或盖章）</w:t>
      </w:r>
    </w:p>
    <w:p w14:paraId="450BC0EF">
      <w:pPr>
        <w:autoSpaceDE/>
        <w:autoSpaceDN/>
        <w:adjustRightInd/>
        <w:spacing w:line="460" w:lineRule="exact"/>
        <w:ind w:firstLine="2400" w:firstLineChars="1000"/>
        <w:rPr>
          <w:rFonts w:ascii="仿宋" w:hAnsi="仿宋" w:eastAsia="仿宋"/>
          <w:color w:val="auto"/>
          <w:sz w:val="24"/>
          <w:szCs w:val="24"/>
          <w:highlight w:val="none"/>
        </w:rPr>
      </w:pPr>
      <w:r>
        <w:rPr>
          <w:rFonts w:ascii="仿宋" w:hAnsi="仿宋" w:eastAsia="仿宋"/>
          <w:color w:val="auto"/>
          <w:sz w:val="24"/>
          <w:szCs w:val="24"/>
          <w:highlight w:val="none"/>
        </w:rPr>
        <w:t>电话：</w:t>
      </w:r>
      <w:r>
        <w:rPr>
          <w:rFonts w:ascii="仿宋" w:hAnsi="仿宋" w:eastAsia="仿宋"/>
          <w:color w:val="auto"/>
          <w:sz w:val="24"/>
          <w:szCs w:val="24"/>
          <w:highlight w:val="none"/>
          <w:u w:val="single"/>
        </w:rPr>
        <w:t xml:space="preserve">                                     </w:t>
      </w:r>
    </w:p>
    <w:p w14:paraId="5C71B168">
      <w:pPr>
        <w:autoSpaceDE/>
        <w:autoSpaceDN/>
        <w:adjustRightInd/>
        <w:spacing w:line="460" w:lineRule="exact"/>
        <w:ind w:firstLine="2400" w:firstLineChars="1000"/>
        <w:rPr>
          <w:rFonts w:ascii="仿宋" w:hAnsi="仿宋" w:eastAsia="仿宋"/>
          <w:color w:val="auto"/>
          <w:sz w:val="24"/>
          <w:szCs w:val="24"/>
          <w:highlight w:val="none"/>
        </w:rPr>
      </w:pPr>
      <w:r>
        <w:rPr>
          <w:rFonts w:ascii="仿宋" w:hAnsi="仿宋" w:eastAsia="仿宋"/>
          <w:color w:val="auto"/>
          <w:sz w:val="24"/>
          <w:szCs w:val="24"/>
          <w:highlight w:val="none"/>
        </w:rPr>
        <w:t>电子邮件：</w:t>
      </w:r>
      <w:r>
        <w:rPr>
          <w:rFonts w:ascii="仿宋" w:hAnsi="仿宋" w:eastAsia="仿宋"/>
          <w:color w:val="auto"/>
          <w:sz w:val="24"/>
          <w:szCs w:val="24"/>
          <w:highlight w:val="none"/>
          <w:u w:val="single"/>
        </w:rPr>
        <w:t xml:space="preserve">                                     </w:t>
      </w:r>
    </w:p>
    <w:p w14:paraId="3A94973F">
      <w:pPr>
        <w:pStyle w:val="2"/>
        <w:spacing w:after="0" w:line="460" w:lineRule="exact"/>
        <w:ind w:left="0" w:leftChars="0" w:firstLine="2400" w:firstLineChars="1000"/>
        <w:rPr>
          <w:rFonts w:ascii="Times New Roman" w:hAnsi="Times New Roman" w:eastAsia="方正仿宋_GB2312"/>
          <w:color w:val="auto"/>
          <w:sz w:val="21"/>
          <w:szCs w:val="21"/>
          <w:highlight w:val="none"/>
          <w:u w:val="single"/>
        </w:rPr>
      </w:pPr>
      <w:r>
        <w:rPr>
          <w:rFonts w:ascii="仿宋" w:hAnsi="仿宋" w:eastAsia="仿宋"/>
          <w:color w:val="auto"/>
          <w:szCs w:val="24"/>
          <w:highlight w:val="none"/>
        </w:rPr>
        <w:t>日    期：</w:t>
      </w:r>
      <w:r>
        <w:rPr>
          <w:rFonts w:ascii="仿宋" w:hAnsi="仿宋" w:eastAsia="仿宋"/>
          <w:color w:val="auto"/>
          <w:szCs w:val="24"/>
          <w:highlight w:val="none"/>
          <w:u w:val="single"/>
        </w:rPr>
        <w:t xml:space="preserve">                   </w:t>
      </w:r>
      <w:r>
        <w:rPr>
          <w:rFonts w:hint="eastAsia" w:ascii="仿宋" w:hAnsi="仿宋" w:eastAsia="仿宋"/>
          <w:color w:val="auto"/>
          <w:szCs w:val="24"/>
          <w:highlight w:val="none"/>
          <w:u w:val="single"/>
        </w:rPr>
        <w:t xml:space="preserve">               </w:t>
      </w:r>
      <w:r>
        <w:rPr>
          <w:rFonts w:hint="eastAsia" w:ascii="Times New Roman" w:hAnsi="Times New Roman" w:eastAsia="方正仿宋_GB2312"/>
          <w:color w:val="auto"/>
          <w:sz w:val="21"/>
          <w:szCs w:val="21"/>
          <w:highlight w:val="none"/>
          <w:u w:val="single"/>
        </w:rPr>
        <w:t xml:space="preserve">  </w:t>
      </w:r>
    </w:p>
    <w:p w14:paraId="2B4EDAAA">
      <w:pPr>
        <w:widowControl/>
        <w:tabs>
          <w:tab w:val="left" w:pos="450"/>
          <w:tab w:val="left" w:pos="2520"/>
          <w:tab w:val="left" w:pos="8280"/>
        </w:tabs>
        <w:spacing w:line="312" w:lineRule="auto"/>
        <w:jc w:val="center"/>
        <w:rPr>
          <w:rFonts w:hint="eastAsia" w:ascii="仿宋" w:hAnsi="仿宋" w:eastAsia="仿宋" w:cs="仿宋"/>
          <w:b/>
          <w:bCs/>
          <w:color w:val="auto"/>
          <w:sz w:val="30"/>
          <w:szCs w:val="30"/>
          <w:highlight w:val="none"/>
        </w:rPr>
      </w:pPr>
    </w:p>
    <w:p w14:paraId="1B0E1F78">
      <w:pPr>
        <w:widowControl/>
        <w:tabs>
          <w:tab w:val="left" w:pos="450"/>
          <w:tab w:val="left" w:pos="2520"/>
          <w:tab w:val="left" w:pos="8280"/>
        </w:tabs>
        <w:spacing w:line="312" w:lineRule="auto"/>
        <w:jc w:val="center"/>
        <w:rPr>
          <w:rFonts w:hint="eastAsia" w:ascii="仿宋" w:hAnsi="仿宋" w:eastAsia="仿宋" w:cs="仿宋"/>
          <w:b/>
          <w:bCs/>
          <w:color w:val="auto"/>
          <w:sz w:val="30"/>
          <w:szCs w:val="30"/>
          <w:highlight w:val="none"/>
        </w:rPr>
      </w:pPr>
    </w:p>
    <w:p w14:paraId="536A1526">
      <w:pPr>
        <w:widowControl/>
        <w:tabs>
          <w:tab w:val="left" w:pos="450"/>
          <w:tab w:val="left" w:pos="2520"/>
          <w:tab w:val="left" w:pos="8280"/>
        </w:tabs>
        <w:spacing w:line="312" w:lineRule="auto"/>
        <w:jc w:val="both"/>
        <w:rPr>
          <w:rFonts w:hint="eastAsia" w:ascii="仿宋" w:hAnsi="仿宋" w:eastAsia="仿宋" w:cs="仿宋"/>
          <w:b/>
          <w:bCs/>
          <w:color w:val="auto"/>
          <w:sz w:val="30"/>
          <w:szCs w:val="30"/>
          <w:highlight w:val="none"/>
        </w:rPr>
      </w:pPr>
    </w:p>
    <w:p w14:paraId="12AB504C">
      <w:pPr>
        <w:widowControl/>
        <w:tabs>
          <w:tab w:val="left" w:pos="450"/>
          <w:tab w:val="left" w:pos="2520"/>
          <w:tab w:val="left" w:pos="8280"/>
        </w:tabs>
        <w:spacing w:line="312" w:lineRule="auto"/>
        <w:jc w:val="center"/>
        <w:outlineLvl w:val="1"/>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五</w:t>
      </w:r>
      <w:r>
        <w:rPr>
          <w:rFonts w:hint="eastAsia" w:ascii="仿宋" w:hAnsi="仿宋" w:eastAsia="仿宋" w:cs="仿宋"/>
          <w:b/>
          <w:bCs/>
          <w:color w:val="auto"/>
          <w:sz w:val="30"/>
          <w:szCs w:val="30"/>
          <w:highlight w:val="none"/>
        </w:rPr>
        <w:t>、</w:t>
      </w:r>
      <w:bookmarkStart w:id="22" w:name="_Toc331876394"/>
      <w:bookmarkStart w:id="23" w:name="_Toc48672384"/>
      <w:r>
        <w:rPr>
          <w:rFonts w:hint="eastAsia" w:ascii="仿宋" w:hAnsi="仿宋" w:eastAsia="仿宋" w:cs="仿宋"/>
          <w:b/>
          <w:bCs/>
          <w:color w:val="auto"/>
          <w:sz w:val="30"/>
          <w:szCs w:val="30"/>
          <w:highlight w:val="none"/>
          <w:lang w:eastAsia="zh-CN"/>
        </w:rPr>
        <w:t>开标一览表</w:t>
      </w:r>
    </w:p>
    <w:p w14:paraId="1D93DCA5">
      <w:pPr>
        <w:spacing w:line="420" w:lineRule="exact"/>
        <w:rPr>
          <w:rFonts w:ascii="仿宋" w:hAnsi="仿宋" w:eastAsia="仿宋" w:cs="仿宋"/>
          <w:color w:val="auto"/>
          <w:sz w:val="24"/>
          <w:szCs w:val="24"/>
          <w:highlight w:val="none"/>
        </w:rPr>
      </w:pPr>
    </w:p>
    <w:tbl>
      <w:tblPr>
        <w:tblStyle w:val="27"/>
        <w:tblpPr w:leftFromText="180" w:rightFromText="180" w:vertAnchor="text" w:horzAnchor="page" w:tblpX="1787" w:tblpY="14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7469"/>
      </w:tblGrid>
      <w:tr w14:paraId="5682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1477" w:type="dxa"/>
            <w:noWrap w:val="0"/>
            <w:vAlign w:val="center"/>
          </w:tcPr>
          <w:p w14:paraId="6B3B4B4D">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项目名称</w:t>
            </w:r>
          </w:p>
        </w:tc>
        <w:tc>
          <w:tcPr>
            <w:tcW w:w="7469" w:type="dxa"/>
            <w:noWrap w:val="0"/>
            <w:vAlign w:val="center"/>
          </w:tcPr>
          <w:p w14:paraId="3BA83493">
            <w:pPr>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eastAsia="zh-CN"/>
              </w:rPr>
              <w:t>武义县殡仪馆（新馆）绿化养护服务采购项目（第二次）</w:t>
            </w:r>
          </w:p>
        </w:tc>
      </w:tr>
      <w:tr w14:paraId="29A3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1477" w:type="dxa"/>
            <w:noWrap w:val="0"/>
            <w:vAlign w:val="center"/>
          </w:tcPr>
          <w:p w14:paraId="6102CB96">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rPr>
              <w:t>项目编号</w:t>
            </w:r>
          </w:p>
        </w:tc>
        <w:tc>
          <w:tcPr>
            <w:tcW w:w="7469" w:type="dxa"/>
            <w:noWrap w:val="0"/>
            <w:vAlign w:val="center"/>
          </w:tcPr>
          <w:p w14:paraId="77E95B01">
            <w:pPr>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eastAsia="zh-CN"/>
              </w:rPr>
              <w:t>JHTK-ZB2026060</w:t>
            </w:r>
          </w:p>
        </w:tc>
      </w:tr>
      <w:tr w14:paraId="23A3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exact"/>
        </w:trPr>
        <w:tc>
          <w:tcPr>
            <w:tcW w:w="1477" w:type="dxa"/>
            <w:noWrap w:val="0"/>
            <w:vAlign w:val="center"/>
          </w:tcPr>
          <w:p w14:paraId="2F3369B9">
            <w:pPr>
              <w:keepNext w:val="0"/>
              <w:keepLines w:val="0"/>
              <w:pageBreakBefore w:val="0"/>
              <w:kinsoku/>
              <w:wordWrap/>
              <w:overflowPunct/>
              <w:topLinePunct w:val="0"/>
              <w:autoSpaceDE/>
              <w:autoSpaceDN/>
              <w:bidi w:val="0"/>
              <w:adjustRightInd/>
              <w:spacing w:line="24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lang w:val="en-US" w:eastAsia="zh-CN"/>
              </w:rPr>
              <w:t>单</w:t>
            </w:r>
            <w:r>
              <w:rPr>
                <w:rFonts w:hint="eastAsia" w:ascii="仿宋" w:hAnsi="仿宋" w:eastAsia="仿宋" w:cs="仿宋"/>
                <w:b/>
                <w:bCs/>
                <w:color w:val="auto"/>
                <w:sz w:val="24"/>
                <w:szCs w:val="24"/>
                <w:highlight w:val="none"/>
                <w:lang w:eastAsia="zh-CN"/>
              </w:rPr>
              <w:t>价</w:t>
            </w:r>
          </w:p>
        </w:tc>
        <w:tc>
          <w:tcPr>
            <w:tcW w:w="7469" w:type="dxa"/>
            <w:noWrap w:val="0"/>
            <w:vAlign w:val="center"/>
          </w:tcPr>
          <w:p w14:paraId="1D542438">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480" w:lineRule="exact"/>
              <w:jc w:val="left"/>
              <w:textAlignment w:val="baseline"/>
              <w:rPr>
                <w:rStyle w:val="62"/>
                <w:rFonts w:hint="default" w:ascii="仿宋" w:hAnsi="仿宋" w:eastAsia="仿宋" w:cs="仿宋"/>
                <w:b/>
                <w:bCs/>
                <w:i w:val="0"/>
                <w:caps w:val="0"/>
                <w:color w:val="auto"/>
                <w:spacing w:val="0"/>
                <w:w w:val="100"/>
                <w:sz w:val="24"/>
                <w:szCs w:val="24"/>
                <w:highlight w:val="none"/>
                <w:lang w:val="en-US" w:eastAsia="zh-CN" w:bidi="ar-SA"/>
              </w:rPr>
            </w:pPr>
            <w:r>
              <w:rPr>
                <w:rStyle w:val="62"/>
                <w:rFonts w:hint="eastAsia" w:ascii="仿宋" w:hAnsi="仿宋" w:eastAsia="仿宋" w:cs="仿宋"/>
                <w:b/>
                <w:bCs/>
                <w:i w:val="0"/>
                <w:caps w:val="0"/>
                <w:color w:val="auto"/>
                <w:spacing w:val="0"/>
                <w:w w:val="100"/>
                <w:sz w:val="24"/>
                <w:szCs w:val="24"/>
                <w:highlight w:val="none"/>
                <w:lang w:val="en-US" w:eastAsia="zh-CN" w:bidi="ar-SA"/>
              </w:rPr>
              <w:t>小写：￥</w:t>
            </w:r>
            <w:r>
              <w:rPr>
                <w:rStyle w:val="62"/>
                <w:rFonts w:hint="eastAsia" w:ascii="仿宋" w:hAnsi="仿宋" w:eastAsia="仿宋" w:cs="仿宋"/>
                <w:b/>
                <w:bCs/>
                <w:i w:val="0"/>
                <w:caps w:val="0"/>
                <w:color w:val="auto"/>
                <w:spacing w:val="0"/>
                <w:w w:val="100"/>
                <w:sz w:val="24"/>
                <w:szCs w:val="24"/>
                <w:highlight w:val="none"/>
                <w:u w:val="single" w:color="000000"/>
                <w:lang w:val="en-US" w:eastAsia="zh-CN" w:bidi="ar-SA"/>
              </w:rPr>
              <w:t xml:space="preserve">                       </w:t>
            </w:r>
            <w:r>
              <w:rPr>
                <w:rStyle w:val="62"/>
                <w:rFonts w:hint="eastAsia" w:ascii="仿宋" w:hAnsi="仿宋" w:eastAsia="仿宋" w:cs="仿宋"/>
                <w:b/>
                <w:bCs/>
                <w:i w:val="0"/>
                <w:caps w:val="0"/>
                <w:color w:val="auto"/>
                <w:spacing w:val="0"/>
                <w:w w:val="100"/>
                <w:sz w:val="24"/>
                <w:szCs w:val="24"/>
                <w:highlight w:val="none"/>
                <w:lang w:val="en-US" w:eastAsia="zh-CN" w:bidi="ar-SA"/>
              </w:rPr>
              <w:t>元/年</w:t>
            </w:r>
          </w:p>
          <w:p w14:paraId="42B1BF4F">
            <w:pPr>
              <w:keepNext w:val="0"/>
              <w:keepLines w:val="0"/>
              <w:pageBreakBefore w:val="0"/>
              <w:widowControl w:val="0"/>
              <w:kinsoku/>
              <w:wordWrap/>
              <w:overflowPunct/>
              <w:topLinePunct w:val="0"/>
              <w:autoSpaceDE w:val="0"/>
              <w:autoSpaceDN w:val="0"/>
              <w:bidi w:val="0"/>
              <w:adjustRightInd w:val="0"/>
              <w:snapToGrid/>
              <w:spacing w:line="480" w:lineRule="exact"/>
              <w:rPr>
                <w:rFonts w:hint="eastAsia" w:ascii="仿宋" w:hAnsi="仿宋" w:eastAsia="仿宋" w:cs="仿宋"/>
                <w:b/>
                <w:bCs/>
                <w:color w:val="auto"/>
                <w:sz w:val="24"/>
                <w:highlight w:val="none"/>
              </w:rPr>
            </w:pPr>
            <w:r>
              <w:rPr>
                <w:rStyle w:val="62"/>
                <w:rFonts w:hint="eastAsia" w:ascii="仿宋" w:hAnsi="仿宋" w:eastAsia="仿宋" w:cs="仿宋"/>
                <w:b/>
                <w:bCs/>
                <w:i w:val="0"/>
                <w:caps w:val="0"/>
                <w:color w:val="auto"/>
                <w:spacing w:val="0"/>
                <w:w w:val="100"/>
                <w:sz w:val="24"/>
                <w:szCs w:val="24"/>
                <w:highlight w:val="none"/>
                <w:lang w:val="en-US" w:eastAsia="zh-CN" w:bidi="ar-SA"/>
              </w:rPr>
              <w:t>大写：</w:t>
            </w:r>
            <w:r>
              <w:rPr>
                <w:rStyle w:val="62"/>
                <w:rFonts w:hint="eastAsia" w:ascii="仿宋" w:hAnsi="仿宋" w:eastAsia="仿宋" w:cs="仿宋"/>
                <w:b/>
                <w:bCs/>
                <w:i w:val="0"/>
                <w:caps w:val="0"/>
                <w:color w:val="auto"/>
                <w:spacing w:val="0"/>
                <w:w w:val="100"/>
                <w:sz w:val="24"/>
                <w:szCs w:val="24"/>
                <w:highlight w:val="none"/>
                <w:u w:val="single" w:color="000000"/>
                <w:lang w:val="en-US" w:eastAsia="zh-CN" w:bidi="ar-SA"/>
              </w:rPr>
              <w:t xml:space="preserve"> 人民币每年               </w:t>
            </w:r>
            <w:r>
              <w:rPr>
                <w:rStyle w:val="62"/>
                <w:rFonts w:hint="eastAsia" w:ascii="仿宋" w:hAnsi="仿宋" w:eastAsia="仿宋" w:cs="仿宋"/>
                <w:b/>
                <w:bCs/>
                <w:i w:val="0"/>
                <w:caps w:val="0"/>
                <w:color w:val="auto"/>
                <w:spacing w:val="0"/>
                <w:w w:val="100"/>
                <w:sz w:val="24"/>
                <w:szCs w:val="24"/>
                <w:highlight w:val="none"/>
                <w:lang w:val="en-US" w:eastAsia="zh-CN" w:bidi="ar-SA"/>
              </w:rPr>
              <w:t xml:space="preserve">元整   </w:t>
            </w:r>
          </w:p>
        </w:tc>
      </w:tr>
      <w:tr w14:paraId="7D8F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exact"/>
        </w:trPr>
        <w:tc>
          <w:tcPr>
            <w:tcW w:w="1477" w:type="dxa"/>
            <w:noWrap w:val="0"/>
            <w:vAlign w:val="center"/>
          </w:tcPr>
          <w:p w14:paraId="251A25BA">
            <w:pPr>
              <w:keepNext w:val="0"/>
              <w:keepLines w:val="0"/>
              <w:pageBreakBefore w:val="0"/>
              <w:kinsoku/>
              <w:wordWrap/>
              <w:overflowPunct/>
              <w:topLinePunct w:val="0"/>
              <w:autoSpaceDE/>
              <w:autoSpaceDN/>
              <w:bidi w:val="0"/>
              <w:adjustRightInd/>
              <w:spacing w:line="240" w:lineRule="exact"/>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二年投标报价</w:t>
            </w:r>
          </w:p>
        </w:tc>
        <w:tc>
          <w:tcPr>
            <w:tcW w:w="7469" w:type="dxa"/>
            <w:noWrap w:val="0"/>
            <w:vAlign w:val="center"/>
          </w:tcPr>
          <w:p w14:paraId="36A415FE">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480" w:lineRule="exact"/>
              <w:jc w:val="left"/>
              <w:textAlignment w:val="baseline"/>
              <w:rPr>
                <w:rStyle w:val="62"/>
                <w:rFonts w:hint="default" w:ascii="仿宋" w:hAnsi="仿宋" w:eastAsia="仿宋" w:cs="仿宋"/>
                <w:b/>
                <w:bCs/>
                <w:i w:val="0"/>
                <w:caps w:val="0"/>
                <w:color w:val="auto"/>
                <w:spacing w:val="0"/>
                <w:w w:val="100"/>
                <w:sz w:val="24"/>
                <w:szCs w:val="24"/>
                <w:highlight w:val="none"/>
                <w:lang w:val="en-US" w:eastAsia="zh-CN" w:bidi="ar-SA"/>
              </w:rPr>
            </w:pPr>
            <w:r>
              <w:rPr>
                <w:rStyle w:val="62"/>
                <w:rFonts w:hint="eastAsia" w:ascii="仿宋" w:hAnsi="仿宋" w:eastAsia="仿宋" w:cs="仿宋"/>
                <w:b/>
                <w:bCs/>
                <w:i w:val="0"/>
                <w:caps w:val="0"/>
                <w:color w:val="auto"/>
                <w:spacing w:val="0"/>
                <w:w w:val="100"/>
                <w:sz w:val="24"/>
                <w:szCs w:val="24"/>
                <w:highlight w:val="none"/>
                <w:lang w:val="en-US" w:eastAsia="zh-CN" w:bidi="ar-SA"/>
              </w:rPr>
              <w:t>小写：￥</w:t>
            </w:r>
            <w:r>
              <w:rPr>
                <w:rStyle w:val="62"/>
                <w:rFonts w:hint="eastAsia" w:ascii="仿宋" w:hAnsi="仿宋" w:eastAsia="仿宋" w:cs="仿宋"/>
                <w:b/>
                <w:bCs/>
                <w:i w:val="0"/>
                <w:caps w:val="0"/>
                <w:color w:val="auto"/>
                <w:spacing w:val="0"/>
                <w:w w:val="100"/>
                <w:sz w:val="24"/>
                <w:szCs w:val="24"/>
                <w:highlight w:val="none"/>
                <w:u w:val="single" w:color="000000"/>
                <w:lang w:val="en-US" w:eastAsia="zh-CN" w:bidi="ar-SA"/>
              </w:rPr>
              <w:t xml:space="preserve">                        </w:t>
            </w:r>
            <w:r>
              <w:rPr>
                <w:rStyle w:val="62"/>
                <w:rFonts w:hint="eastAsia" w:ascii="仿宋" w:hAnsi="仿宋" w:eastAsia="仿宋" w:cs="仿宋"/>
                <w:b/>
                <w:bCs/>
                <w:i w:val="0"/>
                <w:caps w:val="0"/>
                <w:color w:val="auto"/>
                <w:spacing w:val="0"/>
                <w:w w:val="100"/>
                <w:sz w:val="24"/>
                <w:szCs w:val="24"/>
                <w:highlight w:val="none"/>
                <w:lang w:val="en-US" w:eastAsia="zh-CN" w:bidi="ar-SA"/>
              </w:rPr>
              <w:t>元</w:t>
            </w:r>
          </w:p>
          <w:p w14:paraId="06953517">
            <w:pPr>
              <w:keepNext w:val="0"/>
              <w:keepLines w:val="0"/>
              <w:pageBreakBefore w:val="0"/>
              <w:widowControl w:val="0"/>
              <w:kinsoku/>
              <w:wordWrap/>
              <w:overflowPunct/>
              <w:topLinePunct w:val="0"/>
              <w:autoSpaceDE w:val="0"/>
              <w:autoSpaceDN w:val="0"/>
              <w:bidi w:val="0"/>
              <w:adjustRightInd w:val="0"/>
              <w:snapToGrid/>
              <w:spacing w:line="480" w:lineRule="exact"/>
              <w:rPr>
                <w:rStyle w:val="62"/>
                <w:rFonts w:hint="eastAsia" w:ascii="仿宋" w:hAnsi="仿宋" w:eastAsia="仿宋" w:cs="仿宋"/>
                <w:b/>
                <w:bCs/>
                <w:i w:val="0"/>
                <w:caps w:val="0"/>
                <w:color w:val="auto"/>
                <w:spacing w:val="0"/>
                <w:w w:val="100"/>
                <w:sz w:val="24"/>
                <w:szCs w:val="24"/>
                <w:highlight w:val="none"/>
                <w:lang w:val="en-US" w:eastAsia="zh-CN" w:bidi="ar-SA"/>
              </w:rPr>
            </w:pPr>
            <w:r>
              <w:rPr>
                <w:rStyle w:val="62"/>
                <w:rFonts w:hint="eastAsia" w:ascii="仿宋" w:hAnsi="仿宋" w:eastAsia="仿宋" w:cs="仿宋"/>
                <w:b/>
                <w:bCs/>
                <w:i w:val="0"/>
                <w:caps w:val="0"/>
                <w:color w:val="auto"/>
                <w:spacing w:val="0"/>
                <w:w w:val="100"/>
                <w:sz w:val="24"/>
                <w:szCs w:val="24"/>
                <w:highlight w:val="none"/>
                <w:lang w:val="en-US" w:eastAsia="zh-CN" w:bidi="ar-SA"/>
              </w:rPr>
              <w:t>大写：</w:t>
            </w:r>
            <w:r>
              <w:rPr>
                <w:rStyle w:val="62"/>
                <w:rFonts w:hint="eastAsia" w:ascii="仿宋" w:hAnsi="仿宋" w:eastAsia="仿宋" w:cs="仿宋"/>
                <w:b/>
                <w:bCs/>
                <w:i w:val="0"/>
                <w:caps w:val="0"/>
                <w:color w:val="auto"/>
                <w:spacing w:val="0"/>
                <w:w w:val="100"/>
                <w:sz w:val="24"/>
                <w:szCs w:val="24"/>
                <w:highlight w:val="none"/>
                <w:u w:val="single" w:color="000000"/>
                <w:lang w:val="en-US" w:eastAsia="zh-CN" w:bidi="ar-SA"/>
              </w:rPr>
              <w:t xml:space="preserve"> 人民币                   </w:t>
            </w:r>
            <w:r>
              <w:rPr>
                <w:rStyle w:val="62"/>
                <w:rFonts w:hint="eastAsia" w:ascii="仿宋" w:hAnsi="仿宋" w:eastAsia="仿宋" w:cs="仿宋"/>
                <w:b/>
                <w:bCs/>
                <w:i w:val="0"/>
                <w:caps w:val="0"/>
                <w:color w:val="auto"/>
                <w:spacing w:val="0"/>
                <w:w w:val="100"/>
                <w:sz w:val="24"/>
                <w:szCs w:val="24"/>
                <w:highlight w:val="none"/>
                <w:lang w:val="en-US" w:eastAsia="zh-CN" w:bidi="ar-SA"/>
              </w:rPr>
              <w:t xml:space="preserve">元整   </w:t>
            </w:r>
          </w:p>
        </w:tc>
      </w:tr>
      <w:tr w14:paraId="27BB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exact"/>
        </w:trPr>
        <w:tc>
          <w:tcPr>
            <w:tcW w:w="1477" w:type="dxa"/>
            <w:noWrap w:val="0"/>
            <w:vAlign w:val="center"/>
          </w:tcPr>
          <w:p w14:paraId="7FCD1018">
            <w:pPr>
              <w:keepNext w:val="0"/>
              <w:keepLines w:val="0"/>
              <w:pageBreakBefore w:val="0"/>
              <w:kinsoku/>
              <w:wordWrap/>
              <w:overflowPunct/>
              <w:topLinePunct w:val="0"/>
              <w:autoSpaceDE/>
              <w:autoSpaceDN/>
              <w:bidi w:val="0"/>
              <w:adjustRightInd/>
              <w:spacing w:line="2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7469" w:type="dxa"/>
            <w:noWrap w:val="0"/>
            <w:vAlign w:val="center"/>
          </w:tcPr>
          <w:p w14:paraId="54ED8250">
            <w:pPr>
              <w:rPr>
                <w:rFonts w:hint="eastAsia" w:ascii="仿宋" w:hAnsi="仿宋" w:eastAsia="仿宋" w:cs="仿宋"/>
                <w:color w:val="auto"/>
                <w:sz w:val="24"/>
                <w:highlight w:val="none"/>
              </w:rPr>
            </w:pPr>
          </w:p>
        </w:tc>
      </w:tr>
      <w:tr w14:paraId="60E8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exact"/>
        </w:trPr>
        <w:tc>
          <w:tcPr>
            <w:tcW w:w="1477" w:type="dxa"/>
            <w:noWrap w:val="0"/>
            <w:vAlign w:val="center"/>
          </w:tcPr>
          <w:p w14:paraId="7B99C4C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469" w:type="dxa"/>
            <w:noWrap w:val="0"/>
            <w:vAlign w:val="center"/>
          </w:tcPr>
          <w:p w14:paraId="22B66FBD">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仿宋" w:hAnsi="仿宋" w:eastAsia="仿宋" w:cs="仿宋"/>
                <w:color w:val="auto"/>
                <w:sz w:val="24"/>
                <w:highlight w:val="none"/>
              </w:rPr>
            </w:pPr>
          </w:p>
        </w:tc>
      </w:tr>
    </w:tbl>
    <w:p w14:paraId="30E1B85B">
      <w:pPr>
        <w:snapToGrid w:val="0"/>
        <w:jc w:val="left"/>
        <w:rPr>
          <w:rFonts w:ascii="仿宋" w:hAnsi="仿宋" w:eastAsia="仿宋" w:cs="仿宋"/>
          <w:color w:val="auto"/>
          <w:sz w:val="30"/>
          <w:szCs w:val="30"/>
          <w:highlight w:val="none"/>
        </w:rPr>
      </w:pPr>
    </w:p>
    <w:p w14:paraId="46812F2D">
      <w:pPr>
        <w:spacing w:beforeLines="50"/>
        <w:ind w:firstLine="3600" w:firstLineChars="1500"/>
        <w:rPr>
          <w:rFonts w:eastAsia="方正仿宋_GB2312"/>
          <w:color w:val="auto"/>
          <w:sz w:val="24"/>
          <w:highlight w:val="none"/>
        </w:rPr>
      </w:pPr>
      <w:r>
        <w:rPr>
          <w:rFonts w:eastAsia="方正仿宋_GB2312"/>
          <w:color w:val="auto"/>
          <w:sz w:val="24"/>
          <w:highlight w:val="none"/>
        </w:rPr>
        <w:t>投标人：</w:t>
      </w:r>
      <w:r>
        <w:rPr>
          <w:rFonts w:eastAsia="方正仿宋_GB2312"/>
          <w:color w:val="auto"/>
          <w:sz w:val="24"/>
          <w:highlight w:val="none"/>
          <w:u w:val="single"/>
        </w:rPr>
        <w:t>（</w:t>
      </w:r>
      <w:r>
        <w:rPr>
          <w:rFonts w:hint="eastAsia" w:eastAsia="方正仿宋_GB2312"/>
          <w:color w:val="auto"/>
          <w:sz w:val="24"/>
          <w:highlight w:val="none"/>
          <w:u w:val="single"/>
          <w:lang w:eastAsia="zh-CN"/>
        </w:rPr>
        <w:t>盖章</w:t>
      </w:r>
      <w:r>
        <w:rPr>
          <w:rFonts w:eastAsia="方正仿宋_GB2312"/>
          <w:color w:val="auto"/>
          <w:sz w:val="24"/>
          <w:highlight w:val="none"/>
          <w:u w:val="single"/>
        </w:rPr>
        <w:t>）</w:t>
      </w:r>
    </w:p>
    <w:p w14:paraId="026DF86D">
      <w:pPr>
        <w:spacing w:beforeLines="50"/>
        <w:ind w:firstLine="3600" w:firstLineChars="1500"/>
        <w:rPr>
          <w:rFonts w:eastAsia="方正仿宋_GB2312"/>
          <w:color w:val="auto"/>
          <w:sz w:val="24"/>
          <w:highlight w:val="none"/>
          <w:u w:val="single"/>
        </w:rPr>
      </w:pPr>
      <w:r>
        <w:rPr>
          <w:rFonts w:eastAsia="方正仿宋_GB2312"/>
          <w:color w:val="auto"/>
          <w:sz w:val="24"/>
          <w:highlight w:val="none"/>
        </w:rPr>
        <w:t>法定代表人或委托代理人：</w:t>
      </w:r>
      <w:r>
        <w:rPr>
          <w:rFonts w:eastAsia="方正仿宋_GB2312"/>
          <w:color w:val="auto"/>
          <w:sz w:val="24"/>
          <w:highlight w:val="none"/>
          <w:u w:val="single"/>
        </w:rPr>
        <w:t>（签字或盖章）</w:t>
      </w:r>
    </w:p>
    <w:p w14:paraId="5AB61A8E">
      <w:pPr>
        <w:spacing w:beforeLines="50"/>
        <w:ind w:firstLine="3600" w:firstLineChars="1500"/>
        <w:rPr>
          <w:rFonts w:hint="eastAsia" w:ascii="仿宋" w:hAnsi="仿宋" w:eastAsia="仿宋" w:cs="仿宋"/>
          <w:color w:val="auto"/>
          <w:sz w:val="24"/>
          <w:szCs w:val="24"/>
          <w:highlight w:val="none"/>
        </w:rPr>
      </w:pPr>
      <w:r>
        <w:rPr>
          <w:rFonts w:hint="eastAsia" w:eastAsia="方正仿宋_GB2312"/>
          <w:color w:val="auto"/>
          <w:sz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B160C93">
      <w:pPr>
        <w:rPr>
          <w:rFonts w:ascii="仿宋" w:hAnsi="仿宋" w:eastAsia="仿宋" w:cs="仿宋"/>
          <w:color w:val="auto"/>
          <w:highlight w:val="none"/>
        </w:rPr>
      </w:pPr>
    </w:p>
    <w:p w14:paraId="5C459507">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注：1.请在最高限价范围内作合理报价；</w:t>
      </w:r>
    </w:p>
    <w:p w14:paraId="0760C1A4">
      <w:pPr>
        <w:keepNext w:val="0"/>
        <w:keepLines w:val="0"/>
        <w:pageBreakBefore w:val="0"/>
        <w:widowControl w:val="0"/>
        <w:kinsoku/>
        <w:wordWrap/>
        <w:overflowPunct/>
        <w:topLinePunct w:val="0"/>
        <w:autoSpaceDE w:val="0"/>
        <w:autoSpaceDN w:val="0"/>
        <w:bidi w:val="0"/>
        <w:adjustRightInd w:val="0"/>
        <w:snapToGrid/>
        <w:spacing w:line="460" w:lineRule="exact"/>
        <w:ind w:left="834" w:leftChars="225" w:hanging="361" w:hangingChars="15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2.投标报价为投标人对此项目的最终报价，包含一切税费及相关费用；</w:t>
      </w:r>
    </w:p>
    <w:p w14:paraId="5C80CFB0">
      <w:pPr>
        <w:keepNext w:val="0"/>
        <w:keepLines w:val="0"/>
        <w:pageBreakBefore w:val="0"/>
        <w:widowControl w:val="0"/>
        <w:kinsoku/>
        <w:wordWrap/>
        <w:overflowPunct/>
        <w:topLinePunct w:val="0"/>
        <w:autoSpaceDE w:val="0"/>
        <w:autoSpaceDN w:val="0"/>
        <w:bidi w:val="0"/>
        <w:adjustRightInd w:val="0"/>
        <w:snapToGrid/>
        <w:spacing w:line="460" w:lineRule="exact"/>
        <w:ind w:left="955" w:leftChars="225" w:hanging="482" w:hanging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3.小写与大写不一致的，以大写为准；</w:t>
      </w:r>
    </w:p>
    <w:p w14:paraId="56970935">
      <w:pPr>
        <w:keepNext w:val="0"/>
        <w:keepLines w:val="0"/>
        <w:pageBreakBefore w:val="0"/>
        <w:widowControl w:val="0"/>
        <w:kinsoku/>
        <w:wordWrap/>
        <w:overflowPunct/>
        <w:topLinePunct w:val="0"/>
        <w:autoSpaceDE w:val="0"/>
        <w:autoSpaceDN w:val="0"/>
        <w:bidi w:val="0"/>
        <w:adjustRightInd w:val="0"/>
        <w:snapToGrid/>
        <w:spacing w:line="460" w:lineRule="exact"/>
        <w:ind w:left="955" w:leftChars="225" w:hanging="482" w:hanging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4.对含糊不清或不确定的报价将视为无效报价。</w:t>
      </w:r>
    </w:p>
    <w:p w14:paraId="2744DB2A">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bookmarkEnd w:id="22"/>
    <w:bookmarkEnd w:id="23"/>
    <w:p w14:paraId="10D1C1C2">
      <w:pPr>
        <w:widowControl/>
        <w:tabs>
          <w:tab w:val="left" w:pos="450"/>
          <w:tab w:val="left" w:pos="2520"/>
          <w:tab w:val="left" w:pos="8280"/>
        </w:tabs>
        <w:spacing w:line="312" w:lineRule="auto"/>
        <w:jc w:val="center"/>
        <w:outlineLvl w:val="1"/>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highlight w:val="none"/>
          <w:lang w:val="en-US" w:eastAsia="zh-CN"/>
        </w:rPr>
        <w:t>六、</w:t>
      </w:r>
      <w:r>
        <w:rPr>
          <w:rFonts w:hint="eastAsia" w:ascii="仿宋" w:hAnsi="仿宋" w:eastAsia="仿宋" w:cs="仿宋"/>
          <w:b/>
          <w:bCs/>
          <w:color w:val="auto"/>
          <w:sz w:val="30"/>
          <w:szCs w:val="30"/>
          <w:lang w:eastAsia="zh-CN"/>
        </w:rPr>
        <w:t>报价说明（如有）</w:t>
      </w:r>
    </w:p>
    <w:p w14:paraId="1F229EB8">
      <w:pPr>
        <w:ind w:firstLine="562" w:firstLineChars="200"/>
        <w:rPr>
          <w:rFonts w:hint="eastAsia" w:ascii="仿宋" w:hAnsi="仿宋" w:eastAsia="仿宋" w:cs="仿宋"/>
          <w:color w:val="auto"/>
        </w:rPr>
      </w:pPr>
      <w:r>
        <w:rPr>
          <w:rFonts w:hint="eastAsia" w:ascii="仿宋" w:hAnsi="仿宋" w:eastAsia="仿宋" w:cs="仿宋"/>
          <w:b/>
          <w:bCs/>
          <w:color w:val="auto"/>
          <w:sz w:val="28"/>
          <w:szCs w:val="28"/>
          <w:lang w:val="zh-CN"/>
        </w:rPr>
        <w:t>投标人不得进行影响产品（或服务、工程）质量或者诚信履约的恶意报价。投标人报价低于项目最高限价</w:t>
      </w:r>
      <w:r>
        <w:rPr>
          <w:rFonts w:hint="eastAsia" w:ascii="仿宋" w:hAnsi="仿宋" w:eastAsia="仿宋" w:cs="仿宋"/>
          <w:b/>
          <w:bCs/>
          <w:color w:val="auto"/>
          <w:sz w:val="28"/>
          <w:szCs w:val="28"/>
          <w:lang w:val="en-US" w:eastAsia="zh-CN"/>
        </w:rPr>
        <w:t>45</w:t>
      </w:r>
      <w:r>
        <w:rPr>
          <w:rFonts w:hint="eastAsia" w:ascii="仿宋" w:hAnsi="仿宋" w:eastAsia="仿宋" w:cs="仿宋"/>
          <w:b/>
          <w:bCs/>
          <w:color w:val="auto"/>
          <w:sz w:val="28"/>
          <w:szCs w:val="28"/>
          <w:lang w:val="zh-CN"/>
        </w:rPr>
        <w:t>%的，应当详细阐述不影响产品（或服务、工程）质量或者诚信约的具体原因如下：</w:t>
      </w:r>
      <w:r>
        <w:rPr>
          <w:rFonts w:hint="eastAsia" w:ascii="仿宋" w:hAnsi="仿宋" w:eastAsia="仿宋" w:cs="仿宋"/>
          <w:b/>
          <w:bCs/>
          <w:color w:val="auto"/>
          <w:sz w:val="28"/>
          <w:szCs w:val="28"/>
        </w:rPr>
        <w:t>__________________________</w:t>
      </w:r>
    </w:p>
    <w:p w14:paraId="2F720D9D">
      <w:pPr>
        <w:pStyle w:val="14"/>
        <w:widowControl w:val="0"/>
        <w:adjustRightInd w:val="0"/>
        <w:snapToGrid w:val="0"/>
        <w:spacing w:before="0" w:beforeAutospacing="0" w:after="0" w:afterAutospacing="0" w:line="360" w:lineRule="auto"/>
        <w:ind w:firstLine="240"/>
        <w:rPr>
          <w:rFonts w:hint="eastAsia" w:ascii="仿宋" w:hAnsi="仿宋" w:eastAsia="仿宋" w:cs="仿宋"/>
          <w:color w:val="auto"/>
        </w:rPr>
      </w:pPr>
    </w:p>
    <w:p w14:paraId="1D7DEC4B">
      <w:pPr>
        <w:pStyle w:val="14"/>
        <w:widowControl w:val="0"/>
        <w:adjustRightInd w:val="0"/>
        <w:snapToGrid w:val="0"/>
        <w:spacing w:before="0" w:beforeAutospacing="0" w:after="0" w:afterAutospacing="0" w:line="360" w:lineRule="auto"/>
        <w:jc w:val="both"/>
        <w:rPr>
          <w:rFonts w:hint="default" w:ascii="仿宋" w:hAnsi="仿宋" w:eastAsia="仿宋" w:cs="仿宋"/>
          <w:color w:val="auto"/>
          <w:lang w:val="en-US" w:eastAsia="zh-CN"/>
        </w:rPr>
      </w:pPr>
      <w:r>
        <w:rPr>
          <w:rFonts w:hint="eastAsia" w:ascii="楷体" w:hAnsi="楷体" w:eastAsia="楷体" w:cs="楷体"/>
          <w:color w:val="auto"/>
          <w:lang w:val="en-US" w:eastAsia="zh-CN"/>
        </w:rPr>
        <w:t>★</w:t>
      </w:r>
      <w:r>
        <w:rPr>
          <w:rFonts w:hint="eastAsia" w:ascii="仿宋" w:hAnsi="仿宋" w:eastAsia="仿宋" w:cs="仿宋"/>
          <w:color w:val="auto"/>
          <w:lang w:val="en-US" w:eastAsia="zh-CN"/>
        </w:rPr>
        <w:t>注：供应商须随报价说明一并提交完整、详实的书面说明及必要的证明材料，未按要求提交的，评审委员会有权直接认定其报价为恶意低价，按无效投标处理；在评审现场不再接受任何补充、补正材料，未随投标文件提交的材料一律不予采信，严禁事后补提。</w:t>
      </w:r>
    </w:p>
    <w:p w14:paraId="41AA52EC">
      <w:pPr>
        <w:pStyle w:val="14"/>
        <w:widowControl w:val="0"/>
        <w:adjustRightInd w:val="0"/>
        <w:snapToGrid w:val="0"/>
        <w:spacing w:before="0" w:beforeAutospacing="0" w:after="0" w:afterAutospacing="0" w:line="360" w:lineRule="auto"/>
        <w:ind w:firstLine="900" w:firstLineChars="375"/>
        <w:jc w:val="right"/>
        <w:rPr>
          <w:rFonts w:ascii="Times New Roman" w:hAnsi="Times New Roman"/>
          <w:color w:val="auto"/>
        </w:rPr>
      </w:pPr>
    </w:p>
    <w:p w14:paraId="6230C0AF">
      <w:pPr>
        <w:spacing w:beforeLines="50"/>
        <w:ind w:firstLine="3600" w:firstLineChars="1500"/>
        <w:rPr>
          <w:rFonts w:eastAsia="方正仿宋_GB2312"/>
          <w:color w:val="auto"/>
          <w:sz w:val="24"/>
        </w:rPr>
      </w:pPr>
      <w:r>
        <w:rPr>
          <w:rFonts w:eastAsia="方正仿宋_GB2312"/>
          <w:color w:val="auto"/>
          <w:sz w:val="24"/>
        </w:rPr>
        <w:t>投标人：</w:t>
      </w:r>
      <w:r>
        <w:rPr>
          <w:rFonts w:eastAsia="方正仿宋_GB2312"/>
          <w:color w:val="auto"/>
          <w:sz w:val="24"/>
          <w:u w:val="single"/>
        </w:rPr>
        <w:t>（</w:t>
      </w:r>
      <w:r>
        <w:rPr>
          <w:rFonts w:hint="eastAsia" w:eastAsia="方正仿宋_GB2312"/>
          <w:color w:val="auto"/>
          <w:sz w:val="24"/>
          <w:u w:val="single"/>
          <w:lang w:eastAsia="zh-CN"/>
        </w:rPr>
        <w:t>盖章</w:t>
      </w:r>
      <w:r>
        <w:rPr>
          <w:rFonts w:eastAsia="方正仿宋_GB2312"/>
          <w:color w:val="auto"/>
          <w:sz w:val="24"/>
          <w:u w:val="single"/>
        </w:rPr>
        <w:t>）</w:t>
      </w:r>
    </w:p>
    <w:p w14:paraId="5C12D7CC">
      <w:pPr>
        <w:spacing w:beforeLines="50"/>
        <w:ind w:firstLine="3600" w:firstLineChars="1500"/>
        <w:rPr>
          <w:rFonts w:eastAsia="方正仿宋_GB2312"/>
          <w:color w:val="auto"/>
          <w:sz w:val="24"/>
          <w:u w:val="single"/>
        </w:rPr>
      </w:pPr>
      <w:r>
        <w:rPr>
          <w:rFonts w:eastAsia="方正仿宋_GB2312"/>
          <w:color w:val="auto"/>
          <w:sz w:val="24"/>
        </w:rPr>
        <w:t>法定代表人或委托代理人：</w:t>
      </w:r>
      <w:r>
        <w:rPr>
          <w:rFonts w:eastAsia="方正仿宋_GB2312"/>
          <w:color w:val="auto"/>
          <w:sz w:val="24"/>
          <w:u w:val="single"/>
        </w:rPr>
        <w:t>（签字或盖章）</w:t>
      </w:r>
    </w:p>
    <w:p w14:paraId="63E277E5">
      <w:pPr>
        <w:spacing w:beforeLines="50"/>
        <w:ind w:firstLine="3600" w:firstLineChars="1500"/>
        <w:rPr>
          <w:rFonts w:hint="eastAsia" w:ascii="仿宋" w:hAnsi="仿宋" w:eastAsia="仿宋" w:cs="仿宋"/>
          <w:b/>
          <w:bCs/>
          <w:color w:val="auto"/>
          <w:sz w:val="30"/>
          <w:szCs w:val="30"/>
          <w:highlight w:val="none"/>
          <w:lang w:val="en-US" w:eastAsia="zh-CN"/>
        </w:rPr>
      </w:pPr>
      <w:r>
        <w:rPr>
          <w:rFonts w:hint="eastAsia" w:eastAsia="方正仿宋_GB2312"/>
          <w:color w:val="auto"/>
          <w:sz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3CFB3870">
      <w:pP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br w:type="page"/>
      </w:r>
    </w:p>
    <w:p w14:paraId="5F031424">
      <w:pPr>
        <w:widowControl/>
        <w:tabs>
          <w:tab w:val="left" w:pos="450"/>
          <w:tab w:val="left" w:pos="2520"/>
          <w:tab w:val="left" w:pos="8280"/>
        </w:tabs>
        <w:spacing w:line="312" w:lineRule="auto"/>
        <w:jc w:val="center"/>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七、投标承诺书（格式）</w:t>
      </w:r>
    </w:p>
    <w:p w14:paraId="5BA18311">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我公司已详细阅读了</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）招标文件，现参加该项目投标，并就有关事项作出如下承诺：</w:t>
      </w:r>
    </w:p>
    <w:p w14:paraId="25183300">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一、我公司在该项目招投标及合同履约过程中，不会出现以下行为，否则我公司愿意接受该行为被记录为不良行为，并在不良行为记录时限内放弃在武义县公共资源交易中心投标的资格。</w:t>
      </w:r>
    </w:p>
    <w:p w14:paraId="66FD4C23">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（1）已报名但无故放弃投标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开标前已有书面说明并证实的除外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一年内累计3次以上的；</w:t>
      </w:r>
    </w:p>
    <w:p w14:paraId="57E7EC09">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（2）在招标采购过程中，与采购人进行协商谈判的；</w:t>
      </w:r>
    </w:p>
    <w:p w14:paraId="343D5F52">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）在</w:t>
      </w:r>
      <w:r>
        <w:rPr>
          <w:rFonts w:hint="eastAsia" w:ascii="仿宋" w:hAnsi="仿宋" w:eastAsia="仿宋" w:cs="仿宋"/>
          <w:color w:val="auto"/>
          <w:sz w:val="24"/>
          <w:szCs w:val="24"/>
          <w:highlight w:val="none"/>
        </w:rPr>
        <w:t>投标有效期内撤回其投标文件的；</w:t>
      </w:r>
    </w:p>
    <w:p w14:paraId="47AFBA63">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（4）拒绝有关部门监督检查或提供虚假情况的；</w:t>
      </w:r>
    </w:p>
    <w:p w14:paraId="7B16C885">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（5）不积极配合采购人做好标的验收工作的；</w:t>
      </w:r>
    </w:p>
    <w:p w14:paraId="0EE133D9">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（6）在有关部门的监督检查或考核中被通报批评或处以警告及以上处罚的；</w:t>
      </w:r>
    </w:p>
    <w:p w14:paraId="098858AC">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（7）不遵守投标会场纪律，无理取闹，扰乱交易秩序的；</w:t>
      </w:r>
    </w:p>
    <w:p w14:paraId="127246A9">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（8）中标后无正当理由放弃中标，或不与采购人签订政府采购合同，或在签订合同时提出附加条件或更改合同实质性内容，或拒不提交所要求的履约保证金的；</w:t>
      </w:r>
    </w:p>
    <w:p w14:paraId="102A3861">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（9）虚假投诉、恶意投诉或未按层级和相关程序逐级质疑、投诉而影响采购工作正常进行或造成不良影响的；</w:t>
      </w:r>
    </w:p>
    <w:p w14:paraId="7BE1AF85">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（10）不按照与采购人订立的合同履行义务（包括提供标的、售后服务、技术支持等），严重违反合同规定和廉政合同要求的；</w:t>
      </w:r>
    </w:p>
    <w:p w14:paraId="45BFE7CF">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（11）项目负责人不到位，或擅自变换项目负责人，或不认真履行职责造成采购人损失的；</w:t>
      </w:r>
    </w:p>
    <w:p w14:paraId="340D0D2A">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（12）发生经营状况重大变化以及重要担保、重大合同纠纷或诉讼、信用等级和资质变化等可能影响履约能力的重大事项，未及时向采购人提供书面报告，因而造成采购人损失的；</w:t>
      </w:r>
    </w:p>
    <w:p w14:paraId="53327BA3">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（13）与采购人、其他供应商或者采购代理机构相互串通的；</w:t>
      </w:r>
    </w:p>
    <w:p w14:paraId="4F9ADCB7">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（14）采取不正当手段排挤其他供应商，进行不公平竞争的；</w:t>
      </w:r>
    </w:p>
    <w:p w14:paraId="1DF01321">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（15）中标后与采购人另行订立背离合同实质内容的协议的；</w:t>
      </w:r>
    </w:p>
    <w:p w14:paraId="01018A61">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（16）事先有承诺，而事后违反承诺内容的；</w:t>
      </w:r>
    </w:p>
    <w:p w14:paraId="0DA2282E">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（17）将中标项目转包或违反规定进行分包的；</w:t>
      </w:r>
    </w:p>
    <w:p w14:paraId="04ECB48B">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（18）以他人名义投标或允许他人以自己名义投标，或者以其他方式弄虚作假的；</w:t>
      </w:r>
    </w:p>
    <w:p w14:paraId="23ADDD72">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（19）为获取自身利益，向采购人及其他有利害关系的单位或个人提供不正当利益的；</w:t>
      </w:r>
    </w:p>
    <w:p w14:paraId="41060E13">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（20）擅自变更、中止、终止或解除政府采购合同的；</w:t>
      </w:r>
    </w:p>
    <w:p w14:paraId="7192377C">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（21）向有关人员行贿或者提供不正当利益谋取中标的；</w:t>
      </w:r>
    </w:p>
    <w:p w14:paraId="0F9D4642">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（22）在政府采购活动期间，对管理机构、采购人、其他投标人、评标专家、中介机构等政府采购相关机构和人员，采取诋毁、诽谤、胁迫、暴力等不正当手段的；</w:t>
      </w:r>
    </w:p>
    <w:p w14:paraId="382DAECF">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二、我公司及其他利害关系人如对该项目的中标公示有异议，将在招标文件规定的公示期限内提出符合以下条件的有效质疑，否则我公司愿意接受相关部门不予受理的决定。</w:t>
      </w:r>
    </w:p>
    <w:p w14:paraId="32FFF4E5">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质疑人须为投标人和其他利害关系人；</w:t>
      </w:r>
    </w:p>
    <w:p w14:paraId="73805EF9">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投诉时，应当递交质疑书，质疑书应当包括下列内容：</w:t>
      </w:r>
    </w:p>
    <w:p w14:paraId="72C67E0D">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（1）质疑人的名称、地址及有效联系方式；</w:t>
      </w:r>
    </w:p>
    <w:p w14:paraId="751FF5FE">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（2）被质疑人的名称、地址及联系方式；</w:t>
      </w:r>
    </w:p>
    <w:p w14:paraId="010B9AFA">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（3）质疑事项的基本事实；</w:t>
      </w:r>
    </w:p>
    <w:p w14:paraId="61B25DD0">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（4）相关请求及主张；</w:t>
      </w:r>
    </w:p>
    <w:p w14:paraId="71366A0D">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（5）有效线索和相关证明材料；</w:t>
      </w:r>
    </w:p>
    <w:p w14:paraId="79AE1262">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（6）质疑人是法人的，质疑书必须由其法定代表人或者授权代表签字并加</w:t>
      </w:r>
      <w:r>
        <w:rPr>
          <w:rFonts w:hint="eastAsia" w:ascii="仿宋" w:hAnsi="仿宋" w:eastAsia="仿宋" w:cs="仿宋"/>
          <w:color w:val="auto"/>
          <w:sz w:val="24"/>
          <w:szCs w:val="24"/>
          <w:highlight w:val="none"/>
          <w:lang w:eastAsia="zh-CN"/>
        </w:rPr>
        <w:t>盖公</w:t>
      </w:r>
      <w:r>
        <w:rPr>
          <w:rFonts w:hint="eastAsia" w:ascii="仿宋" w:hAnsi="仿宋" w:eastAsia="仿宋" w:cs="仿宋"/>
          <w:color w:val="auto"/>
          <w:sz w:val="24"/>
          <w:szCs w:val="24"/>
          <w:highlight w:val="none"/>
        </w:rPr>
        <w:t>章；其他组织或者个人质疑的，质疑书必须由其主要负责人或者质疑人本人签字，并附有效身份证明复印件。</w:t>
      </w:r>
    </w:p>
    <w:p w14:paraId="06B73088">
      <w:pPr>
        <w:spacing w:line="420" w:lineRule="exact"/>
        <w:ind w:firstLine="964" w:firstLineChars="400"/>
        <w:rPr>
          <w:rFonts w:ascii="仿宋" w:hAnsi="仿宋" w:eastAsia="仿宋" w:cs="仿宋"/>
          <w:b/>
          <w:color w:val="auto"/>
          <w:sz w:val="24"/>
          <w:szCs w:val="24"/>
          <w:highlight w:val="none"/>
        </w:rPr>
      </w:pPr>
    </w:p>
    <w:p w14:paraId="01D24B21">
      <w:pPr>
        <w:spacing w:line="420" w:lineRule="exact"/>
        <w:ind w:firstLine="960" w:firstLineChars="400"/>
        <w:rPr>
          <w:rFonts w:ascii="仿宋" w:hAnsi="仿宋" w:eastAsia="仿宋" w:cs="仿宋"/>
          <w:color w:val="auto"/>
          <w:sz w:val="24"/>
          <w:szCs w:val="24"/>
          <w:highlight w:val="none"/>
        </w:rPr>
      </w:pPr>
    </w:p>
    <w:p w14:paraId="78E399FF">
      <w:pPr>
        <w:spacing w:line="420" w:lineRule="exact"/>
        <w:ind w:firstLine="960" w:firstLineChars="400"/>
        <w:rPr>
          <w:rFonts w:ascii="仿宋" w:hAnsi="仿宋" w:eastAsia="仿宋" w:cs="仿宋"/>
          <w:color w:val="auto"/>
          <w:sz w:val="24"/>
          <w:szCs w:val="24"/>
          <w:highlight w:val="none"/>
        </w:rPr>
      </w:pPr>
    </w:p>
    <w:p w14:paraId="6B9DC42D">
      <w:pPr>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u w:val="single"/>
        </w:rPr>
        <w:t xml:space="preserve">         （盖章）           </w:t>
      </w:r>
      <w:r>
        <w:rPr>
          <w:rFonts w:hint="eastAsia" w:ascii="仿宋" w:hAnsi="仿宋" w:eastAsia="仿宋" w:cs="仿宋"/>
          <w:color w:val="auto"/>
          <w:sz w:val="24"/>
          <w:szCs w:val="24"/>
          <w:highlight w:val="none"/>
        </w:rPr>
        <w:t xml:space="preserve">      </w:t>
      </w:r>
    </w:p>
    <w:p w14:paraId="6F244503">
      <w:pPr>
        <w:spacing w:line="420" w:lineRule="exact"/>
        <w:jc w:val="right"/>
        <w:rPr>
          <w:rFonts w:ascii="仿宋" w:hAnsi="仿宋" w:eastAsia="仿宋" w:cs="仿宋"/>
          <w:color w:val="auto"/>
          <w:sz w:val="24"/>
          <w:szCs w:val="24"/>
          <w:highlight w:val="none"/>
        </w:rPr>
      </w:pPr>
    </w:p>
    <w:p w14:paraId="34A2E1EB">
      <w:pPr>
        <w:spacing w:line="4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8C01A42">
      <w:pPr>
        <w:spacing w:line="312" w:lineRule="auto"/>
        <w:rPr>
          <w:rFonts w:ascii="仿宋" w:hAnsi="仿宋" w:eastAsia="仿宋" w:cs="仿宋"/>
          <w:color w:val="auto"/>
          <w:highlight w:val="none"/>
        </w:rPr>
      </w:pPr>
    </w:p>
    <w:p w14:paraId="461F4F75">
      <w:pPr>
        <w:widowControl/>
        <w:tabs>
          <w:tab w:val="left" w:pos="450"/>
          <w:tab w:val="left" w:pos="2520"/>
          <w:tab w:val="left" w:pos="8280"/>
        </w:tabs>
        <w:spacing w:line="312" w:lineRule="auto"/>
        <w:jc w:val="center"/>
        <w:outlineLvl w:val="1"/>
        <w:rPr>
          <w:rFonts w:ascii="仿宋" w:hAnsi="仿宋" w:eastAsia="仿宋" w:cs="仿宋"/>
          <w:b/>
          <w:color w:val="auto"/>
          <w:sz w:val="24"/>
          <w:szCs w:val="24"/>
          <w:highlight w:val="none"/>
        </w:rPr>
      </w:pPr>
      <w:r>
        <w:rPr>
          <w:rFonts w:hint="eastAsia" w:ascii="仿宋" w:hAnsi="仿宋" w:eastAsia="仿宋" w:cs="仿宋"/>
          <w:b/>
          <w:color w:val="auto"/>
          <w:sz w:val="36"/>
          <w:szCs w:val="36"/>
          <w:highlight w:val="none"/>
        </w:rPr>
        <w:br w:type="page"/>
      </w: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lang w:eastAsia="zh-CN"/>
        </w:rPr>
        <w:t>、中小型、微型企业的优惠政策</w:t>
      </w:r>
    </w:p>
    <w:p w14:paraId="61FCD8CD">
      <w:pPr>
        <w:jc w:val="center"/>
        <w:rPr>
          <w:rFonts w:hint="eastAsia" w:ascii="仿宋" w:hAnsi="仿宋" w:eastAsia="仿宋" w:cs="仿宋"/>
          <w:b/>
          <w:color w:val="auto"/>
          <w:sz w:val="24"/>
          <w:szCs w:val="24"/>
          <w:highlight w:val="none"/>
        </w:rPr>
      </w:pPr>
    </w:p>
    <w:p w14:paraId="4C09E613">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中小企业声明函（工程、服务）</w:t>
      </w:r>
    </w:p>
    <w:p w14:paraId="1D68F862">
      <w:pPr>
        <w:spacing w:line="420" w:lineRule="exact"/>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本公司（联合体）郑重声明，根据《政府采购促进中小企业发展管理办法》 （财库﹝2021﹞46 号）的规定，本公司（或联合体）参加</w:t>
      </w:r>
      <w:r>
        <w:rPr>
          <w:rFonts w:hint="eastAsia" w:ascii="仿宋" w:hAnsi="仿宋" w:eastAsia="仿宋" w:cs="仿宋"/>
          <w:color w:val="auto"/>
          <w:sz w:val="24"/>
          <w:szCs w:val="24"/>
          <w:highlight w:val="none"/>
          <w:u w:val="single"/>
        </w:rPr>
        <w:t xml:space="preserve">          （采购单位）</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xml:space="preserve">       </w:t>
      </w:r>
    </w:p>
    <w:p w14:paraId="2650D1F5">
      <w:pPr>
        <w:spacing w:line="42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采购活动，工程的施工单位全部为符合政策要求的中小企业（或者：服务全部由符合政策要求的中小企业承接） 。相关企业（含联合体中的中小企业、签订分包意向协议的中小企业）的具体情况如下：</w:t>
      </w:r>
    </w:p>
    <w:p w14:paraId="27D3AC4E">
      <w:pPr>
        <w:spacing w:line="42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eastAsia="zh-CN"/>
        </w:rPr>
        <w:t>其他未列明行业</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；承建（承接）企业为</w:t>
      </w:r>
      <w:r>
        <w:rPr>
          <w:rFonts w:hint="eastAsia" w:ascii="仿宋" w:hAnsi="仿宋" w:eastAsia="仿宋" w:cs="仿宋"/>
          <w:color w:val="auto"/>
          <w:sz w:val="24"/>
          <w:szCs w:val="24"/>
          <w:highlight w:val="none"/>
          <w:u w:val="single"/>
        </w:rPr>
        <w:t xml:space="preserve">           （企业名称） </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 ，属于</w:t>
      </w:r>
      <w:r>
        <w:rPr>
          <w:rFonts w:hint="eastAsia" w:ascii="仿宋" w:hAnsi="仿宋" w:eastAsia="仿宋" w:cs="仿宋"/>
          <w:color w:val="auto"/>
          <w:sz w:val="24"/>
          <w:szCs w:val="24"/>
          <w:highlight w:val="none"/>
          <w:u w:val="single"/>
        </w:rPr>
        <w:t xml:space="preserve">       （中型企业、小型企业、微型企业）</w:t>
      </w:r>
      <w:r>
        <w:rPr>
          <w:rFonts w:hint="eastAsia" w:ascii="仿宋" w:hAnsi="仿宋" w:eastAsia="仿宋" w:cs="仿宋"/>
          <w:color w:val="auto"/>
          <w:sz w:val="24"/>
          <w:szCs w:val="24"/>
          <w:highlight w:val="none"/>
        </w:rPr>
        <w:t xml:space="preserve"> ；</w:t>
      </w:r>
    </w:p>
    <w:p w14:paraId="00AF262A">
      <w:pPr>
        <w:spacing w:line="42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 xml:space="preserve">                  （采购文件中明确的所属行业）</w:t>
      </w:r>
      <w:r>
        <w:rPr>
          <w:rFonts w:hint="eastAsia" w:ascii="仿宋" w:hAnsi="仿宋" w:eastAsia="仿宋" w:cs="仿宋"/>
          <w:color w:val="auto"/>
          <w:sz w:val="24"/>
          <w:szCs w:val="24"/>
          <w:highlight w:val="none"/>
        </w:rPr>
        <w:t>；承建（承接）企业为</w:t>
      </w:r>
      <w:r>
        <w:rPr>
          <w:rFonts w:hint="eastAsia" w:ascii="仿宋" w:hAnsi="仿宋" w:eastAsia="仿宋" w:cs="仿宋"/>
          <w:color w:val="auto"/>
          <w:sz w:val="24"/>
          <w:szCs w:val="24"/>
          <w:highlight w:val="none"/>
          <w:u w:val="single"/>
        </w:rPr>
        <w:t xml:space="preserve">           （企业名称） </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 ，属于</w:t>
      </w:r>
      <w:r>
        <w:rPr>
          <w:rFonts w:hint="eastAsia" w:ascii="仿宋" w:hAnsi="仿宋" w:eastAsia="仿宋" w:cs="仿宋"/>
          <w:color w:val="auto"/>
          <w:sz w:val="24"/>
          <w:szCs w:val="24"/>
          <w:highlight w:val="none"/>
          <w:u w:val="single"/>
        </w:rPr>
        <w:t xml:space="preserve">       （中型企业、小型企业、微型企业）</w:t>
      </w:r>
      <w:r>
        <w:rPr>
          <w:rFonts w:hint="eastAsia" w:ascii="仿宋" w:hAnsi="仿宋" w:eastAsia="仿宋" w:cs="仿宋"/>
          <w:color w:val="auto"/>
          <w:sz w:val="24"/>
          <w:szCs w:val="24"/>
          <w:highlight w:val="none"/>
        </w:rPr>
        <w:t xml:space="preserve"> ；</w:t>
      </w:r>
    </w:p>
    <w:p w14:paraId="113759F3">
      <w:pPr>
        <w:spacing w:line="42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5CF1CB3A">
      <w:pPr>
        <w:spacing w:line="42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785D1BEB">
      <w:pPr>
        <w:spacing w:line="42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22C5D3AF">
      <w:pPr>
        <w:spacing w:line="420" w:lineRule="exact"/>
        <w:ind w:right="420" w:firstLine="5880" w:firstLineChars="2450"/>
        <w:jc w:val="left"/>
        <w:rPr>
          <w:rFonts w:ascii="仿宋" w:hAnsi="仿宋" w:eastAsia="仿宋" w:cs="仿宋"/>
          <w:color w:val="auto"/>
          <w:sz w:val="24"/>
          <w:szCs w:val="24"/>
          <w:highlight w:val="none"/>
        </w:rPr>
      </w:pPr>
    </w:p>
    <w:p w14:paraId="09C475D2">
      <w:pPr>
        <w:spacing w:line="420" w:lineRule="exact"/>
        <w:ind w:right="420" w:firstLine="5880" w:firstLineChars="24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企业名称（盖章）： </w:t>
      </w:r>
    </w:p>
    <w:p w14:paraId="797FFC60">
      <w:pPr>
        <w:spacing w:line="420" w:lineRule="exact"/>
        <w:ind w:right="420" w:firstLine="5520" w:firstLineChars="2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73DE71C5">
      <w:pPr>
        <w:pStyle w:val="13"/>
        <w:keepNext w:val="0"/>
        <w:keepLines w:val="0"/>
        <w:pageBreakBefore w:val="0"/>
        <w:widowControl w:val="0"/>
        <w:kinsoku/>
        <w:wordWrap/>
        <w:overflowPunct/>
        <w:topLinePunct w:val="0"/>
        <w:bidi w:val="0"/>
        <w:snapToGrid/>
        <w:spacing w:after="0" w:line="340" w:lineRule="exact"/>
        <w:ind w:left="0" w:leftChars="0" w:firstLine="0" w:firstLineChars="0"/>
        <w:jc w:val="both"/>
        <w:textAlignment w:val="auto"/>
        <w:outlineLvl w:val="9"/>
        <w:rPr>
          <w:rFonts w:hint="eastAsia"/>
          <w:color w:val="auto"/>
          <w:highlight w:val="none"/>
        </w:rPr>
      </w:pPr>
      <w:r>
        <w:rPr>
          <w:rFonts w:hint="eastAsia" w:ascii="仿宋" w:hAnsi="仿宋" w:eastAsia="仿宋" w:cs="仿宋"/>
          <w:b/>
          <w:bCs/>
          <w:color w:val="auto"/>
          <w:sz w:val="24"/>
          <w:szCs w:val="24"/>
          <w:highlight w:val="none"/>
        </w:rPr>
        <w:t>注：</w:t>
      </w:r>
    </w:p>
    <w:p w14:paraId="341DB30D">
      <w:pPr>
        <w:keepNext w:val="0"/>
        <w:keepLines w:val="0"/>
        <w:pageBreakBefore w:val="0"/>
        <w:widowControl w:val="0"/>
        <w:kinsoku/>
        <w:wordWrap/>
        <w:overflowPunct/>
        <w:topLinePunct w:val="0"/>
        <w:bidi w:val="0"/>
        <w:snapToGrid/>
        <w:spacing w:line="340" w:lineRule="exact"/>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填写要求：①“标的名称”“招标文件中明确的所属行业”依据招标文件第二章投标人须知前附表中“本项目对应的中小企业划分标准所属行业”填写，不得缺漏；②行业填写错误、未填写或者填错为“招标文件中明确的所属行业”等类似瑕疵的，投标无效。③从业人员、营业收入、资产总额填报上一年度数据，无上一年度数据的新成立企业可不填报；③中型企业、小型企业、微型企业等 3 种企业类型，结合以上数据，依据《中小企业划型标准规定》（工信部联企业〔2011〕300号）和《国家统计局关于印发〈统计上大中小微型企业划分办法（2017）〉的通知》和《中国人民银行中国银行业监督管理委员会中国证券监督管理委员会中国保险监督管理委员会国家统计局关于印发〈金融业企业划型标准规定〉的通知》（详见文末）中的企业划型标准进行填报（如国家颁布新的企业划型标准，则按最新标准执行）。</w:t>
      </w:r>
    </w:p>
    <w:p w14:paraId="242A8B3D">
      <w:pPr>
        <w:keepNext w:val="0"/>
        <w:keepLines w:val="0"/>
        <w:pageBreakBefore w:val="0"/>
        <w:widowControl w:val="0"/>
        <w:kinsoku/>
        <w:wordWrap/>
        <w:overflowPunct/>
        <w:topLinePunct w:val="0"/>
        <w:bidi w:val="0"/>
        <w:snapToGrid/>
        <w:spacing w:line="340" w:lineRule="exact"/>
        <w:jc w:val="both"/>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投标人提供的《中小企业声明函》企业类型正确，数据错误（对数据有疑义的，由供应商澄清说明，供应商对填报的数据来源作出合理解释）的，投标有效；反之企业类型错误的，则投标无效。如果供应商声明的类型获得了本不应获得的利益（价格扣除或者资格审查通过），则属于虚假材料；反之，没有获得非法利益，则不属于虚假材料。提供虚假材料谋取中标、成交的，依法承担法律责任。</w:t>
      </w:r>
    </w:p>
    <w:p w14:paraId="0225929C">
      <w:pPr>
        <w:widowControl/>
        <w:tabs>
          <w:tab w:val="left" w:pos="450"/>
          <w:tab w:val="left" w:pos="2520"/>
          <w:tab w:val="left" w:pos="8280"/>
        </w:tabs>
        <w:spacing w:line="312" w:lineRule="auto"/>
        <w:jc w:val="center"/>
        <w:outlineLvl w:val="1"/>
        <w:rPr>
          <w:rFonts w:hint="eastAsia" w:ascii="仿宋" w:hAnsi="仿宋" w:eastAsia="仿宋" w:cs="仿宋"/>
          <w:b/>
          <w:color w:val="auto"/>
          <w:sz w:val="30"/>
          <w:szCs w:val="30"/>
          <w:highlight w:val="none"/>
          <w:lang w:eastAsia="zh-CN"/>
        </w:rPr>
      </w:pPr>
      <w:r>
        <w:rPr>
          <w:rFonts w:hint="eastAsia" w:ascii="仿宋" w:hAnsi="仿宋" w:eastAsia="仿宋" w:cs="仿宋"/>
          <w:color w:val="auto"/>
          <w:sz w:val="30"/>
          <w:szCs w:val="30"/>
          <w:highlight w:val="none"/>
        </w:rPr>
        <w:br w:type="page"/>
      </w: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lang w:eastAsia="zh-CN"/>
        </w:rPr>
        <w:t>、残疾人福利性单位声明函</w:t>
      </w:r>
    </w:p>
    <w:p w14:paraId="07061B23">
      <w:pPr>
        <w:snapToGrid w:val="0"/>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5DDE67">
      <w:pPr>
        <w:snapToGrid w:val="0"/>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7CEE2425">
      <w:pPr>
        <w:snapToGrid w:val="0"/>
        <w:spacing w:line="420" w:lineRule="exact"/>
        <w:ind w:firstLine="504" w:firstLineChars="200"/>
        <w:jc w:val="right"/>
        <w:rPr>
          <w:rFonts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z w:val="24"/>
          <w:szCs w:val="24"/>
          <w:highlight w:val="none"/>
        </w:rPr>
        <w:t xml:space="preserve">      单位名称（盖章）：</w:t>
      </w:r>
    </w:p>
    <w:p w14:paraId="2F7A8C49">
      <w:pPr>
        <w:snapToGrid w:val="0"/>
        <w:spacing w:line="420" w:lineRule="exact"/>
        <w:ind w:firstLine="480" w:firstLine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日  期：</w:t>
      </w:r>
    </w:p>
    <w:p w14:paraId="2CA0E02B">
      <w:pPr>
        <w:snapToGrid w:val="0"/>
        <w:spacing w:line="42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残疾人福利性单位视同小型、微型企业，享受价格扣除。</w:t>
      </w:r>
    </w:p>
    <w:p w14:paraId="04A59C48">
      <w:pPr>
        <w:snapToGrid w:val="0"/>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残疾人福利性单位属于小型、微型企业的，不重复享受政策。</w:t>
      </w:r>
    </w:p>
    <w:p w14:paraId="6E3CA758">
      <w:pPr>
        <w:snapToGrid w:val="0"/>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如中标人声明为残疾人福利性单位，本声明函将随中标结果同时公告，接受社会监督。</w:t>
      </w:r>
    </w:p>
    <w:p w14:paraId="19067A02">
      <w:pPr>
        <w:snapToGrid w:val="0"/>
        <w:spacing w:line="42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享受政府采购支持政策的残疾人福利性单位应当同时满足以下条件：</w:t>
      </w:r>
    </w:p>
    <w:p w14:paraId="74693CDB">
      <w:pPr>
        <w:snapToGrid w:val="0"/>
        <w:spacing w:line="42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（一）安置的残疾人占本单位在职职工人数的比例不低于25%（含25%），并且安置的残疾人人数不少于10人（含10人）；</w:t>
      </w:r>
    </w:p>
    <w:p w14:paraId="06AAA478">
      <w:pPr>
        <w:snapToGrid w:val="0"/>
        <w:spacing w:line="42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（二）依法与安置的每位残疾人签订了一年以上（含一年）的劳动合同或服务协议；</w:t>
      </w:r>
    </w:p>
    <w:p w14:paraId="76F1CE79">
      <w:pPr>
        <w:snapToGrid w:val="0"/>
        <w:spacing w:line="42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（三）为安置的每位残疾人按月足额缴纳了基本养老保险、基本医疗保险、失业保险、工伤保险和生育保险等社会保险费；</w:t>
      </w:r>
    </w:p>
    <w:p w14:paraId="1664E22D">
      <w:pPr>
        <w:snapToGrid w:val="0"/>
        <w:spacing w:line="42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（四）通过银行等金融机构向安置的每位残疾人，按月支付了不低于单位所在区县适用的经省级人民政府批准的月最低工资标准的工资；</w:t>
      </w:r>
    </w:p>
    <w:p w14:paraId="15095150">
      <w:pPr>
        <w:snapToGrid w:val="0"/>
        <w:spacing w:line="42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（五）提供本单位制造的货物、承担的工程或者服务（以下简称产品），或者提供其他残疾人福利性单位制造的货物（不包括使用非残疾人福利性单位注册商标的货物）。</w:t>
      </w:r>
    </w:p>
    <w:p w14:paraId="5991D316">
      <w:pPr>
        <w:spacing w:line="312" w:lineRule="auto"/>
        <w:jc w:val="center"/>
        <w:outlineLvl w:val="1"/>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监狱企业资格材料</w:t>
      </w:r>
    </w:p>
    <w:p w14:paraId="277A4DAD">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（省级以上监狱管理局、戒毒管理局（含新疆生产建设兵团）出具的属于监狱企业的资格文件）</w:t>
      </w:r>
    </w:p>
    <w:p w14:paraId="7F4C2580">
      <w:pPr>
        <w:rPr>
          <w:rFonts w:hint="eastAsia" w:ascii="仿宋" w:hAnsi="Times New Roman" w:eastAsia="仿宋" w:cs="仿宋"/>
          <w:b/>
          <w:color w:val="auto"/>
          <w:sz w:val="30"/>
          <w:szCs w:val="30"/>
          <w:highlight w:val="none"/>
          <w:lang w:val="en-US" w:eastAsia="zh-CN"/>
        </w:rPr>
      </w:pPr>
      <w:r>
        <w:rPr>
          <w:rFonts w:hint="eastAsia" w:ascii="仿宋" w:hAnsi="Times New Roman" w:eastAsia="仿宋" w:cs="仿宋"/>
          <w:b/>
          <w:color w:val="auto"/>
          <w:sz w:val="30"/>
          <w:szCs w:val="30"/>
          <w:highlight w:val="none"/>
          <w:lang w:val="en-US" w:eastAsia="zh-CN"/>
        </w:rPr>
        <w:br w:type="page"/>
      </w:r>
    </w:p>
    <w:p w14:paraId="4AB22C14">
      <w:pPr>
        <w:spacing w:line="312" w:lineRule="auto"/>
        <w:jc w:val="center"/>
        <w:outlineLvl w:val="1"/>
        <w:rPr>
          <w:rFonts w:hint="eastAsia" w:ascii="仿宋" w:eastAsia="仿宋" w:cs="仿宋"/>
          <w:b/>
          <w:color w:val="auto"/>
          <w:sz w:val="30"/>
          <w:szCs w:val="30"/>
          <w:highlight w:val="none"/>
        </w:rPr>
      </w:pPr>
      <w:r>
        <w:rPr>
          <w:rFonts w:hint="eastAsia" w:ascii="仿宋" w:hAnsi="Times New Roman" w:eastAsia="仿宋" w:cs="仿宋"/>
          <w:b/>
          <w:color w:val="auto"/>
          <w:sz w:val="30"/>
          <w:szCs w:val="30"/>
          <w:highlight w:val="none"/>
          <w:lang w:val="en-US" w:eastAsia="zh-CN"/>
        </w:rPr>
        <w:t>十</w:t>
      </w:r>
      <w:r>
        <w:rPr>
          <w:rFonts w:hint="eastAsia" w:ascii="仿宋" w:eastAsia="仿宋" w:cs="仿宋"/>
          <w:b/>
          <w:color w:val="auto"/>
          <w:sz w:val="30"/>
          <w:szCs w:val="30"/>
          <w:highlight w:val="none"/>
          <w:lang w:val="en-US" w:eastAsia="zh-CN"/>
        </w:rPr>
        <w:t>一</w:t>
      </w:r>
      <w:r>
        <w:rPr>
          <w:rFonts w:hint="eastAsia" w:ascii="仿宋" w:hAnsi="Times New Roman" w:eastAsia="仿宋" w:cs="仿宋"/>
          <w:b/>
          <w:color w:val="auto"/>
          <w:sz w:val="30"/>
          <w:szCs w:val="30"/>
          <w:highlight w:val="none"/>
          <w:lang w:val="en-US" w:eastAsia="zh-CN"/>
        </w:rPr>
        <w:t>、</w:t>
      </w:r>
      <w:r>
        <w:rPr>
          <w:rFonts w:hint="eastAsia" w:ascii="仿宋" w:eastAsia="仿宋" w:cs="仿宋"/>
          <w:b/>
          <w:color w:val="auto"/>
          <w:sz w:val="30"/>
          <w:szCs w:val="30"/>
          <w:highlight w:val="none"/>
        </w:rPr>
        <w:t>商务技术文件</w:t>
      </w:r>
      <w:r>
        <w:rPr>
          <w:rFonts w:hint="eastAsia" w:ascii="仿宋" w:eastAsia="仿宋" w:cs="仿宋"/>
          <w:b/>
          <w:color w:val="auto"/>
          <w:sz w:val="30"/>
          <w:szCs w:val="30"/>
          <w:highlight w:val="none"/>
          <w:lang w:eastAsia="zh-CN"/>
        </w:rPr>
        <w:t>评分索引</w:t>
      </w:r>
      <w:r>
        <w:rPr>
          <w:rFonts w:hint="eastAsia" w:ascii="仿宋" w:eastAsia="仿宋" w:cs="仿宋"/>
          <w:b/>
          <w:color w:val="auto"/>
          <w:sz w:val="30"/>
          <w:szCs w:val="30"/>
          <w:highlight w:val="none"/>
        </w:rPr>
        <w:t>（按页码对应填写）</w:t>
      </w:r>
    </w:p>
    <w:tbl>
      <w:tblPr>
        <w:tblStyle w:val="27"/>
        <w:tblpPr w:leftFromText="180" w:rightFromText="180" w:vertAnchor="text" w:horzAnchor="margin" w:tblpXSpec="left" w:tblpY="2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1134"/>
        <w:gridCol w:w="5268"/>
        <w:gridCol w:w="934"/>
        <w:gridCol w:w="927"/>
      </w:tblGrid>
      <w:tr w14:paraId="7E77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817" w:type="dxa"/>
            <w:tcBorders>
              <w:top w:val="single" w:color="auto" w:sz="4" w:space="0"/>
              <w:left w:val="single" w:color="auto" w:sz="4" w:space="0"/>
              <w:bottom w:val="single" w:color="auto" w:sz="4" w:space="0"/>
              <w:right w:val="single" w:color="auto" w:sz="4" w:space="0"/>
            </w:tcBorders>
            <w:vAlign w:val="center"/>
          </w:tcPr>
          <w:p w14:paraId="6C59E3B9">
            <w:pPr>
              <w:widowControl/>
              <w:jc w:val="center"/>
              <w:rPr>
                <w:rFonts w:hint="eastAsia" w:ascii="仿宋_GB2312" w:eastAsia="仿宋_GB2312"/>
                <w:color w:val="auto"/>
                <w:highlight w:val="none"/>
              </w:rPr>
            </w:pPr>
            <w:r>
              <w:rPr>
                <w:rFonts w:hint="eastAsia" w:ascii="仿宋_GB2312" w:eastAsia="仿宋_GB2312"/>
                <w:color w:val="auto"/>
                <w:highlight w:val="none"/>
              </w:rPr>
              <w:t>序号</w:t>
            </w:r>
          </w:p>
        </w:tc>
        <w:tc>
          <w:tcPr>
            <w:tcW w:w="1134" w:type="dxa"/>
            <w:tcBorders>
              <w:top w:val="single" w:color="auto" w:sz="4" w:space="0"/>
              <w:left w:val="nil"/>
              <w:bottom w:val="single" w:color="auto" w:sz="4" w:space="0"/>
              <w:right w:val="single" w:color="auto" w:sz="4" w:space="0"/>
            </w:tcBorders>
            <w:vAlign w:val="center"/>
          </w:tcPr>
          <w:p w14:paraId="529B9C72">
            <w:pPr>
              <w:widowControl/>
              <w:jc w:val="center"/>
              <w:rPr>
                <w:rFonts w:hint="eastAsia" w:ascii="仿宋_GB2312" w:eastAsia="仿宋_GB2312"/>
                <w:color w:val="auto"/>
                <w:highlight w:val="none"/>
              </w:rPr>
            </w:pPr>
            <w:r>
              <w:rPr>
                <w:rFonts w:hint="eastAsia" w:ascii="仿宋_GB2312" w:eastAsia="仿宋_GB2312"/>
                <w:color w:val="auto"/>
                <w:highlight w:val="none"/>
              </w:rPr>
              <w:t>评审内容</w:t>
            </w:r>
          </w:p>
        </w:tc>
        <w:tc>
          <w:tcPr>
            <w:tcW w:w="5268" w:type="dxa"/>
            <w:tcBorders>
              <w:top w:val="single" w:color="auto" w:sz="4" w:space="0"/>
              <w:left w:val="nil"/>
              <w:bottom w:val="single" w:color="auto" w:sz="4" w:space="0"/>
              <w:right w:val="single" w:color="auto" w:sz="4" w:space="0"/>
            </w:tcBorders>
            <w:vAlign w:val="center"/>
          </w:tcPr>
          <w:p w14:paraId="438FD63B">
            <w:pPr>
              <w:widowControl/>
              <w:jc w:val="center"/>
              <w:rPr>
                <w:rFonts w:hint="eastAsia" w:ascii="仿宋_GB2312" w:eastAsia="仿宋_GB2312"/>
                <w:color w:val="auto"/>
                <w:highlight w:val="none"/>
              </w:rPr>
            </w:pPr>
            <w:r>
              <w:rPr>
                <w:rFonts w:hint="eastAsia" w:ascii="仿宋_GB2312" w:eastAsia="仿宋_GB2312"/>
                <w:color w:val="auto"/>
                <w:highlight w:val="none"/>
              </w:rPr>
              <w:t>评审标准</w:t>
            </w:r>
          </w:p>
        </w:tc>
        <w:tc>
          <w:tcPr>
            <w:tcW w:w="934" w:type="dxa"/>
            <w:tcBorders>
              <w:top w:val="single" w:color="auto" w:sz="4" w:space="0"/>
              <w:left w:val="nil"/>
              <w:bottom w:val="single" w:color="auto" w:sz="4" w:space="0"/>
              <w:right w:val="single" w:color="auto" w:sz="4" w:space="0"/>
            </w:tcBorders>
            <w:vAlign w:val="center"/>
          </w:tcPr>
          <w:p w14:paraId="769EAB8E">
            <w:pPr>
              <w:jc w:val="center"/>
              <w:rPr>
                <w:rFonts w:hint="eastAsia" w:ascii="仿宋_GB2312" w:eastAsia="仿宋_GB2312"/>
                <w:color w:val="auto"/>
                <w:highlight w:val="none"/>
              </w:rPr>
            </w:pPr>
            <w:r>
              <w:rPr>
                <w:rFonts w:hint="eastAsia" w:ascii="仿宋_GB2312" w:eastAsia="仿宋_GB2312"/>
                <w:color w:val="auto"/>
                <w:highlight w:val="none"/>
              </w:rPr>
              <w:t>自评分</w:t>
            </w:r>
          </w:p>
        </w:tc>
        <w:tc>
          <w:tcPr>
            <w:tcW w:w="927" w:type="dxa"/>
            <w:tcBorders>
              <w:top w:val="single" w:color="auto" w:sz="4" w:space="0"/>
              <w:left w:val="nil"/>
              <w:bottom w:val="single" w:color="auto" w:sz="4" w:space="0"/>
              <w:right w:val="single" w:color="auto" w:sz="4" w:space="0"/>
            </w:tcBorders>
            <w:vAlign w:val="center"/>
          </w:tcPr>
          <w:p w14:paraId="580AC706">
            <w:pPr>
              <w:jc w:val="center"/>
              <w:rPr>
                <w:rFonts w:hint="eastAsia" w:ascii="仿宋_GB2312" w:eastAsia="仿宋_GB2312"/>
                <w:color w:val="auto"/>
                <w:highlight w:val="none"/>
              </w:rPr>
            </w:pPr>
            <w:r>
              <w:rPr>
                <w:rFonts w:hint="eastAsia" w:ascii="仿宋_GB2312" w:eastAsia="仿宋_GB2312"/>
                <w:color w:val="auto"/>
                <w:highlight w:val="none"/>
              </w:rPr>
              <w:t>内容所在对应页码</w:t>
            </w:r>
          </w:p>
        </w:tc>
      </w:tr>
      <w:tr w14:paraId="1E3A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817" w:type="dxa"/>
            <w:tcBorders>
              <w:top w:val="single" w:color="auto" w:sz="4" w:space="0"/>
              <w:left w:val="single" w:color="auto" w:sz="4" w:space="0"/>
              <w:bottom w:val="single" w:color="auto" w:sz="4" w:space="0"/>
              <w:right w:val="single" w:color="auto" w:sz="4" w:space="0"/>
            </w:tcBorders>
            <w:vAlign w:val="center"/>
          </w:tcPr>
          <w:p w14:paraId="621F0E5B">
            <w:pPr>
              <w:jc w:val="center"/>
              <w:rPr>
                <w:rFonts w:hint="eastAsia" w:ascii="仿宋_GB2312" w:eastAsia="仿宋_GB2312"/>
                <w:color w:val="auto"/>
                <w:highlight w:val="none"/>
              </w:rPr>
            </w:pPr>
          </w:p>
        </w:tc>
        <w:tc>
          <w:tcPr>
            <w:tcW w:w="1134" w:type="dxa"/>
            <w:tcBorders>
              <w:top w:val="single" w:color="auto" w:sz="4" w:space="0"/>
              <w:left w:val="nil"/>
              <w:bottom w:val="single" w:color="auto" w:sz="4" w:space="0"/>
              <w:right w:val="single" w:color="auto" w:sz="4" w:space="0"/>
            </w:tcBorders>
            <w:vAlign w:val="center"/>
          </w:tcPr>
          <w:p w14:paraId="75A4E757">
            <w:pPr>
              <w:jc w:val="center"/>
              <w:rPr>
                <w:rFonts w:hint="eastAsia" w:ascii="仿宋_GB2312" w:eastAsia="仿宋_GB2312"/>
                <w:color w:val="auto"/>
                <w:highlight w:val="none"/>
              </w:rPr>
            </w:pPr>
          </w:p>
        </w:tc>
        <w:tc>
          <w:tcPr>
            <w:tcW w:w="5268" w:type="dxa"/>
            <w:tcBorders>
              <w:top w:val="single" w:color="auto" w:sz="4" w:space="0"/>
              <w:left w:val="nil"/>
              <w:bottom w:val="single" w:color="auto" w:sz="4" w:space="0"/>
              <w:right w:val="single" w:color="auto" w:sz="4" w:space="0"/>
            </w:tcBorders>
            <w:vAlign w:val="center"/>
          </w:tcPr>
          <w:p w14:paraId="376BE5E6">
            <w:pPr>
              <w:pStyle w:val="59"/>
              <w:widowControl/>
              <w:rPr>
                <w:rFonts w:hint="eastAsia" w:ascii="仿宋_GB2312" w:eastAsia="仿宋_GB2312" w:cs="Times New Roman"/>
                <w:bCs/>
                <w:color w:val="auto"/>
                <w:highlight w:val="none"/>
              </w:rPr>
            </w:pPr>
          </w:p>
        </w:tc>
        <w:tc>
          <w:tcPr>
            <w:tcW w:w="934" w:type="dxa"/>
            <w:tcBorders>
              <w:top w:val="single" w:color="auto" w:sz="4" w:space="0"/>
              <w:left w:val="nil"/>
              <w:bottom w:val="single" w:color="auto" w:sz="4" w:space="0"/>
              <w:right w:val="single" w:color="auto" w:sz="4" w:space="0"/>
            </w:tcBorders>
            <w:vAlign w:val="center"/>
          </w:tcPr>
          <w:p w14:paraId="15C78653">
            <w:pPr>
              <w:jc w:val="center"/>
              <w:rPr>
                <w:rFonts w:hint="eastAsia" w:ascii="仿宋_GB2312" w:eastAsia="仿宋_GB2312"/>
                <w:color w:val="auto"/>
                <w:highlight w:val="none"/>
              </w:rPr>
            </w:pPr>
          </w:p>
        </w:tc>
        <w:tc>
          <w:tcPr>
            <w:tcW w:w="927" w:type="dxa"/>
            <w:tcBorders>
              <w:top w:val="single" w:color="auto" w:sz="4" w:space="0"/>
              <w:left w:val="nil"/>
              <w:bottom w:val="single" w:color="auto" w:sz="4" w:space="0"/>
              <w:right w:val="single" w:color="auto" w:sz="4" w:space="0"/>
            </w:tcBorders>
            <w:vAlign w:val="center"/>
          </w:tcPr>
          <w:p w14:paraId="6027AD8A">
            <w:pPr>
              <w:jc w:val="center"/>
              <w:rPr>
                <w:rFonts w:hint="eastAsia" w:ascii="仿宋_GB2312" w:eastAsia="仿宋_GB2312"/>
                <w:color w:val="auto"/>
                <w:highlight w:val="none"/>
              </w:rPr>
            </w:pPr>
          </w:p>
        </w:tc>
      </w:tr>
      <w:tr w14:paraId="79BE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817" w:type="dxa"/>
            <w:tcBorders>
              <w:top w:val="single" w:color="auto" w:sz="4" w:space="0"/>
              <w:left w:val="single" w:color="auto" w:sz="4" w:space="0"/>
              <w:bottom w:val="single" w:color="auto" w:sz="4" w:space="0"/>
              <w:right w:val="single" w:color="auto" w:sz="4" w:space="0"/>
            </w:tcBorders>
            <w:vAlign w:val="center"/>
          </w:tcPr>
          <w:p w14:paraId="0D6FB043">
            <w:pPr>
              <w:jc w:val="center"/>
              <w:rPr>
                <w:rFonts w:hint="eastAsia" w:ascii="仿宋_GB2312" w:eastAsia="仿宋_GB2312"/>
                <w:color w:val="auto"/>
                <w:highlight w:val="none"/>
              </w:rPr>
            </w:pPr>
          </w:p>
        </w:tc>
        <w:tc>
          <w:tcPr>
            <w:tcW w:w="1134" w:type="dxa"/>
            <w:tcBorders>
              <w:top w:val="single" w:color="auto" w:sz="4" w:space="0"/>
              <w:left w:val="nil"/>
              <w:bottom w:val="single" w:color="auto" w:sz="4" w:space="0"/>
              <w:right w:val="single" w:color="auto" w:sz="4" w:space="0"/>
            </w:tcBorders>
            <w:vAlign w:val="center"/>
          </w:tcPr>
          <w:p w14:paraId="37491570">
            <w:pPr>
              <w:jc w:val="center"/>
              <w:rPr>
                <w:rFonts w:hint="eastAsia" w:ascii="仿宋_GB2312" w:eastAsia="仿宋_GB2312"/>
                <w:color w:val="auto"/>
                <w:highlight w:val="none"/>
              </w:rPr>
            </w:pPr>
          </w:p>
        </w:tc>
        <w:tc>
          <w:tcPr>
            <w:tcW w:w="5268" w:type="dxa"/>
            <w:tcBorders>
              <w:top w:val="single" w:color="auto" w:sz="4" w:space="0"/>
              <w:left w:val="nil"/>
              <w:bottom w:val="single" w:color="auto" w:sz="4" w:space="0"/>
              <w:right w:val="single" w:color="auto" w:sz="4" w:space="0"/>
            </w:tcBorders>
            <w:vAlign w:val="center"/>
          </w:tcPr>
          <w:p w14:paraId="2E008F61">
            <w:pPr>
              <w:pStyle w:val="59"/>
              <w:widowControl/>
              <w:rPr>
                <w:rFonts w:hint="eastAsia" w:ascii="仿宋_GB2312" w:eastAsia="仿宋_GB2312" w:cs="Times New Roman"/>
                <w:color w:val="auto"/>
                <w:highlight w:val="none"/>
              </w:rPr>
            </w:pPr>
          </w:p>
        </w:tc>
        <w:tc>
          <w:tcPr>
            <w:tcW w:w="934" w:type="dxa"/>
            <w:tcBorders>
              <w:top w:val="single" w:color="auto" w:sz="4" w:space="0"/>
              <w:left w:val="nil"/>
              <w:bottom w:val="single" w:color="auto" w:sz="4" w:space="0"/>
              <w:right w:val="single" w:color="auto" w:sz="4" w:space="0"/>
            </w:tcBorders>
            <w:vAlign w:val="center"/>
          </w:tcPr>
          <w:p w14:paraId="0284DEBB">
            <w:pPr>
              <w:jc w:val="center"/>
              <w:rPr>
                <w:rFonts w:hint="eastAsia" w:ascii="仿宋_GB2312" w:eastAsia="仿宋_GB2312"/>
                <w:color w:val="auto"/>
                <w:highlight w:val="none"/>
              </w:rPr>
            </w:pPr>
          </w:p>
        </w:tc>
        <w:tc>
          <w:tcPr>
            <w:tcW w:w="927" w:type="dxa"/>
            <w:tcBorders>
              <w:top w:val="single" w:color="auto" w:sz="4" w:space="0"/>
              <w:left w:val="nil"/>
              <w:bottom w:val="single" w:color="auto" w:sz="4" w:space="0"/>
              <w:right w:val="single" w:color="auto" w:sz="4" w:space="0"/>
            </w:tcBorders>
            <w:vAlign w:val="center"/>
          </w:tcPr>
          <w:p w14:paraId="029471B8">
            <w:pPr>
              <w:jc w:val="center"/>
              <w:rPr>
                <w:rFonts w:hint="eastAsia" w:ascii="仿宋_GB2312" w:eastAsia="仿宋_GB2312"/>
                <w:color w:val="auto"/>
                <w:highlight w:val="none"/>
              </w:rPr>
            </w:pPr>
          </w:p>
        </w:tc>
      </w:tr>
      <w:tr w14:paraId="61E7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817" w:type="dxa"/>
            <w:tcBorders>
              <w:top w:val="single" w:color="auto" w:sz="4" w:space="0"/>
              <w:left w:val="single" w:color="auto" w:sz="4" w:space="0"/>
              <w:bottom w:val="single" w:color="auto" w:sz="4" w:space="0"/>
              <w:right w:val="single" w:color="auto" w:sz="4" w:space="0"/>
            </w:tcBorders>
            <w:vAlign w:val="center"/>
          </w:tcPr>
          <w:p w14:paraId="6D9DFD2D">
            <w:pPr>
              <w:jc w:val="center"/>
              <w:rPr>
                <w:rFonts w:hint="eastAsia" w:ascii="仿宋_GB2312" w:eastAsia="仿宋_GB2312"/>
                <w:color w:val="auto"/>
                <w:highlight w:val="none"/>
              </w:rPr>
            </w:pPr>
          </w:p>
        </w:tc>
        <w:tc>
          <w:tcPr>
            <w:tcW w:w="1134" w:type="dxa"/>
            <w:tcBorders>
              <w:top w:val="single" w:color="auto" w:sz="4" w:space="0"/>
              <w:left w:val="nil"/>
              <w:bottom w:val="single" w:color="auto" w:sz="4" w:space="0"/>
              <w:right w:val="single" w:color="auto" w:sz="4" w:space="0"/>
            </w:tcBorders>
            <w:vAlign w:val="center"/>
          </w:tcPr>
          <w:p w14:paraId="288FAF08">
            <w:pPr>
              <w:jc w:val="center"/>
              <w:rPr>
                <w:rFonts w:hint="eastAsia" w:ascii="仿宋_GB2312" w:eastAsia="仿宋_GB2312"/>
                <w:color w:val="auto"/>
                <w:highlight w:val="none"/>
              </w:rPr>
            </w:pPr>
          </w:p>
        </w:tc>
        <w:tc>
          <w:tcPr>
            <w:tcW w:w="5268" w:type="dxa"/>
            <w:tcBorders>
              <w:top w:val="single" w:color="auto" w:sz="4" w:space="0"/>
              <w:left w:val="nil"/>
              <w:bottom w:val="single" w:color="auto" w:sz="4" w:space="0"/>
              <w:right w:val="single" w:color="auto" w:sz="4" w:space="0"/>
            </w:tcBorders>
            <w:vAlign w:val="center"/>
          </w:tcPr>
          <w:p w14:paraId="01C63480">
            <w:pPr>
              <w:pStyle w:val="59"/>
              <w:widowControl/>
              <w:rPr>
                <w:rFonts w:hint="eastAsia" w:ascii="仿宋_GB2312" w:eastAsia="仿宋_GB2312" w:cs="Times New Roman"/>
                <w:color w:val="auto"/>
                <w:highlight w:val="none"/>
              </w:rPr>
            </w:pPr>
          </w:p>
        </w:tc>
        <w:tc>
          <w:tcPr>
            <w:tcW w:w="934" w:type="dxa"/>
            <w:tcBorders>
              <w:top w:val="single" w:color="auto" w:sz="4" w:space="0"/>
              <w:left w:val="nil"/>
              <w:bottom w:val="single" w:color="auto" w:sz="4" w:space="0"/>
              <w:right w:val="single" w:color="auto" w:sz="4" w:space="0"/>
            </w:tcBorders>
            <w:vAlign w:val="center"/>
          </w:tcPr>
          <w:p w14:paraId="6AC51A0E">
            <w:pPr>
              <w:jc w:val="center"/>
              <w:rPr>
                <w:rFonts w:hint="eastAsia" w:ascii="仿宋_GB2312" w:eastAsia="仿宋_GB2312"/>
                <w:color w:val="auto"/>
                <w:highlight w:val="none"/>
              </w:rPr>
            </w:pPr>
          </w:p>
        </w:tc>
        <w:tc>
          <w:tcPr>
            <w:tcW w:w="927" w:type="dxa"/>
            <w:tcBorders>
              <w:top w:val="single" w:color="auto" w:sz="4" w:space="0"/>
              <w:left w:val="nil"/>
              <w:bottom w:val="single" w:color="auto" w:sz="4" w:space="0"/>
              <w:right w:val="single" w:color="auto" w:sz="4" w:space="0"/>
            </w:tcBorders>
            <w:vAlign w:val="center"/>
          </w:tcPr>
          <w:p w14:paraId="721DF03E">
            <w:pPr>
              <w:jc w:val="center"/>
              <w:rPr>
                <w:rFonts w:hint="eastAsia" w:ascii="仿宋_GB2312" w:eastAsia="仿宋_GB2312"/>
                <w:color w:val="auto"/>
                <w:highlight w:val="none"/>
              </w:rPr>
            </w:pPr>
          </w:p>
        </w:tc>
      </w:tr>
      <w:tr w14:paraId="683CC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817" w:type="dxa"/>
            <w:tcBorders>
              <w:top w:val="single" w:color="auto" w:sz="4" w:space="0"/>
              <w:left w:val="single" w:color="auto" w:sz="4" w:space="0"/>
              <w:bottom w:val="single" w:color="auto" w:sz="4" w:space="0"/>
              <w:right w:val="single" w:color="auto" w:sz="4" w:space="0"/>
            </w:tcBorders>
            <w:vAlign w:val="center"/>
          </w:tcPr>
          <w:p w14:paraId="11056505">
            <w:pPr>
              <w:jc w:val="center"/>
              <w:rPr>
                <w:rFonts w:hint="eastAsia" w:ascii="仿宋_GB2312" w:eastAsia="仿宋_GB2312"/>
                <w:color w:val="auto"/>
                <w:highlight w:val="none"/>
                <w:lang w:eastAsia="zh-CN"/>
              </w:rPr>
            </w:pPr>
            <w:r>
              <w:rPr>
                <w:rFonts w:hint="eastAsia" w:ascii="仿宋_GB2312" w:eastAsia="仿宋_GB2312"/>
                <w:color w:val="auto"/>
                <w:highlight w:val="none"/>
                <w:lang w:eastAsia="zh-CN"/>
              </w:rPr>
              <w:t>……</w:t>
            </w:r>
          </w:p>
        </w:tc>
        <w:tc>
          <w:tcPr>
            <w:tcW w:w="1134" w:type="dxa"/>
            <w:tcBorders>
              <w:top w:val="single" w:color="auto" w:sz="4" w:space="0"/>
              <w:left w:val="nil"/>
              <w:bottom w:val="single" w:color="auto" w:sz="4" w:space="0"/>
              <w:right w:val="single" w:color="auto" w:sz="4" w:space="0"/>
            </w:tcBorders>
            <w:vAlign w:val="center"/>
          </w:tcPr>
          <w:p w14:paraId="2DD48BEF">
            <w:pPr>
              <w:jc w:val="center"/>
              <w:rPr>
                <w:rFonts w:hint="eastAsia" w:ascii="仿宋_GB2312" w:eastAsia="仿宋_GB2312"/>
                <w:color w:val="auto"/>
                <w:highlight w:val="none"/>
              </w:rPr>
            </w:pPr>
          </w:p>
        </w:tc>
        <w:tc>
          <w:tcPr>
            <w:tcW w:w="5268" w:type="dxa"/>
            <w:tcBorders>
              <w:top w:val="single" w:color="auto" w:sz="4" w:space="0"/>
              <w:left w:val="nil"/>
              <w:bottom w:val="single" w:color="auto" w:sz="4" w:space="0"/>
              <w:right w:val="single" w:color="auto" w:sz="4" w:space="0"/>
            </w:tcBorders>
            <w:vAlign w:val="center"/>
          </w:tcPr>
          <w:p w14:paraId="7EE8E0EA">
            <w:pPr>
              <w:pStyle w:val="59"/>
              <w:widowControl/>
              <w:rPr>
                <w:rFonts w:hint="eastAsia" w:ascii="仿宋_GB2312" w:eastAsia="仿宋_GB2312" w:cs="Times New Roman"/>
                <w:color w:val="auto"/>
                <w:highlight w:val="none"/>
              </w:rPr>
            </w:pPr>
          </w:p>
        </w:tc>
        <w:tc>
          <w:tcPr>
            <w:tcW w:w="934" w:type="dxa"/>
            <w:tcBorders>
              <w:top w:val="single" w:color="auto" w:sz="4" w:space="0"/>
              <w:left w:val="nil"/>
              <w:bottom w:val="single" w:color="auto" w:sz="4" w:space="0"/>
              <w:right w:val="single" w:color="auto" w:sz="4" w:space="0"/>
            </w:tcBorders>
            <w:vAlign w:val="center"/>
          </w:tcPr>
          <w:p w14:paraId="4F913B18">
            <w:pPr>
              <w:jc w:val="center"/>
              <w:rPr>
                <w:rFonts w:hint="eastAsia" w:ascii="仿宋_GB2312" w:eastAsia="仿宋_GB2312"/>
                <w:color w:val="auto"/>
                <w:highlight w:val="none"/>
              </w:rPr>
            </w:pPr>
          </w:p>
        </w:tc>
        <w:tc>
          <w:tcPr>
            <w:tcW w:w="927" w:type="dxa"/>
            <w:tcBorders>
              <w:top w:val="single" w:color="auto" w:sz="4" w:space="0"/>
              <w:left w:val="nil"/>
              <w:bottom w:val="single" w:color="auto" w:sz="4" w:space="0"/>
              <w:right w:val="single" w:color="auto" w:sz="4" w:space="0"/>
            </w:tcBorders>
            <w:vAlign w:val="center"/>
          </w:tcPr>
          <w:p w14:paraId="2CBC6046">
            <w:pPr>
              <w:jc w:val="center"/>
              <w:rPr>
                <w:rFonts w:hint="eastAsia" w:ascii="仿宋_GB2312" w:eastAsia="仿宋_GB2312"/>
                <w:color w:val="auto"/>
                <w:highlight w:val="none"/>
              </w:rPr>
            </w:pPr>
          </w:p>
        </w:tc>
      </w:tr>
    </w:tbl>
    <w:p w14:paraId="4220B7EC">
      <w:pPr>
        <w:adjustRightInd w:val="0"/>
        <w:snapToGrid w:val="0"/>
        <w:spacing w:before="50" w:after="156" w:afterLines="50"/>
        <w:jc w:val="left"/>
        <w:rPr>
          <w:rFonts w:eastAsia="方正仿宋_GB2312"/>
          <w:color w:val="auto"/>
          <w:sz w:val="24"/>
          <w:szCs w:val="20"/>
          <w:highlight w:val="none"/>
        </w:rPr>
      </w:pPr>
    </w:p>
    <w:p w14:paraId="1F250896">
      <w:pPr>
        <w:pStyle w:val="5"/>
        <w:rPr>
          <w:color w:val="auto"/>
          <w:highlight w:val="none"/>
        </w:rPr>
      </w:pPr>
      <w:r>
        <w:rPr>
          <w:rFonts w:hint="eastAsia" w:ascii="仿宋_GB2312" w:eastAsia="仿宋_GB2312"/>
          <w:color w:val="auto"/>
          <w:sz w:val="24"/>
          <w:szCs w:val="20"/>
          <w:highlight w:val="none"/>
        </w:rPr>
        <w:t>注：若投标人的商务技术文件中的自评分或相关材料对应页码造成混乱的，后果由投标人自负。</w:t>
      </w:r>
    </w:p>
    <w:sectPr>
      <w:pgSz w:w="11906" w:h="16838"/>
      <w:pgMar w:top="1247" w:right="1134" w:bottom="1020" w:left="1418" w:header="851" w:footer="90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6731881-E9C7-4A57-85BC-D49DC7CCF5D6}"/>
  </w:font>
  <w:font w:name="Arial">
    <w:panose1 w:val="020B0604020202020204"/>
    <w:charset w:val="01"/>
    <w:family w:val="swiss"/>
    <w:pitch w:val="default"/>
    <w:sig w:usb0="E0002EFF" w:usb1="C000785B" w:usb2="00000009" w:usb3="00000000" w:csb0="400001FF" w:csb1="FFFF0000"/>
    <w:embedRegular r:id="rId2" w:fontKey="{7B5D5D94-6248-4417-B52D-A9584D594C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C6420D4C-4E98-4682-BC0B-5AD9105C8797}"/>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embedRegular r:id="rId4" w:fontKey="{DBDFE4C9-C5EB-493C-9387-4F9BB728D132}"/>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DejaVu Sans">
    <w:altName w:val="Segoe Print"/>
    <w:panose1 w:val="020B0603030804020204"/>
    <w:charset w:val="00"/>
    <w:family w:val="auto"/>
    <w:pitch w:val="default"/>
    <w:sig w:usb0="00000000" w:usb1="00000000" w:usb2="0A246029" w:usb3="0400200C" w:csb0="600001FF" w:csb1="DFFF0000"/>
  </w:font>
  <w:font w:name="Times">
    <w:altName w:val="CG Times"/>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5" w:fontKey="{EB75299C-180E-4C11-8234-E1C657F021E2}"/>
  </w:font>
  <w:font w:name="方正仿宋_GB2312">
    <w:altName w:val="仿宋"/>
    <w:panose1 w:val="02000000000000000000"/>
    <w:charset w:val="86"/>
    <w:family w:val="auto"/>
    <w:pitch w:val="default"/>
    <w:sig w:usb0="00000000" w:usb1="00000000" w:usb2="00000012" w:usb3="00000000" w:csb0="00040001" w:csb1="00000000"/>
    <w:embedRegular r:id="rId6" w:fontKey="{344D5E7C-1ABF-478F-B54A-4A70ADD5202F}"/>
  </w:font>
  <w:font w:name="楷体">
    <w:panose1 w:val="02010609060101010101"/>
    <w:charset w:val="86"/>
    <w:family w:val="auto"/>
    <w:pitch w:val="default"/>
    <w:sig w:usb0="800002BF" w:usb1="38CF7CFA" w:usb2="00000016" w:usb3="00000000" w:csb0="00040001" w:csb1="00000000"/>
    <w:embedRegular r:id="rId7" w:fontKey="{432CAC4A-F137-4343-806E-4F0D80983154}"/>
  </w:font>
  <w:font w:name="KSOFE4500885">
    <w:panose1 w:val="02010609060101010101"/>
    <w:charset w:val="86"/>
    <w:family w:val="auto"/>
    <w:pitch w:val="default"/>
    <w:sig w:usb0="00000001" w:usb1="00000000" w:usb2="00000000" w:usb3="00000000" w:csb0="00040001" w:csb1="00000000"/>
  </w:font>
  <w:font w:name="CG Times">
    <w:panose1 w:val="02020603050405020304"/>
    <w:charset w:val="00"/>
    <w:family w:val="auto"/>
    <w:pitch w:val="default"/>
    <w:sig w:usb0="00000007"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A995">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BD8985">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7B2c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sHZwyQEAAJoDAAAOAAAAAAAAAAEAIAAAAB4BAABkcnMvZTJvRG9j&#10;LnhtbFBLBQYAAAAABgAGAFkBAABZBQAAAAA=&#10;">
              <v:fill on="f" focussize="0,0"/>
              <v:stroke on="f"/>
              <v:imagedata o:title=""/>
              <o:lock v:ext="edit" aspectratio="f"/>
              <v:textbox inset="0mm,0mm,0mm,0mm" style="mso-fit-shape-to-text:t;">
                <w:txbxContent>
                  <w:p w14:paraId="38BD8985">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2B61D">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3075A">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E3AA06">
                          <w:pPr>
                            <w:pStyle w:val="1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VEc4BAACr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QnnNmROWnvz888f515/z7+8s&#10;BUmiPmBFlQ+BauPwwQ9UPseRgon50IJNX+LEKE8Cny4CqyEymS6tlqtVSSlJudkh/OLxegCMH5W3&#10;LBk1B3rBLKw43mEcS+eS1M35W21MfkXj/gsQ5hhReQ2m24nJOHGy4rAbJno735yIXU+rUHNHm8+Z&#10;+eRI6bQ1swGzsZuNQwC97/Jape4Y3h8ijZQnTR1GWGKYHHrDzHXat7Qk//q56vEf2/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z0FRHOAQAAqwMAAA4AAAAAAAAAAQAgAAAAHgEAAGRycy9l&#10;Mm9Eb2MueG1sUEsFBgAAAAAGAAYAWQEAAF4FAAAAAA==&#10;">
              <v:fill on="f" focussize="0,0"/>
              <v:stroke on="f"/>
              <v:imagedata o:title=""/>
              <o:lock v:ext="edit" aspectratio="f"/>
              <v:textbox inset="0mm,0mm,0mm,0mm" style="mso-fit-shape-to-text:t;">
                <w:txbxContent>
                  <w:p w14:paraId="4CE3AA06">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40927">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93196D">
                          <w:pPr>
                            <w:pStyle w:val="19"/>
                          </w:pPr>
                          <w:r>
                            <w:fldChar w:fldCharType="begin"/>
                          </w:r>
                          <w:r>
                            <w:instrText xml:space="preserve"> PAGE  \* MERGEFORMAT </w:instrText>
                          </w:r>
                          <w:r>
                            <w:fldChar w:fldCharType="separate"/>
                          </w:r>
                          <w:r>
                            <w:t>- 4 -</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x05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J8&#10;l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3HTnyQEAAJoDAAAOAAAAAAAAAAEAIAAAAB4BAABkcnMvZTJvRG9j&#10;LnhtbFBLBQYAAAAABgAGAFkBAABZBQAAAAA=&#10;">
              <v:fill on="f" focussize="0,0"/>
              <v:stroke on="f"/>
              <v:imagedata o:title=""/>
              <o:lock v:ext="edit" aspectratio="f"/>
              <v:textbox inset="0mm,0mm,0mm,0mm" style="mso-fit-shape-to-text:t;">
                <w:txbxContent>
                  <w:p w14:paraId="4E93196D">
                    <w:pPr>
                      <w:pStyle w:val="19"/>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7DDC0">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5B5A34">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25</w:t>
                          </w:r>
                          <w:r>
                            <w:rPr>
                              <w:rFonts w:hint="eastAsia"/>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p w14:paraId="335B5A34">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AB75A">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35F29">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25</w:t>
                          </w:r>
                          <w:r>
                            <w:rPr>
                              <w:rFonts w:hint="eastAsia"/>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9035F29">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B2DF">
    <w:pPr>
      <w:pStyle w:val="21"/>
      <w:pBdr>
        <w:bottom w:val="none" w:color="auto" w:sz="0" w:space="1"/>
      </w:pBdr>
      <w:jc w:val="center"/>
      <w:rPr>
        <w:rFonts w:hint="default"/>
        <w:lang w:val="en-US"/>
      </w:rPr>
    </w:pPr>
    <w:r>
      <w:rPr>
        <w:rFonts w:hint="eastAsia" w:ascii="仿宋" w:hAnsi="仿宋" w:eastAsia="仿宋" w:cs="仿宋"/>
        <w:b w:val="0"/>
        <w:bCs w:val="0"/>
        <w:color w:val="auto"/>
        <w:sz w:val="20"/>
        <w:szCs w:val="20"/>
        <w:u w:val="single"/>
        <w:lang w:val="en-US" w:eastAsia="zh-CN"/>
      </w:rPr>
      <w:t>武义县殡仪馆（新馆）绿化养护服务采购项目（第二次）               金华同慷建设管理咨询有限公司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EF37D">
    <w:pPr>
      <w:pStyle w:val="21"/>
      <w:jc w:val="both"/>
      <w:rPr>
        <w:rFonts w:hint="eastAsia" w:ascii="仿宋" w:hAnsi="仿宋" w:eastAsia="仿宋" w:cs="仿宋"/>
      </w:rPr>
    </w:pPr>
    <w:r>
      <w:rPr>
        <w:rFonts w:hint="eastAsia" w:ascii="仿宋" w:hAnsi="仿宋" w:eastAsia="仿宋" w:cs="仿宋"/>
        <w:lang w:eastAsia="zh-CN"/>
      </w:rPr>
      <w:t>武义县殡仪馆（新馆）绿化养护服务采购项目（第二次）</w:t>
    </w:r>
    <w:r>
      <w:rPr>
        <w:rFonts w:hint="eastAsia" w:ascii="仿宋" w:hAnsi="仿宋" w:eastAsia="仿宋" w:cs="仿宋"/>
      </w:rPr>
      <w:t xml:space="preserve">             金华同慷建设管理咨询有限公司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30DB0"/>
    <w:multiLevelType w:val="singleLevel"/>
    <w:tmpl w:val="A4830DB0"/>
    <w:lvl w:ilvl="0" w:tentative="0">
      <w:start w:val="1"/>
      <w:numFmt w:val="decimal"/>
      <w:lvlText w:val="%1."/>
      <w:lvlJc w:val="left"/>
      <w:pPr>
        <w:tabs>
          <w:tab w:val="left" w:pos="312"/>
        </w:tabs>
      </w:pPr>
    </w:lvl>
  </w:abstractNum>
  <w:abstractNum w:abstractNumId="1">
    <w:nsid w:val="EF13348E"/>
    <w:multiLevelType w:val="singleLevel"/>
    <w:tmpl w:val="EF13348E"/>
    <w:lvl w:ilvl="0" w:tentative="0">
      <w:start w:val="1"/>
      <w:numFmt w:val="decimal"/>
      <w:pStyle w:val="10"/>
      <w:lvlText w:val="%1."/>
      <w:lvlJc w:val="left"/>
      <w:pPr>
        <w:tabs>
          <w:tab w:val="left" w:pos="360"/>
        </w:tabs>
        <w:ind w:left="360" w:hanging="36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3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502E6985"/>
    <w:multiLevelType w:val="singleLevel"/>
    <w:tmpl w:val="502E6985"/>
    <w:lvl w:ilvl="0" w:tentative="0">
      <w:start w:val="1"/>
      <w:numFmt w:val="decimal"/>
      <w:lvlText w:val="%1."/>
      <w:lvlJc w:val="left"/>
      <w:pPr>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2YzNjAwYzk1YTBiMTJmOGFlMmEyNGY4YWU2MTMifQ=="/>
  </w:docVars>
  <w:rsids>
    <w:rsidRoot w:val="317F2CBE"/>
    <w:rsid w:val="00061925"/>
    <w:rsid w:val="002956D5"/>
    <w:rsid w:val="002F7E0A"/>
    <w:rsid w:val="00314E5D"/>
    <w:rsid w:val="00386A73"/>
    <w:rsid w:val="00455495"/>
    <w:rsid w:val="004943AD"/>
    <w:rsid w:val="00534176"/>
    <w:rsid w:val="00622028"/>
    <w:rsid w:val="00637498"/>
    <w:rsid w:val="0064016A"/>
    <w:rsid w:val="00794424"/>
    <w:rsid w:val="007A3E59"/>
    <w:rsid w:val="008D4656"/>
    <w:rsid w:val="009737B8"/>
    <w:rsid w:val="00C2426E"/>
    <w:rsid w:val="00D91826"/>
    <w:rsid w:val="00E045AC"/>
    <w:rsid w:val="00FB10BC"/>
    <w:rsid w:val="012E1055"/>
    <w:rsid w:val="014267F0"/>
    <w:rsid w:val="01C03D6F"/>
    <w:rsid w:val="022B2182"/>
    <w:rsid w:val="02334191"/>
    <w:rsid w:val="02551663"/>
    <w:rsid w:val="02F84C4F"/>
    <w:rsid w:val="0389299B"/>
    <w:rsid w:val="03F97C93"/>
    <w:rsid w:val="0432076D"/>
    <w:rsid w:val="04530E65"/>
    <w:rsid w:val="04834B29"/>
    <w:rsid w:val="04DE1C65"/>
    <w:rsid w:val="05942874"/>
    <w:rsid w:val="05E76E48"/>
    <w:rsid w:val="061B2F01"/>
    <w:rsid w:val="06F304C9"/>
    <w:rsid w:val="071556E2"/>
    <w:rsid w:val="07480CD8"/>
    <w:rsid w:val="077123D4"/>
    <w:rsid w:val="077C3C20"/>
    <w:rsid w:val="07DB54D8"/>
    <w:rsid w:val="09105DDC"/>
    <w:rsid w:val="09242161"/>
    <w:rsid w:val="09410604"/>
    <w:rsid w:val="095C586C"/>
    <w:rsid w:val="097F34F6"/>
    <w:rsid w:val="09F20E82"/>
    <w:rsid w:val="0A213F94"/>
    <w:rsid w:val="0A2476DE"/>
    <w:rsid w:val="0A5F3A60"/>
    <w:rsid w:val="0AB40268"/>
    <w:rsid w:val="0AC81E7C"/>
    <w:rsid w:val="0B11666A"/>
    <w:rsid w:val="0B1C2641"/>
    <w:rsid w:val="0B5017A5"/>
    <w:rsid w:val="0B753148"/>
    <w:rsid w:val="0B815939"/>
    <w:rsid w:val="0C21366E"/>
    <w:rsid w:val="0C340BEF"/>
    <w:rsid w:val="0C80404E"/>
    <w:rsid w:val="0C857C6D"/>
    <w:rsid w:val="0D03575E"/>
    <w:rsid w:val="0D083DB8"/>
    <w:rsid w:val="0F084533"/>
    <w:rsid w:val="0F1D2284"/>
    <w:rsid w:val="0F5A14B0"/>
    <w:rsid w:val="0F5D1C09"/>
    <w:rsid w:val="0FB53557"/>
    <w:rsid w:val="0FE13E19"/>
    <w:rsid w:val="0FE74269"/>
    <w:rsid w:val="107115D8"/>
    <w:rsid w:val="109F1583"/>
    <w:rsid w:val="11816110"/>
    <w:rsid w:val="11C13EA6"/>
    <w:rsid w:val="11C673C0"/>
    <w:rsid w:val="13AB25E7"/>
    <w:rsid w:val="149D4C61"/>
    <w:rsid w:val="14C30E98"/>
    <w:rsid w:val="14CA0C9F"/>
    <w:rsid w:val="15325C06"/>
    <w:rsid w:val="15432418"/>
    <w:rsid w:val="15CB29C3"/>
    <w:rsid w:val="15D5502C"/>
    <w:rsid w:val="16232038"/>
    <w:rsid w:val="16662C03"/>
    <w:rsid w:val="16704933"/>
    <w:rsid w:val="16ED6DB0"/>
    <w:rsid w:val="16F03DF0"/>
    <w:rsid w:val="16F46BDF"/>
    <w:rsid w:val="183A692B"/>
    <w:rsid w:val="183B4EA1"/>
    <w:rsid w:val="18E60586"/>
    <w:rsid w:val="18FF79AA"/>
    <w:rsid w:val="191F69A3"/>
    <w:rsid w:val="194A4E3B"/>
    <w:rsid w:val="19932B20"/>
    <w:rsid w:val="19A20E50"/>
    <w:rsid w:val="19C21C4E"/>
    <w:rsid w:val="19C808E7"/>
    <w:rsid w:val="19E05A3C"/>
    <w:rsid w:val="1A2944DE"/>
    <w:rsid w:val="1A553F1E"/>
    <w:rsid w:val="1A5C4A8C"/>
    <w:rsid w:val="1AAD7260"/>
    <w:rsid w:val="1AB54B05"/>
    <w:rsid w:val="1AC2342E"/>
    <w:rsid w:val="1B2E3588"/>
    <w:rsid w:val="1B5D0248"/>
    <w:rsid w:val="1B7968B0"/>
    <w:rsid w:val="1B8C3996"/>
    <w:rsid w:val="1C183DA8"/>
    <w:rsid w:val="1C476ADE"/>
    <w:rsid w:val="1CDB7093"/>
    <w:rsid w:val="1CE428FD"/>
    <w:rsid w:val="1CE73D2E"/>
    <w:rsid w:val="1D3C4CD1"/>
    <w:rsid w:val="1D40212E"/>
    <w:rsid w:val="1D4E55A7"/>
    <w:rsid w:val="1D682E78"/>
    <w:rsid w:val="1D7836BE"/>
    <w:rsid w:val="1DB6390D"/>
    <w:rsid w:val="1DFC0800"/>
    <w:rsid w:val="1E0563F3"/>
    <w:rsid w:val="1E612383"/>
    <w:rsid w:val="1E8A46FB"/>
    <w:rsid w:val="1F3A4B4A"/>
    <w:rsid w:val="1F5930C1"/>
    <w:rsid w:val="1F6400AC"/>
    <w:rsid w:val="1F7F0373"/>
    <w:rsid w:val="1FD04999"/>
    <w:rsid w:val="1FF4182A"/>
    <w:rsid w:val="20410D80"/>
    <w:rsid w:val="20732F00"/>
    <w:rsid w:val="20B816B5"/>
    <w:rsid w:val="20C72D36"/>
    <w:rsid w:val="21275172"/>
    <w:rsid w:val="215A457C"/>
    <w:rsid w:val="215B02F0"/>
    <w:rsid w:val="21C81DCC"/>
    <w:rsid w:val="21D126A3"/>
    <w:rsid w:val="21ED6651"/>
    <w:rsid w:val="228757C1"/>
    <w:rsid w:val="22D23343"/>
    <w:rsid w:val="22EE094B"/>
    <w:rsid w:val="230B7BD1"/>
    <w:rsid w:val="231812C3"/>
    <w:rsid w:val="235A4CA6"/>
    <w:rsid w:val="23D0475B"/>
    <w:rsid w:val="23F5531A"/>
    <w:rsid w:val="242D5E97"/>
    <w:rsid w:val="246758CC"/>
    <w:rsid w:val="2492746F"/>
    <w:rsid w:val="25315EDA"/>
    <w:rsid w:val="25564425"/>
    <w:rsid w:val="25C6162E"/>
    <w:rsid w:val="26190E48"/>
    <w:rsid w:val="264370B7"/>
    <w:rsid w:val="264D464E"/>
    <w:rsid w:val="265A320F"/>
    <w:rsid w:val="267930A2"/>
    <w:rsid w:val="26CD578F"/>
    <w:rsid w:val="26CF7759"/>
    <w:rsid w:val="26E43839"/>
    <w:rsid w:val="27331A8D"/>
    <w:rsid w:val="27C43035"/>
    <w:rsid w:val="281C1021"/>
    <w:rsid w:val="285010E5"/>
    <w:rsid w:val="287322AE"/>
    <w:rsid w:val="28FA5131"/>
    <w:rsid w:val="2933090A"/>
    <w:rsid w:val="29AF35B1"/>
    <w:rsid w:val="29E60EBD"/>
    <w:rsid w:val="29EB7091"/>
    <w:rsid w:val="2A3D5F49"/>
    <w:rsid w:val="2A87523A"/>
    <w:rsid w:val="2ADE3166"/>
    <w:rsid w:val="2AF24A60"/>
    <w:rsid w:val="2B9E76FA"/>
    <w:rsid w:val="2BE5556F"/>
    <w:rsid w:val="2CB41949"/>
    <w:rsid w:val="2CC50763"/>
    <w:rsid w:val="2CE46918"/>
    <w:rsid w:val="2D470797"/>
    <w:rsid w:val="2D8800B2"/>
    <w:rsid w:val="2DA84860"/>
    <w:rsid w:val="2E5E0B06"/>
    <w:rsid w:val="2E6C0D11"/>
    <w:rsid w:val="2E903C71"/>
    <w:rsid w:val="2EF31907"/>
    <w:rsid w:val="2FBE2E17"/>
    <w:rsid w:val="306D5ACD"/>
    <w:rsid w:val="30A4530B"/>
    <w:rsid w:val="30AD596C"/>
    <w:rsid w:val="312D39F9"/>
    <w:rsid w:val="314A4554"/>
    <w:rsid w:val="3153468F"/>
    <w:rsid w:val="317F2CBE"/>
    <w:rsid w:val="31AA0D22"/>
    <w:rsid w:val="32171768"/>
    <w:rsid w:val="327B1736"/>
    <w:rsid w:val="329270B4"/>
    <w:rsid w:val="32B52E0B"/>
    <w:rsid w:val="32E41476"/>
    <w:rsid w:val="334B460B"/>
    <w:rsid w:val="33502A1A"/>
    <w:rsid w:val="34053FB6"/>
    <w:rsid w:val="342040CC"/>
    <w:rsid w:val="34E614D3"/>
    <w:rsid w:val="353729D8"/>
    <w:rsid w:val="359A4AD5"/>
    <w:rsid w:val="36027951"/>
    <w:rsid w:val="369A2109"/>
    <w:rsid w:val="36C13A18"/>
    <w:rsid w:val="37164F30"/>
    <w:rsid w:val="37B21C6B"/>
    <w:rsid w:val="37E76BF1"/>
    <w:rsid w:val="38192855"/>
    <w:rsid w:val="383A69FC"/>
    <w:rsid w:val="383E146C"/>
    <w:rsid w:val="383F30DE"/>
    <w:rsid w:val="38564BF0"/>
    <w:rsid w:val="38EB3DDC"/>
    <w:rsid w:val="38FF5242"/>
    <w:rsid w:val="39423DBA"/>
    <w:rsid w:val="394B7113"/>
    <w:rsid w:val="394E6519"/>
    <w:rsid w:val="39535817"/>
    <w:rsid w:val="396E4BAF"/>
    <w:rsid w:val="39BC0F7E"/>
    <w:rsid w:val="39BC6A1A"/>
    <w:rsid w:val="39EC2E5B"/>
    <w:rsid w:val="3A152514"/>
    <w:rsid w:val="3A26636E"/>
    <w:rsid w:val="3A2D5DBE"/>
    <w:rsid w:val="3B6A3C38"/>
    <w:rsid w:val="3C2438ED"/>
    <w:rsid w:val="3C537300"/>
    <w:rsid w:val="3CDB07AE"/>
    <w:rsid w:val="3CF943C2"/>
    <w:rsid w:val="3E126451"/>
    <w:rsid w:val="3E210CE3"/>
    <w:rsid w:val="3E731B74"/>
    <w:rsid w:val="3EF423FE"/>
    <w:rsid w:val="3F51799D"/>
    <w:rsid w:val="3FE23425"/>
    <w:rsid w:val="3FEA2A9B"/>
    <w:rsid w:val="3FF814C8"/>
    <w:rsid w:val="40623C9A"/>
    <w:rsid w:val="40BA14C1"/>
    <w:rsid w:val="417F761A"/>
    <w:rsid w:val="41BA35E2"/>
    <w:rsid w:val="41E3451E"/>
    <w:rsid w:val="42072045"/>
    <w:rsid w:val="424140C7"/>
    <w:rsid w:val="426E5B3E"/>
    <w:rsid w:val="42AC3488"/>
    <w:rsid w:val="42D93B67"/>
    <w:rsid w:val="42D9513B"/>
    <w:rsid w:val="42E12896"/>
    <w:rsid w:val="42F65FC0"/>
    <w:rsid w:val="430B14C3"/>
    <w:rsid w:val="43540790"/>
    <w:rsid w:val="43B753A5"/>
    <w:rsid w:val="43E14926"/>
    <w:rsid w:val="44386876"/>
    <w:rsid w:val="449E2D2B"/>
    <w:rsid w:val="44B17F99"/>
    <w:rsid w:val="44D03E05"/>
    <w:rsid w:val="450D34CE"/>
    <w:rsid w:val="457D163A"/>
    <w:rsid w:val="45B913EE"/>
    <w:rsid w:val="46492C2C"/>
    <w:rsid w:val="466555F0"/>
    <w:rsid w:val="46761B7E"/>
    <w:rsid w:val="46DD54BB"/>
    <w:rsid w:val="46E816C1"/>
    <w:rsid w:val="47502586"/>
    <w:rsid w:val="47631ACB"/>
    <w:rsid w:val="47D116F2"/>
    <w:rsid w:val="47D73143"/>
    <w:rsid w:val="480C1BFE"/>
    <w:rsid w:val="4816685E"/>
    <w:rsid w:val="485E24E5"/>
    <w:rsid w:val="487A6FBB"/>
    <w:rsid w:val="48CF5DE0"/>
    <w:rsid w:val="495D3569"/>
    <w:rsid w:val="49B36552"/>
    <w:rsid w:val="49E42393"/>
    <w:rsid w:val="4A331C29"/>
    <w:rsid w:val="4A536515"/>
    <w:rsid w:val="4A7779CD"/>
    <w:rsid w:val="4AA5185F"/>
    <w:rsid w:val="4AB46529"/>
    <w:rsid w:val="4AC857C7"/>
    <w:rsid w:val="4AE96AB8"/>
    <w:rsid w:val="4AFD24E1"/>
    <w:rsid w:val="4B3F45FD"/>
    <w:rsid w:val="4C082BE3"/>
    <w:rsid w:val="4C0F31CA"/>
    <w:rsid w:val="4C1A5CE7"/>
    <w:rsid w:val="4C5C1264"/>
    <w:rsid w:val="4C9014E4"/>
    <w:rsid w:val="4C992A6A"/>
    <w:rsid w:val="4D2349B1"/>
    <w:rsid w:val="4D2C1F42"/>
    <w:rsid w:val="4D443C66"/>
    <w:rsid w:val="4D861A3F"/>
    <w:rsid w:val="4E044722"/>
    <w:rsid w:val="4E9C58C3"/>
    <w:rsid w:val="4ED908C5"/>
    <w:rsid w:val="4EF94AC3"/>
    <w:rsid w:val="4FDE2637"/>
    <w:rsid w:val="4FF036F2"/>
    <w:rsid w:val="50C02DE1"/>
    <w:rsid w:val="510734C7"/>
    <w:rsid w:val="510F7335"/>
    <w:rsid w:val="514E4953"/>
    <w:rsid w:val="51CD471C"/>
    <w:rsid w:val="52B204DE"/>
    <w:rsid w:val="531B5B6A"/>
    <w:rsid w:val="532767D1"/>
    <w:rsid w:val="534B46CB"/>
    <w:rsid w:val="53A3499E"/>
    <w:rsid w:val="53A75252"/>
    <w:rsid w:val="53AA1175"/>
    <w:rsid w:val="53FF0DCE"/>
    <w:rsid w:val="547A7157"/>
    <w:rsid w:val="54D12A19"/>
    <w:rsid w:val="553A0D5C"/>
    <w:rsid w:val="55A91C51"/>
    <w:rsid w:val="55E33900"/>
    <w:rsid w:val="563404D1"/>
    <w:rsid w:val="566A4182"/>
    <w:rsid w:val="569752EE"/>
    <w:rsid w:val="5698433A"/>
    <w:rsid w:val="569D6BBC"/>
    <w:rsid w:val="56A417B8"/>
    <w:rsid w:val="57177697"/>
    <w:rsid w:val="57377DA3"/>
    <w:rsid w:val="575823D9"/>
    <w:rsid w:val="589540BB"/>
    <w:rsid w:val="58E45CA0"/>
    <w:rsid w:val="58F217FE"/>
    <w:rsid w:val="59276B02"/>
    <w:rsid w:val="595A7B43"/>
    <w:rsid w:val="59A7617B"/>
    <w:rsid w:val="59F34F31"/>
    <w:rsid w:val="5A7D3219"/>
    <w:rsid w:val="5AAA24A2"/>
    <w:rsid w:val="5AB3035C"/>
    <w:rsid w:val="5ABA453A"/>
    <w:rsid w:val="5AC8218F"/>
    <w:rsid w:val="5B0554DA"/>
    <w:rsid w:val="5B4E30D3"/>
    <w:rsid w:val="5B627B78"/>
    <w:rsid w:val="5BB67268"/>
    <w:rsid w:val="5C6E4CB5"/>
    <w:rsid w:val="5C8C030F"/>
    <w:rsid w:val="5CA23BFF"/>
    <w:rsid w:val="5CAC6C04"/>
    <w:rsid w:val="5CDC7967"/>
    <w:rsid w:val="5CDD3C76"/>
    <w:rsid w:val="5D01410A"/>
    <w:rsid w:val="5D2E6653"/>
    <w:rsid w:val="5D3A3C51"/>
    <w:rsid w:val="5D447E5F"/>
    <w:rsid w:val="5D55276A"/>
    <w:rsid w:val="5D966A72"/>
    <w:rsid w:val="5E072594"/>
    <w:rsid w:val="5E1C0FBA"/>
    <w:rsid w:val="5E3E126A"/>
    <w:rsid w:val="5E67417C"/>
    <w:rsid w:val="5E6E7D92"/>
    <w:rsid w:val="5F071799"/>
    <w:rsid w:val="5F24793A"/>
    <w:rsid w:val="5F372BCE"/>
    <w:rsid w:val="5F562306"/>
    <w:rsid w:val="5F6F6205"/>
    <w:rsid w:val="5F73287D"/>
    <w:rsid w:val="5FF4691A"/>
    <w:rsid w:val="605B178A"/>
    <w:rsid w:val="606C0CF8"/>
    <w:rsid w:val="60C92C39"/>
    <w:rsid w:val="61B431F8"/>
    <w:rsid w:val="61EB35CE"/>
    <w:rsid w:val="622A34BA"/>
    <w:rsid w:val="62D569FE"/>
    <w:rsid w:val="62ED6486"/>
    <w:rsid w:val="63DC07E4"/>
    <w:rsid w:val="63E02F7A"/>
    <w:rsid w:val="64690A36"/>
    <w:rsid w:val="64AF602D"/>
    <w:rsid w:val="64B31842"/>
    <w:rsid w:val="64C13489"/>
    <w:rsid w:val="64C2125C"/>
    <w:rsid w:val="64DB34B6"/>
    <w:rsid w:val="650B1997"/>
    <w:rsid w:val="65385E1C"/>
    <w:rsid w:val="654578CA"/>
    <w:rsid w:val="65D95C91"/>
    <w:rsid w:val="663E3AB0"/>
    <w:rsid w:val="666B7BD4"/>
    <w:rsid w:val="6698427F"/>
    <w:rsid w:val="669D757A"/>
    <w:rsid w:val="66A325BF"/>
    <w:rsid w:val="66A93115"/>
    <w:rsid w:val="66E542DE"/>
    <w:rsid w:val="66EE4D89"/>
    <w:rsid w:val="670141BD"/>
    <w:rsid w:val="67050E83"/>
    <w:rsid w:val="67314DBD"/>
    <w:rsid w:val="67394BA2"/>
    <w:rsid w:val="67705A69"/>
    <w:rsid w:val="67A64293"/>
    <w:rsid w:val="686314D3"/>
    <w:rsid w:val="686D4100"/>
    <w:rsid w:val="687A3630"/>
    <w:rsid w:val="68D510BB"/>
    <w:rsid w:val="68F62596"/>
    <w:rsid w:val="690A0D0A"/>
    <w:rsid w:val="694F3806"/>
    <w:rsid w:val="695275F0"/>
    <w:rsid w:val="696B2FF2"/>
    <w:rsid w:val="69A91D3B"/>
    <w:rsid w:val="69BD3F4B"/>
    <w:rsid w:val="6A4E4053"/>
    <w:rsid w:val="6A811944"/>
    <w:rsid w:val="6AAB2675"/>
    <w:rsid w:val="6B2F5E86"/>
    <w:rsid w:val="6B5D1C21"/>
    <w:rsid w:val="6BB53863"/>
    <w:rsid w:val="6C130657"/>
    <w:rsid w:val="6C4E33F1"/>
    <w:rsid w:val="6C8E2897"/>
    <w:rsid w:val="6C8E33D0"/>
    <w:rsid w:val="6C9C0C5B"/>
    <w:rsid w:val="6CD67EAA"/>
    <w:rsid w:val="6CE670C1"/>
    <w:rsid w:val="6D7A5BB4"/>
    <w:rsid w:val="6E0C285F"/>
    <w:rsid w:val="6E0D6F08"/>
    <w:rsid w:val="6E4B08FF"/>
    <w:rsid w:val="6E7844B4"/>
    <w:rsid w:val="6F7B5EAB"/>
    <w:rsid w:val="6FED54DB"/>
    <w:rsid w:val="6FF26C00"/>
    <w:rsid w:val="70470505"/>
    <w:rsid w:val="705D2C71"/>
    <w:rsid w:val="7098355B"/>
    <w:rsid w:val="71391133"/>
    <w:rsid w:val="71B107CA"/>
    <w:rsid w:val="71D576E0"/>
    <w:rsid w:val="730B1C80"/>
    <w:rsid w:val="735FB1CB"/>
    <w:rsid w:val="73AE0347"/>
    <w:rsid w:val="73FE2F1F"/>
    <w:rsid w:val="744334C7"/>
    <w:rsid w:val="74D63CF1"/>
    <w:rsid w:val="74EA0887"/>
    <w:rsid w:val="74F8738F"/>
    <w:rsid w:val="750C6D52"/>
    <w:rsid w:val="754604AA"/>
    <w:rsid w:val="75BB157A"/>
    <w:rsid w:val="75D0604D"/>
    <w:rsid w:val="76AB70AF"/>
    <w:rsid w:val="77112A42"/>
    <w:rsid w:val="7753048D"/>
    <w:rsid w:val="775748F9"/>
    <w:rsid w:val="77817EE9"/>
    <w:rsid w:val="77EE276B"/>
    <w:rsid w:val="784D7AAA"/>
    <w:rsid w:val="788429C7"/>
    <w:rsid w:val="78BA46A6"/>
    <w:rsid w:val="78EE571E"/>
    <w:rsid w:val="791D175D"/>
    <w:rsid w:val="79252D6E"/>
    <w:rsid w:val="79751067"/>
    <w:rsid w:val="79BB13D6"/>
    <w:rsid w:val="79CB3593"/>
    <w:rsid w:val="79CC6827"/>
    <w:rsid w:val="7A2925B3"/>
    <w:rsid w:val="7AF27D26"/>
    <w:rsid w:val="7BA46FB8"/>
    <w:rsid w:val="7BF24BF0"/>
    <w:rsid w:val="7BFF08CD"/>
    <w:rsid w:val="7C813070"/>
    <w:rsid w:val="7CCC4548"/>
    <w:rsid w:val="7CE12980"/>
    <w:rsid w:val="7D1D3EEF"/>
    <w:rsid w:val="7D7B543B"/>
    <w:rsid w:val="7DDA3102"/>
    <w:rsid w:val="7E7A6957"/>
    <w:rsid w:val="7EB40F6C"/>
    <w:rsid w:val="7ED80180"/>
    <w:rsid w:val="7EDC6988"/>
    <w:rsid w:val="7EEF10BA"/>
    <w:rsid w:val="7F2C34C9"/>
    <w:rsid w:val="7F8A1325"/>
    <w:rsid w:val="7F8D1508"/>
    <w:rsid w:val="7FC74CD3"/>
    <w:rsid w:val="7FE231CE"/>
    <w:rsid w:val="7FE702F1"/>
    <w:rsid w:val="7FEB2E84"/>
    <w:rsid w:val="7FED0243"/>
    <w:rsid w:val="FDFE6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rPr>
  </w:style>
  <w:style w:type="paragraph" w:styleId="5">
    <w:name w:val="heading 2"/>
    <w:basedOn w:val="1"/>
    <w:next w:val="1"/>
    <w:qFormat/>
    <w:uiPriority w:val="0"/>
    <w:pPr>
      <w:keepNext/>
      <w:keepLines/>
      <w:autoSpaceDE/>
      <w:autoSpaceDN/>
      <w:adjustRightInd/>
      <w:spacing w:before="260" w:after="260" w:line="416" w:lineRule="auto"/>
      <w:outlineLvl w:val="1"/>
    </w:pPr>
    <w:rPr>
      <w:rFonts w:ascii="Arial" w:hAnsi="Arial" w:eastAsia="黑体"/>
      <w:b/>
      <w:bCs/>
      <w:color w:val="auto"/>
      <w:kern w:val="2"/>
      <w:sz w:val="32"/>
      <w:szCs w:val="32"/>
    </w:rPr>
  </w:style>
  <w:style w:type="paragraph" w:styleId="6">
    <w:name w:val="heading 3"/>
    <w:basedOn w:val="1"/>
    <w:next w:val="1"/>
    <w:qFormat/>
    <w:uiPriority w:val="0"/>
    <w:pPr>
      <w:keepNext/>
      <w:keepLines/>
      <w:spacing w:before="260" w:after="260" w:line="360" w:lineRule="auto"/>
      <w:ind w:firstLine="602" w:firstLineChars="200"/>
      <w:outlineLvl w:val="2"/>
    </w:pPr>
    <w:rPr>
      <w:rFonts w:ascii="仿宋_GB2312" w:hAnsi="Calibri" w:eastAsia="仿宋_GB2312"/>
      <w:b/>
      <w:bCs/>
      <w:sz w:val="30"/>
      <w:szCs w:val="20"/>
    </w:rPr>
  </w:style>
  <w:style w:type="paragraph" w:styleId="7">
    <w:name w:val="heading 4"/>
    <w:basedOn w:val="1"/>
    <w:next w:val="1"/>
    <w:unhideWhenUsed/>
    <w:qFormat/>
    <w:uiPriority w:val="0"/>
    <w:pPr>
      <w:keepNext/>
      <w:keepLines/>
      <w:spacing w:beforeLines="0" w:beforeAutospacing="0" w:afterLines="0" w:afterAutospacing="0" w:line="560" w:lineRule="exact"/>
      <w:outlineLvl w:val="3"/>
    </w:pPr>
    <w:rPr>
      <w:rFonts w:ascii="仿宋_GB2312" w:hAnsi="仿宋_GB2312" w:eastAsia="仿宋_GB2312"/>
      <w:b/>
      <w:sz w:val="32"/>
    </w:rPr>
  </w:style>
  <w:style w:type="paragraph" w:styleId="8">
    <w:name w:val="heading 6"/>
    <w:basedOn w:val="1"/>
    <w:next w:val="1"/>
    <w:qFormat/>
    <w:uiPriority w:val="1"/>
    <w:pPr>
      <w:ind w:left="1217"/>
      <w:outlineLvl w:val="5"/>
    </w:pPr>
    <w:rPr>
      <w:rFonts w:ascii="微软雅黑" w:hAnsi="微软雅黑" w:eastAsia="微软雅黑" w:cs="微软雅黑"/>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utoSpaceDE/>
      <w:autoSpaceDN/>
      <w:adjustRightInd/>
      <w:spacing w:line="360" w:lineRule="auto"/>
      <w:ind w:firstLine="420" w:firstLineChars="200"/>
    </w:pPr>
    <w:rPr>
      <w:rFonts w:ascii="Calibri" w:hAnsi="Calibri"/>
      <w:color w:val="auto"/>
      <w:kern w:val="2"/>
      <w:sz w:val="24"/>
      <w:szCs w:val="22"/>
    </w:rPr>
  </w:style>
  <w:style w:type="paragraph" w:styleId="3">
    <w:name w:val="Body Text Indent"/>
    <w:basedOn w:val="1"/>
    <w:qFormat/>
    <w:uiPriority w:val="0"/>
    <w:pPr>
      <w:spacing w:after="120"/>
      <w:ind w:left="420" w:leftChars="200"/>
    </w:pPr>
  </w:style>
  <w:style w:type="paragraph" w:styleId="9">
    <w:name w:val="table of authorities"/>
    <w:basedOn w:val="1"/>
    <w:next w:val="1"/>
    <w:unhideWhenUsed/>
    <w:qFormat/>
    <w:uiPriority w:val="99"/>
    <w:pPr>
      <w:ind w:left="420" w:leftChars="200"/>
    </w:pPr>
  </w:style>
  <w:style w:type="paragraph" w:styleId="10">
    <w:name w:val="List Number"/>
    <w:basedOn w:val="1"/>
    <w:qFormat/>
    <w:uiPriority w:val="0"/>
    <w:pPr>
      <w:numPr>
        <w:ilvl w:val="0"/>
        <w:numId w:val="1"/>
      </w:numPr>
    </w:pPr>
  </w:style>
  <w:style w:type="paragraph" w:styleId="11">
    <w:name w:val="Normal Indent"/>
    <w:basedOn w:val="1"/>
    <w:next w:val="3"/>
    <w:link w:val="49"/>
    <w:qFormat/>
    <w:uiPriority w:val="0"/>
    <w:pPr>
      <w:autoSpaceDE/>
      <w:autoSpaceDN/>
      <w:adjustRightInd/>
      <w:ind w:firstLine="420"/>
    </w:pPr>
    <w:rPr>
      <w:color w:val="auto"/>
      <w:kern w:val="2"/>
      <w:szCs w:val="20"/>
    </w:rPr>
  </w:style>
  <w:style w:type="paragraph" w:styleId="12">
    <w:name w:val="Body Text"/>
    <w:basedOn w:val="1"/>
    <w:next w:val="13"/>
    <w:qFormat/>
    <w:uiPriority w:val="0"/>
    <w:pPr>
      <w:spacing w:after="120"/>
    </w:pPr>
  </w:style>
  <w:style w:type="paragraph" w:styleId="13">
    <w:name w:val="Body Text First Indent"/>
    <w:basedOn w:val="12"/>
    <w:next w:val="1"/>
    <w:qFormat/>
    <w:uiPriority w:val="0"/>
    <w:pPr>
      <w:autoSpaceDE/>
      <w:autoSpaceDN/>
      <w:adjustRightInd/>
      <w:ind w:firstLine="420" w:firstLineChars="100"/>
    </w:pPr>
    <w:rPr>
      <w:rFonts w:ascii="Calibri" w:hAnsi="Calibri"/>
      <w:color w:val="auto"/>
      <w:kern w:val="2"/>
      <w:szCs w:val="24"/>
    </w:rPr>
  </w:style>
  <w:style w:type="paragraph" w:styleId="14">
    <w:name w:val="Plain Text"/>
    <w:basedOn w:val="1"/>
    <w:next w:val="15"/>
    <w:qFormat/>
    <w:uiPriority w:val="0"/>
    <w:pPr>
      <w:autoSpaceDE/>
      <w:autoSpaceDN/>
      <w:adjustRightInd/>
    </w:pPr>
    <w:rPr>
      <w:color w:val="auto"/>
      <w:kern w:val="2"/>
      <w:sz w:val="24"/>
      <w:szCs w:val="20"/>
    </w:rPr>
  </w:style>
  <w:style w:type="paragraph" w:styleId="15">
    <w:name w:val="toc 2"/>
    <w:basedOn w:val="1"/>
    <w:next w:val="1"/>
    <w:qFormat/>
    <w:uiPriority w:val="0"/>
    <w:pPr>
      <w:ind w:left="210"/>
    </w:pPr>
    <w:rPr>
      <w:rFonts w:ascii="Calibri" w:hAnsi="Calibri"/>
      <w:smallCaps/>
    </w:rPr>
  </w:style>
  <w:style w:type="paragraph" w:styleId="16">
    <w:name w:val="toc 8"/>
    <w:basedOn w:val="1"/>
    <w:next w:val="1"/>
    <w:qFormat/>
    <w:uiPriority w:val="0"/>
    <w:pPr>
      <w:widowControl w:val="0"/>
      <w:ind w:left="2940" w:leftChars="1400"/>
      <w:jc w:val="both"/>
    </w:pPr>
    <w:rPr>
      <w:rFonts w:ascii="Calibri" w:hAnsi="Calibri" w:eastAsia="宋体" w:cs="Times New Roman"/>
      <w:kern w:val="2"/>
      <w:sz w:val="21"/>
      <w:szCs w:val="22"/>
      <w:lang w:val="en-US" w:eastAsia="zh-CN" w:bidi="ar-SA"/>
    </w:rPr>
  </w:style>
  <w:style w:type="paragraph" w:styleId="17">
    <w:name w:val="Body Text Indent 2"/>
    <w:basedOn w:val="1"/>
    <w:next w:val="18"/>
    <w:qFormat/>
    <w:uiPriority w:val="99"/>
    <w:pPr>
      <w:spacing w:line="520" w:lineRule="exact"/>
      <w:ind w:firstLine="303" w:firstLineChars="303"/>
    </w:pPr>
  </w:style>
  <w:style w:type="paragraph" w:styleId="18">
    <w:name w:val="toc 1"/>
    <w:basedOn w:val="1"/>
    <w:next w:val="1"/>
    <w:qFormat/>
    <w:uiPriority w:val="39"/>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envelope return"/>
    <w:basedOn w:val="1"/>
    <w:qFormat/>
    <w:uiPriority w:val="99"/>
    <w:pPr>
      <w:snapToGrid w:val="0"/>
    </w:pPr>
    <w:rPr>
      <w:rFonts w:ascii="Arial" w:hAnsi="Arial"/>
    </w:rPr>
  </w:style>
  <w:style w:type="paragraph" w:styleId="21">
    <w:name w:val="header"/>
    <w:basedOn w:val="1"/>
    <w:next w:val="17"/>
    <w:qFormat/>
    <w:uiPriority w:val="0"/>
    <w:pPr>
      <w:pBdr>
        <w:bottom w:val="single" w:color="auto" w:sz="6" w:space="1"/>
      </w:pBdr>
      <w:tabs>
        <w:tab w:val="center" w:pos="4153"/>
        <w:tab w:val="right" w:pos="8306"/>
      </w:tabs>
      <w:snapToGrid w:val="0"/>
      <w:jc w:val="center"/>
    </w:pPr>
    <w:rPr>
      <w:sz w:val="18"/>
      <w:szCs w:val="18"/>
    </w:rPr>
  </w:style>
  <w:style w:type="paragraph" w:styleId="22">
    <w:name w:val="Subtitle"/>
    <w:basedOn w:val="1"/>
    <w:next w:val="1"/>
    <w:qFormat/>
    <w:uiPriority w:val="0"/>
    <w:pPr>
      <w:adjustRightInd w:val="0"/>
      <w:snapToGrid w:val="0"/>
      <w:spacing w:line="360" w:lineRule="auto"/>
      <w:jc w:val="center"/>
      <w:outlineLvl w:val="1"/>
    </w:pPr>
    <w:rPr>
      <w:rFonts w:ascii="Cambria" w:hAnsi="Cambria" w:cs="Times New Roman"/>
      <w:b/>
      <w:bCs/>
      <w:kern w:val="28"/>
      <w:sz w:val="28"/>
      <w:szCs w:val="32"/>
    </w:rPr>
  </w:style>
  <w:style w:type="paragraph" w:styleId="23">
    <w:name w:val="toc 6"/>
    <w:basedOn w:val="1"/>
    <w:next w:val="1"/>
    <w:unhideWhenUsed/>
    <w:qFormat/>
    <w:uiPriority w:val="39"/>
    <w:pPr>
      <w:ind w:left="2100" w:leftChars="1000"/>
    </w:pPr>
    <w:rPr>
      <w:rFonts w:ascii="Calibri" w:hAnsi="Calibri"/>
      <w:szCs w:val="22"/>
    </w:rPr>
  </w:style>
  <w:style w:type="paragraph" w:styleId="24">
    <w:name w:val="Body Text Indent 3"/>
    <w:basedOn w:val="1"/>
    <w:qFormat/>
    <w:uiPriority w:val="0"/>
    <w:pPr>
      <w:autoSpaceDE/>
      <w:autoSpaceDN/>
      <w:adjustRightInd/>
      <w:ind w:firstLine="435"/>
    </w:pPr>
    <w:rPr>
      <w:color w:val="auto"/>
      <w:kern w:val="2"/>
      <w:szCs w:val="24"/>
    </w:rPr>
  </w:style>
  <w:style w:type="paragraph" w:styleId="25">
    <w:name w:val="Normal (Web)"/>
    <w:basedOn w:val="1"/>
    <w:unhideWhenUsed/>
    <w:qFormat/>
    <w:uiPriority w:val="99"/>
    <w:pPr>
      <w:widowControl/>
      <w:autoSpaceDE/>
      <w:autoSpaceDN/>
      <w:adjustRightInd/>
      <w:spacing w:before="100" w:beforeAutospacing="1" w:after="100" w:afterAutospacing="1"/>
      <w:jc w:val="left"/>
    </w:pPr>
    <w:rPr>
      <w:rFonts w:ascii="宋体" w:hAnsi="宋体" w:cs="宋体"/>
      <w:color w:val="auto"/>
      <w:sz w:val="24"/>
      <w:szCs w:val="24"/>
    </w:rPr>
  </w:style>
  <w:style w:type="paragraph" w:styleId="26">
    <w:name w:val="Title"/>
    <w:basedOn w:val="1"/>
    <w:next w:val="1"/>
    <w:qFormat/>
    <w:uiPriority w:val="1"/>
    <w:pPr>
      <w:contextualSpacing/>
    </w:pPr>
    <w:rPr>
      <w:rFonts w:asciiTheme="majorHAnsi" w:hAnsiTheme="majorHAnsi" w:eastAsiaTheme="majorEastAsia" w:cstheme="majorBidi"/>
      <w:sz w:val="56"/>
      <w:szCs w:val="56"/>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Hyperlink"/>
    <w:basedOn w:val="29"/>
    <w:qFormat/>
    <w:uiPriority w:val="0"/>
    <w:rPr>
      <w:color w:val="0000FF"/>
      <w:u w:val="none"/>
    </w:rPr>
  </w:style>
  <w:style w:type="character" w:styleId="33">
    <w:name w:val="annotation reference"/>
    <w:qFormat/>
    <w:uiPriority w:val="0"/>
    <w:rPr>
      <w:rFonts w:ascii="Times New Roman" w:hAnsi="Times New Roman" w:eastAsia="宋体" w:cs="Times New Roman"/>
      <w:sz w:val="21"/>
    </w:rPr>
  </w:style>
  <w:style w:type="paragraph" w:customStyle="1" w:styleId="34">
    <w:name w:val="标题 5（有编号）（绿盟科技）"/>
    <w:basedOn w:val="1"/>
    <w:next w:val="35"/>
    <w:qFormat/>
    <w:uiPriority w:val="99"/>
    <w:pPr>
      <w:keepNext/>
      <w:keepLines/>
      <w:numPr>
        <w:ilvl w:val="4"/>
        <w:numId w:val="2"/>
      </w:numPr>
      <w:spacing w:before="280" w:after="156" w:line="377" w:lineRule="auto"/>
      <w:outlineLvl w:val="4"/>
    </w:pPr>
    <w:rPr>
      <w:rFonts w:ascii="Arial" w:hAnsi="Arial" w:eastAsia="黑体" w:cs="Arial"/>
      <w:b/>
      <w:bCs/>
      <w:sz w:val="24"/>
      <w:szCs w:val="24"/>
    </w:rPr>
  </w:style>
  <w:style w:type="paragraph" w:customStyle="1" w:styleId="35">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36">
    <w:name w:val="xl53"/>
    <w:basedOn w:val="1"/>
    <w:next w:val="1"/>
    <w:qFormat/>
    <w:uiPriority w:val="0"/>
    <w:pPr>
      <w:spacing w:before="280" w:after="280" w:line="100" w:lineRule="exact"/>
      <w:jc w:val="center"/>
    </w:pPr>
    <w:rPr>
      <w:rFonts w:ascii="宋体"/>
      <w:b/>
      <w:sz w:val="20"/>
    </w:rPr>
  </w:style>
  <w:style w:type="paragraph" w:customStyle="1" w:styleId="37">
    <w:name w:val="章正文"/>
    <w:basedOn w:val="1"/>
    <w:qFormat/>
    <w:uiPriority w:val="0"/>
    <w:pPr>
      <w:spacing w:before="156" w:after="120" w:line="300" w:lineRule="auto"/>
      <w:ind w:firstLine="480"/>
    </w:pPr>
    <w:rPr>
      <w:rFonts w:ascii="Helvetica" w:hAnsi="Helvetica"/>
      <w:kern w:val="0"/>
      <w:sz w:val="24"/>
      <w:szCs w:val="24"/>
    </w:rPr>
  </w:style>
  <w:style w:type="paragraph" w:customStyle="1" w:styleId="3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0">
    <w:name w:val="首行缩进"/>
    <w:qFormat/>
    <w:uiPriority w:val="0"/>
    <w:pPr>
      <w:widowControl w:val="0"/>
      <w:spacing w:line="360" w:lineRule="auto"/>
      <w:ind w:firstLine="480" w:firstLineChars="200"/>
      <w:jc w:val="both"/>
    </w:pPr>
    <w:rPr>
      <w:rFonts w:ascii="宋体" w:hAnsi="宋体" w:eastAsia="宋体" w:cs="宋体"/>
      <w:sz w:val="24"/>
      <w:szCs w:val="24"/>
      <w:lang w:val="en-US" w:eastAsia="zh-CN" w:bidi="ar-SA"/>
    </w:rPr>
  </w:style>
  <w:style w:type="paragraph" w:customStyle="1" w:styleId="41">
    <w:name w:val="正文文本 31"/>
    <w:basedOn w:val="1"/>
    <w:qFormat/>
    <w:uiPriority w:val="0"/>
    <w:rPr>
      <w:sz w:val="16"/>
      <w:szCs w:val="16"/>
    </w:rPr>
  </w:style>
  <w:style w:type="character" w:customStyle="1" w:styleId="42">
    <w:name w:val="ml101"/>
    <w:basedOn w:val="29"/>
    <w:qFormat/>
    <w:uiPriority w:val="0"/>
  </w:style>
  <w:style w:type="paragraph" w:customStyle="1" w:styleId="43">
    <w:name w:val="表内文字"/>
    <w:basedOn w:val="1"/>
    <w:qFormat/>
    <w:uiPriority w:val="0"/>
    <w:pPr>
      <w:tabs>
        <w:tab w:val="left" w:pos="1418"/>
      </w:tabs>
      <w:spacing w:after="120"/>
    </w:pPr>
    <w:rPr>
      <w:rFonts w:ascii="仿宋_GB2312" w:hAnsi="Calibri" w:eastAsia="仿宋_GB2312"/>
      <w:spacing w:val="-20"/>
      <w:sz w:val="24"/>
      <w:szCs w:val="24"/>
    </w:rPr>
  </w:style>
  <w:style w:type="paragraph" w:customStyle="1" w:styleId="44">
    <w:name w:val="默认段落字体 Para Char Char Char Char Char Char Char Char Char1 Char Char Char Char"/>
    <w:basedOn w:val="1"/>
    <w:qFormat/>
    <w:uiPriority w:val="0"/>
    <w:rPr>
      <w:rFonts w:ascii="Tahoma" w:hAnsi="Tahoma"/>
      <w:sz w:val="24"/>
      <w:szCs w:val="20"/>
    </w:rPr>
  </w:style>
  <w:style w:type="paragraph" w:customStyle="1" w:styleId="4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Heading #3|1"/>
    <w:basedOn w:val="1"/>
    <w:qFormat/>
    <w:uiPriority w:val="0"/>
    <w:pPr>
      <w:spacing w:after="200"/>
      <w:outlineLvl w:val="2"/>
    </w:pPr>
    <w:rPr>
      <w:rFonts w:ascii="宋体" w:hAnsi="宋体" w:cs="宋体"/>
      <w:sz w:val="28"/>
      <w:szCs w:val="28"/>
      <w:lang w:val="zh-TW" w:eastAsia="zh-TW" w:bidi="zh-TW"/>
    </w:rPr>
  </w:style>
  <w:style w:type="paragraph" w:customStyle="1" w:styleId="47">
    <w:name w:val="Other|1"/>
    <w:basedOn w:val="1"/>
    <w:qFormat/>
    <w:uiPriority w:val="0"/>
    <w:pPr>
      <w:spacing w:after="60" w:line="446" w:lineRule="auto"/>
      <w:ind w:firstLine="400"/>
    </w:pPr>
    <w:rPr>
      <w:rFonts w:ascii="宋体" w:hAnsi="宋体" w:cs="宋体"/>
      <w:sz w:val="22"/>
      <w:szCs w:val="22"/>
      <w:lang w:val="zh-TW" w:eastAsia="zh-TW" w:bidi="zh-TW"/>
    </w:rPr>
  </w:style>
  <w:style w:type="paragraph" w:customStyle="1" w:styleId="48">
    <w:name w:val="Body text|1"/>
    <w:basedOn w:val="1"/>
    <w:qFormat/>
    <w:uiPriority w:val="0"/>
    <w:pPr>
      <w:spacing w:after="60" w:line="446" w:lineRule="auto"/>
      <w:ind w:firstLine="400"/>
    </w:pPr>
    <w:rPr>
      <w:rFonts w:ascii="宋体" w:hAnsi="宋体" w:cs="宋体"/>
      <w:sz w:val="22"/>
      <w:szCs w:val="22"/>
      <w:lang w:val="zh-TW" w:eastAsia="zh-TW" w:bidi="zh-TW"/>
    </w:rPr>
  </w:style>
  <w:style w:type="character" w:customStyle="1" w:styleId="49">
    <w:name w:val="正文缩进 Char"/>
    <w:link w:val="11"/>
    <w:qFormat/>
    <w:uiPriority w:val="0"/>
    <w:rPr>
      <w:kern w:val="2"/>
      <w:sz w:val="21"/>
    </w:rPr>
  </w:style>
  <w:style w:type="paragraph" w:customStyle="1" w:styleId="50">
    <w:name w:val="reader-word-layer reader-word-s18-9"/>
    <w:basedOn w:val="1"/>
    <w:qFormat/>
    <w:uiPriority w:val="99"/>
    <w:pPr>
      <w:widowControl/>
      <w:autoSpaceDE/>
      <w:autoSpaceDN/>
      <w:adjustRightInd/>
      <w:spacing w:before="100" w:beforeAutospacing="1" w:after="100" w:afterAutospacing="1"/>
      <w:jc w:val="left"/>
    </w:pPr>
    <w:rPr>
      <w:rFonts w:ascii="宋体" w:hAnsi="宋体" w:cs="宋体"/>
      <w:color w:val="auto"/>
      <w:sz w:val="24"/>
      <w:szCs w:val="24"/>
    </w:rPr>
  </w:style>
  <w:style w:type="paragraph" w:customStyle="1" w:styleId="51">
    <w:name w:val="纯文本1"/>
    <w:basedOn w:val="52"/>
    <w:qFormat/>
    <w:uiPriority w:val="0"/>
    <w:rPr>
      <w:rFonts w:hint="default" w:ascii="宋体" w:hAnsi="Courier New"/>
      <w:kern w:val="0"/>
      <w:sz w:val="20"/>
      <w:szCs w:val="21"/>
    </w:rPr>
  </w:style>
  <w:style w:type="paragraph" w:customStyle="1" w:styleId="52">
    <w:name w:val="正文2"/>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3">
    <w:name w:val="Table Paragraph"/>
    <w:basedOn w:val="1"/>
    <w:qFormat/>
    <w:uiPriority w:val="1"/>
    <w:rPr>
      <w:rFonts w:ascii="Arial Unicode MS" w:hAnsi="Arial Unicode MS" w:eastAsia="Arial Unicode MS" w:cs="Arial Unicode MS"/>
      <w:lang w:val="zh-CN" w:bidi="zh-CN"/>
    </w:rPr>
  </w:style>
  <w:style w:type="paragraph" w:customStyle="1" w:styleId="54">
    <w:name w:val="p0"/>
    <w:basedOn w:val="1"/>
    <w:qFormat/>
    <w:uiPriority w:val="0"/>
    <w:pPr>
      <w:widowControl/>
    </w:pPr>
    <w:rPr>
      <w:rFonts w:ascii="Times New Roman" w:hAnsi="Times New Roman" w:eastAsia="宋体" w:cs="Times New Roman"/>
      <w:kern w:val="0"/>
      <w:szCs w:val="21"/>
    </w:rPr>
  </w:style>
  <w:style w:type="paragraph" w:customStyle="1" w:styleId="55">
    <w:name w:val="正文段"/>
    <w:basedOn w:val="1"/>
    <w:qFormat/>
    <w:uiPriority w:val="99"/>
    <w:pPr>
      <w:widowControl/>
      <w:snapToGrid w:val="0"/>
      <w:spacing w:afterLines="50"/>
      <w:ind w:firstLine="200" w:firstLineChars="200"/>
    </w:pPr>
    <w:rPr>
      <w:kern w:val="0"/>
      <w:sz w:val="24"/>
      <w:szCs w:val="20"/>
    </w:rPr>
  </w:style>
  <w:style w:type="paragraph" w:customStyle="1" w:styleId="56">
    <w:name w:val="列出段落1"/>
    <w:basedOn w:val="1"/>
    <w:unhideWhenUsed/>
    <w:qFormat/>
    <w:uiPriority w:val="0"/>
    <w:pPr>
      <w:ind w:firstLine="420" w:firstLineChars="200"/>
    </w:pPr>
  </w:style>
  <w:style w:type="paragraph" w:customStyle="1" w:styleId="57">
    <w:name w:val="Header or footer|1"/>
    <w:basedOn w:val="1"/>
    <w:qFormat/>
    <w:uiPriority w:val="0"/>
    <w:pPr>
      <w:widowControl w:val="0"/>
      <w:shd w:val="clear" w:color="auto" w:fill="auto"/>
    </w:pPr>
    <w:rPr>
      <w:sz w:val="17"/>
      <w:szCs w:val="17"/>
      <w:u w:val="none"/>
      <w:shd w:val="clear" w:color="auto" w:fill="auto"/>
      <w:lang w:val="zh-TW" w:eastAsia="zh-TW" w:bidi="zh-TW"/>
    </w:rPr>
  </w:style>
  <w:style w:type="paragraph" w:styleId="58">
    <w:name w:val="List Paragraph"/>
    <w:basedOn w:val="1"/>
    <w:qFormat/>
    <w:uiPriority w:val="1"/>
    <w:pPr>
      <w:widowControl w:val="0"/>
    </w:pPr>
    <w:rPr>
      <w:rFonts w:ascii="Calibri" w:hAnsi="Calibri" w:eastAsia="宋体" w:cs="Times New Roman"/>
      <w:sz w:val="22"/>
      <w:szCs w:val="22"/>
      <w:lang w:eastAsia="en-US"/>
    </w:rPr>
  </w:style>
  <w:style w:type="paragraph" w:customStyle="1" w:styleId="59">
    <w:name w:val="正文 A"/>
    <w:qFormat/>
    <w:uiPriority w:val="0"/>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60">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Normal]"/>
    <w:qFormat/>
    <w:uiPriority w:val="0"/>
    <w:rPr>
      <w:rFonts w:ascii="宋体" w:hAnsi="宋体" w:eastAsia="宋体" w:cs="Times New Roman"/>
      <w:sz w:val="24"/>
      <w:lang w:val="en-US" w:eastAsia="en-US" w:bidi="ar-SA"/>
    </w:rPr>
  </w:style>
  <w:style w:type="character" w:customStyle="1" w:styleId="62">
    <w:name w:val="NormalCharacter"/>
    <w:qFormat/>
    <w:uiPriority w:val="0"/>
  </w:style>
  <w:style w:type="paragraph" w:customStyle="1" w:styleId="63">
    <w:name w:val="F-正文"/>
    <w:qFormat/>
    <w:uiPriority w:val="0"/>
    <w:pPr>
      <w:spacing w:line="560" w:lineRule="exact"/>
      <w:jc w:val="both"/>
    </w:pPr>
    <w:rPr>
      <w:rFonts w:ascii="Times" w:hAnsi="Times" w:eastAsia="仿宋" w:cs="Times New Roman"/>
      <w:kern w:val="2"/>
      <w:sz w:val="24"/>
      <w:lang w:val="en-US" w:eastAsia="zh-CN" w:bidi="ar-SA"/>
    </w:rPr>
  </w:style>
  <w:style w:type="character" w:customStyle="1" w:styleId="64">
    <w:name w:val="不明显参考1"/>
    <w:basedOn w:val="29"/>
    <w:qFormat/>
    <w:uiPriority w:val="31"/>
    <w:rPr>
      <w:smallCap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4c038787-607a-4287-a62a-fa074892258d</errorID>
      <errorWord xmlns="http://schemas.wps.cn/vas-ai-hub/contract-review">[2026]311号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〔2026〕311号</item>
      </candidateList>
      <explain xmlns="http://schemas.wps.cn/vas-ai-hub/contract-review">发文字号格式错误。</explain>
      <paraID xmlns="http://schemas.wps.cn/vas-ai-hub/contract-review">615F4615</paraID>
      <start xmlns="http://schemas.wps.cn/vas-ai-hub/contract-review">8</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1af7cc1e-e286-4a61-9b20-61cff5be95fd</errorID>
      <errorWord xmlns="http://schemas.wps.cn/vas-ai-hub/contract-review">上午00:00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时间与前缀不匹配，可能的时间前缀有“下午、晚上、凌晨、午夜”。</explain>
      <paraID xmlns="http://schemas.wps.cn/vas-ai-hub/contract-review">2BED9F3E</paraID>
      <start xmlns="http://schemas.wps.cn/vas-ai-hub/contract-review">26</start>
      <end xmlns="http://schemas.wps.cn/vas-ai-hub/contract-review">33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b2d53c5f-e4a1-479c-ba24-e522eff8080e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2BED9F3E</paraID>
      <start xmlns="http://schemas.wps.cn/vas-ai-hub/contract-review">53</start>
      <end xmlns="http://schemas.wps.cn/vas-ai-hub/contract-review">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b9cfb9e8-8e02-4c18-9cf8-0a9e03a88465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2BED9F3E</paraID>
      <start xmlns="http://schemas.wps.cn/vas-ai-hub/contract-review">84</start>
      <end xmlns="http://schemas.wps.cn/vas-ai-hub/contract-review">85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02c9687d-3eb6-42e7-9a61-c9ca94138546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6911B16D</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a07fc79b-105b-41d7-aabf-fdc1b15cdb9e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6911B16D</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43f9bbfa-cdbb-4b63-95c0-1e454c3647d5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4EE570B1</paraID>
      <start xmlns="http://schemas.wps.cn/vas-ai-hub/contract-review">45</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e3fe42a1-81b0-4c27-9874-b01eecb20bf5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4EE570B1</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f18c0dd8-7efe-4984-b2cc-320b95feb5e8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2E95D286</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a91f5185-e4c6-4e1a-b0ed-d89a38b6b600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2E95D286</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97bda740-e426-454a-a775-d202ce366b63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27D9FDD3</paraID>
      <start xmlns="http://schemas.wps.cn/vas-ai-hub/contract-review">30</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49e9f0af-72d2-4d20-aa01-5cfe8c434538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27D9FDD3</paraID>
      <start xmlns="http://schemas.wps.cn/vas-ai-hub/contract-review">35</start>
      <end xmlns="http://schemas.wps.cn/vas-ai-hub/contract-review">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3de662db-3ef2-47a3-b2bc-ad91eee7ecc1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7D5FBA56</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efbb9606-19c1-4e1c-bcdb-87aef51ee5ec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7D5FBA56</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5cd9ea78-bf33-4383-ba00-4f3ac12916cd</errorID>
      <errorWord xmlns="http://schemas.wps.cn/vas-ai-hub/contract-review">30时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30</item>
      </candidateList>
      <explain xmlns="http://schemas.wps.cn/vas-ai-hub/contract-review"/>
      <paraID xmlns="http://schemas.wps.cn/vas-ai-hub/contract-review">7FF7FCA6</paraID>
      <start xmlns="http://schemas.wps.cn/vas-ai-hub/contract-review">21</start>
      <end xmlns="http://schemas.wps.cn/vas-ai-hub/contract-review">23</end>
      <status xmlns="http://schemas.wps.cn/vas-ai-hub/contract-review">modified</status>
      <modifiedWord xmlns="http://schemas.wps.cn/vas-ai-hub/contract-review">30</modifiedWord>
      <trackRevisions xmlns="http://schemas.wps.cn/vas-ai-hub/contract-review">false</trackRevisions>
    </reviewItem>
    <reviewItem xmlns="http://schemas.wps.cn/vas-ai-hub/contract-review">
      <errorID xmlns="http://schemas.wps.cn/vas-ai-hub/contract-review">25a0d4c0-96f6-4d90-ae51-9fd782a29f41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5439C177</paraID>
      <start xmlns="http://schemas.wps.cn/vas-ai-hub/contract-review">39</start>
      <end xmlns="http://schemas.wps.cn/vas-ai-hub/contract-review">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d52bf88a-b1df-445f-8edf-3c5850850554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5439C177</paraID>
      <start xmlns="http://schemas.wps.cn/vas-ai-hub/contract-review">52</start>
      <end xmlns="http://schemas.wps.cn/vas-ai-hub/contract-review">53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9bf97be7-3667-4734-bb8f-4eb1f39e698f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5439C177</paraID>
      <start xmlns="http://schemas.wps.cn/vas-ai-hub/contract-review">88</start>
      <end xmlns="http://schemas.wps.cn/vas-ai-hub/contract-review">89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df3d1ecc-e197-4522-9f99-e21737df1b5e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5439C177</paraID>
      <start xmlns="http://schemas.wps.cn/vas-ai-hub/contract-review">102</start>
      <end xmlns="http://schemas.wps.cn/vas-ai-hub/contract-review">103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8f7d3913-2a81-4c07-abf6-00ea67a549b9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429C6413</paraID>
      <start xmlns="http://schemas.wps.cn/vas-ai-hub/contract-review">87</start>
      <end xmlns="http://schemas.wps.cn/vas-ai-hub/contract-review">88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c5361264-e32d-465a-9f12-15998297850d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429C6413</paraID>
      <start xmlns="http://schemas.wps.cn/vas-ai-hub/contract-review">92</start>
      <end xmlns="http://schemas.wps.cn/vas-ai-hub/contract-review">93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26649199-8d43-4c1a-ae44-71e30f565509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429C6413</paraID>
      <start xmlns="http://schemas.wps.cn/vas-ai-hub/contract-review">99</start>
      <end xmlns="http://schemas.wps.cn/vas-ai-hub/contract-review">100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449e88f8-cee0-4900-8c60-a0c2b0119df5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429C6413</paraID>
      <start xmlns="http://schemas.wps.cn/vas-ai-hub/contract-review">122</start>
      <end xmlns="http://schemas.wps.cn/vas-ai-hub/contract-review">123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a4e09a09-a46d-4628-b703-34e4bc5b5d9d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429C6413</paraID>
      <start xmlns="http://schemas.wps.cn/vas-ai-hub/contract-review">127</start>
      <end xmlns="http://schemas.wps.cn/vas-ai-hub/contract-review">128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9635b9b4-aa9b-4117-9927-a5da37cd12b8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429C6413</paraID>
      <start xmlns="http://schemas.wps.cn/vas-ai-hub/contract-review">134</start>
      <end xmlns="http://schemas.wps.cn/vas-ai-hub/contract-review">135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41bc467c-b63a-474d-b3a3-96772a14917a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429C6413</paraID>
      <start xmlns="http://schemas.wps.cn/vas-ai-hub/contract-review">176</start>
      <end xmlns="http://schemas.wps.cn/vas-ai-hub/contract-review">177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69d0f3bb-410c-4caa-ba43-b07debde3555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429C6413</paraID>
      <start xmlns="http://schemas.wps.cn/vas-ai-hub/contract-review">185</start>
      <end xmlns="http://schemas.wps.cn/vas-ai-hub/contract-review">186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6efaa5d6-3deb-4209-95c4-7fac4107e94d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2464D81E</paraID>
      <start xmlns="http://schemas.wps.cn/vas-ai-hub/contract-review">64</start>
      <end xmlns="http://schemas.wps.cn/vas-ai-hub/contract-review">65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7b6189a1-2ec7-49cb-a4b6-828425342a79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BE05625</paraID>
      <start xmlns="http://schemas.wps.cn/vas-ai-hub/contract-review">68</start>
      <end xmlns="http://schemas.wps.cn/vas-ai-hub/contract-review">69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7c37bbbc-73fe-42d6-ab35-6c09c0e54637</errorID>
      <errorWord xmlns="http://schemas.wps.cn/vas-ai-hub/contract-review">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江省</item>
      </candidateList>
      <explain xmlns="http://schemas.wps.cn/vas-ai-hub/contract-review"/>
      <paraID xmlns="http://schemas.wps.cn/vas-ai-hub/contract-review">55342681</paraID>
      <start xmlns="http://schemas.wps.cn/vas-ai-hub/contract-review">9</start>
      <end xmlns="http://schemas.wps.cn/vas-ai-hub/contract-review">11</end>
      <status xmlns="http://schemas.wps.cn/vas-ai-hub/contract-review">modified</status>
      <modifiedWord xmlns="http://schemas.wps.cn/vas-ai-hub/contract-review">江省</modifiedWord>
      <trackRevisions xmlns="http://schemas.wps.cn/vas-ai-hub/contract-review">false</trackRevisions>
    </reviewItem>
    <reviewItem xmlns="http://schemas.wps.cn/vas-ai-hub/contract-review">
      <errorID xmlns="http://schemas.wps.cn/vas-ai-hub/contract-review">41b06287-d656-4815-86f4-3d7f3bba4953</errorID>
      <errorWord xmlns="http://schemas.wps.cn/vas-ai-hub/contract-review">之 日起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之日起</item>
      </candidateList>
      <explain xmlns="http://schemas.wps.cn/vas-ai-hub/contract-review"/>
      <paraID xmlns="http://schemas.wps.cn/vas-ai-hub/contract-review">6E95718C</paraID>
      <start xmlns="http://schemas.wps.cn/vas-ai-hub/contract-review">29</start>
      <end xmlns="http://schemas.wps.cn/vas-ai-hub/contract-review">32</end>
      <status xmlns="http://schemas.wps.cn/vas-ai-hub/contract-review">modified</status>
      <modifiedWord xmlns="http://schemas.wps.cn/vas-ai-hub/contract-review">之日起</modifiedWord>
      <trackRevisions xmlns="http://schemas.wps.cn/vas-ai-hub/contract-review">false</trackRevisions>
    </reviewItem>
    <reviewItem xmlns="http://schemas.wps.cn/vas-ai-hub/contract-review">
      <errorID xmlns="http://schemas.wps.cn/vas-ai-hub/contract-review">d648060a-19b1-43a6-8a99-df101d8b2a25</errorID>
      <errorWord xmlns="http://schemas.wps.cn/vas-ai-hub/contract-review">遮荫</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遮阴</item>
      </candidateList>
      <explain xmlns="http://schemas.wps.cn/vas-ai-hub/contract-review">存在发音相同字词的误用。</explain>
      <paraID xmlns="http://schemas.wps.cn/vas-ai-hub/contract-review">52C9C0F3</paraID>
      <start xmlns="http://schemas.wps.cn/vas-ai-hub/contract-review">36</start>
      <end xmlns="http://schemas.wps.cn/vas-ai-hub/contract-review">38</end>
      <status xmlns="http://schemas.wps.cn/vas-ai-hub/contract-review">modified</status>
      <modifiedWord xmlns="http://schemas.wps.cn/vas-ai-hub/contract-review">遮阴</modifiedWord>
      <trackRevisions xmlns="http://schemas.wps.cn/vas-ai-hub/contract-review">false</trackRevisions>
    </reviewItem>
    <reviewItem xmlns="http://schemas.wps.cn/vas-ai-hub/contract-review">
      <errorID xmlns="http://schemas.wps.cn/vas-ai-hub/contract-review">56ce5fd1-3016-4ee9-8fb9-f61d5aadcb81</errorID>
      <errorWord xmlns="http://schemas.wps.cn/vas-ai-hub/contract-review">作剪</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修剪</item>
      </candidateList>
      <explain xmlns="http://schemas.wps.cn/vas-ai-hub/contract-review"/>
      <paraID xmlns="http://schemas.wps.cn/vas-ai-hub/contract-review">5C0CB4A9</paraID>
      <start xmlns="http://schemas.wps.cn/vas-ai-hub/contract-review">12</start>
      <end xmlns="http://schemas.wps.cn/vas-ai-hub/contract-review">14</end>
      <status xmlns="http://schemas.wps.cn/vas-ai-hub/contract-review">modified</status>
      <modifiedWord xmlns="http://schemas.wps.cn/vas-ai-hub/contract-review">修剪</modifiedWord>
      <trackRevisions xmlns="http://schemas.wps.cn/vas-ai-hub/contract-review">false</trackRevisions>
    </reviewItem>
    <reviewItem xmlns="http://schemas.wps.cn/vas-ai-hub/contract-review">
      <errorID xmlns="http://schemas.wps.cn/vas-ai-hub/contract-review">cc170d59-04b8-4794-afab-d00dd917382e</errorID>
      <errorWord xmlns="http://schemas.wps.cn/vas-ai-hub/contract-review">况</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况可</item>
      </candidateList>
      <explain xmlns="http://schemas.wps.cn/vas-ai-hub/contract-review"/>
      <paraID xmlns="http://schemas.wps.cn/vas-ai-hub/contract-review">4B85B1C8</paraID>
      <start xmlns="http://schemas.wps.cn/vas-ai-hub/contract-review">7</start>
      <end xmlns="http://schemas.wps.cn/vas-ai-hub/contract-review">9</end>
      <status xmlns="http://schemas.wps.cn/vas-ai-hub/contract-review">modified</status>
      <modifiedWord xmlns="http://schemas.wps.cn/vas-ai-hub/contract-review">况可</modifiedWord>
      <trackRevisions xmlns="http://schemas.wps.cn/vas-ai-hub/contract-review">false</trackRevisions>
    </reviewItem>
    <reviewItem xmlns="http://schemas.wps.cn/vas-ai-hub/contract-review">
      <errorID xmlns="http://schemas.wps.cn/vas-ai-hub/contract-review">b9e9660e-d5e2-4351-8bf7-3ad778e3010e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75F799EA</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4e5b33a5-48b1-4cc3-9ba1-fe5ee4d3eb7f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75F799EA</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3cb1572f-853b-4bd0-8ab7-8c8c8df2f548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75F799EA</paraID>
      <start xmlns="http://schemas.wps.cn/vas-ai-hub/contract-review">30</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1cc3171a-e430-4c42-8313-3be517a9229d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75F799EA</paraID>
      <start xmlns="http://schemas.wps.cn/vas-ai-hub/contract-review">32</start>
      <end xmlns="http://schemas.wps.cn/vas-ai-hub/contract-review">33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056a6f0b-afc4-4e81-acc0-f96d84f148a2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75F799EA</paraID>
      <start xmlns="http://schemas.wps.cn/vas-ai-hub/contract-review">37</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22abd9a8-944c-46d6-ac03-cea92b1d21d1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75F799EA</paraID>
      <start xmlns="http://schemas.wps.cn/vas-ai-hub/contract-review">40</start>
      <end xmlns="http://schemas.wps.cn/vas-ai-hub/contract-review">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d90a71cd-8fa2-4a3a-b602-71ae6d0e3441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75F799EA</paraID>
      <start xmlns="http://schemas.wps.cn/vas-ai-hub/contract-review">49</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e804dbc9-d523-41ab-b32e-4a4b5c628de3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75F799EA</paraID>
      <start xmlns="http://schemas.wps.cn/vas-ai-hub/contract-review">52</start>
      <end xmlns="http://schemas.wps.cn/vas-ai-hub/contract-review">53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3bc5ea69-b43c-4434-870f-2656b9cde7ca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36AB48F7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9dff9ae5-7381-4226-8149-a56ab1ca362e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8FC6AAC</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e21ab368-79af-4ff4-9ba1-1242898744c6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8FC6AAC</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c0b7f486-0586-4bce-98ed-c0bc8397512e</errorID>
      <errorWord xmlns="http://schemas.wps.cn/vas-ai-hub/contract-review">[2017]141号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〔2017〕141号</item>
      </candidateList>
      <explain xmlns="http://schemas.wps.cn/vas-ai-hub/contract-review">发文字号格式错误。</explain>
      <paraID xmlns="http://schemas.wps.cn/vas-ai-hub/contract-review">3166E5E4</paraID>
      <start xmlns="http://schemas.wps.cn/vas-ai-hub/contract-review">64</start>
      <end xmlns="http://schemas.wps.cn/vas-ai-hub/contract-review">74</end>
      <status xmlns="http://schemas.wps.cn/vas-ai-hub/contract-review">modified</status>
      <modifiedWord xmlns="http://schemas.wps.cn/vas-ai-hub/contract-review">〔2017〕141号</modifiedWord>
      <trackRevisions xmlns="http://schemas.wps.cn/vas-ai-hub/contract-review">false</trackRevisions>
    </reviewItem>
    <reviewItem xmlns="http://schemas.wps.cn/vas-ai-hub/contract-review">
      <errorID xmlns="http://schemas.wps.cn/vas-ai-hub/contract-review">38ecc748-c221-43a2-8775-66b398731ffd</errorID>
      <errorWord xmlns="http://schemas.wps.cn/vas-ai-hub/contract-review">[2014]</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〔2014〕</item>
      </candidateList>
      <explain xmlns="http://schemas.wps.cn/vas-ai-hub/contract-review"/>
      <paraID xmlns="http://schemas.wps.cn/vas-ai-hub/contract-review">3166E5E4</paraID>
      <start xmlns="http://schemas.wps.cn/vas-ai-hub/contract-review">77</start>
      <end xmlns="http://schemas.wps.cn/vas-ai-hub/contract-review">83</end>
      <status xmlns="http://schemas.wps.cn/vas-ai-hub/contract-review">modified</status>
      <modifiedWord xmlns="http://schemas.wps.cn/vas-ai-hub/contract-review">〔2014〕</modifiedWord>
      <trackRevisions xmlns="http://schemas.wps.cn/vas-ai-hub/contract-review">false</trackRevisions>
    </reviewItem>
    <reviewItem xmlns="http://schemas.wps.cn/vas-ai-hub/contract-review">
      <errorID xmlns="http://schemas.wps.cn/vas-ai-hub/contract-review">88a440b1-bf66-4e47-b777-086cdf857d70</errorID>
      <errorWord xmlns="http://schemas.wps.cn/vas-ai-hub/contract-review">岀</errorWord>
      <group xmlns="http://schemas.wps.cn/vas-ai-hub/contract-review">L1_Word</group>
      <groupName xmlns="http://schemas.wps.cn/vas-ai-hub/contract-review">字词问题</groupName>
      <ability xmlns="http://schemas.wps.cn/vas-ai-hub/contract-review">L2_Variant</ability>
      <abilityName xmlns="http://schemas.wps.cn/vas-ai-hub/contract-review">异形词</abilityName>
      <candidateList xmlns="http://schemas.wps.cn/vas-ai-hub/contract-review">
        <item xmlns="http://schemas.wps.cn/vas-ai-hub/contract-review">出</item>
      </candidateList>
      <explain xmlns="http://schemas.wps.cn/vas-ai-hub/contract-review">词汇[岀]的规范词形写作[出]。</explain>
      <paraID xmlns="http://schemas.wps.cn/vas-ai-hub/contract-review"> AF752F9</paraID>
      <start xmlns="http://schemas.wps.cn/vas-ai-hub/contract-review">73</start>
      <end xmlns="http://schemas.wps.cn/vas-ai-hub/contract-review">74</end>
      <status xmlns="http://schemas.wps.cn/vas-ai-hub/contract-review">modified</status>
      <modifiedWord xmlns="http://schemas.wps.cn/vas-ai-hub/contract-review">出</modifiedWord>
      <trackRevisions xmlns="http://schemas.wps.cn/vas-ai-hub/contract-review">false</trackRevisions>
    </reviewItem>
    <reviewItem xmlns="http://schemas.wps.cn/vas-ai-hub/contract-review">
      <errorID xmlns="http://schemas.wps.cn/vas-ai-hub/contract-review">d3e9e2ea-94ce-475a-bbba-6d792b294e12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5FF2E811</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3a5fecf9-8f4d-495a-8164-ff8d4a6ad9a4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1B948B10</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1c81aae2-303d-4517-a2e1-96c059d54ed8</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343158BD</paraID>
      <start xmlns="http://schemas.wps.cn/vas-ai-hub/contract-review">52</start>
      <end xmlns="http://schemas.wps.cn/vas-ai-hub/contract-review">53</end>
      <status xmlns="http://schemas.wps.cn/vas-ai-hub/contract-review">modified</status>
      <modifiedWord xmlns="http://schemas.wps.cn/vas-ai-hub/contract-review">或</modifiedWord>
      <trackRevisions xmlns="http://schemas.wps.cn/vas-ai-hub/contract-review">false</trackRevisions>
    </reviewItem>
    <reviewItem xmlns="http://schemas.wps.cn/vas-ai-hub/contract-review">
      <errorID xmlns="http://schemas.wps.cn/vas-ai-hub/contract-review">4a725860-46a7-4b8e-b5d0-47519b2f88c3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52B92B0C</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8fd7824e-74bc-49f9-8d8d-54b3f24ef158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52B92B0C</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a25cbb35-1f1a-45fc-9e60-916beef25c60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26D91A25</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b0ac9f93-36ac-4bba-8032-4c72db05d5f0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26D91A25</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16c4a19a-1a5a-415a-9af8-03e7e84d3ec4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1AE15880</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44afde6a-886d-49ba-80a9-021cfde12fc8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1AE15880</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99b8c52a-133e-4414-830d-0442da790310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3F081A5E</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9342350b-dd9e-4476-b5e4-3161e9e8c98b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3F081A5E</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53d9c4d7-74a3-487f-bea2-386c11dc5541</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5763996A</paraID>
      <start xmlns="http://schemas.wps.cn/vas-ai-hub/contract-review">50</start>
      <end xmlns="http://schemas.wps.cn/vas-ai-hub/contract-review">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9dca8fbd-9d5a-41af-b78b-10ade01b17e6</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6B8CD339</paraID>
      <start xmlns="http://schemas.wps.cn/vas-ai-hub/contract-review">50</start>
      <end xmlns="http://schemas.wps.cn/vas-ai-hub/contract-review">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db18c804-ca8f-4a2f-a62d-a9d2f63fa97c</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3A8D9F22</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a9d83a65-1cb7-46ad-aa6a-ec0fe7ba9a12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E53EF45</paraID>
      <start xmlns="http://schemas.wps.cn/vas-ai-hub/contract-review">30</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8b53fb9b-e404-4597-b65a-47158b0fb311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E53EF45</paraID>
      <start xmlns="http://schemas.wps.cn/vas-ai-hub/contract-review">34</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2fcedb98-0269-400d-9312-2326c6f70448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43A68E8B</paraID>
      <start xmlns="http://schemas.wps.cn/vas-ai-hub/contract-review">71</start>
      <end xmlns="http://schemas.wps.cn/vas-ai-hub/contract-review">72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311ba272-82f0-46b5-a623-9722e00355cd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43A68E8B</paraID>
      <start xmlns="http://schemas.wps.cn/vas-ai-hub/contract-review">73</start>
      <end xmlns="http://schemas.wps.cn/vas-ai-hub/contract-review">74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1209c002-78df-45df-a90e-ee760ef29bc1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43A68E8B</paraID>
      <start xmlns="http://schemas.wps.cn/vas-ai-hub/contract-review">91</start>
      <end xmlns="http://schemas.wps.cn/vas-ai-hub/contract-review">92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f602f014-4ea2-4f75-9843-5f28fbc8e584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43A68E8B</paraID>
      <start xmlns="http://schemas.wps.cn/vas-ai-hub/contract-review">94</start>
      <end xmlns="http://schemas.wps.cn/vas-ai-hub/contract-review">95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73f8d0f1-94e0-4c25-b065-6ffcf565a185</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18C274E9</paraID>
      <start xmlns="http://schemas.wps.cn/vas-ai-hub/contract-review">3</start>
      <end xmlns="http://schemas.wps.cn/vas-ai-hub/contract-review">7</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8289004e-7f9c-41cb-937c-502a7dbbb20d</errorID>
      <errorWord xmlns="http://schemas.wps.cn/vas-ai-hub/contract-review">[2017]141号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〔2017〕141号</item>
      </candidateList>
      <explain xmlns="http://schemas.wps.cn/vas-ai-hub/contract-review">发文字号格式错误。</explain>
      <paraID xmlns="http://schemas.wps.cn/vas-ai-hub/contract-review">4E3E19DF</paraID>
      <start xmlns="http://schemas.wps.cn/vas-ai-hub/contract-review">25</start>
      <end xmlns="http://schemas.wps.cn/vas-ai-hub/contract-review">35</end>
      <status xmlns="http://schemas.wps.cn/vas-ai-hub/contract-review">modified</status>
      <modifiedWord xmlns="http://schemas.wps.cn/vas-ai-hub/contract-review">〔2017〕141号</modifiedWord>
      <trackRevisions xmlns="http://schemas.wps.cn/vas-ai-hub/contract-review">false</trackRevisions>
    </reviewItem>
    <reviewItem xmlns="http://schemas.wps.cn/vas-ai-hub/contract-review">
      <errorID xmlns="http://schemas.wps.cn/vas-ai-hub/contract-review">68bf4108-07d4-4b20-95ca-f8ed77c4ef61</errorID>
      <errorWord xmlns="http://schemas.wps.cn/vas-ai-hub/contract-review">[2014]68号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〔2014〕68号</item>
      </candidateList>
      <explain xmlns="http://schemas.wps.cn/vas-ai-hub/contract-review">发文字号格式错误。</explain>
      <paraID xmlns="http://schemas.wps.cn/vas-ai-hub/contract-review">1A723C4D</paraID>
      <start xmlns="http://schemas.wps.cn/vas-ai-hub/contract-review">30</start>
      <end xmlns="http://schemas.wps.cn/vas-ai-hub/contract-review">39</end>
      <status xmlns="http://schemas.wps.cn/vas-ai-hub/contract-review">modified</status>
      <modifiedWord xmlns="http://schemas.wps.cn/vas-ai-hub/contract-review">〔2014〕68号</modifiedWord>
      <trackRevisions xmlns="http://schemas.wps.cn/vas-ai-hub/contract-review">false</trackRevisions>
    </reviewItem>
    <reviewItem xmlns="http://schemas.wps.cn/vas-ai-hub/contract-review">
      <errorID xmlns="http://schemas.wps.cn/vas-ai-hub/contract-review">90c1763b-804d-41d7-a6b4-f1fa90a32c4d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53059AF5</paraID>
      <start xmlns="http://schemas.wps.cn/vas-ai-hub/contract-review">13</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c0c43f74-cc11-4300-b74a-4b9a2f922a7b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6C9907D2</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db2b1146-ebaa-4faf-8ac1-06a1a6ecf4bc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799A4D32</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695c594b-930a-44e3-9607-69291f7df21b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23B29289</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48ad5007-4c61-487a-a48d-138188deb91f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3866E4A3</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62409052-2c4e-4d1b-bc81-70fd86218bd8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468EF4A5</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b35b5818-1f5d-47d6-8caa-87bf62689150</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685191C</paraID>
      <start xmlns="http://schemas.wps.cn/vas-ai-hub/contract-review">0</start>
      <end xmlns="http://schemas.wps.cn/vas-ai-hub/contract-review">2</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1e777f5b-4b99-47da-819b-86f6a70c34cd</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743D519D</paraID>
      <start xmlns="http://schemas.wps.cn/vas-ai-hub/contract-review">3</start>
      <end xmlns="http://schemas.wps.cn/vas-ai-hub/contract-review">5</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a5518c65-b34f-4533-a968-e737c035a97a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37CBB488</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d13ac81f-5f3b-419d-a24f-c2ec8e7cc899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4FBFF801</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48a278e1-4b61-4c4a-ae69-d4ed3faca4f3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2373EA3D</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799cb646-44ed-4569-adf5-5890c7120675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4BE7AC2D</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d4f4e7da-af53-410b-a523-148ca86f77c8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5D769D58</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fe23c1ad-7c19-4c80-88bf-9690cf307894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3A75FC79</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5c20c9a5-e6ef-4cb6-b815-64c097ececa9</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E295FDE</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35c11a19-e584-4103-bb2e-2122fc6f2b5a</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1412583A</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9b1fc7f3-8335-4a33-9fb5-ebc6b4d3d931</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80CEF3E</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ddc36c0c-08f5-414f-b7d7-77666c90bc64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20D15928</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0555b38f-5ce2-416c-ae45-b111648e97ff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491D8B49</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3f059bf6-938d-4e1b-a5b9-ce24c0389380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37F7D41B</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02361a75-b2a0-4298-af74-8ba52b6c4b05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6E3AF302</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8dd1b3c9-8b53-44e3-b70d-46d82d15fb9d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7E848BF2</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6cfbbaa3-b533-4a62-85e1-dc7923fbed69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2985579C</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906772a8-9dbf-49e2-8e37-891ec06734ba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2985579C</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0764eb84-ef22-45e9-8ece-e3b4586338e1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3EE46BDB</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107d1ac7-4308-48ea-bb41-42107660fe4f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1222E854</paraID>
      <start xmlns="http://schemas.wps.cn/vas-ai-hub/contract-review">109</start>
      <end xmlns="http://schemas.wps.cn/vas-ai-hub/contract-review">111</end>
      <status xmlns="http://schemas.wps.cn/vas-ai-hub/contract-review">modified</status>
      <modifiedWord xmlns="http://schemas.wps.cn/vas-ai-hub/contract-review">，在</modifiedWord>
      <trackRevisions xmlns="http://schemas.wps.cn/vas-ai-hub/contract-review">false</trackRevisions>
    </reviewItem>
    <reviewItem xmlns="http://schemas.wps.cn/vas-ai-hub/contract-review">
      <errorID xmlns="http://schemas.wps.cn/vas-ai-hub/contract-review">980751fd-9324-40a0-8782-c09aba9b6e3b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9242A08</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ee1edd06-2735-4117-872e-323ec6048c3f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9242A08</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4287cc36-0cf3-4bfb-bc58-8633a56f14f9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9242A08</paraID>
      <start xmlns="http://schemas.wps.cn/vas-ai-hub/contract-review">62</start>
      <end xmlns="http://schemas.wps.cn/vas-ai-hub/contract-review">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9902236e-0283-4d53-a885-c69f3a6b9ace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9242A08</paraID>
      <start xmlns="http://schemas.wps.cn/vas-ai-hub/contract-review">69</start>
      <end xmlns="http://schemas.wps.cn/vas-ai-hub/contract-review">70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2a670104-066e-4689-bae2-180fdc95fa9e</errorID>
      <errorWord xmlns="http://schemas.wps.cn/vas-ai-hub/contract-review">详实的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翔实的</item>
      </candidateList>
      <explain xmlns="http://schemas.wps.cn/vas-ai-hub/contract-review"/>
      <paraID xmlns="http://schemas.wps.cn/vas-ai-hub/contract-review">2D927902</paraID>
      <start xmlns="http://schemas.wps.cn/vas-ai-hub/contract-review">19</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52d5ecb5-ea71-403e-944f-29cb6a601c7e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593D059E</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ebaaf8e5-9132-498e-8bf9-1e13893e4a5c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593D059E</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b1bf463e-d567-4581-9f83-f659ea3700de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74E65203</paraID>
      <start xmlns="http://schemas.wps.cn/vas-ai-hub/contract-review">2</start>
      <end xmlns="http://schemas.wps.cn/vas-ai-hub/contract-review">4</end>
      <status xmlns="http://schemas.wps.cn/vas-ai-hub/contract-review">modified</status>
      <modifiedWord xmlns="http://schemas.wps.cn/vas-ai-hub/contract-review">）在</modifiedWord>
      <trackRevisions xmlns="http://schemas.wps.cn/vas-ai-hub/contract-review">false</trackRevisions>
    </reviewItem>
    <reviewItem xmlns="http://schemas.wps.cn/vas-ai-hub/contract-review">
      <errorID xmlns="http://schemas.wps.cn/vas-ai-hub/contract-review">1cc69e49-2f8d-460d-8700-336e3ae420af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25A16220</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db1eff60-f7c4-45d9-bcef-db55bff86bf6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4E0DE513</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fa3b0059-a934-4dca-bd54-3db361815eff</errorID>
      <errorWord xmlns="http://schemas.wps.cn/vas-ai-hub/contract-review">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盖公</item>
      </candidateList>
      <explain xmlns="http://schemas.wps.cn/vas-ai-hub/contract-review"/>
      <paraID xmlns="http://schemas.wps.cn/vas-ai-hub/contract-review">3A171DF1</paraID>
      <start xmlns="http://schemas.wps.cn/vas-ai-hub/contract-review">33</start>
      <end xmlns="http://schemas.wps.cn/vas-ai-hub/contract-review">35</end>
      <status xmlns="http://schemas.wps.cn/vas-ai-hub/contract-review">modified</status>
      <modifiedWord xmlns="http://schemas.wps.cn/vas-ai-hub/contract-review">盖公</modifiedWord>
      <trackRevisions xmlns="http://schemas.wps.cn/vas-ai-hub/contract-review">false</trackRevisions>
    </reviewItem>
    <reviewItem xmlns="http://schemas.wps.cn/vas-ai-hub/contract-review">
      <errorID xmlns="http://schemas.wps.cn/vas-ai-hub/contract-review">059b5f52-bce6-481d-b328-0b1dedee9c07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59CDC50B</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21876edf-0350-4436-a6bc-805d87df5938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59CDC50B</paraID>
      <start xmlns="http://schemas.wps.cn/vas-ai-hub/contract-review">13</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d228d774-5a5e-4e83-8b3a-0122d757a043</errorID>
      <errorWord xmlns="http://schemas.wps.cn/vas-ai-hub/contract-review">中国银行业监督管理委员会</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xmlns="http://schemas.wps.cn/vas-ai-hub/contract-review">59CDC50B</paraID>
      <start xmlns="http://schemas.wps.cn/vas-ai-hub/contract-review">267</start>
      <end xmlns="http://schemas.wps.cn/vas-ai-hub/contract-review">279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b7e82536-0123-48d3-82da-f41e0231a282</errorID>
      <errorWord xmlns="http://schemas.wps.cn/vas-ai-hub/contract-review">中国保险监督管理委员会</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 xmlns="http://schemas.wps.cn/vas-ai-hub/contract-review">59CDC50B</paraID>
      <start xmlns="http://schemas.wps.cn/vas-ai-hub/contract-review">290</start>
      <end xmlns="http://schemas.wps.cn/vas-ai-hub/contract-review">301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9c25842f-5037-4f56-987f-ad87306226d7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1ED5777</paraID>
      <start xmlns="http://schemas.wps.cn/vas-ai-hub/contract-review">16</start>
      <end xmlns="http://schemas.wps.cn/vas-ai-hub/contract-review">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ad7803b8-5ef2-4e8a-bebd-e1768fec816d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1ED5777</paraID>
      <start xmlns="http://schemas.wps.cn/vas-ai-hub/contract-review">26</start>
      <end xmlns="http://schemas.wps.cn/vas-ai-hub/contract-review">27</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92dbe-fe56-4513-afa6-e9ef3b670826}">
  <ds:schemaRefs/>
</ds:datastoreItem>
</file>

<file path=docProps/app.xml><?xml version="1.0" encoding="utf-8"?>
<Properties xmlns="http://schemas.openxmlformats.org/officeDocument/2006/extended-properties" xmlns:vt="http://schemas.openxmlformats.org/officeDocument/2006/docPropsVTypes">
  <Template>Normal</Template>
  <Pages>65</Pages>
  <Words>28425</Words>
  <Characters>29897</Characters>
  <Lines>38</Lines>
  <Paragraphs>57</Paragraphs>
  <TotalTime>109</TotalTime>
  <ScaleCrop>false</ScaleCrop>
  <LinksUpToDate>false</LinksUpToDate>
  <CharactersWithSpaces>30186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2022-03-05T16:18:00Z</dcterms:created>
  <dc:creator>Administrator</dc:creator>
  <cp:lastModifiedBy>Lawliet</cp:lastModifiedBy>
  <cp:lastPrinted>2026-03-06T15:20:00Z</cp:lastPrinted>
  <dcterms:modified xsi:type="dcterms:W3CDTF">2026-05-06T10:06:40Z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0F00EF2119E9447187B483241AE08FF3_13</vt:lpwstr>
  </property>
  <property fmtid="{D5CDD505-2E9C-101B-9397-08002B2CF9AE}" pid="4" name="KSOTemplateDocerSaveRecord">
    <vt:lpwstr>eyJoZGlkIjoiZDM3ZjUxMGMxMTA3ZThiNGQ5YThlNWFjOTE3MjUxNDciLCJ1c2VySWQiOiI0OTAyNTQ3MDMifQ==</vt:lpwstr>
  </property>
</Properties>
</file>