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6539">
      <w:pPr>
        <w:spacing w:line="360" w:lineRule="auto"/>
        <w:jc w:val="center"/>
        <w:rPr>
          <w:rFonts w:ascii="宋体" w:hAnsi="宋体" w:cs="宋体"/>
          <w:b/>
          <w:color w:val="auto"/>
          <w:sz w:val="24"/>
          <w:highlight w:val="none"/>
        </w:rPr>
      </w:pPr>
    </w:p>
    <w:p w14:paraId="4FE6F865">
      <w:pPr>
        <w:spacing w:line="360" w:lineRule="auto"/>
        <w:jc w:val="center"/>
        <w:rPr>
          <w:rFonts w:ascii="宋体" w:hAnsi="宋体" w:cs="宋体"/>
          <w:b/>
          <w:color w:val="auto"/>
          <w:sz w:val="24"/>
          <w:highlight w:val="none"/>
        </w:rPr>
      </w:pPr>
    </w:p>
    <w:p w14:paraId="52106D7C">
      <w:pPr>
        <w:adjustRightInd/>
        <w:spacing w:line="360" w:lineRule="auto"/>
        <w:jc w:val="center"/>
        <w:rPr>
          <w:rFonts w:ascii="宋体" w:hAnsi="宋体" w:cs="宋体"/>
          <w:b/>
          <w:color w:val="auto"/>
          <w:sz w:val="44"/>
          <w:szCs w:val="44"/>
          <w:highlight w:val="none"/>
        </w:rPr>
      </w:pPr>
    </w:p>
    <w:p w14:paraId="3F64342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浙江海洋大学</w:t>
      </w:r>
    </w:p>
    <w:p w14:paraId="6332792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第七届全国海员技能大比武航海模拟器更新</w:t>
      </w:r>
    </w:p>
    <w:p w14:paraId="2B6A670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581C5205">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7294FEA4">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color w:val="auto"/>
          <w:highlight w:val="none"/>
        </w:rPr>
        <w:fldChar w:fldCharType="begin"/>
      </w:r>
      <w:r>
        <w:rPr>
          <w:color w:val="auto"/>
          <w:highlight w:val="none"/>
        </w:rPr>
        <w:instrText xml:space="preserve"> HYPERLINK "https://pay.zcygov.cn/purchaseplan_front/" \l "/procurement-plan/plan/detail?id=1101000000834338&amp;_app_=zcy.purchase-plan" \t "https://www.zcygov.cn/delegation-order/_procurement_/order/orderInfo/detail/_blank" </w:instrText>
      </w:r>
      <w:r>
        <w:rPr>
          <w:color w:val="auto"/>
          <w:highlight w:val="none"/>
        </w:rPr>
        <w:fldChar w:fldCharType="separate"/>
      </w:r>
      <w:r>
        <w:rPr>
          <w:rFonts w:hint="eastAsia" w:ascii="宋体" w:hAnsi="宋体" w:cs="宋体"/>
          <w:color w:val="auto"/>
          <w:sz w:val="30"/>
          <w:szCs w:val="30"/>
          <w:highlight w:val="none"/>
          <w:lang w:eastAsia="zh-CN"/>
        </w:rPr>
        <w:t>330000263030050000071</w:t>
      </w:r>
      <w:r>
        <w:rPr>
          <w:rFonts w:hint="eastAsia" w:ascii="宋体" w:hAnsi="宋体" w:cs="宋体"/>
          <w:color w:val="auto"/>
          <w:sz w:val="30"/>
          <w:szCs w:val="30"/>
          <w:highlight w:val="none"/>
        </w:rPr>
        <w:fldChar w:fldCharType="end"/>
      </w:r>
    </w:p>
    <w:p w14:paraId="190C15FE">
      <w:pPr>
        <w:adjustRightInd/>
        <w:spacing w:line="360" w:lineRule="auto"/>
        <w:rPr>
          <w:rFonts w:ascii="宋体" w:hAnsi="宋体" w:cs="宋体"/>
          <w:color w:val="auto"/>
          <w:sz w:val="28"/>
          <w:szCs w:val="20"/>
          <w:highlight w:val="none"/>
        </w:rPr>
      </w:pPr>
    </w:p>
    <w:p w14:paraId="4F6CB75E">
      <w:pPr>
        <w:spacing w:line="360" w:lineRule="auto"/>
        <w:jc w:val="center"/>
        <w:rPr>
          <w:rFonts w:ascii="宋体" w:hAnsi="宋体" w:cs="宋体"/>
          <w:b/>
          <w:color w:val="auto"/>
          <w:sz w:val="44"/>
          <w:szCs w:val="44"/>
          <w:highlight w:val="none"/>
        </w:rPr>
      </w:pPr>
    </w:p>
    <w:p w14:paraId="45F1BDE4">
      <w:pPr>
        <w:spacing w:line="360" w:lineRule="auto"/>
        <w:jc w:val="center"/>
        <w:rPr>
          <w:rFonts w:ascii="宋体" w:hAnsi="宋体" w:cs="宋体"/>
          <w:b/>
          <w:color w:val="auto"/>
          <w:sz w:val="44"/>
          <w:szCs w:val="44"/>
          <w:highlight w:val="none"/>
        </w:rPr>
      </w:pPr>
    </w:p>
    <w:p w14:paraId="41126EC2">
      <w:pPr>
        <w:spacing w:line="360" w:lineRule="auto"/>
        <w:jc w:val="center"/>
        <w:rPr>
          <w:rFonts w:ascii="宋体" w:hAnsi="宋体" w:cs="宋体"/>
          <w:color w:val="auto"/>
          <w:sz w:val="24"/>
          <w:highlight w:val="none"/>
        </w:rPr>
      </w:pPr>
    </w:p>
    <w:p w14:paraId="2839D820">
      <w:pPr>
        <w:spacing w:line="360" w:lineRule="auto"/>
        <w:jc w:val="center"/>
        <w:rPr>
          <w:rFonts w:ascii="宋体" w:hAnsi="宋体" w:cs="宋体"/>
          <w:color w:val="auto"/>
          <w:sz w:val="24"/>
          <w:highlight w:val="none"/>
        </w:rPr>
      </w:pPr>
    </w:p>
    <w:p w14:paraId="33780B2E">
      <w:pPr>
        <w:spacing w:line="360" w:lineRule="auto"/>
        <w:rPr>
          <w:rFonts w:ascii="宋体" w:hAnsi="宋体" w:cs="宋体"/>
          <w:color w:val="auto"/>
          <w:sz w:val="32"/>
          <w:szCs w:val="32"/>
          <w:highlight w:val="none"/>
        </w:rPr>
      </w:pPr>
    </w:p>
    <w:p w14:paraId="06013007">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浙江海洋大学</w:t>
      </w:r>
    </w:p>
    <w:p w14:paraId="1A2BAD8B">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浙江科佳工程咨询有限公司</w:t>
      </w:r>
    </w:p>
    <w:p w14:paraId="12E905A9">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二〇二六年四月</w:t>
      </w:r>
    </w:p>
    <w:p w14:paraId="4E2F33C8">
      <w:pPr>
        <w:snapToGrid w:val="0"/>
        <w:spacing w:line="360" w:lineRule="auto"/>
        <w:jc w:val="center"/>
        <w:rPr>
          <w:rFonts w:ascii="宋体" w:hAnsi="宋体" w:cs="宋体"/>
          <w:color w:val="auto"/>
          <w:sz w:val="24"/>
          <w:highlight w:val="none"/>
        </w:rPr>
      </w:pPr>
      <w:bookmarkStart w:id="0" w:name="_Hlt67893495"/>
      <w:bookmarkEnd w:id="0"/>
      <w:r>
        <w:rPr>
          <w:rFonts w:hint="eastAsia" w:ascii="宋体" w:hAnsi="宋体" w:cs="宋体"/>
          <w:color w:val="auto"/>
          <w:sz w:val="24"/>
          <w:highlight w:val="none"/>
        </w:rPr>
        <w:br w:type="page"/>
      </w:r>
    </w:p>
    <w:p w14:paraId="50565E21">
      <w:pPr>
        <w:spacing w:line="360" w:lineRule="auto"/>
        <w:jc w:val="center"/>
        <w:rPr>
          <w:rFonts w:ascii="宋体" w:hAnsi="宋体" w:cs="宋体"/>
          <w:color w:val="auto"/>
          <w:sz w:val="24"/>
          <w:highlight w:val="none"/>
        </w:rPr>
      </w:pPr>
    </w:p>
    <w:p w14:paraId="0F0619B9">
      <w:pPr>
        <w:snapToGrid w:val="0"/>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sdt>
      <w:sdtPr>
        <w:rPr>
          <w:rFonts w:hint="eastAsia" w:ascii="宋体" w:hAnsi="宋体" w:cs="宋体"/>
          <w:color w:val="auto"/>
          <w:highlight w:val="none"/>
        </w:rPr>
        <w:id w:val="147461475"/>
        <w15:color w:val="DBDBDB"/>
        <w:docPartObj>
          <w:docPartGallery w:val="Table of Contents"/>
          <w:docPartUnique/>
        </w:docPartObj>
      </w:sdtPr>
      <w:sdtEndPr>
        <w:rPr>
          <w:rFonts w:hint="eastAsia" w:ascii="宋体" w:hAnsi="宋体" w:cs="宋体"/>
          <w:color w:val="auto"/>
          <w:highlight w:val="none"/>
        </w:rPr>
      </w:sdtEndPr>
      <w:sdtContent>
        <w:p w14:paraId="216751D1">
          <w:pPr>
            <w:jc w:val="center"/>
            <w:rPr>
              <w:rFonts w:ascii="宋体" w:hAnsi="宋体" w:cs="宋体"/>
              <w:color w:val="auto"/>
              <w:highlight w:val="none"/>
            </w:rPr>
          </w:pPr>
          <w:bookmarkStart w:id="1" w:name="_Hlt91233176"/>
          <w:bookmarkEnd w:id="1"/>
          <w:bookmarkStart w:id="2" w:name="_Toc91899869"/>
        </w:p>
        <w:p w14:paraId="543395B9">
          <w:pPr>
            <w:pStyle w:val="45"/>
            <w:tabs>
              <w:tab w:val="right" w:leader="dot" w:pos="9746"/>
            </w:tabs>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"_Toc25803" </w:instrText>
          </w:r>
          <w:r>
            <w:rPr>
              <w:color w:val="auto"/>
              <w:highlight w:val="none"/>
            </w:rPr>
            <w:fldChar w:fldCharType="separate"/>
          </w:r>
          <w:r>
            <w:rPr>
              <w:rFonts w:hint="eastAsia" w:ascii="宋体" w:hAnsi="宋体" w:cs="宋体"/>
              <w:color w:val="auto"/>
              <w:sz w:val="28"/>
              <w:szCs w:val="28"/>
              <w:highlight w:val="none"/>
            </w:rPr>
            <w:t>第一部分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_Toc25803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B937515">
          <w:pPr>
            <w:pStyle w:val="45"/>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cs="宋体"/>
              <w:color w:val="auto"/>
              <w:sz w:val="28"/>
              <w:szCs w:val="28"/>
              <w:highlight w:val="none"/>
            </w:rPr>
            <w:t>第二部分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_Toc28231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3B4EAC0">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"_Toc269" </w:instrText>
          </w:r>
          <w:r>
            <w:rPr>
              <w:color w:val="auto"/>
              <w:highlight w:val="none"/>
            </w:rPr>
            <w:fldChar w:fldCharType="separate"/>
          </w:r>
          <w:r>
            <w:rPr>
              <w:rFonts w:hint="eastAsia" w:ascii="宋体" w:hAnsi="宋体" w:cs="宋体"/>
              <w:color w:val="auto"/>
              <w:sz w:val="28"/>
              <w:szCs w:val="28"/>
              <w:highlight w:val="none"/>
            </w:rPr>
            <w:t>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3B78EFA">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"_Toc23033" </w:instrText>
          </w:r>
          <w:r>
            <w:rPr>
              <w:color w:val="auto"/>
              <w:highlight w:val="none"/>
            </w:rPr>
            <w:fldChar w:fldCharType="separate"/>
          </w:r>
          <w:r>
            <w:rPr>
              <w:rFonts w:hint="eastAsia" w:ascii="宋体" w:hAnsi="宋体" w:cs="宋体"/>
              <w:color w:val="auto"/>
              <w:sz w:val="28"/>
              <w:szCs w:val="28"/>
              <w:highlight w:val="none"/>
            </w:rPr>
            <w:t>一、总则</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_Toc23033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CEE77F7">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"_Toc32424" </w:instrText>
          </w:r>
          <w:r>
            <w:rPr>
              <w:color w:val="auto"/>
              <w:highlight w:val="none"/>
            </w:rPr>
            <w:fldChar w:fldCharType="separate"/>
          </w:r>
          <w:r>
            <w:rPr>
              <w:rFonts w:hint="eastAsia" w:ascii="宋体" w:hAnsi="宋体" w:cs="宋体"/>
              <w:color w:val="auto"/>
              <w:sz w:val="28"/>
              <w:szCs w:val="28"/>
              <w:highlight w:val="none"/>
            </w:rPr>
            <w:t>二、招标文件的构成、澄清、修改</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_Toc32424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CBDDF01">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"_Toc6324" </w:instrText>
          </w:r>
          <w:r>
            <w:rPr>
              <w:color w:val="auto"/>
              <w:highlight w:val="none"/>
            </w:rPr>
            <w:fldChar w:fldCharType="separate"/>
          </w:r>
          <w:r>
            <w:rPr>
              <w:rFonts w:hint="eastAsia" w:ascii="宋体" w:hAnsi="宋体" w:cs="宋体"/>
              <w:color w:val="auto"/>
              <w:sz w:val="28"/>
              <w:szCs w:val="28"/>
              <w:highlight w:val="none"/>
            </w:rPr>
            <w:t>三、投标</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_Toc6324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59906E2">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"_Toc12025" </w:instrText>
          </w:r>
          <w:r>
            <w:rPr>
              <w:color w:val="auto"/>
              <w:highlight w:val="none"/>
            </w:rPr>
            <w:fldChar w:fldCharType="separate"/>
          </w:r>
          <w:r>
            <w:rPr>
              <w:rFonts w:hint="eastAsia" w:ascii="宋体" w:hAnsi="宋体" w:cs="宋体"/>
              <w:color w:val="auto"/>
              <w:sz w:val="28"/>
              <w:szCs w:val="28"/>
              <w:highlight w:val="none"/>
            </w:rPr>
            <w:t>四、开标、资格审查与信用信息查询</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_Toc12025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E5FC2E5">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"_Toc2269" </w:instrText>
          </w:r>
          <w:r>
            <w:rPr>
              <w:color w:val="auto"/>
              <w:highlight w:val="none"/>
            </w:rPr>
            <w:fldChar w:fldCharType="separate"/>
          </w:r>
          <w:r>
            <w:rPr>
              <w:rFonts w:hint="eastAsia" w:ascii="宋体" w:hAnsi="宋体" w:cs="宋体"/>
              <w:color w:val="auto"/>
              <w:sz w:val="28"/>
              <w:szCs w:val="28"/>
              <w:highlight w:val="none"/>
            </w:rPr>
            <w:t>五、评标</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_Toc2269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101422F">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"_Toc1866" </w:instrText>
          </w:r>
          <w:r>
            <w:rPr>
              <w:color w:val="auto"/>
              <w:highlight w:val="none"/>
            </w:rPr>
            <w:fldChar w:fldCharType="separate"/>
          </w:r>
          <w:r>
            <w:rPr>
              <w:rFonts w:hint="eastAsia" w:ascii="宋体" w:hAnsi="宋体" w:cs="宋体"/>
              <w:color w:val="auto"/>
              <w:sz w:val="28"/>
              <w:szCs w:val="28"/>
              <w:highlight w:val="none"/>
            </w:rPr>
            <w:t>六、定标</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_Toc1866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7157733">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 </w:instrText>
          </w:r>
          <w:r>
            <w:rPr>
              <w:color w:val="auto"/>
              <w:highlight w:val="none"/>
            </w:rPr>
            <w:fldChar w:fldCharType="separate"/>
          </w:r>
          <w:r>
            <w:rPr>
              <w:rFonts w:hint="eastAsia" w:ascii="宋体" w:hAnsi="宋体" w:cs="宋体"/>
              <w:color w:val="auto"/>
              <w:sz w:val="28"/>
              <w:szCs w:val="28"/>
              <w:highlight w:val="none"/>
            </w:rPr>
            <w:t>七、合同授予</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87075C0">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"_Toc10170" </w:instrText>
          </w:r>
          <w:r>
            <w:rPr>
              <w:color w:val="auto"/>
              <w:highlight w:val="none"/>
            </w:rPr>
            <w:fldChar w:fldCharType="separate"/>
          </w:r>
          <w:r>
            <w:rPr>
              <w:rFonts w:hint="eastAsia" w:ascii="宋体" w:hAnsi="宋体" w:cs="宋体"/>
              <w:color w:val="auto"/>
              <w:sz w:val="28"/>
              <w:szCs w:val="28"/>
              <w:highlight w:val="none"/>
            </w:rPr>
            <w:t>八、电子交易活动的中止</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_Toc10170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0399D7B">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"_Toc23650" </w:instrText>
          </w:r>
          <w:r>
            <w:rPr>
              <w:color w:val="auto"/>
              <w:highlight w:val="none"/>
            </w:rPr>
            <w:fldChar w:fldCharType="separate"/>
          </w:r>
          <w:r>
            <w:rPr>
              <w:rFonts w:hint="eastAsia" w:ascii="宋体" w:hAnsi="宋体" w:cs="宋体"/>
              <w:color w:val="auto"/>
              <w:sz w:val="28"/>
              <w:szCs w:val="28"/>
              <w:highlight w:val="none"/>
            </w:rPr>
            <w:t>九、验收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_Toc23650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0119ABB">
          <w:pPr>
            <w:pStyle w:val="45"/>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"_Toc22177" </w:instrText>
          </w:r>
          <w:r>
            <w:rPr>
              <w:color w:val="auto"/>
              <w:highlight w:val="none"/>
            </w:rPr>
            <w:fldChar w:fldCharType="separate"/>
          </w:r>
          <w:r>
            <w:rPr>
              <w:rFonts w:hint="eastAsia" w:ascii="宋体" w:hAnsi="宋体" w:cs="宋体"/>
              <w:color w:val="auto"/>
              <w:sz w:val="28"/>
              <w:szCs w:val="28"/>
              <w:highlight w:val="none"/>
            </w:rPr>
            <w:t>第三部分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_Toc22177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13EE8C9">
          <w:pPr>
            <w:pStyle w:val="45"/>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"_Toc3291" </w:instrText>
          </w:r>
          <w:r>
            <w:rPr>
              <w:color w:val="auto"/>
              <w:highlight w:val="none"/>
            </w:rPr>
            <w:fldChar w:fldCharType="separate"/>
          </w:r>
          <w:r>
            <w:rPr>
              <w:rFonts w:hint="eastAsia" w:ascii="宋体" w:hAnsi="宋体" w:cs="宋体"/>
              <w:color w:val="auto"/>
              <w:sz w:val="28"/>
              <w:szCs w:val="28"/>
              <w:highlight w:val="none"/>
            </w:rPr>
            <w:t>第四部分 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_Toc3291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34A14A0">
          <w:pPr>
            <w:pStyle w:val="45"/>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"_Toc5183" </w:instrText>
          </w:r>
          <w:r>
            <w:rPr>
              <w:color w:val="auto"/>
              <w:highlight w:val="none"/>
            </w:rPr>
            <w:fldChar w:fldCharType="separate"/>
          </w:r>
          <w:r>
            <w:rPr>
              <w:rFonts w:hint="eastAsia" w:ascii="宋体" w:hAnsi="宋体" w:cs="宋体"/>
              <w:color w:val="auto"/>
              <w:sz w:val="28"/>
              <w:szCs w:val="28"/>
              <w:highlight w:val="none"/>
            </w:rPr>
            <w:t>第五部分 拟签订的合同文本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_Toc5183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B4C7AE7">
          <w:pPr>
            <w:pStyle w:val="45"/>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"_Toc3090" </w:instrText>
          </w:r>
          <w:r>
            <w:rPr>
              <w:color w:val="auto"/>
              <w:highlight w:val="none"/>
            </w:rPr>
            <w:fldChar w:fldCharType="separate"/>
          </w:r>
          <w:r>
            <w:rPr>
              <w:rFonts w:hint="eastAsia" w:ascii="宋体" w:hAnsi="宋体" w:cs="宋体"/>
              <w:color w:val="auto"/>
              <w:sz w:val="28"/>
              <w:szCs w:val="28"/>
              <w:highlight w:val="none"/>
            </w:rPr>
            <w:t>第六部分 应提交的有关格式范例</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_Toc3090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382019F">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"_Toc3841" </w:instrText>
          </w:r>
          <w:r>
            <w:rPr>
              <w:color w:val="auto"/>
              <w:highlight w:val="none"/>
            </w:rPr>
            <w:fldChar w:fldCharType="separate"/>
          </w:r>
          <w:r>
            <w:rPr>
              <w:rFonts w:hint="eastAsia" w:ascii="宋体" w:hAnsi="宋体" w:cs="宋体"/>
              <w:color w:val="auto"/>
              <w:sz w:val="28"/>
              <w:szCs w:val="28"/>
              <w:highlight w:val="none"/>
            </w:rPr>
            <w:t>资格文件部分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_Toc3841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3C6DFBF">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"_Toc30381" </w:instrText>
          </w:r>
          <w:r>
            <w:rPr>
              <w:color w:val="auto"/>
              <w:highlight w:val="none"/>
            </w:rPr>
            <w:fldChar w:fldCharType="separate"/>
          </w:r>
          <w:r>
            <w:rPr>
              <w:rFonts w:hint="eastAsia" w:ascii="宋体" w:hAnsi="宋体" w:cs="宋体"/>
              <w:color w:val="auto"/>
              <w:sz w:val="28"/>
              <w:szCs w:val="28"/>
              <w:highlight w:val="none"/>
            </w:rPr>
            <w:t>商务技术文件部分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_Toc30381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78C9E98">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"_Toc7986" </w:instrText>
          </w:r>
          <w:r>
            <w:rPr>
              <w:color w:val="auto"/>
              <w:highlight w:val="none"/>
            </w:rPr>
            <w:fldChar w:fldCharType="separate"/>
          </w:r>
          <w:r>
            <w:rPr>
              <w:rFonts w:hint="eastAsia" w:ascii="宋体" w:hAnsi="宋体" w:cs="宋体"/>
              <w:color w:val="auto"/>
              <w:sz w:val="28"/>
              <w:szCs w:val="28"/>
              <w:highlight w:val="none"/>
            </w:rPr>
            <w:t>报价文件部分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_Toc7986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144BBFE">
          <w:pPr>
            <w:pStyle w:val="56"/>
            <w:tabs>
              <w:tab w:val="right" w:leader="dot" w:pos="9746"/>
            </w:tabs>
            <w:snapToGrid w:val="0"/>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"_Toc13368" </w:instrText>
          </w:r>
          <w:r>
            <w:rPr>
              <w:color w:val="auto"/>
              <w:highlight w:val="none"/>
            </w:rPr>
            <w:fldChar w:fldCharType="separate"/>
          </w:r>
          <w:r>
            <w:rPr>
              <w:rFonts w:hint="eastAsia" w:ascii="宋体" w:hAnsi="宋体" w:cs="宋体"/>
              <w:color w:val="auto"/>
              <w:sz w:val="28"/>
              <w:szCs w:val="28"/>
              <w:highlight w:val="none"/>
            </w:rPr>
            <w:t>附件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_Toc13368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59</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BED34A3">
          <w:pPr>
            <w:snapToGrid w:val="0"/>
            <w:spacing w:line="360" w:lineRule="auto"/>
            <w:ind w:firstLine="641" w:firstLineChars="229"/>
            <w:rPr>
              <w:rFonts w:ascii="宋体" w:hAnsi="宋体" w:cs="宋体"/>
              <w:color w:val="auto"/>
              <w:highlight w:val="none"/>
            </w:rPr>
          </w:pPr>
          <w:r>
            <w:rPr>
              <w:rFonts w:hint="eastAsia" w:ascii="宋体" w:hAnsi="宋体" w:cs="宋体"/>
              <w:color w:val="auto"/>
              <w:sz w:val="28"/>
              <w:szCs w:val="28"/>
              <w:highlight w:val="none"/>
            </w:rPr>
            <w:fldChar w:fldCharType="end"/>
          </w:r>
        </w:p>
      </w:sdtContent>
    </w:sdt>
    <w:p w14:paraId="078BD501">
      <w:pPr>
        <w:spacing w:line="360" w:lineRule="auto"/>
        <w:ind w:firstLine="549" w:firstLineChars="229"/>
        <w:rPr>
          <w:rFonts w:ascii="宋体" w:hAnsi="宋体" w:cs="宋体"/>
          <w:color w:val="auto"/>
          <w:sz w:val="24"/>
          <w:highlight w:val="none"/>
        </w:rPr>
      </w:pPr>
    </w:p>
    <w:p w14:paraId="6F2027E9">
      <w:pPr>
        <w:spacing w:line="360" w:lineRule="auto"/>
        <w:rPr>
          <w:rFonts w:ascii="宋体" w:hAnsi="宋体" w:cs="宋体"/>
          <w:color w:val="auto"/>
          <w:sz w:val="24"/>
          <w:highlight w:val="none"/>
        </w:rPr>
      </w:pPr>
    </w:p>
    <w:bookmarkEnd w:id="2"/>
    <w:p w14:paraId="2EB2F2A1">
      <w:pPr>
        <w:pStyle w:val="2"/>
        <w:rPr>
          <w:rFonts w:ascii="宋体" w:hAnsi="宋体" w:cs="宋体"/>
          <w:color w:val="auto"/>
          <w:szCs w:val="20"/>
          <w:highlight w:val="none"/>
        </w:rPr>
      </w:pPr>
      <w:bookmarkStart w:id="3" w:name="_Hlt74707423"/>
      <w:bookmarkEnd w:id="3"/>
      <w:bookmarkStart w:id="4" w:name="_Hlt74728647"/>
      <w:bookmarkEnd w:id="4"/>
      <w:bookmarkStart w:id="5" w:name="_Hlt74649545"/>
      <w:bookmarkEnd w:id="5"/>
      <w:bookmarkStart w:id="6" w:name="第一部分"/>
      <w:bookmarkEnd w:id="6"/>
      <w:bookmarkStart w:id="7" w:name="_Hlt74729822"/>
      <w:bookmarkEnd w:id="7"/>
      <w:bookmarkStart w:id="8" w:name="第二部分"/>
      <w:bookmarkStart w:id="9" w:name="_Toc91899870"/>
      <w:r>
        <w:rPr>
          <w:rFonts w:hint="eastAsia" w:ascii="宋体" w:hAnsi="宋体" w:cs="宋体"/>
          <w:color w:val="auto"/>
          <w:szCs w:val="36"/>
          <w:highlight w:val="none"/>
        </w:rPr>
        <w:br w:type="page"/>
      </w:r>
      <w:bookmarkStart w:id="10" w:name="_Toc25803"/>
      <w:r>
        <w:rPr>
          <w:rFonts w:hint="eastAsia" w:ascii="宋体" w:hAnsi="宋体" w:cs="宋体"/>
          <w:color w:val="auto"/>
          <w:szCs w:val="20"/>
          <w:highlight w:val="none"/>
        </w:rPr>
        <w:t>第一部分 招标公告</w:t>
      </w:r>
      <w:bookmarkEnd w:id="10"/>
    </w:p>
    <w:p w14:paraId="3B955C70">
      <w:pPr>
        <w:snapToGrid w:val="0"/>
        <w:spacing w:line="360" w:lineRule="auto"/>
        <w:rPr>
          <w:rFonts w:ascii="宋体" w:hAnsi="宋体" w:cs="宋体"/>
          <w:b/>
          <w:bCs/>
          <w:color w:val="auto"/>
          <w:sz w:val="24"/>
          <w:highlight w:val="none"/>
          <w:u w:val="single"/>
        </w:rPr>
      </w:pPr>
      <w:r>
        <w:rPr>
          <w:rFonts w:hint="eastAsia" w:ascii="宋体" w:hAnsi="宋体" w:cs="宋体"/>
          <w:b/>
          <w:bCs/>
          <w:color w:val="auto"/>
          <w:sz w:val="24"/>
          <w:highlight w:val="none"/>
        </w:rPr>
        <w:t>项目概况</w:t>
      </w:r>
    </w:p>
    <w:p w14:paraId="4E4DA3A9">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u w:val="single"/>
        </w:rPr>
        <w:t>浙江海洋大学第七届全国海员技能大比武航海模拟器更新</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80"/>
          <w:rFonts w:hint="eastAsia" w:ascii="宋体" w:hAnsi="宋体" w:eastAsia="宋体" w:cs="宋体"/>
          <w:color w:val="auto"/>
          <w:kern w:val="2"/>
          <w:sz w:val="24"/>
          <w:szCs w:val="24"/>
          <w:highlight w:val="none"/>
        </w:rPr>
        <w:t>https://www.zcygov.cn/）获取（下载）招标文件，并于</w:t>
      </w:r>
      <w:r>
        <w:rPr>
          <w:rStyle w:val="80"/>
          <w:rFonts w:hint="eastAsia" w:ascii="宋体" w:hAnsi="宋体" w:eastAsia="宋体" w:cs="宋体"/>
          <w:color w:val="auto"/>
          <w:kern w:val="2"/>
          <w:sz w:val="24"/>
          <w:szCs w:val="24"/>
          <w:highlight w:val="none"/>
          <w:u w:val="single"/>
        </w:rPr>
        <w:t>2026年</w:t>
      </w:r>
      <w:r>
        <w:rPr>
          <w:rStyle w:val="80"/>
          <w:rFonts w:hint="eastAsia" w:ascii="宋体" w:hAnsi="宋体" w:cs="宋体"/>
          <w:color w:val="auto"/>
          <w:kern w:val="2"/>
          <w:sz w:val="24"/>
          <w:szCs w:val="24"/>
          <w:highlight w:val="none"/>
          <w:u w:val="single"/>
          <w:lang w:val="en-US" w:eastAsia="zh-CN"/>
        </w:rPr>
        <w:t>5</w:t>
      </w:r>
      <w:r>
        <w:rPr>
          <w:rStyle w:val="80"/>
          <w:rFonts w:hint="eastAsia" w:ascii="宋体" w:hAnsi="宋体" w:eastAsia="宋体" w:cs="宋体"/>
          <w:color w:val="auto"/>
          <w:kern w:val="2"/>
          <w:sz w:val="24"/>
          <w:szCs w:val="24"/>
          <w:highlight w:val="none"/>
          <w:u w:val="single"/>
        </w:rPr>
        <w:t>月</w:t>
      </w:r>
      <w:r>
        <w:rPr>
          <w:rStyle w:val="80"/>
          <w:rFonts w:hint="eastAsia" w:ascii="宋体" w:hAnsi="宋体" w:cs="宋体"/>
          <w:color w:val="auto"/>
          <w:kern w:val="2"/>
          <w:sz w:val="24"/>
          <w:szCs w:val="24"/>
          <w:highlight w:val="none"/>
          <w:u w:val="single"/>
          <w:lang w:val="en-US" w:eastAsia="zh-CN"/>
        </w:rPr>
        <w:t>21</w:t>
      </w:r>
      <w:r>
        <w:rPr>
          <w:rStyle w:val="80"/>
          <w:rFonts w:hint="eastAsia" w:ascii="宋体" w:hAnsi="宋体" w:eastAsia="宋体" w:cs="宋体"/>
          <w:color w:val="auto"/>
          <w:kern w:val="2"/>
          <w:sz w:val="24"/>
          <w:szCs w:val="24"/>
          <w:highlight w:val="none"/>
          <w:u w:val="single"/>
        </w:rPr>
        <w:t>日</w:t>
      </w:r>
      <w:r>
        <w:rPr>
          <w:rStyle w:val="80"/>
          <w:rFonts w:hint="eastAsia" w:ascii="宋体" w:hAnsi="宋体" w:cs="宋体"/>
          <w:color w:val="auto"/>
          <w:kern w:val="2"/>
          <w:sz w:val="24"/>
          <w:szCs w:val="24"/>
          <w:highlight w:val="none"/>
          <w:u w:val="single"/>
          <w:lang w:val="en-US" w:eastAsia="zh-CN"/>
        </w:rPr>
        <w:t>9</w:t>
      </w:r>
      <w:r>
        <w:rPr>
          <w:rStyle w:val="80"/>
          <w:rFonts w:hint="eastAsia" w:ascii="宋体" w:hAnsi="宋体" w:eastAsia="宋体" w:cs="宋体"/>
          <w:color w:val="auto"/>
          <w:kern w:val="2"/>
          <w:sz w:val="24"/>
          <w:szCs w:val="24"/>
          <w:highlight w:val="none"/>
          <w:u w:val="single"/>
        </w:rPr>
        <w:t>点</w:t>
      </w:r>
      <w:r>
        <w:rPr>
          <w:rStyle w:val="80"/>
          <w:rFonts w:hint="eastAsia" w:ascii="宋体" w:hAnsi="宋体" w:cs="宋体"/>
          <w:color w:val="auto"/>
          <w:kern w:val="2"/>
          <w:sz w:val="24"/>
          <w:szCs w:val="24"/>
          <w:highlight w:val="none"/>
          <w:u w:val="single"/>
        </w:rPr>
        <w:t>30</w:t>
      </w:r>
      <w:r>
        <w:rPr>
          <w:rStyle w:val="80"/>
          <w:rFonts w:hint="eastAsia" w:ascii="宋体" w:hAnsi="宋体" w:eastAsia="宋体" w:cs="宋体"/>
          <w:color w:val="auto"/>
          <w:kern w:val="2"/>
          <w:sz w:val="24"/>
          <w:szCs w:val="24"/>
          <w:highlight w:val="none"/>
          <w:u w:val="single"/>
        </w:rPr>
        <w:t>分00秒</w:t>
      </w:r>
      <w:r>
        <w:rPr>
          <w:rStyle w:val="80"/>
          <w:rFonts w:hint="eastAsia" w:ascii="宋体" w:hAnsi="宋体" w:eastAsia="宋体" w:cs="宋体"/>
          <w:color w:val="auto"/>
          <w:kern w:val="2"/>
          <w:sz w:val="24"/>
          <w:szCs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7AB5D71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一、项目基本情况</w:t>
      </w:r>
    </w:p>
    <w:p w14:paraId="1044C530">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项目编号：</w:t>
      </w:r>
      <w:r>
        <w:rPr>
          <w:color w:val="auto"/>
          <w:highlight w:val="none"/>
        </w:rPr>
        <w:fldChar w:fldCharType="begin"/>
      </w:r>
      <w:r>
        <w:rPr>
          <w:color w:val="auto"/>
          <w:highlight w:val="none"/>
        </w:rPr>
        <w:instrText xml:space="preserve"> HYPERLINK "https://pay.zcygov.cn/purchaseplan_front/" \l "/procurement-plan/plan/detail?id=1101000000834338&amp;_app_=zcy.purchase-plan" \t "https://www.zcygov.cn/delegation-order/_procurement_/order/orderInfo/detail/_blank" </w:instrText>
      </w:r>
      <w:r>
        <w:rPr>
          <w:color w:val="auto"/>
          <w:highlight w:val="none"/>
        </w:rPr>
        <w:fldChar w:fldCharType="separate"/>
      </w:r>
      <w:r>
        <w:rPr>
          <w:rFonts w:hint="eastAsia" w:ascii="宋体" w:hAnsi="宋体" w:cs="宋体"/>
          <w:b/>
          <w:color w:val="auto"/>
          <w:sz w:val="24"/>
          <w:highlight w:val="none"/>
          <w:lang w:eastAsia="zh-CN"/>
        </w:rPr>
        <w:t>330000263030050000071</w:t>
      </w:r>
      <w:r>
        <w:rPr>
          <w:rFonts w:hint="eastAsia" w:ascii="宋体" w:hAnsi="宋体" w:cs="宋体"/>
          <w:b/>
          <w:color w:val="auto"/>
          <w:sz w:val="24"/>
          <w:highlight w:val="none"/>
        </w:rPr>
        <w:fldChar w:fldCharType="end"/>
      </w:r>
    </w:p>
    <w:p w14:paraId="2D2E6818">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rPr>
        <w:t>浙江海洋大学第七届全国海员技能大比武航海模拟器更新</w:t>
      </w:r>
    </w:p>
    <w:p w14:paraId="169A10BE">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预算金额（元）：</w:t>
      </w:r>
      <w:r>
        <w:rPr>
          <w:rFonts w:hint="eastAsia" w:ascii="宋体" w:hAnsi="宋体" w:cs="宋体"/>
          <w:bCs/>
          <w:color w:val="auto"/>
          <w:sz w:val="24"/>
          <w:highlight w:val="none"/>
        </w:rPr>
        <w:t>770000</w:t>
      </w:r>
    </w:p>
    <w:p w14:paraId="14053930">
      <w:pPr>
        <w:snapToGrid w:val="0"/>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最高限价（元）：400000,370000</w:t>
      </w:r>
    </w:p>
    <w:p w14:paraId="77BC5A7A">
      <w:pPr>
        <w:pStyle w:val="15"/>
        <w:spacing w:line="360" w:lineRule="auto"/>
        <w:ind w:firstLine="480"/>
        <w:rPr>
          <w:rFonts w:hAnsi="宋体" w:cs="宋体"/>
          <w:b/>
          <w:color w:val="auto"/>
          <w:sz w:val="24"/>
          <w:highlight w:val="none"/>
        </w:rPr>
      </w:pPr>
      <w:r>
        <w:rPr>
          <w:rFonts w:hint="eastAsia" w:hAnsi="宋体" w:cs="宋体"/>
          <w:b/>
          <w:color w:val="auto"/>
          <w:sz w:val="24"/>
          <w:highlight w:val="none"/>
        </w:rPr>
        <w:t>采购需求：</w:t>
      </w:r>
    </w:p>
    <w:p w14:paraId="22E25FD8">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标项一</w:t>
      </w:r>
    </w:p>
    <w:p w14:paraId="78599317">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标项名称：航海模拟器软件升级</w:t>
      </w:r>
    </w:p>
    <w:p w14:paraId="1E1E32EB">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数量：1批</w:t>
      </w:r>
    </w:p>
    <w:p w14:paraId="5E8793DF">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预算金额（元）：</w:t>
      </w:r>
      <w:r>
        <w:rPr>
          <w:rFonts w:hint="eastAsia" w:hAnsi="宋体" w:cs="宋体"/>
          <w:b/>
          <w:color w:val="auto"/>
          <w:sz w:val="24"/>
          <w:highlight w:val="none"/>
        </w:rPr>
        <w:t>400000</w:t>
      </w:r>
    </w:p>
    <w:p w14:paraId="7F6D975B">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简要规格描述或项目基本概况介绍、用途：详见招标文件第三部分采购需求。</w:t>
      </w:r>
    </w:p>
    <w:p w14:paraId="0D91EAC0">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备注：/。</w:t>
      </w:r>
    </w:p>
    <w:p w14:paraId="40B7A406">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标项二</w:t>
      </w:r>
    </w:p>
    <w:p w14:paraId="5990C886">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标项名称：航海模拟器部分硬件升级</w:t>
      </w:r>
    </w:p>
    <w:p w14:paraId="7245ACA5">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数量：1批</w:t>
      </w:r>
    </w:p>
    <w:p w14:paraId="13465A1D">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预算金额（元）：</w:t>
      </w:r>
      <w:r>
        <w:rPr>
          <w:rFonts w:hint="eastAsia" w:hAnsi="宋体" w:cs="宋体"/>
          <w:b/>
          <w:color w:val="auto"/>
          <w:sz w:val="24"/>
          <w:highlight w:val="none"/>
        </w:rPr>
        <w:t>370000</w:t>
      </w:r>
    </w:p>
    <w:p w14:paraId="2362569D">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简要规格描述或项目基本概况介绍、用途：详见招标文件第三部分采购需求。</w:t>
      </w:r>
    </w:p>
    <w:p w14:paraId="7863D407">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备注：/。</w:t>
      </w:r>
    </w:p>
    <w:p w14:paraId="147F04C6">
      <w:pPr>
        <w:snapToGrid w:val="0"/>
        <w:spacing w:line="360" w:lineRule="auto"/>
        <w:ind w:firstLine="482" w:firstLineChars="200"/>
        <w:rPr>
          <w:rFonts w:ascii="宋体" w:hAnsi="宋体" w:cs="宋体"/>
          <w:b/>
          <w:color w:val="auto"/>
          <w:kern w:val="28"/>
          <w:sz w:val="24"/>
          <w:szCs w:val="20"/>
          <w:highlight w:val="none"/>
        </w:rPr>
      </w:pPr>
      <w:r>
        <w:rPr>
          <w:rFonts w:hint="eastAsia" w:ascii="宋体" w:hAnsi="宋体" w:cs="宋体"/>
          <w:b/>
          <w:color w:val="auto"/>
          <w:kern w:val="28"/>
          <w:sz w:val="24"/>
          <w:szCs w:val="20"/>
          <w:highlight w:val="none"/>
        </w:rPr>
        <w:t>合同履约期限：</w:t>
      </w:r>
    </w:p>
    <w:p w14:paraId="632E55FE">
      <w:pPr>
        <w:snapToGrid w:val="0"/>
        <w:spacing w:line="360" w:lineRule="auto"/>
        <w:ind w:firstLine="482" w:firstLineChars="200"/>
        <w:rPr>
          <w:rFonts w:ascii="宋体" w:hAnsi="宋体" w:cs="宋体"/>
          <w:b/>
          <w:color w:val="auto"/>
          <w:kern w:val="28"/>
          <w:sz w:val="24"/>
          <w:szCs w:val="20"/>
          <w:highlight w:val="none"/>
        </w:rPr>
      </w:pPr>
      <w:r>
        <w:rPr>
          <w:rFonts w:hint="eastAsia" w:ascii="宋体" w:hAnsi="宋体" w:cs="宋体"/>
          <w:b/>
          <w:color w:val="auto"/>
          <w:kern w:val="28"/>
          <w:sz w:val="24"/>
          <w:szCs w:val="20"/>
          <w:highlight w:val="none"/>
        </w:rPr>
        <w:t>标项一：合同签订之日起15天内交付，大比武结束及验收完毕后我方按程序付款。</w:t>
      </w:r>
    </w:p>
    <w:p w14:paraId="374BAB83">
      <w:pPr>
        <w:pStyle w:val="85"/>
        <w:snapToGrid w:val="0"/>
        <w:spacing w:line="360" w:lineRule="auto"/>
        <w:ind w:firstLine="462"/>
        <w:rPr>
          <w:color w:val="auto"/>
          <w:highlight w:val="none"/>
        </w:rPr>
      </w:pPr>
      <w:r>
        <w:rPr>
          <w:rFonts w:hint="eastAsia" w:ascii="宋体" w:hAnsi="宋体" w:cs="宋体"/>
          <w:b/>
          <w:color w:val="auto"/>
          <w:kern w:val="28"/>
          <w:highlight w:val="none"/>
        </w:rPr>
        <w:t>标项二：合同签订之日起7天内交付，在大比武期间供货商全程提供技术人员现场技术维护，确保设备运行稳定，大比武结束及验收完毕后我方按程序付款。</w:t>
      </w:r>
    </w:p>
    <w:p w14:paraId="43BE9126">
      <w:pPr>
        <w:snapToGri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sz w:val="24"/>
          <w:highlight w:val="none"/>
        </w:rPr>
        <w:t>本项目是否接受联合体投标：</w:t>
      </w:r>
      <w:sdt>
        <w:sdtPr>
          <w:rPr>
            <w:rFonts w:hint="eastAsia" w:ascii="宋体" w:hAnsi="宋体" w:cs="宋体"/>
            <w:color w:val="auto"/>
            <w:kern w:val="0"/>
            <w:sz w:val="24"/>
            <w:highlight w:val="none"/>
          </w:rPr>
          <w:id w:val="2035453831"/>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A8"/>
          </w:r>
        </w:sdtContent>
      </w:sdt>
      <w:r>
        <w:rPr>
          <w:rFonts w:hint="eastAsia" w:ascii="宋体" w:hAnsi="宋体" w:cs="宋体"/>
          <w:b/>
          <w:color w:val="auto"/>
          <w:sz w:val="24"/>
          <w:highlight w:val="none"/>
        </w:rPr>
        <w:t>是；</w:t>
      </w:r>
      <w:sdt>
        <w:sdtPr>
          <w:rPr>
            <w:rFonts w:hint="eastAsia" w:ascii="宋体" w:hAnsi="宋体" w:cs="宋体"/>
            <w:b/>
            <w:color w:val="auto"/>
            <w:sz w:val="24"/>
            <w:highlight w:val="none"/>
          </w:rPr>
          <w:id w:val="147478978"/>
        </w:sdtPr>
        <w:sdtEndPr>
          <w:rPr>
            <w:rFonts w:hint="eastAsia" w:ascii="宋体" w:hAnsi="宋体" w:cs="宋体"/>
            <w:b/>
            <w:color w:val="auto"/>
            <w:sz w:val="24"/>
            <w:highlight w:val="none"/>
          </w:rPr>
        </w:sdtEndPr>
        <w:sdtContent>
          <w:r>
            <w:rPr>
              <w:rFonts w:hint="eastAsia" w:ascii="宋体" w:hAnsi="宋体" w:cs="宋体"/>
              <w:b/>
              <w:color w:val="auto"/>
              <w:sz w:val="24"/>
              <w:highlight w:val="none"/>
            </w:rPr>
            <w:sym w:font="Wingdings" w:char="00FE"/>
          </w:r>
        </w:sdtContent>
      </w:sdt>
      <w:r>
        <w:rPr>
          <w:rFonts w:hint="eastAsia" w:ascii="宋体" w:hAnsi="宋体" w:cs="宋体"/>
          <w:b/>
          <w:color w:val="auto"/>
          <w:sz w:val="24"/>
          <w:highlight w:val="none"/>
        </w:rPr>
        <w:t>否。</w:t>
      </w:r>
    </w:p>
    <w:p w14:paraId="69E6333C">
      <w:pPr>
        <w:snapToGrid w:val="0"/>
        <w:spacing w:line="360" w:lineRule="auto"/>
        <w:rPr>
          <w:rFonts w:ascii="宋体" w:hAnsi="宋体" w:cs="宋体"/>
          <w:b/>
          <w:color w:val="auto"/>
          <w:sz w:val="24"/>
          <w:highlight w:val="none"/>
        </w:rPr>
      </w:pPr>
      <w:bookmarkStart w:id="11" w:name="_Hlk101132948"/>
      <w:bookmarkEnd w:id="11"/>
      <w:r>
        <w:rPr>
          <w:rFonts w:hint="eastAsia" w:ascii="宋体" w:hAnsi="宋体" w:cs="宋体"/>
          <w:b/>
          <w:color w:val="auto"/>
          <w:sz w:val="24"/>
          <w:highlight w:val="none"/>
        </w:rPr>
        <w:t>二、申请人的资格要求：</w:t>
      </w:r>
    </w:p>
    <w:p w14:paraId="697B89D4">
      <w:pPr>
        <w:snapToGrid w:val="0"/>
        <w:spacing w:line="360" w:lineRule="auto"/>
        <w:ind w:firstLine="480"/>
        <w:rPr>
          <w:rFonts w:ascii="宋体" w:hAnsi="宋体" w:cs="宋体"/>
          <w:color w:val="auto"/>
          <w:kern w:val="28"/>
          <w:sz w:val="24"/>
          <w:szCs w:val="20"/>
          <w:highlight w:val="none"/>
        </w:rPr>
      </w:pPr>
      <w:r>
        <w:rPr>
          <w:rFonts w:hint="eastAsia" w:ascii="宋体" w:hAnsi="宋体" w:cs="宋体"/>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DB765C6">
      <w:pPr>
        <w:snapToGrid w:val="0"/>
        <w:spacing w:line="360" w:lineRule="auto"/>
        <w:ind w:firstLine="480"/>
        <w:rPr>
          <w:rFonts w:ascii="宋体" w:hAnsi="宋体" w:cs="宋体"/>
          <w:color w:val="auto"/>
          <w:kern w:val="28"/>
          <w:sz w:val="24"/>
          <w:szCs w:val="20"/>
          <w:highlight w:val="none"/>
        </w:rPr>
      </w:pPr>
      <w:r>
        <w:rPr>
          <w:rFonts w:hint="eastAsia" w:ascii="宋体" w:hAnsi="宋体" w:cs="宋体"/>
          <w:color w:val="auto"/>
          <w:kern w:val="28"/>
          <w:sz w:val="24"/>
          <w:szCs w:val="20"/>
          <w:highlight w:val="none"/>
        </w:rPr>
        <w:t>2.以联合体形式投标的，提供联合协议(本项目不接受联合体投标或者投标人不以联合体形式投标的，则不需要提供)；</w:t>
      </w:r>
    </w:p>
    <w:p w14:paraId="296FCA7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28"/>
          <w:sz w:val="24"/>
          <w:szCs w:val="20"/>
          <w:highlight w:val="none"/>
        </w:rPr>
        <w:t>3.落实政府采购政策需满足的资格要求：</w:t>
      </w:r>
      <w:r>
        <w:rPr>
          <w:rFonts w:hint="eastAsia" w:ascii="宋体" w:hAnsi="宋体" w:cs="宋体"/>
          <w:color w:val="auto"/>
          <w:sz w:val="24"/>
          <w:highlight w:val="none"/>
        </w:rPr>
        <w:t>无。</w:t>
      </w:r>
    </w:p>
    <w:p w14:paraId="44164820">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4.本项目的特定资格要求：无。</w:t>
      </w:r>
    </w:p>
    <w:p w14:paraId="52821A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405E3E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0EF579F">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，每天上午00:00至12:00，下午12:00至23:59（北京时间，线上获取法定节假日均可，线下获取文件法定节假日除外）</w:t>
      </w:r>
    </w:p>
    <w:p w14:paraId="683580B6">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EC52869">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CCDF640">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68DFB9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19A73DA">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点30分00秒</w:t>
      </w:r>
      <w:r>
        <w:rPr>
          <w:rFonts w:hint="eastAsia" w:ascii="宋体" w:hAnsi="宋体" w:cs="宋体"/>
          <w:color w:val="auto"/>
          <w:sz w:val="24"/>
          <w:highlight w:val="none"/>
        </w:rPr>
        <w:t>（北京时间）</w:t>
      </w:r>
    </w:p>
    <w:p w14:paraId="6CE87FF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DC74583">
      <w:pPr>
        <w:snapToGrid w:val="0"/>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点30分00秒</w:t>
      </w:r>
      <w:r>
        <w:rPr>
          <w:rFonts w:hint="eastAsia" w:ascii="宋体" w:hAnsi="宋体" w:cs="宋体"/>
          <w:color w:val="auto"/>
          <w:sz w:val="24"/>
          <w:highlight w:val="none"/>
        </w:rPr>
        <w:t>（北京时间）</w:t>
      </w:r>
    </w:p>
    <w:p w14:paraId="64BD4065">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w:t>
      </w:r>
      <w:bookmarkStart w:id="426" w:name="_GoBack"/>
      <w:bookmarkEnd w:id="426"/>
      <w:r>
        <w:rPr>
          <w:rFonts w:hint="eastAsia" w:ascii="宋体" w:hAnsi="宋体" w:cs="宋体"/>
          <w:color w:val="auto"/>
          <w:sz w:val="24"/>
          <w:highlight w:val="none"/>
        </w:rPr>
        <w:t>平台（https://www.zcygov.cn/）</w:t>
      </w:r>
    </w:p>
    <w:p w14:paraId="31745500">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751DEE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3797EF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9C60E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979B3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53B2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16F9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人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9366BE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28F9E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4F7F37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名称：浙江海洋大学</w:t>
      </w:r>
    </w:p>
    <w:p w14:paraId="50B4645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地址：浙江省舟山市定海区临城街道长峙岛海大南1号海洋大学</w:t>
      </w:r>
    </w:p>
    <w:p w14:paraId="5E4AC7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项目联系人（询问）：肖老师</w:t>
      </w:r>
    </w:p>
    <w:p w14:paraId="56E6ADD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项目联系方式（询问）：0580-8180348</w:t>
      </w:r>
    </w:p>
    <w:p w14:paraId="68F20D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质疑联系人：陆老师</w:t>
      </w:r>
    </w:p>
    <w:p w14:paraId="1E53AA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质疑联系方式：0580-8180989</w:t>
      </w:r>
    </w:p>
    <w:p w14:paraId="461CB0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14:paraId="2B7741F4">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称：浙江科佳工程咨询有限公司</w:t>
      </w:r>
    </w:p>
    <w:p w14:paraId="47597B67">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址：浙江省杭州市上城区顺福商务中心3幢1001、1002、1003室</w:t>
      </w:r>
    </w:p>
    <w:p w14:paraId="73E8C1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项目联系人（询问）：吴金沛、余工</w:t>
      </w:r>
    </w:p>
    <w:p w14:paraId="0FABF31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项目联系方式（询问）：17815506260</w:t>
      </w:r>
    </w:p>
    <w:p w14:paraId="10F729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质疑联系人：沈工</w:t>
      </w:r>
    </w:p>
    <w:p w14:paraId="7EA03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质疑联系方式：19305817244</w:t>
      </w:r>
    </w:p>
    <w:p w14:paraId="4D3A77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3.同级政府采购监督管理部门</w:t>
      </w:r>
    </w:p>
    <w:p w14:paraId="08AEA1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称：浙江省政府采购行政裁决服务中心（杭州市上城区清泰街549号城建综合大楼11楼）</w:t>
      </w:r>
    </w:p>
    <w:p w14:paraId="4C5997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址：杭州市上城区清泰街549号城建综合大楼11楼 </w:t>
      </w:r>
    </w:p>
    <w:p w14:paraId="5DA2C4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7BB5B4E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人：匡老师</w:t>
      </w:r>
    </w:p>
    <w:p w14:paraId="6028A1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监督投诉电话：0571-87807798</w:t>
      </w:r>
    </w:p>
    <w:p w14:paraId="55E01EDA">
      <w:pPr>
        <w:snapToGrid w:val="0"/>
        <w:spacing w:line="360" w:lineRule="auto"/>
        <w:ind w:firstLine="480" w:firstLineChars="200"/>
        <w:rPr>
          <w:rFonts w:ascii="宋体" w:hAnsi="宋体" w:cs="宋体"/>
          <w:color w:val="auto"/>
          <w:sz w:val="24"/>
          <w:highlight w:val="none"/>
        </w:rPr>
      </w:pPr>
    </w:p>
    <w:p w14:paraId="6DC6E7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政策咨询：何一平、冯华，0571-87058424、87055741</w:t>
      </w:r>
    </w:p>
    <w:p w14:paraId="3DED07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预算金额未达100万元的采购项目，由采购人处理采购争议。</w:t>
      </w:r>
    </w:p>
    <w:p w14:paraId="23295C38">
      <w:pPr>
        <w:snapToGrid w:val="0"/>
        <w:spacing w:line="360" w:lineRule="auto"/>
        <w:ind w:firstLine="480" w:firstLineChars="200"/>
        <w:rPr>
          <w:rFonts w:ascii="宋体" w:hAnsi="宋体" w:cs="宋体"/>
          <w:color w:val="auto"/>
          <w:sz w:val="24"/>
          <w:highlight w:val="none"/>
        </w:rPr>
      </w:pPr>
    </w:p>
    <w:p w14:paraId="6FFB99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若对项目采购电子交易系统操作有疑问，可登录政采云（https://www.zcygov.cn/），点击右侧咨询小采，获取采小蜜智能服务管家帮助，或拨打政采云服务热线95763获取热线服务帮助。</w:t>
      </w:r>
    </w:p>
    <w:p w14:paraId="18D3DEA5">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CA问题联系电话（人工）：汇信CA 400-888-4636；天谷CA 400-087-8198。</w:t>
      </w:r>
      <w:r>
        <w:rPr>
          <w:rFonts w:hint="eastAsia" w:ascii="宋体" w:hAnsi="宋体" w:cs="宋体"/>
          <w:color w:val="auto"/>
          <w:highlight w:val="none"/>
        </w:rPr>
        <w:br w:type="page"/>
      </w:r>
    </w:p>
    <w:bookmarkEnd w:id="8"/>
    <w:bookmarkEnd w:id="9"/>
    <w:p w14:paraId="05244B06">
      <w:pPr>
        <w:pStyle w:val="2"/>
        <w:rPr>
          <w:rFonts w:ascii="宋体" w:hAnsi="宋体" w:cs="宋体"/>
          <w:color w:val="auto"/>
          <w:highlight w:val="none"/>
        </w:rPr>
      </w:pPr>
      <w:bookmarkStart w:id="12" w:name="_Toc28231"/>
      <w:r>
        <w:rPr>
          <w:rFonts w:hint="eastAsia" w:ascii="宋体" w:hAnsi="宋体" w:cs="宋体"/>
          <w:color w:val="auto"/>
          <w:highlight w:val="none"/>
        </w:rPr>
        <w:t>第二部分 投标人须知</w:t>
      </w:r>
      <w:bookmarkEnd w:id="12"/>
    </w:p>
    <w:p w14:paraId="5A39BC91">
      <w:pPr>
        <w:pStyle w:val="3"/>
        <w:jc w:val="center"/>
        <w:rPr>
          <w:rFonts w:cs="宋体"/>
          <w:color w:val="auto"/>
          <w:highlight w:val="none"/>
        </w:rPr>
      </w:pPr>
      <w:bookmarkStart w:id="13" w:name="_Toc269"/>
      <w:r>
        <w:rPr>
          <w:rFonts w:hint="eastAsia" w:cs="宋体"/>
          <w:color w:val="auto"/>
          <w:highlight w:val="none"/>
        </w:rPr>
        <w:t>前附表</w:t>
      </w:r>
      <w:bookmarkEnd w:id="13"/>
    </w:p>
    <w:tbl>
      <w:tblPr>
        <w:tblStyle w:val="6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17"/>
        <w:gridCol w:w="2107"/>
        <w:gridCol w:w="6972"/>
      </w:tblGrid>
      <w:tr w14:paraId="44D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366" w:type="pct"/>
          </w:tcPr>
          <w:p w14:paraId="063E9FC7">
            <w:pPr>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75" w:type="pct"/>
            <w:vAlign w:val="center"/>
          </w:tcPr>
          <w:p w14:paraId="100464AE">
            <w:pPr>
              <w:snapToGrid w:val="0"/>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3558" w:type="pct"/>
            <w:vAlign w:val="center"/>
          </w:tcPr>
          <w:p w14:paraId="6784FE22">
            <w:pPr>
              <w:snapToGrid w:val="0"/>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BD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366" w:type="pct"/>
            <w:vAlign w:val="center"/>
          </w:tcPr>
          <w:p w14:paraId="64F9ED8A">
            <w:pPr>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075" w:type="pct"/>
            <w:vAlign w:val="center"/>
          </w:tcPr>
          <w:p w14:paraId="7A4259B2">
            <w:pPr>
              <w:snapToGrid w:val="0"/>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3558" w:type="pct"/>
            <w:vAlign w:val="center"/>
          </w:tcPr>
          <w:p w14:paraId="3E3C7D0D">
            <w:pPr>
              <w:rPr>
                <w:rFonts w:ascii="宋体" w:hAnsi="宋体" w:cs="宋体"/>
                <w:color w:val="auto"/>
                <w:sz w:val="24"/>
                <w:highlight w:val="none"/>
              </w:rPr>
            </w:pPr>
            <w:r>
              <w:rPr>
                <w:rFonts w:hint="eastAsia" w:ascii="宋体" w:hAnsi="宋体" w:cs="宋体"/>
                <w:color w:val="auto"/>
                <w:sz w:val="24"/>
                <w:highlight w:val="none"/>
              </w:rPr>
              <w:t>标项一：货物类，核心产品：教练员站软件。</w:t>
            </w:r>
          </w:p>
          <w:p w14:paraId="6EF382A7">
            <w:pPr>
              <w:rPr>
                <w:rFonts w:ascii="宋体" w:hAnsi="宋体" w:cs="宋体"/>
                <w:color w:val="auto"/>
                <w:sz w:val="24"/>
                <w:highlight w:val="none"/>
              </w:rPr>
            </w:pPr>
            <w:r>
              <w:rPr>
                <w:rFonts w:hint="eastAsia" w:ascii="宋体" w:hAnsi="宋体" w:cs="宋体"/>
                <w:color w:val="auto"/>
                <w:sz w:val="24"/>
                <w:highlight w:val="none"/>
              </w:rPr>
              <w:t>标项二：货物类，核心产品：影像设备。</w:t>
            </w:r>
          </w:p>
        </w:tc>
      </w:tr>
      <w:tr w14:paraId="5340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66" w:type="pct"/>
            <w:vAlign w:val="center"/>
          </w:tcPr>
          <w:p w14:paraId="3A2ECA30">
            <w:pPr>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075" w:type="pct"/>
            <w:vAlign w:val="center"/>
          </w:tcPr>
          <w:p w14:paraId="7F2C5659">
            <w:pPr>
              <w:snapToGrid w:val="0"/>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3558" w:type="pct"/>
            <w:vAlign w:val="center"/>
          </w:tcPr>
          <w:tbl>
            <w:tblPr>
              <w:tblStyle w:val="66"/>
              <w:tblW w:w="6915" w:type="dxa"/>
              <w:jc w:val="center"/>
              <w:tblLayout w:type="autofit"/>
              <w:tblCellMar>
                <w:top w:w="0" w:type="dxa"/>
                <w:left w:w="108" w:type="dxa"/>
                <w:bottom w:w="0" w:type="dxa"/>
                <w:right w:w="108" w:type="dxa"/>
              </w:tblCellMar>
            </w:tblPr>
            <w:tblGrid>
              <w:gridCol w:w="803"/>
              <w:gridCol w:w="4040"/>
              <w:gridCol w:w="2072"/>
            </w:tblGrid>
            <w:tr w14:paraId="22861B54">
              <w:tblPrEx>
                <w:tblCellMar>
                  <w:top w:w="0" w:type="dxa"/>
                  <w:left w:w="108" w:type="dxa"/>
                  <w:bottom w:w="0" w:type="dxa"/>
                  <w:right w:w="108" w:type="dxa"/>
                </w:tblCellMar>
              </w:tblPrEx>
              <w:trPr>
                <w:trHeight w:val="567" w:hRule="atLeast"/>
                <w:jc w:val="center"/>
              </w:trPr>
              <w:tc>
                <w:tcPr>
                  <w:tcW w:w="581" w:type="pct"/>
                  <w:tcBorders>
                    <w:top w:val="single" w:color="000000" w:sz="4" w:space="0"/>
                    <w:left w:val="single" w:color="000000" w:sz="4" w:space="0"/>
                    <w:bottom w:val="single" w:color="000000" w:sz="4" w:space="0"/>
                    <w:right w:val="single" w:color="000000" w:sz="4" w:space="0"/>
                  </w:tcBorders>
                  <w:noWrap/>
                  <w:vAlign w:val="center"/>
                </w:tcPr>
                <w:p w14:paraId="28C2452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2921" w:type="pct"/>
                  <w:tcBorders>
                    <w:top w:val="single" w:color="000000" w:sz="4" w:space="0"/>
                    <w:left w:val="single" w:color="000000" w:sz="4" w:space="0"/>
                    <w:bottom w:val="single" w:color="000000" w:sz="4" w:space="0"/>
                    <w:right w:val="single" w:color="000000" w:sz="4" w:space="0"/>
                  </w:tcBorders>
                  <w:vAlign w:val="center"/>
                </w:tcPr>
                <w:p w14:paraId="5CEB524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标的</w:t>
                  </w:r>
                </w:p>
              </w:tc>
              <w:tc>
                <w:tcPr>
                  <w:tcW w:w="1496" w:type="pct"/>
                  <w:tcBorders>
                    <w:top w:val="single" w:color="000000" w:sz="4" w:space="0"/>
                    <w:left w:val="single" w:color="000000" w:sz="4" w:space="0"/>
                    <w:bottom w:val="single" w:color="000000" w:sz="4" w:space="0"/>
                    <w:right w:val="single" w:color="000000" w:sz="4" w:space="0"/>
                  </w:tcBorders>
                  <w:vAlign w:val="center"/>
                </w:tcPr>
                <w:p w14:paraId="4A635999">
                  <w:pPr>
                    <w:widowControl/>
                    <w:snapToGrid w:val="0"/>
                    <w:jc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所属行业</w:t>
                  </w:r>
                </w:p>
              </w:tc>
            </w:tr>
            <w:tr w14:paraId="5C8CB2D9">
              <w:tblPrEx>
                <w:tblCellMar>
                  <w:top w:w="0" w:type="dxa"/>
                  <w:left w:w="108" w:type="dxa"/>
                  <w:bottom w:w="0" w:type="dxa"/>
                  <w:right w:w="108" w:type="dxa"/>
                </w:tblCellMar>
              </w:tblPrEx>
              <w:trPr>
                <w:trHeight w:val="56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8E0A4F7">
                  <w:pPr>
                    <w:widowControl/>
                    <w:snapToGrid w:val="0"/>
                    <w:jc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标项一</w:t>
                  </w:r>
                </w:p>
              </w:tc>
            </w:tr>
            <w:tr w14:paraId="27B339E9">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37F">
                  <w:pPr>
                    <w:jc w:val="center"/>
                    <w:rPr>
                      <w:rFonts w:ascii="宋体" w:hAnsi="宋体" w:cs="宋体"/>
                      <w:color w:val="auto"/>
                      <w:sz w:val="24"/>
                      <w:highlight w:val="none"/>
                    </w:rPr>
                  </w:pPr>
                  <w:r>
                    <w:rPr>
                      <w:rFonts w:hint="eastAsia" w:ascii="宋体" w:hAnsi="宋体" w:cs="宋体"/>
                      <w:color w:val="auto"/>
                      <w:sz w:val="24"/>
                      <w:highlight w:val="none"/>
                    </w:rPr>
                    <w:t>1</w:t>
                  </w:r>
                </w:p>
              </w:tc>
              <w:tc>
                <w:tcPr>
                  <w:tcW w:w="2921" w:type="pct"/>
                  <w:tcBorders>
                    <w:top w:val="single" w:color="000000" w:sz="4" w:space="0"/>
                    <w:left w:val="single" w:color="000000" w:sz="4" w:space="0"/>
                    <w:bottom w:val="single" w:color="000000" w:sz="4" w:space="0"/>
                    <w:right w:val="nil"/>
                  </w:tcBorders>
                  <w:vAlign w:val="center"/>
                </w:tcPr>
                <w:p w14:paraId="09A1A66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教练员站软件</w:t>
                  </w:r>
                </w:p>
              </w:tc>
              <w:tc>
                <w:tcPr>
                  <w:tcW w:w="1496" w:type="pct"/>
                  <w:tcBorders>
                    <w:top w:val="single" w:color="000000" w:sz="4" w:space="0"/>
                    <w:left w:val="single" w:color="000000" w:sz="4" w:space="0"/>
                    <w:bottom w:val="single" w:color="000000" w:sz="4" w:space="0"/>
                    <w:right w:val="nil"/>
                  </w:tcBorders>
                  <w:vAlign w:val="center"/>
                </w:tcPr>
                <w:p w14:paraId="4AD712CD">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5F6FDDAC">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6D74">
                  <w:pPr>
                    <w:jc w:val="center"/>
                    <w:rPr>
                      <w:rFonts w:ascii="宋体" w:hAnsi="宋体" w:cs="宋体"/>
                      <w:color w:val="auto"/>
                      <w:sz w:val="24"/>
                      <w:highlight w:val="none"/>
                    </w:rPr>
                  </w:pPr>
                  <w:r>
                    <w:rPr>
                      <w:rFonts w:hint="eastAsia" w:ascii="宋体" w:hAnsi="宋体" w:cs="宋体"/>
                      <w:color w:val="auto"/>
                      <w:sz w:val="24"/>
                      <w:highlight w:val="none"/>
                    </w:rPr>
                    <w:t>2</w:t>
                  </w:r>
                </w:p>
              </w:tc>
              <w:tc>
                <w:tcPr>
                  <w:tcW w:w="2921" w:type="pct"/>
                  <w:tcBorders>
                    <w:top w:val="single" w:color="000000" w:sz="4" w:space="0"/>
                    <w:left w:val="single" w:color="000000" w:sz="4" w:space="0"/>
                    <w:bottom w:val="single" w:color="000000" w:sz="4" w:space="0"/>
                    <w:right w:val="nil"/>
                  </w:tcBorders>
                  <w:vAlign w:val="center"/>
                </w:tcPr>
                <w:p w14:paraId="5A006FE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三维视景软件</w:t>
                  </w:r>
                </w:p>
              </w:tc>
              <w:tc>
                <w:tcPr>
                  <w:tcW w:w="1496" w:type="pct"/>
                  <w:tcBorders>
                    <w:top w:val="single" w:color="000000" w:sz="4" w:space="0"/>
                    <w:left w:val="single" w:color="000000" w:sz="4" w:space="0"/>
                    <w:bottom w:val="single" w:color="000000" w:sz="4" w:space="0"/>
                    <w:right w:val="nil"/>
                  </w:tcBorders>
                  <w:vAlign w:val="center"/>
                </w:tcPr>
                <w:p w14:paraId="258B6AC3">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0933F868">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CBAA">
                  <w:pPr>
                    <w:jc w:val="center"/>
                    <w:rPr>
                      <w:rFonts w:ascii="宋体" w:hAnsi="宋体" w:cs="宋体"/>
                      <w:color w:val="auto"/>
                      <w:sz w:val="24"/>
                      <w:highlight w:val="none"/>
                    </w:rPr>
                  </w:pPr>
                  <w:r>
                    <w:rPr>
                      <w:rFonts w:hint="eastAsia" w:ascii="宋体" w:hAnsi="宋体" w:cs="宋体"/>
                      <w:color w:val="auto"/>
                      <w:sz w:val="24"/>
                      <w:highlight w:val="none"/>
                    </w:rPr>
                    <w:t>3</w:t>
                  </w:r>
                </w:p>
              </w:tc>
              <w:tc>
                <w:tcPr>
                  <w:tcW w:w="2921" w:type="pct"/>
                  <w:tcBorders>
                    <w:top w:val="single" w:color="000000" w:sz="4" w:space="0"/>
                    <w:left w:val="single" w:color="000000" w:sz="4" w:space="0"/>
                    <w:bottom w:val="single" w:color="000000" w:sz="4" w:space="0"/>
                    <w:right w:val="nil"/>
                  </w:tcBorders>
                  <w:vAlign w:val="center"/>
                </w:tcPr>
                <w:p w14:paraId="079F1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仿真控制单元</w:t>
                  </w:r>
                </w:p>
              </w:tc>
              <w:tc>
                <w:tcPr>
                  <w:tcW w:w="1496" w:type="pct"/>
                  <w:tcBorders>
                    <w:top w:val="single" w:color="000000" w:sz="4" w:space="0"/>
                    <w:left w:val="single" w:color="000000" w:sz="4" w:space="0"/>
                    <w:bottom w:val="single" w:color="000000" w:sz="4" w:space="0"/>
                    <w:right w:val="nil"/>
                  </w:tcBorders>
                  <w:vAlign w:val="center"/>
                </w:tcPr>
                <w:p w14:paraId="1D83ABC3">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1A68BE21">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096F">
                  <w:pPr>
                    <w:jc w:val="center"/>
                    <w:rPr>
                      <w:rFonts w:ascii="宋体" w:hAnsi="宋体" w:cs="宋体"/>
                      <w:color w:val="auto"/>
                      <w:sz w:val="24"/>
                      <w:highlight w:val="none"/>
                    </w:rPr>
                  </w:pPr>
                  <w:r>
                    <w:rPr>
                      <w:rFonts w:hint="eastAsia" w:ascii="宋体" w:hAnsi="宋体" w:cs="宋体"/>
                      <w:color w:val="auto"/>
                      <w:sz w:val="24"/>
                      <w:highlight w:val="none"/>
                    </w:rPr>
                    <w:t>4</w:t>
                  </w:r>
                </w:p>
              </w:tc>
              <w:tc>
                <w:tcPr>
                  <w:tcW w:w="2921" w:type="pct"/>
                  <w:tcBorders>
                    <w:top w:val="single" w:color="000000" w:sz="4" w:space="0"/>
                    <w:left w:val="single" w:color="000000" w:sz="4" w:space="0"/>
                    <w:bottom w:val="single" w:color="000000" w:sz="4" w:space="0"/>
                    <w:right w:val="nil"/>
                  </w:tcBorders>
                  <w:vAlign w:val="center"/>
                </w:tcPr>
                <w:p w14:paraId="2A6A901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船舶运动模型软件</w:t>
                  </w:r>
                </w:p>
              </w:tc>
              <w:tc>
                <w:tcPr>
                  <w:tcW w:w="1496" w:type="pct"/>
                  <w:tcBorders>
                    <w:top w:val="single" w:color="000000" w:sz="4" w:space="0"/>
                    <w:left w:val="single" w:color="000000" w:sz="4" w:space="0"/>
                    <w:bottom w:val="single" w:color="000000" w:sz="4" w:space="0"/>
                    <w:right w:val="nil"/>
                  </w:tcBorders>
                  <w:vAlign w:val="center"/>
                </w:tcPr>
                <w:p w14:paraId="1D9977A5">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4E9FEEB0">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76D8">
                  <w:pPr>
                    <w:jc w:val="center"/>
                    <w:rPr>
                      <w:rFonts w:ascii="宋体" w:hAnsi="宋体" w:cs="宋体"/>
                      <w:color w:val="auto"/>
                      <w:sz w:val="24"/>
                      <w:highlight w:val="none"/>
                    </w:rPr>
                  </w:pPr>
                  <w:r>
                    <w:rPr>
                      <w:rFonts w:hint="eastAsia" w:ascii="宋体" w:hAnsi="宋体" w:cs="宋体"/>
                      <w:color w:val="auto"/>
                      <w:sz w:val="24"/>
                      <w:highlight w:val="none"/>
                    </w:rPr>
                    <w:t>5</w:t>
                  </w:r>
                </w:p>
              </w:tc>
              <w:tc>
                <w:tcPr>
                  <w:tcW w:w="2921" w:type="pct"/>
                  <w:tcBorders>
                    <w:top w:val="single" w:color="000000" w:sz="4" w:space="0"/>
                    <w:left w:val="single" w:color="000000" w:sz="4" w:space="0"/>
                    <w:bottom w:val="single" w:color="000000" w:sz="4" w:space="0"/>
                    <w:right w:val="nil"/>
                  </w:tcBorders>
                  <w:vAlign w:val="center"/>
                </w:tcPr>
                <w:p w14:paraId="087E70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电子海图软件</w:t>
                  </w:r>
                </w:p>
              </w:tc>
              <w:tc>
                <w:tcPr>
                  <w:tcW w:w="1496" w:type="pct"/>
                  <w:tcBorders>
                    <w:top w:val="single" w:color="000000" w:sz="4" w:space="0"/>
                    <w:left w:val="single" w:color="000000" w:sz="4" w:space="0"/>
                    <w:bottom w:val="single" w:color="000000" w:sz="4" w:space="0"/>
                    <w:right w:val="nil"/>
                  </w:tcBorders>
                  <w:vAlign w:val="center"/>
                </w:tcPr>
                <w:p w14:paraId="730AC07F">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36298D1A">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3A4">
                  <w:pPr>
                    <w:jc w:val="center"/>
                    <w:rPr>
                      <w:rFonts w:ascii="宋体" w:hAnsi="宋体" w:cs="宋体"/>
                      <w:color w:val="auto"/>
                      <w:sz w:val="24"/>
                      <w:highlight w:val="none"/>
                    </w:rPr>
                  </w:pPr>
                  <w:r>
                    <w:rPr>
                      <w:rFonts w:hint="eastAsia" w:ascii="宋体" w:hAnsi="宋体" w:cs="宋体"/>
                      <w:color w:val="auto"/>
                      <w:sz w:val="24"/>
                      <w:highlight w:val="none"/>
                    </w:rPr>
                    <w:t>6</w:t>
                  </w:r>
                </w:p>
              </w:tc>
              <w:tc>
                <w:tcPr>
                  <w:tcW w:w="2921" w:type="pct"/>
                  <w:tcBorders>
                    <w:top w:val="single" w:color="000000" w:sz="4" w:space="0"/>
                    <w:left w:val="single" w:color="000000" w:sz="4" w:space="0"/>
                    <w:bottom w:val="single" w:color="000000" w:sz="4" w:space="0"/>
                    <w:right w:val="nil"/>
                  </w:tcBorders>
                  <w:vAlign w:val="center"/>
                </w:tcPr>
                <w:p w14:paraId="21E15E5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雷达软件</w:t>
                  </w:r>
                </w:p>
              </w:tc>
              <w:tc>
                <w:tcPr>
                  <w:tcW w:w="1496" w:type="pct"/>
                  <w:tcBorders>
                    <w:top w:val="single" w:color="000000" w:sz="4" w:space="0"/>
                    <w:left w:val="single" w:color="000000" w:sz="4" w:space="0"/>
                    <w:bottom w:val="single" w:color="000000" w:sz="4" w:space="0"/>
                    <w:right w:val="nil"/>
                  </w:tcBorders>
                  <w:vAlign w:val="center"/>
                </w:tcPr>
                <w:p w14:paraId="24BBC5D0">
                  <w:pPr>
                    <w:jc w:val="center"/>
                    <w:rPr>
                      <w:rFonts w:ascii="宋体" w:hAnsi="宋体" w:cs="宋体"/>
                      <w:color w:val="auto"/>
                      <w:sz w:val="24"/>
                      <w:highlight w:val="none"/>
                    </w:rPr>
                  </w:pPr>
                  <w:r>
                    <w:rPr>
                      <w:rFonts w:hint="eastAsia" w:ascii="宋体" w:hAnsi="宋体" w:cs="宋体"/>
                      <w:color w:val="auto"/>
                      <w:sz w:val="24"/>
                      <w:highlight w:val="none"/>
                    </w:rPr>
                    <w:t>软件和信息技术服务业</w:t>
                  </w:r>
                </w:p>
              </w:tc>
            </w:tr>
            <w:tr w14:paraId="39C622FF">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4294">
                  <w:pPr>
                    <w:jc w:val="center"/>
                    <w:rPr>
                      <w:rFonts w:ascii="宋体" w:hAnsi="宋体" w:cs="宋体"/>
                      <w:color w:val="auto"/>
                      <w:sz w:val="24"/>
                      <w:highlight w:val="none"/>
                    </w:rPr>
                  </w:pPr>
                  <w:r>
                    <w:rPr>
                      <w:rFonts w:hint="eastAsia" w:ascii="宋体" w:hAnsi="宋体" w:cs="宋体"/>
                      <w:color w:val="auto"/>
                      <w:sz w:val="24"/>
                      <w:highlight w:val="none"/>
                    </w:rPr>
                    <w:t>7</w:t>
                  </w:r>
                </w:p>
              </w:tc>
              <w:tc>
                <w:tcPr>
                  <w:tcW w:w="2921" w:type="pct"/>
                  <w:tcBorders>
                    <w:top w:val="single" w:color="000000" w:sz="4" w:space="0"/>
                    <w:left w:val="single" w:color="000000" w:sz="4" w:space="0"/>
                    <w:bottom w:val="single" w:color="000000" w:sz="4" w:space="0"/>
                    <w:right w:val="nil"/>
                  </w:tcBorders>
                  <w:vAlign w:val="center"/>
                </w:tcPr>
                <w:p w14:paraId="58C904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柱幕无缝拼接模块</w:t>
                  </w:r>
                </w:p>
              </w:tc>
              <w:tc>
                <w:tcPr>
                  <w:tcW w:w="1496" w:type="pct"/>
                  <w:tcBorders>
                    <w:top w:val="single" w:color="000000" w:sz="4" w:space="0"/>
                    <w:left w:val="single" w:color="000000" w:sz="4" w:space="0"/>
                    <w:bottom w:val="single" w:color="000000" w:sz="4" w:space="0"/>
                    <w:right w:val="nil"/>
                  </w:tcBorders>
                  <w:vAlign w:val="center"/>
                </w:tcPr>
                <w:p w14:paraId="03C5F2F2">
                  <w:pPr>
                    <w:jc w:val="center"/>
                    <w:rPr>
                      <w:rFonts w:ascii="宋体" w:hAnsi="宋体" w:cs="宋体"/>
                      <w:color w:val="auto"/>
                      <w:sz w:val="24"/>
                      <w:highlight w:val="none"/>
                    </w:rPr>
                  </w:pPr>
                  <w:r>
                    <w:rPr>
                      <w:rFonts w:hint="eastAsia" w:ascii="宋体" w:hAnsi="宋体" w:cs="宋体"/>
                      <w:color w:val="auto"/>
                      <w:sz w:val="24"/>
                      <w:highlight w:val="none"/>
                    </w:rPr>
                    <w:t>工业</w:t>
                  </w:r>
                </w:p>
              </w:tc>
            </w:tr>
            <w:tr w14:paraId="779031C2">
              <w:tblPrEx>
                <w:tblCellMar>
                  <w:top w:w="0" w:type="dxa"/>
                  <w:left w:w="108" w:type="dxa"/>
                  <w:bottom w:w="0" w:type="dxa"/>
                  <w:right w:w="108" w:type="dxa"/>
                </w:tblCellMar>
              </w:tblPrEx>
              <w:trPr>
                <w:trHeight w:val="622" w:hRule="atLeast"/>
                <w:jc w:val="center"/>
              </w:trPr>
              <w:tc>
                <w:tcPr>
                  <w:tcW w:w="5000" w:type="pct"/>
                  <w:gridSpan w:val="3"/>
                  <w:tcBorders>
                    <w:top w:val="single" w:color="000000" w:sz="4" w:space="0"/>
                    <w:left w:val="single" w:color="000000" w:sz="4" w:space="0"/>
                    <w:bottom w:val="single" w:color="000000" w:sz="4" w:space="0"/>
                    <w:right w:val="nil"/>
                  </w:tcBorders>
                  <w:shd w:val="clear" w:color="auto" w:fill="auto"/>
                  <w:noWrap/>
                  <w:vAlign w:val="center"/>
                </w:tcPr>
                <w:p w14:paraId="3A666536">
                  <w:pPr>
                    <w:jc w:val="center"/>
                    <w:rPr>
                      <w:rFonts w:ascii="宋体" w:hAnsi="宋体" w:cs="宋体"/>
                      <w:color w:val="auto"/>
                      <w:sz w:val="24"/>
                      <w:highlight w:val="none"/>
                    </w:rPr>
                  </w:pPr>
                  <w:r>
                    <w:rPr>
                      <w:rFonts w:hint="eastAsia" w:ascii="宋体" w:hAnsi="宋体" w:cs="宋体"/>
                      <w:b/>
                      <w:bCs/>
                      <w:color w:val="auto"/>
                      <w:sz w:val="24"/>
                      <w:highlight w:val="none"/>
                    </w:rPr>
                    <w:t>标项二</w:t>
                  </w:r>
                </w:p>
              </w:tc>
            </w:tr>
            <w:tr w14:paraId="0D950C7F">
              <w:tblPrEx>
                <w:tblCellMar>
                  <w:top w:w="0" w:type="dxa"/>
                  <w:left w:w="108" w:type="dxa"/>
                  <w:bottom w:w="0" w:type="dxa"/>
                  <w:right w:w="108" w:type="dxa"/>
                </w:tblCellMar>
              </w:tblPrEx>
              <w:trPr>
                <w:trHeight w:val="622"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E803">
                  <w:pPr>
                    <w:jc w:val="center"/>
                    <w:rPr>
                      <w:rFonts w:ascii="宋体" w:hAnsi="宋体" w:cs="宋体"/>
                      <w:color w:val="auto"/>
                      <w:sz w:val="24"/>
                      <w:highlight w:val="none"/>
                    </w:rPr>
                  </w:pPr>
                  <w:r>
                    <w:rPr>
                      <w:rFonts w:hint="eastAsia" w:ascii="宋体" w:hAnsi="宋体" w:cs="宋体"/>
                      <w:color w:val="auto"/>
                      <w:sz w:val="24"/>
                      <w:highlight w:val="none"/>
                    </w:rPr>
                    <w:t>1</w:t>
                  </w:r>
                </w:p>
              </w:tc>
              <w:tc>
                <w:tcPr>
                  <w:tcW w:w="2921" w:type="pct"/>
                  <w:tcBorders>
                    <w:top w:val="single" w:color="000000" w:sz="4" w:space="0"/>
                    <w:left w:val="single" w:color="000000" w:sz="4" w:space="0"/>
                    <w:bottom w:val="single" w:color="000000" w:sz="4" w:space="0"/>
                    <w:right w:val="nil"/>
                  </w:tcBorders>
                  <w:vAlign w:val="center"/>
                </w:tcPr>
                <w:p w14:paraId="2052ABE8">
                  <w:pPr>
                    <w:jc w:val="center"/>
                    <w:rPr>
                      <w:rFonts w:ascii="宋体" w:hAnsi="宋体" w:cs="宋体"/>
                      <w:color w:val="auto"/>
                      <w:sz w:val="24"/>
                      <w:highlight w:val="none"/>
                    </w:rPr>
                  </w:pPr>
                  <w:r>
                    <w:rPr>
                      <w:rFonts w:hint="eastAsia" w:ascii="宋体" w:hAnsi="宋体" w:cs="宋体"/>
                      <w:color w:val="auto"/>
                      <w:sz w:val="24"/>
                      <w:highlight w:val="none"/>
                    </w:rPr>
                    <w:t>影像设备</w:t>
                  </w:r>
                </w:p>
              </w:tc>
              <w:tc>
                <w:tcPr>
                  <w:tcW w:w="1496" w:type="pct"/>
                  <w:tcBorders>
                    <w:top w:val="single" w:color="000000" w:sz="4" w:space="0"/>
                    <w:left w:val="single" w:color="000000" w:sz="4" w:space="0"/>
                    <w:bottom w:val="single" w:color="000000" w:sz="4" w:space="0"/>
                    <w:right w:val="nil"/>
                  </w:tcBorders>
                  <w:vAlign w:val="center"/>
                </w:tcPr>
                <w:p w14:paraId="72610794">
                  <w:pPr>
                    <w:jc w:val="center"/>
                    <w:rPr>
                      <w:rFonts w:ascii="宋体" w:hAnsi="宋体" w:cs="宋体"/>
                      <w:color w:val="auto"/>
                      <w:sz w:val="24"/>
                      <w:highlight w:val="none"/>
                    </w:rPr>
                  </w:pPr>
                  <w:r>
                    <w:rPr>
                      <w:rFonts w:hint="eastAsia" w:ascii="宋体" w:hAnsi="宋体" w:cs="宋体"/>
                      <w:color w:val="auto"/>
                      <w:sz w:val="24"/>
                      <w:highlight w:val="none"/>
                    </w:rPr>
                    <w:t>工业</w:t>
                  </w:r>
                </w:p>
              </w:tc>
            </w:tr>
            <w:tr w14:paraId="4BB14F6B">
              <w:tblPrEx>
                <w:tblCellMar>
                  <w:top w:w="0" w:type="dxa"/>
                  <w:left w:w="108" w:type="dxa"/>
                  <w:bottom w:w="0" w:type="dxa"/>
                  <w:right w:w="108" w:type="dxa"/>
                </w:tblCellMar>
              </w:tblPrEx>
              <w:trPr>
                <w:trHeight w:val="567" w:hRule="atLeast"/>
                <w:jc w:val="center"/>
              </w:trPr>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FED6">
                  <w:pPr>
                    <w:jc w:val="center"/>
                    <w:rPr>
                      <w:rFonts w:ascii="宋体" w:hAnsi="宋体" w:cs="宋体"/>
                      <w:color w:val="auto"/>
                      <w:sz w:val="24"/>
                      <w:highlight w:val="none"/>
                    </w:rPr>
                  </w:pPr>
                  <w:r>
                    <w:rPr>
                      <w:rFonts w:hint="eastAsia" w:ascii="宋体" w:hAnsi="宋体" w:cs="宋体"/>
                      <w:color w:val="auto"/>
                      <w:sz w:val="24"/>
                      <w:highlight w:val="none"/>
                    </w:rPr>
                    <w:t>2</w:t>
                  </w:r>
                </w:p>
              </w:tc>
              <w:tc>
                <w:tcPr>
                  <w:tcW w:w="2921" w:type="pct"/>
                  <w:tcBorders>
                    <w:top w:val="single" w:color="000000" w:sz="4" w:space="0"/>
                    <w:left w:val="single" w:color="000000" w:sz="4" w:space="0"/>
                    <w:bottom w:val="single" w:color="000000" w:sz="4" w:space="0"/>
                    <w:right w:val="nil"/>
                  </w:tcBorders>
                  <w:vAlign w:val="center"/>
                </w:tcPr>
                <w:p w14:paraId="730B527E">
                  <w:pPr>
                    <w:jc w:val="center"/>
                    <w:rPr>
                      <w:rFonts w:ascii="宋体" w:hAnsi="宋体" w:cs="宋体"/>
                      <w:color w:val="auto"/>
                      <w:sz w:val="24"/>
                      <w:highlight w:val="none"/>
                    </w:rPr>
                  </w:pPr>
                  <w:r>
                    <w:rPr>
                      <w:rFonts w:hint="eastAsia" w:ascii="宋体" w:hAnsi="宋体" w:cs="宋体"/>
                      <w:color w:val="auto"/>
                      <w:sz w:val="24"/>
                      <w:highlight w:val="none"/>
                    </w:rPr>
                    <w:t>教学工作站</w:t>
                  </w:r>
                </w:p>
              </w:tc>
              <w:tc>
                <w:tcPr>
                  <w:tcW w:w="1496" w:type="pct"/>
                  <w:tcBorders>
                    <w:top w:val="single" w:color="000000" w:sz="4" w:space="0"/>
                    <w:left w:val="single" w:color="000000" w:sz="4" w:space="0"/>
                    <w:bottom w:val="single" w:color="000000" w:sz="4" w:space="0"/>
                    <w:right w:val="nil"/>
                  </w:tcBorders>
                  <w:vAlign w:val="center"/>
                </w:tcPr>
                <w:p w14:paraId="1755E1EF">
                  <w:pPr>
                    <w:jc w:val="center"/>
                    <w:rPr>
                      <w:rFonts w:ascii="宋体" w:hAnsi="宋体" w:cs="宋体"/>
                      <w:color w:val="auto"/>
                      <w:sz w:val="24"/>
                      <w:highlight w:val="none"/>
                    </w:rPr>
                  </w:pPr>
                  <w:r>
                    <w:rPr>
                      <w:rFonts w:hint="eastAsia" w:ascii="宋体" w:hAnsi="宋体" w:cs="宋体"/>
                      <w:color w:val="auto"/>
                      <w:sz w:val="24"/>
                      <w:highlight w:val="none"/>
                    </w:rPr>
                    <w:t>工业</w:t>
                  </w:r>
                </w:p>
              </w:tc>
            </w:tr>
          </w:tbl>
          <w:p w14:paraId="31216CF7">
            <w:pPr>
              <w:snapToGrid w:val="0"/>
              <w:rPr>
                <w:rFonts w:ascii="宋体" w:hAnsi="宋体" w:cs="宋体"/>
                <w:color w:val="auto"/>
                <w:kern w:val="0"/>
                <w:sz w:val="24"/>
                <w:highlight w:val="none"/>
              </w:rPr>
            </w:pPr>
            <w:r>
              <w:rPr>
                <w:rFonts w:hint="eastAsia" w:ascii="宋体" w:hAnsi="宋体" w:cs="宋体"/>
                <w:color w:val="auto"/>
                <w:kern w:val="0"/>
                <w:sz w:val="24"/>
                <w:highlight w:val="none"/>
              </w:rPr>
              <w:t>中小企业划型标准：详见《招标文件》第六部分 应提交的有关格式范例：</w:t>
            </w:r>
            <w:r>
              <w:rPr>
                <w:rFonts w:hint="eastAsia" w:ascii="宋体" w:hAnsi="宋体" w:cs="宋体"/>
                <w:b/>
                <w:bCs/>
                <w:color w:val="auto"/>
                <w:kern w:val="0"/>
                <w:sz w:val="24"/>
                <w:highlight w:val="none"/>
              </w:rPr>
              <w:t>各行业划型标准</w:t>
            </w:r>
            <w:r>
              <w:rPr>
                <w:rFonts w:hint="eastAsia" w:ascii="宋体" w:hAnsi="宋体" w:cs="宋体"/>
                <w:color w:val="auto"/>
                <w:kern w:val="0"/>
                <w:sz w:val="24"/>
                <w:highlight w:val="none"/>
              </w:rPr>
              <w:t>。</w:t>
            </w:r>
          </w:p>
          <w:p w14:paraId="1B8FBD5C">
            <w:pPr>
              <w:snapToGrid w:val="0"/>
              <w:rPr>
                <w:rFonts w:ascii="宋体" w:hAnsi="宋体" w:cs="宋体"/>
                <w:color w:val="auto"/>
                <w:kern w:val="0"/>
                <w:sz w:val="24"/>
                <w:highlight w:val="none"/>
              </w:rPr>
            </w:pPr>
            <w:r>
              <w:rPr>
                <w:rFonts w:hint="eastAsia" w:ascii="宋体" w:hAnsi="宋体" w:cs="宋体"/>
                <w:b/>
                <w:bCs/>
                <w:color w:val="auto"/>
                <w:kern w:val="0"/>
                <w:sz w:val="24"/>
                <w:highlight w:val="none"/>
              </w:rPr>
              <w:t>注：对于未预留份额专门面向中小企业的政府采购货物或服务项目，以及预留份额政府采购货物或服务项目中的非预留部分标项，对小型和微型企业的最后报价给予10%的扣除，用扣除后的价格参与评审。</w:t>
            </w:r>
          </w:p>
        </w:tc>
      </w:tr>
      <w:tr w14:paraId="67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66" w:type="pct"/>
            <w:shd w:val="clear" w:color="auto" w:fill="auto"/>
            <w:vAlign w:val="center"/>
          </w:tcPr>
          <w:p w14:paraId="2294EF85">
            <w:pPr>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075" w:type="pct"/>
            <w:vAlign w:val="center"/>
          </w:tcPr>
          <w:p w14:paraId="46E355C3">
            <w:pPr>
              <w:snapToGrid w:val="0"/>
              <w:jc w:val="center"/>
              <w:rPr>
                <w:rFonts w:ascii="宋体" w:hAnsi="宋体" w:cs="宋体"/>
                <w:b/>
                <w:color w:val="auto"/>
                <w:sz w:val="24"/>
                <w:highlight w:val="none"/>
              </w:rPr>
            </w:pPr>
            <w:r>
              <w:rPr>
                <w:rFonts w:hint="eastAsia" w:ascii="宋体" w:hAnsi="宋体" w:cs="宋体"/>
                <w:b/>
                <w:color w:val="auto"/>
                <w:sz w:val="24"/>
                <w:highlight w:val="none"/>
              </w:rPr>
              <w:t>支持本国产品</w:t>
            </w:r>
          </w:p>
        </w:tc>
        <w:tc>
          <w:tcPr>
            <w:tcW w:w="3558" w:type="pct"/>
            <w:vAlign w:val="center"/>
          </w:tcPr>
          <w:p w14:paraId="7995CC7A">
            <w:pPr>
              <w:snapToGrid w:val="0"/>
              <w:rPr>
                <w:rFonts w:ascii="宋体" w:hAnsi="宋体" w:cs="宋体"/>
                <w:color w:val="auto"/>
                <w:kern w:val="0"/>
                <w:sz w:val="24"/>
                <w:highlight w:val="none"/>
              </w:rPr>
            </w:pPr>
            <w:r>
              <w:rPr>
                <w:rFonts w:hint="eastAsia" w:ascii="宋体" w:hAnsi="宋体" w:cs="宋体"/>
                <w:color w:val="auto"/>
                <w:kern w:val="0"/>
                <w:sz w:val="24"/>
                <w:highlight w:val="none"/>
              </w:rPr>
              <w:t>本国产品标准的适用范围</w:t>
            </w:r>
          </w:p>
          <w:p w14:paraId="2A37C277">
            <w:pPr>
              <w:snapToGrid w:val="0"/>
              <w:rPr>
                <w:rFonts w:ascii="宋体" w:hAnsi="宋体" w:cs="宋体"/>
                <w:color w:val="auto"/>
                <w:kern w:val="0"/>
                <w:sz w:val="24"/>
                <w:highlight w:val="none"/>
              </w:rPr>
            </w:pPr>
            <w:r>
              <w:rPr>
                <w:rFonts w:hint="eastAsia" w:ascii="宋体" w:hAnsi="宋体" w:cs="宋体"/>
                <w:color w:val="auto"/>
                <w:kern w:val="0"/>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167DF6">
            <w:pPr>
              <w:snapToGrid w:val="0"/>
              <w:rPr>
                <w:rFonts w:ascii="宋体" w:hAnsi="宋体" w:cs="宋体"/>
                <w:color w:val="auto"/>
                <w:kern w:val="0"/>
                <w:sz w:val="24"/>
                <w:highlight w:val="none"/>
              </w:rPr>
            </w:pPr>
            <w:r>
              <w:rPr>
                <w:rFonts w:hint="eastAsia" w:ascii="宋体" w:hAnsi="宋体" w:cs="宋体"/>
                <w:color w:val="auto"/>
                <w:kern w:val="0"/>
                <w:sz w:val="24"/>
                <w:highlight w:val="none"/>
              </w:rPr>
              <w:t>（1）政府采购活动中既有本国产品又有非本国产品参与竞争的，依法对本国产品的报价给予20%的价格扣除，用扣除后的价格参与评审。评审活动应贯彻落实对本国产品的评审价格扣除优惠；</w:t>
            </w:r>
          </w:p>
          <w:p w14:paraId="43246EA3">
            <w:pPr>
              <w:snapToGrid w:val="0"/>
              <w:rPr>
                <w:rFonts w:ascii="宋体" w:hAnsi="宋体" w:cs="宋体"/>
                <w:color w:val="auto"/>
                <w:kern w:val="0"/>
                <w:sz w:val="24"/>
                <w:highlight w:val="none"/>
              </w:rPr>
            </w:pPr>
            <w:r>
              <w:rPr>
                <w:rFonts w:hint="eastAsia" w:ascii="宋体" w:hAnsi="宋体" w:cs="宋体"/>
                <w:color w:val="auto"/>
                <w:kern w:val="0"/>
                <w:sz w:val="24"/>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多产品，除提供《关于符合本国产品标准的声明函》或财政部会同有关部门规定的有关证明文件以外，还须要供应商在投标响应文件中承诺成本之和达到80%（提供承诺成本之和达到80%的承诺书）。无承诺或者承诺占比无法达标则不享受政策。）</w:t>
            </w:r>
          </w:p>
          <w:p w14:paraId="315BFCFB">
            <w:pPr>
              <w:snapToGrid w:val="0"/>
              <w:rPr>
                <w:rFonts w:ascii="宋体" w:hAnsi="宋体" w:cs="宋体"/>
                <w:b/>
                <w:bCs/>
                <w:color w:val="auto"/>
                <w:kern w:val="0"/>
                <w:sz w:val="24"/>
                <w:highlight w:val="none"/>
              </w:rPr>
            </w:pPr>
            <w:r>
              <w:rPr>
                <w:rFonts w:hint="eastAsia" w:ascii="宋体" w:hAnsi="宋体" w:cs="宋体"/>
                <w:color w:val="auto"/>
                <w:kern w:val="0"/>
                <w:sz w:val="24"/>
                <w:highlight w:val="none"/>
              </w:rPr>
              <w:t>说明：本国产品除了享受20%的价格扣除外，还可以叠加小微企业的价格扣除优惠。即商品报价*（小微企业扣除率+本国产品扣除率）</w:t>
            </w:r>
          </w:p>
        </w:tc>
      </w:tr>
      <w:tr w14:paraId="336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366" w:type="pct"/>
            <w:shd w:val="clear" w:color="auto" w:fill="auto"/>
            <w:vAlign w:val="center"/>
          </w:tcPr>
          <w:p w14:paraId="5C3E7C32">
            <w:pPr>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1075" w:type="pct"/>
            <w:vAlign w:val="center"/>
          </w:tcPr>
          <w:p w14:paraId="011CED24">
            <w:pPr>
              <w:snapToGrid w:val="0"/>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3558" w:type="pct"/>
            <w:vAlign w:val="center"/>
          </w:tcPr>
          <w:p w14:paraId="24714A09">
            <w:pPr>
              <w:rPr>
                <w:rFonts w:ascii="宋体" w:hAnsi="宋体" w:cs="宋体"/>
                <w:color w:val="auto"/>
                <w:kern w:val="0"/>
                <w:sz w:val="24"/>
                <w:highlight w:val="none"/>
              </w:rPr>
            </w:pPr>
            <w:sdt>
              <w:sdtPr>
                <w:rPr>
                  <w:rFonts w:hint="eastAsia" w:ascii="宋体" w:hAnsi="宋体" w:cs="宋体"/>
                  <w:color w:val="auto"/>
                  <w:kern w:val="0"/>
                  <w:sz w:val="24"/>
                  <w:highlight w:val="none"/>
                </w:rPr>
                <w:id w:val="100182911"/>
              </w:sdtPr>
              <w:sdtEndPr>
                <w:rPr>
                  <w:rFonts w:hint="eastAsia" w:ascii="宋体" w:hAnsi="宋体" w:cs="宋体"/>
                  <w:color w:val="auto"/>
                  <w:kern w:val="0"/>
                  <w:sz w:val="24"/>
                  <w:highlight w:val="none"/>
                </w:rPr>
              </w:sdtEndPr>
              <w:sdtContent>
                <w:sdt>
                  <w:sdtPr>
                    <w:rPr>
                      <w:rFonts w:hint="eastAsia" w:ascii="宋体" w:hAnsi="宋体" w:cs="宋体"/>
                      <w:color w:val="auto"/>
                      <w:kern w:val="0"/>
                      <w:sz w:val="24"/>
                      <w:highlight w:val="none"/>
                    </w:rPr>
                    <w:id w:val="14745437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FE"/>
                    </w:r>
                  </w:sdtContent>
                </w:sdt>
              </w:sdtContent>
            </w:sdt>
            <w:r>
              <w:rPr>
                <w:rFonts w:hint="eastAsia" w:ascii="宋体" w:hAnsi="宋体" w:cs="宋体"/>
                <w:color w:val="auto"/>
                <w:kern w:val="0"/>
                <w:sz w:val="24"/>
                <w:highlight w:val="none"/>
              </w:rPr>
              <w:t>本项目不允许采购进口产品。</w:t>
            </w:r>
          </w:p>
        </w:tc>
      </w:tr>
      <w:tr w14:paraId="5E58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366" w:type="pct"/>
            <w:shd w:val="clear" w:color="auto" w:fill="auto"/>
            <w:vAlign w:val="center"/>
          </w:tcPr>
          <w:p w14:paraId="09B4F1DC">
            <w:pPr>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1075" w:type="pct"/>
            <w:vAlign w:val="center"/>
          </w:tcPr>
          <w:p w14:paraId="28E94003">
            <w:pPr>
              <w:snapToGrid w:val="0"/>
              <w:jc w:val="center"/>
              <w:rPr>
                <w:rFonts w:ascii="宋体" w:hAnsi="宋体" w:cs="宋体"/>
                <w:b/>
                <w:color w:val="auto"/>
                <w:sz w:val="24"/>
                <w:highlight w:val="none"/>
              </w:rPr>
            </w:pPr>
            <w:r>
              <w:rPr>
                <w:rFonts w:hint="eastAsia" w:ascii="宋体" w:hAnsi="宋体" w:cs="宋体"/>
                <w:b/>
                <w:color w:val="auto"/>
                <w:sz w:val="24"/>
                <w:highlight w:val="none"/>
              </w:rPr>
              <w:t>转包、分包</w:t>
            </w:r>
          </w:p>
        </w:tc>
        <w:tc>
          <w:tcPr>
            <w:tcW w:w="3558" w:type="pct"/>
            <w:vAlign w:val="center"/>
          </w:tcPr>
          <w:p w14:paraId="20AC97A7">
            <w:pPr>
              <w:rPr>
                <w:rFonts w:ascii="宋体" w:hAnsi="宋体" w:cs="宋体"/>
                <w:color w:val="auto"/>
                <w:kern w:val="0"/>
                <w:sz w:val="24"/>
                <w:highlight w:val="none"/>
              </w:rPr>
            </w:pPr>
            <w:r>
              <w:rPr>
                <w:rFonts w:hint="eastAsia" w:ascii="宋体" w:hAnsi="宋体" w:cs="宋体"/>
                <w:color w:val="auto"/>
                <w:kern w:val="0"/>
                <w:sz w:val="24"/>
                <w:highlight w:val="none"/>
              </w:rPr>
              <w:t>转包：否</w:t>
            </w:r>
          </w:p>
          <w:p w14:paraId="1DAE51B9">
            <w:pPr>
              <w:rPr>
                <w:rFonts w:ascii="宋体" w:hAnsi="宋体" w:cs="宋体"/>
                <w:color w:val="auto"/>
                <w:sz w:val="24"/>
                <w:highlight w:val="none"/>
              </w:rPr>
            </w:pPr>
            <w:r>
              <w:rPr>
                <w:rFonts w:hint="eastAsia" w:ascii="宋体" w:hAnsi="宋体" w:cs="宋体"/>
                <w:color w:val="auto"/>
                <w:kern w:val="0"/>
                <w:sz w:val="24"/>
                <w:highlight w:val="none"/>
              </w:rPr>
              <w:t>分包：</w:t>
            </w:r>
            <w:sdt>
              <w:sdtPr>
                <w:rPr>
                  <w:rFonts w:hint="eastAsia" w:ascii="宋体" w:hAnsi="宋体" w:cs="宋体"/>
                  <w:color w:val="auto"/>
                  <w:kern w:val="0"/>
                  <w:sz w:val="24"/>
                  <w:highlight w:val="none"/>
                </w:rPr>
                <w:id w:val="737348981"/>
              </w:sdtPr>
              <w:sdtEndPr>
                <w:rPr>
                  <w:rFonts w:hint="eastAsia" w:ascii="宋体" w:hAnsi="宋体" w:cs="宋体"/>
                  <w:color w:val="auto"/>
                  <w:kern w:val="0"/>
                  <w:sz w:val="24"/>
                  <w:highlight w:val="none"/>
                </w:rPr>
              </w:sdtEndPr>
              <w:sdtContent>
                <w:sdt>
                  <w:sdtPr>
                    <w:rPr>
                      <w:rFonts w:hint="eastAsia" w:ascii="宋体" w:hAnsi="宋体" w:cs="宋体"/>
                      <w:color w:val="auto"/>
                      <w:kern w:val="0"/>
                      <w:sz w:val="24"/>
                      <w:highlight w:val="none"/>
                    </w:rPr>
                    <w:id w:val="1474823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FE"/>
                    </w:r>
                  </w:sdtContent>
                </w:sdt>
              </w:sdtContent>
            </w:sdt>
            <w:r>
              <w:rPr>
                <w:rFonts w:hint="eastAsia" w:ascii="宋体" w:hAnsi="宋体" w:cs="宋体"/>
                <w:color w:val="auto"/>
                <w:sz w:val="24"/>
                <w:highlight w:val="none"/>
              </w:rPr>
              <w:t>同意将本项目非主体、非关键性的</w:t>
            </w:r>
            <w:r>
              <w:rPr>
                <w:rFonts w:hint="eastAsia" w:ascii="宋体" w:hAnsi="宋体" w:cs="宋体"/>
                <w:color w:val="auto"/>
                <w:sz w:val="24"/>
                <w:highlight w:val="none"/>
                <w:u w:val="single"/>
              </w:rPr>
              <w:t xml:space="preserve"> 运输 </w:t>
            </w:r>
            <w:r>
              <w:rPr>
                <w:rFonts w:hint="eastAsia" w:ascii="宋体" w:hAnsi="宋体" w:cs="宋体"/>
                <w:color w:val="auto"/>
                <w:sz w:val="24"/>
                <w:highlight w:val="none"/>
              </w:rPr>
              <w:t>部分进行合理分包。</w:t>
            </w:r>
          </w:p>
        </w:tc>
      </w:tr>
      <w:tr w14:paraId="237A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2" w:hRule="atLeast"/>
          <w:jc w:val="center"/>
        </w:trPr>
        <w:tc>
          <w:tcPr>
            <w:tcW w:w="366" w:type="pct"/>
            <w:shd w:val="clear" w:color="auto" w:fill="auto"/>
            <w:vAlign w:val="center"/>
          </w:tcPr>
          <w:p w14:paraId="535A86BF">
            <w:pPr>
              <w:snapToGrid w:val="0"/>
              <w:jc w:val="center"/>
              <w:rPr>
                <w:rFonts w:ascii="宋体" w:hAnsi="宋体" w:cs="宋体"/>
                <w:color w:val="auto"/>
                <w:sz w:val="24"/>
                <w:highlight w:val="none"/>
              </w:rPr>
            </w:pPr>
            <w:r>
              <w:rPr>
                <w:rFonts w:hint="eastAsia" w:ascii="宋体" w:hAnsi="宋体" w:cs="宋体"/>
                <w:color w:val="auto"/>
                <w:sz w:val="24"/>
                <w:highlight w:val="none"/>
              </w:rPr>
              <w:t>6</w:t>
            </w:r>
          </w:p>
        </w:tc>
        <w:tc>
          <w:tcPr>
            <w:tcW w:w="1075" w:type="pct"/>
            <w:vAlign w:val="center"/>
          </w:tcPr>
          <w:p w14:paraId="1918DE87">
            <w:pPr>
              <w:snapToGrid w:val="0"/>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3558" w:type="pct"/>
            <w:vAlign w:val="center"/>
          </w:tcPr>
          <w:p w14:paraId="0F20DAAB">
            <w:pPr>
              <w:rPr>
                <w:rFonts w:ascii="宋体" w:hAnsi="宋体" w:cs="宋体"/>
                <w:color w:val="auto"/>
                <w:sz w:val="24"/>
                <w:highlight w:val="none"/>
              </w:rPr>
            </w:pPr>
            <w:sdt>
              <w:sdtPr>
                <w:rPr>
                  <w:rFonts w:hint="eastAsia" w:ascii="宋体" w:hAnsi="宋体" w:cs="宋体"/>
                  <w:color w:val="auto"/>
                  <w:kern w:val="0"/>
                  <w:sz w:val="24"/>
                  <w:highlight w:val="none"/>
                </w:rPr>
                <w:id w:val="415589095"/>
              </w:sdtPr>
              <w:sdtEndPr>
                <w:rPr>
                  <w:rFonts w:hint="eastAsia" w:ascii="宋体" w:hAnsi="宋体" w:cs="宋体"/>
                  <w:color w:val="auto"/>
                  <w:kern w:val="0"/>
                  <w:sz w:val="24"/>
                  <w:highlight w:val="none"/>
                </w:rPr>
              </w:sdtEndPr>
              <w:sdtContent>
                <w:sdt>
                  <w:sdtPr>
                    <w:rPr>
                      <w:rFonts w:hint="eastAsia" w:ascii="宋体" w:hAnsi="宋体" w:cs="宋体"/>
                      <w:color w:val="auto"/>
                      <w:kern w:val="0"/>
                      <w:sz w:val="24"/>
                      <w:highlight w:val="none"/>
                    </w:rPr>
                    <w:id w:val="14746962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FE"/>
                    </w:r>
                  </w:sdtContent>
                </w:sdt>
              </w:sdtContent>
            </w:sdt>
            <w:r>
              <w:rPr>
                <w:rFonts w:hint="eastAsia" w:ascii="宋体" w:hAnsi="宋体" w:cs="宋体"/>
                <w:color w:val="auto"/>
                <w:sz w:val="24"/>
                <w:highlight w:val="none"/>
              </w:rPr>
              <w:t>不组织。</w:t>
            </w:r>
          </w:p>
        </w:tc>
      </w:tr>
      <w:tr w14:paraId="1F80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366" w:type="pct"/>
            <w:shd w:val="clear" w:color="auto" w:fill="auto"/>
            <w:vAlign w:val="center"/>
          </w:tcPr>
          <w:p w14:paraId="2A11F392">
            <w:pPr>
              <w:snapToGrid w:val="0"/>
              <w:jc w:val="center"/>
              <w:rPr>
                <w:rFonts w:ascii="宋体" w:hAnsi="宋体" w:cs="宋体"/>
                <w:color w:val="auto"/>
                <w:sz w:val="24"/>
                <w:highlight w:val="none"/>
              </w:rPr>
            </w:pPr>
            <w:r>
              <w:rPr>
                <w:rFonts w:hint="eastAsia" w:ascii="宋体" w:hAnsi="宋体" w:cs="宋体"/>
                <w:color w:val="auto"/>
                <w:sz w:val="24"/>
                <w:highlight w:val="none"/>
              </w:rPr>
              <w:t>7</w:t>
            </w:r>
          </w:p>
        </w:tc>
        <w:tc>
          <w:tcPr>
            <w:tcW w:w="1075" w:type="pct"/>
            <w:vAlign w:val="center"/>
          </w:tcPr>
          <w:p w14:paraId="4E8E5212">
            <w:pPr>
              <w:snapToGrid w:val="0"/>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3558" w:type="pct"/>
            <w:vAlign w:val="center"/>
          </w:tcPr>
          <w:p w14:paraId="2A52AEDB">
            <w:pPr>
              <w:rPr>
                <w:rFonts w:ascii="宋体" w:hAnsi="宋体" w:cs="宋体"/>
                <w:b/>
                <w:color w:val="auto"/>
                <w:sz w:val="24"/>
                <w:highlight w:val="none"/>
              </w:rPr>
            </w:pPr>
            <w:sdt>
              <w:sdtPr>
                <w:rPr>
                  <w:rFonts w:hint="eastAsia" w:ascii="宋体" w:hAnsi="宋体" w:cs="宋体"/>
                  <w:color w:val="auto"/>
                  <w:kern w:val="0"/>
                  <w:sz w:val="24"/>
                  <w:highlight w:val="none"/>
                </w:rPr>
                <w:id w:val="71451116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不</w:t>
                </w:r>
              </w:sdtContent>
            </w:sdt>
            <w:r>
              <w:rPr>
                <w:rFonts w:hint="eastAsia" w:ascii="宋体" w:hAnsi="宋体" w:cs="宋体"/>
                <w:color w:val="auto"/>
                <w:sz w:val="24"/>
                <w:highlight w:val="none"/>
              </w:rPr>
              <w:t>要求提供。</w:t>
            </w:r>
          </w:p>
        </w:tc>
      </w:tr>
      <w:tr w14:paraId="3CD2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366" w:type="pct"/>
            <w:shd w:val="clear" w:color="auto" w:fill="auto"/>
            <w:vAlign w:val="center"/>
          </w:tcPr>
          <w:p w14:paraId="612CFA88">
            <w:pPr>
              <w:snapToGrid w:val="0"/>
              <w:jc w:val="center"/>
              <w:rPr>
                <w:rFonts w:ascii="宋体" w:hAnsi="宋体" w:cs="宋体"/>
                <w:color w:val="auto"/>
                <w:sz w:val="24"/>
                <w:highlight w:val="none"/>
              </w:rPr>
            </w:pPr>
            <w:r>
              <w:rPr>
                <w:rFonts w:hint="eastAsia" w:ascii="宋体" w:hAnsi="宋体" w:cs="宋体"/>
                <w:color w:val="auto"/>
                <w:sz w:val="24"/>
                <w:highlight w:val="none"/>
              </w:rPr>
              <w:t>8</w:t>
            </w:r>
          </w:p>
        </w:tc>
        <w:tc>
          <w:tcPr>
            <w:tcW w:w="1075" w:type="pct"/>
            <w:vAlign w:val="center"/>
          </w:tcPr>
          <w:p w14:paraId="3409D094">
            <w:pPr>
              <w:snapToGrid w:val="0"/>
              <w:jc w:val="center"/>
              <w:rPr>
                <w:rFonts w:ascii="宋体" w:hAnsi="宋体" w:cs="宋体"/>
                <w:bCs/>
                <w:color w:val="auto"/>
                <w:sz w:val="24"/>
                <w:highlight w:val="none"/>
              </w:rPr>
            </w:pPr>
            <w:r>
              <w:rPr>
                <w:rFonts w:hint="eastAsia" w:ascii="宋体" w:hAnsi="宋体" w:cs="宋体"/>
                <w:b/>
                <w:color w:val="auto"/>
                <w:sz w:val="24"/>
                <w:highlight w:val="none"/>
              </w:rPr>
              <w:t>演示</w:t>
            </w:r>
          </w:p>
        </w:tc>
        <w:tc>
          <w:tcPr>
            <w:tcW w:w="3558" w:type="pct"/>
            <w:vAlign w:val="center"/>
          </w:tcPr>
          <w:p w14:paraId="39710647">
            <w:pPr>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00FE"/>
                </w:r>
              </w:sdtContent>
            </w:sdt>
            <w:r>
              <w:rPr>
                <w:rFonts w:hint="eastAsia" w:ascii="宋体" w:hAnsi="宋体" w:cs="宋体"/>
                <w:color w:val="auto"/>
                <w:kern w:val="0"/>
                <w:sz w:val="24"/>
                <w:highlight w:val="none"/>
              </w:rPr>
              <w:t>组织。</w:t>
            </w:r>
          </w:p>
          <w:p w14:paraId="4CC50BCC">
            <w:pPr>
              <w:rPr>
                <w:rFonts w:ascii="宋体" w:hAnsi="宋体" w:cs="宋体"/>
                <w:b/>
                <w:color w:val="auto"/>
                <w:kern w:val="0"/>
                <w:sz w:val="24"/>
                <w:highlight w:val="none"/>
              </w:rPr>
            </w:pPr>
            <w:r>
              <w:rPr>
                <w:rFonts w:hint="eastAsia" w:ascii="宋体" w:hAnsi="宋体" w:cs="宋体"/>
                <w:b/>
                <w:color w:val="auto"/>
                <w:kern w:val="0"/>
                <w:sz w:val="24"/>
                <w:highlight w:val="none"/>
              </w:rPr>
              <w:t>（1）在评审时安排每个供应商进行视频演示。每个供应商时间不超过</w:t>
            </w:r>
            <w:r>
              <w:rPr>
                <w:rFonts w:hint="eastAsia" w:ascii="宋体" w:hAnsi="宋体" w:cs="宋体"/>
                <w:b/>
                <w:color w:val="auto"/>
                <w:kern w:val="0"/>
                <w:sz w:val="24"/>
                <w:highlight w:val="none"/>
              </w:rPr>
              <w:t>15分钟</w:t>
            </w:r>
            <w:r>
              <w:rPr>
                <w:rFonts w:hint="eastAsia" w:ascii="宋体" w:hAnsi="宋体" w:cs="宋体"/>
                <w:b/>
                <w:color w:val="auto"/>
                <w:kern w:val="0"/>
                <w:sz w:val="24"/>
                <w:highlight w:val="none"/>
              </w:rPr>
              <w:t>，演示以响应文件解密时间先后次序为准，演示内容详见评分标准。</w:t>
            </w:r>
          </w:p>
          <w:p w14:paraId="1E6FA7F3">
            <w:pPr>
              <w:rPr>
                <w:rFonts w:ascii="宋体" w:hAnsi="宋体" w:cs="宋体"/>
                <w:b/>
                <w:color w:val="auto"/>
                <w:kern w:val="0"/>
                <w:sz w:val="24"/>
                <w:highlight w:val="none"/>
              </w:rPr>
            </w:pPr>
            <w:r>
              <w:rPr>
                <w:rFonts w:hint="eastAsia" w:ascii="宋体" w:hAnsi="宋体" w:cs="宋体"/>
                <w:b/>
                <w:color w:val="auto"/>
                <w:kern w:val="0"/>
                <w:sz w:val="24"/>
                <w:highlight w:val="none"/>
              </w:rPr>
              <w:t>（2）演示方式：</w:t>
            </w:r>
          </w:p>
          <w:p w14:paraId="1C8DC288">
            <w:pPr>
              <w:rPr>
                <w:rFonts w:ascii="宋体" w:hAnsi="宋体" w:cs="宋体"/>
                <w:b/>
                <w:color w:val="auto"/>
                <w:kern w:val="0"/>
                <w:sz w:val="24"/>
                <w:highlight w:val="none"/>
              </w:rPr>
            </w:pPr>
            <w:r>
              <w:rPr>
                <w:rFonts w:hint="eastAsia" w:ascii="宋体" w:hAnsi="宋体" w:cs="宋体"/>
                <w:b/>
                <w:color w:val="auto"/>
                <w:kern w:val="0"/>
                <w:sz w:val="24"/>
                <w:highlight w:val="none"/>
              </w:rPr>
              <w:t>投标人自备演示环境，</w:t>
            </w:r>
            <w:r>
              <w:rPr>
                <w:rFonts w:hint="eastAsia" w:ascii="宋体" w:hAnsi="宋体" w:cs="宋体"/>
                <w:b/>
                <w:color w:val="auto"/>
                <w:kern w:val="0"/>
                <w:sz w:val="24"/>
                <w:highlight w:val="none"/>
                <w:lang w:val="en-US" w:eastAsia="zh-CN"/>
              </w:rPr>
              <w:t>将</w:t>
            </w:r>
            <w:r>
              <w:rPr>
                <w:rFonts w:hint="eastAsia" w:ascii="宋体" w:hAnsi="宋体" w:cs="宋体"/>
                <w:b/>
                <w:color w:val="auto"/>
                <w:kern w:val="0"/>
                <w:sz w:val="24"/>
                <w:highlight w:val="none"/>
              </w:rPr>
              <w:t>系统演示及讲解过程录制为视频，该录制视频演示时长不超过15分钟，以mp4格式存储于U盘。演示视频可以EMS或顺丰邮寄形式在投标截止时间前递交，</w:t>
            </w:r>
            <w:r>
              <w:rPr>
                <w:rFonts w:hint="eastAsia" w:ascii="宋体" w:hAnsi="宋体" w:cs="宋体"/>
                <w:b/>
                <w:color w:val="auto"/>
                <w:kern w:val="0"/>
                <w:sz w:val="24"/>
                <w:highlight w:val="none"/>
              </w:rPr>
              <w:t>邮寄信息：浙江省杭州市上城区顺福商务中心3幢10楼</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吴金沛/17815506260。</w:t>
            </w:r>
          </w:p>
          <w:p w14:paraId="3D7199B4">
            <w:pPr>
              <w:rPr>
                <w:rFonts w:ascii="宋体" w:hAnsi="宋体" w:cs="宋体"/>
                <w:b/>
                <w:color w:val="auto"/>
                <w:kern w:val="0"/>
                <w:sz w:val="24"/>
                <w:highlight w:val="none"/>
              </w:rPr>
            </w:pPr>
            <w:r>
              <w:rPr>
                <w:rFonts w:hint="eastAsia" w:ascii="宋体" w:hAnsi="宋体" w:cs="宋体"/>
                <w:b/>
                <w:color w:val="auto"/>
                <w:kern w:val="0"/>
                <w:sz w:val="24"/>
                <w:highlight w:val="none"/>
              </w:rPr>
              <w:t>注：因供应商自身原因导致无法演示或者演示效果不理想的，责任自负。</w:t>
            </w:r>
          </w:p>
        </w:tc>
      </w:tr>
      <w:tr w14:paraId="186D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366" w:type="pct"/>
            <w:vMerge w:val="restart"/>
            <w:vAlign w:val="center"/>
          </w:tcPr>
          <w:p w14:paraId="7E01FF79">
            <w:pPr>
              <w:snapToGrid w:val="0"/>
              <w:jc w:val="center"/>
              <w:rPr>
                <w:rFonts w:ascii="宋体" w:hAnsi="宋体" w:cs="宋体"/>
                <w:color w:val="auto"/>
                <w:sz w:val="24"/>
                <w:highlight w:val="none"/>
              </w:rPr>
            </w:pPr>
            <w:r>
              <w:rPr>
                <w:rFonts w:hint="eastAsia" w:ascii="宋体" w:hAnsi="宋体" w:cs="宋体"/>
                <w:color w:val="auto"/>
                <w:sz w:val="24"/>
                <w:highlight w:val="none"/>
              </w:rPr>
              <w:t>9</w:t>
            </w:r>
          </w:p>
        </w:tc>
        <w:tc>
          <w:tcPr>
            <w:tcW w:w="1075" w:type="pct"/>
            <w:vMerge w:val="restart"/>
            <w:vAlign w:val="center"/>
          </w:tcPr>
          <w:p w14:paraId="3A32491E">
            <w:pPr>
              <w:snapToGrid w:val="0"/>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3558" w:type="pct"/>
            <w:vAlign w:val="center"/>
          </w:tcPr>
          <w:p w14:paraId="1BAAD2FB">
            <w:pPr>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1049B1F">
            <w:pPr>
              <w:rPr>
                <w:rFonts w:ascii="宋体" w:hAnsi="宋体" w:cs="宋体"/>
                <w:color w:val="auto"/>
                <w:kern w:val="0"/>
                <w:sz w:val="24"/>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6398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366" w:type="pct"/>
            <w:vMerge w:val="continue"/>
            <w:shd w:val="clear" w:color="auto" w:fill="auto"/>
            <w:vAlign w:val="center"/>
          </w:tcPr>
          <w:p w14:paraId="30666CBD">
            <w:pPr>
              <w:snapToGrid w:val="0"/>
              <w:jc w:val="center"/>
              <w:rPr>
                <w:rFonts w:ascii="宋体" w:hAnsi="宋体" w:cs="宋体"/>
                <w:color w:val="auto"/>
                <w:sz w:val="24"/>
                <w:highlight w:val="none"/>
              </w:rPr>
            </w:pPr>
          </w:p>
        </w:tc>
        <w:tc>
          <w:tcPr>
            <w:tcW w:w="1075" w:type="pct"/>
            <w:vMerge w:val="continue"/>
            <w:vAlign w:val="center"/>
          </w:tcPr>
          <w:p w14:paraId="01CB8B91">
            <w:pPr>
              <w:snapToGrid w:val="0"/>
              <w:jc w:val="center"/>
              <w:rPr>
                <w:rFonts w:ascii="宋体" w:hAnsi="宋体" w:cs="宋体"/>
                <w:b/>
                <w:color w:val="auto"/>
                <w:sz w:val="24"/>
                <w:highlight w:val="none"/>
              </w:rPr>
            </w:pPr>
          </w:p>
        </w:tc>
        <w:tc>
          <w:tcPr>
            <w:tcW w:w="3558" w:type="pct"/>
            <w:vAlign w:val="center"/>
          </w:tcPr>
          <w:p w14:paraId="0E4989E5">
            <w:pPr>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304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366" w:type="pct"/>
            <w:shd w:val="clear" w:color="auto" w:fill="auto"/>
            <w:vAlign w:val="center"/>
          </w:tcPr>
          <w:p w14:paraId="5A6100D8">
            <w:pPr>
              <w:snapToGrid w:val="0"/>
              <w:jc w:val="center"/>
              <w:rPr>
                <w:rFonts w:ascii="宋体" w:hAnsi="宋体" w:cs="宋体"/>
                <w:color w:val="auto"/>
                <w:sz w:val="24"/>
                <w:highlight w:val="none"/>
              </w:rPr>
            </w:pPr>
            <w:r>
              <w:rPr>
                <w:rFonts w:hint="eastAsia" w:ascii="宋体" w:hAnsi="宋体" w:cs="宋体"/>
                <w:color w:val="auto"/>
                <w:sz w:val="24"/>
                <w:highlight w:val="none"/>
              </w:rPr>
              <w:t>10</w:t>
            </w:r>
          </w:p>
        </w:tc>
        <w:tc>
          <w:tcPr>
            <w:tcW w:w="1075" w:type="pct"/>
            <w:vAlign w:val="center"/>
          </w:tcPr>
          <w:p w14:paraId="0FA35CD6">
            <w:pPr>
              <w:snapToGrid w:val="0"/>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3558" w:type="pct"/>
            <w:vAlign w:val="center"/>
          </w:tcPr>
          <w:p w14:paraId="5DA8E35C">
            <w:pPr>
              <w:snapToGrid w:val="0"/>
              <w:rPr>
                <w:rFonts w:ascii="宋体" w:hAnsi="宋体" w:cs="宋体"/>
                <w:color w:val="auto"/>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8D1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jc w:val="center"/>
        </w:trPr>
        <w:tc>
          <w:tcPr>
            <w:tcW w:w="366" w:type="pct"/>
            <w:shd w:val="clear" w:color="auto" w:fill="auto"/>
            <w:vAlign w:val="center"/>
          </w:tcPr>
          <w:p w14:paraId="0C489294">
            <w:pPr>
              <w:snapToGrid w:val="0"/>
              <w:jc w:val="center"/>
              <w:rPr>
                <w:rFonts w:ascii="宋体" w:hAnsi="宋体" w:cs="宋体"/>
                <w:color w:val="auto"/>
                <w:sz w:val="24"/>
                <w:highlight w:val="none"/>
              </w:rPr>
            </w:pPr>
            <w:r>
              <w:rPr>
                <w:rFonts w:hint="eastAsia" w:ascii="宋体" w:hAnsi="宋体" w:cs="宋体"/>
                <w:color w:val="auto"/>
                <w:sz w:val="24"/>
                <w:highlight w:val="none"/>
              </w:rPr>
              <w:t>11</w:t>
            </w:r>
          </w:p>
        </w:tc>
        <w:tc>
          <w:tcPr>
            <w:tcW w:w="1075" w:type="pct"/>
            <w:vAlign w:val="center"/>
          </w:tcPr>
          <w:p w14:paraId="45EB5611">
            <w:pPr>
              <w:snapToGrid w:val="0"/>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3558" w:type="pct"/>
            <w:vAlign w:val="center"/>
          </w:tcPr>
          <w:p w14:paraId="09D2D99D">
            <w:pPr>
              <w:snapToGrid w:val="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color w:val="auto"/>
                <w:sz w:val="24"/>
                <w:highlight w:val="none"/>
              </w:rPr>
              <w:t>但投标人认为完成本项目必需的费用，</w:t>
            </w:r>
            <w:r>
              <w:rPr>
                <w:rStyle w:val="74"/>
                <w:rFonts w:ascii="宋体" w:hAnsi="宋体" w:cs="宋体"/>
                <w:color w:val="auto"/>
                <w:sz w:val="24"/>
                <w:highlight w:val="none"/>
              </w:rPr>
              <w:t>均应计入投标报价</w:t>
            </w:r>
            <w:r>
              <w:rPr>
                <w:rFonts w:ascii="宋体" w:hAnsi="宋体" w:cs="宋体"/>
                <w:color w:val="auto"/>
                <w:sz w:val="24"/>
                <w:highlight w:val="none"/>
              </w:rPr>
              <w:t>。投标人本次报价为</w:t>
            </w:r>
            <w:r>
              <w:rPr>
                <w:rStyle w:val="74"/>
                <w:rFonts w:ascii="宋体" w:hAnsi="宋体" w:cs="宋体"/>
                <w:color w:val="auto"/>
                <w:sz w:val="24"/>
                <w:highlight w:val="none"/>
              </w:rPr>
              <w:t>本项目最终成交价格</w:t>
            </w:r>
            <w:r>
              <w:rPr>
                <w:rFonts w:ascii="宋体" w:hAnsi="宋体" w:cs="宋体"/>
                <w:color w:val="auto"/>
                <w:sz w:val="24"/>
                <w:highlight w:val="none"/>
              </w:rPr>
              <w:t>，</w:t>
            </w:r>
            <w:r>
              <w:rPr>
                <w:rFonts w:hint="eastAsia" w:ascii="宋体" w:hAnsi="宋体" w:cs="宋体"/>
                <w:color w:val="auto"/>
                <w:sz w:val="24"/>
                <w:highlight w:val="none"/>
              </w:rPr>
              <w:t>采购人</w:t>
            </w:r>
            <w:r>
              <w:rPr>
                <w:rFonts w:ascii="宋体" w:hAnsi="宋体" w:cs="宋体"/>
                <w:color w:val="auto"/>
                <w:sz w:val="24"/>
                <w:highlight w:val="none"/>
              </w:rPr>
              <w:t>不再另行支付任何其他费用。</w:t>
            </w:r>
          </w:p>
          <w:p w14:paraId="1993436F">
            <w:pPr>
              <w:snapToGrid w:val="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4D5418F5">
            <w:pPr>
              <w:snapToGrid w:val="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50C1A5C">
            <w:pPr>
              <w:snapToGrid w:val="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ECA3F00">
            <w:pPr>
              <w:rPr>
                <w:rFonts w:ascii="宋体" w:hAnsi="宋体" w:cs="宋体"/>
                <w:b/>
                <w:color w:val="auto"/>
                <w:sz w:val="24"/>
                <w:highlight w:val="none"/>
              </w:rPr>
            </w:pPr>
            <w:r>
              <w:rPr>
                <w:rFonts w:hint="eastAsia" w:ascii="宋体" w:hAnsi="宋体" w:cs="宋体"/>
                <w:b/>
                <w:color w:val="auto"/>
                <w:sz w:val="24"/>
                <w:highlight w:val="none"/>
              </w:rPr>
              <w:t>评审委员会启动异常低价投标审查后，投标人不能提供书面说明、证明材料，或者提供的书面说明、证明材料不能证明其报价合理性的;</w:t>
            </w:r>
          </w:p>
          <w:p w14:paraId="6802BECA">
            <w:pPr>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B9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 w:hRule="atLeast"/>
          <w:jc w:val="center"/>
        </w:trPr>
        <w:tc>
          <w:tcPr>
            <w:tcW w:w="366" w:type="pct"/>
            <w:shd w:val="clear" w:color="auto" w:fill="auto"/>
            <w:vAlign w:val="center"/>
          </w:tcPr>
          <w:p w14:paraId="27BB91A8">
            <w:pPr>
              <w:snapToGrid w:val="0"/>
              <w:jc w:val="center"/>
              <w:rPr>
                <w:rFonts w:ascii="宋体" w:hAnsi="宋体" w:cs="宋体"/>
                <w:color w:val="auto"/>
                <w:sz w:val="24"/>
                <w:highlight w:val="none"/>
              </w:rPr>
            </w:pPr>
            <w:r>
              <w:rPr>
                <w:rFonts w:hint="eastAsia" w:ascii="宋体" w:hAnsi="宋体" w:cs="宋体"/>
                <w:color w:val="auto"/>
                <w:sz w:val="24"/>
                <w:highlight w:val="none"/>
              </w:rPr>
              <w:t>12</w:t>
            </w:r>
          </w:p>
        </w:tc>
        <w:tc>
          <w:tcPr>
            <w:tcW w:w="1075" w:type="pct"/>
            <w:vAlign w:val="center"/>
          </w:tcPr>
          <w:p w14:paraId="5FE746D1">
            <w:pPr>
              <w:snapToGrid w:val="0"/>
              <w:jc w:val="center"/>
              <w:rPr>
                <w:rFonts w:ascii="宋体" w:hAnsi="宋体" w:cs="宋体"/>
                <w:b/>
                <w:color w:val="auto"/>
                <w:sz w:val="24"/>
                <w:highlight w:val="none"/>
              </w:rPr>
            </w:pPr>
            <w:r>
              <w:rPr>
                <w:rFonts w:hint="eastAsia" w:ascii="宋体" w:hAnsi="宋体" w:cs="宋体"/>
                <w:b/>
                <w:color w:val="auto"/>
                <w:sz w:val="24"/>
                <w:highlight w:val="none"/>
              </w:rPr>
              <w:t>采购代理服务费</w:t>
            </w:r>
          </w:p>
        </w:tc>
        <w:tc>
          <w:tcPr>
            <w:tcW w:w="3558" w:type="pct"/>
            <w:vAlign w:val="center"/>
          </w:tcPr>
          <w:p w14:paraId="6687A8CF">
            <w:pPr>
              <w:jc w:val="left"/>
              <w:rPr>
                <w:rFonts w:ascii="宋体" w:hAnsi="宋体" w:cs="宋体"/>
                <w:color w:val="auto"/>
                <w:kern w:val="28"/>
                <w:sz w:val="24"/>
                <w:highlight w:val="none"/>
              </w:rPr>
            </w:pPr>
            <w:r>
              <w:rPr>
                <w:rFonts w:hint="eastAsia" w:ascii="宋体" w:hAnsi="宋体" w:cs="宋体"/>
                <w:color w:val="auto"/>
                <w:kern w:val="28"/>
                <w:sz w:val="24"/>
                <w:highlight w:val="none"/>
              </w:rPr>
              <w:t>（1）采购代理服务费参照国家计[2002]1980号文件规定的招标费率标准4折收取，不足3000元按3000元收取。</w:t>
            </w:r>
          </w:p>
          <w:p w14:paraId="3E261AE9">
            <w:pPr>
              <w:ind w:left="240" w:hanging="240" w:hangingChars="100"/>
              <w:jc w:val="left"/>
              <w:rPr>
                <w:rFonts w:ascii="宋体" w:hAnsi="宋体" w:cs="宋体"/>
                <w:color w:val="auto"/>
                <w:kern w:val="28"/>
                <w:sz w:val="24"/>
                <w:highlight w:val="none"/>
              </w:rPr>
            </w:pPr>
            <w:r>
              <w:rPr>
                <w:rFonts w:hint="eastAsia" w:ascii="宋体" w:hAnsi="宋体" w:cs="宋体"/>
                <w:color w:val="auto"/>
                <w:kern w:val="28"/>
                <w:sz w:val="24"/>
                <w:highlight w:val="none"/>
              </w:rPr>
              <w:t>（2）中标人在领取成交通知书前，应向采购代理机构交纳采购代理服务费。</w:t>
            </w:r>
          </w:p>
          <w:p w14:paraId="26E178DD">
            <w:pPr>
              <w:jc w:val="left"/>
              <w:rPr>
                <w:rFonts w:ascii="宋体" w:hAnsi="宋体" w:cs="宋体"/>
                <w:color w:val="auto"/>
                <w:kern w:val="28"/>
                <w:sz w:val="24"/>
                <w:highlight w:val="none"/>
              </w:rPr>
            </w:pPr>
            <w:r>
              <w:rPr>
                <w:rFonts w:hint="eastAsia" w:ascii="宋体" w:hAnsi="宋体" w:cs="宋体"/>
                <w:color w:val="auto"/>
                <w:kern w:val="28"/>
                <w:sz w:val="24"/>
                <w:highlight w:val="none"/>
              </w:rPr>
              <w:t>（3）采购代理服务费以电汇方式支付。</w:t>
            </w:r>
          </w:p>
          <w:p w14:paraId="519D359C">
            <w:pPr>
              <w:jc w:val="left"/>
              <w:rPr>
                <w:rFonts w:ascii="宋体" w:hAnsi="宋体" w:cs="宋体"/>
                <w:color w:val="auto"/>
                <w:kern w:val="28"/>
                <w:sz w:val="24"/>
                <w:highlight w:val="none"/>
              </w:rPr>
            </w:pPr>
            <w:r>
              <w:rPr>
                <w:rFonts w:hint="eastAsia" w:ascii="宋体" w:hAnsi="宋体" w:cs="宋体"/>
                <w:color w:val="auto"/>
                <w:kern w:val="28"/>
                <w:sz w:val="24"/>
                <w:highlight w:val="none"/>
              </w:rPr>
              <w:t>（4）中标人如未按上述规定办理，本采购代理机构有权对不足部分进行追索。</w:t>
            </w:r>
          </w:p>
          <w:p w14:paraId="1D1A0A7B">
            <w:pPr>
              <w:jc w:val="left"/>
              <w:rPr>
                <w:rFonts w:ascii="宋体" w:hAnsi="宋体" w:cs="宋体"/>
                <w:color w:val="auto"/>
                <w:kern w:val="28"/>
                <w:sz w:val="24"/>
                <w:highlight w:val="none"/>
              </w:rPr>
            </w:pPr>
            <w:r>
              <w:rPr>
                <w:rFonts w:hint="eastAsia" w:ascii="宋体" w:hAnsi="宋体" w:cs="宋体"/>
                <w:color w:val="auto"/>
                <w:kern w:val="28"/>
                <w:sz w:val="24"/>
                <w:highlight w:val="none"/>
              </w:rPr>
              <w:t>（5）服务费缴纳账号：</w:t>
            </w:r>
          </w:p>
          <w:p w14:paraId="168DBD5A">
            <w:pPr>
              <w:jc w:val="left"/>
              <w:rPr>
                <w:rFonts w:ascii="宋体" w:hAnsi="宋体" w:cs="宋体"/>
                <w:color w:val="auto"/>
                <w:kern w:val="28"/>
                <w:sz w:val="24"/>
                <w:highlight w:val="none"/>
              </w:rPr>
            </w:pPr>
            <w:r>
              <w:rPr>
                <w:rFonts w:hint="eastAsia" w:ascii="宋体" w:hAnsi="宋体" w:cs="宋体"/>
                <w:color w:val="auto"/>
                <w:kern w:val="28"/>
                <w:sz w:val="24"/>
                <w:highlight w:val="none"/>
              </w:rPr>
              <w:t>户名：浙江科佳工程咨询有限公司</w:t>
            </w:r>
          </w:p>
          <w:p w14:paraId="78F75C1C">
            <w:pPr>
              <w:jc w:val="left"/>
              <w:rPr>
                <w:rFonts w:ascii="宋体" w:hAnsi="宋体" w:cs="宋体"/>
                <w:color w:val="auto"/>
                <w:kern w:val="28"/>
                <w:sz w:val="24"/>
                <w:highlight w:val="none"/>
              </w:rPr>
            </w:pPr>
            <w:r>
              <w:rPr>
                <w:rFonts w:hint="eastAsia" w:ascii="宋体" w:hAnsi="宋体" w:cs="宋体"/>
                <w:color w:val="auto"/>
                <w:kern w:val="28"/>
                <w:sz w:val="24"/>
                <w:highlight w:val="none"/>
              </w:rPr>
              <w:t>账号：7331110182600053000</w:t>
            </w:r>
          </w:p>
          <w:p w14:paraId="7C4005AC">
            <w:pPr>
              <w:jc w:val="left"/>
              <w:rPr>
                <w:rFonts w:ascii="宋体" w:hAnsi="宋体" w:cs="宋体"/>
                <w:color w:val="auto"/>
                <w:kern w:val="28"/>
                <w:sz w:val="24"/>
                <w:highlight w:val="none"/>
              </w:rPr>
            </w:pPr>
            <w:r>
              <w:rPr>
                <w:rFonts w:hint="eastAsia" w:ascii="宋体" w:hAnsi="宋体" w:cs="宋体"/>
                <w:color w:val="auto"/>
                <w:kern w:val="28"/>
                <w:sz w:val="24"/>
                <w:highlight w:val="none"/>
              </w:rPr>
              <w:t>开户行：中信银行杭州天水支行</w:t>
            </w:r>
          </w:p>
        </w:tc>
      </w:tr>
      <w:tr w14:paraId="5F80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366" w:type="pct"/>
            <w:shd w:val="clear" w:color="auto" w:fill="auto"/>
            <w:vAlign w:val="center"/>
          </w:tcPr>
          <w:p w14:paraId="7C34F2F7">
            <w:pPr>
              <w:snapToGrid w:val="0"/>
              <w:jc w:val="center"/>
              <w:rPr>
                <w:rFonts w:ascii="宋体" w:hAnsi="宋体" w:cs="宋体"/>
                <w:color w:val="auto"/>
                <w:sz w:val="24"/>
                <w:highlight w:val="none"/>
              </w:rPr>
            </w:pPr>
            <w:r>
              <w:rPr>
                <w:rFonts w:hint="eastAsia" w:ascii="宋体" w:hAnsi="宋体" w:cs="宋体"/>
                <w:color w:val="auto"/>
                <w:sz w:val="24"/>
                <w:highlight w:val="none"/>
              </w:rPr>
              <w:t>13</w:t>
            </w:r>
          </w:p>
        </w:tc>
        <w:tc>
          <w:tcPr>
            <w:tcW w:w="1075" w:type="pct"/>
            <w:vAlign w:val="center"/>
          </w:tcPr>
          <w:p w14:paraId="2F24E7A7">
            <w:pPr>
              <w:snapToGrid w:val="0"/>
              <w:jc w:val="center"/>
              <w:rPr>
                <w:rFonts w:ascii="宋体" w:hAnsi="宋体" w:cs="宋体"/>
                <w:b/>
                <w:color w:val="auto"/>
                <w:sz w:val="24"/>
                <w:highlight w:val="none"/>
              </w:rPr>
            </w:pPr>
            <w:r>
              <w:rPr>
                <w:rFonts w:hint="eastAsia" w:ascii="宋体" w:hAnsi="宋体" w:cs="宋体"/>
                <w:b/>
                <w:color w:val="auto"/>
                <w:sz w:val="24"/>
                <w:highlight w:val="none"/>
              </w:rPr>
              <w:t>备份投标文件送达地点和签收人员</w:t>
            </w:r>
          </w:p>
        </w:tc>
        <w:tc>
          <w:tcPr>
            <w:tcW w:w="3558" w:type="pct"/>
            <w:vAlign w:val="center"/>
          </w:tcPr>
          <w:p w14:paraId="1CAB2ABD">
            <w:pPr>
              <w:pStyle w:val="34"/>
              <w:rPr>
                <w:rFonts w:hAnsi="宋体" w:cs="宋体"/>
                <w:color w:val="auto"/>
                <w:kern w:val="28"/>
                <w:sz w:val="24"/>
                <w:szCs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szCs w:val="24"/>
                <w:highlight w:val="none"/>
                <w:u w:val="single"/>
              </w:rPr>
              <w:t xml:space="preserve"> 浙江省杭州市上城区顺福商务中心3幢10楼</w:t>
            </w:r>
            <w:r>
              <w:rPr>
                <w:rFonts w:hint="eastAsia"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rPr>
              <w:t>吴金沛/17815506260</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2274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66" w:type="pct"/>
            <w:vMerge w:val="restart"/>
            <w:vAlign w:val="center"/>
          </w:tcPr>
          <w:p w14:paraId="39FEDB6E">
            <w:pPr>
              <w:snapToGrid w:val="0"/>
              <w:jc w:val="center"/>
              <w:rPr>
                <w:rFonts w:ascii="宋体" w:hAnsi="宋体" w:cs="宋体"/>
                <w:color w:val="auto"/>
                <w:sz w:val="24"/>
                <w:highlight w:val="none"/>
              </w:rPr>
            </w:pPr>
            <w:r>
              <w:rPr>
                <w:rFonts w:hint="eastAsia" w:ascii="宋体" w:hAnsi="宋体" w:cs="宋体"/>
                <w:color w:val="auto"/>
                <w:sz w:val="24"/>
                <w:highlight w:val="none"/>
              </w:rPr>
              <w:t>14</w:t>
            </w:r>
          </w:p>
        </w:tc>
        <w:tc>
          <w:tcPr>
            <w:tcW w:w="1075" w:type="pct"/>
            <w:vMerge w:val="restart"/>
            <w:vAlign w:val="center"/>
          </w:tcPr>
          <w:p w14:paraId="2F8078EB">
            <w:pPr>
              <w:snapToGrid w:val="0"/>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3558" w:type="pct"/>
            <w:vAlign w:val="center"/>
          </w:tcPr>
          <w:p w14:paraId="62821217">
            <w:pPr>
              <w:rPr>
                <w:rFonts w:ascii="宋体" w:hAnsi="宋体" w:cs="宋体"/>
                <w:color w:val="auto"/>
                <w:kern w:val="28"/>
                <w:sz w:val="24"/>
                <w:highlight w:val="none"/>
              </w:rPr>
            </w:pPr>
            <w:r>
              <w:rPr>
                <w:rFonts w:hint="eastAsia" w:ascii="宋体" w:hAnsi="宋体" w:cs="宋体"/>
                <w:color w:val="auto"/>
                <w:kern w:val="28"/>
                <w:sz w:val="24"/>
                <w:highlight w:val="none"/>
              </w:rPr>
              <w:t>联合体投标的，联合体各方分别提供与联合体协议中规定的分工内容相应的业绩证明材料，业绩数量以提供材料较少的一方为准。</w:t>
            </w:r>
          </w:p>
        </w:tc>
      </w:tr>
      <w:tr w14:paraId="1396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366" w:type="pct"/>
            <w:vMerge w:val="continue"/>
          </w:tcPr>
          <w:p w14:paraId="21630075">
            <w:pPr>
              <w:snapToGrid w:val="0"/>
              <w:jc w:val="center"/>
              <w:rPr>
                <w:rFonts w:ascii="宋体" w:hAnsi="宋体" w:cs="宋体"/>
                <w:color w:val="auto"/>
                <w:sz w:val="24"/>
                <w:highlight w:val="none"/>
              </w:rPr>
            </w:pPr>
          </w:p>
        </w:tc>
        <w:tc>
          <w:tcPr>
            <w:tcW w:w="1075" w:type="pct"/>
            <w:vMerge w:val="continue"/>
            <w:vAlign w:val="center"/>
          </w:tcPr>
          <w:p w14:paraId="3A61CB3C">
            <w:pPr>
              <w:snapToGrid w:val="0"/>
              <w:jc w:val="center"/>
              <w:rPr>
                <w:rFonts w:ascii="宋体" w:hAnsi="宋体" w:cs="宋体"/>
                <w:b/>
                <w:color w:val="auto"/>
                <w:sz w:val="24"/>
                <w:highlight w:val="none"/>
              </w:rPr>
            </w:pPr>
          </w:p>
        </w:tc>
        <w:tc>
          <w:tcPr>
            <w:tcW w:w="3558" w:type="pct"/>
            <w:vAlign w:val="center"/>
          </w:tcPr>
          <w:p w14:paraId="6C623202">
            <w:pPr>
              <w:rPr>
                <w:rFonts w:ascii="宋体" w:hAnsi="宋体" w:cs="宋体"/>
                <w:color w:val="auto"/>
                <w:kern w:val="28"/>
                <w:sz w:val="24"/>
                <w:highlight w:val="none"/>
              </w:rPr>
            </w:pPr>
            <w:sdt>
              <w:sdtPr>
                <w:rPr>
                  <w:rFonts w:hint="eastAsia" w:ascii="宋体" w:hAnsi="宋体" w:cs="宋体"/>
                  <w:color w:val="auto"/>
                  <w:kern w:val="0"/>
                  <w:sz w:val="24"/>
                  <w:highlight w:val="none"/>
                </w:rPr>
                <w:id w:val="89708012"/>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28"/>
                <w:sz w:val="24"/>
                <w:highlight w:val="none"/>
              </w:rPr>
              <w:t>联合体投标的，联合体中有一方或者联合体成员根据分工按招标文件第四部分评标标准要求提供资信证明文件的，视为符合了相关要求。</w:t>
            </w:r>
          </w:p>
        </w:tc>
      </w:tr>
    </w:tbl>
    <w:p w14:paraId="38EE4F64">
      <w:pPr>
        <w:rPr>
          <w:rFonts w:ascii="宋体" w:hAnsi="宋体" w:cs="宋体"/>
          <w:color w:val="auto"/>
          <w:highlight w:val="none"/>
        </w:rPr>
      </w:pPr>
    </w:p>
    <w:p w14:paraId="5B96B9C2">
      <w:pPr>
        <w:pStyle w:val="3"/>
        <w:jc w:val="center"/>
        <w:rPr>
          <w:rFonts w:cs="宋体"/>
          <w:color w:val="auto"/>
          <w:highlight w:val="none"/>
        </w:rPr>
      </w:pPr>
      <w:bookmarkStart w:id="14" w:name="_Toc23033"/>
      <w:r>
        <w:rPr>
          <w:rFonts w:hint="eastAsia" w:cs="宋体"/>
          <w:color w:val="auto"/>
          <w:highlight w:val="none"/>
        </w:rPr>
        <w:t>一、总则</w:t>
      </w:r>
      <w:bookmarkEnd w:id="14"/>
    </w:p>
    <w:p w14:paraId="1746221A">
      <w:pPr>
        <w:pStyle w:val="4"/>
        <w:rPr>
          <w:rFonts w:cs="宋体"/>
          <w:color w:val="auto"/>
          <w:highlight w:val="none"/>
        </w:rPr>
      </w:pPr>
      <w:r>
        <w:rPr>
          <w:rFonts w:hint="eastAsia" w:cs="宋体"/>
          <w:color w:val="auto"/>
          <w:highlight w:val="none"/>
        </w:rPr>
        <w:t>1.适用范围</w:t>
      </w:r>
    </w:p>
    <w:p w14:paraId="686A36A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13EAD1E">
      <w:pPr>
        <w:pStyle w:val="4"/>
        <w:rPr>
          <w:rFonts w:cs="宋体"/>
          <w:color w:val="auto"/>
          <w:highlight w:val="none"/>
        </w:rPr>
      </w:pPr>
      <w:r>
        <w:rPr>
          <w:rFonts w:hint="eastAsia" w:cs="宋体"/>
          <w:color w:val="auto"/>
          <w:highlight w:val="none"/>
        </w:rPr>
        <w:t>2.定义</w:t>
      </w:r>
    </w:p>
    <w:p w14:paraId="3BA4EB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62BA7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6B06DD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78779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170BB7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6648D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 “电子交易平台”系指本项目政府采购活动所依托的政府采购云平台（https://www.zcygov.cn/）。</w:t>
      </w:r>
    </w:p>
    <w:p w14:paraId="1DAA8B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147459106"/>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系指不适用本项目的要求。“★”系指重要条款。</w:t>
      </w:r>
    </w:p>
    <w:p w14:paraId="0A34C7EB">
      <w:pPr>
        <w:pStyle w:val="4"/>
        <w:rPr>
          <w:rFonts w:cs="宋体"/>
          <w:color w:val="auto"/>
          <w:highlight w:val="none"/>
        </w:rPr>
      </w:pPr>
      <w:r>
        <w:rPr>
          <w:rFonts w:hint="eastAsia" w:cs="宋体"/>
          <w:color w:val="auto"/>
          <w:highlight w:val="none"/>
        </w:rPr>
        <w:t>3.采购项目需要落实的政府采购政策</w:t>
      </w:r>
    </w:p>
    <w:p w14:paraId="53C45D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83E87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5FFB9C3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 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059AFE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6B94C0A3">
      <w:pPr>
        <w:spacing w:line="360" w:lineRule="auto"/>
        <w:ind w:firstLine="480" w:firstLineChars="200"/>
        <w:rPr>
          <w:rFonts w:ascii="宋体" w:hAnsi="宋体" w:cs="宋体"/>
          <w:color w:val="auto"/>
          <w:sz w:val="24"/>
          <w:highlight w:val="none"/>
        </w:rPr>
      </w:pPr>
      <w:bookmarkStart w:id="15" w:name="_Hlk107568539"/>
      <w:r>
        <w:rPr>
          <w:rFonts w:hint="eastAsia" w:ascii="宋体" w:hAnsi="宋体" w:cs="宋体"/>
          <w:color w:val="auto"/>
          <w:sz w:val="24"/>
          <w:highlight w:val="none"/>
        </w:rPr>
        <w:t>3.2.3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bookmarkEnd w:id="15"/>
    <w:p w14:paraId="2A8C1C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6785CB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支持中小企业发展</w:t>
      </w:r>
    </w:p>
    <w:p w14:paraId="61177B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中小企业，是指在中华人民共和国境内依法设立，依据国务院批准的中小企业划分标准确定的中型企业、小型企业和微型企业，但与大企业的负责人为同一人，或者与大企业存在直接控股、管理关系的除外。</w:t>
      </w:r>
    </w:p>
    <w:p w14:paraId="535186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39A040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 xml:space="preserve">3.3.2 </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6D0872D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6B64F3C">
      <w:pPr>
        <w:spacing w:line="360" w:lineRule="auto"/>
        <w:ind w:firstLine="480" w:firstLineChars="200"/>
        <w:rPr>
          <w:rFonts w:ascii="宋体" w:hAnsi="宋体" w:cs="宋体"/>
          <w:color w:val="auto"/>
          <w:sz w:val="24"/>
          <w:highlight w:val="none"/>
        </w:rPr>
      </w:pPr>
      <w:bookmarkStart w:id="16" w:name="_Hlk101132181"/>
      <w:bookmarkEnd w:id="16"/>
      <w:r>
        <w:rPr>
          <w:rFonts w:hint="eastAsia" w:ascii="宋体" w:hAnsi="宋体" w:cs="宋体"/>
          <w:color w:val="auto"/>
          <w:sz w:val="24"/>
          <w:highlight w:val="none"/>
        </w:rPr>
        <w:t>3.3.3 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0434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符合《关于促进残疾人就业政府采购政策的通知》（财库〔2017〕141号）规定的条件并提供《残疾人福利性单位声明函》（附件1）的残疾人福利性单位视同小型、微型企业；</w:t>
      </w:r>
    </w:p>
    <w:p w14:paraId="4315AD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 符合《关于政府采购支持监狱企业发展有关问题的通知》（财库[2014]68号）规定的监狱企业并提供由省级以上监狱管理局、戒毒管理局（含新疆生产建设兵团）出具的属于监狱企业证明文件的，视同为小型、微型企业。</w:t>
      </w:r>
    </w:p>
    <w:p w14:paraId="5209F2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 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D31C9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 中小企业享受扶持政策获得政府采购合同的，小微企业不得将合同分包给大中型企业，中型企业不得将合同分包给大型企业。</w:t>
      </w:r>
    </w:p>
    <w:p w14:paraId="2E7906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 </w:t>
      </w:r>
      <w:r>
        <w:rPr>
          <w:rFonts w:hint="eastAsia" w:ascii="宋体" w:hAnsi="宋体" w:cs="宋体"/>
          <w:bCs/>
          <w:color w:val="auto"/>
          <w:sz w:val="24"/>
          <w:highlight w:val="none"/>
        </w:rPr>
        <w:t>支持创新发展</w:t>
      </w:r>
    </w:p>
    <w:p w14:paraId="226EA8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5DE76E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5021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平等对待内外资企业和符合条件的破产重整企业</w:t>
      </w:r>
    </w:p>
    <w:p w14:paraId="478AC4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BF7C1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3.6支持本国产品</w:t>
      </w:r>
    </w:p>
    <w:p w14:paraId="623C0D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3.6.1政府采购活动中既有本国产品又有非本国产品参与竞争的，依法对本国产品的报价给予20%的价格扣除，用扣除后的价格参与评审。评审活动应贯彻落实对本国产品的评审价格扣除优惠；</w:t>
      </w:r>
    </w:p>
    <w:p w14:paraId="0E939E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在财政部、工业和信息化部制定出台在中国境内生产的组件成本占比要求，以及特定产品的关键组件、关键工序要求之前，目前，在中国境内生产的产品即视为符合本国产品标准，享受政府采购本国产品支持政策。具体如下：</w:t>
      </w:r>
    </w:p>
    <w:p w14:paraId="5BB891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产品应当在中国境内生产，即在中华人民共和国关境内实现从原材料、组件到产品的属性改变。</w:t>
      </w:r>
    </w:p>
    <w:p w14:paraId="0C8B35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属性改变是指经过制造、加工或者组装等工序，产生完全不同于原材料、组件的新产品，并具有新的名称和特征（用途）。属性改变不包括以下细微操作：</w:t>
      </w:r>
    </w:p>
    <w:p w14:paraId="245FCF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1.为确保产品在运输或者储存期间保持某种状态而进行的操作；</w:t>
      </w:r>
    </w:p>
    <w:p w14:paraId="695C94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2.为产品运输或者销售进行的包装或者展示；</w:t>
      </w:r>
    </w:p>
    <w:p w14:paraId="12603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3.在产品或者其包装上粘贴或者印刷品牌、标志、标识以及其他用于区别的标记；</w:t>
      </w:r>
    </w:p>
    <w:p w14:paraId="2B5C3A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4.简单的上漆、磨光和分装；</w:t>
      </w:r>
    </w:p>
    <w:p w14:paraId="025B0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5.其他不属于属性改变的情形。</w:t>
      </w:r>
    </w:p>
    <w:p w14:paraId="38E2C4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须提供《关于符合本国产品标准的声明函》或财政部会同有关部门规定的有关证明文件，声明函格式详见招标文件附件；供应商提供虚假《声明函》、虚假证明文件谋取中标、成交的，依照《中华人民共和国政府采购法》等法律法规规定追究相应责任。</w:t>
      </w:r>
    </w:p>
    <w:p w14:paraId="7AD940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多产品，除提供《关于符合本国产品标准的声明函》或财政部会同有关部门规定的有关证明文件以外，还须要供应商在投标响应文件中承诺成本之和达到80%（提供承诺成本之和达到80%的承诺书）。无承诺或者承诺占比无法达标则不享受政策。）</w:t>
      </w:r>
    </w:p>
    <w:p w14:paraId="1C07A2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说明：本国产品除了享受20%的价格扣除外，还可以叠加小微企业的价格扣除优惠。即商品报价*（小微企业扣除率+本国产品扣除率）</w:t>
      </w:r>
    </w:p>
    <w:p w14:paraId="755CED3A">
      <w:pPr>
        <w:pStyle w:val="4"/>
        <w:rPr>
          <w:rFonts w:cs="宋体"/>
          <w:color w:val="auto"/>
          <w:highlight w:val="none"/>
        </w:rPr>
      </w:pPr>
      <w:r>
        <w:rPr>
          <w:rFonts w:hint="eastAsia" w:cs="宋体"/>
          <w:color w:val="auto"/>
          <w:highlight w:val="none"/>
        </w:rPr>
        <w:t>4.询问、质疑、投诉</w:t>
      </w:r>
    </w:p>
    <w:p w14:paraId="1FC27F79">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4.1</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在线询问、质疑、投诉</w:t>
      </w:r>
    </w:p>
    <w:p w14:paraId="7246EC41">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2357766">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4.2</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供应商询问</w:t>
      </w:r>
    </w:p>
    <w:p w14:paraId="6891FB3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w:t>
      </w:r>
      <w:r>
        <w:rPr>
          <w:rFonts w:hint="eastAsia" w:ascii="宋体" w:hAnsi="宋体" w:cs="宋体"/>
          <w:color w:val="auto"/>
          <w:kern w:val="0"/>
          <w:sz w:val="24"/>
          <w:highlight w:val="none"/>
          <w:lang w:val="zh-CN"/>
        </w:rPr>
        <w:t>涉及商业秘密。供应商提出的询问超出采购人对采购代理机构委托授权范围的，采购代理机构应当告知供应商向采购人提出。</w:t>
      </w:r>
    </w:p>
    <w:p w14:paraId="29147BF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供应商质疑</w:t>
      </w:r>
    </w:p>
    <w:p w14:paraId="19F4CE0D">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 提出质疑的供应商应当是参与所质疑项目采购活动的供应商。潜在供应商已依法获取其可质疑的招标文件的，可以对该文件提出质疑。</w:t>
      </w:r>
    </w:p>
    <w:p w14:paraId="4D8D1D3D">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 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3D30A8C">
      <w:pPr>
        <w:pStyle w:val="1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 对招标文件提出质疑的，质疑期限为供应商获得招标文件之日或者招标文件公告期限届满之日起计算。</w:t>
      </w:r>
    </w:p>
    <w:p w14:paraId="53B2DA01">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 对采购过程提出质疑的，质疑期限为各采购程序环节结束之日起计算。4.3.2.3对采购结果提出质疑的，质疑期限自采购结果公告期限届满之日起计算。</w:t>
      </w:r>
    </w:p>
    <w:p w14:paraId="018A61C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kern w:val="0"/>
          <w:sz w:val="24"/>
          <w:highlight w:val="none"/>
        </w:rPr>
        <w:t xml:space="preserve"> </w:t>
      </w:r>
      <w:r>
        <w:rPr>
          <w:rFonts w:hint="eastAsia" w:hAnsi="宋体" w:cs="宋体"/>
          <w:color w:val="auto"/>
          <w:sz w:val="24"/>
          <w:highlight w:val="none"/>
        </w:rPr>
        <w:t>供应商提出质疑应当提交质疑函和必要的证明材料。质疑函应当包括下列内容：</w:t>
      </w:r>
    </w:p>
    <w:p w14:paraId="0F06DF6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供应商的姓名或者名称、地址、邮编、联系人及联系电话；</w:t>
      </w:r>
    </w:p>
    <w:p w14:paraId="5E8B1CD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质疑项目的名称、编号；</w:t>
      </w:r>
    </w:p>
    <w:p w14:paraId="62E77BEB">
      <w:pPr>
        <w:pStyle w:val="34"/>
        <w:spacing w:line="360" w:lineRule="auto"/>
        <w:ind w:firstLine="480" w:firstLineChars="200"/>
        <w:rPr>
          <w:rFonts w:hAnsi="宋体" w:cs="宋体"/>
          <w:color w:val="auto"/>
          <w:sz w:val="24"/>
          <w:highlight w:val="none"/>
          <w:lang w:val="zh-CN"/>
        </w:rPr>
      </w:pPr>
      <w:r>
        <w:rPr>
          <w:rFonts w:hint="eastAsia" w:hAnsi="宋体" w:cs="宋体"/>
          <w:color w:val="auto"/>
          <w:kern w:val="0"/>
          <w:sz w:val="24"/>
          <w:highlight w:val="none"/>
          <w:lang w:val="zh-CN"/>
        </w:rPr>
        <w:t>4.3.3.3</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具体、明确的质疑事项</w:t>
      </w:r>
      <w:r>
        <w:rPr>
          <w:rFonts w:hint="eastAsia" w:hAnsi="宋体" w:cs="宋体"/>
          <w:color w:val="auto"/>
          <w:sz w:val="24"/>
          <w:highlight w:val="none"/>
          <w:lang w:val="zh-CN"/>
        </w:rPr>
        <w:t>和与质疑事项相关的请求；</w:t>
      </w:r>
    </w:p>
    <w:p w14:paraId="44117E63">
      <w:pPr>
        <w:pStyle w:val="34"/>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4.3.3.4</w:t>
      </w:r>
      <w:r>
        <w:rPr>
          <w:rFonts w:hint="eastAsia" w:hAnsi="宋体" w:cs="宋体"/>
          <w:color w:val="auto"/>
          <w:sz w:val="24"/>
          <w:highlight w:val="none"/>
        </w:rPr>
        <w:t xml:space="preserve"> </w:t>
      </w:r>
      <w:r>
        <w:rPr>
          <w:rFonts w:hint="eastAsia" w:hAnsi="宋体" w:cs="宋体"/>
          <w:color w:val="auto"/>
          <w:sz w:val="24"/>
          <w:highlight w:val="none"/>
          <w:lang w:val="zh-CN"/>
        </w:rPr>
        <w:t>事实依据；</w:t>
      </w:r>
    </w:p>
    <w:p w14:paraId="2AF34369">
      <w:pPr>
        <w:pStyle w:val="34"/>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4.3.3.5</w:t>
      </w:r>
      <w:r>
        <w:rPr>
          <w:rFonts w:hint="eastAsia" w:hAnsi="宋体" w:cs="宋体"/>
          <w:color w:val="auto"/>
          <w:sz w:val="24"/>
          <w:highlight w:val="none"/>
        </w:rPr>
        <w:t xml:space="preserve"> </w:t>
      </w:r>
      <w:r>
        <w:rPr>
          <w:rFonts w:hint="eastAsia" w:hAnsi="宋体" w:cs="宋体"/>
          <w:color w:val="auto"/>
          <w:sz w:val="24"/>
          <w:highlight w:val="none"/>
          <w:lang w:val="zh-CN"/>
        </w:rPr>
        <w:t>必要的法律依据；</w:t>
      </w:r>
    </w:p>
    <w:p w14:paraId="05EA226D">
      <w:pPr>
        <w:pStyle w:val="34"/>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zh-CN"/>
        </w:rPr>
        <w:t>4.3.3.6</w:t>
      </w:r>
      <w:r>
        <w:rPr>
          <w:rFonts w:hint="eastAsia" w:hAnsi="宋体" w:cs="宋体"/>
          <w:color w:val="auto"/>
          <w:sz w:val="24"/>
          <w:highlight w:val="none"/>
        </w:rPr>
        <w:t xml:space="preserve"> </w:t>
      </w:r>
      <w:r>
        <w:rPr>
          <w:rFonts w:hint="eastAsia" w:hAnsi="宋体" w:cs="宋体"/>
          <w:color w:val="auto"/>
          <w:sz w:val="24"/>
          <w:highlight w:val="none"/>
          <w:lang w:val="zh-CN"/>
        </w:rPr>
        <w:t>提出质疑的日期。</w:t>
      </w:r>
    </w:p>
    <w:p w14:paraId="23C5D49C">
      <w:pPr>
        <w:pStyle w:val="34"/>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0F1B11C4">
      <w:pPr>
        <w:pStyle w:val="34"/>
        <w:spacing w:line="360" w:lineRule="auto"/>
        <w:ind w:firstLine="482" w:firstLineChars="200"/>
        <w:rPr>
          <w:rFonts w:hAnsi="宋体" w:cs="宋体"/>
          <w:b/>
          <w:bCs/>
          <w:color w:val="auto"/>
          <w:sz w:val="24"/>
          <w:highlight w:val="none"/>
        </w:rPr>
      </w:pPr>
      <w:r>
        <w:rPr>
          <w:rFonts w:hint="eastAsia" w:hAnsi="宋体" w:cs="宋体"/>
          <w:b/>
          <w:bCs/>
          <w:color w:val="auto"/>
          <w:sz w:val="24"/>
          <w:highlight w:val="none"/>
        </w:rPr>
        <w:t>质疑函范本及制作说明详见附件2。</w:t>
      </w:r>
    </w:p>
    <w:p w14:paraId="5D5A63B7">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4.3.4</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对同一采购程序环节的质疑，供应商须在法定质疑期内一次性提出。</w:t>
      </w:r>
    </w:p>
    <w:p w14:paraId="7BB1489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4.3.5</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14:paraId="155C203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4.3.6</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询问或者质疑事项可能影响采购结果的，采购人应当暂停签订合同，已经签订合同的，应当中止履行合同。</w:t>
      </w:r>
    </w:p>
    <w:p w14:paraId="7603913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供应商投诉</w:t>
      </w:r>
    </w:p>
    <w:p w14:paraId="5DC988B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4.4.1</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质疑供应商对采购人、采购代理机构的答复不满意或者采购人、采购代理机构未在规定的时间内作出答复的，可以在答复期满后十五个工作日内向同级政府采购监督管理部门提出投诉。</w:t>
      </w:r>
    </w:p>
    <w:p w14:paraId="68B7B6FD">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4.4.2</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供应商投诉的事项不得超出已质疑事项的范围，基于质疑答复内容提出的投诉事项除外。</w:t>
      </w:r>
    </w:p>
    <w:p w14:paraId="74F30DE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4.4.3</w:t>
      </w:r>
      <w:r>
        <w:rPr>
          <w:rFonts w:hint="eastAsia" w:hAnsi="宋体" w:cs="宋体"/>
          <w:color w:val="auto"/>
          <w:kern w:val="0"/>
          <w:sz w:val="24"/>
          <w:highlight w:val="none"/>
        </w:rPr>
        <w:t xml:space="preserve"> </w:t>
      </w:r>
      <w:r>
        <w:rPr>
          <w:rFonts w:hint="eastAsia" w:hAnsi="宋体" w:cs="宋体"/>
          <w:color w:val="auto"/>
          <w:kern w:val="0"/>
          <w:sz w:val="24"/>
          <w:highlight w:val="none"/>
          <w:lang w:val="zh-CN"/>
        </w:rPr>
        <w:t>供应商投诉应当有明确的请求和必要的证明材料。</w:t>
      </w:r>
    </w:p>
    <w:p w14:paraId="0E6B8938">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4.4.4 以联合体形式参加政府采购活动的，其投诉应当由组成联合体的所有供应商共同提出。</w:t>
      </w:r>
    </w:p>
    <w:p w14:paraId="04B7E3F4">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投诉书范本及制作说明详见附件3。</w:t>
      </w:r>
    </w:p>
    <w:p w14:paraId="3FC727EC">
      <w:pPr>
        <w:rPr>
          <w:rFonts w:ascii="宋体" w:hAnsi="宋体" w:cs="宋体"/>
          <w:color w:val="auto"/>
          <w:highlight w:val="none"/>
        </w:rPr>
      </w:pPr>
    </w:p>
    <w:p w14:paraId="33388D2E">
      <w:pPr>
        <w:pStyle w:val="3"/>
        <w:jc w:val="center"/>
        <w:rPr>
          <w:rFonts w:cs="宋体"/>
          <w:color w:val="auto"/>
          <w:highlight w:val="none"/>
        </w:rPr>
      </w:pPr>
      <w:bookmarkStart w:id="17" w:name="_Toc32424"/>
      <w:r>
        <w:rPr>
          <w:rFonts w:hint="eastAsia" w:cs="宋体"/>
          <w:color w:val="auto"/>
          <w:highlight w:val="none"/>
        </w:rPr>
        <w:t>二、招标文件的构成、澄清、修改</w:t>
      </w:r>
      <w:bookmarkEnd w:id="17"/>
    </w:p>
    <w:p w14:paraId="0C5C8B47">
      <w:pPr>
        <w:pStyle w:val="4"/>
        <w:rPr>
          <w:rFonts w:cs="宋体"/>
          <w:color w:val="auto"/>
          <w:highlight w:val="none"/>
        </w:rPr>
      </w:pPr>
      <w:r>
        <w:rPr>
          <w:rFonts w:hint="eastAsia" w:cs="宋体"/>
          <w:color w:val="auto"/>
          <w:highlight w:val="none"/>
        </w:rPr>
        <w:t>5.招标文件的构成</w:t>
      </w:r>
    </w:p>
    <w:p w14:paraId="02BD515E">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99E8C15">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 招标公告；</w:t>
      </w:r>
    </w:p>
    <w:p w14:paraId="4FDD2739">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 投标人须知；</w:t>
      </w:r>
    </w:p>
    <w:p w14:paraId="7AAF81F7">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 采购需求；</w:t>
      </w:r>
    </w:p>
    <w:p w14:paraId="559CCA0B">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 评标办法；</w:t>
      </w:r>
    </w:p>
    <w:p w14:paraId="43AC71DB">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 拟签订的合同文本；</w:t>
      </w:r>
    </w:p>
    <w:p w14:paraId="46914F59">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 xml:space="preserve">5.1.6 </w:t>
      </w:r>
      <w:r>
        <w:rPr>
          <w:rFonts w:hint="eastAsia" w:hAnsi="宋体" w:cs="宋体"/>
          <w:color w:val="auto"/>
          <w:sz w:val="24"/>
          <w:szCs w:val="24"/>
          <w:highlight w:val="none"/>
        </w:rPr>
        <w:t>应提交的有关格式范例。</w:t>
      </w:r>
    </w:p>
    <w:p w14:paraId="5A4E32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 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A55E2B0">
      <w:pPr>
        <w:pStyle w:val="4"/>
        <w:rPr>
          <w:rFonts w:cs="宋体"/>
          <w:color w:val="auto"/>
          <w:highlight w:val="none"/>
        </w:rPr>
      </w:pPr>
      <w:r>
        <w:rPr>
          <w:rFonts w:hint="eastAsia" w:cs="宋体"/>
          <w:color w:val="auto"/>
          <w:highlight w:val="none"/>
        </w:rPr>
        <w:t>6.招标文件的澄清、修改</w:t>
      </w:r>
    </w:p>
    <w:p w14:paraId="7C8C2A83">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6.1 已获取招标文件的潜在投标人，若有问题需要澄清，应于投标截止时间前，以书面形式向采购代理机构提出。</w:t>
      </w:r>
    </w:p>
    <w:p w14:paraId="078147DD">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91E2BA">
      <w:pPr>
        <w:rPr>
          <w:rFonts w:ascii="宋体" w:hAnsi="宋体" w:cs="宋体"/>
          <w:color w:val="auto"/>
          <w:highlight w:val="none"/>
        </w:rPr>
      </w:pPr>
    </w:p>
    <w:p w14:paraId="6B56210E">
      <w:pPr>
        <w:pStyle w:val="3"/>
        <w:jc w:val="center"/>
        <w:rPr>
          <w:rFonts w:cs="宋体"/>
          <w:color w:val="auto"/>
          <w:highlight w:val="none"/>
        </w:rPr>
      </w:pPr>
      <w:bookmarkStart w:id="18" w:name="_Toc6324"/>
      <w:r>
        <w:rPr>
          <w:rFonts w:hint="eastAsia" w:cs="宋体"/>
          <w:color w:val="auto"/>
          <w:highlight w:val="none"/>
        </w:rPr>
        <w:t>三、投标</w:t>
      </w:r>
      <w:bookmarkEnd w:id="18"/>
    </w:p>
    <w:p w14:paraId="7761ABEE">
      <w:pPr>
        <w:pStyle w:val="4"/>
        <w:rPr>
          <w:rFonts w:cs="宋体"/>
          <w:color w:val="auto"/>
          <w:highlight w:val="none"/>
        </w:rPr>
      </w:pPr>
      <w:r>
        <w:rPr>
          <w:rFonts w:hint="eastAsia" w:cs="宋体"/>
          <w:color w:val="auto"/>
          <w:highlight w:val="none"/>
        </w:rPr>
        <w:t>7.招标文件的获取</w:t>
      </w:r>
    </w:p>
    <w:p w14:paraId="2B17E886">
      <w:pPr>
        <w:spacing w:line="360" w:lineRule="auto"/>
        <w:ind w:firstLine="480" w:firstLineChars="200"/>
        <w:rPr>
          <w:rFonts w:ascii="宋体" w:hAnsi="宋体" w:cs="宋体"/>
          <w:color w:val="auto"/>
          <w:kern w:val="28"/>
          <w:sz w:val="24"/>
          <w:highlight w:val="none"/>
        </w:rPr>
      </w:pPr>
      <w:r>
        <w:rPr>
          <w:rFonts w:hint="eastAsia" w:ascii="宋体" w:hAnsi="宋体" w:cs="宋体"/>
          <w:color w:val="auto"/>
          <w:kern w:val="28"/>
          <w:sz w:val="24"/>
          <w:highlight w:val="none"/>
        </w:rPr>
        <w:t>详见招标公告中获取招标文件的时间期限、地点、方式及招标文件售价。</w:t>
      </w:r>
    </w:p>
    <w:p w14:paraId="0F0FC443">
      <w:pPr>
        <w:pStyle w:val="4"/>
        <w:rPr>
          <w:rFonts w:cs="宋体"/>
          <w:color w:val="auto"/>
          <w:highlight w:val="none"/>
        </w:rPr>
      </w:pPr>
      <w:r>
        <w:rPr>
          <w:rFonts w:hint="eastAsia" w:cs="宋体"/>
          <w:color w:val="auto"/>
          <w:highlight w:val="none"/>
        </w:rPr>
        <w:t>8.开标前答疑会或现场考察</w:t>
      </w:r>
    </w:p>
    <w:p w14:paraId="6D46EB79">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3F165736">
      <w:pPr>
        <w:pStyle w:val="4"/>
        <w:rPr>
          <w:rFonts w:cs="宋体"/>
          <w:color w:val="auto"/>
          <w:highlight w:val="none"/>
        </w:rPr>
      </w:pPr>
      <w:r>
        <w:rPr>
          <w:rFonts w:hint="eastAsia" w:cs="宋体"/>
          <w:color w:val="auto"/>
          <w:highlight w:val="none"/>
        </w:rPr>
        <w:t>9.投标保证金</w:t>
      </w:r>
    </w:p>
    <w:p w14:paraId="7F47DD0B">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5C0D74D">
      <w:pPr>
        <w:pStyle w:val="4"/>
        <w:rPr>
          <w:rFonts w:cs="宋体"/>
          <w:color w:val="auto"/>
          <w:highlight w:val="none"/>
        </w:rPr>
      </w:pPr>
      <w:r>
        <w:rPr>
          <w:rFonts w:hint="eastAsia" w:cs="宋体"/>
          <w:color w:val="auto"/>
          <w:highlight w:val="none"/>
        </w:rPr>
        <w:t>10.投标文件的语言</w:t>
      </w:r>
    </w:p>
    <w:p w14:paraId="74B57E4A">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A6AAE3C">
      <w:pPr>
        <w:pStyle w:val="4"/>
        <w:rPr>
          <w:rFonts w:cs="宋体"/>
          <w:color w:val="auto"/>
          <w:highlight w:val="none"/>
        </w:rPr>
      </w:pPr>
      <w:r>
        <w:rPr>
          <w:rFonts w:hint="eastAsia" w:cs="宋体"/>
          <w:color w:val="auto"/>
          <w:highlight w:val="none"/>
        </w:rPr>
        <w:t>11.投标文件的组成</w:t>
      </w:r>
    </w:p>
    <w:p w14:paraId="74A0D60D">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 xml:space="preserve">11.1 </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2D3F76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0D80912">
      <w:pPr>
        <w:snapToGrid w:val="0"/>
        <w:spacing w:line="360" w:lineRule="auto"/>
        <w:ind w:firstLine="960" w:firstLineChars="400"/>
        <w:rPr>
          <w:rFonts w:ascii="宋体" w:hAnsi="宋体" w:cs="宋体"/>
          <w:color w:val="auto"/>
          <w:sz w:val="24"/>
          <w:highlight w:val="none"/>
        </w:rPr>
      </w:pPr>
      <w:bookmarkStart w:id="19" w:name="_Hlk101259339"/>
      <w:bookmarkEnd w:id="19"/>
      <w:r>
        <w:rPr>
          <w:rFonts w:hint="eastAsia" w:ascii="宋体" w:hAnsi="宋体" w:cs="宋体"/>
          <w:color w:val="auto"/>
          <w:sz w:val="24"/>
          <w:highlight w:val="none"/>
        </w:rPr>
        <w:t>11.1.2</w:t>
      </w:r>
      <w:r>
        <w:rPr>
          <w:rFonts w:hint="eastAsia" w:ascii="宋体" w:hAnsi="宋体" w:cs="宋体"/>
          <w:color w:val="auto"/>
          <w:kern w:val="28"/>
          <w:sz w:val="24"/>
          <w:szCs w:val="20"/>
          <w:highlight w:val="none"/>
        </w:rPr>
        <w:t>联合协议（如果有)；</w:t>
      </w:r>
    </w:p>
    <w:p w14:paraId="57D5337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11.1.3落实政府采购政策需满足的资格要求</w:t>
      </w:r>
      <w:r>
        <w:rPr>
          <w:rFonts w:hint="eastAsia" w:ascii="宋体" w:hAnsi="宋体" w:cs="宋体"/>
          <w:color w:val="auto"/>
          <w:kern w:val="28"/>
          <w:sz w:val="24"/>
          <w:szCs w:val="20"/>
          <w:highlight w:val="none"/>
        </w:rPr>
        <w:t>（如果有)</w:t>
      </w:r>
      <w:r>
        <w:rPr>
          <w:rFonts w:hint="eastAsia" w:ascii="宋体" w:hAnsi="宋体" w:cs="宋体"/>
          <w:color w:val="auto"/>
          <w:sz w:val="24"/>
          <w:highlight w:val="none"/>
        </w:rPr>
        <w:t>；</w:t>
      </w:r>
    </w:p>
    <w:p w14:paraId="357654F6">
      <w:pPr>
        <w:snapToGrid w:val="0"/>
        <w:spacing w:line="360" w:lineRule="auto"/>
        <w:ind w:firstLine="960" w:firstLineChars="400"/>
        <w:rPr>
          <w:rFonts w:ascii="宋体" w:hAnsi="宋体" w:cs="宋体"/>
          <w:color w:val="auto"/>
          <w:kern w:val="28"/>
          <w:sz w:val="24"/>
          <w:szCs w:val="20"/>
          <w:highlight w:val="none"/>
        </w:rPr>
      </w:pPr>
      <w:r>
        <w:rPr>
          <w:rFonts w:hint="eastAsia" w:ascii="宋体" w:hAnsi="宋体" w:cs="宋体"/>
          <w:color w:val="auto"/>
          <w:sz w:val="24"/>
          <w:highlight w:val="none"/>
        </w:rPr>
        <w:t>11.1.4本项目的特定资格要求</w:t>
      </w:r>
      <w:r>
        <w:rPr>
          <w:rFonts w:hint="eastAsia" w:ascii="宋体" w:hAnsi="宋体" w:cs="宋体"/>
          <w:color w:val="auto"/>
          <w:kern w:val="28"/>
          <w:sz w:val="24"/>
          <w:szCs w:val="20"/>
          <w:highlight w:val="none"/>
        </w:rPr>
        <w:t>（如果有)；</w:t>
      </w:r>
    </w:p>
    <w:p w14:paraId="48C0D74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kern w:val="28"/>
          <w:sz w:val="24"/>
          <w:szCs w:val="20"/>
          <w:highlight w:val="none"/>
        </w:rPr>
        <w:t>11.1.5营业执照</w:t>
      </w:r>
      <w:r>
        <w:rPr>
          <w:rFonts w:hint="eastAsia" w:ascii="宋体" w:hAnsi="宋体" w:cs="宋体"/>
          <w:color w:val="auto"/>
          <w:sz w:val="24"/>
          <w:highlight w:val="none"/>
        </w:rPr>
        <w:t>。</w:t>
      </w:r>
    </w:p>
    <w:p w14:paraId="73D5AE10">
      <w:pPr>
        <w:snapToGrid w:val="0"/>
        <w:spacing w:line="360"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11.</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 xml:space="preserve"> </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p>
    <w:p w14:paraId="444E260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C3B0E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BC55DB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11.2.3分包意向协议</w:t>
      </w:r>
      <w:r>
        <w:rPr>
          <w:rFonts w:hint="eastAsia" w:ascii="宋体" w:hAnsi="宋体" w:cs="宋体"/>
          <w:color w:val="auto"/>
          <w:kern w:val="28"/>
          <w:sz w:val="24"/>
          <w:szCs w:val="20"/>
          <w:highlight w:val="none"/>
        </w:rPr>
        <w:t>（如果有)</w:t>
      </w:r>
      <w:r>
        <w:rPr>
          <w:rFonts w:hint="eastAsia" w:ascii="宋体" w:hAnsi="宋体" w:cs="宋体"/>
          <w:color w:val="auto"/>
          <w:sz w:val="24"/>
          <w:highlight w:val="none"/>
        </w:rPr>
        <w:t>；</w:t>
      </w:r>
    </w:p>
    <w:p w14:paraId="5CE25D7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071B1D7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11.2.5评标标准相应的商务技术资料；</w:t>
      </w:r>
    </w:p>
    <w:p w14:paraId="3A4CFFE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11.2.6投标标的清单；</w:t>
      </w:r>
    </w:p>
    <w:p w14:paraId="7194423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11.2.7商务技术偏离表；</w:t>
      </w:r>
    </w:p>
    <w:p w14:paraId="086AF5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w:t>
      </w:r>
    </w:p>
    <w:p w14:paraId="1D8AF651">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bCs/>
          <w:color w:val="auto"/>
          <w:kern w:val="0"/>
          <w:sz w:val="24"/>
          <w:highlight w:val="none"/>
          <w:lang w:val="zh-CN"/>
        </w:rPr>
        <w:t>11.</w:t>
      </w:r>
      <w:r>
        <w:rPr>
          <w:rFonts w:hint="eastAsia" w:ascii="宋体" w:hAnsi="宋体" w:cs="宋体"/>
          <w:b/>
          <w:bCs/>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18CA39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1F1CB09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11.3.2中小企业声明函（如果有)；</w:t>
      </w:r>
    </w:p>
    <w:p w14:paraId="6072368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11.3.3关于符合本国产品标准的声明函（如果有)。</w:t>
      </w:r>
    </w:p>
    <w:p w14:paraId="70AF8FDA">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AC58CF5">
      <w:pPr>
        <w:spacing w:line="360" w:lineRule="auto"/>
        <w:ind w:firstLine="723" w:firstLineChars="3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BA70537">
      <w:pPr>
        <w:pStyle w:val="4"/>
        <w:rPr>
          <w:rFonts w:cs="宋体"/>
          <w:color w:val="auto"/>
          <w:szCs w:val="24"/>
          <w:highlight w:val="none"/>
        </w:rPr>
      </w:pPr>
      <w:r>
        <w:rPr>
          <w:rFonts w:hint="eastAsia" w:cs="宋体"/>
          <w:color w:val="auto"/>
          <w:szCs w:val="24"/>
          <w:highlight w:val="none"/>
        </w:rPr>
        <w:t>12</w:t>
      </w:r>
      <w:r>
        <w:rPr>
          <w:rFonts w:hint="eastAsia" w:cs="宋体"/>
          <w:color w:val="auto"/>
          <w:kern w:val="0"/>
          <w:szCs w:val="24"/>
          <w:highlight w:val="none"/>
          <w:lang w:val="zh-CN"/>
        </w:rPr>
        <w:t>.</w:t>
      </w:r>
      <w:r>
        <w:rPr>
          <w:rFonts w:hint="eastAsia" w:cs="宋体"/>
          <w:color w:val="auto"/>
          <w:szCs w:val="24"/>
          <w:highlight w:val="none"/>
        </w:rPr>
        <w:t>投标文件的编制</w:t>
      </w:r>
    </w:p>
    <w:p w14:paraId="3DD0B345">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68C501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4891FDC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使用“政采云电子交易客户端”需要提前申领CA数字证书，申领流程请自行前往“浙江政府采购网-下载专区-电子交易客户端-CA驱动和申领流程”进行查阅。</w:t>
      </w:r>
    </w:p>
    <w:p w14:paraId="2125B608">
      <w:pPr>
        <w:pStyle w:val="4"/>
        <w:rPr>
          <w:rFonts w:cs="宋体"/>
          <w:color w:val="auto"/>
          <w:highlight w:val="none"/>
        </w:rPr>
      </w:pPr>
      <w:r>
        <w:rPr>
          <w:rFonts w:hint="eastAsia" w:cs="宋体"/>
          <w:color w:val="auto"/>
          <w:highlight w:val="none"/>
        </w:rPr>
        <w:t>13.投标文件的签署、盖章</w:t>
      </w:r>
    </w:p>
    <w:p w14:paraId="0E2FEF71">
      <w:pPr>
        <w:pStyle w:val="136"/>
        <w:snapToGrid w:val="0"/>
        <w:spacing w:before="0"/>
        <w:ind w:firstLine="480"/>
        <w:rPr>
          <w:rFonts w:ascii="宋体" w:hAnsi="宋体" w:cs="宋体"/>
          <w:b/>
          <w:color w:val="auto"/>
          <w:highlight w:val="none"/>
        </w:rPr>
      </w:pPr>
      <w:r>
        <w:rPr>
          <w:rFonts w:hint="eastAsia" w:ascii="宋体" w:hAnsi="宋体" w:cs="宋体"/>
          <w:color w:val="auto"/>
          <w:szCs w:val="24"/>
          <w:highlight w:val="none"/>
        </w:rPr>
        <w:t>13.1 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719DE58">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13.2 为确保网上操作合法、有效和安全，投标人应当在投标截止时间前完成在“政府采购云平台”的身份认证，确保在电子投标过程中能够对相关数据电文进行加密和使用电子签名。</w:t>
      </w:r>
    </w:p>
    <w:p w14:paraId="5F88A12F">
      <w:pPr>
        <w:pStyle w:val="136"/>
        <w:snapToGrid w:val="0"/>
        <w:spacing w:before="0"/>
        <w:ind w:firstLine="480"/>
        <w:rPr>
          <w:rFonts w:ascii="宋体" w:hAnsi="宋体" w:cs="宋体"/>
          <w:color w:val="auto"/>
          <w:szCs w:val="24"/>
          <w:highlight w:val="none"/>
        </w:rPr>
      </w:pPr>
      <w:r>
        <w:rPr>
          <w:rFonts w:hint="eastAsia" w:ascii="宋体" w:hAnsi="宋体" w:cs="宋体"/>
          <w:color w:val="auto"/>
          <w:highlight w:val="none"/>
        </w:rPr>
        <w:t>13.3 招标文件对投标文件签署、盖章的要求适用于电子签名。</w:t>
      </w:r>
    </w:p>
    <w:p w14:paraId="73D262B2">
      <w:pPr>
        <w:pStyle w:val="4"/>
        <w:rPr>
          <w:rFonts w:cs="宋体"/>
          <w:color w:val="auto"/>
          <w:highlight w:val="none"/>
        </w:rPr>
      </w:pPr>
      <w:r>
        <w:rPr>
          <w:rFonts w:hint="eastAsia" w:cs="宋体"/>
          <w:color w:val="auto"/>
          <w:highlight w:val="none"/>
        </w:rPr>
        <w:t>14.投标文件的提交、补充、修改、撤回</w:t>
      </w:r>
    </w:p>
    <w:p w14:paraId="42BFB22B">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BE84636">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14.2 电子交易平台收到投标文件，将妥善保存并即时向供应商发出确认回执通知。在投标截止时间前，除供应商补充、修改或者撤回投标文件外，任何单位和个人不得解密或提取投标文件。</w:t>
      </w:r>
    </w:p>
    <w:p w14:paraId="4BD90EF7">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14.3 采购人、采购代理机构可以视情况延长投标文件提交的截止时间。在上述情况下，采购代理机构与投标人以前在投标截止期方面的全部权利、责任和义务，将适用于延长至新的投标截止期。</w:t>
      </w:r>
    </w:p>
    <w:p w14:paraId="4D5B4356">
      <w:pPr>
        <w:pStyle w:val="4"/>
        <w:rPr>
          <w:rFonts w:cs="宋体"/>
          <w:color w:val="auto"/>
          <w:highlight w:val="none"/>
        </w:rPr>
      </w:pPr>
      <w:r>
        <w:rPr>
          <w:rFonts w:hint="eastAsia" w:cs="宋体"/>
          <w:color w:val="auto"/>
          <w:highlight w:val="none"/>
        </w:rPr>
        <w:t>15.备份投标文件</w:t>
      </w:r>
    </w:p>
    <w:p w14:paraId="24D12C84">
      <w:pPr>
        <w:pStyle w:val="136"/>
        <w:snapToGrid w:val="0"/>
        <w:spacing w:before="0"/>
        <w:ind w:firstLine="480"/>
        <w:rPr>
          <w:rFonts w:ascii="宋体" w:hAnsi="宋体" w:cs="宋体"/>
          <w:b/>
          <w:bCs/>
          <w:color w:val="auto"/>
          <w:highlight w:val="none"/>
        </w:rPr>
      </w:pPr>
      <w:r>
        <w:rPr>
          <w:rFonts w:hint="eastAsia" w:ascii="宋体" w:hAnsi="宋体" w:cs="宋体"/>
          <w:color w:val="auto"/>
          <w:highlight w:val="none"/>
        </w:rPr>
        <w:t>15.1 投标人在电子交易平台传输递交投标文件后，还可以在投标截止时间前直接提交或者以邮政快递方式递交备份投标文件1份，</w:t>
      </w:r>
      <w:r>
        <w:rPr>
          <w:rFonts w:hint="eastAsia" w:ascii="宋体" w:hAnsi="宋体" w:cs="宋体"/>
          <w:b/>
          <w:bCs/>
          <w:color w:val="auto"/>
          <w:highlight w:val="none"/>
        </w:rPr>
        <w:t>但采购人、采购代理机构不强制或变相强制投标人提交备份投标文件。</w:t>
      </w:r>
    </w:p>
    <w:p w14:paraId="306BC658">
      <w:pPr>
        <w:pStyle w:val="136"/>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15.2 备份投标文件须在“政采云投标客户端”制作生成，并储存在</w:t>
      </w:r>
      <w:r>
        <w:rPr>
          <w:rFonts w:hint="eastAsia" w:ascii="宋体" w:hAnsi="宋体" w:cs="宋体"/>
          <w:color w:val="auto"/>
          <w:highlight w:val="none"/>
        </w:rPr>
        <w:t>DVD光盘等存储介质</w:t>
      </w:r>
      <w:r>
        <w:rPr>
          <w:rFonts w:hint="eastAsia" w:ascii="宋体" w:hAnsi="宋体" w:cs="宋体"/>
          <w:color w:val="auto"/>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cs="宋体"/>
          <w:b/>
          <w:color w:val="auto"/>
          <w:highlight w:val="none"/>
        </w:rPr>
        <w:t>不符合上述制作、</w:t>
      </w:r>
      <w:r>
        <w:rPr>
          <w:rFonts w:hint="eastAsia" w:ascii="宋体" w:hAnsi="宋体" w:cs="宋体"/>
          <w:b/>
          <w:color w:val="auto"/>
          <w:szCs w:val="24"/>
          <w:highlight w:val="none"/>
        </w:rPr>
        <w:t>存储、密封规定的备份投标文件将被视为无效或者被拒绝接收。</w:t>
      </w:r>
    </w:p>
    <w:p w14:paraId="1BAA7DC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 直接提交备份投标文件的，投标人应于投标截止时间前在招标公告中载明的开标地点将备份投标文件提交给采购代理机构，采购代理机构将拒绝接受逾期送达的备份投标文件。</w:t>
      </w:r>
    </w:p>
    <w:p w14:paraId="61F953E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 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31333BA">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 投标人仅提交备份投标文件，未在电子交易平台传输递交投标文件的，投标无效。</w:t>
      </w:r>
    </w:p>
    <w:p w14:paraId="6E572B62">
      <w:pPr>
        <w:pStyle w:val="4"/>
        <w:rPr>
          <w:rFonts w:cs="宋体"/>
          <w:color w:val="auto"/>
          <w:highlight w:val="none"/>
        </w:rPr>
      </w:pPr>
      <w:r>
        <w:rPr>
          <w:rFonts w:hint="eastAsia" w:cs="宋体"/>
          <w:color w:val="auto"/>
          <w:highlight w:val="none"/>
        </w:rPr>
        <w:t>16.投标文件的无效处理</w:t>
      </w:r>
    </w:p>
    <w:p w14:paraId="2FBBA8CF">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hint="eastAsia" w:cs="宋体"/>
          <w:color w:val="auto"/>
          <w:highlight w:val="none"/>
        </w:rPr>
        <w:t>4.2规定</w:t>
      </w:r>
      <w:r>
        <w:rPr>
          <w:rFonts w:hint="eastAsia" w:cs="宋体"/>
          <w:color w:val="auto"/>
          <w:szCs w:val="21"/>
          <w:highlight w:val="none"/>
        </w:rPr>
        <w:t>的情形之一的，投标无效：</w:t>
      </w:r>
    </w:p>
    <w:p w14:paraId="65E6E972">
      <w:pPr>
        <w:pStyle w:val="4"/>
        <w:rPr>
          <w:rFonts w:cs="宋体"/>
          <w:color w:val="auto"/>
          <w:highlight w:val="none"/>
        </w:rPr>
      </w:pPr>
      <w:r>
        <w:rPr>
          <w:rFonts w:hint="eastAsia" w:cs="宋体"/>
          <w:color w:val="auto"/>
          <w:highlight w:val="none"/>
        </w:rPr>
        <w:t>17.投标有效期</w:t>
      </w:r>
    </w:p>
    <w:p w14:paraId="7A5F67A1">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 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A8B3FED">
      <w:pPr>
        <w:pStyle w:val="136"/>
        <w:spacing w:before="0"/>
        <w:ind w:firstLine="480"/>
        <w:rPr>
          <w:rFonts w:ascii="宋体" w:hAnsi="宋体" w:cs="宋体"/>
          <w:color w:val="auto"/>
          <w:highlight w:val="none"/>
        </w:rPr>
      </w:pPr>
      <w:r>
        <w:rPr>
          <w:rFonts w:hint="eastAsia" w:ascii="宋体" w:hAnsi="宋体" w:cs="宋体"/>
          <w:color w:val="auto"/>
          <w:highlight w:val="none"/>
        </w:rPr>
        <w:t>17.2 投标文件合格投递后，自投标截止日期起，在投标有效期内有效。</w:t>
      </w:r>
    </w:p>
    <w:p w14:paraId="7C075B12">
      <w:pPr>
        <w:pStyle w:val="136"/>
        <w:spacing w:before="0"/>
        <w:ind w:firstLine="480"/>
        <w:rPr>
          <w:rFonts w:ascii="宋体" w:hAnsi="宋体" w:cs="宋体"/>
          <w:color w:val="auto"/>
          <w:highlight w:val="none"/>
        </w:rPr>
      </w:pPr>
      <w:r>
        <w:rPr>
          <w:rFonts w:hint="eastAsia" w:ascii="宋体" w:hAnsi="宋体" w:cs="宋体"/>
          <w:color w:val="auto"/>
          <w:highlight w:val="none"/>
        </w:rPr>
        <w:t>17.3 在原定投标有效期满之前，如果出现特殊情况，采购代理机构可以以书面形式通知投标人延长投标有效期。投标人同意延长的，不得要求或被允许修改其投标文件，投标人拒绝延长的，其投标无效。</w:t>
      </w:r>
    </w:p>
    <w:p w14:paraId="1BC5DF66">
      <w:pPr>
        <w:pStyle w:val="136"/>
        <w:spacing w:before="0"/>
        <w:ind w:firstLine="480"/>
        <w:rPr>
          <w:rFonts w:ascii="宋体" w:hAnsi="宋体" w:cs="宋体"/>
          <w:color w:val="auto"/>
          <w:highlight w:val="none"/>
        </w:rPr>
      </w:pPr>
    </w:p>
    <w:p w14:paraId="357534E2">
      <w:pPr>
        <w:pStyle w:val="3"/>
        <w:jc w:val="center"/>
        <w:rPr>
          <w:rFonts w:cs="宋体"/>
          <w:color w:val="auto"/>
          <w:highlight w:val="none"/>
        </w:rPr>
      </w:pPr>
      <w:bookmarkStart w:id="20" w:name="_Toc12025"/>
      <w:r>
        <w:rPr>
          <w:rFonts w:hint="eastAsia" w:cs="宋体"/>
          <w:color w:val="auto"/>
          <w:highlight w:val="none"/>
        </w:rPr>
        <w:t>四、开标、资格审查与信用信息查询</w:t>
      </w:r>
      <w:bookmarkEnd w:id="20"/>
    </w:p>
    <w:p w14:paraId="24B2C221">
      <w:pPr>
        <w:pStyle w:val="4"/>
        <w:rPr>
          <w:rFonts w:cs="宋体"/>
          <w:color w:val="auto"/>
          <w:highlight w:val="none"/>
        </w:rPr>
      </w:pPr>
      <w:r>
        <w:rPr>
          <w:rFonts w:hint="eastAsia" w:cs="宋体"/>
          <w:color w:val="auto"/>
          <w:szCs w:val="24"/>
          <w:highlight w:val="none"/>
        </w:rPr>
        <w:t>18.开标</w:t>
      </w:r>
    </w:p>
    <w:p w14:paraId="21C0BEEA">
      <w:pPr>
        <w:pStyle w:val="55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 采购代理机构按照招标文件规定的时间通过电子交易平台组织开标，所有投标人均应当准时在线参加。投标人不足3家的，不得开标。</w:t>
      </w:r>
    </w:p>
    <w:p w14:paraId="27A83E6D">
      <w:pPr>
        <w:pStyle w:val="55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 开标时，电子交易平台按开标时间自动提取所有投标文件。采购代理机构依托电子交易平台发起开始解密指令，投标人按照平台提示和招标文件的规定在半小时内完成在线解密。</w:t>
      </w:r>
    </w:p>
    <w:p w14:paraId="2EC048BA">
      <w:pPr>
        <w:pStyle w:val="559"/>
        <w:spacing w:before="0" w:line="360" w:lineRule="auto"/>
        <w:ind w:left="0"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 xml:space="preserve">18.3 </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0D467ED0">
      <w:pPr>
        <w:pStyle w:val="4"/>
        <w:rPr>
          <w:rFonts w:cs="宋体"/>
          <w:color w:val="auto"/>
          <w:highlight w:val="none"/>
        </w:rPr>
      </w:pPr>
      <w:r>
        <w:rPr>
          <w:rFonts w:hint="eastAsia" w:cs="宋体"/>
          <w:color w:val="auto"/>
          <w:highlight w:val="none"/>
        </w:rPr>
        <w:t>19.资格审查</w:t>
      </w:r>
    </w:p>
    <w:p w14:paraId="2C6764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 xml:space="preserve">19.1 </w:t>
      </w:r>
      <w:r>
        <w:rPr>
          <w:rFonts w:hint="eastAsia" w:ascii="宋体" w:hAnsi="宋体" w:cs="宋体"/>
          <w:color w:val="auto"/>
          <w:sz w:val="24"/>
          <w:highlight w:val="none"/>
        </w:rPr>
        <w:t>采购代理机构依据法律法规和招标文件的规定，对投标人的资格进行审查。</w:t>
      </w:r>
    </w:p>
    <w:p w14:paraId="14DC49F0">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19.2 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789E391">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 对未通过资格审查的投标人，采购人或采购代理机构告知其未通过的原因。</w:t>
      </w:r>
    </w:p>
    <w:p w14:paraId="44F1F3DD">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 合格投标人不足3家的，不再评标。</w:t>
      </w:r>
    </w:p>
    <w:p w14:paraId="4740F43A">
      <w:pPr>
        <w:pStyle w:val="4"/>
        <w:rPr>
          <w:rFonts w:cs="宋体"/>
          <w:color w:val="auto"/>
          <w:highlight w:val="none"/>
        </w:rPr>
      </w:pPr>
      <w:r>
        <w:rPr>
          <w:rFonts w:hint="eastAsia" w:cs="宋体"/>
          <w:color w:val="auto"/>
          <w:highlight w:val="none"/>
        </w:rPr>
        <w:t>20.信用信息查询</w:t>
      </w:r>
    </w:p>
    <w:p w14:paraId="35D4F95C">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 信用信息查询渠道及截止时间：采购代理机构将在资格审查时通过“信用中国”网站(www.creditchina.gov.cn)、中国政府采购网(www.ccgp.gov.cn)渠道查询投标人接受资格审查时的信用记录。</w:t>
      </w:r>
    </w:p>
    <w:p w14:paraId="668ECE8F">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 信用信息查询记录和证据留存的具体方式：现场查询的投标人的信用记录、查询结果经确认后将与采购文件一起存档。</w:t>
      </w:r>
    </w:p>
    <w:p w14:paraId="122F1EBC">
      <w:pPr>
        <w:pStyle w:val="13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 信用信息的使用规则：经查询列入失信被执行人名单、重大税收违法案件当事人名单、政府采购严重违法失信行为记录名单的投标人将被拒绝参与政府采购活动。</w:t>
      </w:r>
    </w:p>
    <w:p w14:paraId="6D6AB63A">
      <w:pPr>
        <w:pStyle w:val="136"/>
        <w:spacing w:before="0"/>
        <w:ind w:firstLine="480"/>
        <w:rPr>
          <w:rFonts w:ascii="宋体" w:hAnsi="宋体" w:cs="宋体"/>
          <w:color w:val="auto"/>
          <w:highlight w:val="none"/>
        </w:rPr>
      </w:pPr>
      <w:r>
        <w:rPr>
          <w:rFonts w:hint="eastAsia" w:ascii="宋体" w:hAnsi="宋体" w:cs="宋体"/>
          <w:color w:val="auto"/>
          <w:kern w:val="0"/>
          <w:szCs w:val="24"/>
          <w:highlight w:val="none"/>
        </w:rPr>
        <w:t>20.4 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DD5E0F4">
      <w:pPr>
        <w:pStyle w:val="136"/>
        <w:spacing w:before="0"/>
        <w:ind w:firstLine="0" w:firstLineChars="0"/>
        <w:rPr>
          <w:rFonts w:ascii="宋体" w:hAnsi="宋体" w:cs="宋体"/>
          <w:color w:val="auto"/>
          <w:kern w:val="0"/>
          <w:szCs w:val="24"/>
          <w:highlight w:val="none"/>
        </w:rPr>
      </w:pPr>
    </w:p>
    <w:p w14:paraId="4E24D1F3">
      <w:pPr>
        <w:pStyle w:val="3"/>
        <w:jc w:val="center"/>
        <w:rPr>
          <w:rFonts w:cs="宋体"/>
          <w:color w:val="auto"/>
          <w:highlight w:val="none"/>
        </w:rPr>
      </w:pPr>
      <w:bookmarkStart w:id="21" w:name="_Toc2269"/>
      <w:r>
        <w:rPr>
          <w:rFonts w:hint="eastAsia" w:cs="宋体"/>
          <w:color w:val="auto"/>
          <w:highlight w:val="none"/>
        </w:rPr>
        <w:t>五、评标</w:t>
      </w:r>
      <w:bookmarkEnd w:id="21"/>
    </w:p>
    <w:p w14:paraId="1AACE416">
      <w:pPr>
        <w:pStyle w:val="4"/>
        <w:rPr>
          <w:rFonts w:cs="宋体"/>
          <w:color w:val="auto"/>
          <w:highlight w:val="none"/>
        </w:rPr>
      </w:pPr>
      <w:r>
        <w:rPr>
          <w:rFonts w:hint="eastAsia" w:cs="宋体"/>
          <w:color w:val="auto"/>
          <w:highlight w:val="none"/>
        </w:rPr>
        <w:t>21.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详见招标文件第四部分评标办法。</w:t>
      </w:r>
    </w:p>
    <w:p w14:paraId="22061F86">
      <w:pPr>
        <w:rPr>
          <w:rFonts w:ascii="宋体" w:hAnsi="宋体" w:cs="宋体"/>
          <w:color w:val="auto"/>
          <w:highlight w:val="none"/>
        </w:rPr>
      </w:pPr>
    </w:p>
    <w:p w14:paraId="2C1A8091">
      <w:pPr>
        <w:pStyle w:val="3"/>
        <w:jc w:val="center"/>
        <w:rPr>
          <w:rFonts w:cs="宋体"/>
          <w:color w:val="auto"/>
          <w:highlight w:val="none"/>
        </w:rPr>
      </w:pPr>
      <w:bookmarkStart w:id="22" w:name="_Toc1866"/>
      <w:r>
        <w:rPr>
          <w:rFonts w:hint="eastAsia" w:cs="宋体"/>
          <w:color w:val="auto"/>
          <w:highlight w:val="none"/>
        </w:rPr>
        <w:t>六、定标</w:t>
      </w:r>
      <w:bookmarkEnd w:id="22"/>
    </w:p>
    <w:p w14:paraId="48E5353D">
      <w:pPr>
        <w:pStyle w:val="4"/>
        <w:rPr>
          <w:rFonts w:cs="宋体"/>
          <w:color w:val="auto"/>
          <w:highlight w:val="none"/>
        </w:rPr>
      </w:pPr>
      <w:r>
        <w:rPr>
          <w:rFonts w:hint="eastAsia" w:cs="宋体"/>
          <w:color w:val="auto"/>
          <w:highlight w:val="none"/>
        </w:rPr>
        <w:t>22.确定中标人</w:t>
      </w:r>
    </w:p>
    <w:p w14:paraId="42143AE2">
      <w:pPr>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中标人。中标、成交通知书和中标、成交结果公告应当在规定时间内同时发出。</w:t>
      </w:r>
    </w:p>
    <w:p w14:paraId="50D4EB6C">
      <w:pPr>
        <w:pStyle w:val="4"/>
        <w:rPr>
          <w:rFonts w:cs="宋体"/>
          <w:color w:val="auto"/>
          <w:highlight w:val="none"/>
        </w:rPr>
      </w:pPr>
      <w:r>
        <w:rPr>
          <w:rFonts w:hint="eastAsia" w:cs="宋体"/>
          <w:color w:val="auto"/>
          <w:highlight w:val="none"/>
        </w:rPr>
        <w:t>23.中标通知与中标结果公告</w:t>
      </w:r>
    </w:p>
    <w:p w14:paraId="6C831F9E">
      <w:pPr>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 自中标人确定之日起2个工作日内，采购代理机构通过电子交易平台向中标人发出中标通知书，同时编制发布采购结果公告。采购代理机构也可以以纸质形式进行中标通知。</w:t>
      </w:r>
    </w:p>
    <w:p w14:paraId="33E3493C">
      <w:pPr>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 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3C59BE4">
      <w:pPr>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 公告期限为1个工作日。</w:t>
      </w:r>
    </w:p>
    <w:p w14:paraId="1E240B6E">
      <w:pPr>
        <w:rPr>
          <w:rFonts w:ascii="宋体" w:hAnsi="宋体" w:cs="宋体"/>
          <w:color w:val="auto"/>
          <w:highlight w:val="none"/>
        </w:rPr>
      </w:pPr>
    </w:p>
    <w:p w14:paraId="3F10FD4B">
      <w:pPr>
        <w:pStyle w:val="3"/>
        <w:jc w:val="center"/>
        <w:rPr>
          <w:rFonts w:cs="宋体"/>
          <w:color w:val="auto"/>
          <w:highlight w:val="none"/>
        </w:rPr>
      </w:pPr>
      <w:bookmarkStart w:id="23" w:name="_Toc300"/>
      <w:r>
        <w:rPr>
          <w:rFonts w:hint="eastAsia" w:cs="宋体"/>
          <w:color w:val="auto"/>
          <w:highlight w:val="none"/>
        </w:rPr>
        <w:t>七、合同授予</w:t>
      </w:r>
      <w:bookmarkEnd w:id="23"/>
    </w:p>
    <w:p w14:paraId="69C3F532">
      <w:pPr>
        <w:pStyle w:val="4"/>
        <w:rPr>
          <w:rFonts w:cs="宋体"/>
          <w:color w:val="auto"/>
          <w:highlight w:val="none"/>
        </w:rPr>
      </w:pPr>
      <w:r>
        <w:rPr>
          <w:rFonts w:hint="eastAsia" w:cs="宋体"/>
          <w:color w:val="auto"/>
          <w:highlight w:val="none"/>
        </w:rPr>
        <w:t>24.合同主要条款详见第五部分拟签订的合同文本。</w:t>
      </w:r>
    </w:p>
    <w:p w14:paraId="12279E63">
      <w:pPr>
        <w:pStyle w:val="4"/>
        <w:rPr>
          <w:rFonts w:cs="宋体"/>
          <w:color w:val="auto"/>
          <w:highlight w:val="none"/>
        </w:rPr>
      </w:pPr>
      <w:r>
        <w:rPr>
          <w:rFonts w:hint="eastAsia" w:cs="宋体"/>
          <w:color w:val="auto"/>
          <w:highlight w:val="none"/>
        </w:rPr>
        <w:t>25.合同的签订</w:t>
      </w:r>
    </w:p>
    <w:p w14:paraId="77AF40A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4814FDD6">
      <w:pPr>
        <w:pStyle w:val="136"/>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2ED747C0">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25.3 如签订合同并生效后，供应商无故拒绝或延期，除按照合同条款处理外，列入不良行为记录一次，并给予通报。</w:t>
      </w:r>
    </w:p>
    <w:p w14:paraId="3A809310">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25.4 中标人拒绝与采购人签订合同的，采购人可以按照评审报告推荐的中标或者成交候选人名单排序，确定下一候选人为中标人，也可以重新开展政府采购活动。</w:t>
      </w:r>
    </w:p>
    <w:p w14:paraId="09EAEDF2">
      <w:pPr>
        <w:pStyle w:val="136"/>
        <w:snapToGrid w:val="0"/>
        <w:spacing w:before="0" w:after="120"/>
        <w:ind w:firstLine="480"/>
        <w:rPr>
          <w:rFonts w:ascii="宋体" w:hAnsi="宋体" w:cs="宋体"/>
          <w:color w:val="auto"/>
          <w:highlight w:val="none"/>
        </w:rPr>
      </w:pPr>
      <w:r>
        <w:rPr>
          <w:rFonts w:hint="eastAsia" w:ascii="宋体" w:hAnsi="宋体" w:cs="宋体"/>
          <w:color w:val="auto"/>
          <w:highlight w:val="none"/>
        </w:rPr>
        <w:t>25.5 采购合同由采购人与中标人根据招标文件、投标文件等内容通过政府采购电子交易平台在线签订，自动备案。</w:t>
      </w:r>
    </w:p>
    <w:p w14:paraId="59DA0A1F">
      <w:pPr>
        <w:pStyle w:val="4"/>
        <w:rPr>
          <w:rFonts w:cs="宋体"/>
          <w:color w:val="auto"/>
          <w:highlight w:val="none"/>
        </w:rPr>
      </w:pPr>
      <w:r>
        <w:rPr>
          <w:rFonts w:hint="eastAsia" w:cs="宋体"/>
          <w:color w:val="auto"/>
          <w:highlight w:val="none"/>
        </w:rPr>
        <w:t>26.履约保证金</w:t>
      </w:r>
    </w:p>
    <w:p w14:paraId="4DA95FF4">
      <w:pPr>
        <w:tabs>
          <w:tab w:val="left" w:pos="0"/>
        </w:tabs>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拟签订的合同文本要求中标人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53FF098E">
      <w:pPr>
        <w:tabs>
          <w:tab w:val="left" w:pos="0"/>
        </w:tabs>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ABBC1B9">
      <w:pPr>
        <w:pStyle w:val="4"/>
        <w:rPr>
          <w:rFonts w:cs="宋体"/>
          <w:color w:val="auto"/>
          <w:highlight w:val="none"/>
        </w:rPr>
      </w:pPr>
      <w:r>
        <w:rPr>
          <w:rFonts w:hint="eastAsia" w:cs="宋体"/>
          <w:color w:val="auto"/>
          <w:highlight w:val="none"/>
        </w:rPr>
        <w:t>27.预付款</w:t>
      </w:r>
    </w:p>
    <w:p w14:paraId="5FDF0275">
      <w:pPr>
        <w:adjustRightInd/>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采购单位应当在政府采购合同中约定预付款，对中小企业合同预付款比例原则上不低于合同金额的30％，不高于合同金额的70%；项目分年安排预算的，每年预付款比例不低于项目年度计划支付资金额的30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53D53779">
      <w:pPr>
        <w:rPr>
          <w:rFonts w:ascii="宋体" w:hAnsi="宋体" w:cs="宋体"/>
          <w:color w:val="auto"/>
          <w:highlight w:val="none"/>
        </w:rPr>
      </w:pPr>
    </w:p>
    <w:p w14:paraId="12FFFD4D">
      <w:pPr>
        <w:pStyle w:val="3"/>
        <w:jc w:val="center"/>
        <w:rPr>
          <w:rFonts w:cs="宋体"/>
          <w:color w:val="auto"/>
          <w:highlight w:val="none"/>
        </w:rPr>
      </w:pPr>
      <w:bookmarkStart w:id="24" w:name="_Toc10170"/>
      <w:r>
        <w:rPr>
          <w:rFonts w:hint="eastAsia" w:cs="宋体"/>
          <w:color w:val="auto"/>
          <w:highlight w:val="none"/>
        </w:rPr>
        <w:t>八、电子交易活动的中止</w:t>
      </w:r>
      <w:bookmarkEnd w:id="24"/>
    </w:p>
    <w:p w14:paraId="2033EDA2">
      <w:pPr>
        <w:pStyle w:val="4"/>
        <w:rPr>
          <w:rFonts w:cs="宋体"/>
          <w:color w:val="auto"/>
          <w:highlight w:val="none"/>
        </w:rPr>
      </w:pPr>
      <w:r>
        <w:rPr>
          <w:rFonts w:hint="eastAsia" w:cs="宋体"/>
          <w:color w:val="auto"/>
          <w:highlight w:val="none"/>
        </w:rPr>
        <w:t>28.电子交易活动的中止。</w:t>
      </w:r>
    </w:p>
    <w:p w14:paraId="6A6159BD">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1436B40A">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 电子交易平台发生故障而无法登录访问的； </w:t>
      </w:r>
    </w:p>
    <w:p w14:paraId="5896B451">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28.2 电子交易平台应用或数据库出现错误，不能进行正常操作的；</w:t>
      </w:r>
    </w:p>
    <w:p w14:paraId="3E89082A">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28.3 电子交易平台发现严重安全漏洞，有潜在泄密危险的；</w:t>
      </w:r>
    </w:p>
    <w:p w14:paraId="5B6687A4">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 病毒发作导致不能进行正常操作的； </w:t>
      </w:r>
    </w:p>
    <w:p w14:paraId="0EF5C513">
      <w:pPr>
        <w:pStyle w:val="136"/>
        <w:snapToGrid w:val="0"/>
        <w:spacing w:before="0"/>
        <w:ind w:firstLine="480"/>
        <w:rPr>
          <w:rFonts w:ascii="宋体" w:hAnsi="宋体" w:cs="宋体"/>
          <w:color w:val="auto"/>
          <w:highlight w:val="none"/>
        </w:rPr>
      </w:pPr>
      <w:r>
        <w:rPr>
          <w:rFonts w:hint="eastAsia" w:ascii="宋体" w:hAnsi="宋体" w:cs="宋体"/>
          <w:color w:val="auto"/>
          <w:highlight w:val="none"/>
        </w:rPr>
        <w:t>28.5 其他无法保证电子交易的公平、公正和安全的情况。</w:t>
      </w:r>
    </w:p>
    <w:p w14:paraId="6C18AB12">
      <w:pPr>
        <w:pStyle w:val="4"/>
        <w:rPr>
          <w:rFonts w:cs="宋体"/>
          <w:color w:val="auto"/>
          <w:highlight w:val="none"/>
        </w:rPr>
      </w:pPr>
      <w:r>
        <w:rPr>
          <w:rFonts w:hint="eastAsia"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326B8C9F">
      <w:pPr>
        <w:rPr>
          <w:rFonts w:ascii="宋体" w:hAnsi="宋体" w:cs="宋体"/>
          <w:color w:val="auto"/>
          <w:highlight w:val="none"/>
        </w:rPr>
      </w:pPr>
    </w:p>
    <w:p w14:paraId="2C075308">
      <w:pPr>
        <w:pStyle w:val="3"/>
        <w:jc w:val="center"/>
        <w:rPr>
          <w:rFonts w:cs="宋体"/>
          <w:color w:val="auto"/>
          <w:highlight w:val="none"/>
        </w:rPr>
      </w:pPr>
      <w:bookmarkStart w:id="25" w:name="_Toc23650"/>
      <w:r>
        <w:rPr>
          <w:rFonts w:hint="eastAsia" w:cs="宋体"/>
          <w:color w:val="auto"/>
          <w:highlight w:val="none"/>
        </w:rPr>
        <w:t>九、验收</w:t>
      </w:r>
      <w:bookmarkEnd w:id="25"/>
    </w:p>
    <w:p w14:paraId="67B4759A">
      <w:pPr>
        <w:pStyle w:val="4"/>
        <w:rPr>
          <w:rFonts w:cs="宋体"/>
          <w:color w:val="auto"/>
          <w:highlight w:val="none"/>
        </w:rPr>
      </w:pPr>
      <w:r>
        <w:rPr>
          <w:rFonts w:hint="eastAsia" w:cs="宋体"/>
          <w:color w:val="auto"/>
          <w:highlight w:val="none"/>
        </w:rPr>
        <w:t>30.验收</w:t>
      </w:r>
    </w:p>
    <w:p w14:paraId="0F93461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ADD7B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 采购人可以邀请参加本项目的其他投标人或者第三方机构参与验收。参与验收的投标人或者第三方机构的意见作为验收书的参考资料一并存档。</w:t>
      </w:r>
    </w:p>
    <w:p w14:paraId="748C621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E9ADADB">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D6ACCE5">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bookmarkStart w:id="26" w:name="_Hlt75236290"/>
      <w:bookmarkEnd w:id="26"/>
      <w:bookmarkStart w:id="27" w:name="_Hlt68072998"/>
      <w:bookmarkEnd w:id="27"/>
      <w:bookmarkStart w:id="28" w:name="_Hlt74729768"/>
      <w:bookmarkEnd w:id="28"/>
      <w:bookmarkStart w:id="29" w:name="_Hlt68403820"/>
      <w:bookmarkEnd w:id="29"/>
      <w:bookmarkStart w:id="30" w:name="_Hlt68072990"/>
      <w:bookmarkEnd w:id="30"/>
      <w:bookmarkStart w:id="31" w:name="_Hlt74730295"/>
      <w:bookmarkEnd w:id="31"/>
      <w:bookmarkStart w:id="32" w:name="_Hlt74707468"/>
      <w:bookmarkEnd w:id="32"/>
      <w:bookmarkStart w:id="33" w:name="_Hlt75236011"/>
      <w:bookmarkEnd w:id="33"/>
      <w:bookmarkStart w:id="34" w:name="_Hlt74714665"/>
      <w:bookmarkEnd w:id="34"/>
      <w:bookmarkStart w:id="35" w:name="_Hlt68073093"/>
      <w:bookmarkEnd w:id="35"/>
      <w:bookmarkStart w:id="36" w:name="_Hlt75236101"/>
      <w:bookmarkEnd w:id="36"/>
      <w:bookmarkStart w:id="37" w:name="_Hlt68057669"/>
      <w:bookmarkEnd w:id="37"/>
    </w:p>
    <w:p w14:paraId="28245384">
      <w:pPr>
        <w:pStyle w:val="2"/>
        <w:rPr>
          <w:rFonts w:ascii="宋体" w:hAnsi="宋体" w:cs="宋体"/>
          <w:color w:val="auto"/>
          <w:highlight w:val="none"/>
        </w:rPr>
      </w:pPr>
      <w:bookmarkStart w:id="38" w:name="_Toc22177"/>
      <w:bookmarkStart w:id="39" w:name="第四部分"/>
      <w:r>
        <w:rPr>
          <w:rFonts w:hint="eastAsia" w:ascii="宋体" w:hAnsi="宋体" w:cs="宋体"/>
          <w:color w:val="auto"/>
          <w:szCs w:val="36"/>
          <w:highlight w:val="none"/>
        </w:rPr>
        <w:t>第三部分</w:t>
      </w:r>
      <w:r>
        <w:rPr>
          <w:rFonts w:hint="eastAsia" w:ascii="宋体" w:hAnsi="宋体" w:cs="宋体"/>
          <w:color w:val="auto"/>
          <w:highlight w:val="none"/>
        </w:rPr>
        <w:t xml:space="preserve"> </w:t>
      </w:r>
      <w:r>
        <w:rPr>
          <w:rFonts w:hint="eastAsia" w:ascii="宋体" w:hAnsi="宋体" w:cs="宋体"/>
          <w:color w:val="auto"/>
          <w:highlight w:val="none"/>
        </w:rPr>
        <w:t>采购需求</w:t>
      </w:r>
      <w:bookmarkEnd w:id="38"/>
    </w:p>
    <w:p w14:paraId="5C5B4101">
      <w:pPr>
        <w:autoSpaceDE w:val="0"/>
        <w:autoSpaceDN w:val="0"/>
        <w:snapToGrid w:val="0"/>
        <w:spacing w:line="360" w:lineRule="auto"/>
        <w:ind w:right="-20"/>
        <w:rPr>
          <w:rFonts w:ascii="宋体" w:hAnsi="宋体" w:cs="宋体"/>
          <w:color w:val="auto"/>
          <w:sz w:val="24"/>
          <w:highlight w:val="none"/>
        </w:rPr>
      </w:pPr>
      <w:bookmarkStart w:id="40" w:name="_Toc20170"/>
      <w:r>
        <w:rPr>
          <w:rFonts w:hint="eastAsia" w:ascii="宋体" w:hAnsi="宋体" w:cs="宋体"/>
          <w:color w:val="auto"/>
          <w:sz w:val="24"/>
          <w:highlight w:val="none"/>
        </w:rPr>
        <w:t>采购需求：</w:t>
      </w:r>
    </w:p>
    <w:tbl>
      <w:tblPr>
        <w:tblStyle w:val="6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4655"/>
        <w:gridCol w:w="3896"/>
      </w:tblGrid>
      <w:tr w14:paraId="56F1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07" w:type="pct"/>
            <w:vAlign w:val="center"/>
          </w:tcPr>
          <w:p w14:paraId="24F2D7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标项</w:t>
            </w:r>
          </w:p>
        </w:tc>
        <w:tc>
          <w:tcPr>
            <w:tcW w:w="2336" w:type="pct"/>
            <w:vAlign w:val="center"/>
          </w:tcPr>
          <w:p w14:paraId="73A4A1B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采购内容</w:t>
            </w:r>
          </w:p>
        </w:tc>
        <w:tc>
          <w:tcPr>
            <w:tcW w:w="1955" w:type="pct"/>
            <w:vAlign w:val="center"/>
          </w:tcPr>
          <w:p w14:paraId="2000AB0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采购预算（人民币万元）</w:t>
            </w:r>
          </w:p>
        </w:tc>
      </w:tr>
      <w:tr w14:paraId="1121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707" w:type="pct"/>
            <w:vAlign w:val="center"/>
          </w:tcPr>
          <w:p w14:paraId="5198210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336" w:type="pct"/>
            <w:vAlign w:val="center"/>
          </w:tcPr>
          <w:p w14:paraId="0E16AFC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航海模拟器软件升级</w:t>
            </w:r>
          </w:p>
        </w:tc>
        <w:tc>
          <w:tcPr>
            <w:tcW w:w="1955" w:type="pct"/>
            <w:vAlign w:val="center"/>
          </w:tcPr>
          <w:p w14:paraId="0759DBC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40.00</w:t>
            </w:r>
          </w:p>
        </w:tc>
      </w:tr>
      <w:tr w14:paraId="25B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707" w:type="pct"/>
            <w:vAlign w:val="center"/>
          </w:tcPr>
          <w:p w14:paraId="1C9089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336" w:type="pct"/>
            <w:vAlign w:val="center"/>
          </w:tcPr>
          <w:p w14:paraId="7C49392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航海模拟器部分硬件升级</w:t>
            </w:r>
          </w:p>
        </w:tc>
        <w:tc>
          <w:tcPr>
            <w:tcW w:w="1955" w:type="pct"/>
            <w:vAlign w:val="center"/>
          </w:tcPr>
          <w:p w14:paraId="5D78AD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37.00</w:t>
            </w:r>
          </w:p>
        </w:tc>
      </w:tr>
    </w:tbl>
    <w:p w14:paraId="0C7A250C">
      <w:pPr>
        <w:pStyle w:val="4"/>
        <w:ind w:firstLine="0" w:firstLineChars="0"/>
        <w:jc w:val="both"/>
        <w:rPr>
          <w:rFonts w:cs="宋体"/>
          <w:color w:val="auto"/>
          <w:szCs w:val="24"/>
          <w:highlight w:val="none"/>
          <w:lang w:val="zh-TW"/>
        </w:rPr>
      </w:pPr>
      <w:r>
        <w:rPr>
          <w:rFonts w:hint="eastAsia" w:cs="宋体"/>
          <w:color w:val="auto"/>
          <w:szCs w:val="24"/>
          <w:highlight w:val="none"/>
        </w:rPr>
        <w:t>一、项目介绍</w:t>
      </w:r>
    </w:p>
    <w:p w14:paraId="67D9792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项目由交通运输部海事局主办的第七届“全国海员技能大比武”将于2026年6月25日在舟山举行，我校作为大赛协办方，将承办“船舶应急避踫”项目赛事，为高质量的保障赛事圆满完成，结合我院航海模拟器实际使用需求，决定对其进行软、硬件升级。</w:t>
      </w:r>
    </w:p>
    <w:p w14:paraId="4F60495F">
      <w:pPr>
        <w:numPr>
          <w:ilvl w:val="255"/>
          <w:numId w:val="0"/>
        </w:num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1、标项一：航海模拟器软件升级</w:t>
      </w:r>
    </w:p>
    <w:p w14:paraId="5AB048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项目介绍</w:t>
      </w:r>
      <w:r>
        <w:rPr>
          <w:rFonts w:hint="eastAsia" w:ascii="宋体" w:hAnsi="宋体" w:cs="宋体"/>
          <w:color w:val="auto"/>
          <w:sz w:val="24"/>
          <w:highlight w:val="none"/>
        </w:rPr>
        <w:t>：浙江海洋大学</w:t>
      </w:r>
      <w:r>
        <w:rPr>
          <w:rFonts w:hint="eastAsia" w:ascii="宋体" w:hAnsi="宋体" w:cs="宋体"/>
          <w:color w:val="auto"/>
          <w:sz w:val="24"/>
          <w:highlight w:val="none"/>
          <w:lang w:bidi="ar"/>
        </w:rPr>
        <w:t>航海模拟器软件版本迭代升级情况如下:</w:t>
      </w:r>
    </w:p>
    <w:p w14:paraId="0627D476">
      <w:pPr>
        <w:snapToGrid w:val="0"/>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lang w:bidi="ar"/>
        </w:rPr>
        <w:t>1）始建于2008年，初始版本为V-DRAGON 3000；</w:t>
      </w:r>
    </w:p>
    <w:p w14:paraId="7BE91AB7">
      <w:pPr>
        <w:snapToGrid w:val="0"/>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lang w:bidi="ar"/>
        </w:rPr>
        <w:t>2）2013年搬迁至长峙校区重新安装，版本升级为V-DRAGON 4000；</w:t>
      </w:r>
    </w:p>
    <w:p w14:paraId="0A20E8BA">
      <w:pPr>
        <w:snapToGrid w:val="0"/>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lang w:bidi="ar"/>
        </w:rPr>
        <w:t xml:space="preserve">3）2017年第5届大比武之前升级为V-DRAGON 5000, </w:t>
      </w:r>
    </w:p>
    <w:p w14:paraId="4D23F3E0">
      <w:pPr>
        <w:numPr>
          <w:ilvl w:val="0"/>
          <w:numId w:val="1"/>
        </w:numPr>
        <w:snapToGrid w:val="0"/>
        <w:spacing w:line="360" w:lineRule="auto"/>
        <w:ind w:left="420" w:leftChars="200"/>
        <w:rPr>
          <w:rFonts w:ascii="宋体" w:hAnsi="宋体" w:cs="宋体"/>
          <w:color w:val="auto"/>
          <w:sz w:val="24"/>
          <w:highlight w:val="none"/>
          <w:lang w:bidi="ar"/>
        </w:rPr>
      </w:pPr>
      <w:r>
        <w:rPr>
          <w:rFonts w:hint="eastAsia" w:ascii="宋体" w:hAnsi="宋体" w:cs="宋体"/>
          <w:color w:val="auto"/>
          <w:sz w:val="24"/>
          <w:highlight w:val="none"/>
          <w:lang w:bidi="ar"/>
        </w:rPr>
        <w:t>本次将升级到V-DRAGON 6000：为满足本次大赛对航海模拟器更高的性能需求以及国家海事局2024年出台的新的船员考试评估规则，升级内容包括：视景升级支持4K显示，应急场景能模拟船舶碰撞后船舱进水及溢油污染，能模拟引航员接送，引航梯收放，能控制救生艇释放，能模拟搁浅和脱浅操作等等。（具体升级情况详见采购明细表）</w:t>
      </w:r>
    </w:p>
    <w:p w14:paraId="604EF971">
      <w:pPr>
        <w:snapToGrid w:val="0"/>
        <w:spacing w:line="360" w:lineRule="auto"/>
        <w:ind w:firstLine="482" w:firstLineChars="200"/>
        <w:rPr>
          <w:rFonts w:ascii="宋体" w:hAnsi="宋体" w:cs="宋体"/>
          <w:color w:val="auto"/>
          <w:sz w:val="24"/>
          <w:highlight w:val="none"/>
          <w:lang w:bidi="ar"/>
        </w:rPr>
      </w:pPr>
      <w:r>
        <w:rPr>
          <w:rFonts w:hint="eastAsia" w:ascii="宋体" w:hAnsi="宋体" w:cs="宋体"/>
          <w:b/>
          <w:bCs/>
          <w:color w:val="auto"/>
          <w:sz w:val="24"/>
          <w:highlight w:val="none"/>
          <w:lang w:bidi="ar"/>
        </w:rPr>
        <w:t>（2）交付与付款</w:t>
      </w:r>
      <w:r>
        <w:rPr>
          <w:rFonts w:hint="eastAsia" w:ascii="宋体" w:hAnsi="宋体" w:cs="宋体"/>
          <w:color w:val="auto"/>
          <w:sz w:val="24"/>
          <w:highlight w:val="none"/>
          <w:lang w:bidi="ar"/>
        </w:rPr>
        <w:t>：合同签订之日起15天内交付，大比武结束及验收完毕后我方按程序付款。</w:t>
      </w:r>
    </w:p>
    <w:p w14:paraId="4499A2BC">
      <w:pPr>
        <w:numPr>
          <w:ilvl w:val="255"/>
          <w:numId w:val="0"/>
        </w:numPr>
        <w:snapToGrid w:val="0"/>
        <w:spacing w:line="360" w:lineRule="auto"/>
        <w:ind w:firstLine="482" w:firstLineChars="200"/>
        <w:rPr>
          <w:rFonts w:ascii="宋体" w:hAnsi="宋体" w:cs="宋体"/>
          <w:color w:val="auto"/>
          <w:sz w:val="24"/>
          <w:highlight w:val="none"/>
          <w:lang w:bidi="ar"/>
        </w:rPr>
      </w:pPr>
      <w:r>
        <w:rPr>
          <w:rFonts w:hint="eastAsia" w:ascii="宋体" w:hAnsi="宋体" w:cs="宋体"/>
          <w:b/>
          <w:bCs/>
          <w:color w:val="auto"/>
          <w:sz w:val="24"/>
          <w:highlight w:val="none"/>
          <w:lang w:bidi="ar"/>
        </w:rPr>
        <w:t>（3）服务和响应</w:t>
      </w:r>
      <w:r>
        <w:rPr>
          <w:rFonts w:hint="eastAsia" w:ascii="宋体" w:hAnsi="宋体" w:cs="宋体"/>
          <w:color w:val="auto"/>
          <w:sz w:val="24"/>
          <w:highlight w:val="none"/>
          <w:lang w:bidi="ar"/>
        </w:rPr>
        <w:t>：此次软件升级后，在大比武期间供货商全程提供技术人员现场技术维护，质保期为5年，质保期间软件维护响应时间为24小时。</w:t>
      </w:r>
    </w:p>
    <w:p w14:paraId="77B45E61">
      <w:pPr>
        <w:spacing w:line="560" w:lineRule="exact"/>
        <w:ind w:firstLine="482" w:firstLineChars="200"/>
        <w:rPr>
          <w:rFonts w:ascii="宋体" w:hAnsi="宋体" w:cs="宋体"/>
          <w:b/>
          <w:bCs/>
          <w:color w:val="auto"/>
          <w:sz w:val="24"/>
          <w:highlight w:val="none"/>
          <w:lang w:bidi="ar"/>
        </w:rPr>
      </w:pPr>
      <w:r>
        <w:rPr>
          <w:rFonts w:hint="eastAsia" w:ascii="宋体" w:hAnsi="宋体" w:cs="宋体"/>
          <w:b/>
          <w:bCs/>
          <w:color w:val="auto"/>
          <w:sz w:val="24"/>
          <w:highlight w:val="none"/>
          <w:lang w:bidi="ar"/>
        </w:rPr>
        <w:t>（4）采购清单及技术要求</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264"/>
        <w:gridCol w:w="7209"/>
        <w:gridCol w:w="770"/>
      </w:tblGrid>
      <w:tr w14:paraId="35DC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19" w:type="dxa"/>
            <w:vAlign w:val="center"/>
          </w:tcPr>
          <w:p w14:paraId="4092B39D">
            <w:pPr>
              <w:snapToGrid w:val="0"/>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264" w:type="dxa"/>
            <w:vAlign w:val="center"/>
          </w:tcPr>
          <w:p w14:paraId="1779AA31">
            <w:pPr>
              <w:snapToGrid w:val="0"/>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设备名称</w:t>
            </w:r>
          </w:p>
        </w:tc>
        <w:tc>
          <w:tcPr>
            <w:tcW w:w="7209" w:type="dxa"/>
            <w:vAlign w:val="center"/>
          </w:tcPr>
          <w:p w14:paraId="4C5300AC">
            <w:pPr>
              <w:pStyle w:val="60"/>
              <w:snapToGrid w:val="0"/>
              <w:spacing w:before="0" w:beforeAutospacing="0" w:after="0" w:afterAutospacing="0" w:line="360" w:lineRule="auto"/>
              <w:jc w:val="center"/>
              <w:rPr>
                <w:rFonts w:cs="宋体"/>
                <w:b/>
                <w:bCs/>
                <w:color w:val="auto"/>
                <w:highlight w:val="none"/>
              </w:rPr>
            </w:pPr>
            <w:r>
              <w:rPr>
                <w:rFonts w:hint="eastAsia" w:cs="宋体"/>
                <w:b/>
                <w:bCs/>
                <w:color w:val="auto"/>
                <w:highlight w:val="none"/>
              </w:rPr>
              <w:t>参考型号及性能指标</w:t>
            </w:r>
          </w:p>
        </w:tc>
        <w:tc>
          <w:tcPr>
            <w:tcW w:w="770" w:type="dxa"/>
            <w:vAlign w:val="center"/>
          </w:tcPr>
          <w:p w14:paraId="1656EB78">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r>
      <w:tr w14:paraId="330C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91F07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64" w:type="dxa"/>
            <w:vAlign w:val="center"/>
          </w:tcPr>
          <w:p w14:paraId="2932356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教练员站软件</w:t>
            </w:r>
          </w:p>
        </w:tc>
        <w:tc>
          <w:tcPr>
            <w:tcW w:w="7209" w:type="dxa"/>
          </w:tcPr>
          <w:p w14:paraId="4A76EB4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570235C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（1）新增引航艇三维模型，能在教练员站操作及控制引航艇计划航线；</w:t>
            </w:r>
          </w:p>
          <w:p w14:paraId="5AF4EAC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（2）能操作和设置船舶碰撞后发生溢油故障；</w:t>
            </w:r>
          </w:p>
          <w:p w14:paraId="5E8A1DA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（3）能够记录和显示训练过程中雷达、海图、仿真控制单元、综合信息显示、望远镜等单元操作图像；</w:t>
            </w:r>
          </w:p>
          <w:p w14:paraId="7E00FF8E">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（4）能够记录和显示本船训练过程中的音频和视频；</w:t>
            </w:r>
          </w:p>
          <w:p w14:paraId="5577FDA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（5）能对全训练过程进行回放，回放时可跟随回放进度，匹配显示雷达、海图、仿真控制单元、综合信息显示、望远镜等单元操作图像，还可匹配播放音频和视频，能够全方位进行回放讲评。</w:t>
            </w:r>
          </w:p>
        </w:tc>
        <w:tc>
          <w:tcPr>
            <w:tcW w:w="770" w:type="dxa"/>
            <w:vAlign w:val="center"/>
          </w:tcPr>
          <w:p w14:paraId="38B555D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1套</w:t>
            </w:r>
          </w:p>
        </w:tc>
      </w:tr>
      <w:tr w14:paraId="601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5CE487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64" w:type="dxa"/>
            <w:vAlign w:val="center"/>
          </w:tcPr>
          <w:p w14:paraId="4A9011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三维视景软件</w:t>
            </w:r>
          </w:p>
        </w:tc>
        <w:tc>
          <w:tcPr>
            <w:tcW w:w="7209" w:type="dxa"/>
          </w:tcPr>
          <w:p w14:paraId="144CEBBB">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64DCAF0B">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（1）能够在三维场景中显示引航艇三维模型及其运动；</w:t>
            </w:r>
          </w:p>
          <w:p w14:paraId="5D205026">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（2）能够模拟引航梯在左舷或者右舷布置的效果；</w:t>
            </w:r>
          </w:p>
          <w:p w14:paraId="3CE4E3B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（3）能够模拟引航艇跟随大船、抵靠大船的效果。</w:t>
            </w:r>
          </w:p>
          <w:p w14:paraId="2063B6AE">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（4）船舶发生碰撞后能够在三维场景中显示溢油的效果；</w:t>
            </w:r>
          </w:p>
          <w:p w14:paraId="427A4116">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（5）能够模拟碰撞后船首、船尾和船中进水的动画；</w:t>
            </w:r>
          </w:p>
          <w:p w14:paraId="0C2224A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（6）能够显示救生艇释放的动画。</w:t>
            </w:r>
          </w:p>
        </w:tc>
        <w:tc>
          <w:tcPr>
            <w:tcW w:w="770" w:type="dxa"/>
            <w:vAlign w:val="center"/>
          </w:tcPr>
          <w:p w14:paraId="613C330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3套</w:t>
            </w:r>
          </w:p>
        </w:tc>
      </w:tr>
      <w:tr w14:paraId="74C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712BC75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64" w:type="dxa"/>
            <w:vAlign w:val="center"/>
          </w:tcPr>
          <w:p w14:paraId="551DC7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仿真控制单元</w:t>
            </w:r>
          </w:p>
        </w:tc>
        <w:tc>
          <w:tcPr>
            <w:tcW w:w="7209" w:type="dxa"/>
          </w:tcPr>
          <w:p w14:paraId="1F5ACBC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0EA74FC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（1）能够控制引航梯的收放；</w:t>
            </w:r>
          </w:p>
          <w:p w14:paraId="123D4FF7">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（2）能够显示船舶六面吃水；</w:t>
            </w:r>
          </w:p>
          <w:p w14:paraId="7729C1C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（3）能够控制救生艇的收放。</w:t>
            </w:r>
          </w:p>
        </w:tc>
        <w:tc>
          <w:tcPr>
            <w:tcW w:w="770" w:type="dxa"/>
            <w:vAlign w:val="center"/>
          </w:tcPr>
          <w:p w14:paraId="471797B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3套</w:t>
            </w:r>
          </w:p>
        </w:tc>
      </w:tr>
      <w:tr w14:paraId="7765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854E96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264" w:type="dxa"/>
            <w:vAlign w:val="center"/>
          </w:tcPr>
          <w:p w14:paraId="1E51C5A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船舶运动模型软件</w:t>
            </w:r>
          </w:p>
        </w:tc>
        <w:tc>
          <w:tcPr>
            <w:tcW w:w="7209" w:type="dxa"/>
          </w:tcPr>
          <w:p w14:paraId="497A6FAE">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7CCF506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（1）能够模拟碰撞船尾后舵机和螺旋桨故障；</w:t>
            </w:r>
          </w:p>
          <w:p w14:paraId="78F1C06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（2）能够模拟搁浅后，船舶在拖轮协助下脱浅的运动；</w:t>
            </w:r>
          </w:p>
        </w:tc>
        <w:tc>
          <w:tcPr>
            <w:tcW w:w="770" w:type="dxa"/>
            <w:vAlign w:val="center"/>
          </w:tcPr>
          <w:p w14:paraId="6AE843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3套</w:t>
            </w:r>
          </w:p>
        </w:tc>
      </w:tr>
      <w:tr w14:paraId="1D15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731E11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264" w:type="dxa"/>
            <w:vAlign w:val="center"/>
          </w:tcPr>
          <w:p w14:paraId="19048C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电子海图软件</w:t>
            </w:r>
          </w:p>
        </w:tc>
        <w:tc>
          <w:tcPr>
            <w:tcW w:w="7209" w:type="dxa"/>
          </w:tcPr>
          <w:p w14:paraId="4B10165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573D36D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（1）光栅海图加载显示；</w:t>
            </w:r>
          </w:p>
          <w:p w14:paraId="5B89B84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（2）ARPA目标叠加显示；</w:t>
            </w:r>
          </w:p>
          <w:p w14:paraId="73F881D1">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（3）试操船功能；</w:t>
            </w:r>
          </w:p>
          <w:p w14:paraId="17AB0B2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（4）能插入航行记录信息、设定自动记录时间间隔、变更船时、输入附加数据等的方法；</w:t>
            </w:r>
          </w:p>
          <w:p w14:paraId="45C7CAD7">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（5）能正确查询船舶航行历史数据和航迹回放；</w:t>
            </w:r>
          </w:p>
          <w:p w14:paraId="3E2CB85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（6）编制航次数据和报告；</w:t>
            </w:r>
          </w:p>
          <w:p w14:paraId="35A326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（7）存储和打印航行记录内容。</w:t>
            </w:r>
          </w:p>
        </w:tc>
        <w:tc>
          <w:tcPr>
            <w:tcW w:w="770" w:type="dxa"/>
            <w:vAlign w:val="center"/>
          </w:tcPr>
          <w:p w14:paraId="357EDDD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3套</w:t>
            </w:r>
          </w:p>
        </w:tc>
      </w:tr>
      <w:tr w14:paraId="3A62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761C2C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264" w:type="dxa"/>
            <w:vAlign w:val="center"/>
          </w:tcPr>
          <w:p w14:paraId="125CA7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雷达软件</w:t>
            </w:r>
          </w:p>
        </w:tc>
        <w:tc>
          <w:tcPr>
            <w:tcW w:w="7209" w:type="dxa"/>
          </w:tcPr>
          <w:p w14:paraId="537B9C5B">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为满足最新海船船员适任评估规范（2024版）的要求，在现有软件功能的基础上，增加以下功能：</w:t>
            </w:r>
          </w:p>
          <w:p w14:paraId="554A7CE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（1）雷达录取跟踪目标发送到电子海图显示</w:t>
            </w:r>
          </w:p>
        </w:tc>
        <w:tc>
          <w:tcPr>
            <w:tcW w:w="770" w:type="dxa"/>
            <w:vAlign w:val="center"/>
          </w:tcPr>
          <w:p w14:paraId="0B68C19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3套</w:t>
            </w:r>
          </w:p>
        </w:tc>
      </w:tr>
      <w:tr w14:paraId="2EF5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B8D5F9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264" w:type="dxa"/>
            <w:vAlign w:val="center"/>
          </w:tcPr>
          <w:p w14:paraId="25B8508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柱幕无缝拼接模块</w:t>
            </w:r>
          </w:p>
        </w:tc>
        <w:tc>
          <w:tcPr>
            <w:tcW w:w="7209" w:type="dxa"/>
          </w:tcPr>
          <w:p w14:paraId="21817DB5">
            <w:pPr>
              <w:snapToGrid w:val="0"/>
              <w:spacing w:line="360" w:lineRule="auto"/>
              <w:rPr>
                <w:rFonts w:ascii="宋体" w:hAnsi="宋体" w:cs="宋体"/>
                <w:color w:val="auto"/>
                <w:sz w:val="24"/>
                <w:highlight w:val="none"/>
              </w:rPr>
            </w:pPr>
            <w:r>
              <w:rPr>
                <w:rFonts w:hint="eastAsia" w:ascii="宋体" w:hAnsi="宋体" w:cs="宋体"/>
                <w:bCs/>
                <w:color w:val="auto"/>
                <w:sz w:val="24"/>
                <w:highlight w:val="none"/>
                <w:lang w:bidi="ar"/>
              </w:rPr>
              <w:t>显示幕形状为平柱幕，输入输出分辨率至少4k；颜色三色调整；基于显示内容的边缘融合；基于NURBS曲面几何校正控制点至少可达10*10</w:t>
            </w:r>
            <w:r>
              <w:rPr>
                <w:rFonts w:hint="eastAsia"/>
                <w:color w:val="auto"/>
                <w:highlight w:val="none"/>
              </w:rPr>
              <w:t>个</w:t>
            </w:r>
          </w:p>
        </w:tc>
        <w:tc>
          <w:tcPr>
            <w:tcW w:w="770" w:type="dxa"/>
            <w:vAlign w:val="center"/>
          </w:tcPr>
          <w:p w14:paraId="1D017B9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10套</w:t>
            </w:r>
          </w:p>
        </w:tc>
      </w:tr>
    </w:tbl>
    <w:p w14:paraId="292D80B2">
      <w:pPr>
        <w:numPr>
          <w:ilvl w:val="255"/>
          <w:numId w:val="0"/>
        </w:num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2、标项二：海模拟器部分硬件升级</w:t>
      </w:r>
    </w:p>
    <w:p w14:paraId="0ECA88D6">
      <w:pPr>
        <w:numPr>
          <w:ilvl w:val="255"/>
          <w:numId w:val="0"/>
        </w:numPr>
        <w:snapToGrid w:val="0"/>
        <w:spacing w:line="360" w:lineRule="auto"/>
        <w:ind w:left="420" w:leftChars="200"/>
        <w:rPr>
          <w:rFonts w:ascii="宋体" w:hAnsi="宋体" w:cs="宋体"/>
          <w:color w:val="auto"/>
          <w:sz w:val="24"/>
          <w:highlight w:val="none"/>
        </w:rPr>
      </w:pPr>
      <w:r>
        <w:rPr>
          <w:rFonts w:hint="eastAsia" w:ascii="宋体" w:hAnsi="宋体" w:cs="宋体"/>
          <w:b/>
          <w:bCs/>
          <w:color w:val="auto"/>
          <w:sz w:val="24"/>
          <w:highlight w:val="none"/>
        </w:rPr>
        <w:t>（1）采购内容</w:t>
      </w:r>
      <w:r>
        <w:rPr>
          <w:rFonts w:hint="eastAsia" w:ascii="宋体" w:hAnsi="宋体" w:cs="宋体"/>
          <w:color w:val="auto"/>
          <w:sz w:val="24"/>
          <w:highlight w:val="none"/>
        </w:rPr>
        <w:t>：</w:t>
      </w:r>
    </w:p>
    <w:p w14:paraId="75B63E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10台高性能影像设备于360°主本船视景。原主本船设备采购于2017年，采用的是12通道模式，目前因性能老化，加之布设过于紧密，影响散热，造成在长时间使用情况下经常性过热保护而自动黑屏。此次改为10通道模式，由原先的4:3模式改为16:10，显示亮度由原来的5000流明改为8000流明，预计将极大的改善模拟器显示效果。</w:t>
      </w:r>
    </w:p>
    <w:p w14:paraId="0B24F1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2）采购2台教学工作站用于本船MODEl模块。由于模拟器软件升级迭代，用于本船最核心的MODEL&amp;CONNIN显示单元运算量将大大增强，原教学工作站已不堪重负，因此采购两台处理器较强且带独立显卡的教学工作站。</w:t>
      </w:r>
    </w:p>
    <w:p w14:paraId="6A33F08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3）硬件安装及布设。供货方需按采购人要求进行安装与布设，由此产生的周边耗材及费用由投标人自行考虑在投标报价内，采购人不再额外支付任何费用。</w:t>
      </w:r>
    </w:p>
    <w:p w14:paraId="11858398">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（2）交付与付款</w:t>
      </w:r>
      <w:r>
        <w:rPr>
          <w:rFonts w:hint="eastAsia" w:ascii="宋体" w:hAnsi="宋体" w:cs="宋体"/>
          <w:color w:val="auto"/>
          <w:sz w:val="24"/>
          <w:highlight w:val="none"/>
        </w:rPr>
        <w:t>：合同签订之日起7天内交付，在大比武期间供货商全程提供技术人员现场技术维护，确保设备运行稳定，大比武结束及验收完毕后我方按程序付款。</w:t>
      </w:r>
    </w:p>
    <w:p w14:paraId="74E64730">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（3）服务和响应</w:t>
      </w:r>
    </w:p>
    <w:p w14:paraId="228956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项目开始和结束时应向用户提供下述技术文档：①提供项目施工方案、进度计划、货物到货计划、人员机具配备计划等；②产品安装、运行、使用、测试、诊断和维修的技术文件；③设备及软件产品配置计划（包括配置图和配件清单）；④所购设备及软件的安装指南、使用手册、许可证、介质；⑤测试及验收文档；⑥监理单位要求的其他文档。</w:t>
      </w:r>
    </w:p>
    <w:p w14:paraId="62AAC4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在试运行前二周，中标人需提交包括控制、操作和维护手册一式六份，以便于采购人和相关人员能预先对将要运行的设备有所了解。至少应包括下列基本内容：</w:t>
      </w:r>
    </w:p>
    <w:p w14:paraId="0EC8E3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1）所有设备规格和详细操作说明，</w:t>
      </w:r>
      <w:r>
        <w:rPr>
          <w:rFonts w:hint="eastAsia" w:ascii="宋体" w:hAnsi="宋体" w:cs="宋体"/>
          <w:color w:val="auto"/>
          <w:sz w:val="24"/>
          <w:highlight w:val="none"/>
        </w:rPr>
        <w:t>根据国家电子产品三包原则进行质保，质保期至少三年。</w:t>
      </w:r>
    </w:p>
    <w:p w14:paraId="505C3BB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2）主要部件常见故障说明，说明书应包括备件清单、操作和维修方法。</w:t>
      </w:r>
    </w:p>
    <w:p w14:paraId="7CAC17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3）例行维修保养项目和期限的建议。</w:t>
      </w:r>
    </w:p>
    <w:p w14:paraId="545217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4）紧急安全措施的建议。</w:t>
      </w:r>
    </w:p>
    <w:p w14:paraId="6ED0F1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5）紧急维修中心电话号码、地址，维修人员的电话号码。</w:t>
      </w:r>
    </w:p>
    <w:p w14:paraId="761E3B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6）应于验收后向采购人提供验收报告、技术文档的归纳、整理、提交，并提供完整的软、硬件技术资料。</w:t>
      </w:r>
    </w:p>
    <w:p w14:paraId="3629E8E7">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lang w:bidi="ar"/>
        </w:rPr>
        <w:t>（4）采购清单及技术要求</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15"/>
        <w:gridCol w:w="7149"/>
        <w:gridCol w:w="781"/>
      </w:tblGrid>
      <w:tr w14:paraId="69D5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5442E850">
            <w:pPr>
              <w:snapToGrid w:val="0"/>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315" w:type="dxa"/>
            <w:vAlign w:val="center"/>
          </w:tcPr>
          <w:p w14:paraId="206E3295">
            <w:pPr>
              <w:snapToGrid w:val="0"/>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设备名称</w:t>
            </w:r>
          </w:p>
        </w:tc>
        <w:tc>
          <w:tcPr>
            <w:tcW w:w="7149" w:type="dxa"/>
            <w:vAlign w:val="center"/>
          </w:tcPr>
          <w:p w14:paraId="7398F72C">
            <w:pPr>
              <w:pStyle w:val="60"/>
              <w:snapToGrid w:val="0"/>
              <w:spacing w:before="0" w:beforeAutospacing="0" w:after="0" w:afterAutospacing="0"/>
              <w:jc w:val="center"/>
              <w:rPr>
                <w:rFonts w:cs="宋体"/>
                <w:b/>
                <w:bCs/>
                <w:color w:val="auto"/>
                <w:highlight w:val="none"/>
              </w:rPr>
            </w:pPr>
            <w:r>
              <w:rPr>
                <w:rFonts w:hint="eastAsia" w:cs="宋体"/>
                <w:b/>
                <w:bCs/>
                <w:color w:val="auto"/>
                <w:highlight w:val="none"/>
              </w:rPr>
              <w:t>参考型号及性能指标</w:t>
            </w:r>
          </w:p>
        </w:tc>
        <w:tc>
          <w:tcPr>
            <w:tcW w:w="781" w:type="dxa"/>
            <w:vAlign w:val="center"/>
          </w:tcPr>
          <w:p w14:paraId="573F9211">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数量</w:t>
            </w:r>
          </w:p>
        </w:tc>
      </w:tr>
      <w:tr w14:paraId="3156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C1FE49B">
            <w:pPr>
              <w:snapToGrid w:val="0"/>
              <w:jc w:val="center"/>
              <w:rPr>
                <w:rFonts w:ascii="宋体" w:hAnsi="宋体" w:cs="宋体"/>
                <w:b/>
                <w:bCs/>
                <w:color w:val="auto"/>
                <w:sz w:val="24"/>
                <w:highlight w:val="none"/>
              </w:rPr>
            </w:pPr>
            <w:r>
              <w:rPr>
                <w:rFonts w:hint="eastAsia" w:ascii="宋体" w:hAnsi="宋体" w:cs="宋体"/>
                <w:b/>
                <w:bCs/>
                <w:color w:val="auto"/>
                <w:sz w:val="22"/>
                <w:szCs w:val="22"/>
                <w:highlight w:val="none"/>
              </w:rPr>
              <w:t>注：标“</w:t>
            </w:r>
            <w:r>
              <w:rPr>
                <w:rFonts w:hint="eastAsia" w:asciiTheme="minorEastAsia" w:hAnsiTheme="minorEastAsia" w:eastAsiaTheme="minorEastAsia" w:cstheme="minorEastAsia"/>
                <w:color w:val="auto"/>
                <w:szCs w:val="21"/>
                <w:highlight w:val="none"/>
              </w:rPr>
              <w:t>▲</w:t>
            </w:r>
            <w:r>
              <w:rPr>
                <w:rFonts w:hint="eastAsia" w:ascii="宋体" w:hAnsi="宋体" w:cs="宋体"/>
                <w:b/>
                <w:bCs/>
                <w:color w:val="auto"/>
                <w:sz w:val="22"/>
                <w:szCs w:val="22"/>
                <w:highlight w:val="none"/>
              </w:rPr>
              <w:t>”为重要指标项，实质性参数，必须满足，否则作无效标处理。标“★”为重要参数。</w:t>
            </w:r>
          </w:p>
        </w:tc>
      </w:tr>
      <w:tr w14:paraId="41EC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CCF9BBB">
            <w:pPr>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315" w:type="dxa"/>
            <w:vAlign w:val="center"/>
          </w:tcPr>
          <w:p w14:paraId="6719EE52">
            <w:pPr>
              <w:snapToGrid w:val="0"/>
              <w:jc w:val="center"/>
              <w:rPr>
                <w:rFonts w:ascii="宋体" w:hAnsi="宋体" w:cs="宋体"/>
                <w:color w:val="auto"/>
                <w:sz w:val="24"/>
                <w:highlight w:val="none"/>
              </w:rPr>
            </w:pPr>
            <w:r>
              <w:rPr>
                <w:rFonts w:hint="eastAsia" w:ascii="宋体" w:hAnsi="宋体" w:cs="宋体"/>
                <w:color w:val="auto"/>
                <w:kern w:val="0"/>
                <w:sz w:val="24"/>
                <w:highlight w:val="none"/>
                <w:lang w:bidi="ar"/>
              </w:rPr>
              <w:t>影像设备</w:t>
            </w:r>
          </w:p>
        </w:tc>
        <w:tc>
          <w:tcPr>
            <w:tcW w:w="7149" w:type="dxa"/>
            <w:vAlign w:val="center"/>
          </w:tcPr>
          <w:p w14:paraId="10E64E45">
            <w:pPr>
              <w:numPr>
                <w:ilvl w:val="0"/>
                <w:numId w:val="2"/>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显示技术：不低于0.67寸DLP® 技术, WUXGA DMD芯片</w:t>
            </w:r>
          </w:p>
          <w:p w14:paraId="4029213E">
            <w:pPr>
              <w:numPr>
                <w:ilvl w:val="0"/>
                <w:numId w:val="2"/>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分辨率≥1920×1200，16：10（提供具备CMA资质的检测报告复印件）</w:t>
            </w:r>
          </w:p>
          <w:p w14:paraId="3C7E2165">
            <w:pPr>
              <w:numPr>
                <w:ilvl w:val="0"/>
                <w:numId w:val="2"/>
              </w:numPr>
              <w:tabs>
                <w:tab w:val="left" w:pos="332"/>
              </w:tabs>
              <w:snapToGrid w:val="0"/>
              <w:spacing w:after="120"/>
              <w:rPr>
                <w:rFonts w:ascii="宋体" w:hAnsi="宋体" w:cs="宋体"/>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rPr>
              <w:t>输出亮度(高亮模式)/对比度≥8000 ISO21118流明（提供具备CMA资质的检测报告复印件）</w:t>
            </w:r>
          </w:p>
          <w:p w14:paraId="0950E83A">
            <w:pPr>
              <w:numPr>
                <w:ilvl w:val="0"/>
                <w:numId w:val="2"/>
              </w:numPr>
              <w:tabs>
                <w:tab w:val="left" w:pos="332"/>
              </w:tabs>
              <w:snapToGrid w:val="0"/>
              <w:spacing w:after="120"/>
              <w:rPr>
                <w:rFonts w:ascii="宋体" w:hAnsi="宋体" w:cs="宋体"/>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rPr>
              <w:t>对比度≥/3,000,000:1（极黑模式），均匀度≥90%（提供具备CMA资质的检测报告复印件）</w:t>
            </w:r>
          </w:p>
          <w:p w14:paraId="5EFDDE68">
            <w:pPr>
              <w:numPr>
                <w:ilvl w:val="0"/>
                <w:numId w:val="2"/>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可显示色彩：≥1073.4百万色</w:t>
            </w:r>
          </w:p>
          <w:p w14:paraId="257AC217">
            <w:pPr>
              <w:numPr>
                <w:ilvl w:val="0"/>
                <w:numId w:val="2"/>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标配原厂镜头（1.22-1.52），</w:t>
            </w:r>
          </w:p>
          <w:p w14:paraId="088B53BC">
            <w:pPr>
              <w:numPr>
                <w:ilvl w:val="0"/>
                <w:numId w:val="2"/>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数字梯形校正V± 40°,H± 30°</w:t>
            </w:r>
          </w:p>
          <w:p w14:paraId="46844C28">
            <w:pPr>
              <w:snapToGrid w:val="0"/>
              <w:rPr>
                <w:rFonts w:ascii="宋体" w:hAnsi="宋体" w:cs="宋体"/>
                <w:color w:val="auto"/>
                <w:sz w:val="24"/>
                <w:highlight w:val="none"/>
              </w:rPr>
            </w:pPr>
            <w:r>
              <w:rPr>
                <w:rFonts w:hint="eastAsia" w:ascii="宋体" w:hAnsi="宋体" w:cs="宋体"/>
                <w:color w:val="auto"/>
                <w:sz w:val="24"/>
                <w:highlight w:val="none"/>
              </w:rPr>
              <w:t>8.支持镜头位移：垂直:±50% ±5%；水平:±15% ±5%；</w:t>
            </w:r>
          </w:p>
          <w:p w14:paraId="697F4791">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9.影像格式：16:10,16:9,4:3,自动</w:t>
            </w:r>
          </w:p>
          <w:p w14:paraId="31EAA8C7">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10.扫描频率：水平:15.375~91.146 KHz /垂直: 24 ~85 Hz(120Hz for</w:t>
            </w:r>
          </w:p>
          <w:p w14:paraId="58BDD86D">
            <w:pPr>
              <w:snapToGrid w:val="0"/>
              <w:rPr>
                <w:rFonts w:ascii="宋体" w:hAnsi="宋体" w:cs="宋体"/>
                <w:color w:val="auto"/>
                <w:sz w:val="24"/>
                <w:highlight w:val="none"/>
              </w:rPr>
            </w:pPr>
            <w:r>
              <w:rPr>
                <w:rFonts w:hint="eastAsia" w:ascii="宋体" w:hAnsi="宋体" w:cs="宋体"/>
                <w:color w:val="auto"/>
                <w:sz w:val="24"/>
                <w:highlight w:val="none"/>
              </w:rPr>
              <w:t>11.信号输出入接口：HDMI in x2，RS232(9pin) x1，LAN x1，12V out x1，Remote In x1, Audio out x1，USB A x1, 3D sync in x1, 3D sync out x1,</w:t>
            </w:r>
          </w:p>
          <w:p w14:paraId="275C5A56">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 xml:space="preserve">12.激光光源为MCL 激光二极管模组，光源寿命≥20000小时 （ECO）   </w:t>
            </w:r>
          </w:p>
          <w:p w14:paraId="6A6C80FA">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13.光源模式可根据安装要求而选择光源模式。可用选项包括：正常、节能模式和自定义功率。</w:t>
            </w:r>
          </w:p>
          <w:p w14:paraId="366758B6">
            <w:pPr>
              <w:snapToGrid w:val="0"/>
              <w:spacing w:after="120"/>
              <w:ind w:left="840"/>
              <w:rPr>
                <w:rFonts w:ascii="宋体" w:hAnsi="宋体" w:cs="宋体"/>
                <w:color w:val="auto"/>
                <w:kern w:val="0"/>
                <w:sz w:val="24"/>
                <w:highlight w:val="none"/>
              </w:rPr>
            </w:pPr>
            <w:r>
              <w:rPr>
                <w:rFonts w:hint="eastAsia" w:ascii="宋体" w:hAnsi="宋体" w:cs="宋体"/>
                <w:color w:val="auto"/>
                <w:sz w:val="24"/>
                <w:highlight w:val="none"/>
              </w:rPr>
              <w:t>①</w:t>
            </w:r>
            <w:r>
              <w:rPr>
                <w:rFonts w:hint="eastAsia" w:ascii="宋体" w:hAnsi="宋体" w:cs="宋体"/>
                <w:color w:val="auto"/>
                <w:kern w:val="0"/>
                <w:sz w:val="24"/>
                <w:highlight w:val="none"/>
              </w:rPr>
              <w:t>自定义亮 当“光源模式”设置为“自定义模式”时，设置自定义亮度等级。</w:t>
            </w:r>
          </w:p>
          <w:p w14:paraId="3F23BA51">
            <w:pPr>
              <w:snapToGrid w:val="0"/>
              <w:spacing w:after="120"/>
              <w:ind w:left="840"/>
              <w:rPr>
                <w:rFonts w:ascii="宋体" w:hAnsi="宋体" w:cs="宋体"/>
                <w:color w:val="auto"/>
                <w:kern w:val="0"/>
                <w:sz w:val="24"/>
                <w:highlight w:val="none"/>
              </w:rPr>
            </w:pPr>
            <w:r>
              <w:rPr>
                <w:rFonts w:hint="eastAsia" w:ascii="宋体" w:hAnsi="宋体" w:cs="宋体"/>
                <w:color w:val="auto"/>
                <w:sz w:val="24"/>
                <w:highlight w:val="none"/>
              </w:rPr>
              <w:t>②</w:t>
            </w:r>
            <w:r>
              <w:rPr>
                <w:rFonts w:hint="eastAsia" w:ascii="宋体" w:hAnsi="宋体" w:cs="宋体"/>
                <w:color w:val="auto"/>
                <w:kern w:val="0"/>
                <w:sz w:val="24"/>
                <w:highlight w:val="none"/>
              </w:rPr>
              <w:t>设置为“恒定亮度”时，图像亮度保持在指定等级。通过一种特殊设计的算法来补偿亮度的自然衰减，在一定时间内维持亮度和色彩不变；亮度等级：调整亮度等级，范围是30%到100%。</w:t>
            </w:r>
          </w:p>
          <w:p w14:paraId="2D500125">
            <w:pPr>
              <w:snapToGrid w:val="0"/>
              <w:spacing w:after="120"/>
              <w:ind w:left="840"/>
              <w:rPr>
                <w:rFonts w:ascii="宋体" w:hAnsi="宋体" w:cs="宋体"/>
                <w:color w:val="auto"/>
                <w:kern w:val="0"/>
                <w:sz w:val="24"/>
                <w:highlight w:val="none"/>
              </w:rPr>
            </w:pPr>
            <w:r>
              <w:rPr>
                <w:rFonts w:hint="eastAsia" w:ascii="宋体" w:hAnsi="宋体" w:cs="宋体"/>
                <w:color w:val="auto"/>
                <w:sz w:val="24"/>
                <w:highlight w:val="none"/>
              </w:rPr>
              <w:t>③</w:t>
            </w:r>
            <w:r>
              <w:rPr>
                <w:rFonts w:hint="eastAsia" w:ascii="宋体" w:hAnsi="宋体" w:cs="宋体"/>
                <w:color w:val="auto"/>
                <w:kern w:val="0"/>
                <w:sz w:val="24"/>
                <w:highlight w:val="none"/>
              </w:rPr>
              <w:t xml:space="preserve">恒定亮度：启用时，图像亮度保持在所设置的亮度等级。通过一种特殊设计的算法来补偿亮度的自然衰减，在一定时间内维持亮度和色彩不变。 </w:t>
            </w:r>
          </w:p>
          <w:p w14:paraId="22623632">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 xml:space="preserve">14.IP5X防尘设计，远离灰尘困扰 </w:t>
            </w:r>
          </w:p>
          <w:p w14:paraId="6AC321AF">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15.显示模式：演示、明亮、剧院、HDR、SRGB 、DICOM、 融合、3D、2D 高速、用户</w:t>
            </w:r>
          </w:p>
          <w:p w14:paraId="27283DF7">
            <w:pPr>
              <w:tabs>
                <w:tab w:val="left" w:pos="332"/>
              </w:tabs>
              <w:snapToGrid w:val="0"/>
              <w:rPr>
                <w:rFonts w:ascii="宋体" w:hAnsi="宋体" w:cs="宋体"/>
                <w:color w:val="auto"/>
                <w:sz w:val="24"/>
                <w:highlight w:val="none"/>
              </w:rPr>
            </w:pPr>
            <w:r>
              <w:rPr>
                <w:rFonts w:hint="eastAsia" w:ascii="宋体" w:hAnsi="宋体" w:cs="宋体"/>
                <w:color w:val="auto"/>
                <w:sz w:val="24"/>
                <w:highlight w:val="none"/>
              </w:rPr>
              <w:t>16.颜色设置功能：通过HSL色彩微调功能。调整画面的色彩，满足不同客户或不同环境对色彩的喜好需求，色彩管理通过调整图像的各个颜色分量来改变图像的颜色。可调色彩包括：红色、绿色、蓝色、青色、黄色和洋红色 (R/G/B/C/Y/M)</w:t>
            </w:r>
          </w:p>
          <w:p w14:paraId="5A091CA8">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17.RJ-45接口支持多种网络控制功能</w:t>
            </w:r>
          </w:p>
          <w:p w14:paraId="4D1A1F8B">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 xml:space="preserve">18.Projector ID结合RS-232接口，可简单实现集中管理 </w:t>
            </w:r>
          </w:p>
          <w:p w14:paraId="76143240">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19.支持4角调整功能</w:t>
            </w:r>
          </w:p>
          <w:p w14:paraId="2A4D79B2">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20支持360度自由方向，机内有4中方式供选择，支持HDR</w:t>
            </w:r>
          </w:p>
          <w:p w14:paraId="497C7760">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21.延迟调整功能，启用此功能可减少响应时间</w:t>
            </w:r>
          </w:p>
          <w:p w14:paraId="61560D2B">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22.电动聚焦/变焦功能</w:t>
            </w:r>
          </w:p>
          <w:p w14:paraId="77F10BB4">
            <w:pPr>
              <w:numPr>
                <w:ilvl w:val="255"/>
                <w:numId w:val="0"/>
              </w:numPr>
              <w:tabs>
                <w:tab w:val="left" w:pos="332"/>
              </w:tabs>
              <w:snapToGrid w:val="0"/>
              <w:spacing w:after="120"/>
              <w:rPr>
                <w:rFonts w:ascii="宋体" w:hAnsi="宋体" w:cs="宋体"/>
                <w:color w:val="auto"/>
                <w:sz w:val="24"/>
                <w:highlight w:val="none"/>
              </w:rPr>
            </w:pPr>
            <w:r>
              <w:rPr>
                <w:rFonts w:hint="eastAsia" w:ascii="宋体" w:hAnsi="宋体" w:cs="宋体"/>
                <w:color w:val="auto"/>
                <w:sz w:val="24"/>
                <w:highlight w:val="none"/>
              </w:rPr>
              <w:t>23.镜头位移记忆功能</w:t>
            </w:r>
          </w:p>
          <w:p w14:paraId="1D15CC02">
            <w:pPr>
              <w:snapToGrid w:val="0"/>
              <w:spacing w:after="120"/>
              <w:rPr>
                <w:rFonts w:ascii="宋体" w:hAnsi="宋体" w:cs="宋体"/>
                <w:color w:val="auto"/>
                <w:kern w:val="0"/>
                <w:sz w:val="24"/>
                <w:highlight w:val="none"/>
              </w:rPr>
            </w:pPr>
            <w:r>
              <w:rPr>
                <w:rFonts w:hint="eastAsia" w:ascii="宋体" w:hAnsi="宋体" w:cs="宋体"/>
                <w:color w:val="auto"/>
                <w:kern w:val="0"/>
                <w:sz w:val="24"/>
                <w:highlight w:val="none"/>
              </w:rPr>
              <w:t>24.支持3D功能，具有3D sync in &amp; 3D sync out接口， 3D格式包含：自动、帧封装、左右、上下和帧连续</w:t>
            </w:r>
          </w:p>
          <w:p w14:paraId="5A93095D">
            <w:pPr>
              <w:snapToGrid w:val="0"/>
              <w:spacing w:after="120"/>
              <w:rPr>
                <w:rFonts w:ascii="宋体" w:hAnsi="宋体" w:cs="宋体"/>
                <w:color w:val="auto"/>
                <w:kern w:val="0"/>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rPr>
              <w:t>25.</w:t>
            </w:r>
            <w:r>
              <w:rPr>
                <w:rFonts w:hint="eastAsia" w:ascii="宋体" w:hAnsi="宋体" w:cs="宋体"/>
                <w:color w:val="auto"/>
                <w:kern w:val="0"/>
                <w:sz w:val="24"/>
                <w:highlight w:val="none"/>
              </w:rPr>
              <w:t>支持PC 1920 x 1200 120Hz 3D</w:t>
            </w:r>
          </w:p>
          <w:p w14:paraId="14C6F945">
            <w:pPr>
              <w:snapToGrid w:val="0"/>
              <w:spacing w:after="120"/>
              <w:rPr>
                <w:rFonts w:ascii="宋体" w:hAnsi="宋体" w:cs="宋体"/>
                <w:color w:val="auto"/>
                <w:kern w:val="0"/>
                <w:sz w:val="24"/>
                <w:highlight w:val="none"/>
              </w:rPr>
            </w:pPr>
            <w:r>
              <w:rPr>
                <w:rFonts w:hint="eastAsia" w:ascii="宋体" w:hAnsi="宋体" w:cs="宋体"/>
                <w:color w:val="auto"/>
                <w:kern w:val="0"/>
                <w:sz w:val="24"/>
                <w:highlight w:val="none"/>
              </w:rPr>
              <w:t>26.具备HDBaseT，通过网线传送视频及控制信号，内置HDBaseT接收器，通过Cat5e/6网线及选配的HDBaseT发射器，支持100米距离传送视频及控制信号</w:t>
            </w:r>
          </w:p>
          <w:p w14:paraId="0ABB10EE">
            <w:pPr>
              <w:snapToGrid w:val="0"/>
              <w:spacing w:after="120"/>
              <w:rPr>
                <w:rFonts w:ascii="宋体" w:hAnsi="宋体" w:cs="宋体"/>
                <w:color w:val="auto"/>
                <w:kern w:val="0"/>
                <w:sz w:val="24"/>
                <w:highlight w:val="none"/>
              </w:rPr>
            </w:pPr>
            <w:r>
              <w:rPr>
                <w:rFonts w:hint="eastAsia" w:ascii="宋体" w:hAnsi="宋体" w:cs="宋体"/>
                <w:color w:val="auto"/>
                <w:kern w:val="0"/>
                <w:sz w:val="24"/>
                <w:highlight w:val="none"/>
              </w:rPr>
              <w:t>27.内置12V触发器，开启此功能，可实现单机与屏幕互联进行控制；</w:t>
            </w:r>
          </w:p>
          <w:p w14:paraId="3C8FF381">
            <w:pPr>
              <w:snapToGrid w:val="0"/>
              <w:spacing w:after="120"/>
              <w:rPr>
                <w:rFonts w:ascii="宋体" w:hAnsi="宋体" w:cs="宋体"/>
                <w:color w:val="auto"/>
                <w:kern w:val="0"/>
                <w:sz w:val="24"/>
                <w:highlight w:val="none"/>
              </w:rPr>
            </w:pPr>
            <w:r>
              <w:rPr>
                <w:rFonts w:hint="eastAsia" w:ascii="宋体" w:hAnsi="宋体" w:cs="宋体"/>
                <w:color w:val="auto"/>
                <w:kern w:val="0"/>
                <w:sz w:val="24"/>
                <w:highlight w:val="none"/>
              </w:rPr>
              <w:t>28.智能影像管理平台可实现远程控制，便于用户控制、运维及管理</w:t>
            </w:r>
          </w:p>
          <w:p w14:paraId="79C42DF9">
            <w:pPr>
              <w:snapToGrid w:val="0"/>
              <w:spacing w:after="120"/>
              <w:rPr>
                <w:rFonts w:ascii="宋体" w:hAnsi="宋体" w:cs="宋体"/>
                <w:color w:val="auto"/>
                <w:kern w:val="0"/>
                <w:sz w:val="24"/>
                <w:highlight w:val="none"/>
              </w:rPr>
            </w:pPr>
            <w:r>
              <w:rPr>
                <w:rFonts w:hint="eastAsia" w:ascii="宋体" w:hAnsi="宋体" w:cs="宋体"/>
                <w:color w:val="auto"/>
                <w:kern w:val="0"/>
                <w:sz w:val="24"/>
                <w:highlight w:val="none"/>
              </w:rPr>
              <w:t>其他要求：</w:t>
            </w:r>
          </w:p>
          <w:p w14:paraId="2DF23C22">
            <w:pPr>
              <w:tabs>
                <w:tab w:val="left" w:pos="333"/>
              </w:tabs>
              <w:snapToGrid w:val="0"/>
              <w:spacing w:after="120"/>
              <w:ind w:firstLine="360" w:firstLineChars="150"/>
              <w:rPr>
                <w:rFonts w:ascii="宋体" w:hAnsi="宋体" w:cs="宋体"/>
                <w:color w:val="auto"/>
                <w:sz w:val="24"/>
                <w:highlight w:val="none"/>
              </w:rPr>
            </w:pPr>
            <w:r>
              <w:rPr>
                <w:rFonts w:hint="eastAsia" w:ascii="宋体" w:hAnsi="宋体" w:cs="宋体"/>
                <w:color w:val="auto"/>
                <w:sz w:val="24"/>
                <w:highlight w:val="none"/>
              </w:rPr>
              <w:t>（1）非OEM产品，投标产品的品牌方与生产方为同一公司或同一集团公司</w:t>
            </w:r>
          </w:p>
          <w:p w14:paraId="2BB37A55">
            <w:pPr>
              <w:snapToGrid w:val="0"/>
              <w:spacing w:after="120"/>
              <w:ind w:left="420"/>
              <w:rPr>
                <w:rFonts w:ascii="宋体" w:hAnsi="宋体" w:cs="宋体"/>
                <w:color w:val="auto"/>
                <w:sz w:val="24"/>
                <w:highlight w:val="none"/>
              </w:rPr>
            </w:pPr>
            <w:r>
              <w:rPr>
                <w:rFonts w:hint="eastAsia" w:ascii="宋体" w:hAnsi="宋体" w:cs="宋体"/>
                <w:color w:val="auto"/>
                <w:kern w:val="0"/>
                <w:sz w:val="24"/>
                <w:highlight w:val="none"/>
              </w:rPr>
              <w:t>（2）配HDMI 2.0高清线 30米，配铁的支架并安装在层高10米形成圆形，与原先的船舶模拟器做融合。</w:t>
            </w:r>
          </w:p>
        </w:tc>
        <w:tc>
          <w:tcPr>
            <w:tcW w:w="781" w:type="dxa"/>
            <w:vAlign w:val="center"/>
          </w:tcPr>
          <w:p w14:paraId="554B0258">
            <w:pPr>
              <w:snapToGrid w:val="0"/>
              <w:jc w:val="center"/>
              <w:rPr>
                <w:rFonts w:ascii="宋体" w:hAnsi="宋体" w:cs="宋体"/>
                <w:color w:val="auto"/>
                <w:sz w:val="24"/>
                <w:highlight w:val="none"/>
              </w:rPr>
            </w:pPr>
            <w:r>
              <w:rPr>
                <w:rFonts w:hint="eastAsia" w:ascii="宋体" w:hAnsi="宋体" w:cs="宋体"/>
                <w:color w:val="auto"/>
                <w:sz w:val="24"/>
                <w:highlight w:val="none"/>
              </w:rPr>
              <w:t>10台</w:t>
            </w:r>
          </w:p>
        </w:tc>
      </w:tr>
      <w:tr w14:paraId="2F83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5BA8AE26">
            <w:pPr>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315" w:type="dxa"/>
            <w:vAlign w:val="center"/>
          </w:tcPr>
          <w:p w14:paraId="6791BC22">
            <w:pPr>
              <w:snapToGrid w:val="0"/>
              <w:jc w:val="center"/>
              <w:rPr>
                <w:rFonts w:ascii="宋体" w:hAnsi="宋体" w:cs="宋体"/>
                <w:color w:val="auto"/>
                <w:sz w:val="24"/>
                <w:highlight w:val="none"/>
              </w:rPr>
            </w:pPr>
            <w:r>
              <w:rPr>
                <w:rFonts w:hint="eastAsia" w:ascii="宋体" w:hAnsi="宋体" w:cs="宋体"/>
                <w:color w:val="auto"/>
                <w:kern w:val="0"/>
                <w:sz w:val="24"/>
                <w:highlight w:val="none"/>
                <w:lang w:bidi="ar"/>
              </w:rPr>
              <w:t>教学工作站</w:t>
            </w:r>
          </w:p>
        </w:tc>
        <w:tc>
          <w:tcPr>
            <w:tcW w:w="7149" w:type="dxa"/>
            <w:vAlign w:val="center"/>
          </w:tcPr>
          <w:p w14:paraId="4941F3E5">
            <w:pPr>
              <w:snapToGrid w:val="0"/>
              <w:rPr>
                <w:rFonts w:ascii="宋体" w:hAnsi="宋体" w:cs="宋体"/>
                <w:color w:val="auto"/>
                <w:sz w:val="24"/>
                <w:highlight w:val="none"/>
              </w:rPr>
            </w:pPr>
            <w:r>
              <w:rPr>
                <w:rFonts w:hint="eastAsia" w:ascii="宋体" w:hAnsi="宋体" w:cs="宋体"/>
                <w:color w:val="auto"/>
                <w:sz w:val="24"/>
                <w:highlight w:val="none"/>
                <w:lang w:bidi="ar"/>
              </w:rPr>
              <w:t>1.CPU：≥20核、≥28线程、主频≥2.1GHz、动态加速频率≥5.4GHz、L3缓存≥33MB。</w:t>
            </w:r>
          </w:p>
          <w:p w14:paraId="31E6CD18">
            <w:pPr>
              <w:snapToGrid w:val="0"/>
              <w:rPr>
                <w:rFonts w:ascii="宋体" w:hAnsi="宋体" w:cs="宋体"/>
                <w:color w:val="auto"/>
                <w:sz w:val="24"/>
                <w:highlight w:val="none"/>
              </w:rPr>
            </w:pPr>
            <w:r>
              <w:rPr>
                <w:rFonts w:hint="eastAsia" w:ascii="宋体" w:hAnsi="宋体" w:cs="宋体"/>
                <w:color w:val="auto"/>
                <w:sz w:val="24"/>
                <w:highlight w:val="none"/>
                <w:lang w:bidi="ar"/>
              </w:rPr>
              <w:t>2.内存：≥16GB DDR5内存或以上，内存频率≥5600MT/s ，最大支持128GB。</w:t>
            </w:r>
          </w:p>
          <w:p w14:paraId="50F847B8">
            <w:pPr>
              <w:snapToGrid w:val="0"/>
              <w:rPr>
                <w:rFonts w:ascii="宋体" w:hAnsi="宋体" w:cs="宋体"/>
                <w:color w:val="auto"/>
                <w:sz w:val="24"/>
                <w:highlight w:val="none"/>
              </w:rPr>
            </w:pPr>
            <w:r>
              <w:rPr>
                <w:rFonts w:hint="eastAsia" w:ascii="宋体" w:hAnsi="宋体" w:cs="宋体"/>
                <w:color w:val="auto"/>
                <w:sz w:val="24"/>
                <w:highlight w:val="none"/>
                <w:lang w:bidi="ar"/>
              </w:rPr>
              <w:t>3.硬盘：≥512GB M.2 NVMe SSD硬盘，支持拓展≥2个 M.2固态硬盘，支持拓展≥2个机械硬盘。</w:t>
            </w:r>
          </w:p>
          <w:p w14:paraId="3A38608A">
            <w:pPr>
              <w:snapToGrid w:val="0"/>
              <w:rPr>
                <w:rFonts w:ascii="宋体" w:hAnsi="宋体" w:cs="宋体"/>
                <w:color w:val="auto"/>
                <w:sz w:val="24"/>
                <w:highlight w:val="none"/>
              </w:rPr>
            </w:pPr>
            <w:r>
              <w:rPr>
                <w:rFonts w:hint="eastAsia" w:ascii="宋体" w:hAnsi="宋体" w:cs="宋体"/>
                <w:color w:val="auto"/>
                <w:sz w:val="24"/>
                <w:highlight w:val="none"/>
                <w:lang w:bidi="ar"/>
              </w:rPr>
              <w:t>4.独立显卡：≥8G显存、位宽≥128bit、显存频率≥2.28GHz、等效显存频率≥28000MT/s、核心频率加速≥2.50GHz，HDMI接口≥1个、DP接口≥1个。</w:t>
            </w:r>
          </w:p>
          <w:p w14:paraId="062F7A2F">
            <w:pPr>
              <w:snapToGrid w:val="0"/>
              <w:rPr>
                <w:rFonts w:ascii="宋体" w:hAnsi="宋体" w:cs="宋体"/>
                <w:color w:val="auto"/>
                <w:sz w:val="24"/>
                <w:highlight w:val="none"/>
              </w:rPr>
            </w:pPr>
            <w:r>
              <w:rPr>
                <w:rFonts w:hint="eastAsia" w:ascii="宋体" w:hAnsi="宋体" w:cs="宋体"/>
                <w:color w:val="auto"/>
                <w:sz w:val="24"/>
                <w:highlight w:val="none"/>
                <w:lang w:bidi="ar"/>
              </w:rPr>
              <w:t>5.前置面板接口：USB3.2接口≥7个，≥2个麦克风接口。</w:t>
            </w:r>
          </w:p>
          <w:p w14:paraId="403E1C05">
            <w:pPr>
              <w:snapToGrid w:val="0"/>
              <w:rPr>
                <w:rFonts w:ascii="宋体" w:hAnsi="宋体" w:cs="宋体"/>
                <w:color w:val="auto"/>
                <w:sz w:val="24"/>
                <w:highlight w:val="none"/>
              </w:rPr>
            </w:pPr>
            <w:r>
              <w:rPr>
                <w:rFonts w:hint="eastAsia" w:ascii="宋体" w:hAnsi="宋体" w:cs="宋体"/>
                <w:color w:val="auto"/>
                <w:sz w:val="24"/>
                <w:highlight w:val="none"/>
                <w:lang w:bidi="ar"/>
              </w:rPr>
              <w:t>6.关机状态下，支持≥2个前置USB端口对外供电，包含USB-C接口。后置面板接口：≥4个USB-A接口，支持键盘开机；≥1个HDMI、≥1个DP、≥1个VGA接口；；1个RJ45接口。</w:t>
            </w:r>
          </w:p>
          <w:p w14:paraId="4DE85297">
            <w:pPr>
              <w:snapToGrid w:val="0"/>
              <w:rPr>
                <w:rFonts w:ascii="宋体" w:hAnsi="宋体" w:cs="宋体"/>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lang w:bidi="ar"/>
              </w:rPr>
              <w:t xml:space="preserve">7.机箱无需工具可实现内存条、固态硬盘、机械硬盘、独立显卡、电源的拆装维护。 </w:t>
            </w:r>
          </w:p>
          <w:p w14:paraId="73F05FF2">
            <w:pPr>
              <w:snapToGrid w:val="0"/>
              <w:rPr>
                <w:rFonts w:ascii="宋体" w:hAnsi="宋体" w:cs="宋体"/>
                <w:color w:val="auto"/>
                <w:sz w:val="24"/>
                <w:highlight w:val="none"/>
              </w:rPr>
            </w:pPr>
            <w:r>
              <w:rPr>
                <w:rFonts w:hint="eastAsia" w:ascii="宋体" w:hAnsi="宋体" w:cs="宋体"/>
                <w:color w:val="auto"/>
                <w:sz w:val="24"/>
                <w:highlight w:val="none"/>
                <w:lang w:bidi="ar"/>
              </w:rPr>
              <w:t>8.独立显卡：≥8G显存、位宽≥128bit、显存频率≥2.28GHz、等效显存频率≥28000MT/s、核心频率加速≥2.50GHz，HDMI接口≥1个、DP接口≥1个。</w:t>
            </w:r>
          </w:p>
          <w:p w14:paraId="4FE2FEA4">
            <w:pPr>
              <w:snapToGrid w:val="0"/>
              <w:rPr>
                <w:rFonts w:ascii="宋体" w:hAnsi="宋体" w:cs="宋体"/>
                <w:color w:val="auto"/>
                <w:sz w:val="24"/>
                <w:highlight w:val="none"/>
              </w:rPr>
            </w:pPr>
            <w:r>
              <w:rPr>
                <w:rFonts w:hint="eastAsia" w:ascii="宋体" w:hAnsi="宋体" w:cs="宋体"/>
                <w:color w:val="auto"/>
                <w:sz w:val="24"/>
                <w:highlight w:val="none"/>
                <w:lang w:bidi="ar"/>
              </w:rPr>
              <w:t>9.机箱体积：≥17L，机箱配备非后加或非原配件顶置提手。</w:t>
            </w:r>
          </w:p>
          <w:p w14:paraId="5731D3D9">
            <w:pPr>
              <w:snapToGrid w:val="0"/>
              <w:rPr>
                <w:rFonts w:ascii="宋体" w:hAnsi="宋体" w:cs="宋体"/>
                <w:color w:val="auto"/>
                <w:sz w:val="24"/>
                <w:highlight w:val="none"/>
              </w:rPr>
            </w:pPr>
            <w:r>
              <w:rPr>
                <w:rFonts w:hint="eastAsia" w:ascii="宋体" w:hAnsi="宋体" w:cs="宋体"/>
                <w:color w:val="auto"/>
                <w:sz w:val="24"/>
                <w:highlight w:val="none"/>
                <w:lang w:bidi="ar"/>
              </w:rPr>
              <w:t>10.电源：电源功率≥500W，电源转换效率≥92%。</w:t>
            </w:r>
          </w:p>
          <w:p w14:paraId="4F1934F2">
            <w:pPr>
              <w:snapToGrid w:val="0"/>
              <w:rPr>
                <w:rFonts w:ascii="宋体" w:hAnsi="宋体" w:cs="宋体"/>
                <w:color w:val="auto"/>
                <w:sz w:val="24"/>
                <w:highlight w:val="none"/>
              </w:rPr>
            </w:pPr>
            <w:r>
              <w:rPr>
                <w:rFonts w:hint="eastAsia" w:ascii="宋体" w:hAnsi="宋体" w:cs="宋体"/>
                <w:color w:val="auto"/>
                <w:sz w:val="24"/>
                <w:highlight w:val="none"/>
                <w:lang w:bidi="ar"/>
              </w:rPr>
              <w:t>11.采用直插电源，电源与主板不通过软质线材连接。</w:t>
            </w:r>
          </w:p>
          <w:p w14:paraId="6B4D4C62">
            <w:pPr>
              <w:tabs>
                <w:tab w:val="left" w:pos="332"/>
                <w:tab w:val="left" w:pos="420"/>
              </w:tabs>
              <w:snapToGrid w:val="0"/>
              <w:rPr>
                <w:rFonts w:ascii="宋体" w:hAnsi="宋体" w:cs="宋体"/>
                <w:bCs/>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rPr>
              <w:t>12.</w:t>
            </w:r>
            <w:r>
              <w:rPr>
                <w:rFonts w:hint="eastAsia" w:ascii="宋体" w:hAnsi="宋体" w:cs="宋体"/>
                <w:color w:val="auto"/>
                <w:sz w:val="24"/>
                <w:highlight w:val="none"/>
                <w:lang w:bidi="ar"/>
              </w:rPr>
              <w:t>具备机箱防尘滤网，防尘滤网可以在不拆开机箱的情况下拆卸。</w:t>
            </w:r>
            <w:r>
              <w:rPr>
                <w:rFonts w:hint="eastAsia" w:ascii="宋体" w:hAnsi="宋体" w:cs="宋体"/>
                <w:bCs/>
                <w:color w:val="auto"/>
                <w:sz w:val="24"/>
                <w:highlight w:val="none"/>
              </w:rPr>
              <w:t>（提供具备CMA资质的检测报告复印件）</w:t>
            </w:r>
          </w:p>
          <w:p w14:paraId="5C617A92">
            <w:pPr>
              <w:snapToGrid w:val="0"/>
              <w:rPr>
                <w:rFonts w:ascii="宋体" w:hAnsi="宋体" w:cs="宋体"/>
                <w:color w:val="auto"/>
                <w:sz w:val="24"/>
                <w:highlight w:val="none"/>
              </w:rPr>
            </w:pPr>
            <w:r>
              <w:rPr>
                <w:rFonts w:hint="eastAsia" w:ascii="宋体" w:hAnsi="宋体" w:cs="宋体"/>
                <w:color w:val="auto"/>
                <w:sz w:val="24"/>
                <w:highlight w:val="none"/>
                <w:lang w:bidi="ar"/>
              </w:rPr>
              <w:t>13.机箱后面板具有一键还原按钮。</w:t>
            </w:r>
          </w:p>
          <w:p w14:paraId="760CADA3">
            <w:pPr>
              <w:snapToGrid w:val="0"/>
              <w:rPr>
                <w:rFonts w:ascii="宋体" w:hAnsi="宋体" w:cs="宋体"/>
                <w:color w:val="auto"/>
                <w:sz w:val="24"/>
                <w:highlight w:val="none"/>
              </w:rPr>
            </w:pPr>
            <w:r>
              <w:rPr>
                <w:rFonts w:hint="eastAsia" w:ascii="宋体" w:hAnsi="宋体" w:cs="宋体"/>
                <w:color w:val="auto"/>
                <w:sz w:val="24"/>
                <w:highlight w:val="none"/>
                <w:lang w:bidi="ar"/>
              </w:rPr>
              <w:t>云桌面软件：</w:t>
            </w:r>
          </w:p>
          <w:p w14:paraId="3044D1E4">
            <w:pPr>
              <w:snapToGrid w:val="0"/>
              <w:rPr>
                <w:rFonts w:ascii="宋体" w:hAnsi="宋体" w:cs="宋体"/>
                <w:color w:val="auto"/>
                <w:sz w:val="24"/>
                <w:highlight w:val="none"/>
              </w:rPr>
            </w:pPr>
            <w:r>
              <w:rPr>
                <w:rFonts w:hint="eastAsia" w:ascii="宋体" w:hAnsi="宋体" w:cs="宋体"/>
                <w:color w:val="auto"/>
                <w:sz w:val="24"/>
                <w:highlight w:val="none"/>
                <w:lang w:bidi="ar"/>
              </w:rPr>
              <w:t xml:space="preserve">1.同传速度：千兆环境（千兆网线、千兆网卡、千兆交换机）下的同传峰值速度不低于261MB/S（2088Mb/S），平均速度不低于150MB/S（1200Mb/S）；百兆环境（百兆网线、百兆网卡、百兆交换机）下的同传峰值速度不低于40MB/S（320Mb/S），平均速度不低于20MB/S（160Mb/S）。 </w:t>
            </w:r>
          </w:p>
          <w:p w14:paraId="1B098C88">
            <w:pPr>
              <w:snapToGrid w:val="0"/>
              <w:rPr>
                <w:rFonts w:ascii="宋体" w:hAnsi="宋体" w:cs="宋体"/>
                <w:color w:val="auto"/>
                <w:sz w:val="24"/>
                <w:highlight w:val="none"/>
              </w:rPr>
            </w:pPr>
            <w:r>
              <w:rPr>
                <w:rFonts w:hint="eastAsia" w:ascii="宋体" w:hAnsi="宋体" w:cs="宋体"/>
                <w:color w:val="auto"/>
                <w:sz w:val="24"/>
                <w:highlight w:val="none"/>
                <w:lang w:bidi="ar"/>
              </w:rPr>
              <w:t xml:space="preserve">2.支持任意终端作为发送端在云桌面系统和操作系统界面下均可直接发起镜像同传，接收端在云桌面系统和操作系统界面下直接接收镜像，无需重启或者进入特定运行模式接收镜像。 </w:t>
            </w:r>
          </w:p>
          <w:p w14:paraId="085CB535">
            <w:pPr>
              <w:snapToGrid w:val="0"/>
              <w:rPr>
                <w:rFonts w:ascii="宋体" w:hAnsi="宋体" w:cs="宋体"/>
                <w:color w:val="auto"/>
                <w:sz w:val="24"/>
                <w:highlight w:val="none"/>
              </w:rPr>
            </w:pPr>
            <w:r>
              <w:rPr>
                <w:rFonts w:hint="eastAsia" w:ascii="宋体" w:hAnsi="宋体" w:cs="宋体"/>
                <w:color w:val="auto"/>
                <w:sz w:val="24"/>
                <w:highlight w:val="none"/>
                <w:lang w:bidi="ar"/>
              </w:rPr>
              <w:t>3.支持设置屏幕水印的显示和隐藏。</w:t>
            </w:r>
          </w:p>
          <w:p w14:paraId="3A66DD86">
            <w:pPr>
              <w:snapToGrid w:val="0"/>
              <w:rPr>
                <w:rFonts w:ascii="宋体" w:hAnsi="宋体" w:cs="宋体"/>
                <w:color w:val="auto"/>
                <w:sz w:val="24"/>
                <w:highlight w:val="none"/>
              </w:rPr>
            </w:pPr>
            <w:r>
              <w:rPr>
                <w:rFonts w:hint="eastAsia" w:ascii="宋体" w:hAnsi="宋体" w:cs="宋体"/>
                <w:color w:val="auto"/>
                <w:sz w:val="24"/>
                <w:highlight w:val="none"/>
                <w:lang w:bidi="ar"/>
              </w:rPr>
              <w:t>4.支持查看设备的相关信息，包括当前系统、IP地址、设备型号、MAC地址、CPU型号、内存容量等信息。</w:t>
            </w:r>
          </w:p>
          <w:p w14:paraId="0BD53575">
            <w:pPr>
              <w:snapToGrid w:val="0"/>
              <w:rPr>
                <w:rFonts w:ascii="宋体" w:hAnsi="宋体" w:cs="宋体"/>
                <w:color w:val="auto"/>
                <w:sz w:val="24"/>
                <w:highlight w:val="none"/>
              </w:rPr>
            </w:pPr>
            <w:r>
              <w:rPr>
                <w:rFonts w:hint="eastAsia" w:ascii="宋体" w:hAnsi="宋体" w:cs="宋体"/>
                <w:color w:val="auto"/>
                <w:sz w:val="24"/>
                <w:highlight w:val="none"/>
                <w:lang w:bidi="ar"/>
              </w:rPr>
              <w:t>5.USB禁用：支持一键快速禁用除键鼠外的USB设备。</w:t>
            </w:r>
          </w:p>
          <w:p w14:paraId="29252024">
            <w:pPr>
              <w:snapToGrid w:val="0"/>
              <w:rPr>
                <w:rFonts w:ascii="宋体" w:hAnsi="宋体" w:cs="宋体"/>
                <w:color w:val="auto"/>
                <w:sz w:val="24"/>
                <w:highlight w:val="none"/>
              </w:rPr>
            </w:pPr>
            <w:r>
              <w:rPr>
                <w:rFonts w:hint="eastAsia" w:ascii="宋体" w:hAnsi="宋体" w:cs="宋体"/>
                <w:color w:val="auto"/>
                <w:sz w:val="24"/>
                <w:highlight w:val="none"/>
                <w:lang w:bidi="ar"/>
              </w:rPr>
              <w:t>6.支持外网访问禁用。</w:t>
            </w:r>
          </w:p>
          <w:p w14:paraId="5F8F2392">
            <w:pPr>
              <w:snapToGrid w:val="0"/>
              <w:rPr>
                <w:rFonts w:ascii="宋体" w:hAnsi="宋体" w:cs="宋体"/>
                <w:color w:val="auto"/>
                <w:sz w:val="24"/>
                <w:highlight w:val="none"/>
              </w:rPr>
            </w:pPr>
            <w:r>
              <w:rPr>
                <w:rFonts w:hint="eastAsia" w:ascii="宋体" w:hAnsi="宋体" w:cs="宋体"/>
                <w:color w:val="auto"/>
                <w:sz w:val="24"/>
                <w:highlight w:val="none"/>
                <w:lang w:bidi="ar"/>
              </w:rPr>
              <w:t>7.支持批量下发还原策略，不同盘符可单独设置还原策略。</w:t>
            </w:r>
          </w:p>
          <w:p w14:paraId="3595B582">
            <w:pPr>
              <w:snapToGrid w:val="0"/>
              <w:rPr>
                <w:rFonts w:ascii="宋体" w:hAnsi="宋体" w:cs="宋体"/>
                <w:color w:val="auto"/>
                <w:sz w:val="24"/>
                <w:highlight w:val="none"/>
              </w:rPr>
            </w:pPr>
            <w:r>
              <w:rPr>
                <w:rFonts w:hint="eastAsia" w:ascii="宋体" w:hAnsi="宋体" w:cs="宋体"/>
                <w:color w:val="auto"/>
                <w:sz w:val="24"/>
                <w:highlight w:val="none"/>
                <w:lang w:bidi="ar"/>
              </w:rPr>
              <w:t>8.云桌面管理平台：同时支持C/S架构B/S架构协同管理；支持通过公网访问管理终端，也可以通过浏览器、客户端访问管理后台进行管理，满足管理员不同网络下的远程管理需求。</w:t>
            </w:r>
          </w:p>
          <w:p w14:paraId="1FC84EAE">
            <w:pPr>
              <w:snapToGrid w:val="0"/>
              <w:rPr>
                <w:rFonts w:ascii="宋体" w:hAnsi="宋体" w:cs="宋体"/>
                <w:color w:val="auto"/>
                <w:sz w:val="24"/>
                <w:highlight w:val="none"/>
              </w:rPr>
            </w:pPr>
            <w:r>
              <w:rPr>
                <w:rFonts w:hint="eastAsia" w:asciiTheme="minorEastAsia" w:hAnsiTheme="minorEastAsia" w:eastAsiaTheme="minorEastAsia" w:cstheme="minorEastAsia"/>
                <w:color w:val="auto"/>
                <w:szCs w:val="21"/>
                <w:highlight w:val="none"/>
              </w:rPr>
              <w:t>▲</w:t>
            </w:r>
            <w:r>
              <w:rPr>
                <w:rFonts w:hint="eastAsia" w:ascii="宋体" w:hAnsi="宋体" w:cs="宋体"/>
                <w:color w:val="auto"/>
                <w:sz w:val="24"/>
                <w:highlight w:val="none"/>
              </w:rPr>
              <w:t>9.</w:t>
            </w:r>
            <w:r>
              <w:rPr>
                <w:rFonts w:hint="eastAsia" w:ascii="宋体" w:hAnsi="宋体" w:cs="宋体"/>
                <w:color w:val="auto"/>
                <w:sz w:val="24"/>
                <w:highlight w:val="none"/>
                <w:lang w:bidi="ar"/>
              </w:rPr>
              <w:t>终端防盗：支持配置终端防盗用状态监控，当设备在管理员授权外的网络环境下使用终端设备时，会自动锁定设备，无法启动云桌面镜像或自动退出云桌面镜像；以免设备被挪用脱离管控。</w:t>
            </w:r>
          </w:p>
          <w:p w14:paraId="0B958DA4">
            <w:pPr>
              <w:snapToGrid w:val="0"/>
              <w:rPr>
                <w:rFonts w:ascii="宋体" w:hAnsi="宋体" w:cs="宋体"/>
                <w:color w:val="auto"/>
                <w:sz w:val="24"/>
                <w:highlight w:val="none"/>
              </w:rPr>
            </w:pPr>
            <w:r>
              <w:rPr>
                <w:rFonts w:hint="eastAsia" w:ascii="宋体" w:hAnsi="宋体" w:cs="宋体"/>
                <w:color w:val="auto"/>
                <w:sz w:val="24"/>
                <w:highlight w:val="none"/>
                <w:lang w:bidi="ar"/>
              </w:rPr>
              <w:t>10.支持脱网运行，终端可在没有网络连接的情况下可离线运行与在线状态下一致的操作系统及软件。</w:t>
            </w:r>
          </w:p>
        </w:tc>
        <w:tc>
          <w:tcPr>
            <w:tcW w:w="781" w:type="dxa"/>
            <w:vAlign w:val="center"/>
          </w:tcPr>
          <w:p w14:paraId="7EDF4FC6">
            <w:pPr>
              <w:snapToGrid w:val="0"/>
              <w:jc w:val="center"/>
              <w:rPr>
                <w:rFonts w:ascii="宋体" w:hAnsi="宋体" w:cs="宋体"/>
                <w:color w:val="auto"/>
                <w:sz w:val="24"/>
                <w:highlight w:val="none"/>
              </w:rPr>
            </w:pPr>
            <w:r>
              <w:rPr>
                <w:rFonts w:hint="eastAsia" w:ascii="宋体" w:hAnsi="宋体" w:cs="宋体"/>
                <w:color w:val="auto"/>
                <w:sz w:val="24"/>
                <w:highlight w:val="none"/>
              </w:rPr>
              <w:t>2台</w:t>
            </w:r>
          </w:p>
        </w:tc>
      </w:tr>
    </w:tbl>
    <w:p w14:paraId="4C5184C7">
      <w:pPr>
        <w:spacing w:line="560" w:lineRule="exact"/>
        <w:ind w:firstLine="240" w:firstLineChars="100"/>
        <w:rPr>
          <w:rFonts w:asciiTheme="minorEastAsia" w:hAnsiTheme="minorEastAsia" w:eastAsiaTheme="minorEastAsia" w:cstheme="minorEastAsia"/>
          <w:color w:val="auto"/>
          <w:sz w:val="24"/>
          <w:highlight w:val="none"/>
        </w:rPr>
      </w:pPr>
    </w:p>
    <w:bookmarkEnd w:id="40"/>
    <w:p w14:paraId="12FFDA4D">
      <w:pPr>
        <w:pStyle w:val="4"/>
        <w:spacing w:line="300" w:lineRule="auto"/>
        <w:ind w:firstLine="0" w:firstLineChars="0"/>
        <w:rPr>
          <w:rFonts w:cs="宋体"/>
          <w:color w:val="auto"/>
          <w:szCs w:val="24"/>
          <w:highlight w:val="none"/>
          <w:lang w:val="zh-TW"/>
        </w:rPr>
      </w:pPr>
      <w:r>
        <w:rPr>
          <w:rFonts w:hint="eastAsia" w:cs="宋体"/>
          <w:color w:val="auto"/>
          <w:szCs w:val="24"/>
          <w:highlight w:val="none"/>
        </w:rPr>
        <w:t>二、</w:t>
      </w:r>
      <w:r>
        <w:rPr>
          <w:rFonts w:hint="eastAsia" w:cs="宋体"/>
          <w:color w:val="auto"/>
          <w:szCs w:val="24"/>
          <w:highlight w:val="none"/>
          <w:lang w:val="zh-TW"/>
        </w:rPr>
        <w:t>商务要求</w:t>
      </w:r>
    </w:p>
    <w:p w14:paraId="7CFEAD28">
      <w:pPr>
        <w:pStyle w:val="4"/>
        <w:rPr>
          <w:rFonts w:cs="宋体"/>
          <w:color w:val="auto"/>
          <w:highlight w:val="none"/>
          <w:lang w:val="zh-TW"/>
        </w:rPr>
      </w:pPr>
      <w:r>
        <w:rPr>
          <w:rFonts w:hint="eastAsia" w:cs="宋体"/>
          <w:color w:val="auto"/>
          <w:highlight w:val="none"/>
          <w:lang w:val="zh-TW"/>
        </w:rPr>
        <w:t>（一）交货时间</w:t>
      </w:r>
    </w:p>
    <w:p w14:paraId="7DE8DBB3">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rPr>
        <w:t>标项一：合同签订之日起15天内交付，大比武结束及验收完毕后甲方按程序付款。</w:t>
      </w:r>
    </w:p>
    <w:p w14:paraId="37DBBF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标项二：合同签订之日起7天内交付，在大比武期间供货商全程提供技术人员现场技术维护，确保设备运行稳定，大比武结束及验收完毕后甲方按程序付款。</w:t>
      </w:r>
    </w:p>
    <w:p w14:paraId="6656BF99">
      <w:pPr>
        <w:pStyle w:val="4"/>
        <w:rPr>
          <w:rFonts w:cs="宋体"/>
          <w:color w:val="auto"/>
          <w:highlight w:val="none"/>
          <w:lang w:val="zh-TW"/>
        </w:rPr>
      </w:pPr>
      <w:r>
        <w:rPr>
          <w:rFonts w:hint="eastAsia" w:cs="宋体"/>
          <w:color w:val="auto"/>
          <w:highlight w:val="none"/>
          <w:lang w:val="zh-TW"/>
        </w:rPr>
        <w:t>（二）交付地点</w:t>
      </w:r>
    </w:p>
    <w:p w14:paraId="3740251A">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采购人指定地点。</w:t>
      </w:r>
    </w:p>
    <w:p w14:paraId="5626EB52">
      <w:pPr>
        <w:pStyle w:val="4"/>
        <w:rPr>
          <w:rFonts w:cs="宋体"/>
          <w:color w:val="auto"/>
          <w:highlight w:val="none"/>
          <w:lang w:val="zh-TW"/>
        </w:rPr>
      </w:pPr>
      <w:r>
        <w:rPr>
          <w:rFonts w:hint="eastAsia" w:cs="宋体"/>
          <w:color w:val="auto"/>
          <w:highlight w:val="none"/>
          <w:lang w:val="zh-TW"/>
        </w:rPr>
        <w:t>（三）履约保证金</w:t>
      </w:r>
    </w:p>
    <w:p w14:paraId="0EF12177">
      <w:pPr>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无。</w:t>
      </w:r>
    </w:p>
    <w:p w14:paraId="327B3610">
      <w:pPr>
        <w:pStyle w:val="4"/>
        <w:rPr>
          <w:rFonts w:cs="宋体"/>
          <w:color w:val="auto"/>
          <w:highlight w:val="none"/>
          <w:lang w:val="zh-TW"/>
        </w:rPr>
      </w:pPr>
      <w:r>
        <w:rPr>
          <w:rFonts w:hint="eastAsia" w:cs="宋体"/>
          <w:color w:val="auto"/>
          <w:highlight w:val="none"/>
          <w:lang w:val="zh-TW"/>
        </w:rPr>
        <w:t>（四）售后服务要求</w:t>
      </w:r>
    </w:p>
    <w:p w14:paraId="41CFB28D">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1.中标人应提供不少于</w:t>
      </w:r>
      <w:r>
        <w:rPr>
          <w:rFonts w:hint="eastAsia" w:ascii="宋体" w:hAnsi="宋体" w:cs="宋体"/>
          <w:color w:val="auto"/>
          <w:sz w:val="24"/>
          <w:highlight w:val="none"/>
        </w:rPr>
        <w:t>以下年限</w:t>
      </w:r>
      <w:r>
        <w:rPr>
          <w:rFonts w:hint="eastAsia" w:ascii="宋体" w:hAnsi="宋体" w:cs="宋体"/>
          <w:color w:val="auto"/>
          <w:sz w:val="24"/>
          <w:highlight w:val="none"/>
          <w:lang w:val="zh-TW"/>
        </w:rPr>
        <w:t>质保期（自最终验收之日起计算）</w:t>
      </w:r>
    </w:p>
    <w:p w14:paraId="56AAEF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标项一：5年；</w:t>
      </w:r>
    </w:p>
    <w:p w14:paraId="272B6BCB">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标项二：</w:t>
      </w:r>
      <w:r>
        <w:rPr>
          <w:rFonts w:hint="eastAsia" w:ascii="宋体" w:hAnsi="宋体" w:cs="宋体"/>
          <w:color w:val="auto"/>
          <w:sz w:val="24"/>
          <w:highlight w:val="none"/>
          <w:lang w:val="en-US" w:eastAsia="zh-CN"/>
        </w:rPr>
        <w:t>3年。</w:t>
      </w:r>
    </w:p>
    <w:p w14:paraId="560072D8">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2.提供7x24小时的售后服务，在接到用户报告后响应时间不超过2小时；出现严重故障影响系统正常运行时，要在12小时内到达现场，出现一般故障系统仍能运行时，要在24小时内到达现场；修复故障的时间不应超过24小时，期间如不能修复，必须在48小时内提供应急措施，保证系统的正常运行。</w:t>
      </w:r>
    </w:p>
    <w:p w14:paraId="34FA3FC3">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3.中标人应保证所提供的系统平台或其任何一部分均不会侵犯任何第三方的知识产权。</w:t>
      </w:r>
    </w:p>
    <w:p w14:paraId="462DA181">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4.交付的系统平台所有权为采购人完全拥有。</w:t>
      </w:r>
    </w:p>
    <w:p w14:paraId="2C1D59BC">
      <w:pPr>
        <w:pStyle w:val="4"/>
        <w:rPr>
          <w:rFonts w:cs="宋体"/>
          <w:color w:val="auto"/>
          <w:highlight w:val="none"/>
          <w:lang w:val="zh-TW"/>
        </w:rPr>
      </w:pPr>
      <w:r>
        <w:rPr>
          <w:rFonts w:hint="eastAsia" w:cs="宋体"/>
          <w:color w:val="auto"/>
          <w:highlight w:val="none"/>
          <w:lang w:val="zh-TW"/>
        </w:rPr>
        <w:t>（五）付款方式</w:t>
      </w:r>
    </w:p>
    <w:p w14:paraId="4701FC3C">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1.大比武结束及验收完毕后甲方按程序付款。</w:t>
      </w:r>
    </w:p>
    <w:p w14:paraId="0FEDFF07">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2.中标人按照采购人要求将货物送至各个使用点；经采购人组织验收，送货时间、地点、产品规格、型号、数量、质量及参数要求完全符合合同约定；</w:t>
      </w:r>
    </w:p>
    <w:p w14:paraId="1FE4367C">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3.中标人向采购人开具符合法律、法规规范及行业要求的真实、有效的增值税专用发票；</w:t>
      </w:r>
    </w:p>
    <w:p w14:paraId="342526A7">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4.采购人凭中标人的供货发票，验收单等支付凭证办理相关支付手续，满足合同约定的支付条件后7个工作日向中标人付清剩余货款。</w:t>
      </w:r>
    </w:p>
    <w:p w14:paraId="0D6D625E">
      <w:pPr>
        <w:pStyle w:val="4"/>
        <w:rPr>
          <w:rFonts w:cs="宋体"/>
          <w:color w:val="auto"/>
          <w:highlight w:val="none"/>
          <w:lang w:val="zh-TW"/>
        </w:rPr>
      </w:pPr>
      <w:r>
        <w:rPr>
          <w:rFonts w:hint="eastAsia" w:cs="宋体"/>
          <w:color w:val="auto"/>
          <w:highlight w:val="none"/>
          <w:lang w:val="zh-TW"/>
        </w:rPr>
        <w:t>（六）项目验收</w:t>
      </w:r>
    </w:p>
    <w:p w14:paraId="33156E44">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1.中标人应提供合同货物的有效检验文件（包括厂商测试报告），经采购人认可后，与货物的性能指标一起作为合同货物验收标准。采购人按要求组织专家对设备进行检测、验收，对合同货物验收合格后，双方共同签署验收合格证书，验收中发现合同货物达不到验收标准或合同规定的性能指标，中标人必须更换合同货物，并负担由此给采购人造成的损失，直到验收合格为止；</w:t>
      </w:r>
    </w:p>
    <w:p w14:paraId="66C6C0EA">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2.投标人应于投标文件中提供合同货物的验收标准和检测办法，并在验收中提供采购人认可的相应检测手段，验收标准应符合中国有关的国家、地方、行业的标准，如若中标，经采购人确认后作为验收的依据；</w:t>
      </w:r>
    </w:p>
    <w:p w14:paraId="34F2FBB8">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3.如中标人委托国内代理（或其他机构）负责安装或配合安装，应在签约时指明，但中标人仍要对合同货物及其安装质量负全部责任；</w:t>
      </w:r>
    </w:p>
    <w:p w14:paraId="47116008">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4.验收时中标人必须在现场，验收完毕后作出验收结果报告（包括实验室测试报告）；</w:t>
      </w:r>
    </w:p>
    <w:p w14:paraId="180B5CC9">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5.如发现有重大的质量问题，双方均同意提请国家法定检测机构鉴定，如检测结果证明产品无质量问题，由采购人承担检测费用；如检测结果证明产品有质量问题，由中标人承担检测费用，同时中标人同意采购人无条件退货并支付给采购人货款总价10％的赔偿金。</w:t>
      </w:r>
    </w:p>
    <w:p w14:paraId="5E43576C">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6.验收产生的费用，由中标人承担。</w:t>
      </w:r>
    </w:p>
    <w:p w14:paraId="64519FEF">
      <w:pPr>
        <w:pStyle w:val="4"/>
        <w:rPr>
          <w:rFonts w:cs="宋体"/>
          <w:color w:val="auto"/>
          <w:highlight w:val="none"/>
          <w:lang w:val="zh-TW"/>
        </w:rPr>
      </w:pPr>
      <w:r>
        <w:rPr>
          <w:rFonts w:hint="eastAsia" w:cs="宋体"/>
          <w:color w:val="auto"/>
          <w:highlight w:val="none"/>
          <w:lang w:val="zh-TW"/>
        </w:rPr>
        <w:t>（七）安装调试、培训</w:t>
      </w:r>
    </w:p>
    <w:p w14:paraId="32A0F59A">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1.安装调试地点：采购人指定地点。</w:t>
      </w:r>
    </w:p>
    <w:p w14:paraId="6A362E66">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2.中标人免费提供合同货物的安装调试技术指导，具体安装调试时间由采购人和中标人协商确定。</w:t>
      </w:r>
    </w:p>
    <w:p w14:paraId="449062C6">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3.投标人在投标文件中应提供安装调试对安装场地和环境的要求。</w:t>
      </w:r>
    </w:p>
    <w:p w14:paraId="2D25BE82">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4.备品备件及耗材：磋商响应供应商应提供质保期满后主要零部件报价单、质保期满后维护费、软件升级及其相关服务内容。</w:t>
      </w:r>
    </w:p>
    <w:p w14:paraId="6F84F646">
      <w:pPr>
        <w:snapToGrid w:val="0"/>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5.中标人对采购人采取的培训内容包括现场讲解设备运行原理、注意事项、对于产品进行完整的示范操作、提供示范操作视频等；并在投标文件中提供相应的培训计划，包括对人员、场地、场次等的安排，要求提供至少1次免费现场培训。</w:t>
      </w:r>
    </w:p>
    <w:p w14:paraId="23460333">
      <w:pPr>
        <w:pStyle w:val="4"/>
        <w:rPr>
          <w:rFonts w:cs="宋体"/>
          <w:color w:val="auto"/>
          <w:highlight w:val="none"/>
          <w:lang w:val="zh-TW"/>
        </w:rPr>
      </w:pPr>
      <w:r>
        <w:rPr>
          <w:rFonts w:hint="eastAsia" w:cs="宋体"/>
          <w:color w:val="auto"/>
          <w:highlight w:val="none"/>
          <w:lang w:val="zh-TW"/>
        </w:rPr>
        <w:t>（八）合同履行</w:t>
      </w:r>
    </w:p>
    <w:p w14:paraId="46D73FA1">
      <w:pPr>
        <w:tabs>
          <w:tab w:val="left" w:pos="900"/>
        </w:tabs>
        <w:snapToGrid w:val="0"/>
        <w:spacing w:line="360" w:lineRule="auto"/>
        <w:ind w:firstLine="480" w:firstLineChars="200"/>
        <w:rPr>
          <w:rFonts w:ascii="宋体" w:hAnsi="宋体" w:cs="宋体"/>
          <w:color w:val="auto"/>
          <w:sz w:val="24"/>
          <w:highlight w:val="none"/>
          <w:lang w:val="zh-TW"/>
        </w:rPr>
        <w:sectPr>
          <w:pgSz w:w="11906" w:h="16838"/>
          <w:pgMar w:top="1440" w:right="1080" w:bottom="1440" w:left="1080" w:header="851" w:footer="851" w:gutter="0"/>
          <w:cols w:space="720" w:num="1"/>
          <w:docGrid w:linePitch="312" w:charSpace="0"/>
        </w:sectPr>
      </w:pPr>
      <w:r>
        <w:rPr>
          <w:rFonts w:hint="eastAsia" w:ascii="宋体" w:hAnsi="宋体" w:cs="宋体"/>
          <w:color w:val="auto"/>
          <w:sz w:val="24"/>
          <w:highlight w:val="none"/>
          <w:lang w:val="zh-TW"/>
        </w:rPr>
        <w:t>必须由投标主体履行合同。</w:t>
      </w:r>
    </w:p>
    <w:p w14:paraId="5B18F030">
      <w:pPr>
        <w:pStyle w:val="2"/>
        <w:rPr>
          <w:rFonts w:ascii="宋体" w:hAnsi="宋体" w:cs="宋体"/>
          <w:color w:val="auto"/>
          <w:szCs w:val="36"/>
          <w:highlight w:val="none"/>
        </w:rPr>
      </w:pPr>
      <w:bookmarkStart w:id="41" w:name="_Toc184314431"/>
      <w:bookmarkEnd w:id="41"/>
      <w:bookmarkStart w:id="42" w:name="_Toc184308101"/>
      <w:bookmarkEnd w:id="42"/>
      <w:bookmarkStart w:id="43" w:name="_Toc184308099"/>
      <w:bookmarkEnd w:id="43"/>
      <w:bookmarkStart w:id="44" w:name="_Toc184313266"/>
      <w:bookmarkEnd w:id="44"/>
      <w:bookmarkStart w:id="45" w:name="_Toc184313294"/>
      <w:bookmarkEnd w:id="45"/>
      <w:bookmarkStart w:id="46" w:name="_Toc184308052"/>
      <w:bookmarkEnd w:id="46"/>
      <w:bookmarkStart w:id="47" w:name="_Toc184314452"/>
      <w:bookmarkEnd w:id="47"/>
      <w:bookmarkStart w:id="48" w:name="_Toc184308051"/>
      <w:bookmarkEnd w:id="48"/>
      <w:bookmarkStart w:id="49" w:name="_Toc184308088"/>
      <w:bookmarkEnd w:id="49"/>
      <w:bookmarkStart w:id="50" w:name="_Toc184314418"/>
      <w:bookmarkEnd w:id="50"/>
      <w:bookmarkStart w:id="51" w:name="_Toc184310317"/>
      <w:bookmarkEnd w:id="51"/>
      <w:bookmarkStart w:id="52" w:name="_Toc184314451"/>
      <w:bookmarkEnd w:id="52"/>
      <w:bookmarkStart w:id="53" w:name="_Toc184310277"/>
      <w:bookmarkEnd w:id="53"/>
      <w:bookmarkStart w:id="54" w:name="_Toc184308072"/>
      <w:bookmarkEnd w:id="54"/>
      <w:bookmarkStart w:id="55" w:name="_Toc184312121"/>
      <w:bookmarkEnd w:id="55"/>
      <w:bookmarkStart w:id="56" w:name="_Toc184314478"/>
      <w:bookmarkEnd w:id="56"/>
      <w:bookmarkStart w:id="57" w:name="_Toc184308045"/>
      <w:bookmarkEnd w:id="57"/>
      <w:bookmarkStart w:id="58" w:name="_Toc184313259"/>
      <w:bookmarkEnd w:id="58"/>
      <w:bookmarkStart w:id="59" w:name="_Toc184308050"/>
      <w:bookmarkEnd w:id="59"/>
      <w:bookmarkStart w:id="60" w:name="_Toc184313276"/>
      <w:bookmarkEnd w:id="60"/>
      <w:bookmarkStart w:id="61" w:name="_Toc184314435"/>
      <w:bookmarkEnd w:id="61"/>
      <w:bookmarkStart w:id="62" w:name="_Toc184308065"/>
      <w:bookmarkEnd w:id="62"/>
      <w:bookmarkStart w:id="63" w:name="_Toc184308061"/>
      <w:bookmarkEnd w:id="63"/>
      <w:bookmarkStart w:id="64" w:name="_Toc184313282"/>
      <w:bookmarkEnd w:id="64"/>
      <w:bookmarkStart w:id="65" w:name="_Toc184312068"/>
      <w:bookmarkEnd w:id="65"/>
      <w:bookmarkStart w:id="66" w:name="_Toc184314433"/>
      <w:bookmarkEnd w:id="66"/>
      <w:bookmarkStart w:id="67" w:name="_Toc184312085"/>
      <w:bookmarkEnd w:id="67"/>
      <w:bookmarkStart w:id="68" w:name="_Toc184310344"/>
      <w:bookmarkEnd w:id="68"/>
      <w:bookmarkStart w:id="69" w:name="_Toc184308076"/>
      <w:bookmarkEnd w:id="69"/>
      <w:bookmarkStart w:id="70" w:name="_Toc184308063"/>
      <w:bookmarkEnd w:id="70"/>
      <w:bookmarkStart w:id="71" w:name="_Toc184312092"/>
      <w:bookmarkEnd w:id="71"/>
      <w:bookmarkStart w:id="72" w:name="_Toc184314425"/>
      <w:bookmarkEnd w:id="72"/>
      <w:bookmarkStart w:id="73" w:name="_Toc184308049"/>
      <w:bookmarkEnd w:id="73"/>
      <w:bookmarkStart w:id="74" w:name="_Toc184310305"/>
      <w:bookmarkEnd w:id="74"/>
      <w:bookmarkStart w:id="75" w:name="_Toc184308038"/>
      <w:bookmarkEnd w:id="75"/>
      <w:bookmarkStart w:id="76" w:name="_Toc184313249"/>
      <w:bookmarkEnd w:id="76"/>
      <w:bookmarkStart w:id="77" w:name="_Toc184310283"/>
      <w:bookmarkEnd w:id="77"/>
      <w:bookmarkStart w:id="78" w:name="_Toc184312072"/>
      <w:bookmarkEnd w:id="78"/>
      <w:bookmarkStart w:id="79" w:name="_Toc184312130"/>
      <w:bookmarkEnd w:id="79"/>
      <w:bookmarkStart w:id="80" w:name="_Toc184310314"/>
      <w:bookmarkEnd w:id="80"/>
      <w:bookmarkStart w:id="81" w:name="_Toc184310324"/>
      <w:bookmarkEnd w:id="81"/>
      <w:bookmarkStart w:id="82" w:name="_Toc184312094"/>
      <w:bookmarkEnd w:id="82"/>
      <w:bookmarkStart w:id="83" w:name="_Toc184312108"/>
      <w:bookmarkEnd w:id="83"/>
      <w:bookmarkStart w:id="84" w:name="_Toc184308053"/>
      <w:bookmarkEnd w:id="84"/>
      <w:bookmarkStart w:id="85" w:name="_Toc184313243"/>
      <w:bookmarkEnd w:id="85"/>
      <w:bookmarkStart w:id="86" w:name="_Toc184313264"/>
      <w:bookmarkEnd w:id="86"/>
      <w:bookmarkStart w:id="87" w:name="_Toc184312136"/>
      <w:bookmarkEnd w:id="87"/>
      <w:bookmarkStart w:id="88" w:name="_Toc184310275"/>
      <w:bookmarkEnd w:id="88"/>
      <w:bookmarkStart w:id="89" w:name="_Toc184313287"/>
      <w:bookmarkEnd w:id="89"/>
      <w:bookmarkStart w:id="90" w:name="_Toc184312112"/>
      <w:bookmarkEnd w:id="90"/>
      <w:bookmarkStart w:id="91" w:name="_Toc184313270"/>
      <w:bookmarkEnd w:id="91"/>
      <w:bookmarkStart w:id="92" w:name="_Toc184313293"/>
      <w:bookmarkEnd w:id="92"/>
      <w:bookmarkStart w:id="93" w:name="_Toc184308098"/>
      <w:bookmarkEnd w:id="93"/>
      <w:bookmarkStart w:id="94" w:name="_Toc184312131"/>
      <w:bookmarkEnd w:id="94"/>
      <w:bookmarkStart w:id="95" w:name="_Toc184310299"/>
      <w:bookmarkEnd w:id="95"/>
      <w:bookmarkStart w:id="96" w:name="_Toc184310340"/>
      <w:bookmarkEnd w:id="96"/>
      <w:bookmarkStart w:id="97" w:name="_Toc184312133"/>
      <w:bookmarkEnd w:id="97"/>
      <w:bookmarkStart w:id="98" w:name="_Toc184310278"/>
      <w:bookmarkEnd w:id="98"/>
      <w:bookmarkStart w:id="99" w:name="_Toc184310276"/>
      <w:bookmarkEnd w:id="99"/>
      <w:bookmarkStart w:id="100" w:name="_Toc184314454"/>
      <w:bookmarkEnd w:id="100"/>
      <w:bookmarkStart w:id="101" w:name="_Toc184312091"/>
      <w:bookmarkEnd w:id="101"/>
      <w:bookmarkStart w:id="102" w:name="_Toc184313309"/>
      <w:bookmarkEnd w:id="102"/>
      <w:bookmarkStart w:id="103" w:name="_Toc184312116"/>
      <w:bookmarkEnd w:id="103"/>
      <w:bookmarkStart w:id="104" w:name="_Toc184312069"/>
      <w:bookmarkEnd w:id="104"/>
      <w:bookmarkStart w:id="105" w:name="_Toc184314429"/>
      <w:bookmarkEnd w:id="105"/>
      <w:bookmarkStart w:id="106" w:name="_Toc184313256"/>
      <w:bookmarkEnd w:id="106"/>
      <w:bookmarkStart w:id="107" w:name="_Toc184310322"/>
      <w:bookmarkEnd w:id="107"/>
      <w:bookmarkStart w:id="108" w:name="_Toc184312078"/>
      <w:bookmarkEnd w:id="108"/>
      <w:bookmarkStart w:id="109" w:name="_Toc184313298"/>
      <w:bookmarkEnd w:id="109"/>
      <w:bookmarkStart w:id="110" w:name="_Toc184313301"/>
      <w:bookmarkEnd w:id="110"/>
      <w:bookmarkStart w:id="111" w:name="_Toc184308070"/>
      <w:bookmarkEnd w:id="111"/>
      <w:bookmarkStart w:id="112" w:name="_Toc184310335"/>
      <w:bookmarkEnd w:id="112"/>
      <w:bookmarkStart w:id="113" w:name="_Toc184310284"/>
      <w:bookmarkEnd w:id="113"/>
      <w:bookmarkStart w:id="114" w:name="_Toc184314411"/>
      <w:bookmarkEnd w:id="114"/>
      <w:bookmarkStart w:id="115" w:name="_Toc184310290"/>
      <w:bookmarkEnd w:id="115"/>
      <w:bookmarkStart w:id="116" w:name="_Toc184308083"/>
      <w:bookmarkEnd w:id="116"/>
      <w:bookmarkStart w:id="117" w:name="_Toc184312074"/>
      <w:bookmarkEnd w:id="117"/>
      <w:bookmarkStart w:id="118" w:name="_Toc184308056"/>
      <w:bookmarkEnd w:id="118"/>
      <w:bookmarkStart w:id="119" w:name="_Toc184313262"/>
      <w:bookmarkEnd w:id="119"/>
      <w:bookmarkStart w:id="120" w:name="_Toc184310328"/>
      <w:bookmarkEnd w:id="120"/>
      <w:bookmarkStart w:id="121" w:name="_Toc184310312"/>
      <w:bookmarkEnd w:id="121"/>
      <w:bookmarkStart w:id="122" w:name="_Toc184312117"/>
      <w:bookmarkEnd w:id="122"/>
      <w:bookmarkStart w:id="123" w:name="_Toc184313285"/>
      <w:bookmarkEnd w:id="123"/>
      <w:bookmarkStart w:id="124" w:name="_Toc184310310"/>
      <w:bookmarkEnd w:id="124"/>
      <w:bookmarkStart w:id="125" w:name="_Toc184313280"/>
      <w:bookmarkEnd w:id="125"/>
      <w:bookmarkStart w:id="126" w:name="_Toc184314464"/>
      <w:bookmarkEnd w:id="126"/>
      <w:bookmarkStart w:id="127" w:name="_Toc184308080"/>
      <w:bookmarkEnd w:id="127"/>
      <w:bookmarkStart w:id="128" w:name="_Toc184312125"/>
      <w:bookmarkEnd w:id="128"/>
      <w:bookmarkStart w:id="129" w:name="_Toc184310279"/>
      <w:bookmarkEnd w:id="129"/>
      <w:bookmarkStart w:id="130" w:name="_Toc184314414"/>
      <w:bookmarkEnd w:id="130"/>
      <w:bookmarkStart w:id="131" w:name="_Toc184313299"/>
      <w:bookmarkEnd w:id="131"/>
      <w:bookmarkStart w:id="132" w:name="_Toc184308108"/>
      <w:bookmarkEnd w:id="132"/>
      <w:bookmarkStart w:id="133" w:name="_Toc184314450"/>
      <w:bookmarkEnd w:id="133"/>
      <w:bookmarkStart w:id="134" w:name="_Toc184310341"/>
      <w:bookmarkEnd w:id="134"/>
      <w:bookmarkStart w:id="135" w:name="_Toc184313274"/>
      <w:bookmarkEnd w:id="135"/>
      <w:bookmarkStart w:id="136" w:name="_Toc184312081"/>
      <w:bookmarkEnd w:id="136"/>
      <w:bookmarkStart w:id="137" w:name="_Toc184314442"/>
      <w:bookmarkEnd w:id="137"/>
      <w:bookmarkStart w:id="138" w:name="_Toc184312120"/>
      <w:bookmarkEnd w:id="138"/>
      <w:bookmarkStart w:id="139" w:name="_Toc184310289"/>
      <w:bookmarkEnd w:id="139"/>
      <w:bookmarkStart w:id="140" w:name="_Toc184312083"/>
      <w:bookmarkEnd w:id="140"/>
      <w:bookmarkStart w:id="141" w:name="_Toc184312082"/>
      <w:bookmarkEnd w:id="141"/>
      <w:bookmarkStart w:id="142" w:name="_Toc184313247"/>
      <w:bookmarkEnd w:id="142"/>
      <w:bookmarkStart w:id="143" w:name="_Toc184308062"/>
      <w:bookmarkEnd w:id="143"/>
      <w:bookmarkStart w:id="144" w:name="_Toc184312097"/>
      <w:bookmarkEnd w:id="144"/>
      <w:bookmarkStart w:id="145" w:name="_Toc184308075"/>
      <w:bookmarkEnd w:id="145"/>
      <w:bookmarkStart w:id="146" w:name="_Toc184312115"/>
      <w:bookmarkEnd w:id="146"/>
      <w:bookmarkStart w:id="147" w:name="_Toc184308087"/>
      <w:bookmarkEnd w:id="147"/>
      <w:bookmarkStart w:id="148" w:name="_Toc184310334"/>
      <w:bookmarkEnd w:id="148"/>
      <w:bookmarkStart w:id="149" w:name="_Toc184312134"/>
      <w:bookmarkEnd w:id="149"/>
      <w:bookmarkStart w:id="150" w:name="_Toc184314461"/>
      <w:bookmarkEnd w:id="150"/>
      <w:bookmarkStart w:id="151" w:name="_Toc184314420"/>
      <w:bookmarkEnd w:id="151"/>
      <w:bookmarkStart w:id="152" w:name="_Toc184310332"/>
      <w:bookmarkEnd w:id="152"/>
      <w:bookmarkStart w:id="153" w:name="_Toc184314458"/>
      <w:bookmarkEnd w:id="153"/>
      <w:bookmarkStart w:id="154" w:name="_Toc184308074"/>
      <w:bookmarkEnd w:id="154"/>
      <w:bookmarkStart w:id="155" w:name="_Toc184312080"/>
      <w:bookmarkEnd w:id="155"/>
      <w:bookmarkStart w:id="156" w:name="_Toc184313306"/>
      <w:bookmarkEnd w:id="156"/>
      <w:bookmarkStart w:id="157" w:name="_Toc184310326"/>
      <w:bookmarkEnd w:id="157"/>
      <w:bookmarkStart w:id="158" w:name="_Toc184313253"/>
      <w:bookmarkEnd w:id="158"/>
      <w:bookmarkStart w:id="159" w:name="_Toc184313241"/>
      <w:bookmarkEnd w:id="159"/>
      <w:bookmarkStart w:id="160" w:name="_Toc184314465"/>
      <w:bookmarkEnd w:id="160"/>
      <w:bookmarkStart w:id="161" w:name="_Toc184314456"/>
      <w:bookmarkEnd w:id="161"/>
      <w:bookmarkStart w:id="162" w:name="_Toc184312067"/>
      <w:bookmarkEnd w:id="162"/>
      <w:bookmarkStart w:id="163" w:name="_Toc184314468"/>
      <w:bookmarkEnd w:id="163"/>
      <w:bookmarkStart w:id="164" w:name="_Toc184310291"/>
      <w:bookmarkEnd w:id="164"/>
      <w:bookmarkStart w:id="165" w:name="_Toc184308102"/>
      <w:bookmarkEnd w:id="165"/>
      <w:bookmarkStart w:id="166" w:name="_Toc184310296"/>
      <w:bookmarkEnd w:id="166"/>
      <w:bookmarkStart w:id="167" w:name="_Toc184313251"/>
      <w:bookmarkEnd w:id="167"/>
      <w:bookmarkStart w:id="168" w:name="_Toc184312124"/>
      <w:bookmarkEnd w:id="168"/>
      <w:bookmarkStart w:id="169" w:name="_Toc184312096"/>
      <w:bookmarkEnd w:id="169"/>
      <w:bookmarkStart w:id="170" w:name="_Toc184312075"/>
      <w:bookmarkEnd w:id="170"/>
      <w:bookmarkStart w:id="171" w:name="_Toc184310303"/>
      <w:bookmarkEnd w:id="171"/>
      <w:bookmarkStart w:id="172" w:name="_Toc184313242"/>
      <w:bookmarkEnd w:id="172"/>
      <w:bookmarkStart w:id="173" w:name="_Toc184312076"/>
      <w:bookmarkEnd w:id="173"/>
      <w:bookmarkStart w:id="174" w:name="_Toc184308071"/>
      <w:bookmarkEnd w:id="174"/>
      <w:bookmarkStart w:id="175" w:name="_Toc184310304"/>
      <w:bookmarkEnd w:id="175"/>
      <w:bookmarkStart w:id="176" w:name="_Toc184310309"/>
      <w:bookmarkEnd w:id="176"/>
      <w:bookmarkStart w:id="177" w:name="_Toc184314462"/>
      <w:bookmarkEnd w:id="177"/>
      <w:bookmarkStart w:id="178" w:name="_Toc184312079"/>
      <w:bookmarkEnd w:id="178"/>
      <w:bookmarkStart w:id="179" w:name="_Toc184314457"/>
      <w:bookmarkEnd w:id="179"/>
      <w:bookmarkStart w:id="180" w:name="_Toc184310286"/>
      <w:bookmarkEnd w:id="180"/>
      <w:bookmarkStart w:id="181" w:name="_Toc184312118"/>
      <w:bookmarkEnd w:id="181"/>
      <w:bookmarkStart w:id="182" w:name="_Toc184314449"/>
      <w:bookmarkEnd w:id="182"/>
      <w:bookmarkStart w:id="183" w:name="_Toc184314479"/>
      <w:bookmarkEnd w:id="183"/>
      <w:bookmarkStart w:id="184" w:name="_Toc184312123"/>
      <w:bookmarkEnd w:id="184"/>
      <w:bookmarkStart w:id="185" w:name="_Toc184314467"/>
      <w:bookmarkEnd w:id="185"/>
      <w:bookmarkStart w:id="186" w:name="_Toc184310320"/>
      <w:bookmarkEnd w:id="186"/>
      <w:bookmarkStart w:id="187" w:name="_Toc184308089"/>
      <w:bookmarkEnd w:id="187"/>
      <w:bookmarkStart w:id="188" w:name="_Toc184314480"/>
      <w:bookmarkEnd w:id="188"/>
      <w:bookmarkStart w:id="189" w:name="_Toc184308059"/>
      <w:bookmarkEnd w:id="189"/>
      <w:bookmarkStart w:id="190" w:name="_Toc184312087"/>
      <w:bookmarkEnd w:id="190"/>
      <w:bookmarkStart w:id="191" w:name="_Toc184313246"/>
      <w:bookmarkEnd w:id="191"/>
      <w:bookmarkStart w:id="192" w:name="_Toc184310272"/>
      <w:bookmarkEnd w:id="192"/>
      <w:bookmarkStart w:id="193" w:name="_Toc184313290"/>
      <w:bookmarkEnd w:id="193"/>
      <w:bookmarkStart w:id="194" w:name="_Toc184314440"/>
      <w:bookmarkEnd w:id="194"/>
      <w:bookmarkStart w:id="195" w:name="_Toc184310302"/>
      <w:bookmarkEnd w:id="195"/>
      <w:bookmarkStart w:id="196" w:name="_Toc184310333"/>
      <w:bookmarkEnd w:id="196"/>
      <w:bookmarkStart w:id="197" w:name="_Toc184314427"/>
      <w:bookmarkEnd w:id="197"/>
      <w:bookmarkStart w:id="198" w:name="_Toc184310311"/>
      <w:bookmarkEnd w:id="198"/>
      <w:bookmarkStart w:id="199" w:name="_Toc184310338"/>
      <w:bookmarkEnd w:id="199"/>
      <w:bookmarkStart w:id="200" w:name="_Toc184310343"/>
      <w:bookmarkEnd w:id="200"/>
      <w:bookmarkStart w:id="201" w:name="_Toc184310282"/>
      <w:bookmarkEnd w:id="201"/>
      <w:bookmarkStart w:id="202" w:name="_Toc184308048"/>
      <w:bookmarkEnd w:id="202"/>
      <w:bookmarkStart w:id="203" w:name="_Toc184313261"/>
      <w:bookmarkEnd w:id="203"/>
      <w:bookmarkStart w:id="204" w:name="_Toc184308084"/>
      <w:bookmarkEnd w:id="204"/>
      <w:bookmarkStart w:id="205" w:name="_Toc184312122"/>
      <w:bookmarkEnd w:id="205"/>
      <w:bookmarkStart w:id="206" w:name="_Toc184314481"/>
      <w:bookmarkEnd w:id="206"/>
      <w:bookmarkStart w:id="207" w:name="_Toc184314453"/>
      <w:bookmarkEnd w:id="207"/>
      <w:bookmarkStart w:id="208" w:name="_Toc184310339"/>
      <w:bookmarkEnd w:id="208"/>
      <w:bookmarkStart w:id="209" w:name="_Toc184308086"/>
      <w:bookmarkEnd w:id="209"/>
      <w:bookmarkStart w:id="210" w:name="_Toc184310301"/>
      <w:bookmarkEnd w:id="210"/>
      <w:bookmarkStart w:id="211" w:name="_Toc184312137"/>
      <w:bookmarkEnd w:id="211"/>
      <w:bookmarkStart w:id="212" w:name="_Toc184312109"/>
      <w:bookmarkEnd w:id="212"/>
      <w:bookmarkStart w:id="213" w:name="_Toc184314460"/>
      <w:bookmarkEnd w:id="213"/>
      <w:bookmarkStart w:id="214" w:name="_Toc184310315"/>
      <w:bookmarkEnd w:id="214"/>
      <w:bookmarkStart w:id="215" w:name="_Toc184308077"/>
      <w:bookmarkEnd w:id="215"/>
      <w:bookmarkStart w:id="216" w:name="_Toc184313278"/>
      <w:bookmarkEnd w:id="216"/>
      <w:bookmarkStart w:id="217" w:name="_Toc184310307"/>
      <w:bookmarkEnd w:id="217"/>
      <w:bookmarkStart w:id="218" w:name="_Toc184308095"/>
      <w:bookmarkEnd w:id="218"/>
      <w:bookmarkStart w:id="219" w:name="_Toc184308100"/>
      <w:bookmarkEnd w:id="219"/>
      <w:bookmarkStart w:id="220" w:name="_Toc184308042"/>
      <w:bookmarkEnd w:id="220"/>
      <w:bookmarkStart w:id="221" w:name="_Toc184313288"/>
      <w:bookmarkEnd w:id="221"/>
      <w:bookmarkStart w:id="222" w:name="_Toc184314444"/>
      <w:bookmarkEnd w:id="222"/>
      <w:bookmarkStart w:id="223" w:name="_Toc184313307"/>
      <w:bookmarkEnd w:id="223"/>
      <w:bookmarkStart w:id="224" w:name="_Toc184313244"/>
      <w:bookmarkEnd w:id="224"/>
      <w:bookmarkStart w:id="225" w:name="_Toc184314416"/>
      <w:bookmarkEnd w:id="225"/>
      <w:bookmarkStart w:id="226" w:name="_Toc184308103"/>
      <w:bookmarkEnd w:id="226"/>
      <w:bookmarkStart w:id="227" w:name="_Toc184313305"/>
      <w:bookmarkEnd w:id="227"/>
      <w:bookmarkStart w:id="228" w:name="_Toc184314422"/>
      <w:bookmarkEnd w:id="228"/>
      <w:bookmarkStart w:id="229" w:name="_Toc184310323"/>
      <w:bookmarkEnd w:id="229"/>
      <w:bookmarkStart w:id="230" w:name="_Toc184313295"/>
      <w:bookmarkEnd w:id="230"/>
      <w:bookmarkStart w:id="231" w:name="_Toc184312114"/>
      <w:bookmarkEnd w:id="231"/>
      <w:bookmarkStart w:id="232" w:name="_Toc184313310"/>
      <w:bookmarkEnd w:id="232"/>
      <w:bookmarkStart w:id="233" w:name="_Toc184310319"/>
      <w:bookmarkEnd w:id="233"/>
      <w:bookmarkStart w:id="234" w:name="_Toc184312106"/>
      <w:bookmarkEnd w:id="234"/>
      <w:bookmarkStart w:id="235" w:name="_Toc184308041"/>
      <w:bookmarkEnd w:id="235"/>
      <w:bookmarkStart w:id="236" w:name="_Toc184308036"/>
      <w:bookmarkEnd w:id="236"/>
      <w:bookmarkStart w:id="237" w:name="_Toc184310321"/>
      <w:bookmarkEnd w:id="237"/>
      <w:bookmarkStart w:id="238" w:name="_Toc184313297"/>
      <w:bookmarkEnd w:id="238"/>
      <w:bookmarkStart w:id="239" w:name="_Toc184313302"/>
      <w:bookmarkEnd w:id="239"/>
      <w:bookmarkStart w:id="240" w:name="_Toc184313292"/>
      <w:bookmarkEnd w:id="240"/>
      <w:bookmarkStart w:id="241" w:name="_Toc184314419"/>
      <w:bookmarkEnd w:id="241"/>
      <w:bookmarkStart w:id="242" w:name="_Toc184313271"/>
      <w:bookmarkEnd w:id="242"/>
      <w:bookmarkStart w:id="243" w:name="_Toc184312126"/>
      <w:bookmarkEnd w:id="243"/>
      <w:bookmarkStart w:id="244" w:name="_Toc184314446"/>
      <w:bookmarkEnd w:id="244"/>
      <w:bookmarkStart w:id="245" w:name="_Toc184312104"/>
      <w:bookmarkEnd w:id="245"/>
      <w:bookmarkStart w:id="246" w:name="_Toc184313268"/>
      <w:bookmarkEnd w:id="246"/>
      <w:bookmarkStart w:id="247" w:name="_Toc184310294"/>
      <w:bookmarkEnd w:id="247"/>
      <w:bookmarkStart w:id="248" w:name="_Toc184313283"/>
      <w:bookmarkEnd w:id="248"/>
      <w:bookmarkStart w:id="249" w:name="_Toc184312093"/>
      <w:bookmarkEnd w:id="249"/>
      <w:bookmarkStart w:id="250" w:name="_Toc184308085"/>
      <w:bookmarkEnd w:id="250"/>
      <w:bookmarkStart w:id="251" w:name="_Toc184308037"/>
      <w:bookmarkEnd w:id="251"/>
      <w:bookmarkStart w:id="252" w:name="_Toc184312113"/>
      <w:bookmarkEnd w:id="252"/>
      <w:bookmarkStart w:id="253" w:name="_Toc184312135"/>
      <w:bookmarkEnd w:id="253"/>
      <w:bookmarkStart w:id="254" w:name="_Toc184312107"/>
      <w:bookmarkEnd w:id="254"/>
      <w:bookmarkStart w:id="255" w:name="_Toc184314436"/>
      <w:bookmarkEnd w:id="255"/>
      <w:bookmarkStart w:id="256" w:name="_Toc184313245"/>
      <w:bookmarkEnd w:id="256"/>
      <w:bookmarkStart w:id="257" w:name="_Toc184308104"/>
      <w:bookmarkEnd w:id="257"/>
      <w:bookmarkStart w:id="258" w:name="_Toc184314470"/>
      <w:bookmarkEnd w:id="258"/>
      <w:bookmarkStart w:id="259" w:name="_Toc184310280"/>
      <w:bookmarkEnd w:id="259"/>
      <w:bookmarkStart w:id="260" w:name="_Toc184312071"/>
      <w:bookmarkEnd w:id="260"/>
      <w:bookmarkStart w:id="261" w:name="_Toc184308107"/>
      <w:bookmarkEnd w:id="261"/>
      <w:bookmarkStart w:id="262" w:name="_Toc184310306"/>
      <w:bookmarkEnd w:id="262"/>
      <w:bookmarkStart w:id="263" w:name="_Toc184310331"/>
      <w:bookmarkEnd w:id="263"/>
      <w:bookmarkStart w:id="264" w:name="_Toc184308097"/>
      <w:bookmarkEnd w:id="264"/>
      <w:bookmarkStart w:id="265" w:name="_Toc184312086"/>
      <w:bookmarkEnd w:id="265"/>
      <w:bookmarkStart w:id="266" w:name="_Toc184313303"/>
      <w:bookmarkEnd w:id="266"/>
      <w:bookmarkStart w:id="267" w:name="_Toc184308066"/>
      <w:bookmarkEnd w:id="267"/>
      <w:bookmarkStart w:id="268" w:name="_Toc184313281"/>
      <w:bookmarkEnd w:id="268"/>
      <w:bookmarkStart w:id="269" w:name="_Toc184308058"/>
      <w:bookmarkEnd w:id="269"/>
      <w:bookmarkStart w:id="270" w:name="_Toc184310287"/>
      <w:bookmarkEnd w:id="270"/>
      <w:bookmarkStart w:id="271" w:name="_Toc184308068"/>
      <w:bookmarkEnd w:id="271"/>
      <w:bookmarkStart w:id="272" w:name="_Toc184313289"/>
      <w:bookmarkEnd w:id="272"/>
      <w:bookmarkStart w:id="273" w:name="_Toc184312099"/>
      <w:bookmarkEnd w:id="273"/>
      <w:bookmarkStart w:id="274" w:name="_Toc184310325"/>
      <w:bookmarkEnd w:id="274"/>
      <w:bookmarkStart w:id="275" w:name="_Toc184310273"/>
      <w:bookmarkEnd w:id="275"/>
      <w:bookmarkStart w:id="276" w:name="_Toc184314459"/>
      <w:bookmarkEnd w:id="276"/>
      <w:bookmarkStart w:id="277" w:name="_Toc184313277"/>
      <w:bookmarkEnd w:id="277"/>
      <w:bookmarkStart w:id="278" w:name="_Toc184313258"/>
      <w:bookmarkEnd w:id="278"/>
      <w:bookmarkStart w:id="279" w:name="_Toc184314445"/>
      <w:bookmarkEnd w:id="279"/>
      <w:bookmarkStart w:id="280" w:name="_Toc184308047"/>
      <w:bookmarkEnd w:id="280"/>
      <w:bookmarkStart w:id="281" w:name="_Toc184314473"/>
      <w:bookmarkEnd w:id="281"/>
      <w:bookmarkStart w:id="282" w:name="_Toc184314417"/>
      <w:bookmarkEnd w:id="282"/>
      <w:bookmarkStart w:id="283" w:name="_Toc184312139"/>
      <w:bookmarkEnd w:id="283"/>
      <w:bookmarkStart w:id="284" w:name="_Toc184314482"/>
      <w:bookmarkEnd w:id="284"/>
      <w:bookmarkStart w:id="285" w:name="_Toc184310336"/>
      <w:bookmarkEnd w:id="285"/>
      <w:bookmarkStart w:id="286" w:name="_Toc184314471"/>
      <w:bookmarkEnd w:id="286"/>
      <w:bookmarkStart w:id="287" w:name="_Toc184308105"/>
      <w:bookmarkEnd w:id="287"/>
      <w:bookmarkStart w:id="288" w:name="_Toc184314475"/>
      <w:bookmarkEnd w:id="288"/>
      <w:bookmarkStart w:id="289" w:name="_Toc184312095"/>
      <w:bookmarkEnd w:id="289"/>
      <w:bookmarkStart w:id="290" w:name="_Toc184308060"/>
      <w:bookmarkEnd w:id="290"/>
      <w:bookmarkStart w:id="291" w:name="_Toc184313284"/>
      <w:bookmarkEnd w:id="291"/>
      <w:bookmarkStart w:id="292" w:name="_Toc184314439"/>
      <w:bookmarkEnd w:id="292"/>
      <w:bookmarkStart w:id="293" w:name="_Toc184313267"/>
      <w:bookmarkEnd w:id="293"/>
      <w:bookmarkStart w:id="294" w:name="_Toc184314455"/>
      <w:bookmarkEnd w:id="294"/>
      <w:bookmarkStart w:id="295" w:name="_Toc184310300"/>
      <w:bookmarkEnd w:id="295"/>
      <w:bookmarkStart w:id="296" w:name="_Toc184314448"/>
      <w:bookmarkEnd w:id="296"/>
      <w:bookmarkStart w:id="297" w:name="_Toc184312129"/>
      <w:bookmarkEnd w:id="297"/>
      <w:bookmarkStart w:id="298" w:name="_Toc184308096"/>
      <w:bookmarkEnd w:id="298"/>
      <w:bookmarkStart w:id="299" w:name="_Toc184314423"/>
      <w:bookmarkEnd w:id="299"/>
      <w:bookmarkStart w:id="300" w:name="_Toc184308090"/>
      <w:bookmarkEnd w:id="300"/>
      <w:bookmarkStart w:id="301" w:name="_Toc184314437"/>
      <w:bookmarkEnd w:id="301"/>
      <w:bookmarkStart w:id="302" w:name="_Toc184310308"/>
      <w:bookmarkEnd w:id="302"/>
      <w:bookmarkStart w:id="303" w:name="_Toc184314476"/>
      <w:bookmarkEnd w:id="303"/>
      <w:bookmarkStart w:id="304" w:name="_Toc184313260"/>
      <w:bookmarkEnd w:id="304"/>
      <w:bookmarkStart w:id="305" w:name="_Toc184314424"/>
      <w:bookmarkEnd w:id="305"/>
      <w:bookmarkStart w:id="306" w:name="_Toc184308040"/>
      <w:bookmarkEnd w:id="306"/>
      <w:bookmarkStart w:id="307" w:name="_Toc184314430"/>
      <w:bookmarkEnd w:id="307"/>
      <w:bookmarkStart w:id="308" w:name="_Toc184314474"/>
      <w:bookmarkEnd w:id="308"/>
      <w:bookmarkStart w:id="309" w:name="_Toc184312105"/>
      <w:bookmarkEnd w:id="309"/>
      <w:bookmarkStart w:id="310" w:name="_Toc184308106"/>
      <w:bookmarkEnd w:id="310"/>
      <w:bookmarkStart w:id="311" w:name="_Toc184308081"/>
      <w:bookmarkEnd w:id="311"/>
      <w:bookmarkStart w:id="312" w:name="_Toc184313275"/>
      <w:bookmarkEnd w:id="312"/>
      <w:bookmarkStart w:id="313" w:name="_Toc184314477"/>
      <w:bookmarkEnd w:id="313"/>
      <w:bookmarkStart w:id="314" w:name="_Toc184308094"/>
      <w:bookmarkEnd w:id="314"/>
      <w:bookmarkStart w:id="315" w:name="_Toc184314443"/>
      <w:bookmarkEnd w:id="315"/>
      <w:bookmarkStart w:id="316" w:name="_Toc184310298"/>
      <w:bookmarkEnd w:id="316"/>
      <w:bookmarkStart w:id="317" w:name="_Toc184308067"/>
      <w:bookmarkEnd w:id="317"/>
      <w:bookmarkStart w:id="318" w:name="_Toc184310313"/>
      <w:bookmarkEnd w:id="318"/>
      <w:bookmarkStart w:id="319" w:name="_Toc184312138"/>
      <w:bookmarkEnd w:id="319"/>
      <w:bookmarkStart w:id="320" w:name="_Toc184313248"/>
      <w:bookmarkEnd w:id="320"/>
      <w:bookmarkStart w:id="321" w:name="_Toc184308039"/>
      <w:bookmarkEnd w:id="321"/>
      <w:bookmarkStart w:id="322" w:name="_Toc184308073"/>
      <w:bookmarkEnd w:id="322"/>
      <w:bookmarkStart w:id="323" w:name="_Toc184314472"/>
      <w:bookmarkEnd w:id="323"/>
      <w:bookmarkStart w:id="324" w:name="_Toc184308092"/>
      <w:bookmarkEnd w:id="324"/>
      <w:bookmarkStart w:id="325" w:name="_Toc184310281"/>
      <w:bookmarkEnd w:id="325"/>
      <w:bookmarkStart w:id="326" w:name="_Toc184312127"/>
      <w:bookmarkEnd w:id="326"/>
      <w:bookmarkStart w:id="327" w:name="_Toc184314410"/>
      <w:bookmarkEnd w:id="327"/>
      <w:bookmarkStart w:id="328" w:name="_Toc184310285"/>
      <w:bookmarkEnd w:id="328"/>
      <w:bookmarkStart w:id="329" w:name="_Toc184313239"/>
      <w:bookmarkEnd w:id="329"/>
      <w:bookmarkStart w:id="330" w:name="_Toc184308078"/>
      <w:bookmarkEnd w:id="330"/>
      <w:bookmarkStart w:id="331" w:name="_Toc184314466"/>
      <w:bookmarkEnd w:id="331"/>
      <w:bookmarkStart w:id="332" w:name="_Toc184310329"/>
      <w:bookmarkEnd w:id="332"/>
      <w:bookmarkStart w:id="333" w:name="_Toc184313296"/>
      <w:bookmarkEnd w:id="333"/>
      <w:bookmarkStart w:id="334" w:name="_Toc184310292"/>
      <w:bookmarkEnd w:id="334"/>
      <w:bookmarkStart w:id="335" w:name="_Toc184313252"/>
      <w:bookmarkEnd w:id="335"/>
      <w:bookmarkStart w:id="336" w:name="_Toc184313269"/>
      <w:bookmarkEnd w:id="336"/>
      <w:bookmarkStart w:id="337" w:name="_Toc184313263"/>
      <w:bookmarkEnd w:id="337"/>
      <w:bookmarkStart w:id="338" w:name="_Toc184312103"/>
      <w:bookmarkEnd w:id="338"/>
      <w:bookmarkStart w:id="339" w:name="_Toc184312111"/>
      <w:bookmarkEnd w:id="339"/>
      <w:bookmarkStart w:id="340" w:name="_Toc184312128"/>
      <w:bookmarkEnd w:id="340"/>
      <w:bookmarkStart w:id="341" w:name="_Toc184313272"/>
      <w:bookmarkEnd w:id="341"/>
      <w:bookmarkStart w:id="342" w:name="_Toc184313291"/>
      <w:bookmarkEnd w:id="342"/>
      <w:bookmarkStart w:id="343" w:name="_Toc184310316"/>
      <w:bookmarkEnd w:id="343"/>
      <w:bookmarkStart w:id="344" w:name="_Toc184314421"/>
      <w:bookmarkEnd w:id="344"/>
      <w:bookmarkStart w:id="345" w:name="_Toc184314463"/>
      <w:bookmarkEnd w:id="345"/>
      <w:bookmarkStart w:id="346" w:name="_Toc184312110"/>
      <w:bookmarkEnd w:id="346"/>
      <w:bookmarkStart w:id="347" w:name="_Toc184308044"/>
      <w:bookmarkEnd w:id="347"/>
      <w:bookmarkStart w:id="348" w:name="_Toc184310327"/>
      <w:bookmarkEnd w:id="348"/>
      <w:bookmarkStart w:id="349" w:name="_Toc184314441"/>
      <w:bookmarkEnd w:id="349"/>
      <w:bookmarkStart w:id="350" w:name="_Toc184308079"/>
      <w:bookmarkEnd w:id="350"/>
      <w:bookmarkStart w:id="351" w:name="_Toc184308082"/>
      <w:bookmarkEnd w:id="351"/>
      <w:bookmarkStart w:id="352" w:name="_Toc184314447"/>
      <w:bookmarkEnd w:id="352"/>
      <w:bookmarkStart w:id="353" w:name="_Toc184312084"/>
      <w:bookmarkEnd w:id="353"/>
      <w:bookmarkStart w:id="354" w:name="_Toc184314412"/>
      <w:bookmarkEnd w:id="354"/>
      <w:bookmarkStart w:id="355" w:name="_Toc184312102"/>
      <w:bookmarkEnd w:id="355"/>
      <w:bookmarkStart w:id="356" w:name="_Toc184313255"/>
      <w:bookmarkEnd w:id="356"/>
      <w:bookmarkStart w:id="357" w:name="_Toc184308091"/>
      <w:bookmarkEnd w:id="357"/>
      <w:bookmarkStart w:id="358" w:name="_Toc184314413"/>
      <w:bookmarkEnd w:id="358"/>
      <w:bookmarkStart w:id="359" w:name="_Toc184312098"/>
      <w:bookmarkEnd w:id="359"/>
      <w:bookmarkStart w:id="360" w:name="_Toc184313240"/>
      <w:bookmarkEnd w:id="360"/>
      <w:bookmarkStart w:id="361" w:name="_Toc184308069"/>
      <w:bookmarkEnd w:id="361"/>
      <w:bookmarkStart w:id="362" w:name="_Toc184313265"/>
      <w:bookmarkEnd w:id="362"/>
      <w:bookmarkStart w:id="363" w:name="_Toc184312101"/>
      <w:bookmarkEnd w:id="363"/>
      <w:bookmarkStart w:id="364" w:name="_Toc184313250"/>
      <w:bookmarkEnd w:id="364"/>
      <w:bookmarkStart w:id="365" w:name="_Toc184308043"/>
      <w:bookmarkEnd w:id="365"/>
      <w:bookmarkStart w:id="366" w:name="_Toc184312070"/>
      <w:bookmarkEnd w:id="366"/>
      <w:bookmarkStart w:id="367" w:name="_Toc184308064"/>
      <w:bookmarkEnd w:id="367"/>
      <w:bookmarkStart w:id="368" w:name="_Toc184308055"/>
      <w:bookmarkEnd w:id="368"/>
      <w:bookmarkStart w:id="369" w:name="_Toc184308054"/>
      <w:bookmarkEnd w:id="369"/>
      <w:bookmarkStart w:id="370" w:name="_Toc184313257"/>
      <w:bookmarkEnd w:id="370"/>
      <w:bookmarkStart w:id="371" w:name="_Toc184310297"/>
      <w:bookmarkEnd w:id="371"/>
      <w:bookmarkStart w:id="372" w:name="_Toc184312100"/>
      <w:bookmarkEnd w:id="372"/>
      <w:bookmarkStart w:id="373" w:name="_Toc184313273"/>
      <w:bookmarkEnd w:id="373"/>
      <w:bookmarkStart w:id="374" w:name="_Toc184310337"/>
      <w:bookmarkEnd w:id="374"/>
      <w:bookmarkStart w:id="375" w:name="_Toc184312132"/>
      <w:bookmarkEnd w:id="375"/>
      <w:bookmarkStart w:id="376" w:name="_Toc184312077"/>
      <w:bookmarkEnd w:id="376"/>
      <w:bookmarkStart w:id="377" w:name="_Toc184314415"/>
      <w:bookmarkEnd w:id="377"/>
      <w:bookmarkStart w:id="378" w:name="_Toc184313308"/>
      <w:bookmarkEnd w:id="378"/>
      <w:bookmarkStart w:id="379" w:name="_Toc184314438"/>
      <w:bookmarkEnd w:id="379"/>
      <w:bookmarkStart w:id="380" w:name="_Toc184310274"/>
      <w:bookmarkEnd w:id="380"/>
      <w:bookmarkStart w:id="381" w:name="_Toc184314469"/>
      <w:bookmarkEnd w:id="381"/>
      <w:bookmarkStart w:id="382" w:name="_Toc184313304"/>
      <w:bookmarkEnd w:id="382"/>
      <w:bookmarkStart w:id="383" w:name="_Toc184312089"/>
      <w:bookmarkEnd w:id="383"/>
      <w:bookmarkStart w:id="384" w:name="_Toc184310342"/>
      <w:bookmarkEnd w:id="384"/>
      <w:bookmarkStart w:id="385" w:name="_Toc184308046"/>
      <w:bookmarkEnd w:id="385"/>
      <w:bookmarkStart w:id="386" w:name="_Toc184313238"/>
      <w:bookmarkEnd w:id="386"/>
      <w:bookmarkStart w:id="387" w:name="_Toc184310330"/>
      <w:bookmarkEnd w:id="387"/>
      <w:bookmarkStart w:id="388" w:name="_Toc184308093"/>
      <w:bookmarkEnd w:id="388"/>
      <w:bookmarkStart w:id="389" w:name="_Toc184310295"/>
      <w:bookmarkEnd w:id="389"/>
      <w:bookmarkStart w:id="390" w:name="_Toc184310288"/>
      <w:bookmarkEnd w:id="390"/>
      <w:bookmarkStart w:id="391" w:name="_Toc184310293"/>
      <w:bookmarkEnd w:id="391"/>
      <w:bookmarkStart w:id="392" w:name="_Toc184313279"/>
      <w:bookmarkEnd w:id="392"/>
      <w:bookmarkStart w:id="393" w:name="_Toc184312073"/>
      <w:bookmarkEnd w:id="393"/>
      <w:bookmarkStart w:id="394" w:name="_Toc184314434"/>
      <w:bookmarkEnd w:id="394"/>
      <w:bookmarkStart w:id="395" w:name="_Toc184313286"/>
      <w:bookmarkEnd w:id="395"/>
      <w:bookmarkStart w:id="396" w:name="_Toc184314432"/>
      <w:bookmarkEnd w:id="396"/>
      <w:bookmarkStart w:id="397" w:name="_Toc184312088"/>
      <w:bookmarkEnd w:id="397"/>
      <w:bookmarkStart w:id="398" w:name="_Toc184308057"/>
      <w:bookmarkEnd w:id="398"/>
      <w:bookmarkStart w:id="399" w:name="_Toc184312090"/>
      <w:bookmarkEnd w:id="399"/>
      <w:bookmarkStart w:id="400" w:name="_Toc184314428"/>
      <w:bookmarkEnd w:id="400"/>
      <w:bookmarkStart w:id="401" w:name="_Toc184314426"/>
      <w:bookmarkEnd w:id="401"/>
      <w:bookmarkStart w:id="402" w:name="_Toc184313300"/>
      <w:bookmarkEnd w:id="402"/>
      <w:bookmarkStart w:id="403" w:name="_Toc184310318"/>
      <w:bookmarkEnd w:id="403"/>
      <w:bookmarkStart w:id="404" w:name="_Toc184313254"/>
      <w:bookmarkEnd w:id="404"/>
      <w:bookmarkStart w:id="405" w:name="_Toc184312119"/>
      <w:bookmarkEnd w:id="405"/>
      <w:bookmarkStart w:id="406" w:name="_Toc3291"/>
      <w:bookmarkStart w:id="407" w:name="_Hlk206592840"/>
      <w:r>
        <w:rPr>
          <w:rFonts w:hint="eastAsia" w:ascii="宋体" w:hAnsi="宋体" w:cs="宋体"/>
          <w:color w:val="auto"/>
          <w:szCs w:val="36"/>
          <w:highlight w:val="none"/>
        </w:rPr>
        <w:t>第四部分 评标办法</w:t>
      </w:r>
      <w:bookmarkEnd w:id="406"/>
    </w:p>
    <w:p w14:paraId="42D944E7">
      <w:pPr>
        <w:pStyle w:val="3"/>
        <w:rPr>
          <w:rFonts w:cs="宋体"/>
          <w:color w:val="auto"/>
          <w:highlight w:val="none"/>
        </w:rPr>
      </w:pPr>
      <w:bookmarkStart w:id="408" w:name="_Toc20512"/>
      <w:r>
        <w:rPr>
          <w:rFonts w:hint="eastAsia" w:cs="宋体"/>
          <w:color w:val="auto"/>
          <w:highlight w:val="none"/>
        </w:rPr>
        <w:t>一、评标方法</w:t>
      </w:r>
      <w:bookmarkEnd w:id="408"/>
    </w:p>
    <w:p w14:paraId="69830001">
      <w:pPr>
        <w:adjustRightInd/>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1C1D370">
      <w:pPr>
        <w:pStyle w:val="3"/>
        <w:rPr>
          <w:rFonts w:cs="宋体"/>
          <w:color w:val="auto"/>
          <w:highlight w:val="none"/>
          <w:lang w:val="en-US"/>
        </w:rPr>
      </w:pPr>
      <w:bookmarkStart w:id="409" w:name="_Toc9975"/>
      <w:r>
        <w:rPr>
          <w:rFonts w:hint="eastAsia" w:cs="宋体"/>
          <w:color w:val="auto"/>
          <w:highlight w:val="none"/>
          <w:lang w:val="en-US"/>
        </w:rPr>
        <w:t>二、评审标准</w:t>
      </w:r>
      <w:bookmarkEnd w:id="409"/>
    </w:p>
    <w:p w14:paraId="154F90EC">
      <w:pPr>
        <w:snapToGrid w:val="0"/>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（一）商务技术部分</w:t>
      </w:r>
      <w:r>
        <w:rPr>
          <w:rFonts w:hint="eastAsia" w:ascii="宋体" w:hAnsi="宋体" w:cs="宋体"/>
          <w:b/>
          <w:color w:val="auto"/>
          <w:sz w:val="24"/>
          <w:highlight w:val="none"/>
        </w:rPr>
        <w:t>（70分）</w:t>
      </w:r>
    </w:p>
    <w:p w14:paraId="50F6C3C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标项一：</w:t>
      </w:r>
    </w:p>
    <w:tbl>
      <w:tblPr>
        <w:tblStyle w:val="6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744"/>
        <w:gridCol w:w="7427"/>
      </w:tblGrid>
      <w:tr w14:paraId="5B74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pct"/>
            <w:vAlign w:val="center"/>
          </w:tcPr>
          <w:p w14:paraId="72417E8C">
            <w:pPr>
              <w:pStyle w:val="778"/>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评审因素</w:t>
            </w:r>
          </w:p>
        </w:tc>
        <w:tc>
          <w:tcPr>
            <w:tcW w:w="374" w:type="pct"/>
            <w:vAlign w:val="center"/>
          </w:tcPr>
          <w:p w14:paraId="3389543A">
            <w:pPr>
              <w:pStyle w:val="778"/>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分值</w:t>
            </w:r>
          </w:p>
        </w:tc>
        <w:tc>
          <w:tcPr>
            <w:tcW w:w="3732" w:type="pct"/>
            <w:vAlign w:val="center"/>
          </w:tcPr>
          <w:p w14:paraId="65494EE1">
            <w:pPr>
              <w:pStyle w:val="778"/>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评分细则</w:t>
            </w:r>
          </w:p>
        </w:tc>
      </w:tr>
      <w:tr w14:paraId="16FE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6B000B3C">
            <w:pPr>
              <w:pStyle w:val="778"/>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商务分（6分）</w:t>
            </w:r>
          </w:p>
        </w:tc>
      </w:tr>
      <w:tr w14:paraId="6CED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2" w:type="pct"/>
            <w:vAlign w:val="center"/>
          </w:tcPr>
          <w:p w14:paraId="6D3919FA">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类似业绩</w:t>
            </w:r>
          </w:p>
        </w:tc>
        <w:tc>
          <w:tcPr>
            <w:tcW w:w="374" w:type="pct"/>
            <w:vAlign w:val="center"/>
          </w:tcPr>
          <w:p w14:paraId="0B71262C">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32" w:type="pct"/>
            <w:vAlign w:val="center"/>
          </w:tcPr>
          <w:p w14:paraId="4FAB2224">
            <w:pPr>
              <w:pStyle w:val="26"/>
              <w:snapToGrid w:val="0"/>
              <w:spacing w:line="360" w:lineRule="auto"/>
              <w:ind w:firstLine="0" w:firstLineChars="0"/>
              <w:rPr>
                <w:rFonts w:cs="宋体"/>
                <w:color w:val="auto"/>
                <w:highlight w:val="none"/>
              </w:rPr>
            </w:pPr>
            <w:r>
              <w:rPr>
                <w:rFonts w:hint="eastAsia" w:cs="宋体"/>
                <w:color w:val="auto"/>
                <w:spacing w:val="-6"/>
                <w:highlight w:val="none"/>
              </w:rPr>
              <w:t>【客观分】投标人提供2021年1月1日以来的所投产品同类业绩合同，经评标委员会认定为有效业绩合同的，每份得1分，最高得3分。（提供合同复印件加盖公章，原件备查）</w:t>
            </w:r>
          </w:p>
        </w:tc>
      </w:tr>
      <w:tr w14:paraId="6B74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vAlign w:val="center"/>
          </w:tcPr>
          <w:p w14:paraId="2A16A288">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认证证书</w:t>
            </w:r>
          </w:p>
        </w:tc>
        <w:tc>
          <w:tcPr>
            <w:tcW w:w="374" w:type="pct"/>
            <w:vAlign w:val="center"/>
          </w:tcPr>
          <w:p w14:paraId="150CD5FF">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32" w:type="pct"/>
            <w:vAlign w:val="center"/>
          </w:tcPr>
          <w:p w14:paraId="68906C9B">
            <w:pPr>
              <w:snapToGrid w:val="0"/>
              <w:spacing w:line="360" w:lineRule="auto"/>
              <w:rPr>
                <w:rFonts w:ascii="宋体" w:hAnsi="宋体" w:cs="宋体"/>
                <w:color w:val="auto"/>
                <w:spacing w:val="-6"/>
                <w:sz w:val="24"/>
                <w:highlight w:val="none"/>
                <w:lang w:val="zh-CN"/>
              </w:rPr>
            </w:pPr>
            <w:r>
              <w:rPr>
                <w:rFonts w:hint="eastAsia" w:cs="宋体"/>
                <w:color w:val="auto"/>
                <w:spacing w:val="-6"/>
                <w:highlight w:val="none"/>
              </w:rPr>
              <w:t>【客观分】</w:t>
            </w:r>
            <w:r>
              <w:rPr>
                <w:rFonts w:hint="eastAsia" w:ascii="宋体" w:hAnsi="宋体" w:cs="宋体"/>
                <w:color w:val="auto"/>
                <w:spacing w:val="-6"/>
                <w:sz w:val="24"/>
                <w:highlight w:val="none"/>
                <w:lang w:val="zh-CN"/>
              </w:rPr>
              <w:t>投标人具有有效期内的ISO9001质量管理体系、ISO27001信息安全管理体系认证、</w:t>
            </w:r>
            <w:r>
              <w:rPr>
                <w:rFonts w:hint="eastAsia" w:ascii="宋体" w:hAnsi="宋体" w:cs="宋体"/>
                <w:color w:val="auto"/>
                <w:spacing w:val="-6"/>
                <w:sz w:val="24"/>
                <w:highlight w:val="none"/>
              </w:rPr>
              <w:t>ISO20000信息技术服务管理体系认证</w:t>
            </w:r>
            <w:r>
              <w:rPr>
                <w:rFonts w:hint="eastAsia" w:ascii="宋体" w:hAnsi="宋体" w:cs="宋体"/>
                <w:color w:val="auto"/>
                <w:spacing w:val="-6"/>
                <w:sz w:val="24"/>
                <w:highlight w:val="none"/>
                <w:lang w:val="zh-CN"/>
              </w:rPr>
              <w:t>证书的每个得</w:t>
            </w:r>
            <w:r>
              <w:rPr>
                <w:rFonts w:hint="eastAsia" w:ascii="宋体" w:hAnsi="宋体" w:cs="宋体"/>
                <w:color w:val="auto"/>
                <w:spacing w:val="-6"/>
                <w:sz w:val="24"/>
                <w:highlight w:val="none"/>
              </w:rPr>
              <w:t>1</w:t>
            </w:r>
            <w:r>
              <w:rPr>
                <w:rFonts w:hint="eastAsia" w:ascii="宋体" w:hAnsi="宋体" w:cs="宋体"/>
                <w:color w:val="auto"/>
                <w:spacing w:val="-6"/>
                <w:sz w:val="24"/>
                <w:highlight w:val="none"/>
                <w:lang w:val="zh-CN"/>
              </w:rPr>
              <w:t>分，最多</w:t>
            </w:r>
            <w:r>
              <w:rPr>
                <w:rFonts w:hint="eastAsia" w:ascii="宋体" w:hAnsi="宋体" w:cs="宋体"/>
                <w:color w:val="auto"/>
                <w:spacing w:val="-6"/>
                <w:sz w:val="24"/>
                <w:highlight w:val="none"/>
              </w:rPr>
              <w:t>3分</w:t>
            </w:r>
            <w:r>
              <w:rPr>
                <w:rFonts w:hint="eastAsia" w:ascii="宋体" w:hAnsi="宋体" w:cs="宋体"/>
                <w:color w:val="auto"/>
                <w:spacing w:val="-6"/>
                <w:sz w:val="24"/>
                <w:highlight w:val="none"/>
                <w:lang w:val="zh-CN"/>
              </w:rPr>
              <w:t>。</w:t>
            </w:r>
          </w:p>
          <w:p w14:paraId="786BDC57">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lang w:val="zh-CN"/>
              </w:rPr>
              <w:t>注：（</w:t>
            </w:r>
            <w:r>
              <w:rPr>
                <w:rFonts w:hint="eastAsia" w:ascii="宋体" w:hAnsi="宋体" w:cs="宋体"/>
                <w:color w:val="auto"/>
                <w:spacing w:val="-6"/>
                <w:sz w:val="24"/>
                <w:highlight w:val="none"/>
              </w:rPr>
              <w:t>投标文件中提供上述证书复印件及《全国认证认可信息公共服务平台》网站查询截图证明材料复印件并加盖供应商公章否则不予认可。</w:t>
            </w:r>
            <w:r>
              <w:rPr>
                <w:rFonts w:hint="eastAsia" w:ascii="宋体" w:hAnsi="宋体" w:cs="宋体"/>
                <w:color w:val="auto"/>
                <w:spacing w:val="-6"/>
                <w:sz w:val="24"/>
                <w:highlight w:val="none"/>
                <w:lang w:val="zh-CN"/>
              </w:rPr>
              <w:t>）</w:t>
            </w:r>
          </w:p>
        </w:tc>
      </w:tr>
      <w:tr w14:paraId="5115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3"/>
            <w:vAlign w:val="center"/>
          </w:tcPr>
          <w:p w14:paraId="0AECBB58">
            <w:pPr>
              <w:pStyle w:val="26"/>
              <w:snapToGrid w:val="0"/>
              <w:spacing w:line="360" w:lineRule="auto"/>
              <w:ind w:firstLine="0" w:firstLineChars="0"/>
              <w:jc w:val="center"/>
              <w:rPr>
                <w:rFonts w:cs="宋体"/>
                <w:color w:val="auto"/>
                <w:spacing w:val="-6"/>
                <w:highlight w:val="none"/>
              </w:rPr>
            </w:pPr>
            <w:r>
              <w:rPr>
                <w:rFonts w:hint="eastAsia" w:cs="宋体"/>
                <w:b/>
                <w:color w:val="auto"/>
                <w:spacing w:val="-6"/>
                <w:highlight w:val="none"/>
              </w:rPr>
              <w:t>技术分（64分）</w:t>
            </w:r>
          </w:p>
        </w:tc>
      </w:tr>
      <w:tr w14:paraId="2BDB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2" w:type="pct"/>
            <w:vAlign w:val="center"/>
          </w:tcPr>
          <w:p w14:paraId="665CD5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响应情况</w:t>
            </w:r>
          </w:p>
        </w:tc>
        <w:tc>
          <w:tcPr>
            <w:tcW w:w="374" w:type="pct"/>
            <w:vAlign w:val="center"/>
          </w:tcPr>
          <w:p w14:paraId="3597633F">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20</w:t>
            </w:r>
          </w:p>
        </w:tc>
        <w:tc>
          <w:tcPr>
            <w:tcW w:w="3732" w:type="pct"/>
            <w:vAlign w:val="center"/>
          </w:tcPr>
          <w:p w14:paraId="78C69434">
            <w:pPr>
              <w:widowControl/>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【客观分】根据投标人对本项目第三部分 采购需求中所有</w:t>
            </w:r>
            <w:r>
              <w:rPr>
                <w:rFonts w:hint="eastAsia" w:ascii="宋体" w:hAnsi="宋体" w:cs="宋体"/>
                <w:color w:val="auto"/>
                <w:spacing w:val="-6"/>
                <w:sz w:val="24"/>
                <w:highlight w:val="none"/>
                <w:lang w:bidi="ar"/>
              </w:rPr>
              <w:t>要求的响应情况进行打分，完全满足本项目采购需求要求的得满分20分，</w:t>
            </w:r>
            <w:r>
              <w:rPr>
                <w:rFonts w:hint="eastAsia" w:ascii="宋体" w:hAnsi="宋体" w:cs="宋体"/>
                <w:color w:val="auto"/>
                <w:spacing w:val="-6"/>
                <w:sz w:val="24"/>
                <w:highlight w:val="none"/>
              </w:rPr>
              <w:t>每有一项低于采购需求要求（负偏离）的每条扣2分，扣完为止。</w:t>
            </w:r>
          </w:p>
          <w:p w14:paraId="48984125">
            <w:pPr>
              <w:pStyle w:val="813"/>
              <w:snapToGrid w:val="0"/>
              <w:spacing w:line="360" w:lineRule="auto"/>
              <w:rPr>
                <w:rFonts w:ascii="宋体" w:hAnsi="宋体" w:cs="宋体"/>
                <w:color w:val="auto"/>
                <w:spacing w:val="-6"/>
                <w:szCs w:val="24"/>
                <w:highlight w:val="none"/>
              </w:rPr>
            </w:pPr>
            <w:r>
              <w:rPr>
                <w:rFonts w:hint="eastAsia" w:ascii="宋体" w:hAnsi="宋体" w:cs="宋体"/>
                <w:color w:val="auto"/>
                <w:spacing w:val="-6"/>
                <w:szCs w:val="24"/>
                <w:highlight w:val="none"/>
              </w:rPr>
              <w:t>注：商务技术偏离表技术要求中响应规格与技术资料不一致的（或要求提供证明材料但未提供的）经评标委员会讨论后可被认定为负偏离。</w:t>
            </w:r>
          </w:p>
        </w:tc>
      </w:tr>
      <w:tr w14:paraId="7844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vAlign w:val="center"/>
          </w:tcPr>
          <w:p w14:paraId="173C1032">
            <w:pPr>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总体建设方案</w:t>
            </w:r>
          </w:p>
        </w:tc>
        <w:tc>
          <w:tcPr>
            <w:tcW w:w="374" w:type="pct"/>
            <w:vAlign w:val="center"/>
          </w:tcPr>
          <w:p w14:paraId="28732547">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32" w:type="pct"/>
            <w:vAlign w:val="center"/>
          </w:tcPr>
          <w:p w14:paraId="223F3E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【主观分】根据投标人提供的项目总体建设方案，</w:t>
            </w:r>
            <w:r>
              <w:rPr>
                <w:rFonts w:hint="eastAsia" w:ascii="宋体" w:hAnsi="宋体" w:cs="宋体"/>
                <w:color w:val="auto"/>
                <w:sz w:val="24"/>
                <w:highlight w:val="none"/>
                <w:lang w:val="zh-CN"/>
              </w:rPr>
              <w:t>系统功能能够</w:t>
            </w:r>
            <w:r>
              <w:rPr>
                <w:rFonts w:hint="eastAsia" w:ascii="宋体" w:hAnsi="宋体" w:cs="宋体"/>
                <w:color w:val="auto"/>
                <w:sz w:val="24"/>
                <w:highlight w:val="none"/>
                <w:lang w:bidi="ar"/>
              </w:rPr>
              <w:t>满足本次大赛对航海模拟器更高的性能需求以及国家海事局2024年出台的新的船员考试评估规则</w:t>
            </w:r>
            <w:r>
              <w:rPr>
                <w:rFonts w:hint="eastAsia" w:ascii="宋体" w:hAnsi="宋体" w:cs="宋体"/>
                <w:color w:val="auto"/>
                <w:sz w:val="24"/>
                <w:highlight w:val="none"/>
                <w:lang w:val="zh-CN"/>
              </w:rPr>
              <w:t>的需要</w:t>
            </w:r>
            <w:r>
              <w:rPr>
                <w:rFonts w:hint="eastAsia" w:ascii="宋体" w:hAnsi="宋体" w:cs="宋体"/>
                <w:color w:val="auto"/>
                <w:sz w:val="24"/>
                <w:highlight w:val="none"/>
              </w:rPr>
              <w:t>，明确计划，具有合理、实用及可操作性。</w:t>
            </w:r>
          </w:p>
          <w:p w14:paraId="7D2D3256">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（评分范围：0，1，2，3）</w:t>
            </w:r>
          </w:p>
        </w:tc>
      </w:tr>
      <w:tr w14:paraId="576E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shd w:val="clear" w:color="auto" w:fill="auto"/>
            <w:vAlign w:val="center"/>
          </w:tcPr>
          <w:p w14:paraId="17764175">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软件升级实施方案</w:t>
            </w:r>
          </w:p>
        </w:tc>
        <w:tc>
          <w:tcPr>
            <w:tcW w:w="374" w:type="pct"/>
            <w:shd w:val="clear" w:color="auto" w:fill="auto"/>
            <w:vAlign w:val="center"/>
          </w:tcPr>
          <w:p w14:paraId="7CFF39ED">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32" w:type="pct"/>
            <w:shd w:val="clear" w:color="auto" w:fill="auto"/>
            <w:vAlign w:val="center"/>
          </w:tcPr>
          <w:p w14:paraId="406A7B44">
            <w:pPr>
              <w:pStyle w:val="813"/>
              <w:snapToGrid w:val="0"/>
              <w:spacing w:line="360" w:lineRule="auto"/>
              <w:rPr>
                <w:rFonts w:ascii="宋体" w:hAnsi="宋体" w:cs="宋体"/>
                <w:color w:val="auto"/>
                <w:spacing w:val="-6"/>
                <w:szCs w:val="24"/>
                <w:highlight w:val="none"/>
              </w:rPr>
            </w:pPr>
            <w:r>
              <w:rPr>
                <w:rFonts w:hint="eastAsia" w:ascii="宋体" w:hAnsi="宋体" w:cs="宋体"/>
                <w:color w:val="auto"/>
                <w:szCs w:val="24"/>
                <w:highlight w:val="none"/>
              </w:rPr>
              <w:t>【主观分】</w:t>
            </w:r>
            <w:r>
              <w:rPr>
                <w:rFonts w:hint="eastAsia" w:ascii="宋体" w:hAnsi="宋体" w:cs="宋体"/>
                <w:color w:val="auto"/>
                <w:spacing w:val="-6"/>
                <w:szCs w:val="24"/>
                <w:highlight w:val="none"/>
              </w:rPr>
              <w:t>投标人就教练员站软件、三维视景软件、仿真控制单元、船舶运动模型软件、电子海图软件、雷达软件的软件功能升级方案进行详细阐述，根据整体方案是否</w:t>
            </w:r>
            <w:r>
              <w:rPr>
                <w:rFonts w:hint="eastAsia" w:ascii="宋体" w:hAnsi="宋体" w:cs="宋体"/>
                <w:color w:val="auto"/>
                <w:szCs w:val="24"/>
                <w:highlight w:val="none"/>
              </w:rPr>
              <w:t>合理可行，能否达到采购人实际需求要求、是否有利于采购标的实现及合同履约进行综合打分</w:t>
            </w:r>
            <w:r>
              <w:rPr>
                <w:rFonts w:hint="eastAsia" w:ascii="宋体" w:hAnsi="宋体" w:cs="宋体"/>
                <w:color w:val="auto"/>
                <w:spacing w:val="-6"/>
                <w:szCs w:val="24"/>
                <w:highlight w:val="none"/>
              </w:rPr>
              <w:t>。</w:t>
            </w:r>
            <w:r>
              <w:rPr>
                <w:rFonts w:hint="eastAsia" w:ascii="宋体" w:hAnsi="宋体" w:cs="宋体"/>
                <w:color w:val="auto"/>
                <w:szCs w:val="24"/>
                <w:highlight w:val="none"/>
              </w:rPr>
              <w:t>（评分范围：0，1，2，3，4，5）</w:t>
            </w:r>
          </w:p>
        </w:tc>
      </w:tr>
      <w:tr w14:paraId="7B73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92" w:type="pct"/>
            <w:vAlign w:val="center"/>
          </w:tcPr>
          <w:p w14:paraId="5CBBB82D">
            <w:pPr>
              <w:pStyle w:val="24"/>
              <w:autoSpaceDE/>
              <w:autoSpaceDN/>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进度计划</w:t>
            </w:r>
          </w:p>
        </w:tc>
        <w:tc>
          <w:tcPr>
            <w:tcW w:w="374" w:type="pct"/>
            <w:vAlign w:val="center"/>
          </w:tcPr>
          <w:p w14:paraId="61FB06B2">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32" w:type="pct"/>
            <w:vAlign w:val="center"/>
          </w:tcPr>
          <w:p w14:paraId="3CF88066">
            <w:pPr>
              <w:snapToGrid w:val="0"/>
              <w:spacing w:line="360" w:lineRule="auto"/>
              <w:rPr>
                <w:rFonts w:ascii="宋体" w:hAnsi="宋体" w:cs="宋体"/>
                <w:color w:val="auto"/>
                <w:spacing w:val="-6"/>
                <w:sz w:val="24"/>
                <w:highlight w:val="none"/>
              </w:rPr>
            </w:pPr>
            <w:r>
              <w:rPr>
                <w:rFonts w:hint="eastAsia" w:ascii="宋体" w:hAnsi="宋体" w:cs="宋体"/>
                <w:color w:val="auto"/>
                <w:sz w:val="24"/>
                <w:highlight w:val="none"/>
              </w:rPr>
              <w:t>【主观分】</w:t>
            </w:r>
            <w:r>
              <w:rPr>
                <w:rFonts w:hint="eastAsia" w:ascii="宋体" w:hAnsi="宋体" w:cs="宋体"/>
                <w:color w:val="auto"/>
                <w:spacing w:val="-6"/>
                <w:sz w:val="24"/>
                <w:highlight w:val="none"/>
              </w:rPr>
              <w:t>供应商提供的实施进度管理方案及交付时间的情况，管理方案完整详细、具备可实施性，进度节点安排合理有利于采购标的实现及合同履约。</w:t>
            </w:r>
          </w:p>
          <w:p w14:paraId="457E3C18">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（评分范围：</w:t>
            </w:r>
            <w:r>
              <w:rPr>
                <w:rFonts w:hint="eastAsia" w:ascii="宋体" w:hAnsi="宋体" w:cs="宋体"/>
                <w:color w:val="auto"/>
                <w:kern w:val="0"/>
                <w:sz w:val="24"/>
                <w:highlight w:val="none"/>
              </w:rPr>
              <w:t>0，1，2，3，4，5</w:t>
            </w:r>
            <w:r>
              <w:rPr>
                <w:rFonts w:hint="eastAsia" w:ascii="宋体" w:hAnsi="宋体" w:cs="宋体"/>
                <w:color w:val="auto"/>
                <w:spacing w:val="-6"/>
                <w:sz w:val="24"/>
                <w:highlight w:val="none"/>
              </w:rPr>
              <w:t>）</w:t>
            </w:r>
          </w:p>
        </w:tc>
      </w:tr>
      <w:tr w14:paraId="0D8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vMerge w:val="restart"/>
            <w:vAlign w:val="center"/>
          </w:tcPr>
          <w:p w14:paraId="7E6CF157">
            <w:pPr>
              <w:pStyle w:val="24"/>
              <w:autoSpaceDE/>
              <w:autoSpaceDN/>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拟派项目团队</w:t>
            </w:r>
          </w:p>
        </w:tc>
        <w:tc>
          <w:tcPr>
            <w:tcW w:w="374" w:type="pct"/>
            <w:vAlign w:val="center"/>
          </w:tcPr>
          <w:p w14:paraId="14172868">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32" w:type="pct"/>
            <w:vAlign w:val="center"/>
          </w:tcPr>
          <w:p w14:paraId="5513AF1B">
            <w:pPr>
              <w:snapToGrid w:val="0"/>
              <w:spacing w:line="360" w:lineRule="auto"/>
              <w:rPr>
                <w:rFonts w:ascii="宋体" w:hAnsi="宋体" w:cs="宋体"/>
                <w:color w:val="auto"/>
                <w:spacing w:val="-6"/>
                <w:sz w:val="24"/>
                <w:highlight w:val="none"/>
              </w:rPr>
            </w:pPr>
            <w:r>
              <w:rPr>
                <w:rFonts w:hint="eastAsia" w:ascii="宋体" w:hAnsi="宋体" w:cs="宋体"/>
                <w:color w:val="auto"/>
                <w:sz w:val="24"/>
                <w:highlight w:val="none"/>
              </w:rPr>
              <w:t>【主观分】</w:t>
            </w:r>
            <w:r>
              <w:rPr>
                <w:rFonts w:hint="eastAsia" w:ascii="宋体" w:hAnsi="宋体" w:cs="宋体"/>
                <w:color w:val="auto"/>
                <w:spacing w:val="-6"/>
                <w:sz w:val="24"/>
                <w:highlight w:val="none"/>
                <w:lang w:val="zh-CN"/>
              </w:rPr>
              <w:t>投标人针对本项目的拟派人员（包含但不仅限于</w:t>
            </w:r>
            <w:r>
              <w:rPr>
                <w:rFonts w:hint="eastAsia" w:ascii="宋体" w:hAnsi="宋体" w:cs="宋体"/>
                <w:color w:val="auto"/>
                <w:spacing w:val="-6"/>
                <w:sz w:val="24"/>
                <w:highlight w:val="none"/>
              </w:rPr>
              <w:t>发开人员、</w:t>
            </w:r>
            <w:r>
              <w:rPr>
                <w:rFonts w:hint="eastAsia" w:ascii="宋体" w:hAnsi="宋体" w:cs="宋体"/>
                <w:color w:val="auto"/>
                <w:spacing w:val="-6"/>
                <w:sz w:val="24"/>
                <w:highlight w:val="none"/>
                <w:lang w:val="zh-CN" w:eastAsia="zh-Hans"/>
              </w:rPr>
              <w:t>安装调试人员、</w:t>
            </w:r>
            <w:r>
              <w:rPr>
                <w:rFonts w:hint="eastAsia" w:ascii="宋体" w:hAnsi="宋体" w:cs="宋体"/>
                <w:color w:val="auto"/>
                <w:spacing w:val="-6"/>
                <w:sz w:val="24"/>
                <w:highlight w:val="none"/>
                <w:lang w:val="zh-CN"/>
              </w:rPr>
              <w:t>维修人员</w:t>
            </w:r>
            <w:r>
              <w:rPr>
                <w:rFonts w:hint="eastAsia" w:ascii="宋体" w:hAnsi="宋体" w:cs="宋体"/>
                <w:color w:val="auto"/>
                <w:spacing w:val="-6"/>
                <w:sz w:val="24"/>
                <w:highlight w:val="none"/>
                <w:lang w:val="zh-CN" w:eastAsia="zh-Hans"/>
              </w:rPr>
              <w:t>等</w:t>
            </w:r>
            <w:r>
              <w:rPr>
                <w:rFonts w:hint="eastAsia" w:ascii="宋体" w:hAnsi="宋体" w:cs="宋体"/>
                <w:color w:val="auto"/>
                <w:spacing w:val="-6"/>
                <w:sz w:val="24"/>
                <w:highlight w:val="none"/>
                <w:lang w:val="zh-CN"/>
              </w:rPr>
              <w:t>）</w:t>
            </w:r>
            <w:r>
              <w:rPr>
                <w:rFonts w:hint="eastAsia" w:ascii="宋体" w:hAnsi="宋体" w:cs="宋体"/>
                <w:color w:val="auto"/>
                <w:spacing w:val="-6"/>
                <w:sz w:val="24"/>
                <w:highlight w:val="none"/>
              </w:rPr>
              <w:t>数量是否充足、分工是否明确、配置是否合理，是否具备类似项目实施经验，能否满足本项目实际需求进行打分。（需提供近6个月任意1个月供应商本单位为项目组团队人员缴纳社保的证明材料，不提供不得分）。</w:t>
            </w:r>
          </w:p>
          <w:p w14:paraId="3CDA7086">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（评分范围：</w:t>
            </w:r>
            <w:r>
              <w:rPr>
                <w:rFonts w:hint="eastAsia" w:ascii="宋体" w:hAnsi="宋体" w:cs="宋体"/>
                <w:color w:val="auto"/>
                <w:kern w:val="0"/>
                <w:sz w:val="24"/>
                <w:highlight w:val="none"/>
              </w:rPr>
              <w:t>0，1，2，3，4，5</w:t>
            </w:r>
            <w:r>
              <w:rPr>
                <w:rFonts w:hint="eastAsia" w:ascii="宋体" w:hAnsi="宋体" w:cs="宋体"/>
                <w:color w:val="auto"/>
                <w:spacing w:val="-6"/>
                <w:sz w:val="24"/>
                <w:highlight w:val="none"/>
              </w:rPr>
              <w:t>）</w:t>
            </w:r>
          </w:p>
        </w:tc>
      </w:tr>
      <w:tr w14:paraId="2026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92" w:type="pct"/>
            <w:vMerge w:val="continue"/>
            <w:vAlign w:val="center"/>
          </w:tcPr>
          <w:p w14:paraId="50A17C5C">
            <w:pPr>
              <w:pStyle w:val="24"/>
              <w:autoSpaceDE/>
              <w:autoSpaceDN/>
              <w:snapToGrid w:val="0"/>
              <w:spacing w:line="360" w:lineRule="auto"/>
              <w:jc w:val="center"/>
              <w:rPr>
                <w:rFonts w:ascii="宋体" w:hAnsi="宋体" w:eastAsia="宋体" w:cs="宋体"/>
                <w:color w:val="auto"/>
                <w:highlight w:val="none"/>
              </w:rPr>
            </w:pPr>
          </w:p>
        </w:tc>
        <w:tc>
          <w:tcPr>
            <w:tcW w:w="374" w:type="pct"/>
            <w:vAlign w:val="center"/>
          </w:tcPr>
          <w:p w14:paraId="5EFE486C">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32" w:type="pct"/>
            <w:vAlign w:val="center"/>
          </w:tcPr>
          <w:p w14:paraId="5DD1CFF3">
            <w:pPr>
              <w:snapToGrid w:val="0"/>
              <w:spacing w:line="360" w:lineRule="auto"/>
              <w:rPr>
                <w:rFonts w:ascii="宋体" w:hAnsi="宋体" w:cs="宋体"/>
                <w:color w:val="auto"/>
                <w:spacing w:val="-6"/>
                <w:sz w:val="24"/>
                <w:highlight w:val="none"/>
                <w:lang w:val="zh-CN"/>
              </w:rPr>
            </w:pPr>
            <w:r>
              <w:rPr>
                <w:rFonts w:hint="eastAsia" w:ascii="宋体" w:hAnsi="宋体" w:cs="宋体"/>
                <w:color w:val="auto"/>
                <w:sz w:val="24"/>
                <w:highlight w:val="none"/>
              </w:rPr>
              <w:t>【客观分】</w:t>
            </w:r>
            <w:r>
              <w:rPr>
                <w:rFonts w:hint="eastAsia" w:ascii="宋体" w:hAnsi="宋体" w:cs="宋体"/>
                <w:color w:val="auto"/>
                <w:spacing w:val="-6"/>
                <w:sz w:val="24"/>
                <w:highlight w:val="none"/>
                <w:lang w:val="zh-CN"/>
              </w:rPr>
              <w:t>项目团队人员具有信息系统项目管理师、软件设计师证书的每个得1分，最多得</w:t>
            </w: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zh-CN"/>
              </w:rPr>
              <w:t>分。（</w:t>
            </w:r>
            <w:r>
              <w:rPr>
                <w:rFonts w:hint="eastAsia" w:ascii="宋体" w:hAnsi="宋体" w:cs="宋体"/>
                <w:color w:val="auto"/>
                <w:spacing w:val="-6"/>
                <w:sz w:val="24"/>
                <w:highlight w:val="none"/>
              </w:rPr>
              <w:t>提供证书复印件及近6个月任任意1个月供应商本单位为其缴纳社保的证明材料，不提供不得分</w:t>
            </w:r>
            <w:r>
              <w:rPr>
                <w:rFonts w:hint="eastAsia" w:ascii="宋体" w:hAnsi="宋体" w:cs="宋体"/>
                <w:color w:val="auto"/>
                <w:spacing w:val="-6"/>
                <w:sz w:val="24"/>
                <w:highlight w:val="none"/>
                <w:lang w:val="zh-CN"/>
              </w:rPr>
              <w:t>）</w:t>
            </w:r>
          </w:p>
          <w:p w14:paraId="0B030F7D">
            <w:pPr>
              <w:snapToGrid w:val="0"/>
              <w:spacing w:line="360" w:lineRule="auto"/>
              <w:rPr>
                <w:rFonts w:ascii="宋体" w:hAnsi="宋体" w:cs="宋体"/>
                <w:color w:val="auto"/>
                <w:spacing w:val="-6"/>
                <w:sz w:val="24"/>
                <w:highlight w:val="none"/>
              </w:rPr>
            </w:pPr>
            <w:r>
              <w:rPr>
                <w:rFonts w:hint="eastAsia" w:ascii="宋体" w:hAnsi="宋体" w:cs="宋体"/>
                <w:color w:val="auto"/>
                <w:kern w:val="0"/>
                <w:sz w:val="24"/>
                <w:highlight w:val="none"/>
              </w:rPr>
              <w:t>（评分范围：0，1，2，3）</w:t>
            </w:r>
          </w:p>
        </w:tc>
      </w:tr>
      <w:tr w14:paraId="25A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92" w:type="pct"/>
            <w:vAlign w:val="center"/>
          </w:tcPr>
          <w:p w14:paraId="71543F6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安全保障方案</w:t>
            </w:r>
          </w:p>
        </w:tc>
        <w:tc>
          <w:tcPr>
            <w:tcW w:w="374" w:type="pct"/>
            <w:vAlign w:val="center"/>
          </w:tcPr>
          <w:p w14:paraId="274D2358">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32" w:type="pct"/>
            <w:vAlign w:val="center"/>
          </w:tcPr>
          <w:p w14:paraId="70854D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【主观分】根据供应商提出配套的安全体系完善方案，包括物理安全、网络安全、系统安全、应用软件安全、用户安全、数据安全等等情况进行评定。</w:t>
            </w:r>
          </w:p>
          <w:p w14:paraId="46341E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（评分范围：0，1，2，3，4，5）</w:t>
            </w:r>
          </w:p>
        </w:tc>
      </w:tr>
      <w:tr w14:paraId="5B66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vMerge w:val="restart"/>
            <w:vAlign w:val="center"/>
          </w:tcPr>
          <w:p w14:paraId="020C6852">
            <w:pPr>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售后服务</w:t>
            </w:r>
          </w:p>
        </w:tc>
        <w:tc>
          <w:tcPr>
            <w:tcW w:w="374" w:type="pct"/>
            <w:vAlign w:val="center"/>
          </w:tcPr>
          <w:p w14:paraId="2931CD9B">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3732" w:type="pct"/>
          </w:tcPr>
          <w:p w14:paraId="5B59331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主观分】根据供应商的售后服务方案，售后服务承诺的可行性及服务承诺落实的保障措施售后服务响应时间、服务承诺可执行性、售后服务的便捷性、服务期内外的后续技术支持和维护能力情况等方面进行打分。（评分范围：0，1，2，3，4）</w:t>
            </w:r>
          </w:p>
        </w:tc>
      </w:tr>
      <w:tr w14:paraId="34B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pct"/>
            <w:vMerge w:val="continue"/>
            <w:vAlign w:val="center"/>
          </w:tcPr>
          <w:p w14:paraId="08A59DC3">
            <w:pPr>
              <w:pStyle w:val="813"/>
              <w:snapToGrid w:val="0"/>
              <w:spacing w:line="360" w:lineRule="auto"/>
              <w:rPr>
                <w:rFonts w:ascii="宋体" w:hAnsi="宋体" w:cs="宋体"/>
                <w:color w:val="auto"/>
                <w:szCs w:val="24"/>
                <w:highlight w:val="none"/>
              </w:rPr>
            </w:pPr>
          </w:p>
        </w:tc>
        <w:tc>
          <w:tcPr>
            <w:tcW w:w="374" w:type="pct"/>
            <w:vAlign w:val="center"/>
          </w:tcPr>
          <w:p w14:paraId="397C11A0">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3732" w:type="pct"/>
          </w:tcPr>
          <w:p w14:paraId="3D72026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主观分】根据供应商的售后服务方案，售后服务承诺的可行性及服务承诺落实的保障措施售后服务响应时间、服务承诺可执行性、售后服务的便捷性、服务期内外的后续技术支持和维护能力情况等方面进行打分。（评分范围：0，1，2，3，4）</w:t>
            </w:r>
          </w:p>
        </w:tc>
      </w:tr>
      <w:tr w14:paraId="3113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pct"/>
            <w:shd w:val="clear" w:color="auto" w:fill="auto"/>
            <w:vAlign w:val="center"/>
          </w:tcPr>
          <w:p w14:paraId="76BD5D5E">
            <w:pPr>
              <w:snapToGrid w:val="0"/>
              <w:spacing w:line="360" w:lineRule="auto"/>
              <w:jc w:val="center"/>
              <w:rPr>
                <w:rFonts w:ascii="宋体" w:hAnsi="宋体" w:cs="宋体"/>
                <w:color w:val="auto"/>
                <w:sz w:val="24"/>
                <w:highlight w:val="none"/>
                <w:lang w:val="zh-CN"/>
              </w:rPr>
            </w:pPr>
            <w:r>
              <w:rPr>
                <w:rFonts w:hint="eastAsia" w:ascii="宋体" w:hAnsi="宋体" w:cs="宋体"/>
                <w:b/>
                <w:color w:val="auto"/>
                <w:sz w:val="24"/>
                <w:highlight w:val="none"/>
                <w:lang w:val="zh-CN"/>
              </w:rPr>
              <w:t>系统演示</w:t>
            </w:r>
          </w:p>
        </w:tc>
        <w:tc>
          <w:tcPr>
            <w:tcW w:w="374" w:type="pct"/>
            <w:shd w:val="clear" w:color="auto" w:fill="auto"/>
            <w:vAlign w:val="center"/>
          </w:tcPr>
          <w:p w14:paraId="3969044A">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10</w:t>
            </w:r>
          </w:p>
        </w:tc>
        <w:tc>
          <w:tcPr>
            <w:tcW w:w="3732" w:type="pct"/>
            <w:vAlign w:val="center"/>
          </w:tcPr>
          <w:p w14:paraId="5E6D6C61">
            <w:pPr>
              <w:snapToGrid w:val="0"/>
              <w:spacing w:line="360" w:lineRule="auto"/>
              <w:rPr>
                <w:rFonts w:ascii="宋体" w:hAnsi="宋体" w:cs="宋体"/>
                <w:color w:val="auto"/>
                <w:sz w:val="24"/>
                <w:highlight w:val="none"/>
              </w:rPr>
            </w:pPr>
            <w:r>
              <w:rPr>
                <w:rFonts w:hint="eastAsia" w:ascii="宋体" w:hAnsi="宋体" w:cs="宋体"/>
                <w:color w:val="auto"/>
                <w:spacing w:val="-6"/>
                <w:sz w:val="24"/>
                <w:highlight w:val="none"/>
              </w:rPr>
              <w:t>【</w:t>
            </w:r>
            <w:r>
              <w:rPr>
                <w:rFonts w:hint="eastAsia" w:ascii="宋体" w:hAnsi="宋体" w:cs="宋体"/>
                <w:color w:val="auto"/>
                <w:spacing w:val="-6"/>
                <w:sz w:val="24"/>
                <w:highlight w:val="none"/>
                <w:lang w:val="en-US" w:eastAsia="zh-CN"/>
              </w:rPr>
              <w:t>主观分</w:t>
            </w:r>
            <w:r>
              <w:rPr>
                <w:rFonts w:hint="eastAsia" w:ascii="宋体" w:hAnsi="宋体" w:cs="宋体"/>
                <w:color w:val="auto"/>
                <w:spacing w:val="-6"/>
                <w:sz w:val="24"/>
                <w:highlight w:val="none"/>
              </w:rPr>
              <w:t>】投标人提供视频演示，</w:t>
            </w:r>
            <w:r>
              <w:rPr>
                <w:rFonts w:hint="eastAsia" w:ascii="宋体" w:hAnsi="宋体" w:cs="宋体"/>
                <w:color w:val="auto"/>
                <w:spacing w:val="-6"/>
                <w:sz w:val="24"/>
                <w:highlight w:val="none"/>
                <w:u w:val="single"/>
              </w:rPr>
              <w:t>演示内容为国家海事局2</w:t>
            </w:r>
            <w:r>
              <w:rPr>
                <w:rFonts w:ascii="宋体" w:hAnsi="宋体" w:cs="宋体"/>
                <w:color w:val="auto"/>
                <w:spacing w:val="-6"/>
                <w:sz w:val="24"/>
                <w:highlight w:val="none"/>
                <w:u w:val="single"/>
              </w:rPr>
              <w:t>0</w:t>
            </w:r>
            <w:r>
              <w:rPr>
                <w:rFonts w:hint="eastAsia" w:ascii="宋体" w:hAnsi="宋体" w:cs="宋体"/>
                <w:color w:val="auto"/>
                <w:spacing w:val="-6"/>
                <w:sz w:val="24"/>
                <w:highlight w:val="none"/>
                <w:u w:val="single"/>
              </w:rPr>
              <w:t>2</w:t>
            </w:r>
            <w:r>
              <w:rPr>
                <w:rFonts w:ascii="宋体" w:hAnsi="宋体" w:cs="宋体"/>
                <w:color w:val="auto"/>
                <w:spacing w:val="-6"/>
                <w:sz w:val="24"/>
                <w:highlight w:val="none"/>
                <w:u w:val="single"/>
              </w:rPr>
              <w:t>4</w:t>
            </w:r>
            <w:r>
              <w:rPr>
                <w:rFonts w:hint="eastAsia" w:ascii="宋体" w:hAnsi="宋体" w:cs="宋体"/>
                <w:color w:val="auto"/>
                <w:spacing w:val="-6"/>
                <w:sz w:val="24"/>
                <w:highlight w:val="none"/>
                <w:u w:val="single"/>
              </w:rPr>
              <w:t>版海船船员评估大纲中无限航区船长B</w:t>
            </w:r>
            <w:r>
              <w:rPr>
                <w:rFonts w:ascii="宋体" w:hAnsi="宋体" w:cs="宋体"/>
                <w:color w:val="auto"/>
                <w:spacing w:val="-6"/>
                <w:sz w:val="24"/>
                <w:highlight w:val="none"/>
                <w:u w:val="single"/>
              </w:rPr>
              <w:t>RM</w:t>
            </w:r>
            <w:r>
              <w:rPr>
                <w:rFonts w:hint="eastAsia" w:ascii="宋体" w:hAnsi="宋体" w:cs="宋体"/>
                <w:color w:val="auto"/>
                <w:spacing w:val="-6"/>
                <w:sz w:val="24"/>
                <w:highlight w:val="none"/>
                <w:u w:val="single"/>
              </w:rPr>
              <w:t>项目所新增的内容，包括引航员接送操作、船舶碰撞应急等</w:t>
            </w:r>
            <w:r>
              <w:rPr>
                <w:rFonts w:hint="eastAsia" w:ascii="宋体" w:hAnsi="宋体" w:cs="宋体"/>
                <w:color w:val="auto"/>
                <w:spacing w:val="-6"/>
                <w:sz w:val="24"/>
                <w:highlight w:val="none"/>
              </w:rPr>
              <w:t>，</w:t>
            </w:r>
            <w:r>
              <w:rPr>
                <w:rFonts w:hint="eastAsia" w:ascii="宋体" w:hAnsi="宋体" w:cs="宋体"/>
                <w:color w:val="auto"/>
                <w:spacing w:val="-6"/>
                <w:sz w:val="24"/>
                <w:highlight w:val="none"/>
              </w:rPr>
              <w:t>未提供演示或提供PPT等其他形式的不得分。演示时间不得超过15分钟。</w:t>
            </w:r>
          </w:p>
        </w:tc>
      </w:tr>
    </w:tbl>
    <w:p w14:paraId="05199A84">
      <w:pPr>
        <w:snapToGrid w:val="0"/>
        <w:spacing w:line="360" w:lineRule="auto"/>
        <w:ind w:firstLine="482" w:firstLineChars="200"/>
        <w:rPr>
          <w:rFonts w:ascii="宋体" w:hAnsi="宋体" w:cs="宋体"/>
          <w:b/>
          <w:color w:val="auto"/>
          <w:sz w:val="24"/>
          <w:highlight w:val="none"/>
        </w:rPr>
      </w:pPr>
    </w:p>
    <w:p w14:paraId="23947D65">
      <w:pPr>
        <w:pStyle w:val="65"/>
        <w:ind w:firstLine="241" w:firstLineChars="100"/>
        <w:rPr>
          <w:color w:val="auto"/>
          <w:highlight w:val="none"/>
        </w:rPr>
      </w:pPr>
      <w:r>
        <w:rPr>
          <w:rFonts w:hint="eastAsia" w:cs="宋体"/>
          <w:b/>
          <w:color w:val="auto"/>
          <w:sz w:val="24"/>
          <w:highlight w:val="none"/>
        </w:rPr>
        <w:t>标项二：</w:t>
      </w:r>
    </w:p>
    <w:tbl>
      <w:tblPr>
        <w:tblStyle w:val="6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753"/>
        <w:gridCol w:w="7425"/>
      </w:tblGrid>
      <w:tr w14:paraId="6A8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pct"/>
            <w:vAlign w:val="center"/>
          </w:tcPr>
          <w:p w14:paraId="21F0FD82">
            <w:pPr>
              <w:pStyle w:val="778"/>
              <w:adjustRightInd w:val="0"/>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评审因素</w:t>
            </w:r>
          </w:p>
        </w:tc>
        <w:tc>
          <w:tcPr>
            <w:tcW w:w="378" w:type="pct"/>
            <w:vAlign w:val="center"/>
          </w:tcPr>
          <w:p w14:paraId="6C6C8C58">
            <w:pPr>
              <w:pStyle w:val="778"/>
              <w:adjustRightInd w:val="0"/>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分值</w:t>
            </w:r>
          </w:p>
        </w:tc>
        <w:tc>
          <w:tcPr>
            <w:tcW w:w="3726" w:type="pct"/>
            <w:vAlign w:val="center"/>
          </w:tcPr>
          <w:p w14:paraId="2A21BDCC">
            <w:pPr>
              <w:pStyle w:val="778"/>
              <w:adjustRightInd w:val="0"/>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评分细则</w:t>
            </w:r>
          </w:p>
        </w:tc>
      </w:tr>
      <w:tr w14:paraId="4191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42647DC">
            <w:pPr>
              <w:pStyle w:val="778"/>
              <w:adjustRightInd w:val="0"/>
              <w:snapToGrid w:val="0"/>
              <w:ind w:firstLine="0" w:firstLineChars="0"/>
              <w:rPr>
                <w:rFonts w:ascii="宋体" w:hAnsi="宋体" w:eastAsia="宋体" w:cs="宋体"/>
                <w:b/>
                <w:color w:val="auto"/>
                <w:spacing w:val="-6"/>
                <w:highlight w:val="none"/>
              </w:rPr>
            </w:pPr>
            <w:r>
              <w:rPr>
                <w:rFonts w:hint="eastAsia" w:ascii="宋体" w:hAnsi="宋体" w:eastAsia="宋体" w:cs="宋体"/>
                <w:b/>
                <w:color w:val="auto"/>
                <w:spacing w:val="-6"/>
                <w:highlight w:val="none"/>
              </w:rPr>
              <w:t>商务分（6分）</w:t>
            </w:r>
          </w:p>
        </w:tc>
      </w:tr>
      <w:tr w14:paraId="7FB3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4" w:type="pct"/>
            <w:vAlign w:val="center"/>
          </w:tcPr>
          <w:p w14:paraId="660C148C">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类似业绩</w:t>
            </w:r>
          </w:p>
        </w:tc>
        <w:tc>
          <w:tcPr>
            <w:tcW w:w="378" w:type="pct"/>
            <w:vAlign w:val="center"/>
          </w:tcPr>
          <w:p w14:paraId="78502032">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26" w:type="pct"/>
            <w:vAlign w:val="center"/>
          </w:tcPr>
          <w:p w14:paraId="670A719A">
            <w:pPr>
              <w:pStyle w:val="26"/>
              <w:snapToGrid w:val="0"/>
              <w:spacing w:line="360" w:lineRule="auto"/>
              <w:ind w:firstLine="0" w:firstLineChars="0"/>
              <w:rPr>
                <w:rFonts w:cs="宋体"/>
                <w:color w:val="auto"/>
                <w:highlight w:val="none"/>
              </w:rPr>
            </w:pPr>
            <w:r>
              <w:rPr>
                <w:rFonts w:hint="eastAsia" w:cs="宋体"/>
                <w:color w:val="auto"/>
                <w:spacing w:val="-6"/>
                <w:highlight w:val="none"/>
              </w:rPr>
              <w:t>投标人提供2021年1月1日以来的所投产品同类业绩合同，经评标委员会认定为有效业绩合同的，每份得1分，最高得3分。（提供合同复印件加盖公章，原件备查）</w:t>
            </w:r>
          </w:p>
        </w:tc>
      </w:tr>
      <w:tr w14:paraId="5DE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pct"/>
            <w:vAlign w:val="center"/>
          </w:tcPr>
          <w:p w14:paraId="289DCF1F">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认证证书</w:t>
            </w:r>
          </w:p>
        </w:tc>
        <w:tc>
          <w:tcPr>
            <w:tcW w:w="378" w:type="pct"/>
            <w:vAlign w:val="center"/>
          </w:tcPr>
          <w:p w14:paraId="6B637C13">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3</w:t>
            </w:r>
          </w:p>
        </w:tc>
        <w:tc>
          <w:tcPr>
            <w:tcW w:w="3726" w:type="pct"/>
            <w:vAlign w:val="center"/>
          </w:tcPr>
          <w:p w14:paraId="2F0645A5">
            <w:pPr>
              <w:snapToGrid w:val="0"/>
              <w:spacing w:line="360" w:lineRule="auto"/>
              <w:rPr>
                <w:rFonts w:ascii="宋体" w:hAnsi="宋体" w:cs="宋体"/>
                <w:color w:val="auto"/>
                <w:spacing w:val="-6"/>
                <w:sz w:val="24"/>
                <w:highlight w:val="none"/>
                <w:lang w:val="zh-CN"/>
              </w:rPr>
            </w:pPr>
            <w:r>
              <w:rPr>
                <w:rFonts w:hint="eastAsia" w:ascii="宋体" w:hAnsi="宋体" w:cs="宋体"/>
                <w:color w:val="auto"/>
                <w:spacing w:val="-6"/>
                <w:sz w:val="24"/>
                <w:highlight w:val="none"/>
                <w:lang w:val="zh-CN"/>
              </w:rPr>
              <w:t>投标人具有有效期内的</w:t>
            </w:r>
            <w:r>
              <w:rPr>
                <w:rFonts w:hint="eastAsia" w:ascii="宋体" w:hAnsi="宋体" w:cs="宋体"/>
                <w:color w:val="auto"/>
                <w:spacing w:val="-6"/>
                <w:sz w:val="24"/>
                <w:highlight w:val="none"/>
                <w:lang w:val="zh-CN"/>
              </w:rPr>
              <w:t>ISO9001质量管理体系认证证书、ISO14001环境管理体系认证证书、ISO45001职业健康安全体系管理体系认证证书的每个得</w:t>
            </w:r>
            <w:r>
              <w:rPr>
                <w:rFonts w:hint="eastAsia" w:ascii="宋体" w:hAnsi="宋体" w:cs="宋体"/>
                <w:color w:val="auto"/>
                <w:spacing w:val="-6"/>
                <w:sz w:val="24"/>
                <w:highlight w:val="none"/>
              </w:rPr>
              <w:t>1</w:t>
            </w:r>
            <w:r>
              <w:rPr>
                <w:rFonts w:hint="eastAsia" w:ascii="宋体" w:hAnsi="宋体" w:cs="宋体"/>
                <w:color w:val="auto"/>
                <w:spacing w:val="-6"/>
                <w:sz w:val="24"/>
                <w:highlight w:val="none"/>
                <w:lang w:val="zh-CN"/>
              </w:rPr>
              <w:t>分</w:t>
            </w:r>
            <w:r>
              <w:rPr>
                <w:rFonts w:hint="eastAsia" w:ascii="宋体" w:hAnsi="宋体" w:cs="宋体"/>
                <w:color w:val="auto"/>
                <w:spacing w:val="-6"/>
                <w:sz w:val="24"/>
                <w:highlight w:val="none"/>
                <w:lang w:val="zh-CN"/>
              </w:rPr>
              <w:t>，最多</w:t>
            </w:r>
            <w:r>
              <w:rPr>
                <w:rFonts w:hint="eastAsia" w:ascii="宋体" w:hAnsi="宋体" w:cs="宋体"/>
                <w:color w:val="auto"/>
                <w:spacing w:val="-6"/>
                <w:sz w:val="24"/>
                <w:highlight w:val="none"/>
              </w:rPr>
              <w:t>3分</w:t>
            </w:r>
            <w:r>
              <w:rPr>
                <w:rFonts w:hint="eastAsia" w:ascii="宋体" w:hAnsi="宋体" w:cs="宋体"/>
                <w:color w:val="auto"/>
                <w:spacing w:val="-6"/>
                <w:sz w:val="24"/>
                <w:highlight w:val="none"/>
                <w:lang w:val="zh-CN"/>
              </w:rPr>
              <w:t>。</w:t>
            </w:r>
          </w:p>
          <w:p w14:paraId="3C2DF908">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lang w:val="zh-CN"/>
              </w:rPr>
              <w:t>注：（</w:t>
            </w:r>
            <w:r>
              <w:rPr>
                <w:rFonts w:hint="eastAsia" w:ascii="宋体" w:hAnsi="宋体" w:cs="宋体"/>
                <w:color w:val="auto"/>
                <w:spacing w:val="-6"/>
                <w:sz w:val="24"/>
                <w:highlight w:val="none"/>
              </w:rPr>
              <w:t>投标文件中提供上述证书复印件及《全国认证认可信息公共服务平台》网站查询截图证明材料复印件并加盖供应商公章否则不予认可。</w:t>
            </w:r>
            <w:r>
              <w:rPr>
                <w:rFonts w:hint="eastAsia" w:ascii="宋体" w:hAnsi="宋体" w:cs="宋体"/>
                <w:color w:val="auto"/>
                <w:spacing w:val="-6"/>
                <w:sz w:val="24"/>
                <w:highlight w:val="none"/>
                <w:lang w:val="zh-CN"/>
              </w:rPr>
              <w:t>）</w:t>
            </w:r>
          </w:p>
        </w:tc>
      </w:tr>
      <w:tr w14:paraId="2352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3"/>
            <w:vAlign w:val="center"/>
          </w:tcPr>
          <w:p w14:paraId="166418D6">
            <w:pPr>
              <w:pStyle w:val="26"/>
              <w:snapToGrid w:val="0"/>
              <w:spacing w:line="360" w:lineRule="auto"/>
              <w:ind w:firstLine="0" w:firstLineChars="0"/>
              <w:jc w:val="center"/>
              <w:rPr>
                <w:rFonts w:cs="宋体"/>
                <w:color w:val="auto"/>
                <w:spacing w:val="-6"/>
                <w:highlight w:val="none"/>
              </w:rPr>
            </w:pPr>
            <w:r>
              <w:rPr>
                <w:rFonts w:hint="eastAsia" w:cs="宋体"/>
                <w:b/>
                <w:color w:val="auto"/>
                <w:spacing w:val="-6"/>
                <w:highlight w:val="none"/>
              </w:rPr>
              <w:t>技术分（64分）</w:t>
            </w:r>
          </w:p>
        </w:tc>
      </w:tr>
      <w:tr w14:paraId="6838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94" w:type="pct"/>
            <w:vAlign w:val="center"/>
          </w:tcPr>
          <w:p w14:paraId="40F330F8">
            <w:pPr>
              <w:snapToGrid w:val="0"/>
              <w:spacing w:line="360" w:lineRule="auto"/>
              <w:jc w:val="center"/>
              <w:rPr>
                <w:rFonts w:ascii="宋体" w:hAnsi="宋体" w:cs="宋体"/>
                <w:color w:val="auto"/>
                <w:sz w:val="24"/>
                <w:highlight w:val="none"/>
              </w:rPr>
            </w:pPr>
            <w:r>
              <w:rPr>
                <w:rFonts w:hint="eastAsia" w:ascii="宋体" w:hAnsi="宋体" w:cs="宋体"/>
                <w:color w:val="auto"/>
                <w:spacing w:val="-6"/>
                <w:sz w:val="24"/>
                <w:highlight w:val="none"/>
              </w:rPr>
              <w:t>投标产品</w:t>
            </w:r>
            <w:r>
              <w:rPr>
                <w:rFonts w:hint="eastAsia" w:ascii="宋体" w:hAnsi="宋体" w:cs="宋体"/>
                <w:color w:val="auto"/>
                <w:sz w:val="24"/>
                <w:highlight w:val="none"/>
              </w:rPr>
              <w:t>技术响应情况</w:t>
            </w:r>
          </w:p>
        </w:tc>
        <w:tc>
          <w:tcPr>
            <w:tcW w:w="378" w:type="pct"/>
            <w:vAlign w:val="center"/>
          </w:tcPr>
          <w:p w14:paraId="0D4B4D83">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22</w:t>
            </w:r>
          </w:p>
        </w:tc>
        <w:tc>
          <w:tcPr>
            <w:tcW w:w="3726" w:type="pct"/>
            <w:vAlign w:val="center"/>
          </w:tcPr>
          <w:p w14:paraId="080B829B">
            <w:pPr>
              <w:widowControl/>
              <w:snapToGrid w:val="0"/>
              <w:spacing w:line="360" w:lineRule="auto"/>
              <w:rPr>
                <w:rFonts w:ascii="宋体" w:hAnsi="宋体" w:cs="宋体"/>
                <w:color w:val="auto"/>
                <w:kern w:val="0"/>
                <w:sz w:val="24"/>
                <w:highlight w:val="none"/>
              </w:rPr>
            </w:pPr>
            <w:r>
              <w:rPr>
                <w:rFonts w:hint="eastAsia" w:ascii="宋体" w:hAnsi="宋体" w:cs="宋体"/>
                <w:color w:val="auto"/>
                <w:spacing w:val="-6"/>
                <w:sz w:val="24"/>
                <w:highlight w:val="none"/>
              </w:rPr>
              <w:t>由评委根据投标人提供的设备配置方案和投标响应情况等进行综合评议，</w:t>
            </w:r>
            <w:r>
              <w:rPr>
                <w:rFonts w:hint="eastAsia" w:ascii="宋体" w:hAnsi="宋体" w:cs="宋体"/>
                <w:color w:val="auto"/>
                <w:kern w:val="0"/>
                <w:sz w:val="24"/>
                <w:highlight w:val="none"/>
              </w:rPr>
              <w:t>产品的基本功能、技术指标与需求的吻合程度和偏差情况（除▲以外）：包括投标产品的详细配置、主要技术参数、随机软件等，是否能够满足招标文件要求。全部满足或明显优于招标文件要求得22分；标注“</w:t>
            </w:r>
            <w:r>
              <w:rPr>
                <w:rFonts w:hint="eastAsia" w:ascii="宋体" w:hAnsi="宋体" w:cs="宋体"/>
                <w:b/>
                <w:bCs/>
                <w:color w:val="auto"/>
                <w:sz w:val="24"/>
                <w:highlight w:val="none"/>
              </w:rPr>
              <w:t>★</w:t>
            </w:r>
            <w:r>
              <w:rPr>
                <w:rFonts w:hint="eastAsia" w:ascii="宋体" w:hAnsi="宋体" w:cs="宋体"/>
                <w:color w:val="auto"/>
                <w:kern w:val="0"/>
                <w:sz w:val="24"/>
                <w:highlight w:val="none"/>
              </w:rPr>
              <w:t>”的为重要指标项，投标产品技术条款低于采购需求中重要条款要求（负偏离）的每条扣2分，其它一般技术条款低于技术要求（负偏离）的每条扣1分，扣完为止。</w:t>
            </w:r>
          </w:p>
          <w:p w14:paraId="1B198088">
            <w:pPr>
              <w:pStyle w:val="813"/>
              <w:adjustRightInd w:val="0"/>
              <w:snapToGrid w:val="0"/>
              <w:spacing w:line="360" w:lineRule="auto"/>
              <w:rPr>
                <w:rFonts w:ascii="宋体" w:hAnsi="宋体" w:cs="宋体"/>
                <w:color w:val="auto"/>
                <w:spacing w:val="-6"/>
                <w:szCs w:val="24"/>
                <w:highlight w:val="none"/>
              </w:rPr>
            </w:pPr>
            <w:r>
              <w:rPr>
                <w:rFonts w:hint="eastAsia" w:ascii="宋体" w:hAnsi="宋体" w:cs="宋体"/>
                <w:b/>
                <w:bCs/>
                <w:color w:val="auto"/>
                <w:kern w:val="0"/>
                <w:szCs w:val="24"/>
                <w:highlight w:val="none"/>
              </w:rPr>
              <w:t>注：商务技术偏离表技术要求中响应规格与技术资料不一致的（或要求提供证明材料但未提供的）经评标委员会讨论后可被认定为负偏离。</w:t>
            </w:r>
          </w:p>
        </w:tc>
      </w:tr>
      <w:tr w14:paraId="626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94" w:type="pct"/>
            <w:vAlign w:val="center"/>
          </w:tcPr>
          <w:p w14:paraId="1D2B362E">
            <w:pPr>
              <w:pStyle w:val="24"/>
              <w:snapToGrid w:val="0"/>
              <w:spacing w:line="360" w:lineRule="auto"/>
              <w:jc w:val="center"/>
              <w:rPr>
                <w:rFonts w:ascii="宋体" w:hAnsi="宋体" w:eastAsia="宋体" w:cs="宋体"/>
                <w:color w:val="auto"/>
                <w:highlight w:val="none"/>
              </w:rPr>
            </w:pPr>
            <w:r>
              <w:rPr>
                <w:rFonts w:hint="eastAsia" w:ascii="宋体" w:hAnsi="宋体" w:eastAsia="宋体" w:cs="宋体"/>
                <w:color w:val="auto"/>
                <w:spacing w:val="-6"/>
                <w:highlight w:val="none"/>
              </w:rPr>
              <w:t>质量保证措施</w:t>
            </w:r>
          </w:p>
        </w:tc>
        <w:tc>
          <w:tcPr>
            <w:tcW w:w="378" w:type="pct"/>
            <w:vAlign w:val="center"/>
          </w:tcPr>
          <w:p w14:paraId="61304534">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26" w:type="pct"/>
            <w:vAlign w:val="center"/>
          </w:tcPr>
          <w:p w14:paraId="592D0D27">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是否具有严密的质量监控措施和先进的质量检测设施；是否建立定期巡检制度和设备运行情况报告制度，定期出具巡检和设备运行情况报告；是否建立服务档案和解决方案资料库等。以及整体措施方案是否合理、可行</w:t>
            </w:r>
            <w:r>
              <w:rPr>
                <w:rFonts w:hint="eastAsia" w:ascii="宋体" w:hAnsi="宋体" w:cs="宋体"/>
                <w:color w:val="auto"/>
                <w:kern w:val="0"/>
                <w:sz w:val="24"/>
                <w:highlight w:val="none"/>
              </w:rPr>
              <w:t>（评分范围：0，1，2，3，4，5）</w:t>
            </w:r>
          </w:p>
        </w:tc>
      </w:tr>
      <w:tr w14:paraId="1E3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4" w:type="pct"/>
            <w:vMerge w:val="restart"/>
            <w:vAlign w:val="center"/>
          </w:tcPr>
          <w:p w14:paraId="34170D4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针对本项目的详细实施计划</w:t>
            </w:r>
          </w:p>
        </w:tc>
        <w:tc>
          <w:tcPr>
            <w:tcW w:w="378" w:type="pct"/>
            <w:vAlign w:val="center"/>
          </w:tcPr>
          <w:p w14:paraId="514B5FDB">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3726" w:type="pct"/>
            <w:vAlign w:val="center"/>
          </w:tcPr>
          <w:p w14:paraId="771EC4F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运输方案保障措施有效、方案严密的最高得4分；措施及方案存在欠缺、影响或者可能影响供货期的，酌情扣分；</w:t>
            </w:r>
            <w:r>
              <w:rPr>
                <w:rFonts w:hint="eastAsia" w:ascii="宋体" w:hAnsi="宋体" w:cs="宋体"/>
                <w:color w:val="auto"/>
                <w:kern w:val="0"/>
                <w:sz w:val="24"/>
                <w:highlight w:val="none"/>
              </w:rPr>
              <w:t>（评分范围：0，1，2，3，4）</w:t>
            </w:r>
          </w:p>
        </w:tc>
      </w:tr>
      <w:tr w14:paraId="79B4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4" w:type="pct"/>
            <w:vMerge w:val="continue"/>
            <w:vAlign w:val="center"/>
          </w:tcPr>
          <w:p w14:paraId="05308DD4">
            <w:pPr>
              <w:snapToGrid w:val="0"/>
              <w:spacing w:line="360" w:lineRule="auto"/>
              <w:jc w:val="center"/>
              <w:rPr>
                <w:rFonts w:ascii="宋体" w:hAnsi="宋体" w:cs="宋体"/>
                <w:color w:val="auto"/>
                <w:sz w:val="24"/>
                <w:highlight w:val="none"/>
              </w:rPr>
            </w:pPr>
          </w:p>
        </w:tc>
        <w:tc>
          <w:tcPr>
            <w:tcW w:w="378" w:type="pct"/>
            <w:vAlign w:val="center"/>
          </w:tcPr>
          <w:p w14:paraId="6FDEE6E2">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3726" w:type="pct"/>
            <w:vAlign w:val="center"/>
          </w:tcPr>
          <w:p w14:paraId="3B81A9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安装、调试方案合理、严密的最高得4分，有缺漏的酌情扣分；</w:t>
            </w:r>
            <w:r>
              <w:rPr>
                <w:rFonts w:hint="eastAsia" w:ascii="宋体" w:hAnsi="宋体" w:cs="宋体"/>
                <w:color w:val="auto"/>
                <w:kern w:val="0"/>
                <w:sz w:val="24"/>
                <w:highlight w:val="none"/>
              </w:rPr>
              <w:t>（评分范围：0，1，2，3，4）</w:t>
            </w:r>
          </w:p>
        </w:tc>
      </w:tr>
      <w:tr w14:paraId="409B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pct"/>
            <w:vMerge w:val="continue"/>
            <w:vAlign w:val="center"/>
          </w:tcPr>
          <w:p w14:paraId="27546A89">
            <w:pPr>
              <w:snapToGrid w:val="0"/>
              <w:spacing w:line="360" w:lineRule="auto"/>
              <w:jc w:val="center"/>
              <w:rPr>
                <w:rFonts w:ascii="宋体" w:hAnsi="宋体" w:cs="宋体"/>
                <w:color w:val="auto"/>
                <w:sz w:val="24"/>
                <w:highlight w:val="none"/>
              </w:rPr>
            </w:pPr>
          </w:p>
        </w:tc>
        <w:tc>
          <w:tcPr>
            <w:tcW w:w="378" w:type="pct"/>
            <w:vAlign w:val="center"/>
          </w:tcPr>
          <w:p w14:paraId="1C5F720F">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4</w:t>
            </w:r>
          </w:p>
        </w:tc>
        <w:tc>
          <w:tcPr>
            <w:tcW w:w="3726" w:type="pct"/>
            <w:vAlign w:val="center"/>
          </w:tcPr>
          <w:p w14:paraId="7079C22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验收方案合理、有效，能真实体现产品合格情况的最高得4分；</w:t>
            </w:r>
            <w:r>
              <w:rPr>
                <w:rFonts w:hint="eastAsia" w:ascii="宋体" w:hAnsi="宋体" w:cs="宋体"/>
                <w:color w:val="auto"/>
                <w:kern w:val="0"/>
                <w:sz w:val="24"/>
                <w:highlight w:val="none"/>
              </w:rPr>
              <w:t>（评分范围：0，1，2，3，4）</w:t>
            </w:r>
          </w:p>
        </w:tc>
      </w:tr>
      <w:tr w14:paraId="2CB7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pct"/>
            <w:vMerge w:val="continue"/>
            <w:vAlign w:val="center"/>
          </w:tcPr>
          <w:p w14:paraId="4F6008F6">
            <w:pPr>
              <w:snapToGrid w:val="0"/>
              <w:spacing w:line="360" w:lineRule="auto"/>
              <w:jc w:val="center"/>
              <w:rPr>
                <w:rFonts w:ascii="宋体" w:hAnsi="宋体" w:cs="宋体"/>
                <w:color w:val="auto"/>
                <w:sz w:val="24"/>
                <w:highlight w:val="none"/>
              </w:rPr>
            </w:pPr>
          </w:p>
        </w:tc>
        <w:tc>
          <w:tcPr>
            <w:tcW w:w="378" w:type="pct"/>
            <w:vAlign w:val="center"/>
          </w:tcPr>
          <w:p w14:paraId="1D2F9FE5">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26" w:type="pct"/>
            <w:vAlign w:val="center"/>
          </w:tcPr>
          <w:p w14:paraId="17A80B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设备维护方式和时间：各</w:t>
            </w:r>
            <w:r>
              <w:rPr>
                <w:rFonts w:hint="eastAsia" w:ascii="宋体" w:hAnsi="宋体" w:cs="宋体"/>
                <w:color w:val="auto"/>
                <w:spacing w:val="-6"/>
                <w:sz w:val="24"/>
                <w:highlight w:val="none"/>
              </w:rPr>
              <w:t>投标人</w:t>
            </w:r>
            <w:r>
              <w:rPr>
                <w:rFonts w:hint="eastAsia" w:ascii="宋体" w:hAnsi="宋体" w:cs="宋体"/>
                <w:color w:val="auto"/>
                <w:sz w:val="24"/>
                <w:highlight w:val="none"/>
              </w:rPr>
              <w:t>需提供具体设备维护措施，措施合理有效的最高得5分。</w:t>
            </w:r>
            <w:r>
              <w:rPr>
                <w:rFonts w:hint="eastAsia" w:ascii="宋体" w:hAnsi="宋体" w:cs="宋体"/>
                <w:color w:val="auto"/>
                <w:kern w:val="0"/>
                <w:sz w:val="24"/>
                <w:highlight w:val="none"/>
              </w:rPr>
              <w:t>（评分范围：0，1，2，3，4，5）</w:t>
            </w:r>
          </w:p>
        </w:tc>
      </w:tr>
      <w:tr w14:paraId="4B10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94" w:type="pct"/>
            <w:vAlign w:val="center"/>
          </w:tcPr>
          <w:p w14:paraId="198D383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拟投入人员情况</w:t>
            </w:r>
          </w:p>
        </w:tc>
        <w:tc>
          <w:tcPr>
            <w:tcW w:w="378" w:type="pct"/>
            <w:vAlign w:val="center"/>
          </w:tcPr>
          <w:p w14:paraId="5A0FC5EA">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5</w:t>
            </w:r>
          </w:p>
        </w:tc>
        <w:tc>
          <w:tcPr>
            <w:tcW w:w="3726" w:type="pct"/>
            <w:vAlign w:val="center"/>
          </w:tcPr>
          <w:p w14:paraId="7FCF4E10">
            <w:pPr>
              <w:snapToGrid w:val="0"/>
              <w:spacing w:line="360" w:lineRule="auto"/>
              <w:rPr>
                <w:rFonts w:ascii="宋体" w:hAnsi="宋体" w:cs="宋体"/>
                <w:color w:val="auto"/>
                <w:spacing w:val="-6"/>
                <w:sz w:val="24"/>
                <w:highlight w:val="none"/>
              </w:rPr>
            </w:pPr>
            <w:r>
              <w:rPr>
                <w:rFonts w:hint="eastAsia" w:ascii="宋体" w:hAnsi="宋体" w:cs="宋体"/>
                <w:color w:val="auto"/>
                <w:sz w:val="24"/>
                <w:highlight w:val="none"/>
              </w:rPr>
              <w:t>根</w:t>
            </w:r>
            <w:r>
              <w:rPr>
                <w:rFonts w:hint="eastAsia" w:ascii="宋体" w:hAnsi="宋体" w:cs="宋体"/>
                <w:color w:val="auto"/>
                <w:spacing w:val="-6"/>
                <w:sz w:val="24"/>
                <w:highlight w:val="none"/>
              </w:rPr>
              <w:t>据投标人拟投入的运输、安装、培训人员情况打分：</w:t>
            </w:r>
          </w:p>
          <w:p w14:paraId="18E0E23F">
            <w:pPr>
              <w:snapToGrid w:val="0"/>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（1）拟投入运输、安装、培训人员充足的得2分；</w:t>
            </w:r>
            <w:r>
              <w:rPr>
                <w:rFonts w:hint="eastAsia" w:ascii="宋体" w:hAnsi="宋体" w:cs="宋体"/>
                <w:color w:val="auto"/>
                <w:kern w:val="0"/>
                <w:sz w:val="24"/>
                <w:highlight w:val="none"/>
              </w:rPr>
              <w:t>（评分范围：0，1，2）</w:t>
            </w:r>
          </w:p>
          <w:p w14:paraId="4651D16F">
            <w:pPr>
              <w:snapToGrid w:val="0"/>
              <w:spacing w:line="360" w:lineRule="auto"/>
              <w:rPr>
                <w:rFonts w:ascii="宋体" w:hAnsi="宋体" w:cs="宋体"/>
                <w:color w:val="auto"/>
                <w:sz w:val="24"/>
                <w:highlight w:val="none"/>
              </w:rPr>
            </w:pPr>
            <w:r>
              <w:rPr>
                <w:rFonts w:hint="eastAsia" w:ascii="宋体" w:hAnsi="宋体" w:cs="宋体"/>
                <w:color w:val="auto"/>
                <w:spacing w:val="-6"/>
                <w:sz w:val="24"/>
                <w:highlight w:val="none"/>
              </w:rPr>
              <w:t>（2）运输、安装、培训人员具有相应经验、资质的最高得3分。</w:t>
            </w:r>
            <w:r>
              <w:rPr>
                <w:rFonts w:hint="eastAsia" w:ascii="宋体" w:hAnsi="宋体" w:cs="宋体"/>
                <w:color w:val="auto"/>
                <w:kern w:val="0"/>
                <w:sz w:val="24"/>
                <w:highlight w:val="none"/>
              </w:rPr>
              <w:t>（评分范围：0，1，2，3）</w:t>
            </w:r>
          </w:p>
        </w:tc>
      </w:tr>
      <w:tr w14:paraId="07FB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pct"/>
            <w:vMerge w:val="restart"/>
            <w:vAlign w:val="center"/>
          </w:tcPr>
          <w:p w14:paraId="51BD48AC">
            <w:pPr>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售后服务</w:t>
            </w:r>
          </w:p>
        </w:tc>
        <w:tc>
          <w:tcPr>
            <w:tcW w:w="378" w:type="pct"/>
            <w:vMerge w:val="restart"/>
            <w:vAlign w:val="center"/>
          </w:tcPr>
          <w:p w14:paraId="57FE8090">
            <w:pPr>
              <w:snapToGrid w:val="0"/>
              <w:spacing w:line="360" w:lineRule="auto"/>
              <w:jc w:val="center"/>
              <w:rPr>
                <w:rFonts w:ascii="宋体" w:hAnsi="宋体" w:cs="宋体"/>
                <w:color w:val="auto"/>
                <w:spacing w:val="-6"/>
                <w:sz w:val="24"/>
                <w:highlight w:val="none"/>
              </w:rPr>
            </w:pPr>
            <w:r>
              <w:rPr>
                <w:rFonts w:hint="eastAsia" w:ascii="宋体" w:hAnsi="宋体" w:cs="宋体"/>
                <w:color w:val="auto"/>
                <w:spacing w:val="-6"/>
                <w:sz w:val="24"/>
                <w:highlight w:val="none"/>
              </w:rPr>
              <w:t>7</w:t>
            </w:r>
          </w:p>
        </w:tc>
        <w:tc>
          <w:tcPr>
            <w:tcW w:w="3726" w:type="pct"/>
            <w:vAlign w:val="center"/>
          </w:tcPr>
          <w:p w14:paraId="60FB2B3E">
            <w:pPr>
              <w:pStyle w:val="813"/>
              <w:numPr>
                <w:ilvl w:val="0"/>
                <w:numId w:val="3"/>
              </w:numPr>
              <w:adjustRightInd w:val="0"/>
              <w:snapToGrid w:val="0"/>
              <w:spacing w:line="360" w:lineRule="auto"/>
              <w:rPr>
                <w:rFonts w:ascii="宋体" w:hAnsi="宋体" w:cs="宋体"/>
                <w:color w:val="auto"/>
                <w:spacing w:val="-6"/>
                <w:szCs w:val="24"/>
                <w:highlight w:val="none"/>
              </w:rPr>
            </w:pPr>
            <w:r>
              <w:rPr>
                <w:rFonts w:hint="eastAsia" w:ascii="宋体" w:hAnsi="宋体" w:cs="宋体"/>
                <w:color w:val="auto"/>
                <w:szCs w:val="24"/>
                <w:highlight w:val="none"/>
              </w:rPr>
              <w:t>完全响应招标文件要求的得2分</w:t>
            </w:r>
            <w:r>
              <w:rPr>
                <w:rFonts w:hint="eastAsia" w:ascii="宋体" w:hAnsi="宋体" w:cs="宋体"/>
                <w:color w:val="auto"/>
                <w:spacing w:val="-6"/>
                <w:szCs w:val="24"/>
                <w:highlight w:val="none"/>
              </w:rPr>
              <w:t>，不响应不得分。</w:t>
            </w:r>
          </w:p>
          <w:p w14:paraId="211E7684">
            <w:pPr>
              <w:pStyle w:val="813"/>
              <w:numPr>
                <w:ilvl w:val="255"/>
                <w:numId w:val="0"/>
              </w:numPr>
              <w:adjustRightInd w:val="0"/>
              <w:snapToGrid w:val="0"/>
              <w:spacing w:line="360" w:lineRule="auto"/>
              <w:rPr>
                <w:rFonts w:ascii="宋体" w:hAnsi="宋体" w:cs="宋体"/>
                <w:color w:val="auto"/>
                <w:szCs w:val="24"/>
                <w:highlight w:val="none"/>
              </w:rPr>
            </w:pPr>
            <w:r>
              <w:rPr>
                <w:rFonts w:hint="eastAsia" w:ascii="宋体" w:hAnsi="宋体" w:cs="宋体"/>
                <w:color w:val="auto"/>
                <w:spacing w:val="-6"/>
                <w:szCs w:val="24"/>
                <w:highlight w:val="none"/>
              </w:rPr>
              <w:t>（评分范围：0，2）</w:t>
            </w:r>
          </w:p>
        </w:tc>
      </w:tr>
      <w:tr w14:paraId="6260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pct"/>
            <w:vMerge w:val="continue"/>
            <w:vAlign w:val="center"/>
          </w:tcPr>
          <w:p w14:paraId="0F1F8B36">
            <w:pPr>
              <w:snapToGrid w:val="0"/>
              <w:spacing w:line="360" w:lineRule="auto"/>
              <w:jc w:val="center"/>
              <w:rPr>
                <w:rFonts w:ascii="宋体" w:hAnsi="宋体" w:cs="宋体"/>
                <w:color w:val="auto"/>
                <w:kern w:val="0"/>
                <w:sz w:val="24"/>
                <w:highlight w:val="none"/>
              </w:rPr>
            </w:pPr>
          </w:p>
        </w:tc>
        <w:tc>
          <w:tcPr>
            <w:tcW w:w="378" w:type="pct"/>
            <w:vMerge w:val="continue"/>
            <w:vAlign w:val="center"/>
          </w:tcPr>
          <w:p w14:paraId="7886EBAC">
            <w:pPr>
              <w:snapToGrid w:val="0"/>
              <w:spacing w:line="360" w:lineRule="auto"/>
              <w:jc w:val="center"/>
              <w:rPr>
                <w:rFonts w:ascii="宋体" w:hAnsi="宋体" w:cs="宋体"/>
                <w:color w:val="auto"/>
                <w:spacing w:val="-6"/>
                <w:sz w:val="24"/>
                <w:highlight w:val="none"/>
              </w:rPr>
            </w:pPr>
          </w:p>
        </w:tc>
        <w:tc>
          <w:tcPr>
            <w:tcW w:w="3726" w:type="pct"/>
            <w:vAlign w:val="center"/>
          </w:tcPr>
          <w:p w14:paraId="1AFFB9C4">
            <w:pPr>
              <w:pStyle w:val="813"/>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（2）质保期满足招标文件要求的不得分，在此基础上每增加一年质保期得1分，最高得2分（增加不足一年的不计入打分）。</w:t>
            </w:r>
          </w:p>
          <w:p w14:paraId="0B05DEEE">
            <w:pPr>
              <w:pStyle w:val="813"/>
              <w:numPr>
                <w:ilvl w:val="255"/>
                <w:numId w:val="0"/>
              </w:numPr>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（评分范围：0，1，2）</w:t>
            </w:r>
          </w:p>
        </w:tc>
      </w:tr>
      <w:tr w14:paraId="574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94" w:type="pct"/>
            <w:vMerge w:val="continue"/>
            <w:vAlign w:val="center"/>
          </w:tcPr>
          <w:p w14:paraId="7DA549E0">
            <w:pPr>
              <w:pStyle w:val="813"/>
              <w:adjustRightInd w:val="0"/>
              <w:snapToGrid w:val="0"/>
              <w:spacing w:line="360" w:lineRule="auto"/>
              <w:rPr>
                <w:rFonts w:ascii="宋体" w:hAnsi="宋体" w:cs="宋体"/>
                <w:color w:val="auto"/>
                <w:szCs w:val="24"/>
                <w:highlight w:val="none"/>
              </w:rPr>
            </w:pPr>
          </w:p>
        </w:tc>
        <w:tc>
          <w:tcPr>
            <w:tcW w:w="378" w:type="pct"/>
            <w:vMerge w:val="continue"/>
            <w:vAlign w:val="center"/>
          </w:tcPr>
          <w:p w14:paraId="1D512987">
            <w:pPr>
              <w:pStyle w:val="813"/>
              <w:adjustRightInd w:val="0"/>
              <w:snapToGrid w:val="0"/>
              <w:spacing w:line="360" w:lineRule="auto"/>
              <w:rPr>
                <w:rFonts w:ascii="宋体" w:hAnsi="宋体" w:cs="宋体"/>
                <w:color w:val="auto"/>
                <w:spacing w:val="-6"/>
                <w:szCs w:val="24"/>
                <w:highlight w:val="none"/>
              </w:rPr>
            </w:pPr>
          </w:p>
        </w:tc>
        <w:tc>
          <w:tcPr>
            <w:tcW w:w="3726" w:type="pct"/>
            <w:vAlign w:val="center"/>
          </w:tcPr>
          <w:p w14:paraId="4A807456">
            <w:pPr>
              <w:pStyle w:val="813"/>
              <w:adjustRightInd w:val="0"/>
              <w:snapToGrid w:val="0"/>
              <w:spacing w:line="360" w:lineRule="auto"/>
              <w:rPr>
                <w:rFonts w:ascii="宋体" w:hAnsi="宋体" w:cs="宋体"/>
                <w:color w:val="auto"/>
                <w:szCs w:val="24"/>
                <w:highlight w:val="none"/>
              </w:rPr>
            </w:pPr>
            <w:r>
              <w:rPr>
                <w:rFonts w:hint="eastAsia" w:ascii="宋体" w:hAnsi="宋体" w:cs="宋体"/>
                <w:color w:val="auto"/>
                <w:szCs w:val="24"/>
                <w:highlight w:val="none"/>
              </w:rPr>
              <w:t>（3）在满足招标文件的基础上，额外提供其它售后服务的，根据售后服务方案的合理性、有效性酌情打分，最高得3分，未提供不得分。（评分范围：0，1，2，3）</w:t>
            </w:r>
          </w:p>
        </w:tc>
      </w:tr>
      <w:tr w14:paraId="4B0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pct"/>
            <w:vAlign w:val="center"/>
          </w:tcPr>
          <w:p w14:paraId="7A9381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质保期满后配件及专用耗材供应价格</w:t>
            </w:r>
          </w:p>
        </w:tc>
        <w:tc>
          <w:tcPr>
            <w:tcW w:w="378" w:type="pct"/>
            <w:vAlign w:val="center"/>
          </w:tcPr>
          <w:p w14:paraId="1B1838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3726" w:type="pct"/>
            <w:vAlign w:val="center"/>
          </w:tcPr>
          <w:p w14:paraId="26F125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根据各</w:t>
            </w:r>
            <w:r>
              <w:rPr>
                <w:rFonts w:hint="eastAsia" w:ascii="宋体" w:hAnsi="宋体" w:cs="宋体"/>
                <w:color w:val="auto"/>
                <w:spacing w:val="-6"/>
                <w:sz w:val="24"/>
                <w:highlight w:val="none"/>
              </w:rPr>
              <w:t>投标人</w:t>
            </w:r>
            <w:r>
              <w:rPr>
                <w:rFonts w:hint="eastAsia" w:ascii="宋体" w:hAnsi="宋体" w:cs="宋体"/>
                <w:color w:val="auto"/>
                <w:sz w:val="24"/>
                <w:highlight w:val="none"/>
              </w:rPr>
              <w:t>同类配件及专用耗材齐全程度以及让利幅度。</w:t>
            </w:r>
          </w:p>
          <w:p w14:paraId="674A3271">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（评分范围：0，1，2，3，4，5）</w:t>
            </w:r>
          </w:p>
        </w:tc>
      </w:tr>
      <w:tr w14:paraId="2747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pct"/>
            <w:vAlign w:val="center"/>
          </w:tcPr>
          <w:p w14:paraId="6FB604F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合理化建议和改进措施</w:t>
            </w:r>
          </w:p>
        </w:tc>
        <w:tc>
          <w:tcPr>
            <w:tcW w:w="378" w:type="pct"/>
            <w:vAlign w:val="center"/>
          </w:tcPr>
          <w:p w14:paraId="36B7C7F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3726" w:type="pct"/>
            <w:vAlign w:val="center"/>
          </w:tcPr>
          <w:p w14:paraId="3078AC00">
            <w:pPr>
              <w:snapToGrid w:val="0"/>
              <w:spacing w:line="360" w:lineRule="auto"/>
              <w:rPr>
                <w:rFonts w:ascii="宋体" w:hAnsi="宋体" w:cs="宋体"/>
                <w:color w:val="auto"/>
                <w:sz w:val="24"/>
                <w:highlight w:val="none"/>
              </w:rPr>
            </w:pPr>
            <w:r>
              <w:rPr>
                <w:rFonts w:hint="eastAsia" w:ascii="宋体" w:hAnsi="宋体" w:cs="宋体"/>
                <w:color w:val="auto"/>
                <w:spacing w:val="-6"/>
                <w:sz w:val="24"/>
                <w:highlight w:val="none"/>
              </w:rPr>
              <w:t>投标人</w:t>
            </w:r>
            <w:r>
              <w:rPr>
                <w:rFonts w:hint="eastAsia" w:ascii="宋体" w:hAnsi="宋体" w:cs="宋体"/>
                <w:color w:val="auto"/>
                <w:sz w:val="24"/>
                <w:highlight w:val="none"/>
              </w:rPr>
              <w:t>对本项目的合理化建议和改进措施的合理、可行性。</w:t>
            </w:r>
          </w:p>
          <w:p w14:paraId="1E750F4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最高得3分，存在缺漏的酌情扣分，未提供不得分。</w:t>
            </w:r>
          </w:p>
          <w:p w14:paraId="1324F77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（评分范围：0，1，2，3）</w:t>
            </w:r>
          </w:p>
        </w:tc>
      </w:tr>
    </w:tbl>
    <w:p w14:paraId="510F890B">
      <w:pPr>
        <w:pStyle w:val="65"/>
        <w:ind w:firstLineChars="100"/>
        <w:rPr>
          <w:color w:val="auto"/>
          <w:highlight w:val="none"/>
        </w:rPr>
      </w:pPr>
    </w:p>
    <w:p w14:paraId="0AF45B66">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（二）价格部分（30分）</w:t>
      </w:r>
    </w:p>
    <w:p w14:paraId="37FB5715">
      <w:pPr>
        <w:pStyle w:val="26"/>
        <w:spacing w:line="360" w:lineRule="auto"/>
        <w:rPr>
          <w:rFonts w:cs="宋体"/>
          <w:bCs/>
          <w:color w:val="auto"/>
          <w:highlight w:val="none"/>
        </w:rPr>
      </w:pPr>
      <w:r>
        <w:rPr>
          <w:rFonts w:hint="eastAsia" w:cs="宋体"/>
          <w:bCs/>
          <w:color w:val="auto"/>
          <w:highlight w:val="none"/>
        </w:rPr>
        <w:t>价格分采用低价优先法计算，即满足采购文件要求且报价最低的报价为评审基准价，其价格分为满分。其他投标人的价格分按照下列公式计算：</w:t>
      </w:r>
    </w:p>
    <w:p w14:paraId="746B6C07">
      <w:pPr>
        <w:pStyle w:val="26"/>
        <w:spacing w:line="360" w:lineRule="auto"/>
        <w:rPr>
          <w:rFonts w:cs="宋体"/>
          <w:bCs/>
          <w:color w:val="auto"/>
          <w:highlight w:val="none"/>
        </w:rPr>
      </w:pPr>
      <w:r>
        <w:rPr>
          <w:rFonts w:hint="eastAsia" w:cs="宋体"/>
          <w:bCs/>
          <w:color w:val="auto"/>
          <w:highlight w:val="none"/>
        </w:rPr>
        <w:t>价格分=（评审基准价/报价）×30%×100</w:t>
      </w:r>
    </w:p>
    <w:p w14:paraId="1FC1244D">
      <w:pPr>
        <w:pStyle w:val="26"/>
        <w:spacing w:line="360" w:lineRule="auto"/>
        <w:rPr>
          <w:rFonts w:cs="宋体"/>
          <w:bCs/>
          <w:color w:val="auto"/>
          <w:highlight w:val="none"/>
        </w:rPr>
      </w:pPr>
      <w:r>
        <w:rPr>
          <w:rFonts w:hint="eastAsia" w:cs="宋体"/>
          <w:bCs/>
          <w:color w:val="auto"/>
          <w:highlight w:val="none"/>
        </w:rPr>
        <w:t>如评标委员会认为投标人的报价明显低于其他通过符合性审查投标人的报价，有可能影响产品质量或者不能诚信履约的，可要求其在评标现场合理的时间内提供书面说明，必要时提交相关证明材料；投标人不能证明其报价合理性的，评标委员会可将其作为无效投标处理。</w:t>
      </w:r>
    </w:p>
    <w:p w14:paraId="31A31CC0">
      <w:pPr>
        <w:pStyle w:val="26"/>
        <w:spacing w:line="360" w:lineRule="auto"/>
        <w:rPr>
          <w:rFonts w:cs="宋体"/>
          <w:bCs/>
          <w:color w:val="auto"/>
          <w:highlight w:val="none"/>
        </w:rPr>
      </w:pPr>
      <w:r>
        <w:rPr>
          <w:rFonts w:hint="eastAsia" w:cs="宋体"/>
          <w:bCs/>
          <w:color w:val="auto"/>
          <w:highlight w:val="none"/>
        </w:rPr>
        <w:t>评标过程中，不得去掉报价中的最高报价和最低报价。</w:t>
      </w:r>
    </w:p>
    <w:p w14:paraId="743AA570">
      <w:pPr>
        <w:pStyle w:val="26"/>
        <w:spacing w:line="360" w:lineRule="auto"/>
        <w:rPr>
          <w:rFonts w:cs="宋体"/>
          <w:bCs/>
          <w:color w:val="auto"/>
          <w:highlight w:val="none"/>
        </w:rPr>
      </w:pPr>
      <w:r>
        <w:rPr>
          <w:rFonts w:hint="eastAsia" w:cs="宋体"/>
          <w:bCs/>
          <w:color w:val="auto"/>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p w14:paraId="7AA94886">
      <w:pPr>
        <w:pStyle w:val="54"/>
        <w:rPr>
          <w:rFonts w:cs="仿宋_GB2312" w:asciiTheme="minorEastAsia" w:hAnsiTheme="minorEastAsia" w:eastAsiaTheme="minorEastAsia"/>
          <w:color w:val="auto"/>
          <w:highlight w:val="none"/>
        </w:rPr>
      </w:pPr>
      <w:r>
        <w:rPr>
          <w:rFonts w:hint="eastAsia" w:ascii="宋体" w:hAnsi="宋体" w:cs="宋体"/>
          <w:bCs/>
          <w:color w:val="auto"/>
          <w:highlight w:val="none"/>
        </w:rPr>
        <w:t>对于</w:t>
      </w:r>
      <w:r>
        <w:rPr>
          <w:rFonts w:hint="eastAsia" w:cs="仿宋_GB2312" w:asciiTheme="minorEastAsia" w:hAnsiTheme="minorEastAsia" w:eastAsiaTheme="minorEastAsia"/>
          <w:color w:val="auto"/>
          <w:highlight w:val="none"/>
        </w:rPr>
        <w:t>政府采购活动中既有本国产品又有非本国产品参与竞争的，依法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6A45B4">
      <w:pPr>
        <w:pStyle w:val="26"/>
        <w:spacing w:line="360" w:lineRule="auto"/>
        <w:rPr>
          <w:rFonts w:cs="宋体"/>
          <w:bCs/>
          <w:color w:val="auto"/>
          <w:highlight w:val="none"/>
        </w:rPr>
      </w:pPr>
      <w:r>
        <w:rPr>
          <w:rFonts w:hint="eastAsia" w:cs="仿宋_GB2312" w:asciiTheme="minorEastAsia" w:hAnsiTheme="minorEastAsia" w:eastAsiaTheme="minorEastAsia"/>
          <w:color w:val="auto"/>
          <w:szCs w:val="20"/>
          <w:highlight w:val="none"/>
        </w:rPr>
        <w:t>说明：</w:t>
      </w:r>
      <w:r>
        <w:rPr>
          <w:rFonts w:hint="eastAsia" w:cs="仿宋_GB2312" w:asciiTheme="minorEastAsia" w:hAnsiTheme="minorEastAsia" w:eastAsiaTheme="minorEastAsia"/>
          <w:color w:val="auto"/>
          <w:highlight w:val="none"/>
        </w:rPr>
        <w:t>本国产品除了享受20%的价格扣除外，还可以叠加小微企业的价格扣除优惠即商品报价*（小微企业扣除率+本国产品扣除率）</w:t>
      </w:r>
    </w:p>
    <w:p w14:paraId="19DDFD88">
      <w:pPr>
        <w:pStyle w:val="3"/>
        <w:rPr>
          <w:rFonts w:cs="宋体"/>
          <w:color w:val="auto"/>
          <w:highlight w:val="none"/>
        </w:rPr>
      </w:pPr>
      <w:bookmarkStart w:id="410" w:name="_Toc14639"/>
      <w:r>
        <w:rPr>
          <w:rFonts w:hint="eastAsia" w:cs="宋体"/>
          <w:color w:val="auto"/>
          <w:highlight w:val="none"/>
        </w:rPr>
        <w:t>三、评标程序</w:t>
      </w:r>
      <w:bookmarkEnd w:id="410"/>
    </w:p>
    <w:p w14:paraId="703E4F82">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3.1 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F3CFE53">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62D5DBA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3.3 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7C28F35">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3.4 报价评审。</w:t>
      </w:r>
    </w:p>
    <w:p w14:paraId="497D94BB">
      <w:pPr>
        <w:pStyle w:val="136"/>
        <w:spacing w:before="0"/>
        <w:ind w:firstLine="480"/>
        <w:rPr>
          <w:rFonts w:ascii="宋体" w:hAnsi="宋体" w:cs="宋体"/>
          <w:color w:val="auto"/>
          <w:kern w:val="0"/>
          <w:highlight w:val="none"/>
        </w:rPr>
      </w:pPr>
      <w:r>
        <w:rPr>
          <w:rFonts w:hint="eastAsia" w:ascii="宋体" w:hAnsi="宋体" w:cs="宋体"/>
          <w:color w:val="auto"/>
          <w:kern w:val="0"/>
          <w:highlight w:val="none"/>
        </w:rPr>
        <w:t>3.4.1 投标文件报价出现前后不一致的，按照下列规定修正：</w:t>
      </w:r>
    </w:p>
    <w:p w14:paraId="44C4E618">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 投标文件中开标一览表(报价表)内容与投标文件中相应内容不一致的，以开标一览表(报价表)为准;</w:t>
      </w:r>
    </w:p>
    <w:p w14:paraId="5C59A33E">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 大写金额和小写金额不一致的，以大写金额为准;</w:t>
      </w:r>
    </w:p>
    <w:p w14:paraId="5238B35A">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 单价金额小数点或者百分比有明显错位的，以开标一览表的总价为准，并修改单价;</w:t>
      </w:r>
    </w:p>
    <w:p w14:paraId="580E80F8">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 总价金额与按单价汇总金额不一致的，以单价金额计算结果为准。</w:t>
      </w:r>
    </w:p>
    <w:p w14:paraId="571018B6">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 同时出现两种以上不一致的，按照3.4.1规定的顺序修正。修正后的报价按照财政部第87号令 《政府采购货物和服务招标投标管理办法》第五十一条第二款的规定经投标人确认后产生约束力。</w:t>
      </w:r>
    </w:p>
    <w:p w14:paraId="69BBFBD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 投标文件出现不是唯一的、有选择性投标报价的，投标无效。</w:t>
      </w:r>
    </w:p>
    <w:p w14:paraId="1CF8856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 投标报价超过招标文件中规定的预算金额或者最高限价的，投标无效。</w:t>
      </w:r>
    </w:p>
    <w:p w14:paraId="34D9A7F0">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23DB082">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 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C5B5C48">
      <w:pPr>
        <w:pStyle w:val="54"/>
        <w:rPr>
          <w:rFonts w:cs="仿宋_GB2312" w:asciiTheme="minorEastAsia" w:hAnsiTheme="minorEastAsia" w:eastAsiaTheme="minorEastAsia"/>
          <w:color w:val="auto"/>
          <w:highlight w:val="none"/>
        </w:rPr>
      </w:pPr>
      <w:r>
        <w:rPr>
          <w:rFonts w:hint="eastAsia" w:ascii="宋体" w:hAnsi="宋体" w:cs="宋体"/>
          <w:color w:val="auto"/>
          <w:kern w:val="0"/>
          <w:szCs w:val="24"/>
          <w:highlight w:val="none"/>
        </w:rPr>
        <w:t xml:space="preserve">3.4.6 </w:t>
      </w:r>
      <w:r>
        <w:rPr>
          <w:rFonts w:hint="eastAsia" w:ascii="宋体" w:hAnsi="宋体" w:cs="宋体"/>
          <w:bCs/>
          <w:color w:val="auto"/>
          <w:highlight w:val="none"/>
        </w:rPr>
        <w:t>对于</w:t>
      </w:r>
      <w:r>
        <w:rPr>
          <w:rFonts w:hint="eastAsia" w:cs="仿宋_GB2312" w:asciiTheme="minorEastAsia" w:hAnsiTheme="minorEastAsia" w:eastAsiaTheme="minorEastAsia"/>
          <w:color w:val="auto"/>
          <w:highlight w:val="none"/>
        </w:rPr>
        <w:t>政府采购活动中既有本国产品又有非本国产品参与竞争的，依法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7ADCE6">
      <w:pPr>
        <w:pStyle w:val="26"/>
        <w:spacing w:line="360" w:lineRule="auto"/>
        <w:rPr>
          <w:rFonts w:cs="宋体"/>
          <w:bCs/>
          <w:color w:val="auto"/>
          <w:highlight w:val="none"/>
        </w:rPr>
      </w:pPr>
      <w:r>
        <w:rPr>
          <w:rFonts w:hint="eastAsia" w:cs="仿宋_GB2312" w:asciiTheme="minorEastAsia" w:hAnsiTheme="minorEastAsia" w:eastAsiaTheme="minorEastAsia"/>
          <w:color w:val="auto"/>
          <w:szCs w:val="20"/>
          <w:highlight w:val="none"/>
        </w:rPr>
        <w:t>说明：</w:t>
      </w:r>
      <w:r>
        <w:rPr>
          <w:rFonts w:hint="eastAsia" w:cs="仿宋_GB2312" w:asciiTheme="minorEastAsia" w:hAnsiTheme="minorEastAsia" w:eastAsiaTheme="minorEastAsia"/>
          <w:color w:val="auto"/>
          <w:highlight w:val="none"/>
        </w:rPr>
        <w:t>本国产品除了享受20%的价格扣除外，还可以叠加小微企业的价格扣除优惠即商品报价*（小微企业扣除率+本国产品扣除率）</w:t>
      </w:r>
    </w:p>
    <w:p w14:paraId="60F8CA98">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3.4.7 评审中出现下列情形之一的，评审委员会应当启动异常低价投标(响应)审查程序：</w:t>
      </w:r>
    </w:p>
    <w:p w14:paraId="7880F848">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4338540F">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089069C7">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3.投标(响应)报价低于采购项目最高限价45%的，即投标(响应)报价&lt;采购项目最高限价×45%;</w:t>
      </w:r>
    </w:p>
    <w:p w14:paraId="5618BBBE">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4.评审委员会基于专业判断，认为供应商报价过低，有可能影响产品质量或者不能诚信履约的其他情形。</w:t>
      </w:r>
    </w:p>
    <w:p w14:paraId="53824581">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3.4.8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F9F729C">
      <w:pPr>
        <w:pStyle w:val="136"/>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5FDEB00E">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 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B4DF8A">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5652E5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3.6 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3CA4EA1">
      <w:pPr>
        <w:widowControl/>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563B9BB">
      <w:pPr>
        <w:pStyle w:val="13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 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A496E53">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 投标无效。</w:t>
      </w:r>
      <w:r>
        <w:rPr>
          <w:rFonts w:hint="eastAsia" w:cs="宋体"/>
          <w:color w:val="auto"/>
          <w:szCs w:val="21"/>
          <w:highlight w:val="none"/>
        </w:rPr>
        <w:t>有下列情形之一的，投标无效：</w:t>
      </w:r>
    </w:p>
    <w:p w14:paraId="647D71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 投标人不具备招标文件中规定的资格要求的（投标人未提供有效的资格文件的，视为投标人不具备招标文件中规定的资格要求）；</w:t>
      </w:r>
    </w:p>
    <w:p w14:paraId="595507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 投标文件未按照招标文件要求签署、盖章的；</w:t>
      </w:r>
    </w:p>
    <w:p w14:paraId="4E9ABAC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 采购人拟采购的产品属于政府强制采购的节能产品品目清单范围的，投标人相应的投标产品未获得国家确定的认证机构出具的、处于有效期之内的节能产品认证证书的；</w:t>
      </w:r>
    </w:p>
    <w:p w14:paraId="37FE78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 投标文件含有采购人不能接受的附加条件的；</w:t>
      </w:r>
    </w:p>
    <w:p w14:paraId="6393BC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 投标文件中承诺的投标有效期少于招标文件中载明的投标有效期的；</w:t>
      </w:r>
    </w:p>
    <w:p w14:paraId="106742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4.2.6 投标文件出现不是唯一的、有选择性投标报价的;</w:t>
      </w:r>
    </w:p>
    <w:p w14:paraId="05F46DD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 投标报价超过招标文件中规定的预算金额或者最高限价的;</w:t>
      </w:r>
    </w:p>
    <w:p w14:paraId="0266EB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 评审委员会启动异常低价投标审查后，投标人不能提供书面说明、证明材料，或者提供的书面说明、证明材料不能证明其报价合理性的;</w:t>
      </w:r>
    </w:p>
    <w:p w14:paraId="31E652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 投标人对根据修正原则修正后的报价不确认的；</w:t>
      </w:r>
    </w:p>
    <w:p w14:paraId="76A76B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 投标人提供虚假材料投标的；</w:t>
      </w:r>
    </w:p>
    <w:p w14:paraId="32C0F3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4.2.11 投标人有恶意串通、妨碍其他投标人的竞争行为、损害采购人或者其他投标人的合法权益情形的。除政府采购法律法规规章规定的属于恶意串通、视为串通投标情形外，在不影响公平竞争的前提下，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B9822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 投标人仅提交备份投标文件，未在电子交易平台传输递交投标文件的，投标无效；</w:t>
      </w:r>
    </w:p>
    <w:p w14:paraId="066E20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 投标文件不满足招标文件的其它实质性要求的；</w:t>
      </w:r>
    </w:p>
    <w:p w14:paraId="2A8CAD3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 法律、法规、规章（适用本市的）及省级以上规范性文件（适用本市的）规定的其他无效情形。</w:t>
      </w:r>
    </w:p>
    <w:p w14:paraId="7EF043A8">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837E60A">
      <w:pPr>
        <w:pStyle w:val="26"/>
        <w:snapToGrid w:val="0"/>
        <w:spacing w:line="360" w:lineRule="auto"/>
        <w:rPr>
          <w:rFonts w:cs="宋体"/>
          <w:color w:val="auto"/>
          <w:highlight w:val="none"/>
        </w:rPr>
      </w:pPr>
      <w:r>
        <w:rPr>
          <w:rFonts w:hint="eastAsia" w:cs="宋体"/>
          <w:color w:val="auto"/>
          <w:highlight w:val="none"/>
        </w:rPr>
        <w:t>5.1 符合专业条件的供应商或者对招标文件作实质响应的供应商不足3家的；</w:t>
      </w:r>
    </w:p>
    <w:p w14:paraId="026713E8">
      <w:pPr>
        <w:pStyle w:val="26"/>
        <w:snapToGrid w:val="0"/>
        <w:spacing w:line="360" w:lineRule="auto"/>
        <w:rPr>
          <w:rFonts w:cs="宋体"/>
          <w:color w:val="auto"/>
          <w:highlight w:val="none"/>
        </w:rPr>
      </w:pPr>
      <w:r>
        <w:rPr>
          <w:rFonts w:hint="eastAsia" w:cs="宋体"/>
          <w:color w:val="auto"/>
          <w:highlight w:val="none"/>
        </w:rPr>
        <w:t>5.2 出现影响采购公正的违法、违规行为的；</w:t>
      </w:r>
    </w:p>
    <w:p w14:paraId="0FA01EE6">
      <w:pPr>
        <w:pStyle w:val="26"/>
        <w:snapToGrid w:val="0"/>
        <w:spacing w:line="360" w:lineRule="auto"/>
        <w:rPr>
          <w:rFonts w:cs="宋体"/>
          <w:color w:val="auto"/>
          <w:highlight w:val="none"/>
        </w:rPr>
      </w:pPr>
      <w:r>
        <w:rPr>
          <w:rFonts w:hint="eastAsia" w:cs="宋体"/>
          <w:color w:val="auto"/>
          <w:highlight w:val="none"/>
        </w:rPr>
        <w:t>5.3 投标人的报价均超过了采购预算，采购人不能支付的；</w:t>
      </w:r>
    </w:p>
    <w:p w14:paraId="546072D9">
      <w:pPr>
        <w:pStyle w:val="26"/>
        <w:snapToGrid w:val="0"/>
        <w:spacing w:line="360" w:lineRule="auto"/>
        <w:rPr>
          <w:rFonts w:cs="宋体"/>
          <w:color w:val="auto"/>
          <w:highlight w:val="none"/>
        </w:rPr>
      </w:pPr>
      <w:r>
        <w:rPr>
          <w:rFonts w:hint="eastAsia" w:cs="宋体"/>
          <w:color w:val="auto"/>
          <w:highlight w:val="none"/>
        </w:rPr>
        <w:t>5.4 因重大变故，采购任务取消的。</w:t>
      </w:r>
    </w:p>
    <w:p w14:paraId="70E4A0D5">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109417BB">
      <w:pPr>
        <w:pStyle w:val="26"/>
        <w:snapToGrid w:val="0"/>
        <w:spacing w:line="360" w:lineRule="auto"/>
        <w:ind w:firstLine="472" w:firstLineChars="196"/>
        <w:rPr>
          <w:rFonts w:cs="宋体"/>
          <w:b/>
          <w:color w:val="auto"/>
          <w:highlight w:val="none"/>
        </w:rPr>
      </w:pPr>
      <w:r>
        <w:rPr>
          <w:rFonts w:hint="eastAsia" w:cs="宋体"/>
          <w:b/>
          <w:color w:val="auto"/>
          <w:highlight w:val="none"/>
        </w:rPr>
        <w:t>6.修改招标文件，重新组织采购活动。</w:t>
      </w:r>
      <w:r>
        <w:rPr>
          <w:rFonts w:hint="eastAsia" w:cs="宋体"/>
          <w:bCs/>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FF9D606">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4AB9BDD">
      <w:pPr>
        <w:pStyle w:val="26"/>
        <w:snapToGrid w:val="0"/>
        <w:spacing w:line="360" w:lineRule="auto"/>
        <w:rPr>
          <w:rFonts w:cs="宋体"/>
          <w:color w:val="auto"/>
          <w:highlight w:val="none"/>
        </w:rPr>
      </w:pPr>
      <w:r>
        <w:rPr>
          <w:rFonts w:hint="eastAsia" w:cs="宋体"/>
          <w:color w:val="auto"/>
          <w:highlight w:val="none"/>
        </w:rPr>
        <w:t>7.1 未确定中标人的，终止本次政府采购活动，重新开展政府采购活动。</w:t>
      </w:r>
    </w:p>
    <w:p w14:paraId="5443C7DA">
      <w:pPr>
        <w:pStyle w:val="26"/>
        <w:snapToGrid w:val="0"/>
        <w:spacing w:line="360" w:lineRule="auto"/>
        <w:rPr>
          <w:rFonts w:cs="宋体"/>
          <w:color w:val="auto"/>
          <w:highlight w:val="none"/>
        </w:rPr>
      </w:pPr>
      <w:r>
        <w:rPr>
          <w:rFonts w:hint="eastAsia" w:cs="宋体"/>
          <w:color w:val="auto"/>
          <w:highlight w:val="none"/>
        </w:rPr>
        <w:t>7.2 已确定中标人但尚未签订政府采购合同的，中标结果无效，从合格的中标候选人中另行确定中标人；没有合格的中标候选人的，重新开展政府采购活动。</w:t>
      </w:r>
    </w:p>
    <w:p w14:paraId="250F971B">
      <w:pPr>
        <w:pStyle w:val="26"/>
        <w:snapToGrid w:val="0"/>
        <w:spacing w:line="360" w:lineRule="auto"/>
        <w:rPr>
          <w:rFonts w:cs="宋体"/>
          <w:color w:val="auto"/>
          <w:highlight w:val="none"/>
        </w:rPr>
      </w:pPr>
      <w:r>
        <w:rPr>
          <w:rFonts w:hint="eastAsia" w:cs="宋体"/>
          <w:color w:val="auto"/>
          <w:highlight w:val="none"/>
        </w:rPr>
        <w:t>7.3 政府采购合同已签订但尚未履行的，撤销合同，从合格的中标候选人中另行确定中标人；没有合格的中标候选人的，重新开展政府采购活动。</w:t>
      </w:r>
    </w:p>
    <w:p w14:paraId="1A7C4EB9">
      <w:pPr>
        <w:pStyle w:val="26"/>
        <w:snapToGrid w:val="0"/>
        <w:spacing w:line="360" w:lineRule="auto"/>
        <w:rPr>
          <w:rFonts w:cs="宋体"/>
          <w:color w:val="auto"/>
          <w:highlight w:val="none"/>
        </w:rPr>
      </w:pPr>
      <w:r>
        <w:rPr>
          <w:rFonts w:hint="eastAsia" w:cs="宋体"/>
          <w:color w:val="auto"/>
          <w:highlight w:val="none"/>
        </w:rPr>
        <w:t>7.4 政府采购合同已经履行，给采购人、供应商造成损失的，由责任人承担赔偿责任。</w:t>
      </w:r>
    </w:p>
    <w:bookmarkEnd w:id="39"/>
    <w:p w14:paraId="67AE9D84">
      <w:pPr>
        <w:pStyle w:val="26"/>
        <w:snapToGrid w:val="0"/>
        <w:spacing w:line="360" w:lineRule="auto"/>
        <w:rPr>
          <w:rFonts w:cs="宋体"/>
          <w:color w:val="auto"/>
          <w:highlight w:val="none"/>
        </w:rPr>
        <w:sectPr>
          <w:footerReference r:id="rId8" w:type="default"/>
          <w:pgSz w:w="11907" w:h="16840"/>
          <w:pgMar w:top="1440" w:right="1080" w:bottom="1440" w:left="1080" w:header="851" w:footer="851" w:gutter="0"/>
          <w:cols w:space="720" w:num="1"/>
        </w:sectPr>
      </w:pPr>
      <w:r>
        <w:rPr>
          <w:rFonts w:hint="eastAsia" w:cs="宋体"/>
          <w:color w:val="auto"/>
          <w:highlight w:val="none"/>
        </w:rPr>
        <w:t>7.5 政府采购当事人有其他违反政府采购法或者政府采购法实施条例等法律法规规定的行为，经改正后仍然影响或者可能影响中标结果或者依法被认定为中标无效的，依照7.1-7.4规定处理。</w:t>
      </w:r>
    </w:p>
    <w:bookmarkEnd w:id="407"/>
    <w:p w14:paraId="56A6C7D9">
      <w:pPr>
        <w:pStyle w:val="2"/>
        <w:rPr>
          <w:rFonts w:ascii="宋体" w:hAnsi="宋体" w:cs="宋体"/>
          <w:color w:val="auto"/>
          <w:highlight w:val="none"/>
        </w:rPr>
      </w:pPr>
      <w:bookmarkStart w:id="411" w:name="_Toc5183"/>
      <w:bookmarkStart w:id="412" w:name="第五部分"/>
      <w:bookmarkStart w:id="413" w:name="_Toc86217003"/>
      <w:r>
        <w:rPr>
          <w:rFonts w:hint="eastAsia" w:ascii="宋体" w:hAnsi="宋体" w:cs="宋体"/>
          <w:color w:val="auto"/>
          <w:highlight w:val="none"/>
        </w:rPr>
        <w:t>第五部分 拟签订的合同文本</w:t>
      </w:r>
      <w:bookmarkEnd w:id="411"/>
    </w:p>
    <w:p w14:paraId="37DC08C0">
      <w:pPr>
        <w:pStyle w:val="34"/>
        <w:snapToGrid w:val="0"/>
        <w:spacing w:line="460" w:lineRule="exact"/>
        <w:rPr>
          <w:rFonts w:hAnsi="宋体" w:cs="宋体"/>
          <w:color w:val="auto"/>
          <w:highlight w:val="none"/>
        </w:rPr>
      </w:pPr>
      <w:r>
        <w:rPr>
          <w:rFonts w:hint="eastAsia" w:hAnsi="宋体" w:cs="宋体"/>
          <w:color w:val="auto"/>
          <w:highlight w:val="none"/>
        </w:rPr>
        <w:t>项目名称：                                     项目编号：</w:t>
      </w:r>
    </w:p>
    <w:p w14:paraId="46AE9358">
      <w:pPr>
        <w:pStyle w:val="34"/>
        <w:snapToGrid w:val="0"/>
        <w:spacing w:line="460" w:lineRule="exact"/>
        <w:rPr>
          <w:rFonts w:hAnsi="宋体" w:cs="宋体"/>
          <w:color w:val="auto"/>
          <w:highlight w:val="none"/>
        </w:rPr>
      </w:pPr>
      <w:r>
        <w:rPr>
          <w:rFonts w:hint="eastAsia" w:hAnsi="宋体" w:cs="宋体"/>
          <w:color w:val="auto"/>
          <w:highlight w:val="none"/>
        </w:rPr>
        <w:t>甲方：（买方）</w:t>
      </w:r>
    </w:p>
    <w:p w14:paraId="495FBFCF">
      <w:pPr>
        <w:pStyle w:val="34"/>
        <w:snapToGrid w:val="0"/>
        <w:spacing w:line="460" w:lineRule="exact"/>
        <w:rPr>
          <w:rFonts w:hAnsi="宋体" w:cs="宋体"/>
          <w:color w:val="auto"/>
          <w:highlight w:val="none"/>
        </w:rPr>
      </w:pPr>
      <w:r>
        <w:rPr>
          <w:rFonts w:hint="eastAsia" w:hAnsi="宋体" w:cs="宋体"/>
          <w:color w:val="auto"/>
          <w:highlight w:val="none"/>
        </w:rPr>
        <w:t>乙方：（卖方）</w:t>
      </w:r>
    </w:p>
    <w:p w14:paraId="4FACCBCF">
      <w:pPr>
        <w:pStyle w:val="34"/>
        <w:snapToGrid w:val="0"/>
        <w:spacing w:line="460" w:lineRule="exact"/>
        <w:rPr>
          <w:rFonts w:hAnsi="宋体" w:cs="宋体"/>
          <w:color w:val="auto"/>
          <w:highlight w:val="none"/>
        </w:rPr>
      </w:pPr>
      <w:r>
        <w:rPr>
          <w:rFonts w:hint="eastAsia" w:hAnsi="宋体" w:cs="宋体"/>
          <w:color w:val="auto"/>
          <w:highlight w:val="none"/>
        </w:rPr>
        <w:t xml:space="preserve">甲、乙双方根据 </w:t>
      </w:r>
      <w:r>
        <w:rPr>
          <w:rFonts w:hint="eastAsia" w:hAnsi="宋体" w:cs="宋体"/>
          <w:color w:val="auto"/>
          <w:highlight w:val="none"/>
          <w:u w:val="single"/>
        </w:rPr>
        <w:t xml:space="preserve">                                         </w:t>
      </w:r>
      <w:r>
        <w:rPr>
          <w:rFonts w:hint="eastAsia" w:hAnsi="宋体" w:cs="宋体"/>
          <w:color w:val="auto"/>
          <w:highlight w:val="none"/>
        </w:rPr>
        <w:t>的结果，签署本合同。</w:t>
      </w:r>
    </w:p>
    <w:p w14:paraId="24752EC5">
      <w:pPr>
        <w:pStyle w:val="34"/>
        <w:snapToGrid w:val="0"/>
        <w:spacing w:line="460" w:lineRule="exact"/>
        <w:rPr>
          <w:rFonts w:hAnsi="宋体" w:cs="宋体"/>
          <w:color w:val="auto"/>
          <w:highlight w:val="none"/>
        </w:rPr>
      </w:pPr>
      <w:r>
        <w:rPr>
          <w:rFonts w:hint="eastAsia" w:hAnsi="宋体" w:cs="宋体"/>
          <w:color w:val="auto"/>
          <w:highlight w:val="none"/>
        </w:rPr>
        <w:t>一、项目内容</w:t>
      </w:r>
    </w:p>
    <w:p w14:paraId="44E74B60">
      <w:pPr>
        <w:pStyle w:val="56"/>
        <w:rPr>
          <w:rFonts w:ascii="宋体" w:hAnsi="宋体" w:cs="宋体"/>
          <w:color w:val="auto"/>
          <w:highlight w:val="none"/>
        </w:rPr>
      </w:pPr>
    </w:p>
    <w:p w14:paraId="5A077070">
      <w:pPr>
        <w:pStyle w:val="34"/>
        <w:snapToGrid w:val="0"/>
        <w:spacing w:line="460" w:lineRule="exact"/>
        <w:rPr>
          <w:rFonts w:hAnsi="宋体" w:cs="宋体"/>
          <w:color w:val="auto"/>
          <w:highlight w:val="none"/>
        </w:rPr>
      </w:pPr>
      <w:r>
        <w:rPr>
          <w:rFonts w:hint="eastAsia" w:hAnsi="宋体" w:cs="宋体"/>
          <w:color w:val="auto"/>
          <w:highlight w:val="none"/>
        </w:rPr>
        <w:t>二、合同金额</w:t>
      </w:r>
    </w:p>
    <w:p w14:paraId="77694A79">
      <w:pPr>
        <w:pStyle w:val="34"/>
        <w:snapToGrid w:val="0"/>
        <w:spacing w:line="460" w:lineRule="exact"/>
        <w:rPr>
          <w:rFonts w:hAnsi="宋体" w:cs="宋体"/>
          <w:color w:val="auto"/>
          <w:highlight w:val="none"/>
        </w:rPr>
      </w:pPr>
      <w:r>
        <w:rPr>
          <w:rFonts w:hint="eastAsia" w:hAnsi="宋体" w:cs="宋体"/>
          <w:color w:val="auto"/>
          <w:highlight w:val="none"/>
        </w:rPr>
        <w:t>本合同金额为（大写）：_______________________________元（￥__________元）人</w:t>
      </w:r>
    </w:p>
    <w:p w14:paraId="2EA4D4EE">
      <w:pPr>
        <w:pStyle w:val="34"/>
        <w:snapToGrid w:val="0"/>
        <w:spacing w:line="460" w:lineRule="exact"/>
        <w:rPr>
          <w:rFonts w:hAnsi="宋体" w:cs="宋体"/>
          <w:color w:val="auto"/>
          <w:highlight w:val="none"/>
        </w:rPr>
      </w:pPr>
      <w:r>
        <w:rPr>
          <w:rFonts w:hint="eastAsia" w:hAnsi="宋体" w:cs="宋体"/>
          <w:color w:val="auto"/>
          <w:highlight w:val="none"/>
        </w:rPr>
        <w:t>三、技术资料</w:t>
      </w:r>
    </w:p>
    <w:p w14:paraId="0E99C380">
      <w:pPr>
        <w:pStyle w:val="34"/>
        <w:snapToGrid w:val="0"/>
        <w:spacing w:line="460" w:lineRule="exact"/>
        <w:ind w:left="359" w:hanging="359" w:hangingChars="171"/>
        <w:rPr>
          <w:rFonts w:hAnsi="宋体" w:cs="宋体"/>
          <w:color w:val="auto"/>
          <w:highlight w:val="none"/>
        </w:rPr>
      </w:pPr>
      <w:r>
        <w:rPr>
          <w:rFonts w:hint="eastAsia" w:hAnsi="宋体" w:cs="宋体"/>
          <w:color w:val="auto"/>
          <w:highlight w:val="none"/>
        </w:rPr>
        <w:t>1.乙方应按招标文件规定的时间向甲方提供有关技术资料。</w:t>
      </w:r>
    </w:p>
    <w:p w14:paraId="66AE3E7A">
      <w:pPr>
        <w:pStyle w:val="34"/>
        <w:snapToGrid w:val="0"/>
        <w:spacing w:line="460" w:lineRule="exact"/>
        <w:rPr>
          <w:rFonts w:hAnsi="宋体" w:cs="宋体"/>
          <w:color w:val="auto"/>
          <w:highlight w:val="none"/>
        </w:rPr>
      </w:pPr>
      <w:r>
        <w:rPr>
          <w:rFonts w:hint="eastAsia" w:hAnsi="宋体" w:cs="宋体"/>
          <w:color w:val="auto"/>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78FF39C">
      <w:pPr>
        <w:pStyle w:val="34"/>
        <w:snapToGrid w:val="0"/>
        <w:spacing w:line="460" w:lineRule="exact"/>
        <w:ind w:left="359" w:hanging="359" w:hangingChars="171"/>
        <w:rPr>
          <w:rFonts w:hAnsi="宋体" w:cs="宋体"/>
          <w:color w:val="auto"/>
          <w:highlight w:val="none"/>
        </w:rPr>
      </w:pPr>
      <w:r>
        <w:rPr>
          <w:rFonts w:hint="eastAsia" w:hAnsi="宋体" w:cs="宋体"/>
          <w:color w:val="auto"/>
          <w:highlight w:val="none"/>
        </w:rPr>
        <w:t>四、知识产权</w:t>
      </w:r>
    </w:p>
    <w:p w14:paraId="296731C3">
      <w:pPr>
        <w:pStyle w:val="34"/>
        <w:snapToGrid w:val="0"/>
        <w:spacing w:line="460" w:lineRule="exact"/>
        <w:ind w:left="359" w:hanging="359" w:hangingChars="171"/>
        <w:rPr>
          <w:rFonts w:hAnsi="宋体" w:cs="宋体"/>
          <w:bCs/>
          <w:color w:val="auto"/>
          <w:highlight w:val="none"/>
        </w:rPr>
      </w:pPr>
      <w:r>
        <w:rPr>
          <w:rFonts w:hint="eastAsia" w:hAnsi="宋体" w:cs="宋体"/>
          <w:color w:val="auto"/>
          <w:highlight w:val="none"/>
        </w:rPr>
        <w:t>乙方应保证提供服务过程中不会侵犯任何第三方的知识产权</w:t>
      </w:r>
      <w:r>
        <w:rPr>
          <w:rFonts w:hint="eastAsia" w:hAnsi="宋体" w:cs="宋体"/>
          <w:bCs/>
          <w:color w:val="auto"/>
          <w:highlight w:val="none"/>
        </w:rPr>
        <w:t>。</w:t>
      </w:r>
    </w:p>
    <w:p w14:paraId="3DC83A74">
      <w:pPr>
        <w:pStyle w:val="34"/>
        <w:snapToGrid w:val="0"/>
        <w:spacing w:line="460" w:lineRule="exact"/>
        <w:ind w:left="357" w:hanging="357" w:hangingChars="170"/>
        <w:rPr>
          <w:rFonts w:hAnsi="宋体" w:cs="宋体"/>
          <w:color w:val="auto"/>
          <w:highlight w:val="none"/>
        </w:rPr>
      </w:pPr>
      <w:r>
        <w:rPr>
          <w:rFonts w:hint="eastAsia" w:hAnsi="宋体" w:cs="宋体"/>
          <w:color w:val="auto"/>
          <w:highlight w:val="none"/>
        </w:rPr>
        <w:t>五、履约保证金</w:t>
      </w:r>
    </w:p>
    <w:p w14:paraId="32D92C18">
      <w:pPr>
        <w:pStyle w:val="34"/>
        <w:snapToGrid w:val="0"/>
        <w:spacing w:line="460" w:lineRule="exact"/>
        <w:ind w:left="357" w:hanging="357" w:hangingChars="170"/>
        <w:rPr>
          <w:rFonts w:hAnsi="宋体" w:cs="宋体"/>
          <w:color w:val="auto"/>
          <w:highlight w:val="none"/>
        </w:rPr>
      </w:pPr>
      <w:r>
        <w:rPr>
          <w:rFonts w:hint="eastAsia" w:hAnsi="宋体" w:cs="宋体"/>
          <w:color w:val="auto"/>
          <w:highlight w:val="none"/>
        </w:rPr>
        <w:t>乙方交纳人民币</w:t>
      </w:r>
      <w:r>
        <w:rPr>
          <w:rFonts w:hint="eastAsia" w:hAnsi="宋体" w:cs="宋体"/>
          <w:color w:val="auto"/>
          <w:highlight w:val="none"/>
          <w:u w:val="single"/>
        </w:rPr>
        <w:t xml:space="preserve">  </w:t>
      </w:r>
      <w:r>
        <w:rPr>
          <w:rFonts w:hint="eastAsia" w:hAnsi="宋体" w:cs="宋体"/>
          <w:color w:val="auto"/>
          <w:highlight w:val="none"/>
        </w:rPr>
        <w:t>元作为本合同的履约保证金。</w:t>
      </w:r>
    </w:p>
    <w:p w14:paraId="1EF530B3">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六、转包或分包</w:t>
      </w:r>
    </w:p>
    <w:p w14:paraId="53E2C113">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1.本合同范围的服务，应由乙方直接供应，不得转让他人供应；</w:t>
      </w:r>
    </w:p>
    <w:p w14:paraId="21B7C839">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2.除非得到甲方的书面同意，乙方不得将本合同范围的服务全部或部分分包给他人供应；</w:t>
      </w:r>
    </w:p>
    <w:p w14:paraId="2954719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3.如有转让和未经甲方同意的分包行为，甲方有权解除合同，没收履约保证金并追究乙方的违约责任。</w:t>
      </w:r>
    </w:p>
    <w:p w14:paraId="3263C7A2">
      <w:pPr>
        <w:pStyle w:val="34"/>
        <w:snapToGrid w:val="0"/>
        <w:spacing w:line="460" w:lineRule="exact"/>
        <w:rPr>
          <w:rFonts w:hAnsi="宋体" w:cs="宋体"/>
          <w:color w:val="auto"/>
          <w:highlight w:val="none"/>
        </w:rPr>
      </w:pPr>
      <w:r>
        <w:rPr>
          <w:rFonts w:hint="eastAsia" w:hAnsi="宋体" w:cs="宋体"/>
          <w:color w:val="auto"/>
          <w:highlight w:val="none"/>
        </w:rPr>
        <w:t>七、合同履行时间、履行方式及履行地点</w:t>
      </w:r>
    </w:p>
    <w:p w14:paraId="4F906624">
      <w:pPr>
        <w:pStyle w:val="34"/>
        <w:snapToGrid w:val="0"/>
        <w:spacing w:line="460" w:lineRule="exact"/>
        <w:rPr>
          <w:rFonts w:hAnsi="宋体" w:cs="宋体"/>
          <w:bCs/>
          <w:color w:val="auto"/>
          <w:highlight w:val="none"/>
        </w:rPr>
      </w:pPr>
      <w:r>
        <w:rPr>
          <w:rFonts w:hint="eastAsia" w:hAnsi="宋体" w:cs="宋体"/>
          <w:bCs/>
          <w:color w:val="auto"/>
          <w:highlight w:val="none"/>
        </w:rPr>
        <w:t xml:space="preserve">1. </w:t>
      </w:r>
      <w:r>
        <w:rPr>
          <w:rFonts w:hint="eastAsia" w:hAnsi="宋体" w:cs="宋体"/>
          <w:color w:val="auto"/>
          <w:highlight w:val="none"/>
        </w:rPr>
        <w:t>履行时间</w:t>
      </w:r>
      <w:r>
        <w:rPr>
          <w:rFonts w:hint="eastAsia" w:hAnsi="宋体" w:cs="宋体"/>
          <w:bCs/>
          <w:color w:val="auto"/>
          <w:highlight w:val="none"/>
        </w:rPr>
        <w:t>：</w:t>
      </w:r>
    </w:p>
    <w:p w14:paraId="5C672685">
      <w:pPr>
        <w:pStyle w:val="34"/>
        <w:snapToGrid w:val="0"/>
        <w:spacing w:line="460" w:lineRule="exact"/>
        <w:rPr>
          <w:rFonts w:hAnsi="宋体" w:cs="宋体"/>
          <w:bCs/>
          <w:color w:val="auto"/>
          <w:highlight w:val="none"/>
        </w:rPr>
      </w:pPr>
      <w:r>
        <w:rPr>
          <w:rFonts w:hint="eastAsia" w:hAnsi="宋体" w:cs="宋体"/>
          <w:bCs/>
          <w:color w:val="auto"/>
          <w:highlight w:val="none"/>
        </w:rPr>
        <w:t xml:space="preserve">2. </w:t>
      </w:r>
      <w:r>
        <w:rPr>
          <w:rFonts w:hint="eastAsia" w:hAnsi="宋体" w:cs="宋体"/>
          <w:color w:val="auto"/>
          <w:highlight w:val="none"/>
        </w:rPr>
        <w:t>履行方式</w:t>
      </w:r>
      <w:r>
        <w:rPr>
          <w:rFonts w:hint="eastAsia" w:hAnsi="宋体" w:cs="宋体"/>
          <w:bCs/>
          <w:color w:val="auto"/>
          <w:highlight w:val="none"/>
        </w:rPr>
        <w:t>：</w:t>
      </w:r>
    </w:p>
    <w:p w14:paraId="3A230B58">
      <w:pPr>
        <w:pStyle w:val="34"/>
        <w:snapToGrid w:val="0"/>
        <w:spacing w:line="460" w:lineRule="exact"/>
        <w:rPr>
          <w:rFonts w:hAnsi="宋体" w:cs="宋体"/>
          <w:bCs/>
          <w:color w:val="auto"/>
          <w:highlight w:val="none"/>
        </w:rPr>
      </w:pPr>
      <w:r>
        <w:rPr>
          <w:rFonts w:hint="eastAsia" w:hAnsi="宋体" w:cs="宋体"/>
          <w:bCs/>
          <w:color w:val="auto"/>
          <w:highlight w:val="none"/>
        </w:rPr>
        <w:t xml:space="preserve">3. </w:t>
      </w:r>
      <w:r>
        <w:rPr>
          <w:rFonts w:hint="eastAsia" w:hAnsi="宋体" w:cs="宋体"/>
          <w:color w:val="auto"/>
          <w:highlight w:val="none"/>
        </w:rPr>
        <w:t>履行地点</w:t>
      </w:r>
      <w:r>
        <w:rPr>
          <w:rFonts w:hint="eastAsia" w:hAnsi="宋体" w:cs="宋体"/>
          <w:bCs/>
          <w:color w:val="auto"/>
          <w:highlight w:val="none"/>
        </w:rPr>
        <w:t>：</w:t>
      </w:r>
    </w:p>
    <w:p w14:paraId="767F4D2E">
      <w:pPr>
        <w:pStyle w:val="34"/>
        <w:snapToGrid w:val="0"/>
        <w:spacing w:line="460" w:lineRule="exact"/>
        <w:rPr>
          <w:rFonts w:hAnsi="宋体" w:cs="宋体"/>
          <w:color w:val="auto"/>
          <w:highlight w:val="none"/>
        </w:rPr>
      </w:pPr>
      <w:r>
        <w:rPr>
          <w:rFonts w:hint="eastAsia" w:hAnsi="宋体" w:cs="宋体"/>
          <w:color w:val="auto"/>
          <w:highlight w:val="none"/>
        </w:rPr>
        <w:t>八、款项支付</w:t>
      </w:r>
    </w:p>
    <w:p w14:paraId="52776CCC">
      <w:pPr>
        <w:pStyle w:val="34"/>
        <w:snapToGrid w:val="0"/>
        <w:spacing w:line="460" w:lineRule="exact"/>
        <w:ind w:firstLine="315" w:firstLineChars="150"/>
        <w:rPr>
          <w:rFonts w:hAnsi="宋体" w:cs="宋体"/>
          <w:bCs/>
          <w:color w:val="auto"/>
          <w:highlight w:val="none"/>
        </w:rPr>
      </w:pPr>
      <w:r>
        <w:rPr>
          <w:rFonts w:hint="eastAsia" w:hAnsi="宋体" w:cs="宋体"/>
          <w:bCs/>
          <w:color w:val="auto"/>
          <w:highlight w:val="none"/>
        </w:rPr>
        <w:t xml:space="preserve"> 付款方式：</w:t>
      </w:r>
    </w:p>
    <w:p w14:paraId="644A576F">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九、税费</w:t>
      </w:r>
    </w:p>
    <w:p w14:paraId="6C329D41">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43ACF290">
      <w:pPr>
        <w:pStyle w:val="34"/>
        <w:snapToGrid w:val="0"/>
        <w:spacing w:line="460" w:lineRule="exact"/>
        <w:ind w:left="359" w:hanging="359" w:hangingChars="171"/>
        <w:rPr>
          <w:rFonts w:hAnsi="宋体" w:cs="宋体"/>
          <w:color w:val="auto"/>
          <w:highlight w:val="none"/>
        </w:rPr>
      </w:pPr>
      <w:r>
        <w:rPr>
          <w:rFonts w:hint="eastAsia" w:hAnsi="宋体" w:cs="宋体"/>
          <w:color w:val="auto"/>
          <w:highlight w:val="none"/>
        </w:rPr>
        <w:t>十、质量保证及后续服务</w:t>
      </w:r>
    </w:p>
    <w:p w14:paraId="7344AC44">
      <w:pPr>
        <w:pStyle w:val="34"/>
        <w:snapToGrid w:val="0"/>
        <w:spacing w:line="460" w:lineRule="exact"/>
        <w:ind w:left="359" w:hanging="359" w:hangingChars="171"/>
        <w:rPr>
          <w:rFonts w:hAnsi="宋体" w:cs="宋体"/>
          <w:color w:val="auto"/>
          <w:highlight w:val="none"/>
        </w:rPr>
      </w:pPr>
      <w:r>
        <w:rPr>
          <w:rFonts w:hint="eastAsia" w:hAnsi="宋体" w:cs="宋体"/>
          <w:color w:val="auto"/>
          <w:highlight w:val="none"/>
        </w:rPr>
        <w:t>1． 乙方应按招标文件规定向甲方提供服务。</w:t>
      </w:r>
    </w:p>
    <w:p w14:paraId="2FEFF951">
      <w:pPr>
        <w:pStyle w:val="34"/>
        <w:snapToGrid w:val="0"/>
        <w:spacing w:line="460" w:lineRule="exact"/>
        <w:ind w:left="420" w:hanging="420" w:hangingChars="200"/>
        <w:rPr>
          <w:rFonts w:hAnsi="宋体" w:cs="宋体"/>
          <w:color w:val="auto"/>
          <w:highlight w:val="none"/>
        </w:rPr>
      </w:pPr>
      <w:r>
        <w:rPr>
          <w:rFonts w:hint="eastAsia" w:hAnsi="宋体" w:cs="宋体"/>
          <w:color w:val="auto"/>
          <w:highlight w:val="none"/>
        </w:rPr>
        <w:t>2． 乙方提供的服务成果在服务质量保证期内发生故障，乙方应负责免费提供后续服务。对达不到要求者，根据实际情况，经双方协商，可按以下办法处理：</w:t>
      </w:r>
    </w:p>
    <w:p w14:paraId="3D65EE72">
      <w:pPr>
        <w:pStyle w:val="34"/>
        <w:snapToGrid w:val="0"/>
        <w:spacing w:line="460" w:lineRule="exact"/>
        <w:ind w:firstLine="420"/>
        <w:rPr>
          <w:rFonts w:hAnsi="宋体" w:cs="宋体"/>
          <w:color w:val="auto"/>
          <w:highlight w:val="none"/>
        </w:rPr>
      </w:pPr>
      <w:r>
        <w:rPr>
          <w:rFonts w:hint="eastAsia" w:hAnsi="宋体" w:cs="宋体"/>
          <w:color w:val="auto"/>
          <w:highlight w:val="none"/>
        </w:rPr>
        <w:t>⑴重做：由乙方承担所发生的全部费用。</w:t>
      </w:r>
    </w:p>
    <w:p w14:paraId="5AF7137A">
      <w:pPr>
        <w:pStyle w:val="34"/>
        <w:snapToGrid w:val="0"/>
        <w:spacing w:line="460" w:lineRule="exact"/>
        <w:ind w:firstLine="420"/>
        <w:rPr>
          <w:rFonts w:hAnsi="宋体" w:cs="宋体"/>
          <w:color w:val="auto"/>
          <w:highlight w:val="none"/>
        </w:rPr>
      </w:pPr>
      <w:r>
        <w:rPr>
          <w:rFonts w:hint="eastAsia" w:hAnsi="宋体" w:cs="宋体"/>
          <w:color w:val="auto"/>
          <w:highlight w:val="none"/>
        </w:rPr>
        <w:t>⑵贬值处理：由甲乙双方合议定价。</w:t>
      </w:r>
    </w:p>
    <w:p w14:paraId="3318F8DB">
      <w:pPr>
        <w:pStyle w:val="34"/>
        <w:snapToGrid w:val="0"/>
        <w:spacing w:line="460" w:lineRule="exact"/>
        <w:ind w:left="420" w:leftChars="200"/>
        <w:rPr>
          <w:rFonts w:hAnsi="宋体" w:cs="宋体"/>
          <w:color w:val="auto"/>
          <w:highlight w:val="none"/>
        </w:rPr>
      </w:pPr>
      <w:r>
        <w:rPr>
          <w:rFonts w:hint="eastAsia" w:hAnsi="宋体" w:cs="宋体"/>
          <w:color w:val="auto"/>
          <w:highlight w:val="none"/>
        </w:rPr>
        <w:t>⑶解除合同。</w:t>
      </w:r>
    </w:p>
    <w:p w14:paraId="52562F84">
      <w:pPr>
        <w:pStyle w:val="34"/>
        <w:snapToGrid w:val="0"/>
        <w:spacing w:line="460" w:lineRule="exact"/>
        <w:rPr>
          <w:rFonts w:hAnsi="宋体" w:cs="宋体"/>
          <w:color w:val="auto"/>
          <w:highlight w:val="none"/>
        </w:rPr>
      </w:pPr>
      <w:r>
        <w:rPr>
          <w:rFonts w:hint="eastAsia" w:hAnsi="宋体" w:cs="宋体"/>
          <w:color w:val="auto"/>
          <w:highlight w:val="none"/>
        </w:rPr>
        <w:t>3．如在使用过程中发生问题，乙方在接到甲方通知后在48小时内到达甲方现场。</w:t>
      </w:r>
    </w:p>
    <w:p w14:paraId="7FFE5EC7">
      <w:pPr>
        <w:pStyle w:val="34"/>
        <w:snapToGrid w:val="0"/>
        <w:spacing w:line="460" w:lineRule="exact"/>
        <w:rPr>
          <w:rFonts w:hAnsi="宋体" w:cs="宋体"/>
          <w:color w:val="auto"/>
          <w:highlight w:val="none"/>
        </w:rPr>
      </w:pPr>
      <w:r>
        <w:rPr>
          <w:rFonts w:hint="eastAsia" w:hAnsi="宋体" w:cs="宋体"/>
          <w:color w:val="auto"/>
          <w:highlight w:val="none"/>
        </w:rPr>
        <w:t>4．在服务质量保证期内，乙方应对出现的质量及安全问题负责处理解决并承担一切费用。</w:t>
      </w:r>
    </w:p>
    <w:p w14:paraId="4670E9C3">
      <w:pPr>
        <w:pStyle w:val="34"/>
        <w:snapToGrid w:val="0"/>
        <w:spacing w:line="460" w:lineRule="exact"/>
        <w:rPr>
          <w:rFonts w:hAnsi="宋体" w:cs="宋体"/>
          <w:color w:val="auto"/>
          <w:highlight w:val="none"/>
        </w:rPr>
      </w:pPr>
      <w:r>
        <w:rPr>
          <w:rFonts w:hint="eastAsia" w:hAnsi="宋体" w:cs="宋体"/>
          <w:color w:val="auto"/>
          <w:highlight w:val="none"/>
        </w:rPr>
        <w:t>5．合同到期后，根据学校预算安排和采购需求，视供应商服务质量，可续签一年。</w:t>
      </w:r>
    </w:p>
    <w:p w14:paraId="1FF9C0D8">
      <w:pPr>
        <w:pStyle w:val="34"/>
        <w:snapToGrid w:val="0"/>
        <w:spacing w:line="460" w:lineRule="exact"/>
        <w:rPr>
          <w:rFonts w:hAnsi="宋体" w:cs="宋体"/>
          <w:color w:val="auto"/>
          <w:highlight w:val="none"/>
        </w:rPr>
      </w:pPr>
      <w:r>
        <w:rPr>
          <w:rFonts w:hint="eastAsia" w:hAnsi="宋体" w:cs="宋体"/>
          <w:color w:val="auto"/>
          <w:highlight w:val="none"/>
        </w:rPr>
        <w:t>十一、违约责任</w:t>
      </w:r>
    </w:p>
    <w:p w14:paraId="611D0C7A">
      <w:pPr>
        <w:pStyle w:val="34"/>
        <w:snapToGrid w:val="0"/>
        <w:spacing w:line="460" w:lineRule="exact"/>
        <w:ind w:left="359" w:hanging="359" w:hangingChars="171"/>
        <w:rPr>
          <w:rFonts w:hAnsi="宋体" w:cs="宋体"/>
          <w:color w:val="auto"/>
          <w:highlight w:val="none"/>
        </w:rPr>
      </w:pPr>
      <w:r>
        <w:rPr>
          <w:rFonts w:hint="eastAsia" w:hAnsi="宋体" w:cs="宋体"/>
          <w:color w:val="auto"/>
          <w:highlight w:val="none"/>
        </w:rPr>
        <w:t>1．甲方无正当理由拒收接受服务的，甲方向乙方偿付合同款项百分之五作为违约金。</w:t>
      </w:r>
    </w:p>
    <w:p w14:paraId="6E773ACC">
      <w:pPr>
        <w:pStyle w:val="34"/>
        <w:snapToGrid w:val="0"/>
        <w:spacing w:line="460" w:lineRule="exact"/>
        <w:rPr>
          <w:rFonts w:hAnsi="宋体" w:cs="宋体"/>
          <w:color w:val="auto"/>
          <w:highlight w:val="none"/>
        </w:rPr>
      </w:pPr>
      <w:r>
        <w:rPr>
          <w:rFonts w:hint="eastAsia" w:hAnsi="宋体" w:cs="宋体"/>
          <w:color w:val="auto"/>
          <w:highlight w:val="none"/>
        </w:rPr>
        <w:t>2．甲方无故逾期验收和办理款项支付手续的,甲方应按逾期付款总额每日万分之五向乙方支付违约金。</w:t>
      </w:r>
    </w:p>
    <w:p w14:paraId="75053D29">
      <w:pPr>
        <w:pStyle w:val="34"/>
        <w:snapToGrid w:val="0"/>
        <w:spacing w:line="460" w:lineRule="exact"/>
        <w:rPr>
          <w:rFonts w:hAnsi="宋体" w:cs="宋体"/>
          <w:color w:val="auto"/>
          <w:highlight w:val="none"/>
        </w:rPr>
      </w:pPr>
      <w:r>
        <w:rPr>
          <w:rFonts w:hint="eastAsia" w:hAnsi="宋体" w:cs="宋体"/>
          <w:color w:val="auto"/>
          <w:highlight w:val="none"/>
        </w:rPr>
        <w:t xml:space="preserve">3．乙方未能如期提供服务的，每日向甲方支付合同款项的1‰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4B40F9FC">
      <w:pPr>
        <w:pStyle w:val="34"/>
        <w:snapToGrid w:val="0"/>
        <w:spacing w:line="460" w:lineRule="exact"/>
        <w:rPr>
          <w:rFonts w:hAnsi="宋体" w:cs="宋体"/>
          <w:color w:val="auto"/>
          <w:highlight w:val="none"/>
        </w:rPr>
      </w:pPr>
      <w:r>
        <w:rPr>
          <w:rFonts w:hint="eastAsia" w:hAnsi="宋体" w:cs="宋体"/>
          <w:color w:val="auto"/>
          <w:highlight w:val="none"/>
        </w:rPr>
        <w:t>十二、不可抗力事件处理</w:t>
      </w:r>
    </w:p>
    <w:p w14:paraId="1D3B309B">
      <w:pPr>
        <w:pStyle w:val="34"/>
        <w:snapToGrid w:val="0"/>
        <w:spacing w:line="460" w:lineRule="exact"/>
        <w:rPr>
          <w:rFonts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58C6A87B">
      <w:pPr>
        <w:pStyle w:val="34"/>
        <w:snapToGrid w:val="0"/>
        <w:spacing w:line="460" w:lineRule="exact"/>
        <w:rPr>
          <w:rFonts w:hAnsi="宋体" w:cs="宋体"/>
          <w:color w:val="auto"/>
          <w:highlight w:val="none"/>
        </w:rPr>
      </w:pPr>
      <w:r>
        <w:rPr>
          <w:rFonts w:hint="eastAsia" w:hAnsi="宋体" w:cs="宋体"/>
          <w:color w:val="auto"/>
          <w:highlight w:val="none"/>
        </w:rPr>
        <w:t>2．不可抗力事件发生后，应立即通知对方，并寄送有关权威机构出具的证明。</w:t>
      </w:r>
    </w:p>
    <w:p w14:paraId="494753D1">
      <w:pPr>
        <w:pStyle w:val="34"/>
        <w:snapToGrid w:val="0"/>
        <w:spacing w:line="460" w:lineRule="exact"/>
        <w:rPr>
          <w:rFonts w:hAnsi="宋体" w:cs="宋体"/>
          <w:color w:val="auto"/>
          <w:highlight w:val="none"/>
        </w:rPr>
      </w:pPr>
      <w:r>
        <w:rPr>
          <w:rFonts w:hint="eastAsia" w:hAnsi="宋体" w:cs="宋体"/>
          <w:color w:val="auto"/>
          <w:highlight w:val="none"/>
        </w:rPr>
        <w:t>3．不可抗力事件延续120天以上，双方应通过友好协商，确定是否继续履行合同。</w:t>
      </w:r>
    </w:p>
    <w:p w14:paraId="4240BD30">
      <w:pPr>
        <w:pStyle w:val="34"/>
        <w:snapToGrid w:val="0"/>
        <w:spacing w:line="460" w:lineRule="exact"/>
        <w:rPr>
          <w:rFonts w:hAnsi="宋体" w:cs="宋体"/>
          <w:color w:val="auto"/>
          <w:highlight w:val="none"/>
        </w:rPr>
      </w:pPr>
      <w:r>
        <w:rPr>
          <w:rFonts w:hint="eastAsia" w:hAnsi="宋体" w:cs="宋体"/>
          <w:color w:val="auto"/>
          <w:highlight w:val="none"/>
        </w:rPr>
        <w:t>十三、诉讼</w:t>
      </w:r>
    </w:p>
    <w:p w14:paraId="5ED453A1">
      <w:pPr>
        <w:pStyle w:val="34"/>
        <w:snapToGrid w:val="0"/>
        <w:spacing w:line="460" w:lineRule="exact"/>
        <w:ind w:firstLine="420" w:firstLineChars="200"/>
        <w:rPr>
          <w:rFonts w:hAnsi="宋体" w:cs="宋体"/>
          <w:color w:val="auto"/>
          <w:highlight w:val="none"/>
        </w:rPr>
      </w:pPr>
      <w:r>
        <w:rPr>
          <w:rFonts w:hint="eastAsia" w:hAnsi="宋体" w:cs="宋体"/>
          <w:color w:val="auto"/>
          <w:highlight w:val="none"/>
        </w:rPr>
        <w:t>双方在执行合同中所发生的一切争议，应通过协商解决。如协商不成，可向甲方所在地法院起诉。</w:t>
      </w:r>
    </w:p>
    <w:p w14:paraId="57ED31EC">
      <w:pPr>
        <w:pStyle w:val="34"/>
        <w:snapToGrid w:val="0"/>
        <w:spacing w:line="460" w:lineRule="exact"/>
        <w:rPr>
          <w:rFonts w:hAnsi="宋体" w:cs="宋体"/>
          <w:color w:val="auto"/>
          <w:highlight w:val="none"/>
        </w:rPr>
      </w:pPr>
      <w:r>
        <w:rPr>
          <w:rFonts w:hint="eastAsia" w:hAnsi="宋体" w:cs="宋体"/>
          <w:color w:val="auto"/>
          <w:highlight w:val="none"/>
        </w:rPr>
        <w:t>十四、合同生效及其它</w:t>
      </w:r>
    </w:p>
    <w:p w14:paraId="5E038BB9">
      <w:pPr>
        <w:pStyle w:val="34"/>
        <w:snapToGrid w:val="0"/>
        <w:spacing w:line="460" w:lineRule="exact"/>
        <w:rPr>
          <w:rFonts w:hAnsi="宋体" w:cs="宋体"/>
          <w:color w:val="auto"/>
          <w:highlight w:val="none"/>
        </w:rPr>
      </w:pPr>
      <w:r>
        <w:rPr>
          <w:rFonts w:hint="eastAsia" w:hAnsi="宋体" w:cs="宋体"/>
          <w:color w:val="auto"/>
          <w:highlight w:val="none"/>
        </w:rPr>
        <w:t>1．合同经双方法定代表人或授权代表签字并加盖单位公章后生效。</w:t>
      </w:r>
    </w:p>
    <w:p w14:paraId="5047BC57">
      <w:pPr>
        <w:pStyle w:val="34"/>
        <w:snapToGrid w:val="0"/>
        <w:spacing w:line="460" w:lineRule="exact"/>
        <w:rPr>
          <w:rFonts w:hAnsi="宋体" w:cs="宋体"/>
          <w:color w:val="auto"/>
          <w:highlight w:val="none"/>
        </w:rPr>
      </w:pPr>
      <w:r>
        <w:rPr>
          <w:rFonts w:hint="eastAsia" w:hAnsi="宋体" w:cs="宋体"/>
          <w:color w:val="auto"/>
          <w:highlight w:val="none"/>
        </w:rPr>
        <w:t>2．合同执行中涉及采购资金和采购内容修改或补充的，须经财政部门审批，并签书面补充协议报政府采购监督管理部门备案，方可作为主合同不可分割的一部分。</w:t>
      </w:r>
    </w:p>
    <w:p w14:paraId="4C721603">
      <w:pPr>
        <w:pStyle w:val="34"/>
        <w:snapToGrid w:val="0"/>
        <w:spacing w:line="460" w:lineRule="exact"/>
        <w:ind w:left="420" w:hanging="420" w:hangingChars="200"/>
        <w:rPr>
          <w:rFonts w:hAnsi="宋体" w:cs="宋体"/>
          <w:color w:val="auto"/>
          <w:highlight w:val="none"/>
        </w:rPr>
      </w:pPr>
      <w:r>
        <w:rPr>
          <w:rFonts w:hint="eastAsia" w:hAnsi="宋体" w:cs="宋体"/>
          <w:color w:val="auto"/>
          <w:highlight w:val="none"/>
        </w:rPr>
        <w:t>3．本合同未尽事宜，遵照《民法典》有关条文执行。</w:t>
      </w:r>
    </w:p>
    <w:p w14:paraId="50B8B431">
      <w:pPr>
        <w:pStyle w:val="34"/>
        <w:snapToGrid w:val="0"/>
        <w:spacing w:line="460" w:lineRule="exact"/>
        <w:rPr>
          <w:rFonts w:hAnsi="宋体" w:cs="宋体"/>
          <w:color w:val="auto"/>
          <w:highlight w:val="none"/>
        </w:rPr>
      </w:pPr>
      <w:r>
        <w:rPr>
          <w:rFonts w:hint="eastAsia" w:hAnsi="宋体" w:cs="宋体"/>
          <w:color w:val="auto"/>
          <w:highlight w:val="none"/>
        </w:rPr>
        <w:t>4．本合同正本一式肆份，具有同等法律效力，甲乙双方各执贰份。</w:t>
      </w:r>
    </w:p>
    <w:p w14:paraId="2BC31303">
      <w:pPr>
        <w:pStyle w:val="34"/>
        <w:snapToGrid w:val="0"/>
        <w:spacing w:line="460" w:lineRule="exact"/>
        <w:ind w:left="420" w:hanging="420" w:hangingChars="200"/>
        <w:rPr>
          <w:rFonts w:hAnsi="宋体" w:cs="宋体"/>
          <w:color w:val="auto"/>
          <w:highlight w:val="none"/>
        </w:rPr>
      </w:pPr>
      <w:r>
        <w:rPr>
          <w:rFonts w:hint="eastAsia" w:hAnsi="宋体" w:cs="宋体"/>
          <w:color w:val="auto"/>
          <w:highlight w:val="none"/>
        </w:rPr>
        <w:t xml:space="preserve"> </w:t>
      </w:r>
    </w:p>
    <w:p w14:paraId="0CE5C79C">
      <w:pPr>
        <w:pStyle w:val="34"/>
        <w:snapToGrid w:val="0"/>
        <w:spacing w:line="460" w:lineRule="exact"/>
        <w:ind w:left="424" w:leftChars="52" w:hanging="315" w:hangingChars="150"/>
        <w:rPr>
          <w:rFonts w:hAnsi="宋体" w:cs="宋体"/>
          <w:color w:val="auto"/>
          <w:highlight w:val="none"/>
        </w:rPr>
      </w:pPr>
      <w:r>
        <w:rPr>
          <w:rFonts w:hint="eastAsia" w:hAnsi="宋体" w:cs="宋体"/>
          <w:color w:val="auto"/>
          <w:highlight w:val="none"/>
        </w:rPr>
        <w:t xml:space="preserve"> 甲方：                                   乙方： </w:t>
      </w:r>
    </w:p>
    <w:p w14:paraId="1B10D7B5">
      <w:pPr>
        <w:pStyle w:val="34"/>
        <w:snapToGrid w:val="0"/>
        <w:spacing w:line="460" w:lineRule="exact"/>
        <w:rPr>
          <w:rFonts w:hAnsi="宋体" w:cs="宋体"/>
          <w:color w:val="auto"/>
          <w:highlight w:val="none"/>
        </w:rPr>
      </w:pPr>
      <w:r>
        <w:rPr>
          <w:rFonts w:hint="eastAsia" w:hAnsi="宋体" w:cs="宋体"/>
          <w:color w:val="auto"/>
          <w:highlight w:val="none"/>
        </w:rPr>
        <w:t xml:space="preserve">  地址：                                   地址： </w:t>
      </w:r>
    </w:p>
    <w:p w14:paraId="36424760">
      <w:pPr>
        <w:pStyle w:val="34"/>
        <w:snapToGrid w:val="0"/>
        <w:spacing w:line="460" w:lineRule="exact"/>
        <w:rPr>
          <w:rFonts w:hAnsi="宋体" w:cs="宋体"/>
          <w:color w:val="auto"/>
          <w:highlight w:val="none"/>
        </w:rPr>
      </w:pPr>
      <w:r>
        <w:rPr>
          <w:rFonts w:hint="eastAsia" w:hAnsi="宋体" w:cs="宋体"/>
          <w:color w:val="auto"/>
          <w:highlight w:val="none"/>
        </w:rPr>
        <w:t xml:space="preserve">  法定（授权）代表人：                     法定（授权）代表人：</w:t>
      </w:r>
    </w:p>
    <w:p w14:paraId="0C39301C">
      <w:pPr>
        <w:pStyle w:val="34"/>
        <w:snapToGrid w:val="0"/>
        <w:spacing w:line="460" w:lineRule="exact"/>
        <w:rPr>
          <w:rFonts w:hAnsi="宋体" w:cs="宋体"/>
          <w:color w:val="auto"/>
          <w:highlight w:val="none"/>
        </w:rPr>
      </w:pPr>
      <w:r>
        <w:rPr>
          <w:rFonts w:hint="eastAsia" w:hAnsi="宋体" w:cs="宋体"/>
          <w:color w:val="auto"/>
          <w:highlight w:val="none"/>
        </w:rPr>
        <w:t xml:space="preserve">  签字日期：      年  月  日              签字日期：      年  月  日</w:t>
      </w:r>
    </w:p>
    <w:p w14:paraId="10070AAD">
      <w:pPr>
        <w:spacing w:line="360" w:lineRule="auto"/>
        <w:ind w:firstLine="6240" w:firstLineChars="3000"/>
        <w:rPr>
          <w:rFonts w:ascii="宋体" w:hAnsi="宋体" w:cs="宋体"/>
          <w:color w:val="auto"/>
          <w:spacing w:val="-16"/>
          <w:sz w:val="24"/>
          <w:highlight w:val="none"/>
        </w:rPr>
      </w:pPr>
    </w:p>
    <w:p w14:paraId="099AF375">
      <w:pPr>
        <w:pStyle w:val="24"/>
        <w:spacing w:line="360" w:lineRule="auto"/>
        <w:rPr>
          <w:rFonts w:ascii="宋体" w:hAnsi="宋体" w:eastAsia="宋体" w:cs="宋体"/>
          <w:color w:val="auto"/>
          <w:highlight w:val="none"/>
        </w:rPr>
        <w:sectPr>
          <w:pgSz w:w="11906" w:h="16838"/>
          <w:pgMar w:top="1247" w:right="1304" w:bottom="1020" w:left="1304" w:header="720" w:footer="720" w:gutter="0"/>
          <w:cols w:space="720" w:num="1"/>
          <w:docGrid w:linePitch="286" w:charSpace="0"/>
        </w:sectPr>
      </w:pPr>
    </w:p>
    <w:bookmarkEnd w:id="412"/>
    <w:bookmarkEnd w:id="413"/>
    <w:p w14:paraId="22AFB525">
      <w:pPr>
        <w:pStyle w:val="2"/>
        <w:rPr>
          <w:rFonts w:ascii="宋体" w:hAnsi="宋体" w:cs="宋体"/>
          <w:color w:val="auto"/>
          <w:highlight w:val="none"/>
        </w:rPr>
      </w:pPr>
      <w:bookmarkStart w:id="414" w:name="_Toc3090"/>
      <w:r>
        <w:rPr>
          <w:rFonts w:hint="eastAsia" w:ascii="宋体" w:hAnsi="宋体" w:cs="宋体"/>
          <w:color w:val="auto"/>
          <w:highlight w:val="none"/>
        </w:rPr>
        <w:t>第六部分 应提交的有关格式范例</w:t>
      </w:r>
      <w:bookmarkEnd w:id="414"/>
    </w:p>
    <w:p w14:paraId="588BDC94">
      <w:pPr>
        <w:rPr>
          <w:rFonts w:ascii="宋体" w:hAnsi="宋体" w:cs="宋体"/>
          <w:color w:val="auto"/>
          <w:highlight w:val="none"/>
        </w:rPr>
      </w:pPr>
    </w:p>
    <w:p w14:paraId="62705C42">
      <w:pPr>
        <w:pStyle w:val="65"/>
        <w:ind w:firstLine="420"/>
        <w:rPr>
          <w:rFonts w:cs="宋体"/>
          <w:color w:val="auto"/>
          <w:highlight w:val="none"/>
        </w:rPr>
      </w:pPr>
    </w:p>
    <w:p w14:paraId="1F78FD7A">
      <w:pPr>
        <w:pStyle w:val="3"/>
        <w:rPr>
          <w:rFonts w:cs="宋体"/>
          <w:color w:val="auto"/>
          <w:highlight w:val="none"/>
        </w:rPr>
      </w:pPr>
      <w:bookmarkStart w:id="415" w:name="_Toc3841"/>
      <w:r>
        <w:rPr>
          <w:rFonts w:hint="eastAsia" w:cs="宋体"/>
          <w:color w:val="auto"/>
          <w:highlight w:val="none"/>
        </w:rPr>
        <w:t>资格文件部分</w:t>
      </w:r>
      <w:bookmarkEnd w:id="415"/>
    </w:p>
    <w:p w14:paraId="7D5F88D5">
      <w:pPr>
        <w:rPr>
          <w:rFonts w:ascii="宋体" w:hAnsi="宋体" w:cs="宋体"/>
          <w:color w:val="auto"/>
          <w:highlight w:val="none"/>
        </w:rPr>
      </w:pPr>
    </w:p>
    <w:p w14:paraId="6EE645DC">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目录</w:t>
      </w:r>
    </w:p>
    <w:p w14:paraId="64A55EAE">
      <w:pPr>
        <w:rPr>
          <w:rFonts w:ascii="宋体" w:hAnsi="宋体" w:cs="宋体"/>
          <w:color w:val="auto"/>
          <w:highlight w:val="none"/>
        </w:rPr>
      </w:pPr>
    </w:p>
    <w:p w14:paraId="6FEAEB6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7932886">
      <w:pPr>
        <w:snapToGrid w:val="0"/>
        <w:spacing w:line="360" w:lineRule="auto"/>
        <w:rPr>
          <w:rFonts w:ascii="宋体" w:hAnsi="宋体" w:cs="宋体"/>
          <w:color w:val="auto"/>
          <w:sz w:val="24"/>
          <w:highlight w:val="none"/>
        </w:rPr>
      </w:pPr>
      <w:r>
        <w:rPr>
          <w:rFonts w:hint="eastAsia" w:ascii="宋体" w:hAnsi="宋体" w:cs="宋体"/>
          <w:color w:val="auto"/>
          <w:kern w:val="28"/>
          <w:sz w:val="24"/>
          <w:szCs w:val="20"/>
          <w:highlight w:val="none"/>
        </w:rPr>
        <w:t>（2）联合协议</w:t>
      </w:r>
      <w:r>
        <w:rPr>
          <w:rFonts w:hint="eastAsia" w:ascii="宋体" w:hAnsi="宋体" w:cs="宋体"/>
          <w:color w:val="auto"/>
          <w:sz w:val="24"/>
          <w:highlight w:val="none"/>
        </w:rPr>
        <w:t>………………………………………………………………………（页码）</w:t>
      </w:r>
    </w:p>
    <w:p w14:paraId="170F96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（3）落实政府采购政策需满足的资格要求………………………………………（页码）</w:t>
      </w:r>
    </w:p>
    <w:p w14:paraId="5D751C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（4）本项目的特定资格要求………………………………………………………（页码）</w:t>
      </w:r>
    </w:p>
    <w:p w14:paraId="2E3EB33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（5）营业执照………………………………………………………………………（页码）</w:t>
      </w:r>
    </w:p>
    <w:p w14:paraId="15F0B55D">
      <w:pPr>
        <w:snapToGrid w:val="0"/>
        <w:spacing w:line="360" w:lineRule="auto"/>
        <w:ind w:firstLine="480" w:firstLineChars="200"/>
        <w:rPr>
          <w:rFonts w:ascii="宋体" w:hAnsi="宋体" w:cs="宋体"/>
          <w:color w:val="auto"/>
          <w:sz w:val="24"/>
          <w:highlight w:val="none"/>
        </w:rPr>
      </w:pPr>
    </w:p>
    <w:p w14:paraId="01985758">
      <w:pPr>
        <w:spacing w:line="360" w:lineRule="auto"/>
        <w:ind w:firstLine="480" w:firstLineChars="200"/>
        <w:rPr>
          <w:rFonts w:ascii="宋体" w:hAnsi="宋体" w:cs="宋体"/>
          <w:color w:val="auto"/>
          <w:sz w:val="24"/>
          <w:highlight w:val="none"/>
        </w:rPr>
      </w:pPr>
    </w:p>
    <w:p w14:paraId="0B62BE51">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4534AD88">
      <w:pPr>
        <w:snapToGrid w:val="0"/>
        <w:spacing w:line="360" w:lineRule="auto"/>
        <w:ind w:right="480"/>
        <w:jc w:val="center"/>
        <w:rPr>
          <w:rFonts w:ascii="宋体" w:hAnsi="宋体" w:cs="宋体"/>
          <w:color w:val="auto"/>
          <w:kern w:val="0"/>
          <w:sz w:val="24"/>
          <w:highlight w:val="none"/>
        </w:rPr>
      </w:pPr>
    </w:p>
    <w:p w14:paraId="0A7F1D3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6EA555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浙江海洋大学、浙江科佳工程咨询有限公司：</w:t>
      </w:r>
    </w:p>
    <w:p w14:paraId="0909AE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我方参与浙江海洋大学第七届全国海员技能大比武航海模拟器更新【招标编号：XXXXXXXX】政府采购活动，郑重承诺：</w:t>
      </w:r>
    </w:p>
    <w:p w14:paraId="3B01AAC9">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4BA21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A9FA3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7C1C20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B3485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A6963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71517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4A7D3E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314891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48B2CF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18ECD0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18D313B3">
      <w:pPr>
        <w:snapToGrid w:val="0"/>
        <w:spacing w:line="360" w:lineRule="auto"/>
        <w:ind w:firstLine="5520" w:firstLineChars="2300"/>
        <w:rPr>
          <w:rFonts w:ascii="宋体" w:hAnsi="宋体" w:cs="宋体"/>
          <w:color w:val="auto"/>
          <w:kern w:val="0"/>
          <w:sz w:val="24"/>
          <w:highlight w:val="none"/>
          <w:lang w:val="zh-CN"/>
        </w:rPr>
      </w:pPr>
    </w:p>
    <w:p w14:paraId="26398D7C">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22D0C1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00EA34">
      <w:pPr>
        <w:snapToGrid w:val="0"/>
        <w:spacing w:line="360" w:lineRule="auto"/>
        <w:ind w:right="480"/>
        <w:jc w:val="center"/>
        <w:rPr>
          <w:rFonts w:ascii="宋体" w:hAnsi="宋体" w:cs="宋体"/>
          <w:b/>
          <w:color w:val="auto"/>
          <w:kern w:val="0"/>
          <w:sz w:val="32"/>
          <w:szCs w:val="32"/>
          <w:highlight w:val="none"/>
        </w:rPr>
      </w:pPr>
    </w:p>
    <w:p w14:paraId="56585E00">
      <w:pPr>
        <w:snapToGrid w:val="0"/>
        <w:spacing w:line="360" w:lineRule="auto"/>
        <w:ind w:right="480"/>
        <w:jc w:val="center"/>
        <w:rPr>
          <w:rFonts w:ascii="宋体" w:hAnsi="宋体" w:cs="宋体"/>
          <w:b/>
          <w:color w:val="auto"/>
          <w:kern w:val="0"/>
          <w:sz w:val="32"/>
          <w:szCs w:val="32"/>
          <w:highlight w:val="none"/>
        </w:rPr>
      </w:pPr>
    </w:p>
    <w:p w14:paraId="1282DAA6">
      <w:pPr>
        <w:snapToGrid w:val="0"/>
        <w:spacing w:line="360" w:lineRule="auto"/>
        <w:ind w:right="480"/>
        <w:jc w:val="center"/>
        <w:rPr>
          <w:rFonts w:ascii="宋体" w:hAnsi="宋体" w:cs="宋体"/>
          <w:b/>
          <w:color w:val="auto"/>
          <w:kern w:val="0"/>
          <w:sz w:val="32"/>
          <w:szCs w:val="32"/>
          <w:highlight w:val="none"/>
        </w:rPr>
      </w:pPr>
    </w:p>
    <w:p w14:paraId="732BCDE7">
      <w:pPr>
        <w:rPr>
          <w:rFonts w:ascii="宋体" w:hAnsi="宋体" w:cs="宋体"/>
          <w:color w:val="auto"/>
          <w:highlight w:val="none"/>
        </w:rPr>
      </w:pPr>
    </w:p>
    <w:p w14:paraId="3FEB21A3">
      <w:pPr>
        <w:snapToGrid w:val="0"/>
        <w:spacing w:line="360" w:lineRule="auto"/>
        <w:ind w:right="480"/>
        <w:jc w:val="center"/>
        <w:rPr>
          <w:rFonts w:ascii="宋体" w:hAnsi="宋体" w:cs="宋体"/>
          <w:b/>
          <w:color w:val="auto"/>
          <w:kern w:val="0"/>
          <w:sz w:val="32"/>
          <w:szCs w:val="32"/>
          <w:highlight w:val="none"/>
        </w:rPr>
      </w:pPr>
    </w:p>
    <w:p w14:paraId="10D3F63B">
      <w:pPr>
        <w:snapToGrid w:val="0"/>
        <w:spacing w:line="360" w:lineRule="auto"/>
        <w:ind w:right="480"/>
        <w:jc w:val="center"/>
        <w:rPr>
          <w:rFonts w:ascii="宋体" w:hAnsi="宋体" w:cs="宋体"/>
          <w:b/>
          <w:color w:val="auto"/>
          <w:kern w:val="0"/>
          <w:sz w:val="32"/>
          <w:szCs w:val="32"/>
          <w:highlight w:val="none"/>
        </w:rPr>
      </w:pPr>
    </w:p>
    <w:p w14:paraId="67A58B61">
      <w:pPr>
        <w:widowControl/>
        <w:spacing w:line="360" w:lineRule="auto"/>
        <w:ind w:firstLine="643" w:firstLineChars="200"/>
        <w:jc w:val="center"/>
        <w:rPr>
          <w:rFonts w:ascii="宋体" w:hAnsi="宋体" w:cs="宋体"/>
          <w:b/>
          <w:color w:val="auto"/>
          <w:kern w:val="0"/>
          <w:sz w:val="32"/>
          <w:szCs w:val="32"/>
          <w:highlight w:val="none"/>
        </w:rPr>
      </w:pPr>
    </w:p>
    <w:p w14:paraId="4C47E0A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4148AD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44681AC">
      <w:pPr>
        <w:snapToGrid w:val="0"/>
        <w:spacing w:line="360" w:lineRule="auto"/>
        <w:ind w:right="480"/>
        <w:jc w:val="center"/>
        <w:rPr>
          <w:rFonts w:ascii="宋体" w:hAnsi="宋体" w:cs="宋体"/>
          <w:b/>
          <w:color w:val="auto"/>
          <w:kern w:val="0"/>
          <w:sz w:val="32"/>
          <w:szCs w:val="32"/>
          <w:highlight w:val="none"/>
        </w:rPr>
      </w:pPr>
    </w:p>
    <w:p w14:paraId="62E85585">
      <w:pPr>
        <w:snapToGrid w:val="0"/>
        <w:spacing w:line="360" w:lineRule="auto"/>
        <w:ind w:right="480"/>
        <w:jc w:val="center"/>
        <w:rPr>
          <w:rFonts w:ascii="宋体" w:hAnsi="宋体" w:cs="宋体"/>
          <w:b/>
          <w:color w:val="auto"/>
          <w:kern w:val="0"/>
          <w:sz w:val="32"/>
          <w:szCs w:val="32"/>
          <w:highlight w:val="none"/>
        </w:rPr>
      </w:pPr>
    </w:p>
    <w:p w14:paraId="4C7756A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8494B9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CFF520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 xml:space="preserve">.专门面向中小企业，货物全部由符合政策要求的中小企业（或小微企业）制造的，提供相应的中小企业声明函（附件7）。 </w:t>
      </w:r>
    </w:p>
    <w:p w14:paraId="028C5379">
      <w:pPr>
        <w:widowControl/>
        <w:spacing w:line="360" w:lineRule="auto"/>
        <w:ind w:firstLine="480"/>
        <w:jc w:val="left"/>
        <w:rPr>
          <w:rFonts w:ascii="宋体" w:hAnsi="宋体" w:cs="宋体"/>
          <w:color w:val="auto"/>
          <w:sz w:val="24"/>
          <w:highlight w:val="none"/>
        </w:rPr>
      </w:pPr>
    </w:p>
    <w:p w14:paraId="7B4B389D">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要求以联合体形式参加的，提供联合协议（附件5）和中小企业声明函（附件7），联合协议中中小企业合同金额应当达到招标公告载明的比例；如果供应商本身提供所有标的均由中小企业制造的，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2FA053A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4392BB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要求合同分包的，提供分包意向协议（附件6）和中小企业声明函（附件7），分包意向协议中中小企业合同金额应当达到招标公告载明的比例；如果供应商本身提供所有标的均由中小企业制造的，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A1D1DF8">
      <w:pPr>
        <w:widowControl/>
        <w:spacing w:line="360" w:lineRule="auto"/>
        <w:ind w:left="150"/>
        <w:jc w:val="center"/>
        <w:rPr>
          <w:rFonts w:ascii="宋体" w:hAnsi="宋体" w:cs="宋体"/>
          <w:b/>
          <w:color w:val="auto"/>
          <w:kern w:val="0"/>
          <w:sz w:val="32"/>
          <w:szCs w:val="32"/>
          <w:highlight w:val="none"/>
        </w:rPr>
      </w:pPr>
    </w:p>
    <w:p w14:paraId="7DD122D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662D00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6B003C57">
      <w:pPr>
        <w:rPr>
          <w:rFonts w:ascii="宋体" w:hAnsi="宋体" w:cs="宋体"/>
          <w:color w:val="auto"/>
          <w:highlight w:val="none"/>
        </w:rPr>
      </w:pPr>
    </w:p>
    <w:p w14:paraId="4F4BBD2A">
      <w:pPr>
        <w:widowControl/>
        <w:adjustRightInd/>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14CA2D1">
      <w:pPr>
        <w:pStyle w:val="3"/>
        <w:rPr>
          <w:rFonts w:cs="宋体"/>
          <w:color w:val="auto"/>
          <w:highlight w:val="none"/>
        </w:rPr>
      </w:pPr>
      <w:bookmarkStart w:id="416" w:name="_Toc30381"/>
      <w:r>
        <w:rPr>
          <w:rFonts w:hint="eastAsia" w:cs="宋体"/>
          <w:color w:val="auto"/>
          <w:highlight w:val="none"/>
        </w:rPr>
        <w:t>商务技术文件部分</w:t>
      </w:r>
      <w:bookmarkEnd w:id="416"/>
    </w:p>
    <w:p w14:paraId="124A6B14">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目录</w:t>
      </w:r>
    </w:p>
    <w:p w14:paraId="44B983D2">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（1）投标函……………………………………………………………………………（页码）</w:t>
      </w:r>
    </w:p>
    <w:p w14:paraId="699A0552">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（2）授权委托书或法定代表人（单位负责人、自然人本人）身份证明…………（页码）</w:t>
      </w:r>
    </w:p>
    <w:p w14:paraId="5C88F1D2">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（3）分包意向协议……………………………………………………………………（页码）</w:t>
      </w:r>
    </w:p>
    <w:p w14:paraId="445E5FE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（4）符合性审查资料…………………………………………………………………（页码）</w:t>
      </w:r>
    </w:p>
    <w:p w14:paraId="384225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（5）评标标准相应的商务技术资料…………………………………………………（页码</w:t>
      </w:r>
    </w:p>
    <w:p w14:paraId="50CFA1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（6）投标标的清单……………………………………………………………………（页码）</w:t>
      </w:r>
    </w:p>
    <w:p w14:paraId="788785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（7）商务技术偏离表…………………………………………………………………（页码）</w:t>
      </w:r>
    </w:p>
    <w:p w14:paraId="4DC52F9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279D0427">
      <w:pPr>
        <w:snapToGrid w:val="0"/>
        <w:spacing w:line="360" w:lineRule="auto"/>
        <w:ind w:firstLine="480" w:firstLineChars="200"/>
        <w:rPr>
          <w:rFonts w:ascii="宋体" w:hAnsi="宋体" w:cs="宋体"/>
          <w:color w:val="auto"/>
          <w:sz w:val="24"/>
          <w:highlight w:val="none"/>
          <w:lang w:val="zh-CN"/>
        </w:rPr>
      </w:pPr>
    </w:p>
    <w:p w14:paraId="0111BEAA">
      <w:pPr>
        <w:snapToGrid w:val="0"/>
        <w:spacing w:line="360" w:lineRule="auto"/>
        <w:jc w:val="center"/>
        <w:rPr>
          <w:rFonts w:ascii="宋体" w:hAnsi="宋体" w:cs="宋体"/>
          <w:b/>
          <w:color w:val="auto"/>
          <w:kern w:val="0"/>
          <w:sz w:val="32"/>
          <w:szCs w:val="32"/>
          <w:highlight w:val="none"/>
          <w:lang w:val="zh-CN"/>
        </w:rPr>
      </w:pPr>
    </w:p>
    <w:p w14:paraId="3F3D674F">
      <w:pPr>
        <w:snapToGrid w:val="0"/>
        <w:spacing w:line="360" w:lineRule="auto"/>
        <w:jc w:val="center"/>
        <w:rPr>
          <w:rFonts w:ascii="宋体" w:hAnsi="宋体" w:cs="宋体"/>
          <w:b/>
          <w:color w:val="auto"/>
          <w:kern w:val="0"/>
          <w:sz w:val="32"/>
          <w:szCs w:val="32"/>
          <w:highlight w:val="none"/>
          <w:lang w:val="zh-CN"/>
        </w:rPr>
      </w:pPr>
    </w:p>
    <w:p w14:paraId="4B2FA5A7">
      <w:pPr>
        <w:snapToGrid w:val="0"/>
        <w:spacing w:line="360" w:lineRule="auto"/>
        <w:jc w:val="center"/>
        <w:rPr>
          <w:rFonts w:ascii="宋体" w:hAnsi="宋体" w:cs="宋体"/>
          <w:b/>
          <w:color w:val="auto"/>
          <w:kern w:val="0"/>
          <w:sz w:val="32"/>
          <w:szCs w:val="32"/>
          <w:highlight w:val="none"/>
          <w:lang w:val="zh-CN"/>
        </w:rPr>
      </w:pPr>
    </w:p>
    <w:p w14:paraId="668B9C66">
      <w:pPr>
        <w:rPr>
          <w:rFonts w:ascii="宋体" w:hAnsi="宋体" w:cs="宋体"/>
          <w:color w:val="auto"/>
          <w:highlight w:val="none"/>
          <w:lang w:val="zh-CN"/>
        </w:rPr>
      </w:pPr>
    </w:p>
    <w:p w14:paraId="5B987C1C">
      <w:pPr>
        <w:rPr>
          <w:rFonts w:ascii="宋体" w:hAnsi="宋体" w:cs="宋体"/>
          <w:color w:val="auto"/>
          <w:highlight w:val="none"/>
        </w:rPr>
      </w:pPr>
    </w:p>
    <w:p w14:paraId="0317B290">
      <w:pPr>
        <w:rPr>
          <w:rFonts w:ascii="宋体" w:hAnsi="宋体" w:cs="宋体"/>
          <w:color w:val="auto"/>
          <w:highlight w:val="none"/>
        </w:rPr>
      </w:pPr>
    </w:p>
    <w:p w14:paraId="381A65D8">
      <w:pPr>
        <w:rPr>
          <w:rFonts w:ascii="宋体" w:hAnsi="宋体" w:cs="宋体"/>
          <w:color w:val="auto"/>
          <w:highlight w:val="none"/>
        </w:rPr>
      </w:pPr>
    </w:p>
    <w:p w14:paraId="03A869CA">
      <w:pPr>
        <w:rPr>
          <w:rFonts w:ascii="宋体" w:hAnsi="宋体" w:cs="宋体"/>
          <w:color w:val="auto"/>
          <w:highlight w:val="none"/>
        </w:rPr>
      </w:pPr>
    </w:p>
    <w:p w14:paraId="4266EA2A">
      <w:pPr>
        <w:rPr>
          <w:rFonts w:ascii="宋体" w:hAnsi="宋体" w:cs="宋体"/>
          <w:color w:val="auto"/>
          <w:highlight w:val="none"/>
        </w:rPr>
      </w:pPr>
    </w:p>
    <w:p w14:paraId="78D12F70">
      <w:pPr>
        <w:rPr>
          <w:rFonts w:ascii="宋体" w:hAnsi="宋体" w:cs="宋体"/>
          <w:color w:val="auto"/>
          <w:highlight w:val="none"/>
        </w:rPr>
      </w:pPr>
    </w:p>
    <w:p w14:paraId="1E5F1354">
      <w:pPr>
        <w:rPr>
          <w:rFonts w:ascii="宋体" w:hAnsi="宋体" w:cs="宋体"/>
          <w:color w:val="auto"/>
          <w:highlight w:val="none"/>
        </w:rPr>
      </w:pPr>
    </w:p>
    <w:p w14:paraId="3063F67F">
      <w:pPr>
        <w:rPr>
          <w:rFonts w:ascii="宋体" w:hAnsi="宋体" w:cs="宋体"/>
          <w:color w:val="auto"/>
          <w:highlight w:val="none"/>
        </w:rPr>
      </w:pPr>
    </w:p>
    <w:p w14:paraId="51F779CC">
      <w:pPr>
        <w:rPr>
          <w:rFonts w:ascii="宋体" w:hAnsi="宋体" w:cs="宋体"/>
          <w:color w:val="auto"/>
          <w:highlight w:val="none"/>
        </w:rPr>
      </w:pPr>
    </w:p>
    <w:p w14:paraId="5F3CF8A5">
      <w:pPr>
        <w:rPr>
          <w:rFonts w:ascii="宋体" w:hAnsi="宋体" w:cs="宋体"/>
          <w:color w:val="auto"/>
          <w:highlight w:val="none"/>
        </w:rPr>
      </w:pPr>
    </w:p>
    <w:p w14:paraId="54FB61AA">
      <w:pPr>
        <w:widowControl/>
        <w:adjustRightInd/>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C4D87BA">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497F04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浙江海洋大学、浙江科佳工程咨询有限公司：</w:t>
      </w:r>
    </w:p>
    <w:p w14:paraId="4F4288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我方参加你方组织的浙江海洋大学第七届全国海员技能大比武航海模拟器更新【招标编号：XXXXXXXX】招标的有关活动，并对此项目进行投标。为此：</w:t>
      </w:r>
    </w:p>
    <w:p w14:paraId="2EEAC4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EA768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FAE45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F7CDF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9125E9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kern w:val="28"/>
          <w:sz w:val="24"/>
          <w:szCs w:val="20"/>
          <w:highlight w:val="none"/>
        </w:rPr>
        <w:t>联合协议（如果有)；</w:t>
      </w:r>
    </w:p>
    <w:p w14:paraId="1949F2E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2.1.3落实政府采购政策需满足的资格要求</w:t>
      </w:r>
      <w:r>
        <w:rPr>
          <w:rFonts w:hint="eastAsia" w:ascii="宋体" w:hAnsi="宋体" w:cs="宋体"/>
          <w:color w:val="auto"/>
          <w:kern w:val="28"/>
          <w:sz w:val="24"/>
          <w:szCs w:val="20"/>
          <w:highlight w:val="none"/>
        </w:rPr>
        <w:t>（如果有）</w:t>
      </w:r>
      <w:r>
        <w:rPr>
          <w:rFonts w:hint="eastAsia" w:ascii="宋体" w:hAnsi="宋体" w:cs="宋体"/>
          <w:color w:val="auto"/>
          <w:sz w:val="24"/>
          <w:highlight w:val="none"/>
        </w:rPr>
        <w:t>；</w:t>
      </w:r>
    </w:p>
    <w:p w14:paraId="57517ABC">
      <w:pPr>
        <w:snapToGrid w:val="0"/>
        <w:spacing w:line="360" w:lineRule="auto"/>
        <w:ind w:left="420" w:leftChars="200" w:firstLine="480" w:firstLineChars="200"/>
        <w:rPr>
          <w:rFonts w:ascii="宋体" w:hAnsi="宋体" w:cs="宋体"/>
          <w:color w:val="auto"/>
          <w:kern w:val="28"/>
          <w:sz w:val="24"/>
          <w:szCs w:val="20"/>
          <w:highlight w:val="none"/>
        </w:rPr>
      </w:pPr>
      <w:r>
        <w:rPr>
          <w:rFonts w:hint="eastAsia" w:ascii="宋体" w:hAnsi="宋体" w:cs="宋体"/>
          <w:color w:val="auto"/>
          <w:sz w:val="24"/>
          <w:highlight w:val="none"/>
        </w:rPr>
        <w:t>2.1.4本项目的特定资格要求</w:t>
      </w:r>
      <w:r>
        <w:rPr>
          <w:rFonts w:hint="eastAsia" w:ascii="宋体" w:hAnsi="宋体" w:cs="宋体"/>
          <w:color w:val="auto"/>
          <w:kern w:val="28"/>
          <w:sz w:val="24"/>
          <w:szCs w:val="20"/>
          <w:highlight w:val="none"/>
        </w:rPr>
        <w:t>（如果有）；</w:t>
      </w:r>
    </w:p>
    <w:p w14:paraId="7F03C18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kern w:val="28"/>
          <w:sz w:val="24"/>
          <w:szCs w:val="20"/>
          <w:highlight w:val="none"/>
        </w:rPr>
        <w:t>2.1.5营业执照</w:t>
      </w:r>
      <w:r>
        <w:rPr>
          <w:rFonts w:hint="eastAsia" w:ascii="宋体" w:hAnsi="宋体" w:cs="宋体"/>
          <w:color w:val="auto"/>
          <w:sz w:val="24"/>
          <w:highlight w:val="none"/>
        </w:rPr>
        <w:t>。</w:t>
      </w:r>
    </w:p>
    <w:p w14:paraId="150D4D02">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14A099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65B13FF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972A64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2.2.3分包意向协议</w:t>
      </w:r>
      <w:r>
        <w:rPr>
          <w:rFonts w:hint="eastAsia" w:ascii="宋体" w:hAnsi="宋体" w:cs="宋体"/>
          <w:color w:val="auto"/>
          <w:kern w:val="28"/>
          <w:sz w:val="24"/>
          <w:szCs w:val="20"/>
          <w:highlight w:val="none"/>
        </w:rPr>
        <w:t>（如果有）</w:t>
      </w:r>
      <w:r>
        <w:rPr>
          <w:rFonts w:hint="eastAsia" w:ascii="宋体" w:hAnsi="宋体" w:cs="宋体"/>
          <w:color w:val="auto"/>
          <w:sz w:val="24"/>
          <w:highlight w:val="none"/>
        </w:rPr>
        <w:t>；</w:t>
      </w:r>
    </w:p>
    <w:p w14:paraId="484E8E9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2.2.4符合性审查资料；</w:t>
      </w:r>
    </w:p>
    <w:p w14:paraId="63603F5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2.2.5评标标准相应的商务技术资料；</w:t>
      </w:r>
    </w:p>
    <w:p w14:paraId="196B1B5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2.2.6投标标的清单；</w:t>
      </w:r>
    </w:p>
    <w:p w14:paraId="5B72E31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2.2.7商务技术偏离表；</w:t>
      </w:r>
    </w:p>
    <w:p w14:paraId="25E75F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w:t>
      </w:r>
    </w:p>
    <w:p w14:paraId="2201A38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7D4B2A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44307C7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23B57F5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2.3.3关于符合本国产品标准的声明函。</w:t>
      </w:r>
    </w:p>
    <w:p w14:paraId="07473F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2C8737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A8B418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D8A1D1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CA9782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04F122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328515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2D0FC6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59EBF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31D46CF">
      <w:pPr>
        <w:snapToGrid w:val="0"/>
        <w:spacing w:line="360" w:lineRule="auto"/>
        <w:ind w:left="420" w:leftChars="200" w:firstLine="4200" w:firstLineChars="1750"/>
        <w:rPr>
          <w:rFonts w:ascii="宋体" w:hAnsi="宋体" w:cs="宋体"/>
          <w:color w:val="auto"/>
          <w:kern w:val="0"/>
          <w:sz w:val="24"/>
          <w:highlight w:val="none"/>
          <w:u w:val="single"/>
        </w:rPr>
      </w:pPr>
    </w:p>
    <w:p w14:paraId="4CB4BCB7">
      <w:pPr>
        <w:spacing w:line="360" w:lineRule="auto"/>
        <w:ind w:right="420"/>
        <w:rPr>
          <w:rFonts w:ascii="宋体" w:hAnsi="宋体" w:cs="宋体"/>
          <w:color w:val="auto"/>
          <w:sz w:val="24"/>
          <w:highlight w:val="none"/>
        </w:rPr>
        <w:sectPr>
          <w:headerReference r:id="rId10" w:type="first"/>
          <w:footerReference r:id="rId12" w:type="first"/>
          <w:headerReference r:id="rId9" w:type="default"/>
          <w:footerReference r:id="rId11" w:type="default"/>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注：按本格式和要求提供。</w:t>
      </w:r>
    </w:p>
    <w:p w14:paraId="11D2AA2D">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44A63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236303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F61040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浙江海洋大学、浙江科佳工程咨询有限公司</w:t>
      </w:r>
      <w:r>
        <w:rPr>
          <w:rFonts w:hint="eastAsia" w:ascii="宋体" w:hAnsi="宋体" w:cs="宋体"/>
          <w:color w:val="auto"/>
          <w:kern w:val="0"/>
          <w:sz w:val="24"/>
          <w:highlight w:val="none"/>
          <w:lang w:val="zh-CN"/>
        </w:rPr>
        <w:t>：</w:t>
      </w:r>
    </w:p>
    <w:p w14:paraId="15287BF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浙江海洋大学第七届全国海员技能大比武航海模拟器更新【招标编号：XXXXXXXX】</w:t>
      </w:r>
      <w:r>
        <w:rPr>
          <w:rFonts w:hint="eastAsia" w:ascii="宋体" w:hAnsi="宋体" w:cs="宋体"/>
          <w:color w:val="auto"/>
          <w:kern w:val="0"/>
          <w:sz w:val="24"/>
          <w:highlight w:val="none"/>
          <w:lang w:val="zh-CN"/>
        </w:rPr>
        <w:t>政府采购投标的一切事项，其法律后果由我方承担。</w:t>
      </w:r>
    </w:p>
    <w:p w14:paraId="6DA007C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18B2D7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82966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5AF2C1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182457C">
      <w:pPr>
        <w:snapToGrid w:val="0"/>
        <w:spacing w:line="360" w:lineRule="auto"/>
        <w:rPr>
          <w:rFonts w:ascii="宋体" w:hAnsi="宋体" w:cs="宋体"/>
          <w:color w:val="auto"/>
          <w:sz w:val="24"/>
          <w:highlight w:val="none"/>
        </w:rPr>
      </w:pPr>
    </w:p>
    <w:p w14:paraId="7FDF76E3">
      <w:pPr>
        <w:snapToGrid w:val="0"/>
        <w:spacing w:line="360" w:lineRule="auto"/>
        <w:rPr>
          <w:rFonts w:ascii="宋体" w:hAnsi="宋体" w:cs="宋体"/>
          <w:color w:val="auto"/>
          <w:sz w:val="24"/>
          <w:highlight w:val="none"/>
        </w:rPr>
      </w:pPr>
    </w:p>
    <w:p w14:paraId="3C891291">
      <w:pPr>
        <w:snapToGrid w:val="0"/>
        <w:spacing w:line="360" w:lineRule="auto"/>
        <w:rPr>
          <w:rFonts w:ascii="宋体" w:hAnsi="宋体" w:cs="宋体"/>
          <w:color w:val="auto"/>
          <w:sz w:val="24"/>
          <w:highlight w:val="none"/>
        </w:rPr>
      </w:pPr>
    </w:p>
    <w:p w14:paraId="3EB66B1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F2465D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浙江海洋大学、浙江科佳工程咨询有限公司</w:t>
      </w:r>
      <w:r>
        <w:rPr>
          <w:rFonts w:hint="eastAsia" w:ascii="宋体" w:hAnsi="宋体" w:cs="宋体"/>
          <w:color w:val="auto"/>
          <w:kern w:val="0"/>
          <w:sz w:val="24"/>
          <w:highlight w:val="none"/>
          <w:lang w:val="zh-CN"/>
        </w:rPr>
        <w:t>：</w:t>
      </w:r>
    </w:p>
    <w:p w14:paraId="0E9B463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浙江海洋大学第七届全国海员技能大比武航海模拟器更新【招标编号：XXXXXXXX】</w:t>
      </w:r>
      <w:r>
        <w:rPr>
          <w:rFonts w:hint="eastAsia" w:ascii="宋体" w:hAnsi="宋体" w:cs="宋体"/>
          <w:color w:val="auto"/>
          <w:kern w:val="0"/>
          <w:sz w:val="24"/>
          <w:highlight w:val="none"/>
          <w:lang w:val="zh-CN"/>
        </w:rPr>
        <w:t>政府采购投标的一切事项，其法律后果由我方承担。</w:t>
      </w:r>
    </w:p>
    <w:p w14:paraId="493A15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EC5E0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775E609">
      <w:pPr>
        <w:jc w:val="center"/>
        <w:rPr>
          <w:rFonts w:ascii="宋体" w:hAnsi="宋体" w:cs="宋体"/>
          <w:b/>
          <w:color w:val="auto"/>
          <w:kern w:val="0"/>
          <w:sz w:val="32"/>
          <w:szCs w:val="32"/>
          <w:highlight w:val="none"/>
        </w:rPr>
      </w:pPr>
    </w:p>
    <w:p w14:paraId="5A6518AF">
      <w:pPr>
        <w:jc w:val="center"/>
        <w:rPr>
          <w:rFonts w:ascii="宋体" w:hAnsi="宋体" w:cs="宋体"/>
          <w:b/>
          <w:color w:val="auto"/>
          <w:kern w:val="0"/>
          <w:sz w:val="32"/>
          <w:szCs w:val="32"/>
          <w:highlight w:val="none"/>
        </w:rPr>
      </w:pPr>
    </w:p>
    <w:p w14:paraId="00B14E52">
      <w:pPr>
        <w:jc w:val="center"/>
        <w:rPr>
          <w:rFonts w:ascii="宋体" w:hAnsi="宋体" w:cs="宋体"/>
          <w:b/>
          <w:color w:val="auto"/>
          <w:kern w:val="0"/>
          <w:sz w:val="32"/>
          <w:szCs w:val="32"/>
          <w:highlight w:val="none"/>
        </w:rPr>
      </w:pPr>
    </w:p>
    <w:p w14:paraId="7F39468F">
      <w:pPr>
        <w:rPr>
          <w:rFonts w:ascii="宋体" w:hAnsi="宋体" w:cs="宋体"/>
          <w:color w:val="auto"/>
          <w:highlight w:val="none"/>
        </w:rPr>
      </w:pPr>
    </w:p>
    <w:p w14:paraId="0CA83FD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13471A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F28290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F36B1DC">
      <w:pPr>
        <w:snapToGrid w:val="0"/>
        <w:spacing w:line="360" w:lineRule="auto"/>
        <w:rPr>
          <w:rFonts w:ascii="宋体" w:hAnsi="宋体" w:cs="宋体"/>
          <w:color w:val="auto"/>
          <w:kern w:val="0"/>
          <w:sz w:val="24"/>
          <w:highlight w:val="none"/>
          <w:lang w:val="zh-CN"/>
        </w:rPr>
        <w:sectPr>
          <w:pgSz w:w="11906" w:h="16838"/>
          <w:pgMar w:top="1440" w:right="1080" w:bottom="1440" w:left="1080" w:header="851" w:footer="992" w:gutter="0"/>
          <w:cols w:space="720" w:num="1"/>
          <w:titlePg/>
          <w:docGrid w:linePitch="312" w:charSpace="0"/>
        </w:sectPr>
      </w:pPr>
      <w:r>
        <w:rPr>
          <w:rFonts w:hint="eastAsia" w:ascii="宋体" w:hAnsi="宋体" w:cs="宋体"/>
          <w:color w:val="auto"/>
          <w:kern w:val="0"/>
          <w:sz w:val="24"/>
          <w:highlight w:val="none"/>
          <w:lang w:val="zh-CN"/>
        </w:rPr>
        <w:t xml:space="preserve">                                               日期：  年  月   日</w:t>
      </w:r>
    </w:p>
    <w:p w14:paraId="5AB8F1A1">
      <w:pPr>
        <w:pStyle w:val="65"/>
        <w:ind w:firstLine="420"/>
        <w:rPr>
          <w:rFonts w:cs="宋体"/>
          <w:color w:val="auto"/>
          <w:highlight w:val="none"/>
          <w:lang w:val="zh-CN"/>
        </w:rPr>
      </w:pPr>
    </w:p>
    <w:p w14:paraId="0EB5631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7EB5DC92">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15A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7A17DA2">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2F79C6AD">
            <w:pPr>
              <w:pStyle w:val="153"/>
              <w:adjustRightInd w:val="0"/>
              <w:spacing w:line="360" w:lineRule="auto"/>
              <w:rPr>
                <w:rFonts w:hAnsi="宋体" w:cs="宋体"/>
                <w:bCs/>
                <w:color w:val="auto"/>
                <w:sz w:val="24"/>
                <w:highlight w:val="none"/>
              </w:rPr>
            </w:pPr>
          </w:p>
        </w:tc>
      </w:tr>
    </w:tbl>
    <w:p w14:paraId="320FFE8F">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D815EA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CA7A946">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EDC6101">
      <w:pPr>
        <w:jc w:val="center"/>
        <w:rPr>
          <w:rFonts w:ascii="宋体" w:hAnsi="宋体" w:cs="宋体"/>
          <w:b/>
          <w:color w:val="auto"/>
          <w:kern w:val="0"/>
          <w:sz w:val="32"/>
          <w:szCs w:val="32"/>
          <w:highlight w:val="none"/>
        </w:rPr>
      </w:pPr>
    </w:p>
    <w:p w14:paraId="748690D0">
      <w:pPr>
        <w:jc w:val="center"/>
        <w:rPr>
          <w:rFonts w:ascii="宋体" w:hAnsi="宋体" w:cs="宋体"/>
          <w:b/>
          <w:color w:val="auto"/>
          <w:kern w:val="0"/>
          <w:sz w:val="32"/>
          <w:szCs w:val="32"/>
          <w:highlight w:val="none"/>
        </w:rPr>
      </w:pPr>
    </w:p>
    <w:p w14:paraId="6CF799CF">
      <w:pPr>
        <w:jc w:val="center"/>
        <w:rPr>
          <w:rFonts w:ascii="宋体" w:hAnsi="宋体" w:cs="宋体"/>
          <w:b/>
          <w:color w:val="auto"/>
          <w:kern w:val="0"/>
          <w:sz w:val="32"/>
          <w:szCs w:val="32"/>
          <w:highlight w:val="none"/>
        </w:rPr>
      </w:pPr>
    </w:p>
    <w:p w14:paraId="1CB90870">
      <w:pPr>
        <w:jc w:val="center"/>
        <w:rPr>
          <w:rFonts w:ascii="宋体" w:hAnsi="宋体" w:cs="宋体"/>
          <w:b/>
          <w:color w:val="auto"/>
          <w:kern w:val="0"/>
          <w:sz w:val="32"/>
          <w:szCs w:val="32"/>
          <w:highlight w:val="none"/>
        </w:rPr>
      </w:pPr>
    </w:p>
    <w:p w14:paraId="00C415B0">
      <w:pPr>
        <w:jc w:val="center"/>
        <w:rPr>
          <w:rFonts w:ascii="宋体" w:hAnsi="宋体" w:cs="宋体"/>
          <w:b/>
          <w:color w:val="auto"/>
          <w:kern w:val="0"/>
          <w:sz w:val="32"/>
          <w:szCs w:val="32"/>
          <w:highlight w:val="none"/>
        </w:rPr>
      </w:pPr>
    </w:p>
    <w:p w14:paraId="6838026C">
      <w:pPr>
        <w:jc w:val="center"/>
        <w:rPr>
          <w:rFonts w:ascii="宋体" w:hAnsi="宋体" w:cs="宋体"/>
          <w:b/>
          <w:color w:val="auto"/>
          <w:kern w:val="0"/>
          <w:sz w:val="32"/>
          <w:szCs w:val="32"/>
          <w:highlight w:val="none"/>
        </w:rPr>
      </w:pPr>
    </w:p>
    <w:p w14:paraId="280BC1EF">
      <w:pPr>
        <w:jc w:val="center"/>
        <w:rPr>
          <w:rFonts w:ascii="宋体" w:hAnsi="宋体" w:cs="宋体"/>
          <w:b/>
          <w:color w:val="auto"/>
          <w:kern w:val="0"/>
          <w:sz w:val="32"/>
          <w:szCs w:val="32"/>
          <w:highlight w:val="none"/>
        </w:rPr>
      </w:pPr>
    </w:p>
    <w:p w14:paraId="0D7F5947">
      <w:pPr>
        <w:jc w:val="center"/>
        <w:rPr>
          <w:rFonts w:ascii="宋体" w:hAnsi="宋体" w:cs="宋体"/>
          <w:b/>
          <w:color w:val="auto"/>
          <w:kern w:val="0"/>
          <w:sz w:val="32"/>
          <w:szCs w:val="32"/>
          <w:highlight w:val="none"/>
        </w:rPr>
      </w:pPr>
    </w:p>
    <w:p w14:paraId="2FB06C50">
      <w:pPr>
        <w:jc w:val="center"/>
        <w:rPr>
          <w:rFonts w:ascii="宋体" w:hAnsi="宋体" w:cs="宋体"/>
          <w:b/>
          <w:color w:val="auto"/>
          <w:kern w:val="0"/>
          <w:sz w:val="32"/>
          <w:szCs w:val="32"/>
          <w:highlight w:val="none"/>
        </w:rPr>
      </w:pPr>
    </w:p>
    <w:p w14:paraId="6F337042">
      <w:pPr>
        <w:jc w:val="center"/>
        <w:rPr>
          <w:rFonts w:ascii="宋体" w:hAnsi="宋体" w:cs="宋体"/>
          <w:b/>
          <w:color w:val="auto"/>
          <w:kern w:val="0"/>
          <w:sz w:val="32"/>
          <w:szCs w:val="32"/>
          <w:highlight w:val="none"/>
        </w:rPr>
      </w:pPr>
    </w:p>
    <w:p w14:paraId="31025CAF">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303E65AF">
      <w:pPr>
        <w:snapToGrid w:val="0"/>
        <w:spacing w:line="360" w:lineRule="auto"/>
        <w:jc w:val="center"/>
        <w:rPr>
          <w:rFonts w:ascii="宋体" w:hAnsi="宋体" w:cs="宋体"/>
          <w:b/>
          <w:color w:val="auto"/>
          <w:kern w:val="0"/>
          <w:sz w:val="32"/>
          <w:szCs w:val="32"/>
          <w:highlight w:val="none"/>
        </w:rPr>
      </w:pPr>
    </w:p>
    <w:p w14:paraId="136D7A4E">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645465E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cs="宋体"/>
          <w:color w:val="auto"/>
          <w:sz w:val="24"/>
          <w:highlight w:val="none"/>
        </w:rPr>
        <w:t>]</w:t>
      </w:r>
    </w:p>
    <w:p w14:paraId="3AE1C898">
      <w:pPr>
        <w:snapToGrid w:val="0"/>
        <w:spacing w:line="360" w:lineRule="auto"/>
        <w:rPr>
          <w:rFonts w:ascii="宋体" w:hAnsi="宋体" w:cs="宋体"/>
          <w:color w:val="auto"/>
          <w:kern w:val="0"/>
          <w:sz w:val="24"/>
          <w:highlight w:val="none"/>
        </w:rPr>
      </w:pPr>
    </w:p>
    <w:p w14:paraId="7E718A6D">
      <w:pPr>
        <w:rPr>
          <w:rFonts w:ascii="宋体" w:hAnsi="宋体" w:cs="宋体"/>
          <w:color w:val="auto"/>
          <w:highlight w:val="none"/>
        </w:rPr>
      </w:pPr>
    </w:p>
    <w:p w14:paraId="72FE2E19">
      <w:pPr>
        <w:rPr>
          <w:rFonts w:ascii="宋体" w:hAnsi="宋体" w:cs="宋体"/>
          <w:color w:val="auto"/>
          <w:highlight w:val="none"/>
        </w:rPr>
      </w:pPr>
    </w:p>
    <w:p w14:paraId="6EAA7BC1">
      <w:pPr>
        <w:rPr>
          <w:rFonts w:ascii="宋体" w:hAnsi="宋体" w:cs="宋体"/>
          <w:color w:val="auto"/>
          <w:highlight w:val="none"/>
        </w:rPr>
      </w:pPr>
    </w:p>
    <w:p w14:paraId="56C7111D">
      <w:pPr>
        <w:rPr>
          <w:rFonts w:ascii="宋体" w:hAnsi="宋体" w:cs="宋体"/>
          <w:color w:val="auto"/>
          <w:highlight w:val="none"/>
        </w:rPr>
      </w:pPr>
    </w:p>
    <w:p w14:paraId="27AC02FF">
      <w:pPr>
        <w:jc w:val="center"/>
        <w:rPr>
          <w:rFonts w:ascii="宋体" w:hAnsi="宋体" w:cs="宋体"/>
          <w:b/>
          <w:color w:val="auto"/>
          <w:kern w:val="0"/>
          <w:sz w:val="32"/>
          <w:szCs w:val="32"/>
          <w:highlight w:val="none"/>
        </w:rPr>
      </w:pPr>
    </w:p>
    <w:p w14:paraId="0EEBE9C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157F1416">
      <w:pPr>
        <w:jc w:val="center"/>
        <w:rPr>
          <w:rFonts w:ascii="宋体" w:hAnsi="宋体" w:cs="宋体"/>
          <w:b/>
          <w:color w:val="auto"/>
          <w:kern w:val="0"/>
          <w:sz w:val="32"/>
          <w:szCs w:val="32"/>
          <w:highlight w:val="none"/>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214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4D76A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73DEC65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85B539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02BE04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AAAC99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70B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980563D">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344F89A6">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4C7C7D7">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D7D467C">
            <w:pPr>
              <w:rPr>
                <w:rFonts w:ascii="宋体" w:hAnsi="宋体" w:cs="宋体"/>
                <w:color w:val="auto"/>
                <w:sz w:val="24"/>
                <w:highlight w:val="none"/>
              </w:rPr>
            </w:pPr>
          </w:p>
          <w:p w14:paraId="3A23BFAF">
            <w:pPr>
              <w:rPr>
                <w:rFonts w:ascii="宋体" w:hAnsi="宋体" w:cs="宋体"/>
                <w:color w:val="auto"/>
                <w:sz w:val="24"/>
                <w:highlight w:val="none"/>
              </w:rPr>
            </w:pPr>
            <w:r>
              <w:rPr>
                <w:rFonts w:hint="eastAsia" w:ascii="宋体" w:hAnsi="宋体" w:cs="宋体"/>
                <w:color w:val="auto"/>
                <w:sz w:val="24"/>
                <w:highlight w:val="none"/>
              </w:rPr>
              <w:t>见投标文件</w:t>
            </w:r>
          </w:p>
          <w:p w14:paraId="148E63F8">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5B2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61D4B3">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4784686E">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21C43F68">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39D340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623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2FF4B7">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7B5EAF54">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48043025">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0D30082A">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D84141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F0D0D01">
      <w:pPr>
        <w:jc w:val="center"/>
        <w:rPr>
          <w:rFonts w:ascii="宋体" w:hAnsi="宋体" w:cs="宋体"/>
          <w:b/>
          <w:color w:val="auto"/>
          <w:kern w:val="0"/>
          <w:sz w:val="32"/>
          <w:szCs w:val="32"/>
          <w:highlight w:val="none"/>
        </w:rPr>
      </w:pPr>
    </w:p>
    <w:p w14:paraId="14F1AAD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7888445">
      <w:pPr>
        <w:jc w:val="center"/>
        <w:rPr>
          <w:rFonts w:ascii="宋体" w:hAnsi="宋体" w:cs="宋体"/>
          <w:b/>
          <w:color w:val="auto"/>
          <w:kern w:val="0"/>
          <w:sz w:val="32"/>
          <w:szCs w:val="32"/>
          <w:highlight w:val="none"/>
        </w:rPr>
      </w:pPr>
    </w:p>
    <w:p w14:paraId="732241BD">
      <w:pPr>
        <w:jc w:val="center"/>
        <w:rPr>
          <w:rFonts w:ascii="宋体" w:hAnsi="宋体" w:cs="宋体"/>
          <w:b/>
          <w:color w:val="auto"/>
          <w:kern w:val="0"/>
          <w:sz w:val="32"/>
          <w:szCs w:val="32"/>
          <w:highlight w:val="none"/>
        </w:rPr>
      </w:pPr>
    </w:p>
    <w:p w14:paraId="3614CF30">
      <w:pPr>
        <w:jc w:val="center"/>
        <w:rPr>
          <w:rFonts w:ascii="宋体" w:hAnsi="宋体" w:cs="宋体"/>
          <w:b/>
          <w:color w:val="auto"/>
          <w:kern w:val="0"/>
          <w:sz w:val="32"/>
          <w:szCs w:val="32"/>
          <w:highlight w:val="none"/>
        </w:rPr>
      </w:pPr>
    </w:p>
    <w:p w14:paraId="26ED71D9">
      <w:pPr>
        <w:jc w:val="center"/>
        <w:rPr>
          <w:rFonts w:ascii="宋体" w:hAnsi="宋体" w:cs="宋体"/>
          <w:b/>
          <w:color w:val="auto"/>
          <w:kern w:val="0"/>
          <w:sz w:val="32"/>
          <w:szCs w:val="32"/>
          <w:highlight w:val="none"/>
        </w:rPr>
      </w:pPr>
    </w:p>
    <w:p w14:paraId="2F94C052">
      <w:pPr>
        <w:widowControl/>
        <w:adjustRightInd/>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2C0EAAB">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3257583">
      <w:pPr>
        <w:snapToGrid w:val="0"/>
        <w:spacing w:line="360" w:lineRule="auto"/>
        <w:jc w:val="left"/>
        <w:rPr>
          <w:rFonts w:ascii="宋体" w:hAnsi="宋体" w:cs="宋体"/>
          <w:b/>
          <w:color w:val="auto"/>
          <w:sz w:val="24"/>
          <w:highlight w:val="none"/>
        </w:rPr>
      </w:pPr>
    </w:p>
    <w:p w14:paraId="114EAC9E">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（按招标文件第四部分评标办法提供资料。）</w:t>
      </w:r>
    </w:p>
    <w:p w14:paraId="29CF94FD">
      <w:pPr>
        <w:jc w:val="center"/>
        <w:rPr>
          <w:rFonts w:ascii="宋体" w:hAnsi="宋体" w:cs="宋体"/>
          <w:b/>
          <w:color w:val="auto"/>
          <w:kern w:val="0"/>
          <w:sz w:val="32"/>
          <w:szCs w:val="32"/>
          <w:highlight w:val="none"/>
        </w:rPr>
      </w:pPr>
    </w:p>
    <w:p w14:paraId="1A88E59B">
      <w:pPr>
        <w:jc w:val="center"/>
        <w:rPr>
          <w:rFonts w:ascii="宋体" w:hAnsi="宋体" w:cs="宋体"/>
          <w:b/>
          <w:color w:val="auto"/>
          <w:kern w:val="0"/>
          <w:sz w:val="32"/>
          <w:szCs w:val="32"/>
          <w:highlight w:val="none"/>
        </w:rPr>
      </w:pPr>
    </w:p>
    <w:p w14:paraId="4930594A">
      <w:pPr>
        <w:jc w:val="center"/>
        <w:rPr>
          <w:rFonts w:ascii="宋体" w:hAnsi="宋体" w:cs="宋体"/>
          <w:b/>
          <w:color w:val="auto"/>
          <w:kern w:val="0"/>
          <w:sz w:val="32"/>
          <w:szCs w:val="32"/>
          <w:highlight w:val="none"/>
        </w:rPr>
      </w:pPr>
    </w:p>
    <w:p w14:paraId="5037EFD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p w14:paraId="383477FB">
      <w:pPr>
        <w:rPr>
          <w:rFonts w:ascii="宋体" w:hAnsi="宋体" w:cs="宋体"/>
          <w:color w:val="auto"/>
          <w:highlight w:val="none"/>
        </w:rPr>
      </w:pPr>
    </w:p>
    <w:tbl>
      <w:tblPr>
        <w:tblStyle w:val="6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526"/>
        <w:gridCol w:w="1244"/>
        <w:gridCol w:w="1405"/>
        <w:gridCol w:w="3097"/>
        <w:gridCol w:w="1865"/>
      </w:tblGrid>
      <w:tr w14:paraId="16EA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5770D11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311B66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624" w:type="pct"/>
            <w:tcBorders>
              <w:top w:val="single" w:color="auto" w:sz="4" w:space="0"/>
              <w:left w:val="single" w:color="auto" w:sz="4" w:space="0"/>
              <w:bottom w:val="single" w:color="auto" w:sz="4" w:space="0"/>
              <w:right w:val="single" w:color="auto" w:sz="4" w:space="0"/>
            </w:tcBorders>
          </w:tcPr>
          <w:p w14:paraId="0476AFC9">
            <w:pPr>
              <w:spacing w:line="360" w:lineRule="auto"/>
              <w:jc w:val="center"/>
              <w:rPr>
                <w:rFonts w:ascii="宋体" w:hAnsi="宋体" w:cs="宋体"/>
                <w:b/>
                <w:color w:val="auto"/>
                <w:sz w:val="24"/>
                <w:highlight w:val="none"/>
              </w:rPr>
            </w:pPr>
          </w:p>
          <w:p w14:paraId="3058530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705" w:type="pct"/>
            <w:tcBorders>
              <w:top w:val="single" w:color="auto" w:sz="4" w:space="0"/>
              <w:left w:val="single" w:color="auto" w:sz="4" w:space="0"/>
              <w:bottom w:val="single" w:color="auto" w:sz="4" w:space="0"/>
              <w:right w:val="single" w:color="auto" w:sz="4" w:space="0"/>
            </w:tcBorders>
            <w:vAlign w:val="center"/>
          </w:tcPr>
          <w:p w14:paraId="4A4B38F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554" w:type="pct"/>
            <w:tcBorders>
              <w:top w:val="single" w:color="auto" w:sz="4" w:space="0"/>
              <w:left w:val="single" w:color="auto" w:sz="4" w:space="0"/>
              <w:bottom w:val="single" w:color="auto" w:sz="4" w:space="0"/>
              <w:right w:val="single" w:color="auto" w:sz="4" w:space="0"/>
            </w:tcBorders>
            <w:vAlign w:val="center"/>
          </w:tcPr>
          <w:p w14:paraId="14AFE0B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36" w:type="pct"/>
            <w:tcBorders>
              <w:top w:val="single" w:color="auto" w:sz="4" w:space="0"/>
              <w:left w:val="single" w:color="auto" w:sz="4" w:space="0"/>
              <w:bottom w:val="single" w:color="auto" w:sz="4" w:space="0"/>
              <w:right w:val="single" w:color="auto" w:sz="4" w:space="0"/>
            </w:tcBorders>
            <w:vAlign w:val="center"/>
          </w:tcPr>
          <w:p w14:paraId="7A02DB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BBC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1F33FF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66" w:type="pct"/>
            <w:tcBorders>
              <w:top w:val="single" w:color="auto" w:sz="4" w:space="0"/>
              <w:left w:val="single" w:color="auto" w:sz="4" w:space="0"/>
              <w:bottom w:val="single" w:color="auto" w:sz="4" w:space="0"/>
              <w:right w:val="single" w:color="auto" w:sz="4" w:space="0"/>
            </w:tcBorders>
            <w:vAlign w:val="center"/>
          </w:tcPr>
          <w:p w14:paraId="262688A8">
            <w:pPr>
              <w:snapToGrid w:val="0"/>
              <w:spacing w:line="360" w:lineRule="auto"/>
              <w:jc w:val="center"/>
              <w:rPr>
                <w:rFonts w:ascii="宋体" w:hAnsi="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68831DCA">
            <w:pPr>
              <w:snapToGrid w:val="0"/>
              <w:spacing w:line="360" w:lineRule="auto"/>
              <w:jc w:val="center"/>
              <w:rPr>
                <w:rFonts w:ascii="宋体" w:hAnsi="宋体" w:cs="宋体"/>
                <w:color w:val="auto"/>
                <w:sz w:val="24"/>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5CFE6EC">
            <w:pPr>
              <w:snapToGrid w:val="0"/>
              <w:spacing w:line="360" w:lineRule="auto"/>
              <w:jc w:val="center"/>
              <w:rPr>
                <w:rFonts w:ascii="宋体" w:hAnsi="宋体" w:cs="宋体"/>
                <w:color w:val="auto"/>
                <w:sz w:val="24"/>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5E6AD27D">
            <w:pPr>
              <w:spacing w:line="360" w:lineRule="auto"/>
              <w:jc w:val="center"/>
              <w:rPr>
                <w:rFonts w:ascii="宋体" w:hAnsi="宋体" w:cs="宋体"/>
                <w:color w:val="auto"/>
                <w:sz w:val="24"/>
                <w:highlight w:val="none"/>
              </w:rPr>
            </w:pPr>
          </w:p>
        </w:tc>
        <w:tc>
          <w:tcPr>
            <w:tcW w:w="936" w:type="pct"/>
            <w:tcBorders>
              <w:top w:val="single" w:color="auto" w:sz="4" w:space="0"/>
              <w:left w:val="single" w:color="auto" w:sz="4" w:space="0"/>
              <w:bottom w:val="single" w:color="auto" w:sz="4" w:space="0"/>
              <w:right w:val="single" w:color="auto" w:sz="4" w:space="0"/>
            </w:tcBorders>
            <w:vAlign w:val="center"/>
          </w:tcPr>
          <w:p w14:paraId="5C2CD154">
            <w:pPr>
              <w:spacing w:line="360" w:lineRule="auto"/>
              <w:jc w:val="center"/>
              <w:rPr>
                <w:rFonts w:ascii="宋体" w:hAnsi="宋体" w:cs="宋体"/>
                <w:color w:val="auto"/>
                <w:sz w:val="24"/>
                <w:highlight w:val="none"/>
              </w:rPr>
            </w:pPr>
          </w:p>
        </w:tc>
      </w:tr>
      <w:tr w14:paraId="4E0C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BB7DE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66" w:type="pct"/>
            <w:tcBorders>
              <w:top w:val="single" w:color="auto" w:sz="4" w:space="0"/>
              <w:left w:val="single" w:color="auto" w:sz="4" w:space="0"/>
              <w:bottom w:val="single" w:color="auto" w:sz="4" w:space="0"/>
              <w:right w:val="single" w:color="auto" w:sz="4" w:space="0"/>
            </w:tcBorders>
            <w:vAlign w:val="center"/>
          </w:tcPr>
          <w:p w14:paraId="5B0A4A55">
            <w:pPr>
              <w:snapToGrid w:val="0"/>
              <w:spacing w:line="360" w:lineRule="auto"/>
              <w:jc w:val="center"/>
              <w:rPr>
                <w:rFonts w:ascii="宋体" w:hAnsi="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5BCF7FF1">
            <w:pPr>
              <w:snapToGrid w:val="0"/>
              <w:spacing w:line="360" w:lineRule="auto"/>
              <w:jc w:val="center"/>
              <w:rPr>
                <w:rFonts w:ascii="宋体" w:hAnsi="宋体" w:cs="宋体"/>
                <w:color w:val="auto"/>
                <w:sz w:val="24"/>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4F161952">
            <w:pPr>
              <w:snapToGrid w:val="0"/>
              <w:spacing w:line="360" w:lineRule="auto"/>
              <w:jc w:val="center"/>
              <w:rPr>
                <w:rFonts w:ascii="宋体" w:hAnsi="宋体" w:cs="宋体"/>
                <w:color w:val="auto"/>
                <w:sz w:val="24"/>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7B63A475">
            <w:pPr>
              <w:spacing w:line="360" w:lineRule="auto"/>
              <w:jc w:val="center"/>
              <w:rPr>
                <w:rFonts w:ascii="宋体" w:hAnsi="宋体" w:cs="宋体"/>
                <w:color w:val="auto"/>
                <w:sz w:val="24"/>
                <w:highlight w:val="none"/>
              </w:rPr>
            </w:pPr>
          </w:p>
        </w:tc>
        <w:tc>
          <w:tcPr>
            <w:tcW w:w="936" w:type="pct"/>
            <w:tcBorders>
              <w:top w:val="single" w:color="auto" w:sz="4" w:space="0"/>
              <w:left w:val="single" w:color="auto" w:sz="4" w:space="0"/>
              <w:bottom w:val="single" w:color="auto" w:sz="4" w:space="0"/>
              <w:right w:val="single" w:color="auto" w:sz="4" w:space="0"/>
            </w:tcBorders>
            <w:vAlign w:val="center"/>
          </w:tcPr>
          <w:p w14:paraId="079B5D3F">
            <w:pPr>
              <w:spacing w:line="360" w:lineRule="auto"/>
              <w:jc w:val="center"/>
              <w:rPr>
                <w:rFonts w:ascii="宋体" w:hAnsi="宋体" w:cs="宋体"/>
                <w:color w:val="auto"/>
                <w:sz w:val="24"/>
                <w:highlight w:val="none"/>
              </w:rPr>
            </w:pPr>
          </w:p>
        </w:tc>
      </w:tr>
      <w:tr w14:paraId="0C41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366386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766" w:type="pct"/>
            <w:tcBorders>
              <w:top w:val="single" w:color="auto" w:sz="4" w:space="0"/>
              <w:left w:val="single" w:color="auto" w:sz="4" w:space="0"/>
              <w:bottom w:val="single" w:color="auto" w:sz="4" w:space="0"/>
              <w:right w:val="single" w:color="auto" w:sz="4" w:space="0"/>
            </w:tcBorders>
            <w:vAlign w:val="center"/>
          </w:tcPr>
          <w:p w14:paraId="03AD419B">
            <w:pPr>
              <w:snapToGrid w:val="0"/>
              <w:spacing w:line="360" w:lineRule="auto"/>
              <w:jc w:val="center"/>
              <w:rPr>
                <w:rFonts w:ascii="宋体" w:hAnsi="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4C2CCF48">
            <w:pPr>
              <w:snapToGrid w:val="0"/>
              <w:spacing w:line="360" w:lineRule="auto"/>
              <w:jc w:val="center"/>
              <w:rPr>
                <w:rFonts w:ascii="宋体" w:hAnsi="宋体" w:cs="宋体"/>
                <w:color w:val="auto"/>
                <w:sz w:val="24"/>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96517CC">
            <w:pPr>
              <w:snapToGrid w:val="0"/>
              <w:spacing w:line="360" w:lineRule="auto"/>
              <w:jc w:val="center"/>
              <w:rPr>
                <w:rFonts w:ascii="宋体" w:hAnsi="宋体" w:cs="宋体"/>
                <w:color w:val="auto"/>
                <w:sz w:val="24"/>
                <w:highlight w:val="none"/>
              </w:rPr>
            </w:pPr>
          </w:p>
        </w:tc>
        <w:tc>
          <w:tcPr>
            <w:tcW w:w="1554" w:type="pct"/>
            <w:tcBorders>
              <w:top w:val="single" w:color="auto" w:sz="4" w:space="0"/>
              <w:left w:val="single" w:color="auto" w:sz="4" w:space="0"/>
              <w:bottom w:val="single" w:color="auto" w:sz="4" w:space="0"/>
              <w:right w:val="single" w:color="auto" w:sz="4" w:space="0"/>
            </w:tcBorders>
            <w:vAlign w:val="center"/>
          </w:tcPr>
          <w:p w14:paraId="3B26EAF5">
            <w:pPr>
              <w:spacing w:line="360" w:lineRule="auto"/>
              <w:jc w:val="center"/>
              <w:rPr>
                <w:rFonts w:ascii="宋体" w:hAnsi="宋体" w:cs="宋体"/>
                <w:color w:val="auto"/>
                <w:sz w:val="24"/>
                <w:highlight w:val="none"/>
              </w:rPr>
            </w:pPr>
          </w:p>
        </w:tc>
        <w:tc>
          <w:tcPr>
            <w:tcW w:w="936" w:type="pct"/>
            <w:tcBorders>
              <w:top w:val="single" w:color="auto" w:sz="4" w:space="0"/>
              <w:left w:val="single" w:color="auto" w:sz="4" w:space="0"/>
              <w:bottom w:val="single" w:color="auto" w:sz="4" w:space="0"/>
              <w:right w:val="single" w:color="auto" w:sz="4" w:space="0"/>
            </w:tcBorders>
            <w:vAlign w:val="center"/>
          </w:tcPr>
          <w:p w14:paraId="31574278">
            <w:pPr>
              <w:spacing w:line="360" w:lineRule="auto"/>
              <w:jc w:val="center"/>
              <w:rPr>
                <w:rFonts w:ascii="宋体" w:hAnsi="宋体" w:cs="宋体"/>
                <w:color w:val="auto"/>
                <w:sz w:val="24"/>
                <w:highlight w:val="none"/>
              </w:rPr>
            </w:pPr>
          </w:p>
        </w:tc>
      </w:tr>
    </w:tbl>
    <w:p w14:paraId="67C4FA6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44D4437">
      <w:pPr>
        <w:jc w:val="center"/>
        <w:rPr>
          <w:rFonts w:ascii="宋体" w:hAnsi="宋体" w:cs="宋体"/>
          <w:b/>
          <w:color w:val="auto"/>
          <w:kern w:val="0"/>
          <w:sz w:val="32"/>
          <w:szCs w:val="32"/>
          <w:highlight w:val="none"/>
        </w:rPr>
      </w:pPr>
    </w:p>
    <w:p w14:paraId="5B700408">
      <w:pPr>
        <w:jc w:val="center"/>
        <w:rPr>
          <w:rFonts w:ascii="宋体" w:hAnsi="宋体" w:cs="宋体"/>
          <w:b/>
          <w:color w:val="auto"/>
          <w:kern w:val="0"/>
          <w:sz w:val="32"/>
          <w:szCs w:val="32"/>
          <w:highlight w:val="none"/>
        </w:rPr>
      </w:pPr>
    </w:p>
    <w:p w14:paraId="56C6F763">
      <w:pPr>
        <w:numPr>
          <w:ilvl w:val="0"/>
          <w:numId w:val="4"/>
        </w:num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商务技术偏离表</w:t>
      </w:r>
    </w:p>
    <w:p w14:paraId="036AA717">
      <w:pPr>
        <w:rPr>
          <w:rFonts w:ascii="宋体" w:hAnsi="宋体" w:cs="宋体"/>
          <w:color w:val="auto"/>
          <w:highlight w:val="none"/>
        </w:rPr>
      </w:pPr>
    </w:p>
    <w:tbl>
      <w:tblPr>
        <w:tblStyle w:val="6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875"/>
        <w:gridCol w:w="3732"/>
        <w:gridCol w:w="1343"/>
      </w:tblGrid>
      <w:tr w14:paraId="1424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DDDB6E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945" w:type="pct"/>
          </w:tcPr>
          <w:p w14:paraId="4DBF15E3">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1873" w:type="pct"/>
          </w:tcPr>
          <w:p w14:paraId="34E8E8B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674" w:type="pct"/>
          </w:tcPr>
          <w:p w14:paraId="281C1838">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79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1527B525">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45" w:type="pct"/>
          </w:tcPr>
          <w:p w14:paraId="784F6D16">
            <w:pPr>
              <w:jc w:val="center"/>
              <w:rPr>
                <w:rFonts w:ascii="宋体" w:hAnsi="宋体" w:cs="宋体"/>
                <w:b/>
                <w:color w:val="auto"/>
                <w:kern w:val="0"/>
                <w:sz w:val="32"/>
                <w:szCs w:val="32"/>
                <w:highlight w:val="none"/>
              </w:rPr>
            </w:pPr>
          </w:p>
        </w:tc>
        <w:tc>
          <w:tcPr>
            <w:tcW w:w="1873" w:type="pct"/>
          </w:tcPr>
          <w:p w14:paraId="25C19A79">
            <w:pPr>
              <w:jc w:val="center"/>
              <w:rPr>
                <w:rFonts w:ascii="宋体" w:hAnsi="宋体" w:cs="宋体"/>
                <w:b/>
                <w:color w:val="auto"/>
                <w:kern w:val="0"/>
                <w:sz w:val="32"/>
                <w:szCs w:val="32"/>
                <w:highlight w:val="none"/>
              </w:rPr>
            </w:pPr>
          </w:p>
        </w:tc>
        <w:tc>
          <w:tcPr>
            <w:tcW w:w="674" w:type="pct"/>
          </w:tcPr>
          <w:p w14:paraId="0EB08426">
            <w:pPr>
              <w:jc w:val="center"/>
              <w:rPr>
                <w:rFonts w:ascii="宋体" w:hAnsi="宋体" w:cs="宋体"/>
                <w:b/>
                <w:color w:val="auto"/>
                <w:kern w:val="0"/>
                <w:sz w:val="32"/>
                <w:szCs w:val="32"/>
                <w:highlight w:val="none"/>
              </w:rPr>
            </w:pPr>
          </w:p>
        </w:tc>
      </w:tr>
      <w:tr w14:paraId="3241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A403EA9">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45" w:type="pct"/>
          </w:tcPr>
          <w:p w14:paraId="209C09A9">
            <w:pPr>
              <w:jc w:val="center"/>
              <w:rPr>
                <w:rFonts w:ascii="宋体" w:hAnsi="宋体" w:cs="宋体"/>
                <w:b/>
                <w:color w:val="auto"/>
                <w:kern w:val="0"/>
                <w:sz w:val="32"/>
                <w:szCs w:val="32"/>
                <w:highlight w:val="none"/>
              </w:rPr>
            </w:pPr>
          </w:p>
        </w:tc>
        <w:tc>
          <w:tcPr>
            <w:tcW w:w="1873" w:type="pct"/>
          </w:tcPr>
          <w:p w14:paraId="15FBEB49">
            <w:pPr>
              <w:jc w:val="center"/>
              <w:rPr>
                <w:rFonts w:ascii="宋体" w:hAnsi="宋体" w:cs="宋体"/>
                <w:b/>
                <w:color w:val="auto"/>
                <w:kern w:val="0"/>
                <w:sz w:val="32"/>
                <w:szCs w:val="32"/>
                <w:highlight w:val="none"/>
              </w:rPr>
            </w:pPr>
          </w:p>
        </w:tc>
        <w:tc>
          <w:tcPr>
            <w:tcW w:w="674" w:type="pct"/>
          </w:tcPr>
          <w:p w14:paraId="6966E6F2">
            <w:pPr>
              <w:jc w:val="center"/>
              <w:rPr>
                <w:rFonts w:ascii="宋体" w:hAnsi="宋体" w:cs="宋体"/>
                <w:b/>
                <w:color w:val="auto"/>
                <w:kern w:val="0"/>
                <w:sz w:val="32"/>
                <w:szCs w:val="32"/>
                <w:highlight w:val="none"/>
              </w:rPr>
            </w:pPr>
          </w:p>
        </w:tc>
      </w:tr>
      <w:tr w14:paraId="3730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7F75C1D6">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945" w:type="pct"/>
          </w:tcPr>
          <w:p w14:paraId="3B8A3D14">
            <w:pPr>
              <w:jc w:val="center"/>
              <w:rPr>
                <w:rFonts w:ascii="宋体" w:hAnsi="宋体" w:cs="宋体"/>
                <w:b/>
                <w:color w:val="auto"/>
                <w:kern w:val="0"/>
                <w:sz w:val="32"/>
                <w:szCs w:val="32"/>
                <w:highlight w:val="none"/>
              </w:rPr>
            </w:pPr>
          </w:p>
        </w:tc>
        <w:tc>
          <w:tcPr>
            <w:tcW w:w="1873" w:type="pct"/>
          </w:tcPr>
          <w:p w14:paraId="1F81F892">
            <w:pPr>
              <w:jc w:val="center"/>
              <w:rPr>
                <w:rFonts w:ascii="宋体" w:hAnsi="宋体" w:cs="宋体"/>
                <w:b/>
                <w:color w:val="auto"/>
                <w:kern w:val="0"/>
                <w:sz w:val="32"/>
                <w:szCs w:val="32"/>
                <w:highlight w:val="none"/>
              </w:rPr>
            </w:pPr>
          </w:p>
        </w:tc>
        <w:tc>
          <w:tcPr>
            <w:tcW w:w="674" w:type="pct"/>
          </w:tcPr>
          <w:p w14:paraId="755BF92B">
            <w:pPr>
              <w:jc w:val="center"/>
              <w:rPr>
                <w:rFonts w:ascii="宋体" w:hAnsi="宋体" w:cs="宋体"/>
                <w:b/>
                <w:color w:val="auto"/>
                <w:kern w:val="0"/>
                <w:sz w:val="32"/>
                <w:szCs w:val="32"/>
                <w:highlight w:val="none"/>
              </w:rPr>
            </w:pPr>
          </w:p>
        </w:tc>
      </w:tr>
    </w:tbl>
    <w:p w14:paraId="65865C0E">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382C0FF">
      <w:pPr>
        <w:jc w:val="center"/>
        <w:rPr>
          <w:rFonts w:ascii="宋体" w:hAnsi="宋体" w:cs="宋体"/>
          <w:b/>
          <w:color w:val="auto"/>
          <w:kern w:val="0"/>
          <w:sz w:val="32"/>
          <w:szCs w:val="32"/>
          <w:highlight w:val="none"/>
        </w:rPr>
      </w:pPr>
    </w:p>
    <w:p w14:paraId="4FF398F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288E71B">
      <w:pPr>
        <w:ind w:firstLine="1911" w:firstLineChars="595"/>
        <w:rPr>
          <w:rFonts w:ascii="宋体" w:hAnsi="宋体" w:cs="宋体"/>
          <w:b/>
          <w:bCs/>
          <w:color w:val="auto"/>
          <w:sz w:val="32"/>
          <w:szCs w:val="32"/>
          <w:highlight w:val="none"/>
        </w:rPr>
      </w:pPr>
    </w:p>
    <w:p w14:paraId="0D229212">
      <w:pPr>
        <w:ind w:firstLine="1911" w:firstLineChars="595"/>
        <w:rPr>
          <w:rFonts w:ascii="宋体" w:hAnsi="宋体" w:cs="宋体"/>
          <w:b/>
          <w:bCs/>
          <w:color w:val="auto"/>
          <w:sz w:val="32"/>
          <w:szCs w:val="32"/>
          <w:highlight w:val="none"/>
        </w:rPr>
      </w:pPr>
    </w:p>
    <w:p w14:paraId="6C0F1FE4">
      <w:pPr>
        <w:ind w:firstLine="1911" w:firstLineChars="595"/>
        <w:rPr>
          <w:rFonts w:ascii="宋体" w:hAnsi="宋体" w:cs="宋体"/>
          <w:b/>
          <w:bCs/>
          <w:color w:val="auto"/>
          <w:sz w:val="32"/>
          <w:szCs w:val="32"/>
          <w:highlight w:val="none"/>
        </w:rPr>
      </w:pPr>
    </w:p>
    <w:p w14:paraId="556C07E2">
      <w:pPr>
        <w:ind w:firstLine="1911" w:firstLineChars="595"/>
        <w:rPr>
          <w:rFonts w:ascii="宋体" w:hAnsi="宋体" w:cs="宋体"/>
          <w:b/>
          <w:bCs/>
          <w:color w:val="auto"/>
          <w:sz w:val="32"/>
          <w:szCs w:val="32"/>
          <w:highlight w:val="none"/>
        </w:rPr>
      </w:pPr>
    </w:p>
    <w:p w14:paraId="57F78A03">
      <w:pPr>
        <w:ind w:firstLine="1911" w:firstLineChars="595"/>
        <w:rPr>
          <w:rFonts w:ascii="宋体" w:hAnsi="宋体" w:cs="宋体"/>
          <w:b/>
          <w:bCs/>
          <w:color w:val="auto"/>
          <w:sz w:val="32"/>
          <w:szCs w:val="32"/>
          <w:highlight w:val="none"/>
        </w:rPr>
      </w:pPr>
    </w:p>
    <w:p w14:paraId="3247DA86">
      <w:pPr>
        <w:widowControl/>
        <w:adjustRightInd/>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B22C8D3">
      <w:pPr>
        <w:ind w:firstLine="1911" w:firstLineChars="595"/>
        <w:rPr>
          <w:rFonts w:ascii="宋体" w:hAnsi="宋体" w:cs="宋体"/>
          <w:b/>
          <w:bCs/>
          <w:color w:val="auto"/>
          <w:sz w:val="32"/>
          <w:szCs w:val="32"/>
          <w:highlight w:val="none"/>
        </w:rPr>
      </w:pPr>
    </w:p>
    <w:p w14:paraId="1ADB997D">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417270C">
      <w:pPr>
        <w:snapToGrid w:val="0"/>
        <w:spacing w:line="360" w:lineRule="auto"/>
        <w:rPr>
          <w:rFonts w:ascii="宋体" w:hAnsi="宋体" w:cs="宋体"/>
          <w:color w:val="auto"/>
          <w:sz w:val="24"/>
          <w:highlight w:val="none"/>
        </w:rPr>
      </w:pPr>
    </w:p>
    <w:p w14:paraId="3EA3BD1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浙江海洋大学、浙江科佳工程咨询有限公司</w:t>
      </w:r>
      <w:r>
        <w:rPr>
          <w:rFonts w:hint="eastAsia" w:ascii="宋体" w:hAnsi="宋体" w:cs="宋体"/>
          <w:color w:val="auto"/>
          <w:kern w:val="0"/>
          <w:sz w:val="24"/>
          <w:highlight w:val="none"/>
          <w:lang w:val="zh-CN"/>
        </w:rPr>
        <w:t>：</w:t>
      </w:r>
    </w:p>
    <w:p w14:paraId="184CEED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93F3BE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6431AA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12014D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B53FF4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876D90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E47275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404413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AE1E47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36AD87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B746787">
      <w:pPr>
        <w:autoSpaceDE w:val="0"/>
        <w:autoSpaceDN w:val="0"/>
        <w:spacing w:line="360" w:lineRule="auto"/>
        <w:ind w:left="2"/>
        <w:jc w:val="left"/>
        <w:rPr>
          <w:rFonts w:ascii="宋体" w:hAnsi="宋体" w:cs="宋体"/>
          <w:color w:val="auto"/>
          <w:kern w:val="0"/>
          <w:sz w:val="24"/>
          <w:highlight w:val="none"/>
          <w:lang w:val="zh-CN"/>
        </w:rPr>
      </w:pPr>
    </w:p>
    <w:p w14:paraId="1B4C6C95">
      <w:pPr>
        <w:autoSpaceDE w:val="0"/>
        <w:autoSpaceDN w:val="0"/>
        <w:spacing w:line="360" w:lineRule="auto"/>
        <w:ind w:left="2"/>
        <w:jc w:val="left"/>
        <w:rPr>
          <w:rFonts w:ascii="宋体" w:hAnsi="宋体" w:cs="宋体"/>
          <w:color w:val="auto"/>
          <w:kern w:val="0"/>
          <w:sz w:val="24"/>
          <w:highlight w:val="none"/>
          <w:lang w:val="zh-CN"/>
        </w:rPr>
      </w:pPr>
    </w:p>
    <w:p w14:paraId="407FE35E">
      <w:pPr>
        <w:autoSpaceDE w:val="0"/>
        <w:autoSpaceDN w:val="0"/>
        <w:spacing w:line="360" w:lineRule="auto"/>
        <w:ind w:left="2"/>
        <w:jc w:val="left"/>
        <w:rPr>
          <w:rFonts w:ascii="宋体" w:hAnsi="宋体" w:cs="宋体"/>
          <w:color w:val="auto"/>
          <w:kern w:val="0"/>
          <w:sz w:val="24"/>
          <w:highlight w:val="none"/>
          <w:lang w:val="zh-CN"/>
        </w:rPr>
      </w:pPr>
    </w:p>
    <w:p w14:paraId="1492033F">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50DE5AA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5A80AD5">
      <w:pPr>
        <w:spacing w:line="360" w:lineRule="auto"/>
        <w:jc w:val="center"/>
        <w:rPr>
          <w:rFonts w:ascii="宋体" w:hAnsi="宋体" w:cs="宋体"/>
          <w:b/>
          <w:bCs/>
          <w:color w:val="auto"/>
          <w:sz w:val="24"/>
          <w:highlight w:val="none"/>
        </w:rPr>
      </w:pPr>
    </w:p>
    <w:p w14:paraId="358DF3A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CA6CDA8">
      <w:pPr>
        <w:rPr>
          <w:rFonts w:ascii="宋体" w:hAnsi="宋体" w:cs="宋体"/>
          <w:b/>
          <w:bCs/>
          <w:color w:val="auto"/>
          <w:sz w:val="24"/>
          <w:highlight w:val="none"/>
        </w:rPr>
      </w:pPr>
      <w:r>
        <w:rPr>
          <w:rFonts w:hint="eastAsia" w:ascii="宋体" w:hAnsi="宋体" w:cs="宋体"/>
          <w:b/>
          <w:bCs/>
          <w:color w:val="auto"/>
          <w:sz w:val="24"/>
          <w:highlight w:val="none"/>
        </w:rPr>
        <w:br w:type="page"/>
      </w:r>
    </w:p>
    <w:p w14:paraId="2C75A805">
      <w:pPr>
        <w:pStyle w:val="3"/>
        <w:rPr>
          <w:rFonts w:cs="宋体"/>
          <w:color w:val="auto"/>
          <w:highlight w:val="none"/>
        </w:rPr>
      </w:pPr>
      <w:bookmarkStart w:id="417" w:name="_Toc7986"/>
      <w:r>
        <w:rPr>
          <w:rFonts w:hint="eastAsia" w:cs="宋体"/>
          <w:color w:val="auto"/>
          <w:highlight w:val="none"/>
        </w:rPr>
        <w:t>报价文件部分</w:t>
      </w:r>
      <w:bookmarkEnd w:id="417"/>
    </w:p>
    <w:p w14:paraId="7823FC2F">
      <w:pPr>
        <w:rPr>
          <w:rFonts w:ascii="宋体" w:hAnsi="宋体" w:cs="宋体"/>
          <w:color w:val="auto"/>
          <w:highlight w:val="none"/>
        </w:rPr>
      </w:pPr>
    </w:p>
    <w:p w14:paraId="1972603F">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目录</w:t>
      </w:r>
    </w:p>
    <w:p w14:paraId="3B379C5D">
      <w:pPr>
        <w:rPr>
          <w:rFonts w:ascii="宋体" w:hAnsi="宋体" w:cs="宋体"/>
          <w:color w:val="auto"/>
          <w:highlight w:val="none"/>
        </w:rPr>
      </w:pPr>
    </w:p>
    <w:p w14:paraId="013B9AC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70BB36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3E2FC02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（3）关于符合本国产品标准的声明函………………………………………………（页码）</w:t>
      </w:r>
    </w:p>
    <w:p w14:paraId="5DE27822">
      <w:pPr>
        <w:snapToGrid w:val="0"/>
        <w:spacing w:line="360" w:lineRule="auto"/>
        <w:ind w:right="480"/>
        <w:jc w:val="center"/>
        <w:rPr>
          <w:rFonts w:ascii="宋体" w:hAnsi="宋体" w:cs="宋体"/>
          <w:b/>
          <w:color w:val="auto"/>
          <w:kern w:val="0"/>
          <w:sz w:val="32"/>
          <w:szCs w:val="32"/>
          <w:highlight w:val="none"/>
        </w:rPr>
      </w:pPr>
    </w:p>
    <w:p w14:paraId="3E7DCAF6">
      <w:pPr>
        <w:snapToGrid w:val="0"/>
        <w:spacing w:line="360" w:lineRule="auto"/>
        <w:ind w:right="480"/>
        <w:jc w:val="center"/>
        <w:rPr>
          <w:rFonts w:ascii="宋体" w:hAnsi="宋体" w:cs="宋体"/>
          <w:b/>
          <w:color w:val="auto"/>
          <w:kern w:val="0"/>
          <w:sz w:val="32"/>
          <w:szCs w:val="32"/>
          <w:highlight w:val="none"/>
        </w:rPr>
      </w:pPr>
    </w:p>
    <w:p w14:paraId="31AF9044">
      <w:pPr>
        <w:snapToGrid w:val="0"/>
        <w:spacing w:line="360" w:lineRule="auto"/>
        <w:ind w:right="480"/>
        <w:jc w:val="center"/>
        <w:rPr>
          <w:rFonts w:ascii="宋体" w:hAnsi="宋体" w:cs="宋体"/>
          <w:b/>
          <w:color w:val="auto"/>
          <w:kern w:val="0"/>
          <w:sz w:val="32"/>
          <w:szCs w:val="32"/>
          <w:highlight w:val="none"/>
        </w:rPr>
      </w:pPr>
    </w:p>
    <w:p w14:paraId="6EF9A844">
      <w:pPr>
        <w:snapToGrid w:val="0"/>
        <w:spacing w:line="360" w:lineRule="auto"/>
        <w:ind w:right="480"/>
        <w:jc w:val="center"/>
        <w:rPr>
          <w:rFonts w:ascii="宋体" w:hAnsi="宋体" w:cs="宋体"/>
          <w:b/>
          <w:color w:val="auto"/>
          <w:kern w:val="0"/>
          <w:sz w:val="32"/>
          <w:szCs w:val="32"/>
          <w:highlight w:val="none"/>
        </w:rPr>
      </w:pPr>
    </w:p>
    <w:p w14:paraId="69ADD76D">
      <w:pPr>
        <w:snapToGrid w:val="0"/>
        <w:spacing w:line="360" w:lineRule="auto"/>
        <w:ind w:right="480"/>
        <w:jc w:val="center"/>
        <w:rPr>
          <w:rFonts w:ascii="宋体" w:hAnsi="宋体" w:cs="宋体"/>
          <w:b/>
          <w:color w:val="auto"/>
          <w:kern w:val="0"/>
          <w:sz w:val="32"/>
          <w:szCs w:val="32"/>
          <w:highlight w:val="none"/>
        </w:rPr>
      </w:pPr>
    </w:p>
    <w:p w14:paraId="2137ECD3">
      <w:pPr>
        <w:snapToGrid w:val="0"/>
        <w:spacing w:line="360" w:lineRule="auto"/>
        <w:ind w:right="480"/>
        <w:jc w:val="center"/>
        <w:rPr>
          <w:rFonts w:ascii="宋体" w:hAnsi="宋体" w:cs="宋体"/>
          <w:b/>
          <w:color w:val="auto"/>
          <w:kern w:val="0"/>
          <w:sz w:val="32"/>
          <w:szCs w:val="32"/>
          <w:highlight w:val="none"/>
        </w:rPr>
      </w:pPr>
    </w:p>
    <w:p w14:paraId="261B4696">
      <w:pPr>
        <w:snapToGrid w:val="0"/>
        <w:spacing w:line="360" w:lineRule="auto"/>
        <w:ind w:right="480"/>
        <w:jc w:val="center"/>
        <w:rPr>
          <w:rFonts w:ascii="宋体" w:hAnsi="宋体" w:cs="宋体"/>
          <w:b/>
          <w:color w:val="auto"/>
          <w:kern w:val="0"/>
          <w:sz w:val="32"/>
          <w:szCs w:val="32"/>
          <w:highlight w:val="none"/>
        </w:rPr>
      </w:pPr>
    </w:p>
    <w:p w14:paraId="2008D8A2">
      <w:pPr>
        <w:snapToGrid w:val="0"/>
        <w:spacing w:line="360" w:lineRule="auto"/>
        <w:ind w:right="480"/>
        <w:jc w:val="center"/>
        <w:rPr>
          <w:rFonts w:ascii="宋体" w:hAnsi="宋体" w:cs="宋体"/>
          <w:b/>
          <w:color w:val="auto"/>
          <w:kern w:val="0"/>
          <w:sz w:val="32"/>
          <w:szCs w:val="32"/>
          <w:highlight w:val="none"/>
        </w:rPr>
      </w:pPr>
    </w:p>
    <w:p w14:paraId="531554BE">
      <w:pPr>
        <w:snapToGrid w:val="0"/>
        <w:spacing w:line="360" w:lineRule="auto"/>
        <w:ind w:right="480"/>
        <w:jc w:val="center"/>
        <w:rPr>
          <w:rFonts w:ascii="宋体" w:hAnsi="宋体" w:cs="宋体"/>
          <w:b/>
          <w:color w:val="auto"/>
          <w:kern w:val="0"/>
          <w:sz w:val="32"/>
          <w:szCs w:val="32"/>
          <w:highlight w:val="none"/>
        </w:rPr>
      </w:pPr>
    </w:p>
    <w:p w14:paraId="18C60433">
      <w:pPr>
        <w:snapToGrid w:val="0"/>
        <w:spacing w:line="360" w:lineRule="auto"/>
        <w:ind w:right="480"/>
        <w:jc w:val="center"/>
        <w:rPr>
          <w:rFonts w:ascii="宋体" w:hAnsi="宋体" w:cs="宋体"/>
          <w:b/>
          <w:color w:val="auto"/>
          <w:kern w:val="0"/>
          <w:sz w:val="32"/>
          <w:szCs w:val="32"/>
          <w:highlight w:val="none"/>
        </w:rPr>
      </w:pPr>
    </w:p>
    <w:p w14:paraId="4ACD48D8">
      <w:pPr>
        <w:snapToGrid w:val="0"/>
        <w:spacing w:line="360" w:lineRule="auto"/>
        <w:ind w:right="480"/>
        <w:jc w:val="center"/>
        <w:rPr>
          <w:rFonts w:ascii="宋体" w:hAnsi="宋体" w:cs="宋体"/>
          <w:b/>
          <w:color w:val="auto"/>
          <w:kern w:val="0"/>
          <w:sz w:val="32"/>
          <w:szCs w:val="32"/>
          <w:highlight w:val="none"/>
        </w:rPr>
      </w:pPr>
    </w:p>
    <w:p w14:paraId="099986AC">
      <w:pPr>
        <w:snapToGrid w:val="0"/>
        <w:spacing w:line="360" w:lineRule="auto"/>
        <w:ind w:right="480"/>
        <w:jc w:val="center"/>
        <w:rPr>
          <w:rFonts w:ascii="宋体" w:hAnsi="宋体" w:cs="宋体"/>
          <w:b/>
          <w:color w:val="auto"/>
          <w:kern w:val="0"/>
          <w:sz w:val="32"/>
          <w:szCs w:val="32"/>
          <w:highlight w:val="none"/>
        </w:rPr>
      </w:pPr>
    </w:p>
    <w:p w14:paraId="285F2F7D">
      <w:pPr>
        <w:snapToGrid w:val="0"/>
        <w:spacing w:line="360" w:lineRule="auto"/>
        <w:ind w:right="480"/>
        <w:jc w:val="center"/>
        <w:rPr>
          <w:rFonts w:ascii="宋体" w:hAnsi="宋体" w:cs="宋体"/>
          <w:b/>
          <w:color w:val="auto"/>
          <w:kern w:val="0"/>
          <w:sz w:val="32"/>
          <w:szCs w:val="32"/>
          <w:highlight w:val="none"/>
        </w:rPr>
      </w:pPr>
    </w:p>
    <w:p w14:paraId="31574211">
      <w:pPr>
        <w:snapToGrid w:val="0"/>
        <w:spacing w:line="360" w:lineRule="auto"/>
        <w:ind w:right="480"/>
        <w:jc w:val="center"/>
        <w:rPr>
          <w:rFonts w:ascii="宋体" w:hAnsi="宋体" w:cs="宋体"/>
          <w:b/>
          <w:color w:val="auto"/>
          <w:kern w:val="0"/>
          <w:sz w:val="32"/>
          <w:szCs w:val="32"/>
          <w:highlight w:val="none"/>
        </w:rPr>
      </w:pPr>
    </w:p>
    <w:p w14:paraId="4CEA40A8">
      <w:pPr>
        <w:snapToGrid w:val="0"/>
        <w:spacing w:line="360" w:lineRule="auto"/>
        <w:ind w:right="480"/>
        <w:jc w:val="center"/>
        <w:rPr>
          <w:rFonts w:ascii="宋体" w:hAnsi="宋体" w:cs="宋体"/>
          <w:b/>
          <w:color w:val="auto"/>
          <w:kern w:val="0"/>
          <w:sz w:val="32"/>
          <w:szCs w:val="32"/>
          <w:highlight w:val="none"/>
        </w:rPr>
      </w:pPr>
    </w:p>
    <w:p w14:paraId="5221021E">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4" w:type="first"/>
          <w:footerReference r:id="rId16" w:type="first"/>
          <w:headerReference r:id="rId13" w:type="default"/>
          <w:footerReference r:id="rId15" w:type="default"/>
          <w:pgSz w:w="11906" w:h="16838"/>
          <w:pgMar w:top="1440" w:right="1080" w:bottom="1440" w:left="1080" w:header="851" w:footer="992" w:gutter="0"/>
          <w:cols w:space="720" w:num="1"/>
          <w:titlePg/>
          <w:docGrid w:linePitch="312" w:charSpace="0"/>
        </w:sectPr>
      </w:pPr>
    </w:p>
    <w:p w14:paraId="4D1CD26A">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7FA1D5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浙江海洋大学、浙江科佳工程咨询有限公司</w:t>
      </w:r>
      <w:r>
        <w:rPr>
          <w:rFonts w:hint="eastAsia" w:ascii="宋体" w:hAnsi="宋体" w:cs="宋体"/>
          <w:color w:val="auto"/>
          <w:kern w:val="0"/>
          <w:sz w:val="24"/>
          <w:highlight w:val="none"/>
          <w:lang w:val="zh-CN"/>
        </w:rPr>
        <w:t>：</w:t>
      </w:r>
    </w:p>
    <w:p w14:paraId="1D4D0B4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浙江海洋大学第七届全国海员技能大比武航海模拟器更新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XXXXXXXX】标项___的实施</w:t>
      </w:r>
      <w:r>
        <w:rPr>
          <w:rFonts w:hint="eastAsia" w:ascii="宋体" w:hAnsi="宋体" w:cs="宋体"/>
          <w:color w:val="auto"/>
          <w:kern w:val="0"/>
          <w:sz w:val="24"/>
          <w:highlight w:val="none"/>
          <w:lang w:val="zh-CN"/>
        </w:rPr>
        <w:t>。</w:t>
      </w:r>
    </w:p>
    <w:p w14:paraId="4E5CA743">
      <w:pPr>
        <w:spacing w:line="360" w:lineRule="auto"/>
        <w:ind w:left="240"/>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6"/>
        <w:tblW w:w="14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35"/>
        <w:gridCol w:w="1867"/>
        <w:gridCol w:w="3158"/>
        <w:gridCol w:w="1006"/>
        <w:gridCol w:w="1579"/>
        <w:gridCol w:w="2009"/>
        <w:gridCol w:w="3159"/>
      </w:tblGrid>
      <w:tr w14:paraId="4ACA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0890431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3C7DCF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2A5A22FB">
            <w:pPr>
              <w:spacing w:line="360" w:lineRule="auto"/>
              <w:jc w:val="center"/>
              <w:rPr>
                <w:rFonts w:ascii="宋体" w:hAnsi="宋体" w:cs="宋体"/>
                <w:b/>
                <w:color w:val="auto"/>
                <w:sz w:val="24"/>
                <w:highlight w:val="none"/>
              </w:rPr>
            </w:pPr>
          </w:p>
          <w:p w14:paraId="0257A7C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81BB6D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3DF7B50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79F6F92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4A4B3FF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05A80C78">
            <w:pPr>
              <w:spacing w:line="360" w:lineRule="auto"/>
              <w:jc w:val="center"/>
              <w:rPr>
                <w:rFonts w:ascii="宋体" w:hAnsi="宋体" w:cs="宋体"/>
                <w:b/>
                <w:color w:val="auto"/>
                <w:sz w:val="24"/>
                <w:highlight w:val="none"/>
              </w:rPr>
            </w:pPr>
          </w:p>
          <w:p w14:paraId="01EA1D6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D10EC4F">
            <w:pPr>
              <w:spacing w:line="360" w:lineRule="auto"/>
              <w:jc w:val="center"/>
              <w:rPr>
                <w:rFonts w:ascii="宋体" w:hAnsi="宋体" w:cs="宋体"/>
                <w:b/>
                <w:color w:val="auto"/>
                <w:sz w:val="24"/>
                <w:highlight w:val="none"/>
              </w:rPr>
            </w:pPr>
          </w:p>
        </w:tc>
      </w:tr>
      <w:tr w14:paraId="4F0E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0D6CBD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52381D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w:t>
            </w:r>
          </w:p>
        </w:tc>
        <w:tc>
          <w:tcPr>
            <w:tcW w:w="1843" w:type="dxa"/>
            <w:vAlign w:val="center"/>
          </w:tcPr>
          <w:p w14:paraId="1CBF4019">
            <w:pPr>
              <w:snapToGrid w:val="0"/>
              <w:spacing w:line="360" w:lineRule="auto"/>
              <w:jc w:val="center"/>
              <w:rPr>
                <w:rFonts w:ascii="宋体" w:hAnsi="宋体" w:cs="宋体"/>
                <w:color w:val="auto"/>
                <w:sz w:val="24"/>
                <w:highlight w:val="none"/>
              </w:rPr>
            </w:pPr>
          </w:p>
        </w:tc>
        <w:tc>
          <w:tcPr>
            <w:tcW w:w="3118" w:type="dxa"/>
            <w:vAlign w:val="center"/>
          </w:tcPr>
          <w:p w14:paraId="488945E0">
            <w:pPr>
              <w:snapToGrid w:val="0"/>
              <w:spacing w:line="360" w:lineRule="auto"/>
              <w:jc w:val="center"/>
              <w:rPr>
                <w:rFonts w:ascii="宋体" w:hAnsi="宋体" w:cs="宋体"/>
                <w:color w:val="auto"/>
                <w:sz w:val="24"/>
                <w:highlight w:val="none"/>
              </w:rPr>
            </w:pPr>
          </w:p>
        </w:tc>
        <w:tc>
          <w:tcPr>
            <w:tcW w:w="993" w:type="dxa"/>
            <w:vAlign w:val="center"/>
          </w:tcPr>
          <w:p w14:paraId="6B9F16DE">
            <w:pPr>
              <w:snapToGrid w:val="0"/>
              <w:spacing w:line="360" w:lineRule="auto"/>
              <w:jc w:val="center"/>
              <w:rPr>
                <w:rFonts w:ascii="宋体" w:hAnsi="宋体" w:cs="宋体"/>
                <w:color w:val="auto"/>
                <w:sz w:val="24"/>
                <w:highlight w:val="none"/>
              </w:rPr>
            </w:pPr>
          </w:p>
        </w:tc>
        <w:tc>
          <w:tcPr>
            <w:tcW w:w="1559" w:type="dxa"/>
            <w:vAlign w:val="center"/>
          </w:tcPr>
          <w:p w14:paraId="7F565030">
            <w:pPr>
              <w:spacing w:line="360" w:lineRule="auto"/>
              <w:jc w:val="center"/>
              <w:rPr>
                <w:rFonts w:ascii="宋体" w:hAnsi="宋体" w:cs="宋体"/>
                <w:color w:val="auto"/>
                <w:sz w:val="24"/>
                <w:highlight w:val="none"/>
              </w:rPr>
            </w:pPr>
          </w:p>
        </w:tc>
        <w:tc>
          <w:tcPr>
            <w:tcW w:w="1984" w:type="dxa"/>
            <w:vAlign w:val="center"/>
          </w:tcPr>
          <w:p w14:paraId="5F410E0E">
            <w:pPr>
              <w:spacing w:line="360" w:lineRule="auto"/>
              <w:jc w:val="center"/>
              <w:rPr>
                <w:rFonts w:ascii="宋体" w:hAnsi="宋体" w:cs="宋体"/>
                <w:color w:val="auto"/>
                <w:sz w:val="24"/>
                <w:highlight w:val="none"/>
              </w:rPr>
            </w:pPr>
          </w:p>
        </w:tc>
        <w:tc>
          <w:tcPr>
            <w:tcW w:w="3119" w:type="dxa"/>
            <w:vAlign w:val="center"/>
          </w:tcPr>
          <w:p w14:paraId="1EAFF7FE">
            <w:pPr>
              <w:spacing w:line="360" w:lineRule="auto"/>
              <w:jc w:val="center"/>
              <w:rPr>
                <w:rFonts w:ascii="宋体" w:hAnsi="宋体" w:cs="宋体"/>
                <w:color w:val="auto"/>
                <w:sz w:val="24"/>
                <w:highlight w:val="none"/>
              </w:rPr>
            </w:pPr>
          </w:p>
        </w:tc>
      </w:tr>
      <w:tr w14:paraId="689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0308E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5EA996D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XX</w:t>
            </w:r>
          </w:p>
        </w:tc>
        <w:tc>
          <w:tcPr>
            <w:tcW w:w="1843" w:type="dxa"/>
            <w:vAlign w:val="center"/>
          </w:tcPr>
          <w:p w14:paraId="5A817206">
            <w:pPr>
              <w:snapToGrid w:val="0"/>
              <w:spacing w:line="360" w:lineRule="auto"/>
              <w:jc w:val="center"/>
              <w:rPr>
                <w:rFonts w:ascii="宋体" w:hAnsi="宋体" w:cs="宋体"/>
                <w:color w:val="auto"/>
                <w:sz w:val="24"/>
                <w:highlight w:val="none"/>
              </w:rPr>
            </w:pPr>
          </w:p>
        </w:tc>
        <w:tc>
          <w:tcPr>
            <w:tcW w:w="3118" w:type="dxa"/>
            <w:vAlign w:val="center"/>
          </w:tcPr>
          <w:p w14:paraId="67B5F5B4">
            <w:pPr>
              <w:snapToGrid w:val="0"/>
              <w:spacing w:line="360" w:lineRule="auto"/>
              <w:jc w:val="center"/>
              <w:rPr>
                <w:rFonts w:ascii="宋体" w:hAnsi="宋体" w:cs="宋体"/>
                <w:color w:val="auto"/>
                <w:sz w:val="24"/>
                <w:highlight w:val="none"/>
              </w:rPr>
            </w:pPr>
          </w:p>
        </w:tc>
        <w:tc>
          <w:tcPr>
            <w:tcW w:w="993" w:type="dxa"/>
            <w:vAlign w:val="center"/>
          </w:tcPr>
          <w:p w14:paraId="776DF9A6">
            <w:pPr>
              <w:snapToGrid w:val="0"/>
              <w:spacing w:line="360" w:lineRule="auto"/>
              <w:jc w:val="center"/>
              <w:rPr>
                <w:rFonts w:ascii="宋体" w:hAnsi="宋体" w:cs="宋体"/>
                <w:color w:val="auto"/>
                <w:sz w:val="24"/>
                <w:highlight w:val="none"/>
              </w:rPr>
            </w:pPr>
          </w:p>
        </w:tc>
        <w:tc>
          <w:tcPr>
            <w:tcW w:w="1559" w:type="dxa"/>
            <w:vAlign w:val="center"/>
          </w:tcPr>
          <w:p w14:paraId="45A020C9">
            <w:pPr>
              <w:spacing w:line="360" w:lineRule="auto"/>
              <w:jc w:val="center"/>
              <w:rPr>
                <w:rFonts w:ascii="宋体" w:hAnsi="宋体" w:cs="宋体"/>
                <w:color w:val="auto"/>
                <w:sz w:val="24"/>
                <w:highlight w:val="none"/>
              </w:rPr>
            </w:pPr>
          </w:p>
        </w:tc>
        <w:tc>
          <w:tcPr>
            <w:tcW w:w="1984" w:type="dxa"/>
            <w:vAlign w:val="center"/>
          </w:tcPr>
          <w:p w14:paraId="57935277">
            <w:pPr>
              <w:spacing w:line="360" w:lineRule="auto"/>
              <w:jc w:val="center"/>
              <w:rPr>
                <w:rFonts w:ascii="宋体" w:hAnsi="宋体" w:cs="宋体"/>
                <w:color w:val="auto"/>
                <w:sz w:val="24"/>
                <w:highlight w:val="none"/>
              </w:rPr>
            </w:pPr>
          </w:p>
        </w:tc>
        <w:tc>
          <w:tcPr>
            <w:tcW w:w="3119" w:type="dxa"/>
            <w:vAlign w:val="center"/>
          </w:tcPr>
          <w:p w14:paraId="2AE88461">
            <w:pPr>
              <w:spacing w:line="360" w:lineRule="auto"/>
              <w:jc w:val="center"/>
              <w:rPr>
                <w:rFonts w:ascii="宋体" w:hAnsi="宋体" w:cs="宋体"/>
                <w:color w:val="auto"/>
                <w:sz w:val="24"/>
                <w:highlight w:val="none"/>
              </w:rPr>
            </w:pPr>
          </w:p>
        </w:tc>
      </w:tr>
      <w:tr w14:paraId="5BEC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55C94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09EE1CCC">
            <w:pPr>
              <w:snapToGrid w:val="0"/>
              <w:spacing w:line="360" w:lineRule="auto"/>
              <w:jc w:val="center"/>
              <w:rPr>
                <w:rFonts w:ascii="宋体" w:hAnsi="宋体" w:cs="宋体"/>
                <w:color w:val="auto"/>
                <w:sz w:val="24"/>
                <w:highlight w:val="none"/>
              </w:rPr>
            </w:pPr>
          </w:p>
        </w:tc>
        <w:tc>
          <w:tcPr>
            <w:tcW w:w="1843" w:type="dxa"/>
            <w:vAlign w:val="center"/>
          </w:tcPr>
          <w:p w14:paraId="26C70B24">
            <w:pPr>
              <w:snapToGrid w:val="0"/>
              <w:spacing w:line="360" w:lineRule="auto"/>
              <w:jc w:val="center"/>
              <w:rPr>
                <w:rFonts w:ascii="宋体" w:hAnsi="宋体" w:cs="宋体"/>
                <w:color w:val="auto"/>
                <w:sz w:val="24"/>
                <w:highlight w:val="none"/>
              </w:rPr>
            </w:pPr>
          </w:p>
        </w:tc>
        <w:tc>
          <w:tcPr>
            <w:tcW w:w="3118" w:type="dxa"/>
            <w:vAlign w:val="center"/>
          </w:tcPr>
          <w:p w14:paraId="0808240D">
            <w:pPr>
              <w:snapToGrid w:val="0"/>
              <w:spacing w:line="360" w:lineRule="auto"/>
              <w:jc w:val="center"/>
              <w:rPr>
                <w:rFonts w:ascii="宋体" w:hAnsi="宋体" w:cs="宋体"/>
                <w:color w:val="auto"/>
                <w:sz w:val="24"/>
                <w:highlight w:val="none"/>
              </w:rPr>
            </w:pPr>
          </w:p>
        </w:tc>
        <w:tc>
          <w:tcPr>
            <w:tcW w:w="993" w:type="dxa"/>
            <w:vAlign w:val="center"/>
          </w:tcPr>
          <w:p w14:paraId="4E69D05C">
            <w:pPr>
              <w:snapToGrid w:val="0"/>
              <w:spacing w:line="360" w:lineRule="auto"/>
              <w:jc w:val="center"/>
              <w:rPr>
                <w:rFonts w:ascii="宋体" w:hAnsi="宋体" w:cs="宋体"/>
                <w:color w:val="auto"/>
                <w:sz w:val="24"/>
                <w:highlight w:val="none"/>
              </w:rPr>
            </w:pPr>
          </w:p>
        </w:tc>
        <w:tc>
          <w:tcPr>
            <w:tcW w:w="1559" w:type="dxa"/>
            <w:vAlign w:val="center"/>
          </w:tcPr>
          <w:p w14:paraId="2ACCC417">
            <w:pPr>
              <w:spacing w:line="360" w:lineRule="auto"/>
              <w:jc w:val="center"/>
              <w:rPr>
                <w:rFonts w:ascii="宋体" w:hAnsi="宋体" w:cs="宋体"/>
                <w:color w:val="auto"/>
                <w:sz w:val="24"/>
                <w:highlight w:val="none"/>
              </w:rPr>
            </w:pPr>
          </w:p>
        </w:tc>
        <w:tc>
          <w:tcPr>
            <w:tcW w:w="1984" w:type="dxa"/>
            <w:vAlign w:val="center"/>
          </w:tcPr>
          <w:p w14:paraId="7331E6B3">
            <w:pPr>
              <w:spacing w:line="360" w:lineRule="auto"/>
              <w:jc w:val="center"/>
              <w:rPr>
                <w:rFonts w:ascii="宋体" w:hAnsi="宋体" w:cs="宋体"/>
                <w:color w:val="auto"/>
                <w:sz w:val="24"/>
                <w:highlight w:val="none"/>
              </w:rPr>
            </w:pPr>
          </w:p>
        </w:tc>
        <w:tc>
          <w:tcPr>
            <w:tcW w:w="3119" w:type="dxa"/>
            <w:vAlign w:val="center"/>
          </w:tcPr>
          <w:p w14:paraId="1F788B37">
            <w:pPr>
              <w:spacing w:line="360" w:lineRule="auto"/>
              <w:jc w:val="center"/>
              <w:rPr>
                <w:rFonts w:ascii="宋体" w:hAnsi="宋体" w:cs="宋体"/>
                <w:color w:val="auto"/>
                <w:sz w:val="24"/>
                <w:highlight w:val="none"/>
              </w:rPr>
            </w:pPr>
          </w:p>
        </w:tc>
      </w:tr>
      <w:tr w14:paraId="0C14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B4085B3">
            <w:pPr>
              <w:spacing w:line="360" w:lineRule="auto"/>
              <w:jc w:val="center"/>
              <w:rPr>
                <w:rFonts w:ascii="宋体" w:hAnsi="宋体" w:cs="宋体"/>
                <w:color w:val="auto"/>
                <w:sz w:val="24"/>
                <w:highlight w:val="none"/>
              </w:rPr>
            </w:pPr>
          </w:p>
        </w:tc>
        <w:tc>
          <w:tcPr>
            <w:tcW w:w="1417" w:type="dxa"/>
            <w:vAlign w:val="center"/>
          </w:tcPr>
          <w:p w14:paraId="3D7B43F5">
            <w:pPr>
              <w:snapToGrid w:val="0"/>
              <w:spacing w:line="360" w:lineRule="auto"/>
              <w:jc w:val="center"/>
              <w:rPr>
                <w:rFonts w:ascii="宋体" w:hAnsi="宋体" w:cs="宋体"/>
                <w:color w:val="auto"/>
                <w:sz w:val="24"/>
                <w:highlight w:val="none"/>
              </w:rPr>
            </w:pPr>
          </w:p>
        </w:tc>
        <w:tc>
          <w:tcPr>
            <w:tcW w:w="1843" w:type="dxa"/>
            <w:vAlign w:val="center"/>
          </w:tcPr>
          <w:p w14:paraId="0D277F8B">
            <w:pPr>
              <w:snapToGrid w:val="0"/>
              <w:spacing w:line="360" w:lineRule="auto"/>
              <w:jc w:val="center"/>
              <w:rPr>
                <w:rFonts w:ascii="宋体" w:hAnsi="宋体" w:cs="宋体"/>
                <w:color w:val="auto"/>
                <w:sz w:val="24"/>
                <w:highlight w:val="none"/>
              </w:rPr>
            </w:pPr>
          </w:p>
        </w:tc>
        <w:tc>
          <w:tcPr>
            <w:tcW w:w="3118" w:type="dxa"/>
            <w:vAlign w:val="center"/>
          </w:tcPr>
          <w:p w14:paraId="7D9952F6">
            <w:pPr>
              <w:snapToGrid w:val="0"/>
              <w:spacing w:line="360" w:lineRule="auto"/>
              <w:jc w:val="center"/>
              <w:rPr>
                <w:rFonts w:ascii="宋体" w:hAnsi="宋体" w:cs="宋体"/>
                <w:color w:val="auto"/>
                <w:sz w:val="24"/>
                <w:highlight w:val="none"/>
              </w:rPr>
            </w:pPr>
          </w:p>
        </w:tc>
        <w:tc>
          <w:tcPr>
            <w:tcW w:w="993" w:type="dxa"/>
            <w:vAlign w:val="center"/>
          </w:tcPr>
          <w:p w14:paraId="616B152E">
            <w:pPr>
              <w:snapToGrid w:val="0"/>
              <w:spacing w:line="360" w:lineRule="auto"/>
              <w:jc w:val="center"/>
              <w:rPr>
                <w:rFonts w:ascii="宋体" w:hAnsi="宋体" w:cs="宋体"/>
                <w:color w:val="auto"/>
                <w:sz w:val="24"/>
                <w:highlight w:val="none"/>
              </w:rPr>
            </w:pPr>
          </w:p>
        </w:tc>
        <w:tc>
          <w:tcPr>
            <w:tcW w:w="1559" w:type="dxa"/>
            <w:vAlign w:val="center"/>
          </w:tcPr>
          <w:p w14:paraId="0734D1F7">
            <w:pPr>
              <w:spacing w:line="360" w:lineRule="auto"/>
              <w:jc w:val="center"/>
              <w:rPr>
                <w:rFonts w:ascii="宋体" w:hAnsi="宋体" w:cs="宋体"/>
                <w:color w:val="auto"/>
                <w:sz w:val="24"/>
                <w:highlight w:val="none"/>
              </w:rPr>
            </w:pPr>
          </w:p>
        </w:tc>
        <w:tc>
          <w:tcPr>
            <w:tcW w:w="1984" w:type="dxa"/>
            <w:vAlign w:val="center"/>
          </w:tcPr>
          <w:p w14:paraId="2F1901ED">
            <w:pPr>
              <w:spacing w:line="360" w:lineRule="auto"/>
              <w:jc w:val="center"/>
              <w:rPr>
                <w:rFonts w:ascii="宋体" w:hAnsi="宋体" w:cs="宋体"/>
                <w:color w:val="auto"/>
                <w:sz w:val="24"/>
                <w:highlight w:val="none"/>
              </w:rPr>
            </w:pPr>
          </w:p>
        </w:tc>
        <w:tc>
          <w:tcPr>
            <w:tcW w:w="3119" w:type="dxa"/>
            <w:vAlign w:val="center"/>
          </w:tcPr>
          <w:p w14:paraId="548907B3">
            <w:pPr>
              <w:spacing w:line="360" w:lineRule="auto"/>
              <w:jc w:val="center"/>
              <w:rPr>
                <w:rFonts w:ascii="宋体" w:hAnsi="宋体" w:cs="宋体"/>
                <w:color w:val="auto"/>
                <w:sz w:val="24"/>
                <w:highlight w:val="none"/>
              </w:rPr>
            </w:pPr>
          </w:p>
        </w:tc>
      </w:tr>
      <w:tr w14:paraId="7A92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F0CD1B2">
            <w:pPr>
              <w:spacing w:line="360" w:lineRule="auto"/>
              <w:jc w:val="center"/>
              <w:rPr>
                <w:rFonts w:ascii="宋体" w:hAnsi="宋体" w:cs="宋体"/>
                <w:color w:val="auto"/>
                <w:sz w:val="24"/>
                <w:highlight w:val="none"/>
              </w:rPr>
            </w:pPr>
          </w:p>
        </w:tc>
        <w:tc>
          <w:tcPr>
            <w:tcW w:w="1417" w:type="dxa"/>
            <w:vAlign w:val="center"/>
          </w:tcPr>
          <w:p w14:paraId="0A130C05">
            <w:pPr>
              <w:snapToGrid w:val="0"/>
              <w:spacing w:line="360" w:lineRule="auto"/>
              <w:jc w:val="center"/>
              <w:rPr>
                <w:rFonts w:ascii="宋体" w:hAnsi="宋体" w:cs="宋体"/>
                <w:color w:val="auto"/>
                <w:sz w:val="24"/>
                <w:highlight w:val="none"/>
              </w:rPr>
            </w:pPr>
          </w:p>
        </w:tc>
        <w:tc>
          <w:tcPr>
            <w:tcW w:w="1843" w:type="dxa"/>
            <w:vAlign w:val="center"/>
          </w:tcPr>
          <w:p w14:paraId="60CC8FED">
            <w:pPr>
              <w:snapToGrid w:val="0"/>
              <w:spacing w:line="360" w:lineRule="auto"/>
              <w:jc w:val="center"/>
              <w:rPr>
                <w:rFonts w:ascii="宋体" w:hAnsi="宋体" w:cs="宋体"/>
                <w:color w:val="auto"/>
                <w:sz w:val="24"/>
                <w:highlight w:val="none"/>
              </w:rPr>
            </w:pPr>
          </w:p>
        </w:tc>
        <w:tc>
          <w:tcPr>
            <w:tcW w:w="3118" w:type="dxa"/>
            <w:vAlign w:val="center"/>
          </w:tcPr>
          <w:p w14:paraId="31457B68">
            <w:pPr>
              <w:snapToGrid w:val="0"/>
              <w:spacing w:line="360" w:lineRule="auto"/>
              <w:jc w:val="center"/>
              <w:rPr>
                <w:rFonts w:ascii="宋体" w:hAnsi="宋体" w:cs="宋体"/>
                <w:color w:val="auto"/>
                <w:sz w:val="24"/>
                <w:highlight w:val="none"/>
              </w:rPr>
            </w:pPr>
          </w:p>
        </w:tc>
        <w:tc>
          <w:tcPr>
            <w:tcW w:w="993" w:type="dxa"/>
            <w:vAlign w:val="center"/>
          </w:tcPr>
          <w:p w14:paraId="01C72AF1">
            <w:pPr>
              <w:snapToGrid w:val="0"/>
              <w:spacing w:line="360" w:lineRule="auto"/>
              <w:jc w:val="center"/>
              <w:rPr>
                <w:rFonts w:ascii="宋体" w:hAnsi="宋体" w:cs="宋体"/>
                <w:color w:val="auto"/>
                <w:sz w:val="24"/>
                <w:highlight w:val="none"/>
              </w:rPr>
            </w:pPr>
          </w:p>
        </w:tc>
        <w:tc>
          <w:tcPr>
            <w:tcW w:w="1559" w:type="dxa"/>
            <w:vAlign w:val="center"/>
          </w:tcPr>
          <w:p w14:paraId="6324168B">
            <w:pPr>
              <w:spacing w:line="360" w:lineRule="auto"/>
              <w:jc w:val="center"/>
              <w:rPr>
                <w:rFonts w:ascii="宋体" w:hAnsi="宋体" w:cs="宋体"/>
                <w:color w:val="auto"/>
                <w:sz w:val="24"/>
                <w:highlight w:val="none"/>
              </w:rPr>
            </w:pPr>
          </w:p>
        </w:tc>
        <w:tc>
          <w:tcPr>
            <w:tcW w:w="1984" w:type="dxa"/>
            <w:vAlign w:val="center"/>
          </w:tcPr>
          <w:p w14:paraId="0B4A4465">
            <w:pPr>
              <w:spacing w:line="360" w:lineRule="auto"/>
              <w:jc w:val="center"/>
              <w:rPr>
                <w:rFonts w:ascii="宋体" w:hAnsi="宋体" w:cs="宋体"/>
                <w:color w:val="auto"/>
                <w:sz w:val="24"/>
                <w:highlight w:val="none"/>
              </w:rPr>
            </w:pPr>
          </w:p>
        </w:tc>
        <w:tc>
          <w:tcPr>
            <w:tcW w:w="3119" w:type="dxa"/>
            <w:vAlign w:val="center"/>
          </w:tcPr>
          <w:p w14:paraId="775370E5">
            <w:pPr>
              <w:spacing w:line="360" w:lineRule="auto"/>
              <w:jc w:val="center"/>
              <w:rPr>
                <w:rFonts w:ascii="宋体" w:hAnsi="宋体" w:cs="宋体"/>
                <w:color w:val="auto"/>
                <w:sz w:val="24"/>
                <w:highlight w:val="none"/>
              </w:rPr>
            </w:pPr>
          </w:p>
        </w:tc>
      </w:tr>
      <w:tr w14:paraId="0839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A8359D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64FC9B8F">
            <w:pPr>
              <w:spacing w:line="360" w:lineRule="auto"/>
              <w:jc w:val="center"/>
              <w:rPr>
                <w:rFonts w:ascii="宋体" w:hAnsi="宋体" w:cs="宋体"/>
                <w:color w:val="auto"/>
                <w:sz w:val="24"/>
                <w:highlight w:val="none"/>
              </w:rPr>
            </w:pPr>
          </w:p>
        </w:tc>
      </w:tr>
      <w:tr w14:paraId="0D3A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05EC38F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85BC65B">
            <w:pPr>
              <w:spacing w:line="360" w:lineRule="auto"/>
              <w:jc w:val="center"/>
              <w:rPr>
                <w:rFonts w:ascii="宋体" w:hAnsi="宋体" w:cs="宋体"/>
                <w:color w:val="auto"/>
                <w:sz w:val="24"/>
                <w:highlight w:val="none"/>
              </w:rPr>
            </w:pPr>
          </w:p>
        </w:tc>
      </w:tr>
    </w:tbl>
    <w:p w14:paraId="29DF336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3AE3AA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5719D4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7D691D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3、特别提示：采购代理机构将对项目名称和项目编号，中标人名称、地址和中标金额，主要中标标的名称、品牌（如果有）、规格型号、数量、单价等予以公示。</w:t>
      </w:r>
    </w:p>
    <w:p w14:paraId="351079E6">
      <w:pPr>
        <w:snapToGrid w:val="0"/>
        <w:spacing w:line="360" w:lineRule="auto"/>
        <w:ind w:firstLine="480" w:firstLineChars="200"/>
        <w:jc w:val="left"/>
        <w:rPr>
          <w:rFonts w:ascii="宋体" w:hAnsi="宋体" w:cs="宋体"/>
          <w:color w:val="auto"/>
          <w:sz w:val="32"/>
          <w:szCs w:val="32"/>
          <w:highlight w:val="none"/>
        </w:rPr>
      </w:pPr>
      <w:r>
        <w:rPr>
          <w:rFonts w:hint="eastAsia" w:ascii="宋体" w:hAnsi="宋体" w:cs="宋体"/>
          <w:color w:val="auto"/>
          <w:kern w:val="0"/>
          <w:sz w:val="24"/>
          <w:szCs w:val="22"/>
          <w:highlight w:val="none"/>
          <w:lang w:val="zh-CN"/>
        </w:rPr>
        <w:t>4、</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EE70E25">
      <w:pPr>
        <w:pStyle w:val="69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40" w:right="1083" w:bottom="1440" w:left="1083" w:header="851" w:footer="992" w:gutter="0"/>
          <w:cols w:space="0" w:num="1"/>
          <w:titlePg/>
          <w:docGrid w:linePitch="312" w:charSpace="0"/>
        </w:sectPr>
      </w:pPr>
    </w:p>
    <w:p w14:paraId="34E2211F">
      <w:pPr>
        <w:pStyle w:val="85"/>
        <w:ind w:firstLine="460"/>
        <w:rPr>
          <w:color w:val="auto"/>
          <w:highlight w:val="none"/>
        </w:rPr>
      </w:pPr>
    </w:p>
    <w:p w14:paraId="3A960E86">
      <w:pPr>
        <w:pStyle w:val="695"/>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bookmarkStart w:id="418" w:name="_Hlk101259491"/>
      <w:bookmarkEnd w:id="418"/>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78C4DD0E">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78EE3035">
      <w:pPr>
        <w:pStyle w:val="695"/>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7B377377">
      <w:pPr>
        <w:pStyle w:val="695"/>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三、关于符合本国产品标准的声明函</w:t>
      </w:r>
      <w:r>
        <w:rPr>
          <w:rFonts w:hint="eastAsia" w:ascii="宋体" w:hAnsi="宋体" w:eastAsia="宋体" w:cs="宋体"/>
          <w:color w:val="auto"/>
          <w:sz w:val="32"/>
          <w:szCs w:val="32"/>
          <w:highlight w:val="none"/>
        </w:rPr>
        <w:t>（如果有）</w:t>
      </w:r>
    </w:p>
    <w:p w14:paraId="26C434BB">
      <w:pPr>
        <w:tabs>
          <w:tab w:val="left" w:pos="9040"/>
        </w:tabs>
        <w:spacing w:line="360" w:lineRule="auto"/>
        <w:ind w:right="-170"/>
        <w:rPr>
          <w:rFonts w:ascii="宋体" w:hAnsi="宋体" w:cs="宋体"/>
          <w:b/>
          <w:color w:val="auto"/>
          <w:kern w:val="0"/>
          <w:sz w:val="36"/>
          <w:szCs w:val="36"/>
          <w:highlight w:val="none"/>
        </w:rPr>
      </w:pPr>
      <w:r>
        <w:rPr>
          <w:rFonts w:hint="eastAsia" w:ascii="宋体" w:hAnsi="宋体" w:cs="宋体"/>
          <w:b/>
          <w:color w:val="auto"/>
          <w:sz w:val="24"/>
          <w:highlight w:val="none"/>
        </w:rPr>
        <w:t>[1.政府采购活动中既有本国产品又有非本国产品参与竞争的，依法对本国产品的报价给予20%的价格扣除，用扣除后的价格参与评审。评审活动应贯彻落实对本国产品的评审价格扣除优惠；注：须提供《关于符合本国产品标准的声明函》或财政部会同有关部门规定的有关证明文件，声明函格式详见招标文件附件（附件8）；供应商提供虚假《声明函》、虚假证明文件谋取中标、成交的，依照《中华人民共和国政府采购法》等法律法规规定追究相应责任。</w:t>
      </w:r>
    </w:p>
    <w:p w14:paraId="079656E4">
      <w:pPr>
        <w:widowControl/>
        <w:spacing w:line="360" w:lineRule="auto"/>
        <w:ind w:firstLine="120" w:firstLineChars="50"/>
        <w:jc w:val="left"/>
        <w:rPr>
          <w:rFonts w:ascii="宋体" w:hAnsi="宋体" w:cs="宋体"/>
          <w:b/>
          <w:color w:val="auto"/>
          <w:sz w:val="24"/>
          <w:highlight w:val="none"/>
        </w:rPr>
        <w:sectPr>
          <w:headerReference r:id="rId18" w:type="first"/>
          <w:footerReference r:id="rId20" w:type="first"/>
          <w:headerReference r:id="rId17" w:type="default"/>
          <w:footerReference r:id="rId19" w:type="default"/>
          <w:pgSz w:w="11906" w:h="16838"/>
          <w:pgMar w:top="1440" w:right="1080" w:bottom="1440" w:left="1080" w:header="851" w:footer="992" w:gutter="0"/>
          <w:cols w:space="720" w:num="1"/>
          <w:titlePg/>
          <w:docGrid w:linePitch="312" w:charSpace="0"/>
        </w:sectPr>
      </w:pPr>
      <w:r>
        <w:rPr>
          <w:rFonts w:hint="eastAsia" w:ascii="宋体" w:hAnsi="宋体" w:cs="宋体"/>
          <w:b/>
          <w:color w:val="auto"/>
          <w:sz w:val="24"/>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多产品，除提供《关于符合本国产品标准的声明函》或财政部会同有关部门规定的有关证明文件以外，还须要供应商在投标响应文件中承诺成本之和达到80%（提供承诺成本之和达到80%的承诺书）。无承诺或者承诺占比无法达标则不享受政策。）（承诺书格式自拟）]</w:t>
      </w:r>
    </w:p>
    <w:p w14:paraId="56D9B003">
      <w:pPr>
        <w:pStyle w:val="3"/>
        <w:rPr>
          <w:rFonts w:cs="宋体"/>
          <w:color w:val="auto"/>
          <w:highlight w:val="none"/>
        </w:rPr>
      </w:pPr>
      <w:bookmarkStart w:id="419" w:name="_Toc465665161"/>
      <w:bookmarkEnd w:id="419"/>
      <w:bookmarkStart w:id="420" w:name="_Toc13368"/>
      <w:r>
        <w:rPr>
          <w:rFonts w:hint="eastAsia" w:cs="宋体"/>
          <w:color w:val="auto"/>
          <w:highlight w:val="none"/>
        </w:rPr>
        <w:t>附件</w:t>
      </w:r>
      <w:bookmarkEnd w:id="420"/>
    </w:p>
    <w:p w14:paraId="3A47B587">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CFE199C">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7783449B">
      <w:pPr>
        <w:spacing w:line="360" w:lineRule="auto"/>
        <w:rPr>
          <w:rFonts w:ascii="宋体" w:hAnsi="宋体" w:cs="宋体"/>
          <w:b/>
          <w:color w:val="auto"/>
          <w:spacing w:val="6"/>
          <w:sz w:val="30"/>
          <w:szCs w:val="30"/>
          <w:highlight w:val="none"/>
        </w:rPr>
      </w:pPr>
    </w:p>
    <w:p w14:paraId="0E708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浙江海洋大学</w:t>
      </w:r>
      <w:r>
        <w:rPr>
          <w:rFonts w:hint="eastAsia" w:ascii="宋体" w:hAnsi="宋体" w:cs="宋体"/>
          <w:color w:val="auto"/>
          <w:sz w:val="24"/>
          <w:highlight w:val="none"/>
        </w:rPr>
        <w:t>_单位的_</w:t>
      </w:r>
      <w:r>
        <w:rPr>
          <w:rFonts w:hint="eastAsia" w:ascii="宋体" w:hAnsi="宋体" w:cs="宋体"/>
          <w:color w:val="auto"/>
          <w:sz w:val="24"/>
          <w:highlight w:val="none"/>
          <w:u w:val="single"/>
        </w:rPr>
        <w:t>浙江海洋大学第七届全国海员技能大比武航海模拟器更新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5CA88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68E35F1">
      <w:pPr>
        <w:spacing w:line="360" w:lineRule="auto"/>
        <w:ind w:firstLine="480" w:firstLineChars="200"/>
        <w:rPr>
          <w:rFonts w:ascii="宋体" w:hAnsi="宋体" w:cs="宋体"/>
          <w:color w:val="auto"/>
          <w:sz w:val="24"/>
          <w:highlight w:val="none"/>
        </w:rPr>
      </w:pPr>
    </w:p>
    <w:p w14:paraId="233C1E03">
      <w:pPr>
        <w:spacing w:line="360" w:lineRule="auto"/>
        <w:ind w:firstLine="480" w:firstLineChars="200"/>
        <w:jc w:val="left"/>
        <w:rPr>
          <w:rFonts w:ascii="宋体" w:hAnsi="宋体" w:cs="宋体"/>
          <w:color w:val="auto"/>
          <w:sz w:val="24"/>
          <w:highlight w:val="none"/>
        </w:rPr>
      </w:pPr>
    </w:p>
    <w:p w14:paraId="63EF8147">
      <w:pPr>
        <w:tabs>
          <w:tab w:val="left" w:pos="4860"/>
        </w:tabs>
        <w:spacing w:line="360" w:lineRule="auto"/>
        <w:ind w:right="1560"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BBE45F2">
      <w:pPr>
        <w:tabs>
          <w:tab w:val="left" w:pos="4860"/>
        </w:tabs>
        <w:spacing w:line="360" w:lineRule="auto"/>
        <w:ind w:right="1560" w:firstLine="480" w:firstLineChars="200"/>
        <w:jc w:val="left"/>
        <w:rPr>
          <w:rFonts w:ascii="宋体" w:hAnsi="宋体" w:cs="宋体"/>
          <w:color w:val="auto"/>
          <w:sz w:val="24"/>
          <w:highlight w:val="none"/>
        </w:rPr>
      </w:pPr>
      <w:r>
        <w:rPr>
          <w:rFonts w:hint="eastAsia" w:ascii="宋体" w:hAnsi="宋体" w:cs="宋体"/>
          <w:color w:val="auto"/>
          <w:sz w:val="24"/>
          <w:highlight w:val="none"/>
        </w:rPr>
        <w:t>日  期：</w:t>
      </w:r>
    </w:p>
    <w:p w14:paraId="633076A4">
      <w:pPr>
        <w:spacing w:line="360" w:lineRule="auto"/>
        <w:ind w:firstLine="480" w:firstLineChars="200"/>
        <w:rPr>
          <w:rFonts w:ascii="宋体" w:hAnsi="宋体" w:cs="宋体"/>
          <w:color w:val="auto"/>
          <w:sz w:val="24"/>
          <w:highlight w:val="none"/>
        </w:rPr>
      </w:pPr>
    </w:p>
    <w:p w14:paraId="266C6298">
      <w:pPr>
        <w:spacing w:line="360" w:lineRule="auto"/>
        <w:ind w:firstLine="420" w:firstLineChars="200"/>
        <w:rPr>
          <w:rFonts w:ascii="宋体" w:hAnsi="宋体" w:cs="宋体"/>
          <w:color w:val="auto"/>
          <w:highlight w:val="none"/>
        </w:rPr>
      </w:pPr>
    </w:p>
    <w:p w14:paraId="33607796">
      <w:pPr>
        <w:spacing w:line="360" w:lineRule="auto"/>
        <w:ind w:firstLine="420" w:firstLineChars="200"/>
        <w:rPr>
          <w:rFonts w:ascii="宋体" w:hAnsi="宋体" w:cs="宋体"/>
          <w:color w:val="auto"/>
          <w:highlight w:val="none"/>
        </w:rPr>
      </w:pPr>
    </w:p>
    <w:p w14:paraId="087FBD94">
      <w:pPr>
        <w:spacing w:line="360" w:lineRule="auto"/>
        <w:ind w:firstLine="420" w:firstLineChars="200"/>
        <w:rPr>
          <w:rFonts w:ascii="宋体" w:hAnsi="宋体" w:cs="宋体"/>
          <w:color w:val="auto"/>
          <w:highlight w:val="none"/>
        </w:rPr>
      </w:pPr>
    </w:p>
    <w:p w14:paraId="1FA8A2F7">
      <w:pPr>
        <w:spacing w:line="360" w:lineRule="auto"/>
        <w:ind w:firstLine="420" w:firstLineChars="200"/>
        <w:rPr>
          <w:rFonts w:ascii="宋体" w:hAnsi="宋体" w:cs="宋体"/>
          <w:color w:val="auto"/>
          <w:highlight w:val="none"/>
        </w:rPr>
      </w:pPr>
    </w:p>
    <w:p w14:paraId="7CD91D91">
      <w:pPr>
        <w:spacing w:line="360" w:lineRule="auto"/>
        <w:rPr>
          <w:rFonts w:ascii="宋体" w:hAnsi="宋体" w:cs="宋体"/>
          <w:b/>
          <w:color w:val="auto"/>
          <w:sz w:val="24"/>
          <w:highlight w:val="none"/>
        </w:rPr>
      </w:pPr>
    </w:p>
    <w:p w14:paraId="7B22B569">
      <w:pPr>
        <w:spacing w:line="360" w:lineRule="auto"/>
        <w:rPr>
          <w:rFonts w:ascii="宋体" w:hAnsi="宋体" w:cs="宋体"/>
          <w:b/>
          <w:color w:val="auto"/>
          <w:sz w:val="24"/>
          <w:highlight w:val="none"/>
        </w:rPr>
      </w:pPr>
    </w:p>
    <w:p w14:paraId="58D27D8A">
      <w:pPr>
        <w:spacing w:line="360" w:lineRule="auto"/>
        <w:rPr>
          <w:rFonts w:ascii="宋体" w:hAnsi="宋体" w:cs="宋体"/>
          <w:b/>
          <w:color w:val="auto"/>
          <w:sz w:val="24"/>
          <w:highlight w:val="none"/>
        </w:rPr>
      </w:pPr>
    </w:p>
    <w:p w14:paraId="571B9F76">
      <w:pPr>
        <w:spacing w:line="360" w:lineRule="auto"/>
        <w:rPr>
          <w:rFonts w:ascii="宋体" w:hAnsi="宋体" w:cs="宋体"/>
          <w:b/>
          <w:color w:val="auto"/>
          <w:sz w:val="24"/>
          <w:highlight w:val="none"/>
        </w:rPr>
      </w:pPr>
    </w:p>
    <w:p w14:paraId="232B50C3">
      <w:pPr>
        <w:spacing w:line="360" w:lineRule="auto"/>
        <w:rPr>
          <w:rFonts w:ascii="宋体" w:hAnsi="宋体" w:cs="宋体"/>
          <w:b/>
          <w:color w:val="auto"/>
          <w:sz w:val="24"/>
          <w:highlight w:val="none"/>
        </w:rPr>
      </w:pPr>
    </w:p>
    <w:p w14:paraId="00BCB917">
      <w:pPr>
        <w:spacing w:line="360" w:lineRule="auto"/>
        <w:rPr>
          <w:rFonts w:ascii="宋体" w:hAnsi="宋体" w:cs="宋体"/>
          <w:b/>
          <w:color w:val="auto"/>
          <w:sz w:val="24"/>
          <w:highlight w:val="none"/>
        </w:rPr>
      </w:pPr>
    </w:p>
    <w:p w14:paraId="13997254">
      <w:pPr>
        <w:spacing w:line="360" w:lineRule="auto"/>
        <w:rPr>
          <w:rFonts w:ascii="宋体" w:hAnsi="宋体" w:cs="宋体"/>
          <w:b/>
          <w:color w:val="auto"/>
          <w:sz w:val="24"/>
          <w:highlight w:val="none"/>
        </w:rPr>
      </w:pPr>
    </w:p>
    <w:p w14:paraId="4F7E11B0">
      <w:pPr>
        <w:spacing w:line="360" w:lineRule="auto"/>
        <w:rPr>
          <w:rFonts w:ascii="宋体" w:hAnsi="宋体" w:cs="宋体"/>
          <w:b/>
          <w:color w:val="auto"/>
          <w:sz w:val="24"/>
          <w:highlight w:val="none"/>
        </w:rPr>
      </w:pPr>
    </w:p>
    <w:p w14:paraId="6C5A286B">
      <w:pPr>
        <w:spacing w:line="360" w:lineRule="auto"/>
        <w:rPr>
          <w:rFonts w:ascii="宋体" w:hAnsi="宋体" w:cs="宋体"/>
          <w:b/>
          <w:color w:val="auto"/>
          <w:sz w:val="24"/>
          <w:highlight w:val="none"/>
        </w:rPr>
      </w:pPr>
    </w:p>
    <w:p w14:paraId="563DE5C6">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90D0D8C">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24C229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5D56A8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7E64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C0934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E474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231C65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482B79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2B0C4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BDC24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FC129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31D6AC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2397A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22C87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D328E9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1589B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9D45A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6C809D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E8AB6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12A0A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5B694A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7ADE7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A8881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D2F733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BEF48B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3C593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4C49C94">
      <w:pPr>
        <w:spacing w:line="360" w:lineRule="auto"/>
        <w:rPr>
          <w:rFonts w:ascii="宋体" w:hAnsi="宋体" w:cs="宋体"/>
          <w:b/>
          <w:color w:val="auto"/>
          <w:sz w:val="24"/>
          <w:highlight w:val="none"/>
        </w:rPr>
      </w:pPr>
    </w:p>
    <w:p w14:paraId="5882F44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C56A5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EA81B3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99E458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A4545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2C1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583CA4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2BB765D">
      <w:pPr>
        <w:widowControl/>
        <w:spacing w:line="360" w:lineRule="auto"/>
        <w:ind w:firstLine="600" w:firstLineChars="200"/>
        <w:jc w:val="left"/>
        <w:rPr>
          <w:rFonts w:ascii="宋体" w:hAnsi="宋体" w:cs="宋体"/>
          <w:color w:val="auto"/>
          <w:sz w:val="30"/>
          <w:szCs w:val="30"/>
          <w:highlight w:val="none"/>
        </w:rPr>
      </w:pPr>
    </w:p>
    <w:p w14:paraId="5A93F2CE">
      <w:pPr>
        <w:spacing w:line="360" w:lineRule="auto"/>
        <w:jc w:val="center"/>
        <w:rPr>
          <w:rFonts w:ascii="宋体" w:hAnsi="宋体" w:cs="宋体"/>
          <w:b/>
          <w:color w:val="auto"/>
          <w:spacing w:val="6"/>
          <w:sz w:val="32"/>
          <w:szCs w:val="32"/>
          <w:highlight w:val="none"/>
        </w:rPr>
      </w:pPr>
    </w:p>
    <w:p w14:paraId="33355DA2">
      <w:pPr>
        <w:spacing w:line="360" w:lineRule="auto"/>
        <w:jc w:val="center"/>
        <w:rPr>
          <w:rFonts w:ascii="宋体" w:hAnsi="宋体" w:cs="宋体"/>
          <w:b/>
          <w:color w:val="auto"/>
          <w:spacing w:val="6"/>
          <w:sz w:val="32"/>
          <w:szCs w:val="32"/>
          <w:highlight w:val="none"/>
        </w:rPr>
      </w:pPr>
    </w:p>
    <w:p w14:paraId="70B77140">
      <w:pPr>
        <w:spacing w:line="360" w:lineRule="auto"/>
        <w:jc w:val="center"/>
        <w:rPr>
          <w:rFonts w:ascii="宋体" w:hAnsi="宋体" w:cs="宋体"/>
          <w:b/>
          <w:color w:val="auto"/>
          <w:spacing w:val="6"/>
          <w:sz w:val="32"/>
          <w:szCs w:val="32"/>
          <w:highlight w:val="none"/>
        </w:rPr>
      </w:pPr>
    </w:p>
    <w:p w14:paraId="56AC1570">
      <w:pPr>
        <w:spacing w:line="360" w:lineRule="auto"/>
        <w:jc w:val="center"/>
        <w:rPr>
          <w:rFonts w:ascii="宋体" w:hAnsi="宋体" w:cs="宋体"/>
          <w:b/>
          <w:color w:val="auto"/>
          <w:spacing w:val="6"/>
          <w:sz w:val="32"/>
          <w:szCs w:val="32"/>
          <w:highlight w:val="none"/>
        </w:rPr>
      </w:pPr>
    </w:p>
    <w:p w14:paraId="5FE6C701">
      <w:pPr>
        <w:spacing w:line="360" w:lineRule="auto"/>
        <w:jc w:val="center"/>
        <w:rPr>
          <w:rFonts w:ascii="宋体" w:hAnsi="宋体" w:cs="宋体"/>
          <w:b/>
          <w:color w:val="auto"/>
          <w:spacing w:val="6"/>
          <w:sz w:val="32"/>
          <w:szCs w:val="32"/>
          <w:highlight w:val="none"/>
        </w:rPr>
      </w:pPr>
    </w:p>
    <w:p w14:paraId="3B08A861">
      <w:pPr>
        <w:spacing w:line="360" w:lineRule="auto"/>
        <w:jc w:val="center"/>
        <w:rPr>
          <w:rFonts w:ascii="宋体" w:hAnsi="宋体" w:cs="宋体"/>
          <w:b/>
          <w:color w:val="auto"/>
          <w:spacing w:val="6"/>
          <w:sz w:val="32"/>
          <w:szCs w:val="32"/>
          <w:highlight w:val="none"/>
        </w:rPr>
      </w:pPr>
    </w:p>
    <w:p w14:paraId="70AD70A6">
      <w:pPr>
        <w:spacing w:line="360" w:lineRule="auto"/>
        <w:jc w:val="center"/>
        <w:rPr>
          <w:rFonts w:ascii="宋体" w:hAnsi="宋体" w:cs="宋体"/>
          <w:b/>
          <w:color w:val="auto"/>
          <w:spacing w:val="6"/>
          <w:sz w:val="32"/>
          <w:szCs w:val="32"/>
          <w:highlight w:val="none"/>
        </w:rPr>
      </w:pPr>
    </w:p>
    <w:p w14:paraId="1EFC862C">
      <w:pPr>
        <w:spacing w:line="360" w:lineRule="auto"/>
        <w:jc w:val="center"/>
        <w:rPr>
          <w:rFonts w:ascii="宋体" w:hAnsi="宋体" w:cs="宋体"/>
          <w:b/>
          <w:color w:val="auto"/>
          <w:spacing w:val="6"/>
          <w:sz w:val="32"/>
          <w:szCs w:val="32"/>
          <w:highlight w:val="none"/>
        </w:rPr>
      </w:pPr>
    </w:p>
    <w:p w14:paraId="678F7ACE">
      <w:pPr>
        <w:spacing w:line="360" w:lineRule="auto"/>
        <w:jc w:val="center"/>
        <w:rPr>
          <w:rFonts w:ascii="宋体" w:hAnsi="宋体" w:cs="宋体"/>
          <w:b/>
          <w:color w:val="auto"/>
          <w:spacing w:val="6"/>
          <w:sz w:val="32"/>
          <w:szCs w:val="32"/>
          <w:highlight w:val="none"/>
        </w:rPr>
      </w:pPr>
    </w:p>
    <w:p w14:paraId="790B2075">
      <w:pPr>
        <w:spacing w:line="360" w:lineRule="auto"/>
        <w:jc w:val="center"/>
        <w:rPr>
          <w:rFonts w:ascii="宋体" w:hAnsi="宋体" w:cs="宋体"/>
          <w:b/>
          <w:color w:val="auto"/>
          <w:spacing w:val="6"/>
          <w:sz w:val="32"/>
          <w:szCs w:val="32"/>
          <w:highlight w:val="none"/>
        </w:rPr>
      </w:pPr>
    </w:p>
    <w:p w14:paraId="4F333312">
      <w:pPr>
        <w:spacing w:line="360" w:lineRule="auto"/>
        <w:jc w:val="center"/>
        <w:rPr>
          <w:rFonts w:ascii="宋体" w:hAnsi="宋体" w:cs="宋体"/>
          <w:b/>
          <w:color w:val="auto"/>
          <w:spacing w:val="6"/>
          <w:sz w:val="32"/>
          <w:szCs w:val="32"/>
          <w:highlight w:val="none"/>
        </w:rPr>
      </w:pPr>
    </w:p>
    <w:p w14:paraId="60D5C043">
      <w:pPr>
        <w:spacing w:line="360" w:lineRule="auto"/>
        <w:jc w:val="center"/>
        <w:rPr>
          <w:rFonts w:ascii="宋体" w:hAnsi="宋体" w:cs="宋体"/>
          <w:b/>
          <w:color w:val="auto"/>
          <w:spacing w:val="6"/>
          <w:sz w:val="32"/>
          <w:szCs w:val="32"/>
          <w:highlight w:val="none"/>
        </w:rPr>
      </w:pPr>
    </w:p>
    <w:p w14:paraId="7DC14627">
      <w:pPr>
        <w:spacing w:line="360" w:lineRule="auto"/>
        <w:jc w:val="left"/>
        <w:rPr>
          <w:rFonts w:ascii="宋体" w:hAnsi="宋体" w:cs="宋体"/>
          <w:b/>
          <w:color w:val="auto"/>
          <w:spacing w:val="6"/>
          <w:sz w:val="32"/>
          <w:szCs w:val="32"/>
          <w:highlight w:val="none"/>
        </w:rPr>
      </w:pPr>
    </w:p>
    <w:p w14:paraId="58928004">
      <w:pPr>
        <w:spacing w:line="360" w:lineRule="auto"/>
        <w:jc w:val="left"/>
        <w:rPr>
          <w:rFonts w:ascii="宋体" w:hAnsi="宋体" w:cs="宋体"/>
          <w:b/>
          <w:color w:val="auto"/>
          <w:spacing w:val="6"/>
          <w:sz w:val="32"/>
          <w:szCs w:val="32"/>
          <w:highlight w:val="none"/>
        </w:rPr>
      </w:pPr>
    </w:p>
    <w:p w14:paraId="49C2238C">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7BD861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6146DC0">
      <w:pPr>
        <w:spacing w:line="360" w:lineRule="auto"/>
        <w:jc w:val="center"/>
        <w:rPr>
          <w:rFonts w:ascii="宋体" w:hAnsi="宋体" w:cs="宋体"/>
          <w:b/>
          <w:color w:val="auto"/>
          <w:sz w:val="24"/>
          <w:highlight w:val="none"/>
        </w:rPr>
      </w:pPr>
    </w:p>
    <w:p w14:paraId="14A26E4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25A664F">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F714351">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054B643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AE6D2E6">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CD1FCB8">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40C20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31C36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A0C24D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DA22BB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F8AA2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46FB256">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02E86DFB">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E59E4A7">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AE72A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A33C4A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CF95380">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6CA1F2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1BA8CE2F">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8811A1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907607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83F70C1">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B7DAF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9155E1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A855C7B">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2B753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03658EC">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C4E405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B80417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BD1B5C7">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012B03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58D0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CED495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403D33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488941F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84C7FD3">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BEB8BC6">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7D5F26">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14F6443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C4DAB3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0C03122">
      <w:pPr>
        <w:spacing w:line="360" w:lineRule="auto"/>
        <w:rPr>
          <w:rFonts w:ascii="宋体" w:hAnsi="宋体" w:cs="宋体"/>
          <w:b/>
          <w:color w:val="auto"/>
          <w:sz w:val="24"/>
          <w:highlight w:val="none"/>
        </w:rPr>
      </w:pPr>
    </w:p>
    <w:p w14:paraId="5C73E7BB">
      <w:pPr>
        <w:spacing w:line="360" w:lineRule="auto"/>
        <w:rPr>
          <w:rFonts w:ascii="宋体" w:hAnsi="宋体" w:cs="宋体"/>
          <w:b/>
          <w:color w:val="auto"/>
          <w:sz w:val="24"/>
          <w:highlight w:val="none"/>
        </w:rPr>
      </w:pPr>
    </w:p>
    <w:p w14:paraId="5C07F73D">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5B7FF6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B9F540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BF448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34FC35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8306BB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462B17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B9B086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FF6CADE">
      <w:pPr>
        <w:spacing w:line="360" w:lineRule="auto"/>
        <w:rPr>
          <w:rFonts w:ascii="宋体" w:hAnsi="宋体" w:cs="宋体"/>
          <w:b/>
          <w:color w:val="auto"/>
          <w:sz w:val="24"/>
          <w:highlight w:val="none"/>
        </w:rPr>
      </w:pPr>
    </w:p>
    <w:p w14:paraId="311C0254">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FB55221">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87C6C37">
      <w:pPr>
        <w:spacing w:line="360" w:lineRule="auto"/>
        <w:rPr>
          <w:rFonts w:ascii="宋体" w:hAnsi="宋体" w:cs="宋体"/>
          <w:color w:val="auto"/>
          <w:sz w:val="24"/>
          <w:highlight w:val="none"/>
          <w:u w:val="single"/>
        </w:rPr>
      </w:pPr>
    </w:p>
    <w:p w14:paraId="3C90410E">
      <w:pPr>
        <w:spacing w:line="360" w:lineRule="auto"/>
        <w:rPr>
          <w:rFonts w:ascii="宋体" w:hAnsi="宋体" w:cs="宋体"/>
          <w:color w:val="auto"/>
          <w:sz w:val="24"/>
          <w:highlight w:val="none"/>
        </w:rPr>
      </w:pPr>
      <w:r>
        <w:rPr>
          <w:rFonts w:hint="eastAsia" w:ascii="宋体" w:hAnsi="宋体" w:cs="宋体"/>
          <w:color w:val="auto"/>
          <w:sz w:val="24"/>
          <w:highlight w:val="none"/>
          <w:u w:val="single"/>
        </w:rPr>
        <w:t>浙江海洋大学、浙江科佳工程咨询有限公司：</w:t>
      </w:r>
    </w:p>
    <w:p w14:paraId="7B4A995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你方组织的浙江海洋大学第七届全国海员技能大比武航海模拟器更新【招标编号：XXXXXXXX】</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AD286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49266B23">
      <w:pPr>
        <w:spacing w:line="360" w:lineRule="auto"/>
        <w:ind w:firstLine="494"/>
        <w:rPr>
          <w:rFonts w:ascii="宋体" w:hAnsi="宋体" w:cs="宋体"/>
          <w:color w:val="auto"/>
          <w:sz w:val="24"/>
          <w:highlight w:val="none"/>
        </w:rPr>
      </w:pPr>
    </w:p>
    <w:p w14:paraId="5F2F9CDB">
      <w:pPr>
        <w:spacing w:line="360" w:lineRule="auto"/>
        <w:ind w:firstLine="494"/>
        <w:rPr>
          <w:rFonts w:ascii="宋体" w:hAnsi="宋体" w:cs="宋体"/>
          <w:color w:val="auto"/>
          <w:sz w:val="24"/>
          <w:highlight w:val="none"/>
        </w:rPr>
      </w:pPr>
    </w:p>
    <w:p w14:paraId="66F7A1C9">
      <w:pPr>
        <w:spacing w:line="360" w:lineRule="auto"/>
        <w:ind w:firstLine="494"/>
        <w:rPr>
          <w:rFonts w:ascii="宋体" w:hAnsi="宋体" w:cs="宋体"/>
          <w:color w:val="auto"/>
          <w:sz w:val="24"/>
          <w:highlight w:val="none"/>
        </w:rPr>
      </w:pPr>
    </w:p>
    <w:p w14:paraId="055EFE82">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DA6578A">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A5B1026">
      <w:pPr>
        <w:rPr>
          <w:rFonts w:ascii="宋体" w:hAnsi="宋体" w:cs="宋体"/>
          <w:color w:val="auto"/>
          <w:sz w:val="24"/>
          <w:highlight w:val="none"/>
        </w:rPr>
      </w:pPr>
      <w:r>
        <w:rPr>
          <w:rFonts w:hint="eastAsia" w:ascii="宋体" w:hAnsi="宋体" w:cs="宋体"/>
          <w:b/>
          <w:bCs/>
          <w:color w:val="auto"/>
          <w:sz w:val="24"/>
          <w:highlight w:val="none"/>
        </w:rPr>
        <w:t>附：</w:t>
      </w:r>
    </w:p>
    <w:p w14:paraId="6BD7455B">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1" name="Rectangle 17"/>
                <wp:cNvGraphicFramePr/>
                <a:graphic xmlns:a="http://schemas.openxmlformats.org/drawingml/2006/main">
                  <a:graphicData uri="http://schemas.microsoft.com/office/word/2010/wordprocessingShape">
                    <wps:wsp>
                      <wps:cNvSpPr>
                        <a:spLocks noChangeArrowheads="1"/>
                      </wps:cNvSpPr>
                      <wps:spPr>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yVPqRYCAABaBAAADgAAAGRycy9lMm9Eb2MueG1srVTL&#10;btswELwX6D8QvNd61HIawXIQ2HBRIGiDpP0AmqIsonx1SVt2v74rSnGUtIccqgPB5S6HM8Olljcn&#10;rchRgJfWVDSbpZQIw20tzb6iP75vP3yixAdmaqasERU9C09vVu/fLTtXity2VtUCCIIYX3auom0I&#10;rkwSz1uhmZ9ZJwwmGwuaBQxhn9TAOkTXKsnTdJF0FmoHlgvvcXUzJOmICG8BtE0judhYftDChAEV&#10;hGIBJflWOk9XkW3TCB6+NY0XgaiKotIQRzwE57t+TFZLVu6BuVbykQJ7C4VXmjSTBg+9QG1YYOQA&#10;8i8oLTlYb5sw41Yng5DoCKrI0lfePLbMiagFrfbuYrr/f7D86/EeiKyxEygxTOOFP6BpzOyVINlV&#10;70/nfIllj+4eeoXe3Vn+0xNj1y2WiVsA27WC1cgq6+uTFxv6wI9bTw3oHgJlk1O8g/PlDsQpEI6L&#10;+VU6ny8KSjjm8rz4uMiKiMrKp+0OfPgsrCb9pKKAfKP37HjnQ0+AlU8lkbBVst5KpWIA+91aATky&#10;bIht/EZ0Py1ThnQVvS7yIiK/yPkpRBq/f0FoGfCdKKlRxrRImdGiwZXen52tz3gLYIf2xMeJk9bC&#10;b0o6bM2K+l8HBoIS9cWgy9fZfN73cgzmxVWOAUwzu2mGGY5QFQ2UDNN1iP3fu2Hs7SHYRkbXnpmM&#10;BLHlopnj8+h7ehrHqudfw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ZAPP9gAAAAKAQAADwAA&#10;AAAAAAABACAAAAAiAAAAZHJzL2Rvd25yZXYueG1sUEsBAhQAFAAAAAgAh07iQLslT6kWAgAAWgQA&#10;AA4AAAAAAAAAAQAgAAAAJwEAAGRycy9lMm9Eb2MueG1sUEsFBgAAAAAGAAYAWQEAAK8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2" name="Rectangle 16"/>
                <wp:cNvGraphicFramePr/>
                <a:graphic xmlns:a="http://schemas.openxmlformats.org/drawingml/2006/main">
                  <a:graphicData uri="http://schemas.microsoft.com/office/word/2010/wordprocessingShape">
                    <wps:wsp>
                      <wps:cNvSpPr>
                        <a:spLocks noChangeArrowheads="1"/>
                      </wps:cNvSpPr>
                      <wps:spPr>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ckujBYCAABaBAAADgAAAGRycy9lMm9Eb2MueG1srVTL&#10;btswELwX6D8QvNeyVcupBctBYMNFgaANkvYDaIqyiPLVJW05/fouKcVR0h5yqA4EV7sczcwutbo+&#10;a0VOAry0pqKzyZQSYbitpTlU9Mf33YdPlPjATM2UNaKij8LT6/X7d6vOlSK3rVW1AIIgxpedq2gb&#10;giuzzPNWaOYn1gmDycaCZgFDOGQ1sA7Rtcry6XSRdRZqB5YL7/Httk/SARHeAmibRnKxtfyohQk9&#10;KgjFAkryrXSerhPbphE8fGsaLwJRFUWlIa34Edzv45qtV6w8AHOt5AMF9hYKrzRpJg1+9AK1ZYGR&#10;I8i/oLTkYL1twoRbnfVCkiOoYjZ95c1Dy5xIWtBq7y6m+/8Hy7+e7oDIuqI5JYZpbPg9msbMQQky&#10;W0R/OudLLHtwdxAVendr+U9PjN20WCZuAGzXClYjq1msz14ciIEfjp4b0BECZZNz6sHjpQfiHAjH&#10;l/lifrUssD0cc3lefFzMioTKyqfjDnz4LKwmcVNRQL7Je3a69SESYOVTSSJslax3UqkUwGG/UUBO&#10;DAdil54B3Y/LlCFdRZdFXiTkFzk/hpim518QWga8J0pqlDEuUmawqHcl+rO39SN2AWw/nng5cdNa&#10;+E1Jh6NZUf/ryEBQor4YdHk5m8/jLKdgXlzlGMA4sx9nmOEIVdFASb/dhDT/0Q1jb47BNjK59sxk&#10;IIgjl8wcrkec6XGcqp5/Ce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YxHptgAAAAKAQAADwAA&#10;AAAAAAABACAAAAAiAAAAZHJzL2Rvd25yZXYueG1sUEsBAhQAFAAAAAgAh07iQKnJLowWAgAAWgQA&#10;AA4AAAAAAAAAAQAgAAAAJwEAAGRycy9lMm9Eb2MueG1sUEsFBgAAAAAGAAYAWQEAAK8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EAF13B7">
      <w:pPr>
        <w:autoSpaceDE w:val="0"/>
        <w:autoSpaceDN w:val="0"/>
        <w:jc w:val="center"/>
        <w:rPr>
          <w:rFonts w:ascii="宋体" w:hAnsi="宋体" w:cs="宋体"/>
          <w:b/>
          <w:color w:val="auto"/>
          <w:spacing w:val="6"/>
          <w:sz w:val="32"/>
          <w:szCs w:val="32"/>
          <w:highlight w:val="none"/>
        </w:rPr>
      </w:pPr>
    </w:p>
    <w:p w14:paraId="2329DF46">
      <w:pPr>
        <w:autoSpaceDE w:val="0"/>
        <w:autoSpaceDN w:val="0"/>
        <w:jc w:val="center"/>
        <w:rPr>
          <w:rFonts w:ascii="宋体" w:hAnsi="宋体" w:cs="宋体"/>
          <w:b/>
          <w:color w:val="auto"/>
          <w:spacing w:val="6"/>
          <w:sz w:val="32"/>
          <w:szCs w:val="32"/>
          <w:highlight w:val="none"/>
        </w:rPr>
      </w:pPr>
    </w:p>
    <w:p w14:paraId="285E6AC1">
      <w:pPr>
        <w:autoSpaceDE w:val="0"/>
        <w:autoSpaceDN w:val="0"/>
        <w:jc w:val="center"/>
        <w:rPr>
          <w:rFonts w:ascii="宋体" w:hAnsi="宋体" w:cs="宋体"/>
          <w:b/>
          <w:color w:val="auto"/>
          <w:spacing w:val="6"/>
          <w:sz w:val="32"/>
          <w:szCs w:val="32"/>
          <w:highlight w:val="none"/>
        </w:rPr>
      </w:pPr>
    </w:p>
    <w:p w14:paraId="64724F63">
      <w:pPr>
        <w:autoSpaceDE w:val="0"/>
        <w:autoSpaceDN w:val="0"/>
        <w:jc w:val="center"/>
        <w:rPr>
          <w:rFonts w:ascii="宋体" w:hAnsi="宋体" w:cs="宋体"/>
          <w:b/>
          <w:color w:val="auto"/>
          <w:spacing w:val="6"/>
          <w:sz w:val="32"/>
          <w:szCs w:val="32"/>
          <w:highlight w:val="none"/>
        </w:rPr>
      </w:pPr>
    </w:p>
    <w:p w14:paraId="574E93C2">
      <w:pPr>
        <w:autoSpaceDE w:val="0"/>
        <w:autoSpaceDN w:val="0"/>
        <w:jc w:val="center"/>
        <w:rPr>
          <w:rFonts w:ascii="宋体" w:hAnsi="宋体" w:cs="宋体"/>
          <w:b/>
          <w:color w:val="auto"/>
          <w:spacing w:val="6"/>
          <w:sz w:val="32"/>
          <w:szCs w:val="32"/>
          <w:highlight w:val="none"/>
        </w:rPr>
      </w:pPr>
    </w:p>
    <w:p w14:paraId="1C5D41FC">
      <w:pPr>
        <w:autoSpaceDE w:val="0"/>
        <w:autoSpaceDN w:val="0"/>
        <w:jc w:val="center"/>
        <w:rPr>
          <w:rFonts w:ascii="宋体" w:hAnsi="宋体" w:cs="宋体"/>
          <w:b/>
          <w:color w:val="auto"/>
          <w:spacing w:val="6"/>
          <w:sz w:val="32"/>
          <w:szCs w:val="32"/>
          <w:highlight w:val="none"/>
        </w:rPr>
      </w:pPr>
    </w:p>
    <w:p w14:paraId="7B2E4AF2">
      <w:pPr>
        <w:autoSpaceDE w:val="0"/>
        <w:autoSpaceDN w:val="0"/>
        <w:jc w:val="center"/>
        <w:rPr>
          <w:rFonts w:ascii="宋体" w:hAnsi="宋体" w:cs="宋体"/>
          <w:b/>
          <w:color w:val="auto"/>
          <w:spacing w:val="6"/>
          <w:sz w:val="32"/>
          <w:szCs w:val="32"/>
          <w:highlight w:val="none"/>
        </w:rPr>
      </w:pPr>
    </w:p>
    <w:p w14:paraId="18F1CDC3">
      <w:pPr>
        <w:autoSpaceDE w:val="0"/>
        <w:autoSpaceDN w:val="0"/>
        <w:jc w:val="center"/>
        <w:rPr>
          <w:rFonts w:ascii="宋体" w:hAnsi="宋体" w:cs="宋体"/>
          <w:b/>
          <w:color w:val="auto"/>
          <w:spacing w:val="6"/>
          <w:sz w:val="32"/>
          <w:szCs w:val="32"/>
          <w:highlight w:val="none"/>
        </w:rPr>
      </w:pPr>
    </w:p>
    <w:p w14:paraId="1F4953F0">
      <w:pPr>
        <w:autoSpaceDE w:val="0"/>
        <w:autoSpaceDN w:val="0"/>
        <w:jc w:val="center"/>
        <w:rPr>
          <w:rFonts w:ascii="宋体" w:hAnsi="宋体" w:cs="宋体"/>
          <w:b/>
          <w:color w:val="auto"/>
          <w:spacing w:val="6"/>
          <w:sz w:val="32"/>
          <w:szCs w:val="32"/>
          <w:highlight w:val="none"/>
        </w:rPr>
      </w:pPr>
    </w:p>
    <w:p w14:paraId="2EC62371">
      <w:pPr>
        <w:autoSpaceDE w:val="0"/>
        <w:autoSpaceDN w:val="0"/>
        <w:jc w:val="center"/>
        <w:rPr>
          <w:rFonts w:ascii="宋体" w:hAnsi="宋体" w:cs="宋体"/>
          <w:b/>
          <w:color w:val="auto"/>
          <w:spacing w:val="6"/>
          <w:sz w:val="32"/>
          <w:szCs w:val="32"/>
          <w:highlight w:val="none"/>
        </w:rPr>
      </w:pPr>
    </w:p>
    <w:p w14:paraId="061B1105">
      <w:pPr>
        <w:autoSpaceDE w:val="0"/>
        <w:autoSpaceDN w:val="0"/>
        <w:jc w:val="center"/>
        <w:rPr>
          <w:rFonts w:ascii="宋体" w:hAnsi="宋体" w:cs="宋体"/>
          <w:b/>
          <w:color w:val="auto"/>
          <w:spacing w:val="6"/>
          <w:sz w:val="32"/>
          <w:szCs w:val="32"/>
          <w:highlight w:val="none"/>
        </w:rPr>
      </w:pPr>
    </w:p>
    <w:p w14:paraId="7C3C86A3">
      <w:pPr>
        <w:autoSpaceDE w:val="0"/>
        <w:autoSpaceDN w:val="0"/>
        <w:jc w:val="center"/>
        <w:rPr>
          <w:rFonts w:ascii="宋体" w:hAnsi="宋体" w:cs="宋体"/>
          <w:b/>
          <w:color w:val="auto"/>
          <w:spacing w:val="6"/>
          <w:sz w:val="32"/>
          <w:szCs w:val="32"/>
          <w:highlight w:val="none"/>
        </w:rPr>
      </w:pPr>
    </w:p>
    <w:p w14:paraId="5BFC3A46">
      <w:pPr>
        <w:autoSpaceDE w:val="0"/>
        <w:autoSpaceDN w:val="0"/>
        <w:jc w:val="center"/>
        <w:rPr>
          <w:rFonts w:ascii="宋体" w:hAnsi="宋体" w:cs="宋体"/>
          <w:b/>
          <w:color w:val="auto"/>
          <w:spacing w:val="6"/>
          <w:sz w:val="32"/>
          <w:szCs w:val="32"/>
          <w:highlight w:val="none"/>
        </w:rPr>
      </w:pPr>
    </w:p>
    <w:p w14:paraId="4E9B5394">
      <w:pPr>
        <w:autoSpaceDE w:val="0"/>
        <w:autoSpaceDN w:val="0"/>
        <w:jc w:val="center"/>
        <w:rPr>
          <w:rFonts w:ascii="宋体" w:hAnsi="宋体" w:cs="宋体"/>
          <w:b/>
          <w:color w:val="auto"/>
          <w:spacing w:val="6"/>
          <w:sz w:val="32"/>
          <w:szCs w:val="32"/>
          <w:highlight w:val="none"/>
        </w:rPr>
      </w:pPr>
    </w:p>
    <w:p w14:paraId="2AD295FF">
      <w:pPr>
        <w:autoSpaceDE w:val="0"/>
        <w:autoSpaceDN w:val="0"/>
        <w:jc w:val="center"/>
        <w:rPr>
          <w:rFonts w:ascii="宋体" w:hAnsi="宋体" w:cs="宋体"/>
          <w:b/>
          <w:color w:val="auto"/>
          <w:spacing w:val="6"/>
          <w:sz w:val="32"/>
          <w:szCs w:val="32"/>
          <w:highlight w:val="none"/>
        </w:rPr>
      </w:pPr>
    </w:p>
    <w:p w14:paraId="0C36F885">
      <w:pPr>
        <w:autoSpaceDE w:val="0"/>
        <w:autoSpaceDN w:val="0"/>
        <w:jc w:val="center"/>
        <w:rPr>
          <w:rFonts w:ascii="宋体" w:hAnsi="宋体" w:cs="宋体"/>
          <w:b/>
          <w:color w:val="auto"/>
          <w:spacing w:val="6"/>
          <w:sz w:val="32"/>
          <w:szCs w:val="32"/>
          <w:highlight w:val="none"/>
        </w:rPr>
      </w:pPr>
    </w:p>
    <w:p w14:paraId="70FD78CD">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3B51E58">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附件5：联合协议</w:t>
      </w:r>
    </w:p>
    <w:p w14:paraId="25AC876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028F8AD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浙江海洋大学第七届全国海员技能大比武航海模拟器更新【招标编号：XXXXXXXX】</w:t>
      </w:r>
      <w:r>
        <w:rPr>
          <w:rFonts w:hint="eastAsia" w:ascii="宋体" w:hAnsi="宋体" w:cs="宋体"/>
          <w:color w:val="auto"/>
          <w:kern w:val="0"/>
          <w:sz w:val="24"/>
          <w:highlight w:val="none"/>
          <w:lang w:val="zh-CN"/>
        </w:rPr>
        <w:t xml:space="preserve">投标。 </w:t>
      </w:r>
    </w:p>
    <w:p w14:paraId="1A3FBE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CD1A0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A1391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BE49C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DF49D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（联合体成员2）</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E926B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4FAF28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7034DA2">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（联合体成员X,……）</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2DBD3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45611B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34976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F0891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C6118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48C91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37608F2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A4F79A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4538C8D">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847D30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CFEC00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14400D1">
      <w:pPr>
        <w:autoSpaceDE w:val="0"/>
        <w:autoSpaceDN w:val="0"/>
        <w:jc w:val="center"/>
        <w:rPr>
          <w:rFonts w:ascii="宋体" w:hAnsi="宋体" w:cs="宋体"/>
          <w:b/>
          <w:color w:val="auto"/>
          <w:spacing w:val="6"/>
          <w:sz w:val="32"/>
          <w:szCs w:val="32"/>
          <w:highlight w:val="none"/>
        </w:rPr>
      </w:pPr>
    </w:p>
    <w:p w14:paraId="293013A4">
      <w:pPr>
        <w:autoSpaceDE w:val="0"/>
        <w:autoSpaceDN w:val="0"/>
        <w:jc w:val="center"/>
        <w:rPr>
          <w:rFonts w:ascii="宋体" w:hAnsi="宋体" w:cs="宋体"/>
          <w:b/>
          <w:color w:val="auto"/>
          <w:spacing w:val="6"/>
          <w:sz w:val="32"/>
          <w:szCs w:val="32"/>
          <w:highlight w:val="none"/>
        </w:rPr>
      </w:pPr>
    </w:p>
    <w:p w14:paraId="34C33641">
      <w:pPr>
        <w:autoSpaceDE w:val="0"/>
        <w:autoSpaceDN w:val="0"/>
        <w:jc w:val="center"/>
        <w:rPr>
          <w:rFonts w:ascii="宋体" w:hAnsi="宋体" w:cs="宋体"/>
          <w:b/>
          <w:color w:val="auto"/>
          <w:spacing w:val="6"/>
          <w:sz w:val="32"/>
          <w:szCs w:val="32"/>
          <w:highlight w:val="none"/>
        </w:rPr>
      </w:pPr>
    </w:p>
    <w:p w14:paraId="743B352B">
      <w:pPr>
        <w:autoSpaceDE w:val="0"/>
        <w:autoSpaceDN w:val="0"/>
        <w:jc w:val="center"/>
        <w:rPr>
          <w:rFonts w:ascii="宋体" w:hAnsi="宋体" w:cs="宋体"/>
          <w:b/>
          <w:color w:val="auto"/>
          <w:spacing w:val="6"/>
          <w:sz w:val="32"/>
          <w:szCs w:val="32"/>
          <w:highlight w:val="none"/>
        </w:rPr>
      </w:pPr>
    </w:p>
    <w:p w14:paraId="18031181">
      <w:pPr>
        <w:autoSpaceDE w:val="0"/>
        <w:autoSpaceDN w:val="0"/>
        <w:jc w:val="center"/>
        <w:rPr>
          <w:rFonts w:ascii="宋体" w:hAnsi="宋体" w:cs="宋体"/>
          <w:b/>
          <w:color w:val="auto"/>
          <w:spacing w:val="6"/>
          <w:sz w:val="32"/>
          <w:szCs w:val="32"/>
          <w:highlight w:val="none"/>
        </w:rPr>
      </w:pPr>
    </w:p>
    <w:p w14:paraId="7C87AB33">
      <w:pPr>
        <w:autoSpaceDE w:val="0"/>
        <w:autoSpaceDN w:val="0"/>
        <w:jc w:val="center"/>
        <w:rPr>
          <w:rFonts w:ascii="宋体" w:hAnsi="宋体" w:cs="宋体"/>
          <w:b/>
          <w:color w:val="auto"/>
          <w:spacing w:val="6"/>
          <w:sz w:val="32"/>
          <w:szCs w:val="32"/>
          <w:highlight w:val="none"/>
        </w:rPr>
      </w:pPr>
    </w:p>
    <w:p w14:paraId="34F8593B">
      <w:pPr>
        <w:autoSpaceDE w:val="0"/>
        <w:autoSpaceDN w:val="0"/>
        <w:jc w:val="center"/>
        <w:rPr>
          <w:rFonts w:ascii="宋体" w:hAnsi="宋体" w:cs="宋体"/>
          <w:b/>
          <w:color w:val="auto"/>
          <w:spacing w:val="6"/>
          <w:sz w:val="32"/>
          <w:szCs w:val="32"/>
          <w:highlight w:val="none"/>
        </w:rPr>
      </w:pPr>
    </w:p>
    <w:p w14:paraId="7B913EC4">
      <w:pPr>
        <w:autoSpaceDE w:val="0"/>
        <w:autoSpaceDN w:val="0"/>
        <w:jc w:val="center"/>
        <w:rPr>
          <w:rFonts w:ascii="宋体" w:hAnsi="宋体" w:cs="宋体"/>
          <w:b/>
          <w:color w:val="auto"/>
          <w:spacing w:val="6"/>
          <w:sz w:val="32"/>
          <w:szCs w:val="32"/>
          <w:highlight w:val="none"/>
        </w:rPr>
      </w:pPr>
    </w:p>
    <w:p w14:paraId="64414C2C">
      <w:pPr>
        <w:autoSpaceDE w:val="0"/>
        <w:autoSpaceDN w:val="0"/>
        <w:jc w:val="center"/>
        <w:rPr>
          <w:rFonts w:ascii="宋体" w:hAnsi="宋体" w:cs="宋体"/>
          <w:b/>
          <w:color w:val="auto"/>
          <w:spacing w:val="6"/>
          <w:sz w:val="32"/>
          <w:szCs w:val="32"/>
          <w:highlight w:val="none"/>
        </w:rPr>
      </w:pPr>
    </w:p>
    <w:p w14:paraId="5ACF6CBC">
      <w:pPr>
        <w:autoSpaceDE w:val="0"/>
        <w:autoSpaceDN w:val="0"/>
        <w:jc w:val="center"/>
        <w:rPr>
          <w:rFonts w:ascii="宋体" w:hAnsi="宋体" w:cs="宋体"/>
          <w:b/>
          <w:color w:val="auto"/>
          <w:spacing w:val="6"/>
          <w:sz w:val="32"/>
          <w:szCs w:val="32"/>
          <w:highlight w:val="none"/>
        </w:rPr>
      </w:pPr>
    </w:p>
    <w:p w14:paraId="49D7BA3B">
      <w:pPr>
        <w:autoSpaceDE w:val="0"/>
        <w:autoSpaceDN w:val="0"/>
        <w:jc w:val="center"/>
        <w:rPr>
          <w:rFonts w:ascii="宋体" w:hAnsi="宋体" w:cs="宋体"/>
          <w:b/>
          <w:color w:val="auto"/>
          <w:spacing w:val="6"/>
          <w:sz w:val="32"/>
          <w:szCs w:val="32"/>
          <w:highlight w:val="none"/>
        </w:rPr>
      </w:pPr>
    </w:p>
    <w:p w14:paraId="2C1FE880">
      <w:pPr>
        <w:autoSpaceDE w:val="0"/>
        <w:autoSpaceDN w:val="0"/>
        <w:jc w:val="center"/>
        <w:rPr>
          <w:rFonts w:ascii="宋体" w:hAnsi="宋体" w:cs="宋体"/>
          <w:b/>
          <w:color w:val="auto"/>
          <w:spacing w:val="6"/>
          <w:sz w:val="32"/>
          <w:szCs w:val="32"/>
          <w:highlight w:val="none"/>
        </w:rPr>
      </w:pPr>
    </w:p>
    <w:p w14:paraId="423C403D">
      <w:pPr>
        <w:autoSpaceDE w:val="0"/>
        <w:autoSpaceDN w:val="0"/>
        <w:jc w:val="center"/>
        <w:rPr>
          <w:rFonts w:ascii="宋体" w:hAnsi="宋体" w:cs="宋体"/>
          <w:b/>
          <w:color w:val="auto"/>
          <w:spacing w:val="6"/>
          <w:sz w:val="32"/>
          <w:szCs w:val="32"/>
          <w:highlight w:val="none"/>
        </w:rPr>
      </w:pPr>
    </w:p>
    <w:p w14:paraId="7199C077">
      <w:pPr>
        <w:autoSpaceDE w:val="0"/>
        <w:autoSpaceDN w:val="0"/>
        <w:jc w:val="center"/>
        <w:rPr>
          <w:rFonts w:ascii="宋体" w:hAnsi="宋体" w:cs="宋体"/>
          <w:b/>
          <w:color w:val="auto"/>
          <w:spacing w:val="6"/>
          <w:sz w:val="32"/>
          <w:szCs w:val="32"/>
          <w:highlight w:val="none"/>
        </w:rPr>
      </w:pPr>
    </w:p>
    <w:p w14:paraId="2BA75483">
      <w:pPr>
        <w:autoSpaceDE w:val="0"/>
        <w:autoSpaceDN w:val="0"/>
        <w:jc w:val="center"/>
        <w:rPr>
          <w:rFonts w:ascii="宋体" w:hAnsi="宋体" w:cs="宋体"/>
          <w:b/>
          <w:color w:val="auto"/>
          <w:spacing w:val="6"/>
          <w:sz w:val="32"/>
          <w:szCs w:val="32"/>
          <w:highlight w:val="none"/>
        </w:rPr>
      </w:pPr>
    </w:p>
    <w:p w14:paraId="084FBB1B">
      <w:pPr>
        <w:autoSpaceDE w:val="0"/>
        <w:autoSpaceDN w:val="0"/>
        <w:jc w:val="center"/>
        <w:rPr>
          <w:rFonts w:ascii="宋体" w:hAnsi="宋体" w:cs="宋体"/>
          <w:b/>
          <w:color w:val="auto"/>
          <w:spacing w:val="6"/>
          <w:sz w:val="32"/>
          <w:szCs w:val="32"/>
          <w:highlight w:val="none"/>
        </w:rPr>
      </w:pPr>
    </w:p>
    <w:p w14:paraId="14BECA67">
      <w:pPr>
        <w:autoSpaceDE w:val="0"/>
        <w:autoSpaceDN w:val="0"/>
        <w:jc w:val="center"/>
        <w:rPr>
          <w:rFonts w:ascii="宋体" w:hAnsi="宋体" w:cs="宋体"/>
          <w:b/>
          <w:color w:val="auto"/>
          <w:spacing w:val="6"/>
          <w:sz w:val="32"/>
          <w:szCs w:val="32"/>
          <w:highlight w:val="none"/>
        </w:rPr>
      </w:pPr>
    </w:p>
    <w:p w14:paraId="122EB2AD">
      <w:pPr>
        <w:autoSpaceDE w:val="0"/>
        <w:autoSpaceDN w:val="0"/>
        <w:jc w:val="center"/>
        <w:rPr>
          <w:rFonts w:ascii="宋体" w:hAnsi="宋体" w:cs="宋体"/>
          <w:b/>
          <w:color w:val="auto"/>
          <w:spacing w:val="6"/>
          <w:sz w:val="32"/>
          <w:szCs w:val="32"/>
          <w:highlight w:val="none"/>
        </w:rPr>
      </w:pPr>
    </w:p>
    <w:p w14:paraId="37CDB8B4">
      <w:pPr>
        <w:autoSpaceDE w:val="0"/>
        <w:autoSpaceDN w:val="0"/>
        <w:jc w:val="center"/>
        <w:rPr>
          <w:rFonts w:ascii="宋体" w:hAnsi="宋体" w:cs="宋体"/>
          <w:b/>
          <w:color w:val="auto"/>
          <w:spacing w:val="6"/>
          <w:sz w:val="32"/>
          <w:szCs w:val="32"/>
          <w:highlight w:val="none"/>
        </w:rPr>
      </w:pPr>
    </w:p>
    <w:p w14:paraId="0872C8F7">
      <w:pPr>
        <w:autoSpaceDE w:val="0"/>
        <w:autoSpaceDN w:val="0"/>
        <w:jc w:val="center"/>
        <w:rPr>
          <w:rFonts w:ascii="宋体" w:hAnsi="宋体" w:cs="宋体"/>
          <w:b/>
          <w:color w:val="auto"/>
          <w:spacing w:val="6"/>
          <w:sz w:val="32"/>
          <w:szCs w:val="32"/>
          <w:highlight w:val="none"/>
        </w:rPr>
      </w:pPr>
    </w:p>
    <w:p w14:paraId="64F8FA7D">
      <w:pPr>
        <w:autoSpaceDE w:val="0"/>
        <w:autoSpaceDN w:val="0"/>
        <w:jc w:val="center"/>
        <w:rPr>
          <w:rFonts w:ascii="宋体" w:hAnsi="宋体" w:cs="宋体"/>
          <w:b/>
          <w:color w:val="auto"/>
          <w:spacing w:val="6"/>
          <w:sz w:val="32"/>
          <w:szCs w:val="32"/>
          <w:highlight w:val="none"/>
        </w:rPr>
      </w:pPr>
    </w:p>
    <w:p w14:paraId="618CEFD4">
      <w:pPr>
        <w:autoSpaceDE w:val="0"/>
        <w:autoSpaceDN w:val="0"/>
        <w:jc w:val="center"/>
        <w:rPr>
          <w:rFonts w:ascii="宋体" w:hAnsi="宋体" w:cs="宋体"/>
          <w:b/>
          <w:color w:val="auto"/>
          <w:spacing w:val="6"/>
          <w:sz w:val="32"/>
          <w:szCs w:val="32"/>
          <w:highlight w:val="none"/>
        </w:rPr>
      </w:pPr>
    </w:p>
    <w:p w14:paraId="273AE37E">
      <w:pPr>
        <w:autoSpaceDE w:val="0"/>
        <w:autoSpaceDN w:val="0"/>
        <w:jc w:val="center"/>
        <w:rPr>
          <w:rFonts w:ascii="宋体" w:hAnsi="宋体" w:cs="宋体"/>
          <w:b/>
          <w:color w:val="auto"/>
          <w:spacing w:val="6"/>
          <w:sz w:val="32"/>
          <w:szCs w:val="32"/>
          <w:highlight w:val="none"/>
        </w:rPr>
      </w:pPr>
    </w:p>
    <w:p w14:paraId="59AA5F9A">
      <w:pPr>
        <w:autoSpaceDE w:val="0"/>
        <w:autoSpaceDN w:val="0"/>
        <w:jc w:val="center"/>
        <w:rPr>
          <w:rFonts w:ascii="宋体" w:hAnsi="宋体" w:cs="宋体"/>
          <w:b/>
          <w:color w:val="auto"/>
          <w:spacing w:val="6"/>
          <w:sz w:val="32"/>
          <w:szCs w:val="32"/>
          <w:highlight w:val="none"/>
        </w:rPr>
      </w:pPr>
    </w:p>
    <w:p w14:paraId="65B5FB4E">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B25CBE4">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附件6：分包意向协议</w:t>
      </w:r>
    </w:p>
    <w:p w14:paraId="10783224">
      <w:pPr>
        <w:widowControl/>
        <w:snapToGrid w:val="0"/>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3045F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浙江海洋大学第七届全国海员技能大比武航海模拟器更新【招标编号：XXXXXXXX】</w:t>
      </w:r>
      <w:r>
        <w:rPr>
          <w:rFonts w:hint="eastAsia" w:ascii="宋体" w:hAnsi="宋体" w:cs="宋体"/>
          <w:color w:val="auto"/>
          <w:kern w:val="0"/>
          <w:sz w:val="24"/>
          <w:highlight w:val="none"/>
          <w:lang w:val="zh-CN"/>
        </w:rPr>
        <w:t>的中标人，将依法采取分包方式履行合同。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DF5F5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57D340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hint="eastAsia"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BB87B18">
      <w:pPr>
        <w:snapToGrid w:val="0"/>
        <w:spacing w:line="360" w:lineRule="auto"/>
        <w:ind w:firstLine="576"/>
        <w:rPr>
          <w:rFonts w:ascii="宋体" w:hAnsi="宋体" w:cs="宋体"/>
          <w:color w:val="auto"/>
          <w:highlight w:val="none"/>
        </w:rPr>
      </w:pPr>
      <w:r>
        <w:rPr>
          <w:rFonts w:hint="eastAsia" w:ascii="宋体" w:hAnsi="宋体" w:cs="宋体"/>
          <w:color w:val="auto"/>
          <w:highlight w:val="none"/>
        </w:rPr>
        <w:t>……</w:t>
      </w:r>
    </w:p>
    <w:p w14:paraId="297F95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2B5AF6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（分包供应商X,……）提供的货物全部由小微企业制造，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7037D61">
      <w:pPr>
        <w:snapToGrid w:val="0"/>
        <w:spacing w:line="360" w:lineRule="auto"/>
        <w:ind w:firstLine="480" w:firstLineChars="200"/>
        <w:rPr>
          <w:rFonts w:ascii="宋体" w:hAnsi="宋体" w:cs="宋体"/>
          <w:b/>
          <w:bCs/>
          <w:color w:val="auto"/>
          <w:kern w:val="0"/>
          <w:sz w:val="24"/>
          <w:highlight w:val="none"/>
          <w:lang w:val="zh-CN"/>
        </w:rPr>
      </w:pPr>
      <w:bookmarkStart w:id="421" w:name="_Hlk101133173"/>
      <w:bookmarkEnd w:id="421"/>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086179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616020">
      <w:pPr>
        <w:snapToGrid w:val="0"/>
        <w:spacing w:line="360" w:lineRule="auto"/>
        <w:ind w:firstLine="576"/>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FFF86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053AD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u w:val="single"/>
        </w:rPr>
        <w:t xml:space="preserve">                                                                                       </w:t>
      </w:r>
    </w:p>
    <w:p w14:paraId="45BF37E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F2E152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sz w:val="24"/>
          <w:highlight w:val="none"/>
          <w:u w:val="single"/>
        </w:rPr>
        <w:t xml:space="preserve">                                                                                     </w:t>
      </w:r>
    </w:p>
    <w:p w14:paraId="3915F970">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8B343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u w:val="single"/>
        </w:rPr>
        <w:t xml:space="preserve">                                                                                     </w:t>
      </w:r>
    </w:p>
    <w:p w14:paraId="308CA2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2229E5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u w:val="single"/>
        </w:rPr>
        <w:t xml:space="preserve">                                                                                  </w:t>
      </w:r>
    </w:p>
    <w:p w14:paraId="39162CB4">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588224F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3E46BC9">
      <w:pPr>
        <w:snapToGrid w:val="0"/>
        <w:spacing w:line="360" w:lineRule="auto"/>
        <w:ind w:firstLine="5760" w:firstLineChars="2400"/>
        <w:rPr>
          <w:rFonts w:ascii="宋体" w:hAnsi="宋体" w:cs="宋体"/>
          <w:color w:val="auto"/>
          <w:sz w:val="24"/>
          <w:highlight w:val="none"/>
        </w:rPr>
      </w:pPr>
      <w:r>
        <w:rPr>
          <w:rFonts w:hint="eastAsia" w:ascii="宋体" w:hAnsi="宋体" w:cs="宋体"/>
          <w:color w:val="auto"/>
          <w:kern w:val="0"/>
          <w:sz w:val="24"/>
          <w:highlight w:val="none"/>
          <w:lang w:val="zh-CN"/>
        </w:rPr>
        <w:t>……</w:t>
      </w:r>
    </w:p>
    <w:p w14:paraId="13826D25">
      <w:pPr>
        <w:snapToGrid w:val="0"/>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04374B4">
      <w:pPr>
        <w:snapToGrid w:val="0"/>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CEEAB50">
      <w:pPr>
        <w:autoSpaceDE w:val="0"/>
        <w:autoSpaceDN w:val="0"/>
        <w:jc w:val="center"/>
        <w:rPr>
          <w:rFonts w:ascii="宋体" w:hAnsi="宋体" w:cs="宋体"/>
          <w:b/>
          <w:color w:val="auto"/>
          <w:spacing w:val="6"/>
          <w:sz w:val="32"/>
          <w:szCs w:val="32"/>
          <w:highlight w:val="none"/>
        </w:rPr>
      </w:pPr>
    </w:p>
    <w:p w14:paraId="3A3FE33F">
      <w:pPr>
        <w:autoSpaceDE w:val="0"/>
        <w:autoSpaceDN w:val="0"/>
        <w:jc w:val="center"/>
        <w:rPr>
          <w:rFonts w:ascii="宋体" w:hAnsi="宋体" w:cs="宋体"/>
          <w:b/>
          <w:color w:val="auto"/>
          <w:spacing w:val="6"/>
          <w:sz w:val="32"/>
          <w:szCs w:val="32"/>
          <w:highlight w:val="none"/>
        </w:rPr>
      </w:pPr>
    </w:p>
    <w:p w14:paraId="2DE7EFEA">
      <w:pPr>
        <w:autoSpaceDE w:val="0"/>
        <w:autoSpaceDN w:val="0"/>
        <w:jc w:val="center"/>
        <w:rPr>
          <w:rFonts w:ascii="宋体" w:hAnsi="宋体" w:cs="宋体"/>
          <w:b/>
          <w:color w:val="auto"/>
          <w:spacing w:val="6"/>
          <w:sz w:val="32"/>
          <w:szCs w:val="32"/>
          <w:highlight w:val="none"/>
        </w:rPr>
      </w:pPr>
    </w:p>
    <w:p w14:paraId="65306FE6">
      <w:pPr>
        <w:autoSpaceDE w:val="0"/>
        <w:autoSpaceDN w:val="0"/>
        <w:jc w:val="center"/>
        <w:rPr>
          <w:rFonts w:ascii="宋体" w:hAnsi="宋体" w:cs="宋体"/>
          <w:b/>
          <w:color w:val="auto"/>
          <w:spacing w:val="6"/>
          <w:sz w:val="32"/>
          <w:szCs w:val="32"/>
          <w:highlight w:val="none"/>
        </w:rPr>
      </w:pPr>
    </w:p>
    <w:p w14:paraId="218BDF46">
      <w:pPr>
        <w:autoSpaceDE w:val="0"/>
        <w:autoSpaceDN w:val="0"/>
        <w:jc w:val="center"/>
        <w:rPr>
          <w:rFonts w:ascii="宋体" w:hAnsi="宋体" w:cs="宋体"/>
          <w:b/>
          <w:color w:val="auto"/>
          <w:spacing w:val="6"/>
          <w:sz w:val="32"/>
          <w:szCs w:val="32"/>
          <w:highlight w:val="none"/>
        </w:rPr>
      </w:pPr>
    </w:p>
    <w:p w14:paraId="0C164DC8">
      <w:pPr>
        <w:autoSpaceDE w:val="0"/>
        <w:autoSpaceDN w:val="0"/>
        <w:jc w:val="center"/>
        <w:rPr>
          <w:rFonts w:ascii="宋体" w:hAnsi="宋体" w:cs="宋体"/>
          <w:b/>
          <w:color w:val="auto"/>
          <w:spacing w:val="6"/>
          <w:sz w:val="32"/>
          <w:szCs w:val="32"/>
          <w:highlight w:val="none"/>
        </w:rPr>
      </w:pPr>
    </w:p>
    <w:p w14:paraId="73F41F6F">
      <w:pPr>
        <w:autoSpaceDE w:val="0"/>
        <w:autoSpaceDN w:val="0"/>
        <w:jc w:val="center"/>
        <w:rPr>
          <w:rFonts w:ascii="宋体" w:hAnsi="宋体" w:cs="宋体"/>
          <w:b/>
          <w:color w:val="auto"/>
          <w:spacing w:val="6"/>
          <w:sz w:val="32"/>
          <w:szCs w:val="32"/>
          <w:highlight w:val="none"/>
        </w:rPr>
      </w:pPr>
    </w:p>
    <w:p w14:paraId="5A80D75F">
      <w:pPr>
        <w:autoSpaceDE w:val="0"/>
        <w:autoSpaceDN w:val="0"/>
        <w:jc w:val="center"/>
        <w:rPr>
          <w:rFonts w:ascii="宋体" w:hAnsi="宋体" w:cs="宋体"/>
          <w:b/>
          <w:color w:val="auto"/>
          <w:spacing w:val="6"/>
          <w:sz w:val="32"/>
          <w:szCs w:val="32"/>
          <w:highlight w:val="none"/>
        </w:rPr>
      </w:pPr>
    </w:p>
    <w:p w14:paraId="2A913571">
      <w:pPr>
        <w:autoSpaceDE w:val="0"/>
        <w:autoSpaceDN w:val="0"/>
        <w:jc w:val="center"/>
        <w:rPr>
          <w:rFonts w:ascii="宋体" w:hAnsi="宋体" w:cs="宋体"/>
          <w:b/>
          <w:color w:val="auto"/>
          <w:spacing w:val="6"/>
          <w:sz w:val="32"/>
          <w:szCs w:val="32"/>
          <w:highlight w:val="none"/>
        </w:rPr>
      </w:pPr>
    </w:p>
    <w:p w14:paraId="58FBCF50">
      <w:pPr>
        <w:autoSpaceDE w:val="0"/>
        <w:autoSpaceDN w:val="0"/>
        <w:jc w:val="center"/>
        <w:rPr>
          <w:rFonts w:ascii="宋体" w:hAnsi="宋体" w:cs="宋体"/>
          <w:b/>
          <w:color w:val="auto"/>
          <w:spacing w:val="6"/>
          <w:sz w:val="32"/>
          <w:szCs w:val="32"/>
          <w:highlight w:val="none"/>
        </w:rPr>
      </w:pPr>
    </w:p>
    <w:p w14:paraId="7DC655EE">
      <w:pPr>
        <w:autoSpaceDE w:val="0"/>
        <w:autoSpaceDN w:val="0"/>
        <w:jc w:val="center"/>
        <w:rPr>
          <w:rFonts w:ascii="宋体" w:hAnsi="宋体" w:cs="宋体"/>
          <w:b/>
          <w:color w:val="auto"/>
          <w:spacing w:val="6"/>
          <w:sz w:val="32"/>
          <w:szCs w:val="32"/>
          <w:highlight w:val="none"/>
        </w:rPr>
      </w:pPr>
    </w:p>
    <w:p w14:paraId="299FFEE1">
      <w:pPr>
        <w:autoSpaceDE w:val="0"/>
        <w:autoSpaceDN w:val="0"/>
        <w:jc w:val="center"/>
        <w:rPr>
          <w:rFonts w:ascii="宋体" w:hAnsi="宋体" w:cs="宋体"/>
          <w:b/>
          <w:color w:val="auto"/>
          <w:spacing w:val="6"/>
          <w:sz w:val="32"/>
          <w:szCs w:val="32"/>
          <w:highlight w:val="none"/>
        </w:rPr>
      </w:pPr>
    </w:p>
    <w:p w14:paraId="7902C8D7">
      <w:pPr>
        <w:autoSpaceDE w:val="0"/>
        <w:autoSpaceDN w:val="0"/>
        <w:jc w:val="center"/>
        <w:rPr>
          <w:rFonts w:ascii="宋体" w:hAnsi="宋体" w:cs="宋体"/>
          <w:b/>
          <w:color w:val="auto"/>
          <w:spacing w:val="6"/>
          <w:sz w:val="32"/>
          <w:szCs w:val="32"/>
          <w:highlight w:val="none"/>
        </w:rPr>
      </w:pPr>
    </w:p>
    <w:p w14:paraId="7FDFA597">
      <w:pPr>
        <w:autoSpaceDE w:val="0"/>
        <w:autoSpaceDN w:val="0"/>
        <w:jc w:val="center"/>
        <w:rPr>
          <w:rFonts w:ascii="宋体" w:hAnsi="宋体" w:cs="宋体"/>
          <w:b/>
          <w:color w:val="auto"/>
          <w:spacing w:val="6"/>
          <w:sz w:val="32"/>
          <w:szCs w:val="32"/>
          <w:highlight w:val="none"/>
        </w:rPr>
      </w:pPr>
    </w:p>
    <w:p w14:paraId="47FDCEB2">
      <w:pPr>
        <w:autoSpaceDE w:val="0"/>
        <w:autoSpaceDN w:val="0"/>
        <w:jc w:val="center"/>
        <w:rPr>
          <w:rFonts w:ascii="宋体" w:hAnsi="宋体" w:cs="宋体"/>
          <w:b/>
          <w:color w:val="auto"/>
          <w:spacing w:val="6"/>
          <w:sz w:val="32"/>
          <w:szCs w:val="32"/>
          <w:highlight w:val="none"/>
        </w:rPr>
      </w:pPr>
    </w:p>
    <w:p w14:paraId="552B9C91">
      <w:pPr>
        <w:autoSpaceDE w:val="0"/>
        <w:autoSpaceDN w:val="0"/>
        <w:jc w:val="center"/>
        <w:rPr>
          <w:rFonts w:ascii="宋体" w:hAnsi="宋体" w:cs="宋体"/>
          <w:b/>
          <w:color w:val="auto"/>
          <w:spacing w:val="6"/>
          <w:sz w:val="32"/>
          <w:szCs w:val="32"/>
          <w:highlight w:val="none"/>
        </w:rPr>
      </w:pPr>
    </w:p>
    <w:p w14:paraId="79552AF3">
      <w:pPr>
        <w:autoSpaceDE w:val="0"/>
        <w:autoSpaceDN w:val="0"/>
        <w:jc w:val="center"/>
        <w:rPr>
          <w:rFonts w:ascii="宋体" w:hAnsi="宋体" w:cs="宋体"/>
          <w:b/>
          <w:color w:val="auto"/>
          <w:spacing w:val="6"/>
          <w:sz w:val="32"/>
          <w:szCs w:val="32"/>
          <w:highlight w:val="none"/>
        </w:rPr>
      </w:pPr>
    </w:p>
    <w:p w14:paraId="0F8270EC">
      <w:pPr>
        <w:autoSpaceDE w:val="0"/>
        <w:autoSpaceDN w:val="0"/>
        <w:jc w:val="center"/>
        <w:rPr>
          <w:rFonts w:ascii="宋体" w:hAnsi="宋体" w:cs="宋体"/>
          <w:b/>
          <w:color w:val="auto"/>
          <w:spacing w:val="6"/>
          <w:sz w:val="32"/>
          <w:szCs w:val="32"/>
          <w:highlight w:val="none"/>
        </w:rPr>
      </w:pPr>
    </w:p>
    <w:p w14:paraId="4E26D57D">
      <w:pPr>
        <w:autoSpaceDE w:val="0"/>
        <w:autoSpaceDN w:val="0"/>
        <w:jc w:val="center"/>
        <w:rPr>
          <w:rFonts w:ascii="宋体" w:hAnsi="宋体" w:cs="宋体"/>
          <w:b/>
          <w:color w:val="auto"/>
          <w:spacing w:val="6"/>
          <w:sz w:val="32"/>
          <w:szCs w:val="32"/>
          <w:highlight w:val="none"/>
        </w:rPr>
      </w:pPr>
    </w:p>
    <w:p w14:paraId="4AFDD7E1">
      <w:pPr>
        <w:autoSpaceDE w:val="0"/>
        <w:autoSpaceDN w:val="0"/>
        <w:jc w:val="center"/>
        <w:rPr>
          <w:rFonts w:ascii="宋体" w:hAnsi="宋体" w:cs="宋体"/>
          <w:b/>
          <w:color w:val="auto"/>
          <w:spacing w:val="6"/>
          <w:sz w:val="32"/>
          <w:szCs w:val="32"/>
          <w:highlight w:val="none"/>
        </w:rPr>
      </w:pPr>
    </w:p>
    <w:p w14:paraId="485529F4">
      <w:pPr>
        <w:autoSpaceDE w:val="0"/>
        <w:autoSpaceDN w:val="0"/>
        <w:jc w:val="center"/>
        <w:rPr>
          <w:rFonts w:ascii="宋体" w:hAnsi="宋体" w:cs="宋体"/>
          <w:b/>
          <w:color w:val="auto"/>
          <w:spacing w:val="6"/>
          <w:sz w:val="32"/>
          <w:szCs w:val="32"/>
          <w:highlight w:val="none"/>
        </w:rPr>
      </w:pPr>
    </w:p>
    <w:p w14:paraId="52D55B03">
      <w:pPr>
        <w:autoSpaceDE w:val="0"/>
        <w:autoSpaceDN w:val="0"/>
        <w:jc w:val="center"/>
        <w:rPr>
          <w:rFonts w:ascii="宋体" w:hAnsi="宋体" w:cs="宋体"/>
          <w:b/>
          <w:color w:val="auto"/>
          <w:spacing w:val="6"/>
          <w:sz w:val="32"/>
          <w:szCs w:val="32"/>
          <w:highlight w:val="none"/>
        </w:rPr>
      </w:pPr>
    </w:p>
    <w:p w14:paraId="4903D85C">
      <w:pPr>
        <w:autoSpaceDE w:val="0"/>
        <w:autoSpaceDN w:val="0"/>
        <w:jc w:val="center"/>
        <w:rPr>
          <w:rFonts w:ascii="宋体" w:hAnsi="宋体" w:cs="宋体"/>
          <w:b/>
          <w:color w:val="auto"/>
          <w:spacing w:val="6"/>
          <w:sz w:val="32"/>
          <w:szCs w:val="32"/>
          <w:highlight w:val="none"/>
        </w:rPr>
      </w:pPr>
    </w:p>
    <w:p w14:paraId="12A65703">
      <w:pPr>
        <w:autoSpaceDE w:val="0"/>
        <w:autoSpaceDN w:val="0"/>
        <w:jc w:val="center"/>
        <w:rPr>
          <w:rFonts w:ascii="宋体" w:hAnsi="宋体" w:cs="宋体"/>
          <w:b/>
          <w:color w:val="auto"/>
          <w:spacing w:val="6"/>
          <w:sz w:val="32"/>
          <w:szCs w:val="32"/>
          <w:highlight w:val="none"/>
        </w:rPr>
      </w:pPr>
    </w:p>
    <w:p w14:paraId="1732615F">
      <w:pPr>
        <w:autoSpaceDE w:val="0"/>
        <w:autoSpaceDN w:val="0"/>
        <w:jc w:val="center"/>
        <w:rPr>
          <w:rFonts w:ascii="宋体" w:hAnsi="宋体" w:cs="宋体"/>
          <w:b/>
          <w:color w:val="auto"/>
          <w:spacing w:val="6"/>
          <w:sz w:val="32"/>
          <w:szCs w:val="32"/>
          <w:highlight w:val="none"/>
        </w:rPr>
      </w:pPr>
    </w:p>
    <w:p w14:paraId="7C517FFC">
      <w:pPr>
        <w:autoSpaceDE w:val="0"/>
        <w:autoSpaceDN w:val="0"/>
        <w:jc w:val="center"/>
        <w:rPr>
          <w:rFonts w:ascii="宋体" w:hAnsi="宋体" w:cs="宋体"/>
          <w:b/>
          <w:color w:val="auto"/>
          <w:spacing w:val="6"/>
          <w:sz w:val="32"/>
          <w:szCs w:val="32"/>
          <w:highlight w:val="none"/>
        </w:rPr>
      </w:pPr>
    </w:p>
    <w:p w14:paraId="2C8F9751">
      <w:pPr>
        <w:autoSpaceDE w:val="0"/>
        <w:autoSpaceDN w:val="0"/>
        <w:jc w:val="center"/>
        <w:rPr>
          <w:rFonts w:ascii="宋体" w:hAnsi="宋体" w:cs="宋体"/>
          <w:b/>
          <w:color w:val="auto"/>
          <w:spacing w:val="6"/>
          <w:sz w:val="32"/>
          <w:szCs w:val="32"/>
          <w:highlight w:val="none"/>
        </w:rPr>
      </w:pPr>
    </w:p>
    <w:p w14:paraId="7FD2EBF3">
      <w:pPr>
        <w:autoSpaceDE w:val="0"/>
        <w:autoSpaceDN w:val="0"/>
        <w:jc w:val="center"/>
        <w:rPr>
          <w:rFonts w:ascii="宋体" w:hAnsi="宋体" w:cs="宋体"/>
          <w:b/>
          <w:color w:val="auto"/>
          <w:spacing w:val="6"/>
          <w:sz w:val="32"/>
          <w:szCs w:val="32"/>
          <w:highlight w:val="none"/>
        </w:rPr>
      </w:pPr>
    </w:p>
    <w:p w14:paraId="5E6F7222">
      <w:pPr>
        <w:widowControl/>
        <w:adjustRightInd/>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FB751D7">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附件7：中小企业声明函</w:t>
      </w:r>
    </w:p>
    <w:p w14:paraId="1EE25025">
      <w:pPr>
        <w:spacing w:line="360" w:lineRule="auto"/>
        <w:jc w:val="center"/>
        <w:rPr>
          <w:rFonts w:ascii="宋体" w:hAnsi="宋体" w:cs="宋体"/>
          <w:color w:val="auto"/>
          <w:sz w:val="24"/>
          <w:highlight w:val="none"/>
          <w:u w:val="single"/>
        </w:rPr>
      </w:pPr>
    </w:p>
    <w:p w14:paraId="4097530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88E1A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浙江海洋大学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浙江海洋大学第七届全国海员技能大比武航海模拟器更新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259A47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0FA6F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1E6EC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12471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03FD8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A5690AC">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19A726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D522BB2">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6CC595B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259ABD5">
      <w:pPr>
        <w:spacing w:line="360" w:lineRule="auto"/>
        <w:ind w:right="420" w:firstLine="480" w:firstLineChars="200"/>
        <w:rPr>
          <w:rFonts w:ascii="宋体" w:hAnsi="宋体" w:cs="宋体"/>
          <w:b/>
          <w:bCs/>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宋体" w:hAnsi="宋体" w:cs="宋体"/>
          <w:b/>
          <w:bCs/>
          <w:color w:val="auto"/>
          <w:sz w:val="24"/>
          <w:highlight w:val="none"/>
        </w:rPr>
        <w:t>④投标人提供的《中小企业声明函》中企业类型错误的，《中小企业声明函》无效，不享受中小企业扶持政策。⑤《中小企业声明函》中填写的制造商不可使用他人授权品牌或者授权他人实际生产，否则中小企业声明函无效。</w:t>
      </w:r>
    </w:p>
    <w:p w14:paraId="26A4BA48">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37D1802">
      <w:pPr>
        <w:spacing w:line="360" w:lineRule="auto"/>
        <w:ind w:right="420"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3、供应商填写的《中小企业声明函》中如存在数据错误，但企业类型正确的，其《中小企业声明函》有效。如存在疑义可由供应商澄清说明，供应商对填报的数据来源作出合理解释。</w:t>
      </w:r>
    </w:p>
    <w:p w14:paraId="72C5C76D">
      <w:pPr>
        <w:spacing w:line="360" w:lineRule="auto"/>
        <w:ind w:right="420" w:firstLine="482" w:firstLineChars="200"/>
        <w:rPr>
          <w:rFonts w:ascii="宋体" w:hAnsi="宋体" w:cs="宋体"/>
          <w:b/>
          <w:bCs/>
          <w:color w:val="auto"/>
          <w:sz w:val="24"/>
          <w:highlight w:val="none"/>
        </w:rPr>
      </w:pPr>
      <w:r>
        <w:rPr>
          <w:rFonts w:hint="eastAsia" w:ascii="宋体" w:hAnsi="宋体" w:cs="宋体"/>
          <w:b/>
          <w:bCs/>
          <w:color w:val="auto"/>
          <w:sz w:val="24"/>
          <w:highlight w:val="none"/>
        </w:rPr>
        <w:t>4、《中小企业声明函》中填写行业错误或者未填写行业的，《中小企业声明函》无效。但错填为“采购文件中明确的所属行业”等类似瑕疵的，《中小企业声明函》有效。</w:t>
      </w:r>
    </w:p>
    <w:p w14:paraId="45E9E685">
      <w:pPr>
        <w:spacing w:line="360" w:lineRule="auto"/>
        <w:ind w:right="420" w:firstLine="482" w:firstLineChars="200"/>
        <w:rPr>
          <w:rFonts w:ascii="宋体" w:hAnsi="宋体" w:cs="宋体"/>
          <w:b/>
          <w:bCs/>
          <w:color w:val="auto"/>
          <w:sz w:val="24"/>
          <w:highlight w:val="none"/>
        </w:rPr>
      </w:pPr>
      <w:r>
        <w:rPr>
          <w:rFonts w:hint="eastAsia" w:ascii="宋体" w:hAnsi="宋体" w:cs="宋体"/>
          <w:b/>
          <w:bCs/>
          <w:color w:val="auto"/>
          <w:sz w:val="24"/>
          <w:highlight w:val="none"/>
        </w:rPr>
        <w:t>5、如果供应商声明的类型获得了本不应获得的利益（价格扣除或者资格审查通过），则属于虚假材料；反之，没有获得非法利益，则不属于虚假材料。</w:t>
      </w:r>
    </w:p>
    <w:p w14:paraId="56DB51FE">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73B13FA">
      <w:pPr>
        <w:snapToGrid w:val="0"/>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各行业划型标准</w:t>
      </w:r>
    </w:p>
    <w:p w14:paraId="5A768796">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5A1E24A0">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EE5007">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CE964E">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7CCE44">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ECF1153">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34FDE1">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5CDB9AE">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EC8705">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AAA2D9">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0CD9AC">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0C16795">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C1A749">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39A43C">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46335E">
      <w:pPr>
        <w:snapToGrid w:val="0"/>
        <w:spacing w:line="43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A3DB18A">
      <w:pPr>
        <w:snapToGrid w:val="0"/>
        <w:spacing w:line="430" w:lineRule="exact"/>
        <w:ind w:firstLine="480" w:firstLineChars="200"/>
        <w:rPr>
          <w:rFonts w:ascii="宋体" w:hAnsi="宋体" w:cs="宋体"/>
          <w:color w:val="auto"/>
          <w:sz w:val="24"/>
          <w:highlight w:val="none"/>
        </w:rPr>
        <w:sectPr>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6C9F498E">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附件8：关于符合本国产品标准的声明函</w:t>
      </w:r>
    </w:p>
    <w:p w14:paraId="543170D2">
      <w:pPr>
        <w:pStyle w:val="60"/>
        <w:adjustRightInd/>
        <w:spacing w:before="0" w:beforeAutospacing="0" w:after="0" w:afterAutospacing="0" w:line="360" w:lineRule="auto"/>
        <w:jc w:val="center"/>
        <w:rPr>
          <w:b/>
          <w:bCs/>
          <w:color w:val="auto"/>
          <w:sz w:val="28"/>
          <w:szCs w:val="28"/>
          <w:highlight w:val="none"/>
          <w:shd w:val="clear" w:color="auto" w:fill="FFFFFF"/>
        </w:rPr>
      </w:pPr>
    </w:p>
    <w:p w14:paraId="5992E173">
      <w:pPr>
        <w:pStyle w:val="60"/>
        <w:adjustRightInd/>
        <w:spacing w:before="0" w:beforeAutospacing="0" w:after="0" w:afterAutospacing="0" w:line="360" w:lineRule="auto"/>
        <w:jc w:val="center"/>
        <w:rPr>
          <w:b/>
          <w:bCs/>
          <w:color w:val="auto"/>
          <w:sz w:val="28"/>
          <w:szCs w:val="28"/>
          <w:highlight w:val="none"/>
          <w:shd w:val="clear" w:color="auto" w:fill="FFFFFF"/>
        </w:rPr>
      </w:pPr>
      <w:r>
        <w:rPr>
          <w:rFonts w:hint="eastAsia"/>
          <w:b/>
          <w:bCs/>
          <w:color w:val="auto"/>
          <w:sz w:val="28"/>
          <w:szCs w:val="28"/>
          <w:highlight w:val="none"/>
          <w:shd w:val="clear" w:color="auto" w:fill="FFFFFF"/>
        </w:rPr>
        <w:t>关于符合本国产品标准的声明函</w:t>
      </w:r>
    </w:p>
    <w:p w14:paraId="61EAF744">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4A6560F5">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1.</w:t>
      </w:r>
      <w:r>
        <w:rPr>
          <w:rFonts w:hint="eastAsia" w:cs="宋体"/>
          <w:color w:val="auto"/>
          <w:highlight w:val="none"/>
          <w:u w:val="single"/>
        </w:rPr>
        <w:t>（产品名称1）</w:t>
      </w:r>
      <w:r>
        <w:rPr>
          <w:rFonts w:hint="eastAsia" w:cs="宋体"/>
          <w:color w:val="auto"/>
          <w:highlight w:val="none"/>
          <w:u w:val="single"/>
          <w:vertAlign w:val="superscript"/>
        </w:rPr>
        <w:t>1</w:t>
      </w:r>
      <w:r>
        <w:rPr>
          <w:rFonts w:hint="eastAsia" w:cs="宋体"/>
          <w:color w:val="auto"/>
          <w:highlight w:val="none"/>
        </w:rPr>
        <w:t>，生产厂为</w:t>
      </w:r>
      <w:r>
        <w:rPr>
          <w:rFonts w:hint="eastAsia" w:cs="宋体"/>
          <w:color w:val="auto"/>
          <w:highlight w:val="none"/>
          <w:u w:val="single"/>
        </w:rPr>
        <w:t>（厂名）</w:t>
      </w:r>
      <w:r>
        <w:rPr>
          <w:rFonts w:hint="eastAsia" w:cs="宋体"/>
          <w:color w:val="auto"/>
          <w:highlight w:val="none"/>
          <w:u w:val="single"/>
          <w:vertAlign w:val="superscript"/>
        </w:rPr>
        <w:t>2</w:t>
      </w:r>
      <w:r>
        <w:rPr>
          <w:rFonts w:hint="eastAsia" w:cs="宋体"/>
          <w:color w:val="auto"/>
          <w:highlight w:val="none"/>
        </w:rPr>
        <w:t>，厂址为</w:t>
      </w:r>
      <w:r>
        <w:rPr>
          <w:rFonts w:hint="eastAsia" w:cs="宋体"/>
          <w:color w:val="auto"/>
          <w:highlight w:val="none"/>
          <w:u w:val="single"/>
        </w:rPr>
        <w:t>（生产厂址）</w:t>
      </w:r>
      <w:r>
        <w:rPr>
          <w:rFonts w:hint="eastAsia" w:cs="宋体"/>
          <w:color w:val="auto"/>
          <w:highlight w:val="none"/>
        </w:rPr>
        <w:t>。</w:t>
      </w:r>
      <w:r>
        <w:rPr>
          <w:rFonts w:hint="eastAsia" w:cs="宋体"/>
          <w:color w:val="auto"/>
          <w:highlight w:val="none"/>
          <w:u w:val="single"/>
        </w:rPr>
        <w:t>（产品名称1）</w:t>
      </w:r>
      <w:r>
        <w:rPr>
          <w:rFonts w:hint="eastAsia" w:cs="宋体"/>
          <w:color w:val="auto"/>
          <w:highlight w:val="none"/>
        </w:rPr>
        <w:t>的中国境内生产的组件成本占比≥</w:t>
      </w:r>
      <w:r>
        <w:rPr>
          <w:rFonts w:hint="eastAsia" w:cs="宋体"/>
          <w:color w:val="auto"/>
          <w:highlight w:val="none"/>
          <w:u w:val="single"/>
        </w:rPr>
        <w:t>（规定比例）</w:t>
      </w:r>
      <w:r>
        <w:rPr>
          <w:rFonts w:hint="eastAsia" w:cs="宋体"/>
          <w:color w:val="auto"/>
          <w:highlight w:val="none"/>
          <w:u w:val="single"/>
          <w:vertAlign w:val="superscript"/>
        </w:rPr>
        <w:t>3</w:t>
      </w:r>
      <w:r>
        <w:rPr>
          <w:rFonts w:hint="eastAsia" w:cs="宋体"/>
          <w:color w:val="auto"/>
          <w:highlight w:val="none"/>
        </w:rPr>
        <w:t>。</w:t>
      </w:r>
      <w:r>
        <w:rPr>
          <w:rFonts w:hint="eastAsia" w:cs="宋体"/>
          <w:color w:val="auto"/>
          <w:highlight w:val="none"/>
          <w:u w:val="single"/>
        </w:rPr>
        <w:t>（产品名称1）</w:t>
      </w:r>
      <w:r>
        <w:rPr>
          <w:rFonts w:hint="eastAsia" w:cs="宋体"/>
          <w:color w:val="auto"/>
          <w:highlight w:val="none"/>
        </w:rPr>
        <w:t>的</w:t>
      </w:r>
      <w:r>
        <w:rPr>
          <w:rFonts w:hint="eastAsia" w:cs="宋体"/>
          <w:color w:val="auto"/>
          <w:highlight w:val="none"/>
          <w:u w:val="single"/>
        </w:rPr>
        <w:t>（关键组件）</w:t>
      </w:r>
      <w:r>
        <w:rPr>
          <w:rFonts w:hint="eastAsia" w:cs="宋体"/>
          <w:color w:val="auto"/>
          <w:highlight w:val="none"/>
          <w:u w:val="single"/>
          <w:vertAlign w:val="superscript"/>
        </w:rPr>
        <w:t>4</w:t>
      </w:r>
      <w:r>
        <w:rPr>
          <w:rFonts w:hint="eastAsia" w:cs="宋体"/>
          <w:color w:val="auto"/>
          <w:highlight w:val="none"/>
        </w:rPr>
        <w:t>在中国境内生产。</w:t>
      </w:r>
      <w:r>
        <w:rPr>
          <w:rFonts w:hint="eastAsia" w:cs="宋体"/>
          <w:color w:val="auto"/>
          <w:highlight w:val="none"/>
          <w:u w:val="single"/>
        </w:rPr>
        <w:t>（产品名称1）</w:t>
      </w:r>
      <w:r>
        <w:rPr>
          <w:rFonts w:hint="eastAsia" w:cs="宋体"/>
          <w:color w:val="auto"/>
          <w:highlight w:val="none"/>
        </w:rPr>
        <w:t>的</w:t>
      </w:r>
      <w:r>
        <w:rPr>
          <w:rFonts w:hint="eastAsia" w:cs="宋体"/>
          <w:color w:val="auto"/>
          <w:highlight w:val="none"/>
          <w:u w:val="single"/>
        </w:rPr>
        <w:t>（关键工序）5</w:t>
      </w:r>
      <w:r>
        <w:rPr>
          <w:rFonts w:hint="eastAsia" w:cs="宋体"/>
          <w:color w:val="auto"/>
          <w:highlight w:val="none"/>
        </w:rPr>
        <w:t>在中国境内完成。</w:t>
      </w:r>
    </w:p>
    <w:p w14:paraId="77E0CC99">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2.</w:t>
      </w:r>
      <w:r>
        <w:rPr>
          <w:rFonts w:hint="eastAsia" w:cs="宋体"/>
          <w:color w:val="auto"/>
          <w:highlight w:val="none"/>
          <w:u w:val="single"/>
        </w:rPr>
        <w:t>（产品名称2）</w:t>
      </w:r>
      <w:r>
        <w:rPr>
          <w:rFonts w:hint="eastAsia" w:cs="宋体"/>
          <w:color w:val="auto"/>
          <w:highlight w:val="none"/>
        </w:rPr>
        <w:t>，生产厂为</w:t>
      </w:r>
      <w:r>
        <w:rPr>
          <w:rFonts w:hint="eastAsia" w:cs="宋体"/>
          <w:color w:val="auto"/>
          <w:highlight w:val="none"/>
          <w:u w:val="single"/>
        </w:rPr>
        <w:t>（厂名）</w:t>
      </w:r>
      <w:r>
        <w:rPr>
          <w:rFonts w:hint="eastAsia" w:cs="宋体"/>
          <w:color w:val="auto"/>
          <w:highlight w:val="none"/>
        </w:rPr>
        <w:t>，厂址为</w:t>
      </w:r>
      <w:r>
        <w:rPr>
          <w:rFonts w:hint="eastAsia" w:cs="宋体"/>
          <w:color w:val="auto"/>
          <w:highlight w:val="none"/>
          <w:u w:val="single"/>
        </w:rPr>
        <w:t>（生产厂址）</w:t>
      </w:r>
      <w:r>
        <w:rPr>
          <w:rFonts w:hint="eastAsia" w:cs="宋体"/>
          <w:color w:val="auto"/>
          <w:highlight w:val="none"/>
        </w:rPr>
        <w:t>。</w:t>
      </w:r>
      <w:r>
        <w:rPr>
          <w:rFonts w:hint="eastAsia" w:cs="宋体"/>
          <w:color w:val="auto"/>
          <w:highlight w:val="none"/>
          <w:u w:val="single"/>
        </w:rPr>
        <w:t>（产品名称2）</w:t>
      </w:r>
      <w:r>
        <w:rPr>
          <w:rFonts w:hint="eastAsia" w:cs="宋体"/>
          <w:color w:val="auto"/>
          <w:highlight w:val="none"/>
        </w:rPr>
        <w:t>的中国境内生产的组件成本占比≥</w:t>
      </w:r>
      <w:r>
        <w:rPr>
          <w:rFonts w:hint="eastAsia" w:cs="宋体"/>
          <w:color w:val="auto"/>
          <w:highlight w:val="none"/>
          <w:u w:val="single"/>
        </w:rPr>
        <w:t>（规定比例）</w:t>
      </w:r>
      <w:r>
        <w:rPr>
          <w:rFonts w:hint="eastAsia" w:cs="宋体"/>
          <w:color w:val="auto"/>
          <w:highlight w:val="none"/>
        </w:rPr>
        <w:t>。</w:t>
      </w:r>
      <w:r>
        <w:rPr>
          <w:rFonts w:hint="eastAsia" w:cs="宋体"/>
          <w:color w:val="auto"/>
          <w:highlight w:val="none"/>
          <w:u w:val="single"/>
        </w:rPr>
        <w:t>（产品名称2）</w:t>
      </w:r>
      <w:r>
        <w:rPr>
          <w:rFonts w:hint="eastAsia" w:cs="宋体"/>
          <w:color w:val="auto"/>
          <w:highlight w:val="none"/>
        </w:rPr>
        <w:t>的</w:t>
      </w:r>
      <w:r>
        <w:rPr>
          <w:rFonts w:hint="eastAsia" w:cs="宋体"/>
          <w:color w:val="auto"/>
          <w:highlight w:val="none"/>
          <w:u w:val="single"/>
        </w:rPr>
        <w:t>（关键组件）</w:t>
      </w:r>
      <w:r>
        <w:rPr>
          <w:rFonts w:hint="eastAsia" w:cs="宋体"/>
          <w:color w:val="auto"/>
          <w:highlight w:val="none"/>
        </w:rPr>
        <w:t>在中国境内生产。</w:t>
      </w:r>
      <w:r>
        <w:rPr>
          <w:rFonts w:hint="eastAsia" w:cs="宋体"/>
          <w:color w:val="auto"/>
          <w:highlight w:val="none"/>
          <w:u w:val="single"/>
        </w:rPr>
        <w:t>（产品名称2）</w:t>
      </w:r>
      <w:r>
        <w:rPr>
          <w:rFonts w:hint="eastAsia" w:cs="宋体"/>
          <w:color w:val="auto"/>
          <w:highlight w:val="none"/>
        </w:rPr>
        <w:t>的</w:t>
      </w:r>
      <w:r>
        <w:rPr>
          <w:rFonts w:hint="eastAsia" w:cs="宋体"/>
          <w:color w:val="auto"/>
          <w:highlight w:val="none"/>
          <w:u w:val="single"/>
        </w:rPr>
        <w:t>（关键工序）</w:t>
      </w:r>
      <w:r>
        <w:rPr>
          <w:rFonts w:hint="eastAsia" w:cs="宋体"/>
          <w:color w:val="auto"/>
          <w:highlight w:val="none"/>
        </w:rPr>
        <w:t>在中国境内完成。</w:t>
      </w:r>
    </w:p>
    <w:p w14:paraId="26BC0A26">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w:t>
      </w:r>
    </w:p>
    <w:p w14:paraId="0E4B0EF1">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本公司（单位）对上述声明内容的真实性负责。如有虚假，愿承担相应法律责任。</w:t>
      </w:r>
    </w:p>
    <w:p w14:paraId="4D1BF86E">
      <w:pPr>
        <w:pStyle w:val="60"/>
        <w:adjustRightInd/>
        <w:spacing w:before="0" w:beforeAutospacing="0" w:after="0" w:afterAutospacing="0" w:line="360" w:lineRule="auto"/>
        <w:ind w:firstLine="480" w:firstLineChars="200"/>
        <w:jc w:val="right"/>
        <w:rPr>
          <w:rFonts w:cs="宋体"/>
          <w:color w:val="auto"/>
          <w:highlight w:val="none"/>
        </w:rPr>
      </w:pPr>
    </w:p>
    <w:p w14:paraId="3C503B43">
      <w:pPr>
        <w:pStyle w:val="60"/>
        <w:adjustRightInd/>
        <w:spacing w:before="0" w:beforeAutospacing="0" w:after="0" w:afterAutospacing="0" w:line="360" w:lineRule="auto"/>
        <w:ind w:firstLine="480" w:firstLineChars="200"/>
        <w:jc w:val="right"/>
        <w:rPr>
          <w:rFonts w:cs="宋体"/>
          <w:color w:val="auto"/>
          <w:highlight w:val="none"/>
        </w:rPr>
      </w:pPr>
      <w:r>
        <w:rPr>
          <w:rFonts w:hint="eastAsia" w:cs="宋体"/>
          <w:color w:val="auto"/>
          <w:highlight w:val="none"/>
        </w:rPr>
        <w:t>公司（单位）名称（盖章）：　        </w:t>
      </w:r>
    </w:p>
    <w:p w14:paraId="6DBEC6C2">
      <w:pPr>
        <w:pStyle w:val="60"/>
        <w:adjustRightInd/>
        <w:spacing w:before="0" w:beforeAutospacing="0" w:after="0" w:afterAutospacing="0" w:line="360" w:lineRule="auto"/>
        <w:ind w:firstLine="480" w:firstLineChars="200"/>
        <w:jc w:val="right"/>
        <w:rPr>
          <w:rFonts w:cs="宋体"/>
          <w:color w:val="auto"/>
          <w:highlight w:val="none"/>
        </w:rPr>
      </w:pPr>
      <w:r>
        <w:rPr>
          <w:rFonts w:hint="eastAsia" w:cs="宋体"/>
          <w:color w:val="auto"/>
          <w:highlight w:val="none"/>
        </w:rPr>
        <w:t>日期：　     年　  月　  日         </w:t>
      </w:r>
    </w:p>
    <w:p w14:paraId="1115DDD2">
      <w:pPr>
        <w:pStyle w:val="60"/>
        <w:adjustRightInd/>
        <w:spacing w:before="0" w:beforeAutospacing="0" w:after="0" w:afterAutospacing="0" w:line="360" w:lineRule="auto"/>
        <w:ind w:firstLine="480" w:firstLineChars="200"/>
        <w:rPr>
          <w:rFonts w:cs="宋体"/>
          <w:color w:val="auto"/>
          <w:highlight w:val="none"/>
        </w:rPr>
      </w:pPr>
    </w:p>
    <w:p w14:paraId="7062E08D">
      <w:pPr>
        <w:pStyle w:val="60"/>
        <w:adjustRightInd/>
        <w:spacing w:before="0" w:beforeAutospacing="0" w:after="0" w:afterAutospacing="0" w:line="360" w:lineRule="auto"/>
        <w:ind w:firstLine="480" w:firstLineChars="200"/>
        <w:rPr>
          <w:rFonts w:cs="宋体"/>
          <w:color w:val="auto"/>
          <w:highlight w:val="none"/>
        </w:rPr>
      </w:pPr>
    </w:p>
    <w:p w14:paraId="4EF68FE9">
      <w:pPr>
        <w:pStyle w:val="60"/>
        <w:adjustRightInd/>
        <w:spacing w:before="0" w:beforeAutospacing="0" w:after="0" w:afterAutospacing="0" w:line="360" w:lineRule="auto"/>
        <w:rPr>
          <w:rFonts w:cs="宋体"/>
          <w:color w:val="auto"/>
          <w:highlight w:val="none"/>
        </w:rPr>
      </w:pPr>
      <w:r>
        <w:rPr>
          <w:rFonts w:hint="eastAsia" w:cs="宋体"/>
          <w:color w:val="auto"/>
          <w:highlight w:val="none"/>
        </w:rPr>
        <w:t>注：1.产品如有型号，请在“产品名称”栏一并填写。</w:t>
      </w:r>
    </w:p>
    <w:p w14:paraId="6C440B9D">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2.生产厂名与厂址应与生产厂营业执照载明的相关信息保持一致。</w:t>
      </w:r>
    </w:p>
    <w:p w14:paraId="5A62330C">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3.该产品的中国境内生产的组件成本占比相关要求实施前，“规定比例”栏可不填，下同。</w:t>
      </w:r>
    </w:p>
    <w:p w14:paraId="5498F1CA">
      <w:pPr>
        <w:pStyle w:val="60"/>
        <w:adjustRightInd/>
        <w:spacing w:before="0" w:beforeAutospacing="0" w:after="0" w:afterAutospacing="0" w:line="360" w:lineRule="auto"/>
        <w:ind w:firstLine="480" w:firstLineChars="200"/>
        <w:rPr>
          <w:rFonts w:cs="宋体"/>
          <w:color w:val="auto"/>
          <w:highlight w:val="none"/>
        </w:rPr>
      </w:pPr>
      <w:r>
        <w:rPr>
          <w:rFonts w:hint="eastAsia" w:cs="宋体"/>
          <w:color w:val="auto"/>
          <w:highlight w:val="none"/>
        </w:rPr>
        <w:t>4.该产品的关键组件要求实施前，“关键组件”栏可不填，下同。</w:t>
      </w:r>
    </w:p>
    <w:p w14:paraId="641B77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14:paraId="1EC1DE95">
      <w:pPr>
        <w:snapToGrid w:val="0"/>
        <w:spacing w:line="360" w:lineRule="auto"/>
        <w:jc w:val="center"/>
        <w:rPr>
          <w:rFonts w:ascii="宋体" w:hAnsi="宋体" w:cs="宋体"/>
          <w:b/>
          <w:color w:val="auto"/>
          <w:kern w:val="0"/>
          <w:sz w:val="32"/>
          <w:szCs w:val="32"/>
          <w:highlight w:val="none"/>
        </w:rPr>
      </w:pPr>
    </w:p>
    <w:p w14:paraId="64A0ED8B">
      <w:pPr>
        <w:snapToGrid w:val="0"/>
        <w:spacing w:line="430" w:lineRule="exact"/>
        <w:ind w:firstLine="480" w:firstLineChars="200"/>
        <w:rPr>
          <w:rFonts w:ascii="宋体" w:hAnsi="宋体" w:cs="宋体"/>
          <w:color w:val="auto"/>
          <w:sz w:val="24"/>
          <w:highlight w:val="none"/>
        </w:rPr>
      </w:pPr>
    </w:p>
    <w:p w14:paraId="1EB4B78D">
      <w:pPr>
        <w:rPr>
          <w:rFonts w:ascii="宋体" w:hAnsi="宋体" w:cs="宋体"/>
          <w:color w:val="auto"/>
          <w:highlight w:val="none"/>
        </w:rPr>
      </w:pPr>
    </w:p>
    <w:p w14:paraId="7780F08E">
      <w:pPr>
        <w:rPr>
          <w:rFonts w:ascii="宋体" w:hAnsi="宋体" w:cs="宋体"/>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wis721 Lt BT">
    <w:altName w:val="Yu Gothic UI Semilight"/>
    <w:panose1 w:val="020B0403020202020204"/>
    <w:charset w:val="00"/>
    <w:family w:val="auto"/>
    <w:pitch w:val="default"/>
    <w:sig w:usb0="00000000" w:usb1="00000000" w:usb2="00000000" w:usb3="00000000" w:csb0="0000001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Noto Serif SC">
    <w:panose1 w:val="02020200000000000000"/>
    <w:charset w:val="86"/>
    <w:family w:val="auto"/>
    <w:pitch w:val="default"/>
    <w:sig w:usb0="20000083" w:usb1="2ADF3C10" w:usb2="00000016" w:usb3="00000000" w:csb0="60060107" w:csb1="00000000"/>
  </w:font>
  <w:font w:name="Segoe UI Semilight">
    <w:panose1 w:val="020B0402040204020203"/>
    <w:charset w:val="00"/>
    <w:family w:val="auto"/>
    <w:pitch w:val="default"/>
    <w:sig w:usb0="E4002EFF" w:usb1="C000E47F" w:usb2="00000009" w:usb3="00000000" w:csb0="200001F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F0D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16B5">
    <w:pPr>
      <w:pStyle w:val="41"/>
      <w:jc w:val="center"/>
      <w:rPr>
        <w:rFonts w:ascii="仿宋_GB2312" w:eastAsia="仿宋_GB2312"/>
      </w:rPr>
    </w:pPr>
    <w:bookmarkStart w:id="422" w:name="_Toc164085800"/>
    <w:bookmarkEnd w:id="422"/>
    <w:bookmarkStart w:id="423" w:name="_Toc131845147"/>
    <w:bookmarkEnd w:id="423"/>
    <w:bookmarkStart w:id="424" w:name="_Toc36110187"/>
    <w:bookmarkEnd w:id="424"/>
    <w:bookmarkStart w:id="425" w:name="_Toc91899912"/>
    <w:bookmarkEnd w:id="425"/>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3C48">
    <w:pPr>
      <w:pStyle w:val="41"/>
      <w:framePr w:wrap="around" w:vAnchor="text" w:hAnchor="margin" w:xAlign="right" w:y="1"/>
      <w:rPr>
        <w:rStyle w:val="76"/>
      </w:rPr>
    </w:pPr>
    <w:r>
      <w:fldChar w:fldCharType="begin"/>
    </w:r>
    <w:r>
      <w:rPr>
        <w:rStyle w:val="76"/>
      </w:rPr>
      <w:instrText xml:space="preserve">PAGE  </w:instrText>
    </w:r>
    <w:r>
      <w:fldChar w:fldCharType="end"/>
    </w:r>
  </w:p>
  <w:p w14:paraId="4A6BBD66">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00B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A25D">
    <w:pPr>
      <w:pStyle w:val="4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8E8480E">
                          <w:pPr>
                            <w:pStyle w:val="41"/>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xyrZLhAQAAxAMAAA4AAABkcnMvZTJvRG9jLnhtbK1TwY7TMBC9&#10;I/EPlu802SItVdR0BVSLkBAgLXyA6ziNJdtjjd0m5QPgDzhx4c539TsYO0kXlsseuCRjz/jNe8/j&#10;9c1gDTsqDBpcza8WJWfKSWi029f886fbZyvOQhSuEQacqvlJBX6zefpk3ftKLaED0yhkBOJC1fua&#10;dzH6qiiC7JQVYQFeOUq2gFZEWuK+aFD0hG5NsSzL66IHbDyCVCHQ7nZM8gkRHwMIbaul2oI8WOXi&#10;iIrKiEiSQqd94JvMtm2VjB/aNqjITM1JacxfakLxLn2LzVpUexS+03KiIB5D4YEmK7SjpheorYiC&#10;HVD/A2W1RAjQxoUEW4xCsiOk4qp84M1dJ7zKWsjq4C+mh/8HK98fPyLTTc2fc+aEpQs/f/92/vHr&#10;/PMru0729D5UVHXnqS4Or2CgoZn3A20m1UOLNv1JD6M8mXu6mKuGyGQ6tFquViWlJOXmBeEX98c9&#10;hvhGgWUpqDnS7WVTxfFdiGPpXJK6ObjVxuQbNI71hLp8QQ3+ShG6cdQkqRjZpigOu2GStoPmRMoQ&#10;xtGgh0FBB/iFs57GouaOXgFn5q0j19MEzQHOwW4OhJN0sOaRszF8HfOkJULBvzxE4ptlJApj34kZ&#10;XW42YhrEND1/rnPV/eP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zHKtkuEBAADEAwAA&#10;DgAAAAAAAAABACAAAAAiAQAAZHJzL2Uyb0RvYy54bWxQSwUGAAAAAAYABgBZAQAAdQUAAAAA&#10;">
              <v:fill on="f" focussize="0,0"/>
              <v:stroke on="f" weight="1pt"/>
              <v:imagedata o:title=""/>
              <o:lock v:ext="edit" aspectratio="f"/>
              <v:textbox inset="0mm,0mm,0mm,0mm" style="mso-fit-shape-to-text:t;">
                <w:txbxContent>
                  <w:p w14:paraId="48E8480E">
                    <w:pPr>
                      <w:pStyle w:val="4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925">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4141513">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DE3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0C229E8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BA1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2D831A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E0C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14387BD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1403">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FDA2">
    <w:pPr>
      <w:pStyle w:val="43"/>
      <w:pBdr>
        <w:bottom w:val="single" w:color="auto" w:sz="6" w:space="4"/>
      </w:pBdr>
      <w:jc w:val="right"/>
    </w:pPr>
    <w:r>
      <w:t></w:t>
    </w:r>
    <w:r>
      <w:rPr>
        <w:rFonts w:hint="eastAsia"/>
      </w:rPr>
      <w:t xml:space="preserve">             政府采购公开招标文件</w:t>
    </w:r>
  </w:p>
  <w:p w14:paraId="190646F1">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8FEF">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1E05">
    <w:pPr>
      <w:pStyle w:val="43"/>
      <w:jc w:val="right"/>
      <w:rPr>
        <w:rFonts w:ascii="仿宋_GB2312"/>
        <w:b/>
        <w:i/>
        <w:u w:val="single"/>
      </w:rPr>
    </w:pPr>
    <w:r>
      <w:t></w:t>
    </w:r>
    <w:r>
      <w:rPr>
        <w:rFonts w:hint="eastAsia"/>
      </w:rPr>
      <w:t xml:space="preserve">                                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FB76">
    <w:pPr>
      <w:pStyle w:val="43"/>
    </w:pPr>
    <w:r>
      <w:t></w:t>
    </w:r>
    <w:r>
      <w:rPr>
        <w:rFonts w:hint="eastAsia"/>
      </w:rPr>
      <w:t xml:space="preserve">         </w:t>
    </w:r>
  </w:p>
  <w:p w14:paraId="3BBC842E">
    <w:pPr>
      <w:pStyle w:val="43"/>
    </w:pPr>
    <w:r>
      <w:rPr>
        <w:rFonts w:hint="eastAsia"/>
      </w:rPr>
      <w:t xml:space="preserve">                                                                  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D49F">
    <w:pPr>
      <w:pStyle w:val="43"/>
      <w:jc w:val="right"/>
      <w:rPr>
        <w:rFonts w:ascii="仿宋_GB2312"/>
        <w:b/>
        <w:i/>
        <w:u w:val="single"/>
      </w:rPr>
    </w:pPr>
    <w:r>
      <w:rPr>
        <w:rFonts w:hint="eastAsia"/>
      </w:rPr>
      <w:t xml:space="preserve">                                  政府采购公开招标文件</w:t>
    </w:r>
  </w:p>
  <w:p w14:paraId="35EBB0C1">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EC7F">
    <w:pPr>
      <w:pStyle w:val="43"/>
      <w:jc w:val="right"/>
    </w:pPr>
    <w:r>
      <w:rPr>
        <w:rFonts w:hint="eastAsia"/>
      </w:rPr>
      <w:t xml:space="preserve">                                                                                                        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D26C">
    <w:pPr>
      <w:pStyle w:val="43"/>
      <w:jc w:val="right"/>
      <w:rPr>
        <w:rFonts w:ascii="仿宋_GB2312"/>
        <w:b/>
        <w:i/>
        <w:iCs/>
        <w:u w:val="single"/>
      </w:rPr>
    </w:pPr>
    <w:r>
      <w:t></w:t>
    </w:r>
    <w:r>
      <w:rPr>
        <w:rFonts w:hint="eastAsia"/>
      </w:rP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9A29">
    <w:pPr>
      <w:pStyle w:val="43"/>
    </w:pPr>
    <w:r>
      <w:t></w:t>
    </w:r>
    <w:r>
      <w:rPr>
        <w:rFonts w:hint="eastAsia"/>
      </w:rPr>
      <w:t xml:space="preserve">                                             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5A72D"/>
    <w:multiLevelType w:val="singleLevel"/>
    <w:tmpl w:val="8045A72D"/>
    <w:lvl w:ilvl="0" w:tentative="0">
      <w:start w:val="1"/>
      <w:numFmt w:val="decimal"/>
      <w:suff w:val="nothing"/>
      <w:lvlText w:val="（%1）"/>
      <w:lvlJc w:val="left"/>
    </w:lvl>
  </w:abstractNum>
  <w:abstractNum w:abstractNumId="1">
    <w:nsid w:val="D6576EE3"/>
    <w:multiLevelType w:val="singleLevel"/>
    <w:tmpl w:val="D6576EE3"/>
    <w:lvl w:ilvl="0" w:tentative="0">
      <w:start w:val="4"/>
      <w:numFmt w:val="decimal"/>
      <w:suff w:val="nothing"/>
      <w:lvlText w:val="%1）"/>
      <w:lvlJc w:val="left"/>
    </w:lvl>
  </w:abstractNum>
  <w:abstractNum w:abstractNumId="2">
    <w:nsid w:val="25C246E0"/>
    <w:multiLevelType w:val="multilevel"/>
    <w:tmpl w:val="25C246E0"/>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ascii="Wingdings" w:hAnsi="Wingdings" w:cs="Wingdings"/>
      </w:rPr>
    </w:lvl>
    <w:lvl w:ilvl="2" w:tentative="0">
      <w:start w:val="1"/>
      <w:numFmt w:val="bullet"/>
      <w:lvlText w:val=""/>
      <w:lvlJc w:val="left"/>
      <w:pPr>
        <w:tabs>
          <w:tab w:val="left" w:pos="1260"/>
        </w:tabs>
        <w:ind w:left="1260" w:hanging="420"/>
      </w:pPr>
      <w:rPr>
        <w:rFonts w:ascii="Wingdings" w:hAnsi="Wingdings" w:cs="Wingdings"/>
      </w:rPr>
    </w:lvl>
    <w:lvl w:ilvl="3" w:tentative="0">
      <w:start w:val="1"/>
      <w:numFmt w:val="bullet"/>
      <w:lvlText w:val=""/>
      <w:lvlJc w:val="left"/>
      <w:pPr>
        <w:tabs>
          <w:tab w:val="left" w:pos="1680"/>
        </w:tabs>
        <w:ind w:left="1680" w:hanging="420"/>
      </w:pPr>
      <w:rPr>
        <w:rFonts w:ascii="Wingdings" w:hAnsi="Wingdings" w:cs="Wingdings"/>
      </w:rPr>
    </w:lvl>
    <w:lvl w:ilvl="4" w:tentative="0">
      <w:start w:val="1"/>
      <w:numFmt w:val="bullet"/>
      <w:lvlText w:val=""/>
      <w:lvlJc w:val="left"/>
      <w:pPr>
        <w:tabs>
          <w:tab w:val="left" w:pos="2100"/>
        </w:tabs>
        <w:ind w:left="2100" w:hanging="420"/>
      </w:pPr>
      <w:rPr>
        <w:rFonts w:ascii="Wingdings" w:hAnsi="Wingdings" w:cs="Wingdings"/>
      </w:rPr>
    </w:lvl>
    <w:lvl w:ilvl="5" w:tentative="0">
      <w:start w:val="1"/>
      <w:numFmt w:val="bullet"/>
      <w:lvlText w:val=""/>
      <w:lvlJc w:val="left"/>
      <w:pPr>
        <w:tabs>
          <w:tab w:val="left" w:pos="2520"/>
        </w:tabs>
        <w:ind w:left="2520" w:hanging="420"/>
      </w:pPr>
      <w:rPr>
        <w:rFonts w:ascii="Wingdings" w:hAnsi="Wingdings" w:cs="Wingdings"/>
      </w:rPr>
    </w:lvl>
    <w:lvl w:ilvl="6" w:tentative="0">
      <w:start w:val="1"/>
      <w:numFmt w:val="bullet"/>
      <w:lvlText w:val=""/>
      <w:lvlJc w:val="left"/>
      <w:pPr>
        <w:tabs>
          <w:tab w:val="left" w:pos="2940"/>
        </w:tabs>
        <w:ind w:left="2940" w:hanging="420"/>
      </w:pPr>
      <w:rPr>
        <w:rFonts w:ascii="Wingdings" w:hAnsi="Wingdings" w:cs="Wingdings"/>
      </w:rPr>
    </w:lvl>
    <w:lvl w:ilvl="7" w:tentative="0">
      <w:start w:val="1"/>
      <w:numFmt w:val="bullet"/>
      <w:lvlText w:val=""/>
      <w:lvlJc w:val="left"/>
      <w:pPr>
        <w:tabs>
          <w:tab w:val="left" w:pos="3360"/>
        </w:tabs>
        <w:ind w:left="3360" w:hanging="420"/>
      </w:pPr>
      <w:rPr>
        <w:rFonts w:ascii="Wingdings" w:hAnsi="Wingdings" w:cs="Wingdings"/>
      </w:rPr>
    </w:lvl>
    <w:lvl w:ilvl="8" w:tentative="0">
      <w:start w:val="1"/>
      <w:numFmt w:val="bullet"/>
      <w:lvlText w:val=""/>
      <w:lvlJc w:val="left"/>
      <w:pPr>
        <w:tabs>
          <w:tab w:val="left" w:pos="3780"/>
        </w:tabs>
        <w:ind w:left="3780" w:hanging="420"/>
      </w:pPr>
      <w:rPr>
        <w:rFonts w:ascii="Wingdings" w:hAnsi="Wingdings" w:cs="Wingdings"/>
      </w:rPr>
    </w:lvl>
  </w:abstractNum>
  <w:abstractNum w:abstractNumId="3">
    <w:nsid w:val="29A345CE"/>
    <w:multiLevelType w:val="singleLevel"/>
    <w:tmpl w:val="29A345CE"/>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NjM2NmU4MmEzYzg1MDY4MjMzNTY1YjQwMzhkMT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67E1"/>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4D3"/>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4B47"/>
    <w:rsid w:val="000E549A"/>
    <w:rsid w:val="000E5B7E"/>
    <w:rsid w:val="000E5FF9"/>
    <w:rsid w:val="000E6AE1"/>
    <w:rsid w:val="000E7142"/>
    <w:rsid w:val="000E7632"/>
    <w:rsid w:val="000E7737"/>
    <w:rsid w:val="000E7739"/>
    <w:rsid w:val="000E77EE"/>
    <w:rsid w:val="000F1604"/>
    <w:rsid w:val="000F287A"/>
    <w:rsid w:val="000F2940"/>
    <w:rsid w:val="000F2AB3"/>
    <w:rsid w:val="000F2EA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44D"/>
    <w:rsid w:val="00147EA7"/>
    <w:rsid w:val="0015095F"/>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8B0"/>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27A"/>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C8D"/>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3BC0"/>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683"/>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A5"/>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3F21"/>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50"/>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570"/>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7B0"/>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179D7"/>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3864"/>
    <w:rsid w:val="004345F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1A3"/>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0A59"/>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CCF"/>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372"/>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E7FF1"/>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12B"/>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6B4"/>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5BA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50F2"/>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957"/>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3DA"/>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A5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37F"/>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29D7"/>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3DDA"/>
    <w:rsid w:val="0082427D"/>
    <w:rsid w:val="00825441"/>
    <w:rsid w:val="00826855"/>
    <w:rsid w:val="00830052"/>
    <w:rsid w:val="008300D0"/>
    <w:rsid w:val="008308D8"/>
    <w:rsid w:val="0083104D"/>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3E0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B04"/>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886"/>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374"/>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4F0"/>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5A90"/>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BFD"/>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135"/>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B48"/>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4172"/>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271"/>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8A0"/>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231"/>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B4"/>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410"/>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536"/>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4971"/>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9B4"/>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2EEF"/>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6C0"/>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29A0"/>
    <w:rsid w:val="010651D9"/>
    <w:rsid w:val="011F6449"/>
    <w:rsid w:val="01236AFB"/>
    <w:rsid w:val="012B5C78"/>
    <w:rsid w:val="01546A35"/>
    <w:rsid w:val="0159497E"/>
    <w:rsid w:val="01921052"/>
    <w:rsid w:val="019F7441"/>
    <w:rsid w:val="01AE15BA"/>
    <w:rsid w:val="01B37585"/>
    <w:rsid w:val="01C725F7"/>
    <w:rsid w:val="01D55165"/>
    <w:rsid w:val="01D95F0B"/>
    <w:rsid w:val="01DF6BF8"/>
    <w:rsid w:val="01EC2C57"/>
    <w:rsid w:val="02274EC8"/>
    <w:rsid w:val="024F1E07"/>
    <w:rsid w:val="025F0711"/>
    <w:rsid w:val="026B2E25"/>
    <w:rsid w:val="026D582B"/>
    <w:rsid w:val="02824D4D"/>
    <w:rsid w:val="0283691B"/>
    <w:rsid w:val="029071D4"/>
    <w:rsid w:val="02C0735F"/>
    <w:rsid w:val="02DC4B10"/>
    <w:rsid w:val="02DD76CE"/>
    <w:rsid w:val="02F36323"/>
    <w:rsid w:val="02F5619C"/>
    <w:rsid w:val="0326446A"/>
    <w:rsid w:val="032D5555"/>
    <w:rsid w:val="036634D2"/>
    <w:rsid w:val="039948AC"/>
    <w:rsid w:val="03DD35E4"/>
    <w:rsid w:val="03E017D2"/>
    <w:rsid w:val="04076900"/>
    <w:rsid w:val="04170614"/>
    <w:rsid w:val="041A5A3B"/>
    <w:rsid w:val="042311BA"/>
    <w:rsid w:val="042B157A"/>
    <w:rsid w:val="048F763B"/>
    <w:rsid w:val="049F330E"/>
    <w:rsid w:val="04AA775C"/>
    <w:rsid w:val="04AF1889"/>
    <w:rsid w:val="04D44FF4"/>
    <w:rsid w:val="04F66F48"/>
    <w:rsid w:val="052505E3"/>
    <w:rsid w:val="05251E14"/>
    <w:rsid w:val="05A16594"/>
    <w:rsid w:val="05A7762D"/>
    <w:rsid w:val="06020126"/>
    <w:rsid w:val="060E5941"/>
    <w:rsid w:val="06110FAF"/>
    <w:rsid w:val="06493CA7"/>
    <w:rsid w:val="065A6178"/>
    <w:rsid w:val="066F1CF3"/>
    <w:rsid w:val="06930BB8"/>
    <w:rsid w:val="07245D42"/>
    <w:rsid w:val="07264C62"/>
    <w:rsid w:val="073362A4"/>
    <w:rsid w:val="0768045D"/>
    <w:rsid w:val="0779354C"/>
    <w:rsid w:val="08016791"/>
    <w:rsid w:val="08061376"/>
    <w:rsid w:val="081A528C"/>
    <w:rsid w:val="08452D77"/>
    <w:rsid w:val="086401F8"/>
    <w:rsid w:val="08751CAA"/>
    <w:rsid w:val="087E4C40"/>
    <w:rsid w:val="08A871D0"/>
    <w:rsid w:val="08D35DAA"/>
    <w:rsid w:val="08D4742C"/>
    <w:rsid w:val="08D66AD6"/>
    <w:rsid w:val="08DA33A3"/>
    <w:rsid w:val="08E80F13"/>
    <w:rsid w:val="0912665B"/>
    <w:rsid w:val="09335624"/>
    <w:rsid w:val="0944690F"/>
    <w:rsid w:val="09535675"/>
    <w:rsid w:val="09581E0B"/>
    <w:rsid w:val="095F057D"/>
    <w:rsid w:val="09642282"/>
    <w:rsid w:val="09664528"/>
    <w:rsid w:val="09733572"/>
    <w:rsid w:val="09772C16"/>
    <w:rsid w:val="098353B5"/>
    <w:rsid w:val="09A17C56"/>
    <w:rsid w:val="09A92330"/>
    <w:rsid w:val="09B06B87"/>
    <w:rsid w:val="09C13146"/>
    <w:rsid w:val="09E04166"/>
    <w:rsid w:val="0A146C33"/>
    <w:rsid w:val="0A1C0718"/>
    <w:rsid w:val="0A3E7710"/>
    <w:rsid w:val="0A5B7E05"/>
    <w:rsid w:val="0A5B7E63"/>
    <w:rsid w:val="0AA374A5"/>
    <w:rsid w:val="0AAB7649"/>
    <w:rsid w:val="0AB90547"/>
    <w:rsid w:val="0ABA4952"/>
    <w:rsid w:val="0ABC5606"/>
    <w:rsid w:val="0AD57BB7"/>
    <w:rsid w:val="0B14342A"/>
    <w:rsid w:val="0B30404E"/>
    <w:rsid w:val="0B4C6C14"/>
    <w:rsid w:val="0B547599"/>
    <w:rsid w:val="0B631A88"/>
    <w:rsid w:val="0B683D45"/>
    <w:rsid w:val="0B7F3F11"/>
    <w:rsid w:val="0B884417"/>
    <w:rsid w:val="0BA619F3"/>
    <w:rsid w:val="0BF6188C"/>
    <w:rsid w:val="0BF73C91"/>
    <w:rsid w:val="0C105917"/>
    <w:rsid w:val="0C170175"/>
    <w:rsid w:val="0C1B5A9E"/>
    <w:rsid w:val="0C571A41"/>
    <w:rsid w:val="0C5C1171"/>
    <w:rsid w:val="0C5E1CBC"/>
    <w:rsid w:val="0C615B50"/>
    <w:rsid w:val="0C8445DA"/>
    <w:rsid w:val="0C87121B"/>
    <w:rsid w:val="0CC007F7"/>
    <w:rsid w:val="0CC617AC"/>
    <w:rsid w:val="0CDA4DFB"/>
    <w:rsid w:val="0CE618DF"/>
    <w:rsid w:val="0CFB767D"/>
    <w:rsid w:val="0CFE707A"/>
    <w:rsid w:val="0D063BDA"/>
    <w:rsid w:val="0D08375F"/>
    <w:rsid w:val="0D151C27"/>
    <w:rsid w:val="0D184CFB"/>
    <w:rsid w:val="0D441A9A"/>
    <w:rsid w:val="0D4A7419"/>
    <w:rsid w:val="0D827401"/>
    <w:rsid w:val="0D84094E"/>
    <w:rsid w:val="0D8A00E9"/>
    <w:rsid w:val="0D8D589E"/>
    <w:rsid w:val="0DA01C73"/>
    <w:rsid w:val="0DD63300"/>
    <w:rsid w:val="0DF50604"/>
    <w:rsid w:val="0DF702FE"/>
    <w:rsid w:val="0E060E51"/>
    <w:rsid w:val="0E250E55"/>
    <w:rsid w:val="0E5604B2"/>
    <w:rsid w:val="0E603C3C"/>
    <w:rsid w:val="0E6D5D79"/>
    <w:rsid w:val="0E794CFD"/>
    <w:rsid w:val="0E9D0089"/>
    <w:rsid w:val="0EB803EE"/>
    <w:rsid w:val="0EF94D4B"/>
    <w:rsid w:val="0F384BB8"/>
    <w:rsid w:val="0F4958DC"/>
    <w:rsid w:val="0F515DF7"/>
    <w:rsid w:val="0F596BA8"/>
    <w:rsid w:val="0F6248D2"/>
    <w:rsid w:val="0F693536"/>
    <w:rsid w:val="0F7B0511"/>
    <w:rsid w:val="0F7B76D9"/>
    <w:rsid w:val="0F816ACD"/>
    <w:rsid w:val="0F9832DB"/>
    <w:rsid w:val="0FAE6C29"/>
    <w:rsid w:val="0FBF3FD2"/>
    <w:rsid w:val="0FBF7FF3"/>
    <w:rsid w:val="0FF7237E"/>
    <w:rsid w:val="10091E0C"/>
    <w:rsid w:val="105D4A9C"/>
    <w:rsid w:val="10646583"/>
    <w:rsid w:val="107D4B15"/>
    <w:rsid w:val="108A3C80"/>
    <w:rsid w:val="10C26171"/>
    <w:rsid w:val="10F33360"/>
    <w:rsid w:val="10FC16EA"/>
    <w:rsid w:val="1102722C"/>
    <w:rsid w:val="110F1D40"/>
    <w:rsid w:val="11266F33"/>
    <w:rsid w:val="116457F1"/>
    <w:rsid w:val="118963A1"/>
    <w:rsid w:val="11C6522A"/>
    <w:rsid w:val="11CC7B05"/>
    <w:rsid w:val="11E104CC"/>
    <w:rsid w:val="11E20309"/>
    <w:rsid w:val="12103BCB"/>
    <w:rsid w:val="12255233"/>
    <w:rsid w:val="12530213"/>
    <w:rsid w:val="127723A9"/>
    <w:rsid w:val="12862074"/>
    <w:rsid w:val="12883966"/>
    <w:rsid w:val="129E45B4"/>
    <w:rsid w:val="12D81596"/>
    <w:rsid w:val="13072A44"/>
    <w:rsid w:val="135F4BE2"/>
    <w:rsid w:val="13693F0F"/>
    <w:rsid w:val="139B1A0A"/>
    <w:rsid w:val="139D25C7"/>
    <w:rsid w:val="13BF3CE4"/>
    <w:rsid w:val="13D034DB"/>
    <w:rsid w:val="13F4299B"/>
    <w:rsid w:val="141008D8"/>
    <w:rsid w:val="14125FE6"/>
    <w:rsid w:val="146D271E"/>
    <w:rsid w:val="1493264E"/>
    <w:rsid w:val="14982588"/>
    <w:rsid w:val="149A5AD9"/>
    <w:rsid w:val="149B4199"/>
    <w:rsid w:val="14A7619D"/>
    <w:rsid w:val="14BE16BC"/>
    <w:rsid w:val="14ED3166"/>
    <w:rsid w:val="150536C3"/>
    <w:rsid w:val="150C1963"/>
    <w:rsid w:val="151447A0"/>
    <w:rsid w:val="154A6454"/>
    <w:rsid w:val="15586F9D"/>
    <w:rsid w:val="15762120"/>
    <w:rsid w:val="16266269"/>
    <w:rsid w:val="162B4B2F"/>
    <w:rsid w:val="16A3500D"/>
    <w:rsid w:val="16A8729C"/>
    <w:rsid w:val="16B33777"/>
    <w:rsid w:val="16B34B25"/>
    <w:rsid w:val="16BC70A7"/>
    <w:rsid w:val="16C6339E"/>
    <w:rsid w:val="172F2D79"/>
    <w:rsid w:val="173C7E64"/>
    <w:rsid w:val="17557BEF"/>
    <w:rsid w:val="17D349C1"/>
    <w:rsid w:val="17E56525"/>
    <w:rsid w:val="180B7D05"/>
    <w:rsid w:val="18244F26"/>
    <w:rsid w:val="1830729E"/>
    <w:rsid w:val="1870062C"/>
    <w:rsid w:val="18817102"/>
    <w:rsid w:val="18830A15"/>
    <w:rsid w:val="18852B28"/>
    <w:rsid w:val="18884B0D"/>
    <w:rsid w:val="188B5321"/>
    <w:rsid w:val="19267830"/>
    <w:rsid w:val="196F7429"/>
    <w:rsid w:val="19932372"/>
    <w:rsid w:val="19A20DD5"/>
    <w:rsid w:val="19AE03F1"/>
    <w:rsid w:val="19CE05F3"/>
    <w:rsid w:val="1A071A03"/>
    <w:rsid w:val="1A1F16AE"/>
    <w:rsid w:val="1A3234D4"/>
    <w:rsid w:val="1A3B5C77"/>
    <w:rsid w:val="1A6734B5"/>
    <w:rsid w:val="1A703458"/>
    <w:rsid w:val="1A984BAD"/>
    <w:rsid w:val="1AB8220E"/>
    <w:rsid w:val="1AD96E04"/>
    <w:rsid w:val="1AE4166C"/>
    <w:rsid w:val="1AF06CFB"/>
    <w:rsid w:val="1AF11B8D"/>
    <w:rsid w:val="1B11359C"/>
    <w:rsid w:val="1B2A271F"/>
    <w:rsid w:val="1B530544"/>
    <w:rsid w:val="1B6D7998"/>
    <w:rsid w:val="1B713184"/>
    <w:rsid w:val="1BA209CF"/>
    <w:rsid w:val="1BB4777D"/>
    <w:rsid w:val="1BD75AB8"/>
    <w:rsid w:val="1C0459C2"/>
    <w:rsid w:val="1C166281"/>
    <w:rsid w:val="1C1B3B4A"/>
    <w:rsid w:val="1C7A3297"/>
    <w:rsid w:val="1C88086E"/>
    <w:rsid w:val="1D266CE1"/>
    <w:rsid w:val="1D3963AF"/>
    <w:rsid w:val="1D5058C9"/>
    <w:rsid w:val="1D6A673C"/>
    <w:rsid w:val="1D9247AE"/>
    <w:rsid w:val="1DB522C4"/>
    <w:rsid w:val="1DB567EC"/>
    <w:rsid w:val="1DF51A98"/>
    <w:rsid w:val="1E051CD9"/>
    <w:rsid w:val="1E394B99"/>
    <w:rsid w:val="1E3B4E1C"/>
    <w:rsid w:val="1E3D060F"/>
    <w:rsid w:val="1E3D1148"/>
    <w:rsid w:val="1E3F7D2E"/>
    <w:rsid w:val="1E4134E4"/>
    <w:rsid w:val="1E5062B3"/>
    <w:rsid w:val="1E523514"/>
    <w:rsid w:val="1E5B7410"/>
    <w:rsid w:val="1E714A66"/>
    <w:rsid w:val="1E7159F1"/>
    <w:rsid w:val="1E802593"/>
    <w:rsid w:val="1E8219AC"/>
    <w:rsid w:val="1E8B6156"/>
    <w:rsid w:val="1EA01E32"/>
    <w:rsid w:val="1EA703CC"/>
    <w:rsid w:val="1EB7330C"/>
    <w:rsid w:val="1F0A0FF3"/>
    <w:rsid w:val="1F5771FF"/>
    <w:rsid w:val="1FD52574"/>
    <w:rsid w:val="1FE868A9"/>
    <w:rsid w:val="20034907"/>
    <w:rsid w:val="20173E4B"/>
    <w:rsid w:val="204E48BC"/>
    <w:rsid w:val="208921B3"/>
    <w:rsid w:val="20973DEB"/>
    <w:rsid w:val="20B26522"/>
    <w:rsid w:val="20B44310"/>
    <w:rsid w:val="211116EB"/>
    <w:rsid w:val="212354CB"/>
    <w:rsid w:val="216133FC"/>
    <w:rsid w:val="219F2875"/>
    <w:rsid w:val="21C052E3"/>
    <w:rsid w:val="21D56769"/>
    <w:rsid w:val="21E52EF3"/>
    <w:rsid w:val="21FB5D7B"/>
    <w:rsid w:val="22015E94"/>
    <w:rsid w:val="220B1C3D"/>
    <w:rsid w:val="221D1D20"/>
    <w:rsid w:val="22334A87"/>
    <w:rsid w:val="22736130"/>
    <w:rsid w:val="22BE6801"/>
    <w:rsid w:val="233500BF"/>
    <w:rsid w:val="23377FF7"/>
    <w:rsid w:val="23474F72"/>
    <w:rsid w:val="236B425F"/>
    <w:rsid w:val="23836192"/>
    <w:rsid w:val="23901F29"/>
    <w:rsid w:val="239C0061"/>
    <w:rsid w:val="23AB3BD0"/>
    <w:rsid w:val="23B908A4"/>
    <w:rsid w:val="23E95BEF"/>
    <w:rsid w:val="23FD0064"/>
    <w:rsid w:val="244948BF"/>
    <w:rsid w:val="245375B0"/>
    <w:rsid w:val="24642C0A"/>
    <w:rsid w:val="24B22173"/>
    <w:rsid w:val="24B95AD9"/>
    <w:rsid w:val="24BE24DA"/>
    <w:rsid w:val="24CF5825"/>
    <w:rsid w:val="24D663E6"/>
    <w:rsid w:val="24D77F2B"/>
    <w:rsid w:val="25213DC8"/>
    <w:rsid w:val="252333DF"/>
    <w:rsid w:val="25333A00"/>
    <w:rsid w:val="2561056D"/>
    <w:rsid w:val="25862166"/>
    <w:rsid w:val="258B00E2"/>
    <w:rsid w:val="25A20B86"/>
    <w:rsid w:val="25A917A6"/>
    <w:rsid w:val="25BE27CC"/>
    <w:rsid w:val="25C84FAF"/>
    <w:rsid w:val="25E8774C"/>
    <w:rsid w:val="25F74A5C"/>
    <w:rsid w:val="2628662C"/>
    <w:rsid w:val="262D45DE"/>
    <w:rsid w:val="26871DC8"/>
    <w:rsid w:val="26A53EF9"/>
    <w:rsid w:val="26A94201"/>
    <w:rsid w:val="26AC274F"/>
    <w:rsid w:val="26BB3CAD"/>
    <w:rsid w:val="27044A29"/>
    <w:rsid w:val="271D34C8"/>
    <w:rsid w:val="276142BF"/>
    <w:rsid w:val="27783712"/>
    <w:rsid w:val="27907362"/>
    <w:rsid w:val="27A52F98"/>
    <w:rsid w:val="27F76F67"/>
    <w:rsid w:val="28333E1D"/>
    <w:rsid w:val="28454BD6"/>
    <w:rsid w:val="28455253"/>
    <w:rsid w:val="28551971"/>
    <w:rsid w:val="28594430"/>
    <w:rsid w:val="285B1C53"/>
    <w:rsid w:val="289F7086"/>
    <w:rsid w:val="28C32028"/>
    <w:rsid w:val="28CC490F"/>
    <w:rsid w:val="28DE40AA"/>
    <w:rsid w:val="28E62EBC"/>
    <w:rsid w:val="28F80D84"/>
    <w:rsid w:val="29345E77"/>
    <w:rsid w:val="294C65AD"/>
    <w:rsid w:val="296C128F"/>
    <w:rsid w:val="29806583"/>
    <w:rsid w:val="298B3C4C"/>
    <w:rsid w:val="29AE0A59"/>
    <w:rsid w:val="29F26D24"/>
    <w:rsid w:val="2A15033F"/>
    <w:rsid w:val="2A1662C1"/>
    <w:rsid w:val="2A196977"/>
    <w:rsid w:val="2A1C7367"/>
    <w:rsid w:val="2A21250D"/>
    <w:rsid w:val="2A2815FA"/>
    <w:rsid w:val="2A3C33E0"/>
    <w:rsid w:val="2A6D6092"/>
    <w:rsid w:val="2A7D76B4"/>
    <w:rsid w:val="2AA50EFC"/>
    <w:rsid w:val="2AF7102C"/>
    <w:rsid w:val="2B437463"/>
    <w:rsid w:val="2B4F2C16"/>
    <w:rsid w:val="2B7807EE"/>
    <w:rsid w:val="2B844FB6"/>
    <w:rsid w:val="2BA50BF7"/>
    <w:rsid w:val="2BBF00EC"/>
    <w:rsid w:val="2BC37CFD"/>
    <w:rsid w:val="2BD5237F"/>
    <w:rsid w:val="2BE536CE"/>
    <w:rsid w:val="2BE758D9"/>
    <w:rsid w:val="2BEB6DE3"/>
    <w:rsid w:val="2BF346BB"/>
    <w:rsid w:val="2C09049E"/>
    <w:rsid w:val="2C0A653C"/>
    <w:rsid w:val="2C191F85"/>
    <w:rsid w:val="2C7212B2"/>
    <w:rsid w:val="2CA90990"/>
    <w:rsid w:val="2CE82D6F"/>
    <w:rsid w:val="2D343236"/>
    <w:rsid w:val="2D575011"/>
    <w:rsid w:val="2DD15014"/>
    <w:rsid w:val="2DF52CAD"/>
    <w:rsid w:val="2DF71CAD"/>
    <w:rsid w:val="2DF72DE4"/>
    <w:rsid w:val="2E0220AF"/>
    <w:rsid w:val="2E023FCC"/>
    <w:rsid w:val="2E4861B8"/>
    <w:rsid w:val="2E4B082A"/>
    <w:rsid w:val="2E5D4E86"/>
    <w:rsid w:val="2E5D790B"/>
    <w:rsid w:val="2E6469D8"/>
    <w:rsid w:val="2E795B1F"/>
    <w:rsid w:val="2E7B1F74"/>
    <w:rsid w:val="2E9A3C18"/>
    <w:rsid w:val="2EBB0FEE"/>
    <w:rsid w:val="2EC63002"/>
    <w:rsid w:val="2F0A6B38"/>
    <w:rsid w:val="2F3E189C"/>
    <w:rsid w:val="2F683FAA"/>
    <w:rsid w:val="2F946CCB"/>
    <w:rsid w:val="2FAD2601"/>
    <w:rsid w:val="2FC846CB"/>
    <w:rsid w:val="2FD25781"/>
    <w:rsid w:val="2FDC745C"/>
    <w:rsid w:val="2FFD7934"/>
    <w:rsid w:val="30676C54"/>
    <w:rsid w:val="30733ACD"/>
    <w:rsid w:val="307A0735"/>
    <w:rsid w:val="308C3862"/>
    <w:rsid w:val="309379D8"/>
    <w:rsid w:val="30A270F7"/>
    <w:rsid w:val="30A9101A"/>
    <w:rsid w:val="30DF1478"/>
    <w:rsid w:val="30EC586F"/>
    <w:rsid w:val="30EE4C7F"/>
    <w:rsid w:val="31641283"/>
    <w:rsid w:val="3184181E"/>
    <w:rsid w:val="319C6071"/>
    <w:rsid w:val="31A6555A"/>
    <w:rsid w:val="31AC537E"/>
    <w:rsid w:val="31E3679B"/>
    <w:rsid w:val="31E732FD"/>
    <w:rsid w:val="32517576"/>
    <w:rsid w:val="327A2C6E"/>
    <w:rsid w:val="327C7B8A"/>
    <w:rsid w:val="328535BD"/>
    <w:rsid w:val="32BE5C2C"/>
    <w:rsid w:val="32FB6478"/>
    <w:rsid w:val="33263B3F"/>
    <w:rsid w:val="33446DD8"/>
    <w:rsid w:val="336963EB"/>
    <w:rsid w:val="33816EEB"/>
    <w:rsid w:val="33EB55CD"/>
    <w:rsid w:val="33EC4C02"/>
    <w:rsid w:val="340D2360"/>
    <w:rsid w:val="3410665D"/>
    <w:rsid w:val="34211214"/>
    <w:rsid w:val="342E63AB"/>
    <w:rsid w:val="343355B7"/>
    <w:rsid w:val="34950E68"/>
    <w:rsid w:val="34986E94"/>
    <w:rsid w:val="34AF62C9"/>
    <w:rsid w:val="34CB4388"/>
    <w:rsid w:val="34F45515"/>
    <w:rsid w:val="34FA6E12"/>
    <w:rsid w:val="353613A7"/>
    <w:rsid w:val="354D7158"/>
    <w:rsid w:val="358D5588"/>
    <w:rsid w:val="35A61EB8"/>
    <w:rsid w:val="35BD4305"/>
    <w:rsid w:val="363A3B40"/>
    <w:rsid w:val="365302AE"/>
    <w:rsid w:val="36607A0A"/>
    <w:rsid w:val="366E227C"/>
    <w:rsid w:val="366F2E0D"/>
    <w:rsid w:val="36703155"/>
    <w:rsid w:val="367B6A5C"/>
    <w:rsid w:val="36A74ADA"/>
    <w:rsid w:val="36AD60D5"/>
    <w:rsid w:val="36B224F9"/>
    <w:rsid w:val="36DB7A54"/>
    <w:rsid w:val="36EC0CC9"/>
    <w:rsid w:val="373F410B"/>
    <w:rsid w:val="375325B8"/>
    <w:rsid w:val="375810A4"/>
    <w:rsid w:val="37DD4867"/>
    <w:rsid w:val="37EE7094"/>
    <w:rsid w:val="37FD070E"/>
    <w:rsid w:val="38296C89"/>
    <w:rsid w:val="383002EB"/>
    <w:rsid w:val="38586797"/>
    <w:rsid w:val="385D15DF"/>
    <w:rsid w:val="386642BF"/>
    <w:rsid w:val="38BC0149"/>
    <w:rsid w:val="38D87D1C"/>
    <w:rsid w:val="395F671A"/>
    <w:rsid w:val="39636459"/>
    <w:rsid w:val="396B7F6C"/>
    <w:rsid w:val="39B417A9"/>
    <w:rsid w:val="39DA5CA1"/>
    <w:rsid w:val="39FC5695"/>
    <w:rsid w:val="3A006D8E"/>
    <w:rsid w:val="3A117902"/>
    <w:rsid w:val="3A3000B7"/>
    <w:rsid w:val="3A3651E5"/>
    <w:rsid w:val="3A504A54"/>
    <w:rsid w:val="3A744481"/>
    <w:rsid w:val="3A7C32FC"/>
    <w:rsid w:val="3A8C7BEF"/>
    <w:rsid w:val="3A906246"/>
    <w:rsid w:val="3ABA75C9"/>
    <w:rsid w:val="3B2349B7"/>
    <w:rsid w:val="3B616CFF"/>
    <w:rsid w:val="3B6259F6"/>
    <w:rsid w:val="3B976654"/>
    <w:rsid w:val="3BC01EFC"/>
    <w:rsid w:val="3BCA786A"/>
    <w:rsid w:val="3BD31E2F"/>
    <w:rsid w:val="3BF15831"/>
    <w:rsid w:val="3C105946"/>
    <w:rsid w:val="3C471448"/>
    <w:rsid w:val="3C5A626A"/>
    <w:rsid w:val="3C5F759A"/>
    <w:rsid w:val="3C6C525A"/>
    <w:rsid w:val="3C9012E0"/>
    <w:rsid w:val="3CCE16FC"/>
    <w:rsid w:val="3CCE23CB"/>
    <w:rsid w:val="3CD17D17"/>
    <w:rsid w:val="3CE21B3C"/>
    <w:rsid w:val="3D26209C"/>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15781"/>
    <w:rsid w:val="3EC314F9"/>
    <w:rsid w:val="3EC33DFA"/>
    <w:rsid w:val="3ED61FDC"/>
    <w:rsid w:val="3F03223E"/>
    <w:rsid w:val="3F060E16"/>
    <w:rsid w:val="3F1D1096"/>
    <w:rsid w:val="3F2F0234"/>
    <w:rsid w:val="3F62107E"/>
    <w:rsid w:val="3F6363FE"/>
    <w:rsid w:val="3F756B8F"/>
    <w:rsid w:val="3F95482B"/>
    <w:rsid w:val="3FC574F3"/>
    <w:rsid w:val="3FFA1AFA"/>
    <w:rsid w:val="400B75FC"/>
    <w:rsid w:val="4019356B"/>
    <w:rsid w:val="404A10D6"/>
    <w:rsid w:val="40592157"/>
    <w:rsid w:val="406E1CAE"/>
    <w:rsid w:val="40A0133A"/>
    <w:rsid w:val="40C31A53"/>
    <w:rsid w:val="40D4691C"/>
    <w:rsid w:val="40FF545D"/>
    <w:rsid w:val="410067C8"/>
    <w:rsid w:val="418F0D2A"/>
    <w:rsid w:val="41D01505"/>
    <w:rsid w:val="41E547D8"/>
    <w:rsid w:val="42474939"/>
    <w:rsid w:val="424C3C57"/>
    <w:rsid w:val="42613FF3"/>
    <w:rsid w:val="42660D96"/>
    <w:rsid w:val="428667D2"/>
    <w:rsid w:val="42C763A1"/>
    <w:rsid w:val="42CD1CE0"/>
    <w:rsid w:val="42DA466A"/>
    <w:rsid w:val="42DC702D"/>
    <w:rsid w:val="42E1381E"/>
    <w:rsid w:val="42ED6459"/>
    <w:rsid w:val="42FE58DD"/>
    <w:rsid w:val="43174B3D"/>
    <w:rsid w:val="434B790E"/>
    <w:rsid w:val="435C3CCA"/>
    <w:rsid w:val="4360274F"/>
    <w:rsid w:val="43977AB6"/>
    <w:rsid w:val="43A3342B"/>
    <w:rsid w:val="43B41D58"/>
    <w:rsid w:val="43C77C27"/>
    <w:rsid w:val="43DE09EE"/>
    <w:rsid w:val="44002FAD"/>
    <w:rsid w:val="44727EC6"/>
    <w:rsid w:val="449101DD"/>
    <w:rsid w:val="44DE1391"/>
    <w:rsid w:val="451B225C"/>
    <w:rsid w:val="452410C9"/>
    <w:rsid w:val="45317DFB"/>
    <w:rsid w:val="456D3CE4"/>
    <w:rsid w:val="4579042C"/>
    <w:rsid w:val="457F0571"/>
    <w:rsid w:val="45851176"/>
    <w:rsid w:val="45B125C3"/>
    <w:rsid w:val="45BF71F3"/>
    <w:rsid w:val="45C63B94"/>
    <w:rsid w:val="460E7DA5"/>
    <w:rsid w:val="46422483"/>
    <w:rsid w:val="4659254A"/>
    <w:rsid w:val="465B0637"/>
    <w:rsid w:val="465E3F0D"/>
    <w:rsid w:val="466A16E6"/>
    <w:rsid w:val="46893F2B"/>
    <w:rsid w:val="46AC28CE"/>
    <w:rsid w:val="46B607E9"/>
    <w:rsid w:val="46B740C0"/>
    <w:rsid w:val="46C4686E"/>
    <w:rsid w:val="47527B35"/>
    <w:rsid w:val="477B778F"/>
    <w:rsid w:val="478203EC"/>
    <w:rsid w:val="47AF4D11"/>
    <w:rsid w:val="47B025FA"/>
    <w:rsid w:val="47C95E7B"/>
    <w:rsid w:val="4809698F"/>
    <w:rsid w:val="4811697D"/>
    <w:rsid w:val="486D178C"/>
    <w:rsid w:val="487A3E25"/>
    <w:rsid w:val="488B5503"/>
    <w:rsid w:val="48937E21"/>
    <w:rsid w:val="489A0361"/>
    <w:rsid w:val="48B3438D"/>
    <w:rsid w:val="48B94FF3"/>
    <w:rsid w:val="48E37AAB"/>
    <w:rsid w:val="48F37C9B"/>
    <w:rsid w:val="48FD4B4C"/>
    <w:rsid w:val="490A68E0"/>
    <w:rsid w:val="491055FE"/>
    <w:rsid w:val="4929330C"/>
    <w:rsid w:val="495F5B3E"/>
    <w:rsid w:val="496F77D7"/>
    <w:rsid w:val="497654FD"/>
    <w:rsid w:val="49920446"/>
    <w:rsid w:val="49B64211"/>
    <w:rsid w:val="49F6167F"/>
    <w:rsid w:val="4A064FA0"/>
    <w:rsid w:val="4A16615C"/>
    <w:rsid w:val="4A240D5F"/>
    <w:rsid w:val="4A4424D7"/>
    <w:rsid w:val="4AB82D0F"/>
    <w:rsid w:val="4AEB7664"/>
    <w:rsid w:val="4AFD7C19"/>
    <w:rsid w:val="4AFF7804"/>
    <w:rsid w:val="4B0567D1"/>
    <w:rsid w:val="4B236AAE"/>
    <w:rsid w:val="4B707271"/>
    <w:rsid w:val="4B9739F7"/>
    <w:rsid w:val="4B9E5C89"/>
    <w:rsid w:val="4BAF3531"/>
    <w:rsid w:val="4BE13907"/>
    <w:rsid w:val="4BEA4569"/>
    <w:rsid w:val="4BEE2503"/>
    <w:rsid w:val="4C245A30"/>
    <w:rsid w:val="4C8F5111"/>
    <w:rsid w:val="4C9D7B91"/>
    <w:rsid w:val="4CB6685F"/>
    <w:rsid w:val="4CC367FE"/>
    <w:rsid w:val="4CE339D3"/>
    <w:rsid w:val="4CED4072"/>
    <w:rsid w:val="4D073F5E"/>
    <w:rsid w:val="4D077F3C"/>
    <w:rsid w:val="4D123355"/>
    <w:rsid w:val="4D2A3B31"/>
    <w:rsid w:val="4D312C52"/>
    <w:rsid w:val="4D3739A2"/>
    <w:rsid w:val="4D905305"/>
    <w:rsid w:val="4D964A72"/>
    <w:rsid w:val="4D9B0297"/>
    <w:rsid w:val="4D9C1254"/>
    <w:rsid w:val="4E434405"/>
    <w:rsid w:val="4E613ED8"/>
    <w:rsid w:val="4E793892"/>
    <w:rsid w:val="4E7E543D"/>
    <w:rsid w:val="4E800872"/>
    <w:rsid w:val="4EC569ED"/>
    <w:rsid w:val="4ED50EA1"/>
    <w:rsid w:val="4EDA4BB8"/>
    <w:rsid w:val="4EEC050C"/>
    <w:rsid w:val="4EEC05F8"/>
    <w:rsid w:val="4F104EC3"/>
    <w:rsid w:val="4F47354A"/>
    <w:rsid w:val="4F911C54"/>
    <w:rsid w:val="4F97238B"/>
    <w:rsid w:val="4FDA66A3"/>
    <w:rsid w:val="4FE625E0"/>
    <w:rsid w:val="500E459E"/>
    <w:rsid w:val="5021480F"/>
    <w:rsid w:val="50962ECB"/>
    <w:rsid w:val="50A42E38"/>
    <w:rsid w:val="50A4577F"/>
    <w:rsid w:val="50B73D1F"/>
    <w:rsid w:val="50BD5BC9"/>
    <w:rsid w:val="50C11EEE"/>
    <w:rsid w:val="50E97CFC"/>
    <w:rsid w:val="50EE7661"/>
    <w:rsid w:val="50FA4028"/>
    <w:rsid w:val="510D65B7"/>
    <w:rsid w:val="511157AB"/>
    <w:rsid w:val="5142540C"/>
    <w:rsid w:val="518832C8"/>
    <w:rsid w:val="518C7E71"/>
    <w:rsid w:val="519D3C50"/>
    <w:rsid w:val="519F25B5"/>
    <w:rsid w:val="51A0432A"/>
    <w:rsid w:val="51A86090"/>
    <w:rsid w:val="51B7396D"/>
    <w:rsid w:val="51E97071"/>
    <w:rsid w:val="51F2421C"/>
    <w:rsid w:val="522E4CC3"/>
    <w:rsid w:val="5244713B"/>
    <w:rsid w:val="525A1D1D"/>
    <w:rsid w:val="52615633"/>
    <w:rsid w:val="526F4DE4"/>
    <w:rsid w:val="52977FD4"/>
    <w:rsid w:val="52A25790"/>
    <w:rsid w:val="52A96B6F"/>
    <w:rsid w:val="52B45975"/>
    <w:rsid w:val="52D94AA4"/>
    <w:rsid w:val="52EA3A62"/>
    <w:rsid w:val="52F50BB8"/>
    <w:rsid w:val="53097272"/>
    <w:rsid w:val="531D3476"/>
    <w:rsid w:val="53440FCD"/>
    <w:rsid w:val="53544462"/>
    <w:rsid w:val="538D7C3A"/>
    <w:rsid w:val="5397158E"/>
    <w:rsid w:val="53B10F70"/>
    <w:rsid w:val="54013861"/>
    <w:rsid w:val="5427219D"/>
    <w:rsid w:val="54487265"/>
    <w:rsid w:val="544D6070"/>
    <w:rsid w:val="54605E1E"/>
    <w:rsid w:val="547A48F8"/>
    <w:rsid w:val="54B3506A"/>
    <w:rsid w:val="54CA0D16"/>
    <w:rsid w:val="54D04518"/>
    <w:rsid w:val="54DD4057"/>
    <w:rsid w:val="54E7490F"/>
    <w:rsid w:val="550764A4"/>
    <w:rsid w:val="550B2BF6"/>
    <w:rsid w:val="55214EB5"/>
    <w:rsid w:val="55364EFD"/>
    <w:rsid w:val="553E061B"/>
    <w:rsid w:val="555D4828"/>
    <w:rsid w:val="556C5FEF"/>
    <w:rsid w:val="557A4C8B"/>
    <w:rsid w:val="558931E1"/>
    <w:rsid w:val="55923347"/>
    <w:rsid w:val="55925180"/>
    <w:rsid w:val="55983B1B"/>
    <w:rsid w:val="55A8376B"/>
    <w:rsid w:val="55DC29B6"/>
    <w:rsid w:val="55DD4241"/>
    <w:rsid w:val="56090AD6"/>
    <w:rsid w:val="566B6D1E"/>
    <w:rsid w:val="56D86E7D"/>
    <w:rsid w:val="56EB5639"/>
    <w:rsid w:val="57032A2C"/>
    <w:rsid w:val="570F5219"/>
    <w:rsid w:val="575D12B5"/>
    <w:rsid w:val="57610A87"/>
    <w:rsid w:val="57630A95"/>
    <w:rsid w:val="577B1140"/>
    <w:rsid w:val="577B7F21"/>
    <w:rsid w:val="577F181B"/>
    <w:rsid w:val="57921984"/>
    <w:rsid w:val="579737F0"/>
    <w:rsid w:val="57AB7B30"/>
    <w:rsid w:val="57AF5251"/>
    <w:rsid w:val="57B26373"/>
    <w:rsid w:val="57B63F04"/>
    <w:rsid w:val="57CD20C2"/>
    <w:rsid w:val="57D675AB"/>
    <w:rsid w:val="57D73717"/>
    <w:rsid w:val="57D95FDD"/>
    <w:rsid w:val="58164E5B"/>
    <w:rsid w:val="58917D2F"/>
    <w:rsid w:val="5894085C"/>
    <w:rsid w:val="58AE4F0C"/>
    <w:rsid w:val="58B85899"/>
    <w:rsid w:val="58C25983"/>
    <w:rsid w:val="58E363A9"/>
    <w:rsid w:val="58ED3BB3"/>
    <w:rsid w:val="59166304"/>
    <w:rsid w:val="595E1678"/>
    <w:rsid w:val="596D5BD4"/>
    <w:rsid w:val="597E3DD8"/>
    <w:rsid w:val="59B47F65"/>
    <w:rsid w:val="59C363FA"/>
    <w:rsid w:val="59D356A1"/>
    <w:rsid w:val="59F80043"/>
    <w:rsid w:val="59FB787D"/>
    <w:rsid w:val="5A09252F"/>
    <w:rsid w:val="5A0B2778"/>
    <w:rsid w:val="5A2A7C7B"/>
    <w:rsid w:val="5A3E2560"/>
    <w:rsid w:val="5A413225"/>
    <w:rsid w:val="5A5D3B6E"/>
    <w:rsid w:val="5A637A76"/>
    <w:rsid w:val="5A6D33BA"/>
    <w:rsid w:val="5A767910"/>
    <w:rsid w:val="5A792B1F"/>
    <w:rsid w:val="5A874767"/>
    <w:rsid w:val="5AA85BE2"/>
    <w:rsid w:val="5AAD6F28"/>
    <w:rsid w:val="5AB325AA"/>
    <w:rsid w:val="5ACA36EA"/>
    <w:rsid w:val="5ACE14FA"/>
    <w:rsid w:val="5AD308BE"/>
    <w:rsid w:val="5AD63A24"/>
    <w:rsid w:val="5B2E1A1D"/>
    <w:rsid w:val="5B4041A6"/>
    <w:rsid w:val="5B556755"/>
    <w:rsid w:val="5B843A1C"/>
    <w:rsid w:val="5B873E3F"/>
    <w:rsid w:val="5B9A17D8"/>
    <w:rsid w:val="5C02690E"/>
    <w:rsid w:val="5C11169E"/>
    <w:rsid w:val="5C196DA7"/>
    <w:rsid w:val="5C2A048C"/>
    <w:rsid w:val="5C80234E"/>
    <w:rsid w:val="5C8A680C"/>
    <w:rsid w:val="5D0336DD"/>
    <w:rsid w:val="5D0C4701"/>
    <w:rsid w:val="5D0F0395"/>
    <w:rsid w:val="5D221076"/>
    <w:rsid w:val="5D2B49E2"/>
    <w:rsid w:val="5D35760E"/>
    <w:rsid w:val="5D397964"/>
    <w:rsid w:val="5D5A391C"/>
    <w:rsid w:val="5D5F10C0"/>
    <w:rsid w:val="5D7E07CE"/>
    <w:rsid w:val="5D891B7B"/>
    <w:rsid w:val="5DAD38EE"/>
    <w:rsid w:val="5DB20C5F"/>
    <w:rsid w:val="5DB26EB1"/>
    <w:rsid w:val="5DD86807"/>
    <w:rsid w:val="5E006862"/>
    <w:rsid w:val="5E0207B9"/>
    <w:rsid w:val="5E033269"/>
    <w:rsid w:val="5E1834A1"/>
    <w:rsid w:val="5E261785"/>
    <w:rsid w:val="5E4A7017"/>
    <w:rsid w:val="5E552BBA"/>
    <w:rsid w:val="5E611C10"/>
    <w:rsid w:val="5E6B4549"/>
    <w:rsid w:val="5E745F14"/>
    <w:rsid w:val="5E7A0F3F"/>
    <w:rsid w:val="5EBB228E"/>
    <w:rsid w:val="5ED94EE3"/>
    <w:rsid w:val="5EFC7377"/>
    <w:rsid w:val="5F06174D"/>
    <w:rsid w:val="5F296CFF"/>
    <w:rsid w:val="5F3A3602"/>
    <w:rsid w:val="5F45733B"/>
    <w:rsid w:val="5F6277C6"/>
    <w:rsid w:val="5F6D0B1D"/>
    <w:rsid w:val="5F8D0B82"/>
    <w:rsid w:val="5FCC5339"/>
    <w:rsid w:val="5FE34A5B"/>
    <w:rsid w:val="5FFE1E36"/>
    <w:rsid w:val="60232584"/>
    <w:rsid w:val="604858AA"/>
    <w:rsid w:val="607330CE"/>
    <w:rsid w:val="60825176"/>
    <w:rsid w:val="609F2AC4"/>
    <w:rsid w:val="60AA3E6F"/>
    <w:rsid w:val="60FA2EE8"/>
    <w:rsid w:val="61054A27"/>
    <w:rsid w:val="610A52BC"/>
    <w:rsid w:val="611D2366"/>
    <w:rsid w:val="61421856"/>
    <w:rsid w:val="615227C4"/>
    <w:rsid w:val="61654E3F"/>
    <w:rsid w:val="617D4CA1"/>
    <w:rsid w:val="6182292A"/>
    <w:rsid w:val="619F7F92"/>
    <w:rsid w:val="61B80092"/>
    <w:rsid w:val="61D40CC4"/>
    <w:rsid w:val="61D70C94"/>
    <w:rsid w:val="61F94C26"/>
    <w:rsid w:val="62000E56"/>
    <w:rsid w:val="62062546"/>
    <w:rsid w:val="621568AF"/>
    <w:rsid w:val="624F3E49"/>
    <w:rsid w:val="62632286"/>
    <w:rsid w:val="62745016"/>
    <w:rsid w:val="62885958"/>
    <w:rsid w:val="62F40B65"/>
    <w:rsid w:val="62FC2CFE"/>
    <w:rsid w:val="63024505"/>
    <w:rsid w:val="630D4AA8"/>
    <w:rsid w:val="631C2EA1"/>
    <w:rsid w:val="635600A5"/>
    <w:rsid w:val="635B1DB5"/>
    <w:rsid w:val="63711FED"/>
    <w:rsid w:val="63844520"/>
    <w:rsid w:val="63880DDC"/>
    <w:rsid w:val="638D750D"/>
    <w:rsid w:val="63AC303E"/>
    <w:rsid w:val="63AC6CC0"/>
    <w:rsid w:val="63B6568A"/>
    <w:rsid w:val="64055776"/>
    <w:rsid w:val="64240056"/>
    <w:rsid w:val="643B7C00"/>
    <w:rsid w:val="643E143A"/>
    <w:rsid w:val="64491666"/>
    <w:rsid w:val="64513B18"/>
    <w:rsid w:val="648B6EEF"/>
    <w:rsid w:val="64C158BF"/>
    <w:rsid w:val="64CE2EAA"/>
    <w:rsid w:val="653C3090"/>
    <w:rsid w:val="65854376"/>
    <w:rsid w:val="658767BE"/>
    <w:rsid w:val="65892531"/>
    <w:rsid w:val="65AB2B63"/>
    <w:rsid w:val="660478F9"/>
    <w:rsid w:val="66195831"/>
    <w:rsid w:val="6621370F"/>
    <w:rsid w:val="662A2C07"/>
    <w:rsid w:val="662E75B1"/>
    <w:rsid w:val="66342C2E"/>
    <w:rsid w:val="66351FA8"/>
    <w:rsid w:val="663E784C"/>
    <w:rsid w:val="667B2536"/>
    <w:rsid w:val="668B6A45"/>
    <w:rsid w:val="66CC1A50"/>
    <w:rsid w:val="66E939DF"/>
    <w:rsid w:val="670B35FF"/>
    <w:rsid w:val="672F3F24"/>
    <w:rsid w:val="673E055F"/>
    <w:rsid w:val="67551CE3"/>
    <w:rsid w:val="67A22552"/>
    <w:rsid w:val="67AF2DF0"/>
    <w:rsid w:val="67B22DCC"/>
    <w:rsid w:val="67BE71AA"/>
    <w:rsid w:val="67D90273"/>
    <w:rsid w:val="67DE5875"/>
    <w:rsid w:val="67E55852"/>
    <w:rsid w:val="67E934CF"/>
    <w:rsid w:val="67EB1AB4"/>
    <w:rsid w:val="67FA1285"/>
    <w:rsid w:val="680D06AF"/>
    <w:rsid w:val="6850356F"/>
    <w:rsid w:val="68551F4F"/>
    <w:rsid w:val="686F108A"/>
    <w:rsid w:val="687C10C9"/>
    <w:rsid w:val="68840C16"/>
    <w:rsid w:val="68876EFB"/>
    <w:rsid w:val="68884654"/>
    <w:rsid w:val="689F444F"/>
    <w:rsid w:val="68B96DBB"/>
    <w:rsid w:val="68CA2805"/>
    <w:rsid w:val="68DF7ED9"/>
    <w:rsid w:val="68E63EB3"/>
    <w:rsid w:val="68E937A3"/>
    <w:rsid w:val="693E15D3"/>
    <w:rsid w:val="69627681"/>
    <w:rsid w:val="6977531D"/>
    <w:rsid w:val="69976406"/>
    <w:rsid w:val="69992CD3"/>
    <w:rsid w:val="69CC2BFF"/>
    <w:rsid w:val="69D56401"/>
    <w:rsid w:val="69EC54F9"/>
    <w:rsid w:val="69FD55B8"/>
    <w:rsid w:val="6A0B1C62"/>
    <w:rsid w:val="6A2406C8"/>
    <w:rsid w:val="6A294057"/>
    <w:rsid w:val="6A4D7345"/>
    <w:rsid w:val="6A5118AB"/>
    <w:rsid w:val="6A914DAB"/>
    <w:rsid w:val="6AA8559A"/>
    <w:rsid w:val="6AC30A9F"/>
    <w:rsid w:val="6ADE0BD1"/>
    <w:rsid w:val="6AE96859"/>
    <w:rsid w:val="6B147746"/>
    <w:rsid w:val="6B24787C"/>
    <w:rsid w:val="6B454EC0"/>
    <w:rsid w:val="6B573233"/>
    <w:rsid w:val="6B593D2B"/>
    <w:rsid w:val="6B5B6274"/>
    <w:rsid w:val="6B6A0DCB"/>
    <w:rsid w:val="6B8754D9"/>
    <w:rsid w:val="6B935D53"/>
    <w:rsid w:val="6C196F71"/>
    <w:rsid w:val="6C226FCB"/>
    <w:rsid w:val="6C240F7A"/>
    <w:rsid w:val="6C31226F"/>
    <w:rsid w:val="6C552F0B"/>
    <w:rsid w:val="6C8C67B7"/>
    <w:rsid w:val="6C9D744C"/>
    <w:rsid w:val="6D167928"/>
    <w:rsid w:val="6D26299B"/>
    <w:rsid w:val="6D2E6DFC"/>
    <w:rsid w:val="6D4772EC"/>
    <w:rsid w:val="6D506896"/>
    <w:rsid w:val="6D68758C"/>
    <w:rsid w:val="6D9078AF"/>
    <w:rsid w:val="6DA44BC4"/>
    <w:rsid w:val="6DAA3FEF"/>
    <w:rsid w:val="6DC0172B"/>
    <w:rsid w:val="6DCB690C"/>
    <w:rsid w:val="6DD41A5B"/>
    <w:rsid w:val="6DF43C2E"/>
    <w:rsid w:val="6DF51CA3"/>
    <w:rsid w:val="6E0E5412"/>
    <w:rsid w:val="6E2C0FAA"/>
    <w:rsid w:val="6E8335BD"/>
    <w:rsid w:val="6E8E12EF"/>
    <w:rsid w:val="6E972936"/>
    <w:rsid w:val="6EAF7707"/>
    <w:rsid w:val="6ED446C5"/>
    <w:rsid w:val="6F2A7D94"/>
    <w:rsid w:val="6F2B7F92"/>
    <w:rsid w:val="6F8331F1"/>
    <w:rsid w:val="6F944668"/>
    <w:rsid w:val="6FAE1A09"/>
    <w:rsid w:val="6FD75BF8"/>
    <w:rsid w:val="703B63C5"/>
    <w:rsid w:val="707723D0"/>
    <w:rsid w:val="70CE5958"/>
    <w:rsid w:val="70F5661B"/>
    <w:rsid w:val="7113780F"/>
    <w:rsid w:val="713559D7"/>
    <w:rsid w:val="71360107"/>
    <w:rsid w:val="713B688E"/>
    <w:rsid w:val="71D43752"/>
    <w:rsid w:val="71F1796A"/>
    <w:rsid w:val="72111FA0"/>
    <w:rsid w:val="72154626"/>
    <w:rsid w:val="72262B5D"/>
    <w:rsid w:val="72283FF7"/>
    <w:rsid w:val="722E7212"/>
    <w:rsid w:val="723A0474"/>
    <w:rsid w:val="725923E4"/>
    <w:rsid w:val="72864BF7"/>
    <w:rsid w:val="729023FC"/>
    <w:rsid w:val="731004AA"/>
    <w:rsid w:val="732B52E4"/>
    <w:rsid w:val="73495F19"/>
    <w:rsid w:val="73781BAB"/>
    <w:rsid w:val="739F35DC"/>
    <w:rsid w:val="73C0646E"/>
    <w:rsid w:val="74027161"/>
    <w:rsid w:val="74035919"/>
    <w:rsid w:val="742222F5"/>
    <w:rsid w:val="74314F69"/>
    <w:rsid w:val="74476126"/>
    <w:rsid w:val="74706664"/>
    <w:rsid w:val="747F3682"/>
    <w:rsid w:val="749C4185"/>
    <w:rsid w:val="75067759"/>
    <w:rsid w:val="75263FB5"/>
    <w:rsid w:val="752E6DCD"/>
    <w:rsid w:val="7551380D"/>
    <w:rsid w:val="75600BE5"/>
    <w:rsid w:val="7564475C"/>
    <w:rsid w:val="7583797F"/>
    <w:rsid w:val="75B95D13"/>
    <w:rsid w:val="75D20F1D"/>
    <w:rsid w:val="75DA2C18"/>
    <w:rsid w:val="75DE488F"/>
    <w:rsid w:val="75F54412"/>
    <w:rsid w:val="761D08E0"/>
    <w:rsid w:val="765406AD"/>
    <w:rsid w:val="765D347C"/>
    <w:rsid w:val="766308F1"/>
    <w:rsid w:val="76826699"/>
    <w:rsid w:val="76C87133"/>
    <w:rsid w:val="76CD08D5"/>
    <w:rsid w:val="76DB4B92"/>
    <w:rsid w:val="76FC657A"/>
    <w:rsid w:val="77052AA4"/>
    <w:rsid w:val="77136511"/>
    <w:rsid w:val="77340A39"/>
    <w:rsid w:val="77351FD0"/>
    <w:rsid w:val="77472422"/>
    <w:rsid w:val="775C1159"/>
    <w:rsid w:val="777F31F2"/>
    <w:rsid w:val="77976AA4"/>
    <w:rsid w:val="77D1700D"/>
    <w:rsid w:val="77EC04CC"/>
    <w:rsid w:val="78127CBC"/>
    <w:rsid w:val="78775729"/>
    <w:rsid w:val="7899684C"/>
    <w:rsid w:val="78A42DB0"/>
    <w:rsid w:val="78A656AB"/>
    <w:rsid w:val="78B2245C"/>
    <w:rsid w:val="78DD498A"/>
    <w:rsid w:val="78E172CC"/>
    <w:rsid w:val="78EA1D1F"/>
    <w:rsid w:val="78ED0288"/>
    <w:rsid w:val="7904172F"/>
    <w:rsid w:val="790F7E27"/>
    <w:rsid w:val="79102FB2"/>
    <w:rsid w:val="79256331"/>
    <w:rsid w:val="792A231A"/>
    <w:rsid w:val="79316829"/>
    <w:rsid w:val="79481994"/>
    <w:rsid w:val="79483626"/>
    <w:rsid w:val="797E66A9"/>
    <w:rsid w:val="798518A4"/>
    <w:rsid w:val="79A97383"/>
    <w:rsid w:val="79E27E8B"/>
    <w:rsid w:val="79F850CE"/>
    <w:rsid w:val="79FD443C"/>
    <w:rsid w:val="7A0D74F1"/>
    <w:rsid w:val="7A1D1975"/>
    <w:rsid w:val="7A3E5150"/>
    <w:rsid w:val="7A4670D6"/>
    <w:rsid w:val="7A534B63"/>
    <w:rsid w:val="7A5870AD"/>
    <w:rsid w:val="7A615382"/>
    <w:rsid w:val="7A67303B"/>
    <w:rsid w:val="7A9A5250"/>
    <w:rsid w:val="7AAB1D04"/>
    <w:rsid w:val="7AAC7F07"/>
    <w:rsid w:val="7ABA4368"/>
    <w:rsid w:val="7AC34054"/>
    <w:rsid w:val="7AD05746"/>
    <w:rsid w:val="7B257FFD"/>
    <w:rsid w:val="7B343476"/>
    <w:rsid w:val="7B3665D4"/>
    <w:rsid w:val="7B5A2978"/>
    <w:rsid w:val="7B5A7E4C"/>
    <w:rsid w:val="7B667AF9"/>
    <w:rsid w:val="7B7468F8"/>
    <w:rsid w:val="7BD96389"/>
    <w:rsid w:val="7BEE0103"/>
    <w:rsid w:val="7BF70459"/>
    <w:rsid w:val="7C0A0FE4"/>
    <w:rsid w:val="7C104EE0"/>
    <w:rsid w:val="7C254906"/>
    <w:rsid w:val="7C590818"/>
    <w:rsid w:val="7C7C10F6"/>
    <w:rsid w:val="7C853BEA"/>
    <w:rsid w:val="7C881368"/>
    <w:rsid w:val="7CC145C3"/>
    <w:rsid w:val="7CE27788"/>
    <w:rsid w:val="7D0C32F1"/>
    <w:rsid w:val="7D0F408D"/>
    <w:rsid w:val="7D3B52B8"/>
    <w:rsid w:val="7D3B65D0"/>
    <w:rsid w:val="7D491C6C"/>
    <w:rsid w:val="7D496A92"/>
    <w:rsid w:val="7D4B344F"/>
    <w:rsid w:val="7D5429C0"/>
    <w:rsid w:val="7D6E6D43"/>
    <w:rsid w:val="7DB57A34"/>
    <w:rsid w:val="7DE60973"/>
    <w:rsid w:val="7DEF0916"/>
    <w:rsid w:val="7DF52174"/>
    <w:rsid w:val="7DFE34EA"/>
    <w:rsid w:val="7E0429B9"/>
    <w:rsid w:val="7E1E5218"/>
    <w:rsid w:val="7E405EBE"/>
    <w:rsid w:val="7E5E47BF"/>
    <w:rsid w:val="7E7A49CB"/>
    <w:rsid w:val="7E7F64E4"/>
    <w:rsid w:val="7E891110"/>
    <w:rsid w:val="7E9A4E1F"/>
    <w:rsid w:val="7EA7723A"/>
    <w:rsid w:val="7EE064C6"/>
    <w:rsid w:val="7EF56FBB"/>
    <w:rsid w:val="7F0768EB"/>
    <w:rsid w:val="7F143BEC"/>
    <w:rsid w:val="7F4549B0"/>
    <w:rsid w:val="7F501F51"/>
    <w:rsid w:val="7F5B0CFF"/>
    <w:rsid w:val="7F65392B"/>
    <w:rsid w:val="7F715AF2"/>
    <w:rsid w:val="7F7F5ED1"/>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qFormat="1" w:unhideWhenUsed="0" w:uiPriority="99"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qFormat="1" w:unhideWhenUsed="0" w:uiPriority="99" w:semiHidden="0" w:name="envelope return"/>
    <w:lsdException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qFormat="1" w:unhideWhenUsed="0" w:uiPriority="0" w:semiHidden="0" w:name="List Number"/>
    <w:lsdException w:qFormat="1" w:unhideWhenUsed="0" w:uiPriority="0" w:semiHidden="0" w:name="List 2"/>
    <w:lsdException w:unhideWhenUsed="0" w:uiPriority="99" w:semiHidden="0" w:name="List 3"/>
    <w:lsdException w:unhideWhenUsed="0" w:uiPriority="99"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99"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qFormat="1" w:unhideWhenUsed="0" w:uiPriority="0" w:semiHidden="0" w:name="HTML Address"/>
    <w:lsdException w:unhideWhenUsed="0" w:uiPriority="99" w:semiHidden="0" w:name="HTML Cite"/>
    <w:lsdException w:qFormat="1" w:unhideWhenUsed="0" w:uiPriority="0"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qFormat="1" w:unhideWhenUsed="0" w:uiPriority="0" w:semiHidden="0" w:name="HTML Sample"/>
    <w:lsdException w:unhideWhenUsed="0" w:uiPriority="99" w:semiHidden="0" w:name="HTML Typewriter"/>
    <w:lsdException w:unhideWhenUsed="0" w:uiPriority="99"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86"/>
    <w:qFormat/>
    <w:uiPriority w:val="9"/>
    <w:pPr>
      <w:keepNext/>
      <w:keepLines/>
      <w:tabs>
        <w:tab w:val="left" w:pos="432"/>
      </w:tabs>
      <w:snapToGrid w:val="0"/>
      <w:spacing w:line="360" w:lineRule="auto"/>
      <w:jc w:val="center"/>
      <w:outlineLvl w:val="0"/>
    </w:pPr>
    <w:rPr>
      <w:b/>
      <w:bCs/>
      <w:kern w:val="44"/>
      <w:sz w:val="36"/>
      <w:szCs w:val="44"/>
    </w:rPr>
  </w:style>
  <w:style w:type="paragraph" w:styleId="3">
    <w:name w:val="heading 2"/>
    <w:basedOn w:val="1"/>
    <w:next w:val="1"/>
    <w:link w:val="967"/>
    <w:qFormat/>
    <w:uiPriority w:val="0"/>
    <w:pPr>
      <w:keepNext/>
      <w:keepLines/>
      <w:tabs>
        <w:tab w:val="left" w:pos="432"/>
      </w:tabs>
      <w:snapToGrid w:val="0"/>
      <w:spacing w:line="360" w:lineRule="auto"/>
      <w:jc w:val="left"/>
      <w:outlineLvl w:val="1"/>
    </w:pPr>
    <w:rPr>
      <w:rFonts w:ascii="宋体" w:hAnsi="宋体"/>
      <w:b/>
      <w:bCs/>
      <w:sz w:val="24"/>
      <w:szCs w:val="32"/>
      <w:lang w:val="zh-CN"/>
    </w:rPr>
  </w:style>
  <w:style w:type="paragraph" w:styleId="4">
    <w:name w:val="heading 3"/>
    <w:basedOn w:val="1"/>
    <w:next w:val="1"/>
    <w:link w:val="968"/>
    <w:qFormat/>
    <w:uiPriority w:val="0"/>
    <w:pPr>
      <w:keepNext/>
      <w:keepLines/>
      <w:tabs>
        <w:tab w:val="left" w:pos="900"/>
      </w:tabs>
      <w:snapToGrid w:val="0"/>
      <w:spacing w:line="360" w:lineRule="auto"/>
      <w:ind w:firstLine="482" w:firstLineChars="200"/>
      <w:jc w:val="left"/>
      <w:outlineLvl w:val="2"/>
    </w:pPr>
    <w:rPr>
      <w:rFonts w:ascii="宋体" w:hAnsi="宋体"/>
      <w:b/>
      <w:bCs/>
      <w:sz w:val="24"/>
      <w:szCs w:val="32"/>
    </w:rPr>
  </w:style>
  <w:style w:type="paragraph" w:styleId="5">
    <w:name w:val="heading 4"/>
    <w:basedOn w:val="1"/>
    <w:link w:val="330"/>
    <w:qFormat/>
    <w:uiPriority w:val="0"/>
    <w:pPr>
      <w:keepNext/>
      <w:keepLines/>
      <w:tabs>
        <w:tab w:val="left" w:pos="864"/>
      </w:tabs>
      <w:snapToGrid w:val="0"/>
      <w:spacing w:line="360" w:lineRule="auto"/>
      <w:outlineLvl w:val="3"/>
    </w:pPr>
    <w:rPr>
      <w:rFonts w:ascii="宋体" w:hAnsi="宋体"/>
      <w:b/>
      <w:bCs/>
      <w:sz w:val="24"/>
      <w:szCs w:val="28"/>
      <w:lang w:val="zh-CN"/>
    </w:rPr>
  </w:style>
  <w:style w:type="paragraph" w:styleId="6">
    <w:name w:val="heading 5"/>
    <w:basedOn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link w:val="31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nhideWhenUsed/>
    <w:uiPriority w:val="1"/>
  </w:style>
  <w:style w:type="table" w:default="1" w:styleId="66">
    <w:name w:val="Normal Table"/>
    <w:semiHidden/>
    <w:unhideWhenUsed/>
    <w:uiPriority w:val="99"/>
    <w:tblPr>
      <w:tblCellMar>
        <w:top w:w="0" w:type="dxa"/>
        <w:left w:w="108" w:type="dxa"/>
        <w:bottom w:w="0" w:type="dxa"/>
        <w:right w:w="108" w:type="dxa"/>
      </w:tblCellMar>
    </w:tblPr>
  </w:style>
  <w:style w:type="paragraph" w:styleId="11">
    <w:name w:val="toc 7"/>
    <w:basedOn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7"/>
    <w:qFormat/>
    <w:uiPriority w:val="0"/>
    <w:pPr>
      <w:widowControl/>
      <w:snapToGrid w:val="0"/>
      <w:spacing w:line="480" w:lineRule="exact"/>
      <w:ind w:firstLine="567"/>
    </w:pPr>
    <w:rPr>
      <w:rFonts w:ascii="宋体"/>
      <w:color w:val="000000"/>
      <w:kern w:val="28"/>
      <w:sz w:val="28"/>
      <w:szCs w:val="20"/>
    </w:rPr>
  </w:style>
  <w:style w:type="paragraph" w:styleId="16">
    <w:name w:val="caption"/>
    <w:basedOn w:val="1"/>
    <w:next w:val="1"/>
    <w:link w:val="233"/>
    <w:qFormat/>
    <w:uiPriority w:val="0"/>
    <w:rPr>
      <w:b/>
      <w:sz w:val="28"/>
      <w:szCs w:val="20"/>
    </w:rPr>
  </w:style>
  <w:style w:type="paragraph" w:styleId="17">
    <w:name w:val="index 5"/>
    <w:basedOn w:val="1"/>
    <w:qFormat/>
    <w:uiPriority w:val="0"/>
    <w:pPr>
      <w:adjustRightInd/>
      <w:ind w:left="800" w:leftChars="800" w:firstLine="200" w:firstLineChars="200"/>
    </w:pPr>
  </w:style>
  <w:style w:type="paragraph" w:styleId="18">
    <w:name w:val="Document Map"/>
    <w:basedOn w:val="1"/>
    <w:link w:val="206"/>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3"/>
    <w:qFormat/>
    <w:uiPriority w:val="0"/>
    <w:pPr>
      <w:autoSpaceDE w:val="0"/>
      <w:autoSpaceDN w:val="0"/>
      <w:spacing w:line="360" w:lineRule="auto"/>
    </w:pPr>
    <w:rPr>
      <w:rFonts w:ascii="宋体" w:hAnsi="Arial" w:cs="Arial"/>
      <w:sz w:val="24"/>
      <w:szCs w:val="21"/>
      <w:lang w:val="zh-CN"/>
    </w:rPr>
  </w:style>
  <w:style w:type="paragraph" w:customStyle="1" w:styleId="24">
    <w:name w:val="Default"/>
    <w:next w:val="25"/>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26">
    <w:name w:val="Body Text Indent"/>
    <w:basedOn w:val="1"/>
    <w:next w:val="1"/>
    <w:link w:val="268"/>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2">
    <w:name w:val="toc 5"/>
    <w:basedOn w:val="1"/>
    <w:qFormat/>
    <w:uiPriority w:val="0"/>
    <w:pPr>
      <w:ind w:left="1680" w:leftChars="800"/>
    </w:pPr>
  </w:style>
  <w:style w:type="paragraph" w:styleId="33">
    <w:name w:val="toc 3"/>
    <w:basedOn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30"/>
    <w:qFormat/>
    <w:uiPriority w:val="0"/>
    <w:rPr>
      <w:rFonts w:ascii="宋体" w:hAnsi="Courier New" w:cs="Arial"/>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qFormat/>
    <w:uiPriority w:val="0"/>
    <w:pPr>
      <w:ind w:left="2940" w:leftChars="1400"/>
    </w:pPr>
  </w:style>
  <w:style w:type="paragraph" w:styleId="37">
    <w:name w:val="Date"/>
    <w:basedOn w:val="1"/>
    <w:link w:val="185"/>
    <w:qFormat/>
    <w:uiPriority w:val="0"/>
    <w:pPr>
      <w:ind w:left="100" w:leftChars="2500"/>
    </w:pPr>
    <w:rPr>
      <w:rFonts w:ascii="宋体"/>
      <w:sz w:val="24"/>
      <w:szCs w:val="21"/>
      <w:lang w:val="zh-CN"/>
    </w:rPr>
  </w:style>
  <w:style w:type="paragraph" w:styleId="38">
    <w:name w:val="Body Text Indent 2"/>
    <w:basedOn w:val="1"/>
    <w:link w:val="311"/>
    <w:qFormat/>
    <w:uiPriority w:val="0"/>
    <w:pPr>
      <w:spacing w:line="360" w:lineRule="auto"/>
      <w:ind w:firstLine="601"/>
    </w:pPr>
    <w:rPr>
      <w:rFonts w:ascii="宋体"/>
      <w:kern w:val="0"/>
      <w:sz w:val="28"/>
      <w:szCs w:val="20"/>
    </w:rPr>
  </w:style>
  <w:style w:type="paragraph" w:styleId="39">
    <w:name w:val="endnote text"/>
    <w:basedOn w:val="1"/>
    <w:link w:val="934"/>
    <w:qFormat/>
    <w:uiPriority w:val="0"/>
    <w:rPr>
      <w:lang w:val="zh-CN"/>
    </w:rPr>
  </w:style>
  <w:style w:type="paragraph" w:styleId="40">
    <w:name w:val="Balloon Text"/>
    <w:basedOn w:val="1"/>
    <w:link w:val="192"/>
    <w:qFormat/>
    <w:uiPriority w:val="0"/>
    <w:rPr>
      <w:sz w:val="18"/>
      <w:szCs w:val="18"/>
    </w:rPr>
  </w:style>
  <w:style w:type="paragraph" w:styleId="41">
    <w:name w:val="footer"/>
    <w:basedOn w:val="1"/>
    <w:link w:val="386"/>
    <w:qFormat/>
    <w:uiPriority w:val="99"/>
    <w:pPr>
      <w:tabs>
        <w:tab w:val="center" w:pos="4153"/>
        <w:tab w:val="right" w:pos="8306"/>
      </w:tabs>
      <w:snapToGrid w:val="0"/>
      <w:jc w:val="left"/>
    </w:pPr>
    <w:rPr>
      <w:sz w:val="18"/>
      <w:szCs w:val="18"/>
    </w:rPr>
  </w:style>
  <w:style w:type="paragraph" w:styleId="42">
    <w:name w:val="envelope return"/>
    <w:basedOn w:val="1"/>
    <w:qFormat/>
    <w:uiPriority w:val="99"/>
    <w:pPr>
      <w:snapToGrid w:val="0"/>
    </w:pPr>
    <w:rPr>
      <w:rFonts w:ascii="Arial" w:hAnsi="Arial"/>
    </w:rPr>
  </w:style>
  <w:style w:type="paragraph" w:styleId="43">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8"/>
    <w:qFormat/>
    <w:uiPriority w:val="0"/>
    <w:pPr>
      <w:spacing w:after="600" w:line="312" w:lineRule="atLeast"/>
      <w:jc w:val="center"/>
    </w:pPr>
    <w:rPr>
      <w:rFonts w:eastAsia="仿宋_GB2312"/>
      <w:kern w:val="0"/>
      <w:sz w:val="24"/>
      <w:szCs w:val="20"/>
    </w:rPr>
  </w:style>
  <w:style w:type="paragraph" w:styleId="45">
    <w:name w:val="toc 1"/>
    <w:basedOn w:val="1"/>
    <w:next w:val="1"/>
    <w:qFormat/>
    <w:uiPriority w:val="0"/>
  </w:style>
  <w:style w:type="paragraph" w:styleId="46">
    <w:name w:val="toc 4"/>
    <w:basedOn w:val="1"/>
    <w:qFormat/>
    <w:uiPriority w:val="0"/>
    <w:pPr>
      <w:ind w:left="1260" w:leftChars="600"/>
    </w:pPr>
  </w:style>
  <w:style w:type="paragraph" w:styleId="47">
    <w:name w:val="index heading"/>
    <w:basedOn w:val="1"/>
    <w:qFormat/>
    <w:uiPriority w:val="0"/>
    <w:pPr>
      <w:adjustRightInd/>
      <w:ind w:firstLine="200" w:firstLineChars="200"/>
    </w:pPr>
  </w:style>
  <w:style w:type="paragraph" w:styleId="48">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313"/>
    <w:qFormat/>
    <w:uiPriority w:val="0"/>
    <w:pPr>
      <w:adjustRightInd/>
      <w:snapToGrid/>
      <w:spacing w:before="60" w:after="60" w:line="300" w:lineRule="exact"/>
      <w:ind w:firstLine="0"/>
    </w:pPr>
    <w:rPr>
      <w:rFonts w:ascii="Calibri"/>
      <w:color w:val="0000FF"/>
      <w:kern w:val="0"/>
      <w:sz w:val="21"/>
    </w:rPr>
  </w:style>
  <w:style w:type="paragraph" w:styleId="52">
    <w:name w:val="toc 6"/>
    <w:basedOn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index 7"/>
    <w:basedOn w:val="1"/>
    <w:semiHidden/>
    <w:qFormat/>
    <w:uiPriority w:val="99"/>
    <w:pPr>
      <w:ind w:left="1200" w:leftChars="1200"/>
    </w:pPr>
  </w:style>
  <w:style w:type="paragraph" w:styleId="56">
    <w:name w:val="toc 2"/>
    <w:basedOn w:val="1"/>
    <w:next w:val="1"/>
    <w:qFormat/>
    <w:uiPriority w:val="0"/>
    <w:pPr>
      <w:ind w:left="420" w:leftChars="200"/>
    </w:pPr>
  </w:style>
  <w:style w:type="paragraph" w:styleId="57">
    <w:name w:val="toc 9"/>
    <w:basedOn w:val="1"/>
    <w:qFormat/>
    <w:uiPriority w:val="0"/>
    <w:pPr>
      <w:ind w:left="3360" w:leftChars="1600"/>
    </w:pPr>
  </w:style>
  <w:style w:type="paragraph" w:styleId="58">
    <w:name w:val="Body Text 2"/>
    <w:basedOn w:val="1"/>
    <w:link w:val="305"/>
    <w:qFormat/>
    <w:uiPriority w:val="0"/>
    <w:pPr>
      <w:spacing w:after="120" w:line="480" w:lineRule="auto"/>
    </w:pPr>
  </w:style>
  <w:style w:type="paragraph" w:styleId="59">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index 1"/>
    <w:basedOn w:val="1"/>
    <w:qFormat/>
    <w:uiPriority w:val="0"/>
    <w:pPr>
      <w:adjustRightInd/>
      <w:spacing w:line="360" w:lineRule="auto"/>
      <w:ind w:firstLine="200" w:firstLineChars="200"/>
      <w:jc w:val="center"/>
    </w:pPr>
    <w:rPr>
      <w:sz w:val="24"/>
      <w:szCs w:val="20"/>
    </w:rPr>
  </w:style>
  <w:style w:type="paragraph" w:styleId="62">
    <w:name w:val="Title"/>
    <w:basedOn w:val="1"/>
    <w:next w:val="1"/>
    <w:link w:val="289"/>
    <w:qFormat/>
    <w:uiPriority w:val="10"/>
    <w:pPr>
      <w:widowControl/>
      <w:overflowPunct w:val="0"/>
      <w:autoSpaceDE w:val="0"/>
      <w:autoSpaceDN w:val="0"/>
      <w:jc w:val="center"/>
    </w:pPr>
    <w:rPr>
      <w:b/>
      <w:kern w:val="0"/>
      <w:sz w:val="24"/>
      <w:szCs w:val="20"/>
      <w:lang w:val="en-GB"/>
    </w:rPr>
  </w:style>
  <w:style w:type="paragraph" w:styleId="63">
    <w:name w:val="annotation subject"/>
    <w:basedOn w:val="19"/>
    <w:link w:val="101"/>
    <w:qFormat/>
    <w:uiPriority w:val="0"/>
    <w:rPr>
      <w:b/>
      <w:bCs/>
    </w:rPr>
  </w:style>
  <w:style w:type="paragraph" w:styleId="64">
    <w:name w:val="Body Text First Indent"/>
    <w:basedOn w:val="1"/>
    <w:link w:val="324"/>
    <w:qFormat/>
    <w:uiPriority w:val="0"/>
    <w:pPr>
      <w:ind w:firstLine="420"/>
    </w:pPr>
    <w:rPr>
      <w:rFonts w:hAnsi="Calibri"/>
      <w:szCs w:val="20"/>
    </w:rPr>
  </w:style>
  <w:style w:type="paragraph" w:styleId="65">
    <w:name w:val="Body Text First Indent 2"/>
    <w:basedOn w:val="26"/>
    <w:next w:val="1"/>
    <w:link w:val="126"/>
    <w:qFormat/>
    <w:uiPriority w:val="0"/>
    <w:pPr>
      <w:adjustRightInd/>
      <w:spacing w:after="120" w:line="240" w:lineRule="auto"/>
      <w:ind w:left="420" w:leftChars="200" w:firstLine="210"/>
    </w:pPr>
    <w:rPr>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kern w:val="0"/>
      <w:szCs w:val="21"/>
    </w:rPr>
  </w:style>
  <w:style w:type="character" w:styleId="77">
    <w:name w:val="FollowedHyperlink"/>
    <w:qFormat/>
    <w:uiPriority w:val="99"/>
    <w:rPr>
      <w:rFonts w:ascii="Arial" w:hAnsi="Arial" w:eastAsia="黑体" w:cs="Arial"/>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kern w:val="0"/>
      <w:szCs w:val="21"/>
    </w:rPr>
  </w:style>
  <w:style w:type="character" w:styleId="80">
    <w:name w:val="Hyperlink"/>
    <w:qFormat/>
    <w:uiPriority w:val="99"/>
    <w:rPr>
      <w:rFonts w:ascii="Arial" w:hAnsi="Arial" w:eastAsia="黑体" w:cs="Arial"/>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character" w:styleId="83">
    <w:name w:val="HTML Sample"/>
    <w:basedOn w:val="73"/>
    <w:qFormat/>
    <w:uiPriority w:val="0"/>
    <w:rPr>
      <w:rFonts w:ascii="Courier New" w:hAnsi="Courier New"/>
    </w:rPr>
  </w:style>
  <w:style w:type="paragraph" w:customStyle="1" w:styleId="84">
    <w:name w:val="无间隔1"/>
    <w:next w:val="16"/>
    <w:link w:val="144"/>
    <w:qFormat/>
    <w:uiPriority w:val="1"/>
    <w:rPr>
      <w:rFonts w:ascii="Times New Roman" w:hAnsi="Times New Roman" w:eastAsia="宋体" w:cs="Times New Roman"/>
      <w:sz w:val="22"/>
      <w:szCs w:val="22"/>
      <w:lang w:val="en-US" w:eastAsia="zh-CN" w:bidi="ar-SA"/>
    </w:rPr>
  </w:style>
  <w:style w:type="paragraph" w:customStyle="1" w:styleId="85">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qFormat/>
    <w:uiPriority w:val="0"/>
    <w:rPr>
      <w:rFonts w:ascii="宋体" w:hAnsi="宋体"/>
      <w:sz w:val="24"/>
    </w:rPr>
  </w:style>
  <w:style w:type="paragraph" w:customStyle="1" w:styleId="90">
    <w:name w:val="*正文"/>
    <w:basedOn w:val="1"/>
    <w:link w:val="89"/>
    <w:qFormat/>
    <w:uiPriority w:val="0"/>
    <w:pPr>
      <w:snapToGrid w:val="0"/>
      <w:spacing w:line="360" w:lineRule="auto"/>
      <w:ind w:firstLine="482"/>
      <w:jc w:val="left"/>
    </w:pPr>
    <w:rPr>
      <w:rFonts w:ascii="宋体" w:hAnsi="宋体"/>
      <w:kern w:val="0"/>
      <w:sz w:val="24"/>
      <w:szCs w:val="20"/>
    </w:rPr>
  </w:style>
  <w:style w:type="character" w:customStyle="1" w:styleId="91">
    <w:name w:val="Char Char71"/>
    <w:semiHidden/>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63"/>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uiPriority w:val="0"/>
    <w:rPr>
      <w:rFonts w:ascii="Calibri" w:hAnsi="Calibri" w:eastAsia="宋体" w:cs="黑体"/>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
    <w:qFormat/>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首行缩进 2 字符"/>
    <w:link w:val="65"/>
    <w:qFormat/>
    <w:uiPriority w:val="0"/>
    <w:rPr>
      <w:rFonts w:ascii="宋体" w:hAnsi="宋体"/>
      <w:kern w:val="2"/>
      <w:sz w:val="21"/>
      <w:szCs w:val="24"/>
    </w:rPr>
  </w:style>
  <w:style w:type="character" w:customStyle="1" w:styleId="127">
    <w:name w:val="font11"/>
    <w:basedOn w:val="73"/>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color w:val="000000"/>
      <w:kern w:val="28"/>
      <w:sz w:val="28"/>
    </w:rPr>
  </w:style>
  <w:style w:type="character" w:customStyle="1" w:styleId="129">
    <w:name w:val="blue1"/>
    <w:basedOn w:val="73"/>
    <w:qFormat/>
    <w:uiPriority w:val="0"/>
    <w:rPr>
      <w:rFonts w:ascii="Arial" w:hAnsi="Arial" w:eastAsia="黑体" w:cs="Arial"/>
      <w:kern w:val="0"/>
      <w:szCs w:val="21"/>
    </w:rPr>
  </w:style>
  <w:style w:type="character" w:customStyle="1" w:styleId="130">
    <w:name w:val="纯文本 字符1"/>
    <w:link w:val="34"/>
    <w:qFormat/>
    <w:uiPriority w:val="0"/>
    <w:rPr>
      <w:rFonts w:ascii="宋体" w:hAnsi="Courier New" w:eastAsia="宋体" w:cs="Arial"/>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8"/>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84"/>
    <w:qFormat/>
    <w:uiPriority w:val="1"/>
    <w:rPr>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uiPriority w:val="0"/>
    <w:rPr>
      <w:rFonts w:eastAsia="宋体"/>
      <w:kern w:val="2"/>
      <w:sz w:val="21"/>
      <w:szCs w:val="24"/>
      <w:lang w:val="en-US" w:eastAsia="zh-CN" w:bidi="ar-SA"/>
    </w:rPr>
  </w:style>
  <w:style w:type="character" w:customStyle="1" w:styleId="150">
    <w:name w:val="font41"/>
    <w:basedOn w:val="73"/>
    <w:qFormat/>
    <w:uiPriority w:val="0"/>
    <w:rPr>
      <w:rFonts w:hint="eastAsia" w:ascii="仿宋_GB2312" w:eastAsia="仿宋_GB2312" w:cs="仿宋_GB2312"/>
      <w:color w:val="000000"/>
      <w:sz w:val="22"/>
      <w:szCs w:val="22"/>
      <w:u w:val="none"/>
    </w:rPr>
  </w:style>
  <w:style w:type="character" w:customStyle="1" w:styleId="151">
    <w:name w:val="标题 6 字符"/>
    <w:link w:val="7"/>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3"/>
    <w:link w:val="174"/>
    <w:qFormat/>
    <w:uiPriority w:val="0"/>
    <w:pPr>
      <w:spacing w:before="240" w:after="240" w:line="240" w:lineRule="auto"/>
      <w:jc w:val="center"/>
    </w:pPr>
    <w:rPr>
      <w:rFonts w:ascii="Calibri" w:hAnsi="Calibri"/>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字符"/>
    <w:link w:val="37"/>
    <w:qFormat/>
    <w:uiPriority w:val="0"/>
    <w:rPr>
      <w:rFonts w:ascii="宋体"/>
      <w:kern w:val="2"/>
      <w:sz w:val="24"/>
      <w:szCs w:val="21"/>
      <w:lang w:val="zh-CN"/>
    </w:rPr>
  </w:style>
  <w:style w:type="character" w:customStyle="1" w:styleId="186">
    <w:name w:val="标题 9 字符"/>
    <w:link w:val="10"/>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0"/>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字符1"/>
    <w:link w:val="40"/>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字符2"/>
    <w:link w:val="15"/>
    <w:qFormat/>
    <w:uiPriority w:val="0"/>
    <w:rPr>
      <w:rFonts w:ascii="宋体" w:eastAsia="宋体"/>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kern w:val="2"/>
      <w:sz w:val="21"/>
      <w:szCs w:val="21"/>
      <w:lang w:val="en-US" w:eastAsia="zh-CN" w:bidi="ar-SA"/>
    </w:rPr>
  </w:style>
  <w:style w:type="character" w:customStyle="1" w:styleId="202">
    <w:name w:val="3级 Char"/>
    <w:link w:val="203"/>
    <w:qFormat/>
    <w:uiPriority w:val="0"/>
    <w:rPr>
      <w:rFonts w:ascii="宋体" w:hAnsi="宋体"/>
      <w:b/>
      <w:bCs/>
      <w:sz w:val="28"/>
    </w:rPr>
  </w:style>
  <w:style w:type="paragraph" w:customStyle="1" w:styleId="203">
    <w:name w:val="3级"/>
    <w:basedOn w:val="204"/>
    <w:link w:val="202"/>
    <w:qFormat/>
    <w:uiPriority w:val="0"/>
    <w:pPr>
      <w:ind w:left="0" w:right="466" w:firstLine="288"/>
    </w:pPr>
    <w:rPr>
      <w:rFonts w:hAnsi="宋体"/>
    </w:rPr>
  </w:style>
  <w:style w:type="paragraph" w:customStyle="1" w:styleId="204">
    <w:name w:val="样式 标题 3h33rd level3BOD 0H3l3CTHeading 3 - oldLevel 3 He..."/>
    <w:basedOn w:val="4"/>
    <w:qFormat/>
    <w:uiPriority w:val="99"/>
    <w:pPr>
      <w:keepLines w:val="0"/>
      <w:widowControl/>
      <w:tabs>
        <w:tab w:val="clear" w:pos="900"/>
      </w:tabs>
      <w:adjustRightInd/>
      <w:spacing w:before="240" w:after="240"/>
      <w:ind w:left="851" w:right="407" w:rightChars="194" w:hanging="851"/>
    </w:pPr>
    <w:rPr>
      <w:rFonts w:hAnsi="Arial"/>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字符"/>
    <w:link w:val="18"/>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3"/>
    <w:qFormat/>
    <w:uiPriority w:val="0"/>
    <w:rPr>
      <w:rFonts w:ascii="Arial" w:hAnsi="Arial" w:eastAsia="黑体" w:cs="Arial"/>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字符"/>
    <w:link w:val="31"/>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5"/>
    <w:link w:val="226"/>
    <w:qFormat/>
    <w:uiPriority w:val="0"/>
    <w:pPr>
      <w:tabs>
        <w:tab w:val="left" w:pos="851"/>
        <w:tab w:val="clear" w:pos="864"/>
      </w:tabs>
      <w:adjustRightInd/>
      <w:spacing w:line="376" w:lineRule="atLeast"/>
      <w:ind w:left="851" w:hanging="851"/>
    </w:pPr>
    <w:rPr>
      <w:rFonts w:ascii="Cambria" w:hAnsi="Cambria"/>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字符"/>
    <w:link w:val="16"/>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24"/>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26"/>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2"/>
    <w:qFormat/>
    <w:uiPriority w:val="9"/>
    <w:rPr>
      <w:rFonts w:eastAsia="宋体"/>
      <w:b/>
      <w:bCs/>
      <w:kern w:val="44"/>
      <w:sz w:val="36"/>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62"/>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kern w:val="2"/>
      <w:sz w:val="28"/>
      <w:szCs w:val="21"/>
    </w:rPr>
  </w:style>
  <w:style w:type="character" w:customStyle="1" w:styleId="296">
    <w:name w:val="标题 5 字符"/>
    <w:link w:val="6"/>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0"/>
    <w:qFormat/>
    <w:uiPriority w:val="0"/>
    <w:rPr>
      <w:rFonts w:ascii="仿宋_GB2312" w:eastAsia="仿宋_GB2312"/>
      <w:kern w:val="2"/>
      <w:sz w:val="28"/>
    </w:rPr>
  </w:style>
  <w:style w:type="character" w:customStyle="1" w:styleId="302">
    <w:name w:val="文本正文 Char Char"/>
    <w:qFormat/>
    <w:uiPriority w:val="0"/>
    <w:rPr>
      <w:sz w:val="24"/>
      <w:lang w:bidi="ar-SA"/>
    </w:rPr>
  </w:style>
  <w:style w:type="character" w:customStyle="1" w:styleId="303">
    <w:name w:val="正文缩进 字符"/>
    <w:qFormat/>
    <w:uiPriority w:val="0"/>
    <w:rPr>
      <w:rFonts w:ascii="宋体" w:eastAsia="宋体"/>
      <w:color w:val="000000"/>
      <w:kern w:val="28"/>
      <w:sz w:val="28"/>
      <w:lang w:val="en-US" w:eastAsia="zh-CN" w:bidi="ar-SA"/>
    </w:rPr>
  </w:style>
  <w:style w:type="character" w:customStyle="1" w:styleId="304">
    <w:name w:val="HTML 预设格式 字符"/>
    <w:link w:val="59"/>
    <w:qFormat/>
    <w:uiPriority w:val="0"/>
    <w:rPr>
      <w:rFonts w:ascii="黑体" w:hAnsi="Courier New" w:eastAsia="黑体"/>
    </w:rPr>
  </w:style>
  <w:style w:type="character" w:customStyle="1" w:styleId="305">
    <w:name w:val="正文文本 2 字符1"/>
    <w:link w:val="58"/>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5"/>
    <w:link w:val="416"/>
    <w:qFormat/>
    <w:uiPriority w:val="0"/>
    <w:pPr>
      <w:tabs>
        <w:tab w:val="left" w:pos="2356"/>
        <w:tab w:val="clear" w:pos="864"/>
      </w:tabs>
      <w:adjustRightInd/>
      <w:ind w:left="1984" w:leftChars="75" w:hanging="708" w:firstLineChars="200"/>
    </w:pPr>
    <w:rPr>
      <w:rFonts w:ascii="微软雅黑" w:hAnsi="微软雅黑" w:eastAsia="微软雅黑"/>
    </w:rPr>
  </w:style>
  <w:style w:type="character" w:customStyle="1" w:styleId="309">
    <w:name w:val="正文非缩进 Char"/>
    <w:qFormat/>
    <w:uiPriority w:val="0"/>
    <w:rPr>
      <w:rFonts w:ascii="宋体" w:eastAsia="宋体"/>
      <w:color w:val="000000"/>
      <w:kern w:val="28"/>
      <w:sz w:val="28"/>
      <w:lang w:val="en-US" w:eastAsia="zh-CN" w:bidi="ar-SA"/>
    </w:rPr>
  </w:style>
  <w:style w:type="character" w:customStyle="1" w:styleId="310">
    <w:name w:val="标题 7 字符"/>
    <w:link w:val="8"/>
    <w:qFormat/>
    <w:uiPriority w:val="0"/>
    <w:rPr>
      <w:b/>
      <w:bCs/>
      <w:kern w:val="2"/>
      <w:sz w:val="24"/>
      <w:szCs w:val="24"/>
    </w:rPr>
  </w:style>
  <w:style w:type="character" w:customStyle="1" w:styleId="311">
    <w:name w:val="正文文本缩进 2 字符"/>
    <w:link w:val="38"/>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color w:val="000000"/>
      <w:kern w:val="28"/>
      <w:sz w:val="28"/>
      <w:lang w:val="en-US" w:eastAsia="zh-CN" w:bidi="ar-SA"/>
    </w:rPr>
  </w:style>
  <w:style w:type="character" w:customStyle="1" w:styleId="316">
    <w:name w:val="正文缩进 Char1"/>
    <w:qFormat/>
    <w:uiPriority w:val="0"/>
    <w:rPr>
      <w:rFonts w:ascii="宋体" w:eastAsia="宋体"/>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字符"/>
    <w:link w:val="64"/>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5"/>
    <w:qFormat/>
    <w:uiPriority w:val="9"/>
    <w:rPr>
      <w:rFonts w:ascii="宋体" w:hAnsi="宋体" w:eastAsia="宋体"/>
      <w:b/>
      <w:bCs/>
      <w:kern w:val="2"/>
      <w:sz w:val="24"/>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19"/>
    <w:qFormat/>
    <w:uiPriority w:val="0"/>
    <w:rPr>
      <w:kern w:val="2"/>
      <w:sz w:val="21"/>
      <w:szCs w:val="24"/>
    </w:rPr>
  </w:style>
  <w:style w:type="character" w:customStyle="1" w:styleId="348">
    <w:name w:val="签名 字符"/>
    <w:link w:val="44"/>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basedOn w:val="73"/>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4"/>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1"/>
    <w:qFormat/>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3"/>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kern w:val="44"/>
      <w:sz w:val="44"/>
      <w:szCs w:val="44"/>
    </w:rPr>
  </w:style>
  <w:style w:type="character" w:customStyle="1" w:styleId="424">
    <w:name w:val="style36"/>
    <w:basedOn w:val="73"/>
    <w:qFormat/>
    <w:uiPriority w:val="0"/>
    <w:rPr>
      <w:rFonts w:ascii="Arial" w:hAnsi="Arial" w:eastAsia="黑体" w:cs="Arial"/>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3">
    <w:name w:val="正文文本 字符"/>
    <w:link w:val="23"/>
    <w:qFormat/>
    <w:uiPriority w:val="0"/>
    <w:rPr>
      <w:rFonts w:ascii="宋体" w:hAnsi="Arial" w:eastAsia="宋体" w:cs="Arial"/>
      <w:kern w:val="2"/>
      <w:sz w:val="24"/>
      <w:szCs w:val="21"/>
      <w:lang w:val="zh-CN" w:eastAsia="zh-CN" w:bidi="ar-SA"/>
    </w:rPr>
  </w:style>
  <w:style w:type="character" w:customStyle="1" w:styleId="434">
    <w:name w:val="gray6"/>
    <w:basedOn w:val="73"/>
    <w:qFormat/>
    <w:uiPriority w:val="0"/>
    <w:rPr>
      <w:rFonts w:ascii="Arial" w:hAnsi="Arial" w:eastAsia="黑体" w:cs="Arial"/>
      <w:kern w:val="0"/>
      <w:szCs w:val="21"/>
    </w:rPr>
  </w:style>
  <w:style w:type="character" w:customStyle="1" w:styleId="435">
    <w:name w:val="hui"/>
    <w:basedOn w:val="73"/>
    <w:qFormat/>
    <w:uiPriority w:val="0"/>
    <w:rPr>
      <w:rFonts w:ascii="Arial" w:hAnsi="Arial" w:eastAsia="黑体" w:cs="Arial"/>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5"/>
    <w:qFormat/>
    <w:uiPriority w:val="0"/>
    <w:pPr>
      <w:adjustRightInd/>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qFormat/>
    <w:uiPriority w:val="0"/>
    <w:pPr>
      <w:keepLines w:val="0"/>
      <w:widowControl/>
      <w:tabs>
        <w:tab w:val="left" w:pos="840"/>
        <w:tab w:val="clear" w:pos="432"/>
      </w:tabs>
      <w:spacing w:before="156" w:beforeLines="50" w:after="60" w:line="300" w:lineRule="auto"/>
      <w:ind w:left="840" w:hanging="420"/>
    </w:pPr>
    <w:rPr>
      <w:rFonts w:ascii="Arial Narrow" w:hAnsi="Arial Narrow"/>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3"/>
    <w:qFormat/>
    <w:uiPriority w:val="0"/>
    <w:pPr>
      <w:widowControl/>
      <w:spacing w:before="360" w:after="360" w:line="240" w:lineRule="atLeast"/>
    </w:pPr>
    <w:rPr>
      <w:rFonts w:hAnsi="Arial"/>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7"/>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4"/>
    <w:qFormat/>
    <w:uiPriority w:val="0"/>
    <w:pPr>
      <w:tabs>
        <w:tab w:val="left" w:pos="840"/>
      </w:tabs>
      <w:adjustRightInd/>
      <w:spacing w:before="20" w:after="20" w:line="300" w:lineRule="auto"/>
      <w:ind w:left="840" w:hanging="420"/>
    </w:pPr>
    <w:rPr>
      <w:rFonts w:ascii="Tahoma" w:hAnsi="Tahoma"/>
      <w:kern w:val="0"/>
      <w:szCs w:val="21"/>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firstLine="200" w:firstLineChars="200"/>
      <w:jc w:val="both"/>
    </w:pPr>
    <w:rPr>
      <w:rFonts w:hAnsi="Cambria"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4"/>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4"/>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kern w:val="0"/>
      <w:sz w:val="20"/>
      <w:szCs w:val="21"/>
    </w:rPr>
  </w:style>
  <w:style w:type="paragraph" w:customStyle="1" w:styleId="600">
    <w:name w:val="gjt_2"/>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pPr>
    <w:rPr>
      <w:kern w:val="0"/>
      <w:sz w:val="24"/>
      <w:szCs w:val="20"/>
    </w:rPr>
  </w:style>
  <w:style w:type="paragraph" w:customStyle="1" w:styleId="606">
    <w:name w:val="正文文字表格居中"/>
    <w:basedOn w:val="1"/>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pPr>
    <w:rPr>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pPr>
    <w:rPr>
      <w:rFonts w:eastAsia="Times New Roman"/>
      <w:kern w:val="0"/>
      <w:szCs w:val="20"/>
    </w:rPr>
  </w:style>
  <w:style w:type="paragraph" w:customStyle="1" w:styleId="613">
    <w:name w:val="标题2"/>
    <w:basedOn w:val="3"/>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rPr>
      <w:rFonts w:ascii="黑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pacing w:line="300" w:lineRule="auto"/>
    </w:pPr>
    <w:rPr>
      <w:rFonts w:ascii="Arial Narrow" w:hAnsi="Arial Narrow" w:eastAsia="仿宋_GB2312"/>
      <w:bCs w:val="0"/>
      <w:color w:val="000000"/>
      <w:kern w:val="0"/>
      <w:szCs w:val="32"/>
      <w:lang w:val="en-US"/>
    </w:rPr>
  </w:style>
  <w:style w:type="paragraph" w:customStyle="1" w:styleId="632">
    <w:name w:val="插图题注"/>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pPr>
    <w:rPr>
      <w:kern w:val="0"/>
      <w:sz w:val="24"/>
      <w:szCs w:val="20"/>
      <w:lang w:val="en-GB"/>
    </w:rPr>
  </w:style>
  <w:style w:type="paragraph" w:customStyle="1" w:styleId="641">
    <w:name w:val="正文表标题"/>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qFormat/>
    <w:uiPriority w:val="0"/>
    <w:pPr>
      <w:tabs>
        <w:tab w:val="left" w:pos="1260"/>
        <w:tab w:val="left" w:pos="1680"/>
        <w:tab w:val="left" w:pos="2100"/>
        <w:tab w:val="left" w:pos="2520"/>
      </w:tabs>
      <w:ind w:left="2520"/>
      <w:outlineLvl w:val="4"/>
    </w:pPr>
  </w:style>
  <w:style w:type="paragraph" w:customStyle="1" w:styleId="658">
    <w:name w:val="二级条标题"/>
    <w:basedOn w:val="659"/>
    <w:qFormat/>
    <w:uiPriority w:val="0"/>
    <w:pPr>
      <w:tabs>
        <w:tab w:val="left" w:pos="1260"/>
        <w:tab w:val="left" w:pos="1680"/>
        <w:tab w:val="left" w:pos="2100"/>
      </w:tabs>
      <w:ind w:left="0"/>
      <w:outlineLvl w:val="3"/>
    </w:pPr>
  </w:style>
  <w:style w:type="paragraph" w:customStyle="1" w:styleId="659">
    <w:name w:val="一级条标题"/>
    <w:basedOn w:val="660"/>
    <w:qFormat/>
    <w:uiPriority w:val="0"/>
    <w:pPr>
      <w:tabs>
        <w:tab w:val="left" w:pos="1260"/>
        <w:tab w:val="left" w:pos="1680"/>
      </w:tabs>
      <w:spacing w:before="0" w:beforeLines="0" w:after="0" w:afterLines="0"/>
      <w:ind w:left="1680"/>
      <w:outlineLvl w:val="2"/>
    </w:pPr>
  </w:style>
  <w:style w:type="paragraph" w:customStyle="1" w:styleId="660">
    <w:name w:val="章标题"/>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qFormat/>
    <w:uiPriority w:val="0"/>
    <w:pPr>
      <w:tabs>
        <w:tab w:val="left" w:pos="480"/>
      </w:tabs>
      <w:ind w:left="480" w:hanging="480"/>
    </w:pPr>
    <w:rPr>
      <w:rFonts w:ascii="Times New Roman"/>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after="100"/>
      <w:jc w:val="left"/>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line="240" w:lineRule="auto"/>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jc w:val="both"/>
    </w:pPr>
    <w:rPr>
      <w:rFonts w:hAnsi="Arial"/>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line="240" w:lineRule="auto"/>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736">
    <w:name w:val="Picture"/>
    <w:basedOn w:val="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2"/>
    <w:qFormat/>
    <w:uiPriority w:val="0"/>
    <w:pPr>
      <w:widowControl w:val="0"/>
      <w:overflowPunct/>
      <w:autoSpaceDE/>
      <w:autoSpaceDN/>
      <w:adjustRightInd/>
      <w:spacing w:before="240" w:after="60"/>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pPr>
    <w:rPr>
      <w:kern w:val="0"/>
      <w:sz w:val="24"/>
      <w:szCs w:val="20"/>
      <w:lang w:val="en-GB"/>
    </w:rPr>
  </w:style>
  <w:style w:type="paragraph" w:customStyle="1" w:styleId="780">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qFormat/>
    <w:uiPriority w:val="0"/>
    <w:pPr>
      <w:tabs>
        <w:tab w:val="clear" w:pos="900"/>
      </w:tabs>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left" w:pos="0"/>
        <w:tab w:val="clear" w:pos="864"/>
      </w:tabs>
      <w:ind w:left="1"/>
    </w:pPr>
    <w:rPr>
      <w:rFonts w:eastAsia="仿宋_GB2312" w:cs="Arial"/>
      <w:b w:val="0"/>
      <w:bCs w:val="0"/>
      <w:color w:val="000000"/>
      <w:kern w:val="0"/>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ind w:firstLine="0"/>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kern w:val="0"/>
      <w:sz w:val="20"/>
      <w:szCs w:val="21"/>
    </w:rPr>
  </w:style>
  <w:style w:type="paragraph" w:customStyle="1" w:styleId="87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pacing w:before="120" w:after="60" w:line="300" w:lineRule="auto"/>
    </w:pPr>
    <w:rPr>
      <w:rFonts w:ascii="Arial Narrow" w:hAnsi="Arial Narrow" w:eastAsia="仿宋_GB2312"/>
      <w:b w:val="0"/>
      <w:bCs w:val="0"/>
      <w:color w:val="000000"/>
      <w:kern w:val="0"/>
      <w:sz w:val="28"/>
    </w:rPr>
  </w:style>
  <w:style w:type="paragraph" w:customStyle="1" w:styleId="893">
    <w:name w:val="TOC 标题11"/>
    <w:basedOn w:val="2"/>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qFormat/>
    <w:uiPriority w:val="0"/>
    <w:pPr>
      <w:tabs>
        <w:tab w:val="left" w:pos="1080"/>
      </w:tabs>
      <w:ind w:left="1080" w:hanging="1080"/>
    </w:pPr>
  </w:style>
  <w:style w:type="paragraph" w:customStyle="1" w:styleId="899">
    <w:name w:val="数字标题1"/>
    <w:basedOn w:val="2"/>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color w:val="0000FF"/>
      <w:kern w:val="0"/>
      <w:sz w:val="20"/>
      <w:szCs w:val="21"/>
      <w:u w:val="single"/>
      <w:lang w:val="en-US" w:eastAsia="zh-CN"/>
    </w:rPr>
  </w:style>
  <w:style w:type="character" w:customStyle="1" w:styleId="931">
    <w:name w:val="正文缩进 字符1"/>
    <w:qFormat/>
    <w:uiPriority w:val="0"/>
    <w:rPr>
      <w:rFonts w:ascii="宋体" w:eastAsia="宋体"/>
      <w:color w:val="000000"/>
      <w:kern w:val="28"/>
      <w:sz w:val="28"/>
      <w:lang w:val="en-US" w:eastAsia="zh-CN" w:bidi="ar-SA"/>
    </w:rPr>
  </w:style>
  <w:style w:type="character" w:customStyle="1" w:styleId="932">
    <w:name w:val="页脚 字符1"/>
    <w:qFormat/>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字符"/>
    <w:link w:val="39"/>
    <w:qFormat/>
    <w:uiPriority w:val="0"/>
    <w:rPr>
      <w:kern w:val="2"/>
      <w:sz w:val="21"/>
      <w:szCs w:val="24"/>
      <w:lang w:val="zh-CN"/>
    </w:rPr>
  </w:style>
  <w:style w:type="character" w:customStyle="1" w:styleId="935">
    <w:name w:val="无间隔 字符"/>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kern w:val="0"/>
      <w:szCs w:val="21"/>
    </w:rPr>
  </w:style>
  <w:style w:type="character" w:customStyle="1" w:styleId="948">
    <w:name w:val="zbggtop11 style5"/>
    <w:qFormat/>
    <w:uiPriority w:val="0"/>
    <w:rPr>
      <w:rFonts w:ascii="Arial" w:hAnsi="Arial" w:eastAsia="黑体" w:cs="Arial"/>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3"/>
    <w:qFormat/>
    <w:uiPriority w:val="0"/>
    <w:rPr>
      <w:color w:val="000000"/>
      <w:shd w:val="clear" w:color="auto" w:fill="EFD200"/>
    </w:rPr>
  </w:style>
  <w:style w:type="character" w:customStyle="1" w:styleId="964">
    <w:name w:val="font71"/>
    <w:basedOn w:val="73"/>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semiHidden/>
    <w:qFormat/>
    <w:uiPriority w:val="99"/>
    <w:rPr>
      <w:rFonts w:ascii="Times New Roman" w:hAnsi="Times New Roman" w:eastAsia="宋体" w:cs="Times New Roman"/>
      <w:kern w:val="2"/>
      <w:sz w:val="21"/>
      <w:szCs w:val="24"/>
      <w:lang w:val="en-US" w:eastAsia="zh-CN" w:bidi="ar-SA"/>
    </w:rPr>
  </w:style>
  <w:style w:type="character" w:customStyle="1" w:styleId="967">
    <w:name w:val="标题 2 字符1"/>
    <w:link w:val="3"/>
    <w:qFormat/>
    <w:uiPriority w:val="0"/>
    <w:rPr>
      <w:rFonts w:ascii="宋体" w:hAnsi="宋体" w:eastAsia="宋体"/>
      <w:b/>
      <w:bCs/>
      <w:sz w:val="24"/>
      <w:szCs w:val="32"/>
      <w:lang w:val="zh-CN"/>
    </w:rPr>
  </w:style>
  <w:style w:type="character" w:customStyle="1" w:styleId="968">
    <w:name w:val="标题 3 字符1"/>
    <w:link w:val="4"/>
    <w:qFormat/>
    <w:uiPriority w:val="0"/>
    <w:rPr>
      <w:rFonts w:ascii="宋体" w:hAnsi="宋体" w:eastAsia="宋体"/>
      <w:b/>
      <w:bCs/>
      <w:sz w:val="24"/>
      <w:szCs w:val="32"/>
    </w:rPr>
  </w:style>
  <w:style w:type="paragraph" w:customStyle="1" w:styleId="969">
    <w:name w:val="TOC 72"/>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0">
    <w:name w:val="列表段落2"/>
    <w:basedOn w:val="1"/>
    <w:qFormat/>
    <w:uiPriority w:val="99"/>
    <w:pPr>
      <w:ind w:firstLine="420"/>
    </w:pPr>
    <w:rPr>
      <w:szCs w:val="22"/>
    </w:rPr>
  </w:style>
  <w:style w:type="character" w:customStyle="1" w:styleId="971">
    <w:name w:val="font201"/>
    <w:basedOn w:val="73"/>
    <w:qFormat/>
    <w:uiPriority w:val="0"/>
    <w:rPr>
      <w:rFonts w:hint="eastAsia" w:ascii="宋体" w:hAnsi="宋体" w:eastAsia="宋体" w:cs="宋体"/>
      <w:color w:val="FF0000"/>
      <w:sz w:val="16"/>
      <w:szCs w:val="16"/>
      <w:u w:val="none"/>
    </w:rPr>
  </w:style>
  <w:style w:type="character" w:customStyle="1" w:styleId="972">
    <w:name w:val="font211"/>
    <w:basedOn w:val="73"/>
    <w:qFormat/>
    <w:uiPriority w:val="0"/>
    <w:rPr>
      <w:rFonts w:hint="eastAsia" w:ascii="宋体" w:hAnsi="宋体" w:eastAsia="宋体" w:cs="宋体"/>
      <w:color w:val="000000"/>
      <w:sz w:val="22"/>
      <w:szCs w:val="22"/>
      <w:u w:val="none"/>
    </w:rPr>
  </w:style>
  <w:style w:type="paragraph" w:customStyle="1" w:styleId="973">
    <w:name w:val="图"/>
    <w:basedOn w:val="1"/>
    <w:qFormat/>
    <w:uiPriority w:val="0"/>
    <w:pPr>
      <w:keepNext/>
      <w:spacing w:before="60" w:after="60" w:line="300" w:lineRule="auto"/>
      <w:jc w:val="center"/>
    </w:pPr>
    <w:rPr>
      <w:spacing w:val="20"/>
      <w:kern w:val="0"/>
      <w:sz w:val="24"/>
      <w:szCs w:val="20"/>
    </w:rPr>
  </w:style>
  <w:style w:type="character" w:customStyle="1" w:styleId="974">
    <w:name w:val="titleb1"/>
    <w:autoRedefine/>
    <w:qFormat/>
    <w:uiPriority w:val="0"/>
    <w:rPr>
      <w:b/>
      <w:bCs/>
      <w:sz w:val="18"/>
      <w:szCs w:val="18"/>
    </w:rPr>
  </w:style>
  <w:style w:type="character" w:customStyle="1" w:styleId="975">
    <w:name w:val="NormalCharacter"/>
    <w:autoRedefine/>
    <w:semiHidden/>
    <w:qFormat/>
    <w:uiPriority w:val="0"/>
    <w:rPr>
      <w:rFonts w:hint="eastAsia" w:ascii="Times New Roman" w:hAnsi="Times New Roman" w:eastAsia="宋体" w:cs="Times New Roman"/>
      <w:kern w:val="2"/>
      <w:sz w:val="21"/>
      <w:lang w:val="en-US" w:eastAsia="zh-CN" w:bidi="ar-SA"/>
    </w:rPr>
  </w:style>
  <w:style w:type="paragraph" w:customStyle="1" w:styleId="976">
    <w:name w:val="_表格条文"/>
    <w:basedOn w:val="1"/>
    <w:qFormat/>
    <w:uiPriority w:val="0"/>
    <w:pPr>
      <w:spacing w:line="276" w:lineRule="auto"/>
    </w:pPr>
    <w:rPr>
      <w:rFonts w:ascii="Arial" w:hAnsi="Arial"/>
      <w:color w:val="000000"/>
      <w:sz w:val="18"/>
      <w:szCs w:val="21"/>
    </w:rPr>
  </w:style>
  <w:style w:type="paragraph" w:customStyle="1" w:styleId="977">
    <w:name w:val="正文首行缩进2字符"/>
    <w:basedOn w:val="1"/>
    <w:qFormat/>
    <w:locked/>
    <w:uiPriority w:val="0"/>
    <w:pPr>
      <w:spacing w:line="360" w:lineRule="auto"/>
      <w:ind w:firstLine="200" w:firstLineChars="200"/>
    </w:pPr>
    <w:rPr>
      <w:rFonts w:eastAsia="仿宋"/>
      <w:sz w:val="28"/>
      <w:szCs w:val="20"/>
    </w:rPr>
  </w:style>
  <w:style w:type="paragraph" w:customStyle="1" w:styleId="978">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40974</Words>
  <Characters>43773</Characters>
  <Lines>364</Lines>
  <Paragraphs>102</Paragraphs>
  <TotalTime>56</TotalTime>
  <ScaleCrop>false</ScaleCrop>
  <LinksUpToDate>false</LinksUpToDate>
  <CharactersWithSpaces>48069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2026-04-28T07:29:00Z</dcterms:created>
  <dc:creator>94044</dc:creator>
  <cp:lastModifiedBy>fr</cp:lastModifiedBy>
  <dcterms:modified xsi:type="dcterms:W3CDTF">2026-04-30T12:26:25Z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C53793B9B5F64094B8CB5D181A88D013_13</vt:lpwstr>
  </property>
  <property fmtid="{D5CDD505-2E9C-101B-9397-08002B2CF9AE}" pid="5" name="KSOTemplateDocerSaveRecord">
    <vt:lpwstr>eyJoZGlkIjoiYjRkYTI5NTUzODFjYjRkODBiZDAyMDY2ZDE2ZThmYTAiLCJ1c2VySWQiOiI0NDI0NjEyMzkifQ==</vt:lpwstr>
  </property>
</Properties>
</file>