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F4348">
      <w:pPr>
        <w:pStyle w:val="11"/>
        <w:spacing w:line="720" w:lineRule="auto"/>
        <w:ind w:left="0" w:leftChars="0" w:firstLine="0" w:firstLineChars="0"/>
        <w:jc w:val="center"/>
        <w:rPr>
          <w:rFonts w:hint="default" w:ascii="黑体" w:hAnsi="宋体" w:eastAsia="黑体" w:cs="Times New Roman"/>
          <w:kern w:val="2"/>
          <w:sz w:val="52"/>
          <w:szCs w:val="52"/>
          <w:lang w:val="en-US" w:eastAsia="zh-CN" w:bidi="ar-SA"/>
        </w:rPr>
      </w:pPr>
      <w:r>
        <w:rPr>
          <w:rFonts w:hint="eastAsia" w:ascii="黑体" w:hAnsi="宋体" w:eastAsia="黑体" w:cs="Times New Roman"/>
          <w:kern w:val="2"/>
          <w:sz w:val="52"/>
          <w:szCs w:val="52"/>
          <w:lang w:val="en-US" w:eastAsia="zh-CN" w:bidi="ar-SA"/>
        </w:rPr>
        <w:t>阿克苏市2026年基层农技推广体系改革与建设项目---村级农技推广服务特聘计划项目</w:t>
      </w:r>
    </w:p>
    <w:p w14:paraId="1EE2369A">
      <w:pPr>
        <w:pStyle w:val="11"/>
        <w:spacing w:line="720" w:lineRule="auto"/>
        <w:ind w:left="0" w:leftChars="0" w:firstLine="0" w:firstLineChars="0"/>
        <w:jc w:val="center"/>
        <w:rPr>
          <w:rFonts w:hint="default" w:ascii="黑体" w:hAnsi="宋体" w:eastAsia="黑体" w:cs="Times New Roman"/>
          <w:kern w:val="2"/>
          <w:sz w:val="32"/>
          <w:szCs w:val="32"/>
          <w:lang w:val="en-US" w:eastAsia="zh-CN" w:bidi="ar-SA"/>
        </w:rPr>
      </w:pPr>
      <w:r>
        <w:rPr>
          <w:rFonts w:hint="eastAsia" w:ascii="黑体" w:hAnsi="宋体" w:eastAsia="黑体" w:cs="Times New Roman"/>
          <w:kern w:val="2"/>
          <w:sz w:val="32"/>
          <w:szCs w:val="32"/>
          <w:lang w:val="en-US" w:eastAsia="zh-CN" w:bidi="ar-SA"/>
        </w:rPr>
        <w:t>项目编号：2026-C-30</w:t>
      </w:r>
    </w:p>
    <w:p w14:paraId="6F9B7B47">
      <w:pPr>
        <w:pStyle w:val="11"/>
        <w:spacing w:line="720" w:lineRule="auto"/>
        <w:ind w:left="0" w:leftChars="0" w:firstLine="0" w:firstLineChars="0"/>
        <w:jc w:val="both"/>
        <w:rPr>
          <w:rFonts w:hint="eastAsia" w:ascii="仿宋" w:hAnsi="仿宋" w:eastAsia="仿宋" w:cs="仿宋"/>
          <w:b/>
          <w:bCs/>
          <w:color w:val="auto"/>
          <w:sz w:val="52"/>
          <w:szCs w:val="52"/>
          <w:lang w:val="en-US" w:eastAsia="zh-CN"/>
        </w:rPr>
      </w:pPr>
    </w:p>
    <w:p w14:paraId="20AF7607">
      <w:pPr>
        <w:ind w:left="0" w:leftChars="0" w:firstLine="0" w:firstLineChars="0"/>
        <w:jc w:val="center"/>
        <w:rPr>
          <w:rFonts w:hint="eastAsia" w:ascii="仿宋" w:hAnsi="仿宋" w:eastAsia="仿宋" w:cs="仿宋"/>
          <w:b/>
          <w:bCs/>
          <w:color w:val="auto"/>
          <w:sz w:val="60"/>
          <w:szCs w:val="60"/>
        </w:rPr>
      </w:pPr>
    </w:p>
    <w:p w14:paraId="0D80787F">
      <w:pPr>
        <w:autoSpaceDE/>
        <w:autoSpaceDN/>
        <w:snapToGrid/>
        <w:jc w:val="center"/>
        <w:outlineLvl w:val="0"/>
        <w:rPr>
          <w:rFonts w:hint="eastAsia" w:ascii="黑体" w:hAnsi="宋体" w:eastAsia="黑体" w:cs="Times New Roman"/>
          <w:sz w:val="72"/>
          <w:szCs w:val="72"/>
        </w:rPr>
      </w:pPr>
      <w:r>
        <w:rPr>
          <w:rFonts w:hint="eastAsia" w:ascii="黑体" w:hAnsi="宋体" w:eastAsia="黑体" w:cs="Times New Roman"/>
          <w:sz w:val="72"/>
          <w:szCs w:val="72"/>
        </w:rPr>
        <w:t>竞争性</w:t>
      </w:r>
      <w:r>
        <w:rPr>
          <w:rFonts w:hint="eastAsia" w:ascii="黑体" w:hAnsi="宋体" w:eastAsia="黑体" w:cs="Times New Roman"/>
          <w:sz w:val="72"/>
          <w:szCs w:val="72"/>
          <w:lang w:eastAsia="zh-CN"/>
        </w:rPr>
        <w:t>磋商</w:t>
      </w:r>
      <w:r>
        <w:rPr>
          <w:rFonts w:hint="eastAsia" w:ascii="黑体" w:hAnsi="宋体" w:eastAsia="黑体" w:cs="Times New Roman"/>
          <w:sz w:val="72"/>
          <w:szCs w:val="72"/>
        </w:rPr>
        <w:t>文件</w:t>
      </w:r>
    </w:p>
    <w:p w14:paraId="4CBB3A36">
      <w:pPr>
        <w:jc w:val="center"/>
        <w:rPr>
          <w:rFonts w:hint="eastAsia" w:ascii="仿宋" w:hAnsi="仿宋" w:eastAsia="仿宋" w:cs="仿宋"/>
          <w:bCs/>
          <w:color w:val="auto"/>
          <w:sz w:val="24"/>
          <w:szCs w:val="24"/>
        </w:rPr>
      </w:pPr>
    </w:p>
    <w:p w14:paraId="3F885922">
      <w:pPr>
        <w:jc w:val="center"/>
        <w:rPr>
          <w:rFonts w:hint="eastAsia" w:ascii="仿宋" w:hAnsi="仿宋" w:eastAsia="仿宋" w:cs="仿宋"/>
          <w:bCs/>
          <w:color w:val="auto"/>
          <w:sz w:val="24"/>
          <w:szCs w:val="24"/>
        </w:rPr>
      </w:pPr>
    </w:p>
    <w:p w14:paraId="504235A8">
      <w:pPr>
        <w:jc w:val="center"/>
        <w:rPr>
          <w:rFonts w:hint="eastAsia" w:ascii="仿宋" w:hAnsi="仿宋" w:eastAsia="仿宋" w:cs="仿宋"/>
          <w:bCs/>
          <w:color w:val="auto"/>
          <w:sz w:val="24"/>
          <w:szCs w:val="24"/>
        </w:rPr>
      </w:pPr>
    </w:p>
    <w:p w14:paraId="3D6E1FD9">
      <w:pPr>
        <w:pStyle w:val="16"/>
        <w:widowControl w:val="0"/>
        <w:numPr>
          <w:ilvl w:val="0"/>
          <w:numId w:val="0"/>
        </w:numPr>
        <w:jc w:val="both"/>
        <w:rPr>
          <w:rFonts w:hint="eastAsia" w:ascii="仿宋" w:hAnsi="仿宋" w:eastAsia="仿宋" w:cs="仿宋"/>
          <w:color w:val="auto"/>
        </w:rPr>
      </w:pPr>
    </w:p>
    <w:p w14:paraId="6C8D4FEE">
      <w:pPr>
        <w:pStyle w:val="16"/>
        <w:widowControl w:val="0"/>
        <w:numPr>
          <w:ilvl w:val="0"/>
          <w:numId w:val="0"/>
        </w:numPr>
        <w:jc w:val="both"/>
        <w:rPr>
          <w:rFonts w:hint="eastAsia" w:ascii="仿宋" w:hAnsi="仿宋" w:eastAsia="仿宋" w:cs="仿宋"/>
          <w:color w:val="auto"/>
        </w:rPr>
      </w:pPr>
    </w:p>
    <w:p w14:paraId="3A0967DA">
      <w:pPr>
        <w:pStyle w:val="16"/>
        <w:widowControl w:val="0"/>
        <w:numPr>
          <w:ilvl w:val="0"/>
          <w:numId w:val="0"/>
        </w:numPr>
        <w:jc w:val="both"/>
        <w:rPr>
          <w:rFonts w:hint="eastAsia" w:ascii="仿宋" w:hAnsi="仿宋" w:eastAsia="仿宋" w:cs="仿宋"/>
          <w:color w:val="auto"/>
        </w:rPr>
      </w:pPr>
    </w:p>
    <w:p w14:paraId="1372B73D">
      <w:pPr>
        <w:pStyle w:val="16"/>
        <w:widowControl w:val="0"/>
        <w:numPr>
          <w:ilvl w:val="0"/>
          <w:numId w:val="0"/>
        </w:numPr>
        <w:jc w:val="both"/>
        <w:rPr>
          <w:rFonts w:hint="eastAsia" w:ascii="仿宋" w:hAnsi="仿宋" w:eastAsia="仿宋" w:cs="仿宋"/>
          <w:color w:val="auto"/>
        </w:rPr>
      </w:pPr>
    </w:p>
    <w:p w14:paraId="17957463">
      <w:pPr>
        <w:pStyle w:val="16"/>
        <w:widowControl w:val="0"/>
        <w:numPr>
          <w:ilvl w:val="0"/>
          <w:numId w:val="0"/>
        </w:numPr>
        <w:jc w:val="both"/>
        <w:rPr>
          <w:rFonts w:hint="eastAsia" w:ascii="仿宋" w:hAnsi="仿宋" w:eastAsia="仿宋" w:cs="仿宋"/>
          <w:color w:val="auto"/>
        </w:rPr>
      </w:pPr>
    </w:p>
    <w:p w14:paraId="70EA13C5">
      <w:pPr>
        <w:pStyle w:val="16"/>
        <w:widowControl w:val="0"/>
        <w:numPr>
          <w:ilvl w:val="0"/>
          <w:numId w:val="0"/>
        </w:numPr>
        <w:jc w:val="both"/>
        <w:rPr>
          <w:rFonts w:hint="eastAsia" w:ascii="仿宋" w:hAnsi="仿宋" w:eastAsia="仿宋" w:cs="仿宋"/>
          <w:color w:val="auto"/>
        </w:rPr>
      </w:pPr>
    </w:p>
    <w:p w14:paraId="0C6D71E9">
      <w:pPr>
        <w:pStyle w:val="16"/>
        <w:widowControl w:val="0"/>
        <w:numPr>
          <w:ilvl w:val="0"/>
          <w:numId w:val="0"/>
        </w:numPr>
        <w:jc w:val="both"/>
        <w:rPr>
          <w:rFonts w:hint="eastAsia" w:ascii="仿宋" w:hAnsi="仿宋" w:eastAsia="仿宋" w:cs="仿宋"/>
          <w:color w:val="auto"/>
        </w:rPr>
      </w:pPr>
    </w:p>
    <w:p w14:paraId="3CAFF47E">
      <w:pPr>
        <w:pStyle w:val="16"/>
        <w:widowControl w:val="0"/>
        <w:numPr>
          <w:ilvl w:val="0"/>
          <w:numId w:val="0"/>
        </w:numPr>
        <w:jc w:val="both"/>
        <w:rPr>
          <w:rFonts w:hint="eastAsia" w:ascii="仿宋" w:hAnsi="仿宋" w:eastAsia="仿宋" w:cs="仿宋"/>
          <w:color w:val="auto"/>
        </w:rPr>
      </w:pPr>
    </w:p>
    <w:p w14:paraId="2409D423">
      <w:pPr>
        <w:pStyle w:val="16"/>
        <w:widowControl w:val="0"/>
        <w:numPr>
          <w:ilvl w:val="0"/>
          <w:numId w:val="0"/>
        </w:numPr>
        <w:jc w:val="both"/>
        <w:rPr>
          <w:rFonts w:hint="eastAsia" w:ascii="仿宋" w:hAnsi="仿宋" w:eastAsia="仿宋" w:cs="仿宋"/>
          <w:color w:val="auto"/>
        </w:rPr>
      </w:pPr>
    </w:p>
    <w:p w14:paraId="64A494DD">
      <w:pPr>
        <w:pStyle w:val="16"/>
        <w:widowControl w:val="0"/>
        <w:numPr>
          <w:ilvl w:val="0"/>
          <w:numId w:val="0"/>
        </w:numPr>
        <w:jc w:val="both"/>
        <w:rPr>
          <w:rFonts w:hint="eastAsia" w:ascii="仿宋" w:hAnsi="仿宋" w:eastAsia="仿宋" w:cs="仿宋"/>
          <w:color w:val="auto"/>
        </w:rPr>
      </w:pPr>
    </w:p>
    <w:p w14:paraId="1AB8AC27">
      <w:pPr>
        <w:pStyle w:val="16"/>
        <w:widowControl w:val="0"/>
        <w:numPr>
          <w:ilvl w:val="0"/>
          <w:numId w:val="0"/>
        </w:numPr>
        <w:jc w:val="left"/>
        <w:rPr>
          <w:rFonts w:hint="eastAsia" w:ascii="仿宋" w:hAnsi="仿宋" w:eastAsia="仿宋" w:cs="仿宋"/>
          <w:kern w:val="2"/>
          <w:sz w:val="30"/>
          <w:szCs w:val="30"/>
          <w:lang w:val="en-US" w:eastAsia="zh-CN" w:bidi="ar-SA"/>
        </w:rPr>
      </w:pPr>
    </w:p>
    <w:p w14:paraId="413F58EE">
      <w:pPr>
        <w:autoSpaceDE/>
        <w:autoSpaceDN/>
        <w:snapToGrid/>
        <w:spacing w:line="300" w:lineRule="auto"/>
        <w:jc w:val="both"/>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采购人：阿克苏市农业技术推广中心</w:t>
      </w:r>
    </w:p>
    <w:p w14:paraId="1FE05C30">
      <w:pPr>
        <w:autoSpaceDE/>
        <w:autoSpaceDN/>
        <w:snapToGrid/>
        <w:spacing w:line="300" w:lineRule="auto"/>
        <w:jc w:val="both"/>
        <w:rPr>
          <w:rFonts w:hint="default"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采购代理机构：新疆锦皓项目管理有限公司</w:t>
      </w:r>
    </w:p>
    <w:p w14:paraId="71740418">
      <w:pPr>
        <w:autoSpaceDE/>
        <w:autoSpaceDN/>
        <w:snapToGrid/>
        <w:spacing w:line="300" w:lineRule="auto"/>
        <w:jc w:val="both"/>
        <w:rPr>
          <w:rFonts w:hint="eastAsia" w:ascii="黑体" w:hAnsi="宋体" w:eastAsia="黑体" w:cs="Times New Roman"/>
          <w:color w:val="auto"/>
          <w:sz w:val="30"/>
          <w:szCs w:val="30"/>
          <w:lang w:val="en-US" w:eastAsia="zh-CN"/>
        </w:rPr>
      </w:pPr>
    </w:p>
    <w:p w14:paraId="0150272A">
      <w:pPr>
        <w:autoSpaceDE/>
        <w:autoSpaceDN/>
        <w:snapToGrid/>
        <w:spacing w:line="300" w:lineRule="auto"/>
        <w:jc w:val="center"/>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二〇二六年五月</w:t>
      </w:r>
    </w:p>
    <w:p w14:paraId="3D7511A2">
      <w:pPr>
        <w:autoSpaceDE/>
        <w:autoSpaceDN/>
        <w:snapToGrid/>
        <w:spacing w:beforeLines="100"/>
        <w:jc w:val="center"/>
        <w:outlineLvl w:val="0"/>
        <w:rPr>
          <w:rFonts w:hint="eastAsia" w:ascii="黑体" w:hAnsi="黑体" w:eastAsia="黑体" w:cs="黑体"/>
          <w:sz w:val="36"/>
          <w:szCs w:val="36"/>
          <w:lang w:eastAsia="zh-CN"/>
        </w:rPr>
        <w:sectPr>
          <w:headerReference r:id="rId3" w:type="default"/>
          <w:footerReference r:id="rId4" w:type="default"/>
          <w:pgSz w:w="11906" w:h="16838"/>
          <w:pgMar w:top="1440" w:right="1803" w:bottom="1440" w:left="1803" w:header="850" w:footer="992" w:gutter="0"/>
          <w:pgNumType w:fmt="decimal" w:start="1"/>
          <w:cols w:space="720" w:num="1"/>
          <w:rtlGutter w:val="0"/>
          <w:docGrid w:type="lines" w:linePitch="312" w:charSpace="0"/>
        </w:sectPr>
      </w:pPr>
    </w:p>
    <w:p w14:paraId="010C41B3">
      <w:pPr>
        <w:autoSpaceDE/>
        <w:autoSpaceDN/>
        <w:snapToGrid/>
        <w:spacing w:beforeLines="100"/>
        <w:jc w:val="center"/>
        <w:outlineLvl w:val="0"/>
        <w:rPr>
          <w:rFonts w:hint="eastAsia" w:ascii="黑体" w:hAnsi="黑体" w:eastAsia="黑体" w:cs="黑体"/>
          <w:sz w:val="36"/>
          <w:szCs w:val="36"/>
          <w:lang w:eastAsia="zh-CN"/>
        </w:rPr>
        <w:sectPr>
          <w:footerReference r:id="rId5" w:type="default"/>
          <w:pgSz w:w="11906" w:h="16838"/>
          <w:pgMar w:top="1440" w:right="1803" w:bottom="1440" w:left="1803" w:header="850" w:footer="992" w:gutter="0"/>
          <w:pgNumType w:fmt="decimal" w:start="1"/>
          <w:cols w:space="720" w:num="1"/>
          <w:rtlGutter w:val="0"/>
          <w:docGrid w:type="lines" w:linePitch="312" w:charSpace="0"/>
        </w:sectPr>
      </w:pPr>
    </w:p>
    <w:p w14:paraId="0202C0ED">
      <w:pPr>
        <w:autoSpaceDE/>
        <w:autoSpaceDN/>
        <w:snapToGrid/>
        <w:spacing w:beforeLines="100"/>
        <w:jc w:val="center"/>
        <w:outlineLvl w:val="0"/>
        <w:rPr>
          <w:rFonts w:hint="eastAsia" w:ascii="黑体" w:hAnsi="黑体" w:eastAsia="黑体" w:cs="黑体"/>
          <w:sz w:val="36"/>
          <w:szCs w:val="36"/>
          <w:lang w:eastAsia="zh-CN"/>
        </w:rPr>
      </w:pPr>
      <w:r>
        <w:rPr>
          <w:rFonts w:hint="eastAsia" w:ascii="黑体" w:hAnsi="黑体" w:eastAsia="黑体" w:cs="黑体"/>
          <w:sz w:val="36"/>
          <w:szCs w:val="36"/>
          <w:lang w:eastAsia="zh-CN"/>
        </w:rPr>
        <w:t>竞争性磋商文件</w:t>
      </w:r>
    </w:p>
    <w:p w14:paraId="5182BE29">
      <w:pPr>
        <w:spacing w:beforeLines="100"/>
        <w:jc w:val="center"/>
        <w:outlineLvl w:val="0"/>
        <w:rPr>
          <w:rFonts w:hint="eastAsia" w:ascii="仿宋" w:hAnsi="仿宋" w:eastAsia="仿宋" w:cs="仿宋"/>
          <w:sz w:val="36"/>
          <w:szCs w:val="36"/>
          <w:lang w:eastAsia="zh-CN"/>
        </w:rPr>
      </w:pPr>
    </w:p>
    <w:p w14:paraId="0E00FDFA">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项目名称：阿克苏市2026年基层农技推广体系改革与建设项目---村级农技推广服务特聘计划项目</w:t>
      </w:r>
    </w:p>
    <w:p w14:paraId="23BC8C07">
      <w:pPr>
        <w:spacing w:line="480" w:lineRule="auto"/>
        <w:jc w:val="both"/>
        <w:rPr>
          <w:rFonts w:hint="eastAsia" w:ascii="仿宋" w:hAnsi="仿宋" w:eastAsia="仿宋" w:cs="仿宋"/>
          <w:color w:val="auto"/>
          <w:sz w:val="28"/>
          <w:szCs w:val="28"/>
          <w:lang w:val="en-US" w:eastAsia="zh-CN"/>
        </w:rPr>
      </w:pPr>
    </w:p>
    <w:p w14:paraId="6B5D7499">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采购人：阿克苏市农业技术推广中心</w:t>
      </w:r>
    </w:p>
    <w:p w14:paraId="7700BAB9">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法定代表人或其委托代理人（签字或盖章）： </w:t>
      </w:r>
    </w:p>
    <w:p w14:paraId="3152BAC1">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w:t>
      </w:r>
      <w:r>
        <w:rPr>
          <w:rFonts w:hint="eastAsia" w:ascii="仿宋" w:hAnsi="仿宋" w:eastAsia="仿宋" w:cs="仿宋"/>
          <w:color w:val="auto"/>
          <w:sz w:val="28"/>
          <w:szCs w:val="28"/>
          <w:lang w:val="zh-CN" w:eastAsia="zh-CN"/>
        </w:rPr>
        <w:t>朱志鹏</w:t>
      </w:r>
      <w:r>
        <w:rPr>
          <w:rFonts w:hint="eastAsia" w:ascii="仿宋" w:hAnsi="仿宋" w:eastAsia="仿宋" w:cs="仿宋"/>
          <w:color w:val="auto"/>
          <w:sz w:val="28"/>
          <w:szCs w:val="28"/>
          <w:lang w:val="en-US" w:eastAsia="zh-CN"/>
        </w:rPr>
        <w:t xml:space="preserve">  </w:t>
      </w:r>
    </w:p>
    <w:p w14:paraId="73C51D9D">
      <w:pPr>
        <w:spacing w:line="48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w:t>
      </w:r>
      <w:r>
        <w:rPr>
          <w:rFonts w:hint="eastAsia" w:ascii="仿宋" w:hAnsi="仿宋" w:eastAsia="仿宋" w:cs="Times New Roman"/>
          <w:color w:val="auto"/>
          <w:sz w:val="24"/>
          <w:szCs w:val="24"/>
          <w:highlight w:val="none"/>
          <w:lang w:val="zh-CN" w:eastAsia="zh-CN"/>
        </w:rPr>
        <w:t>19390726151</w:t>
      </w:r>
    </w:p>
    <w:p w14:paraId="5B35F765">
      <w:pPr>
        <w:spacing w:before="240" w:beforeLines="100" w:after="240" w:afterLines="100" w:line="360" w:lineRule="auto"/>
        <w:rPr>
          <w:rFonts w:hint="eastAsia" w:ascii="仿宋" w:hAnsi="仿宋" w:eastAsia="仿宋" w:cs="仿宋"/>
          <w:b w:val="0"/>
          <w:bCs w:val="0"/>
          <w:color w:val="auto"/>
          <w:sz w:val="32"/>
          <w:szCs w:val="32"/>
          <w:lang w:val="en-US" w:eastAsia="zh-CN"/>
        </w:rPr>
      </w:pPr>
    </w:p>
    <w:p w14:paraId="04357D66">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采购代理机构：新疆锦皓项目管理有限公司</w:t>
      </w:r>
    </w:p>
    <w:p w14:paraId="0A550343">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法定代表人或其委托代理人（签章）：</w:t>
      </w:r>
    </w:p>
    <w:p w14:paraId="0B38AF27">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联系人：李群</w:t>
      </w:r>
    </w:p>
    <w:p w14:paraId="482601C8">
      <w:pPr>
        <w:spacing w:line="48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联系电话：19326587256</w:t>
      </w:r>
    </w:p>
    <w:p w14:paraId="4975204B">
      <w:pPr>
        <w:spacing w:line="48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联系地址：阿克苏市丝路古镇19栋003室</w:t>
      </w:r>
    </w:p>
    <w:p w14:paraId="0CA774F4">
      <w:pPr>
        <w:spacing w:line="480" w:lineRule="auto"/>
        <w:jc w:val="both"/>
        <w:rPr>
          <w:rFonts w:hint="eastAsia" w:ascii="仿宋" w:hAnsi="仿宋" w:eastAsia="仿宋" w:cs="仿宋"/>
          <w:color w:val="auto"/>
          <w:sz w:val="28"/>
          <w:szCs w:val="28"/>
          <w:lang w:val="en-US" w:eastAsia="zh-CN"/>
        </w:rPr>
      </w:pPr>
    </w:p>
    <w:p w14:paraId="5019B0E2">
      <w:pPr>
        <w:spacing w:line="480" w:lineRule="auto"/>
        <w:ind w:firstLine="840" w:firstLineChars="300"/>
        <w:jc w:val="both"/>
        <w:rPr>
          <w:rFonts w:hint="eastAsia" w:ascii="仿宋" w:hAnsi="仿宋" w:eastAsia="仿宋" w:cs="仿宋"/>
          <w:color w:val="auto"/>
          <w:sz w:val="28"/>
          <w:szCs w:val="28"/>
          <w:lang w:val="en-US" w:eastAsia="zh-CN"/>
        </w:rPr>
      </w:pPr>
    </w:p>
    <w:p w14:paraId="21DDF25A">
      <w:pPr>
        <w:spacing w:line="480" w:lineRule="auto"/>
        <w:jc w:val="both"/>
        <w:rPr>
          <w:rFonts w:hint="eastAsia" w:ascii="仿宋" w:hAnsi="仿宋" w:eastAsia="仿宋" w:cs="仿宋"/>
          <w:color w:val="auto"/>
          <w:sz w:val="28"/>
          <w:szCs w:val="28"/>
          <w:lang w:val="en-US" w:eastAsia="zh-CN"/>
        </w:rPr>
      </w:pPr>
    </w:p>
    <w:p w14:paraId="4A28D4D3">
      <w:pPr>
        <w:spacing w:line="480" w:lineRule="auto"/>
        <w:ind w:firstLine="840" w:firstLineChars="300"/>
        <w:jc w:val="both"/>
        <w:rPr>
          <w:rFonts w:hint="eastAsia" w:ascii="仿宋" w:hAnsi="仿宋" w:eastAsia="仿宋" w:cs="仿宋"/>
          <w:color w:val="auto"/>
          <w:sz w:val="28"/>
          <w:szCs w:val="28"/>
          <w:lang w:val="en-US" w:eastAsia="zh-CN"/>
        </w:rPr>
      </w:pPr>
    </w:p>
    <w:p w14:paraId="4ECED8C8">
      <w:pPr>
        <w:spacing w:before="0" w:beforeLines="0" w:after="0" w:afterLines="0" w:line="240" w:lineRule="auto"/>
        <w:ind w:left="0" w:leftChars="0" w:right="0" w:rightChars="0" w:firstLine="0" w:firstLineChars="0"/>
        <w:jc w:val="center"/>
        <w:rPr>
          <w:rFonts w:hint="eastAsia" w:ascii="仿宋" w:hAnsi="仿宋" w:eastAsia="仿宋" w:cs="仿宋"/>
          <w:color w:val="auto"/>
          <w:kern w:val="2"/>
          <w:sz w:val="21"/>
          <w:szCs w:val="22"/>
          <w:lang w:val="en-US" w:eastAsia="zh-CN" w:bidi="ar-SA"/>
        </w:rPr>
        <w:sectPr>
          <w:pgSz w:w="11906" w:h="16838"/>
          <w:pgMar w:top="1440" w:right="1803" w:bottom="1440" w:left="1803" w:header="850" w:footer="992" w:gutter="0"/>
          <w:pgNumType w:fmt="decimal" w:start="1"/>
          <w:cols w:space="720" w:num="1"/>
          <w:rtlGutter w:val="0"/>
          <w:docGrid w:type="lines" w:linePitch="312" w:charSpace="0"/>
        </w:sectPr>
      </w:pPr>
    </w:p>
    <w:p w14:paraId="1CCB6B94">
      <w:pPr>
        <w:spacing w:before="0" w:beforeLines="0" w:after="0" w:afterLines="0" w:line="240" w:lineRule="auto"/>
        <w:ind w:left="0" w:leftChars="0" w:right="0" w:rightChars="0" w:firstLine="0" w:firstLineChars="0"/>
        <w:jc w:val="center"/>
        <w:rPr>
          <w:rFonts w:hint="eastAsia" w:ascii="仿宋" w:hAnsi="仿宋" w:eastAsia="仿宋" w:cs="仿宋"/>
          <w:color w:val="auto"/>
          <w:kern w:val="2"/>
          <w:sz w:val="21"/>
          <w:szCs w:val="22"/>
          <w:lang w:val="en-US" w:eastAsia="zh-CN" w:bidi="ar-SA"/>
        </w:rPr>
      </w:pPr>
    </w:p>
    <w:sdt>
      <w:sdtPr>
        <w:rPr>
          <w:rFonts w:hint="eastAsia" w:ascii="仿宋" w:hAnsi="仿宋" w:eastAsia="仿宋" w:cs="仿宋"/>
          <w:color w:val="auto"/>
          <w:kern w:val="2"/>
          <w:sz w:val="21"/>
          <w:szCs w:val="22"/>
          <w:lang w:val="en-US" w:eastAsia="zh-CN" w:bidi="ar-SA"/>
        </w:rPr>
        <w:id w:val="147481600"/>
        <w15:color w:val="DBDBDB"/>
        <w:docPartObj>
          <w:docPartGallery w:val="Table of Contents"/>
          <w:docPartUnique/>
        </w:docPartObj>
      </w:sdtPr>
      <w:sdtEndPr>
        <w:rPr>
          <w:rFonts w:hint="eastAsia" w:ascii="仿宋" w:hAnsi="仿宋" w:eastAsia="仿宋" w:cs="仿宋"/>
          <w:color w:val="auto"/>
          <w:kern w:val="2"/>
          <w:sz w:val="18"/>
          <w:szCs w:val="22"/>
          <w:lang w:val="en-US" w:eastAsia="zh-CN" w:bidi="ar-SA"/>
        </w:rPr>
      </w:sdtEndPr>
      <w:sdtContent>
        <w:p w14:paraId="445426E1">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52"/>
            </w:rPr>
          </w:pPr>
          <w:r>
            <w:rPr>
              <w:rFonts w:hint="eastAsia" w:ascii="仿宋" w:hAnsi="仿宋" w:eastAsia="仿宋" w:cs="仿宋"/>
              <w:b/>
              <w:bCs/>
              <w:color w:val="auto"/>
              <w:sz w:val="48"/>
              <w:szCs w:val="52"/>
            </w:rPr>
            <w:t>目</w:t>
          </w:r>
          <w:r>
            <w:rPr>
              <w:rFonts w:hint="eastAsia" w:ascii="仿宋" w:hAnsi="仿宋" w:eastAsia="仿宋" w:cs="仿宋"/>
              <w:b/>
              <w:bCs/>
              <w:color w:val="auto"/>
              <w:sz w:val="48"/>
              <w:szCs w:val="52"/>
              <w:lang w:val="en-US" w:eastAsia="zh-CN"/>
            </w:rPr>
            <w:t xml:space="preserve">   </w:t>
          </w:r>
          <w:r>
            <w:rPr>
              <w:rFonts w:hint="eastAsia" w:ascii="仿宋" w:hAnsi="仿宋" w:eastAsia="仿宋" w:cs="仿宋"/>
              <w:b/>
              <w:bCs/>
              <w:color w:val="auto"/>
              <w:sz w:val="48"/>
              <w:szCs w:val="52"/>
            </w:rPr>
            <w:t>录</w:t>
          </w:r>
        </w:p>
        <w:p w14:paraId="07DB605A">
          <w:pPr>
            <w:pStyle w:val="29"/>
            <w:rPr>
              <w:rFonts w:hint="eastAsia" w:ascii="仿宋" w:hAnsi="仿宋" w:eastAsia="仿宋" w:cs="仿宋"/>
              <w:color w:val="auto"/>
            </w:rPr>
          </w:pPr>
        </w:p>
        <w:p w14:paraId="5CDEF0B5">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_Toc30460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lang w:eastAsia="zh-CN"/>
            </w:rPr>
            <w:t>第一章</w:t>
          </w:r>
          <w:r>
            <w:rPr>
              <w:rFonts w:hint="eastAsia" w:ascii="仿宋" w:hAnsi="仿宋" w:eastAsia="仿宋" w:cs="仿宋"/>
              <w:b w:val="0"/>
              <w:bCs w:val="0"/>
              <w:sz w:val="30"/>
              <w:szCs w:val="30"/>
              <w:lang w:val="en-US" w:eastAsia="zh-CN"/>
            </w:rPr>
            <w:t xml:space="preserve">  采购公告</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1</w:t>
          </w:r>
          <w:r>
            <w:rPr>
              <w:rFonts w:hint="eastAsia" w:ascii="仿宋" w:hAnsi="仿宋" w:eastAsia="仿宋" w:cs="仿宋"/>
              <w:b w:val="0"/>
              <w:bCs w:val="0"/>
              <w:color w:val="auto"/>
              <w:sz w:val="30"/>
              <w:szCs w:val="30"/>
            </w:rPr>
            <w:fldChar w:fldCharType="end"/>
          </w:r>
        </w:p>
        <w:p w14:paraId="3DE5315B">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rPr>
          </w:pP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_Toc29121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lang w:eastAsia="zh-CN"/>
            </w:rPr>
            <w:t>第二章</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供应商须知</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6</w:t>
          </w:r>
          <w:r>
            <w:rPr>
              <w:rFonts w:hint="eastAsia" w:ascii="仿宋" w:hAnsi="仿宋" w:eastAsia="仿宋" w:cs="仿宋"/>
              <w:b w:val="0"/>
              <w:bCs w:val="0"/>
              <w:color w:val="auto"/>
              <w:sz w:val="30"/>
              <w:szCs w:val="30"/>
            </w:rPr>
            <w:fldChar w:fldCharType="end"/>
          </w:r>
        </w:p>
        <w:p w14:paraId="7183E5A0">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_Toc18821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lang w:val="en-US" w:eastAsia="zh-CN"/>
            </w:rPr>
            <w:t xml:space="preserve">第三章 </w:t>
          </w:r>
          <w:r>
            <w:rPr>
              <w:rFonts w:hint="eastAsia" w:ascii="仿宋" w:hAnsi="仿宋" w:eastAsia="仿宋" w:cs="仿宋"/>
              <w:b w:val="0"/>
              <w:bCs w:val="0"/>
              <w:sz w:val="30"/>
              <w:szCs w:val="30"/>
            </w:rPr>
            <w:t xml:space="preserve"> 采购需求</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3</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lang w:val="en-US" w:eastAsia="zh-CN"/>
            </w:rPr>
            <w:t>9</w:t>
          </w:r>
        </w:p>
        <w:p w14:paraId="5D51AF6E">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_Toc13718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rPr>
            <w:t>第</w:t>
          </w:r>
          <w:r>
            <w:rPr>
              <w:rFonts w:hint="eastAsia" w:ascii="仿宋" w:hAnsi="仿宋" w:eastAsia="仿宋" w:cs="仿宋"/>
              <w:b w:val="0"/>
              <w:bCs w:val="0"/>
              <w:sz w:val="30"/>
              <w:szCs w:val="30"/>
              <w:lang w:eastAsia="zh-CN"/>
            </w:rPr>
            <w:t>四</w:t>
          </w:r>
          <w:r>
            <w:rPr>
              <w:rFonts w:hint="eastAsia" w:ascii="仿宋" w:hAnsi="仿宋" w:eastAsia="仿宋" w:cs="仿宋"/>
              <w:b w:val="0"/>
              <w:bCs w:val="0"/>
              <w:sz w:val="30"/>
              <w:szCs w:val="30"/>
            </w:rPr>
            <w:t>章  评</w:t>
          </w:r>
          <w:r>
            <w:rPr>
              <w:rFonts w:hint="eastAsia" w:ascii="仿宋" w:hAnsi="仿宋" w:eastAsia="仿宋" w:cs="仿宋"/>
              <w:b w:val="0"/>
              <w:bCs w:val="0"/>
              <w:sz w:val="30"/>
              <w:szCs w:val="30"/>
              <w:lang w:eastAsia="zh-CN"/>
            </w:rPr>
            <w:t>审</w:t>
          </w:r>
          <w:r>
            <w:rPr>
              <w:rFonts w:hint="eastAsia" w:ascii="仿宋" w:hAnsi="仿宋" w:eastAsia="仿宋" w:cs="仿宋"/>
              <w:b w:val="0"/>
              <w:bCs w:val="0"/>
              <w:sz w:val="30"/>
              <w:szCs w:val="30"/>
            </w:rPr>
            <w:t>办法</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4</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lang w:val="en-US" w:eastAsia="zh-CN"/>
            </w:rPr>
            <w:t>3</w:t>
          </w:r>
        </w:p>
        <w:p w14:paraId="3D70259C">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_Toc26448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rPr>
            <w:t>第</w:t>
          </w:r>
          <w:r>
            <w:rPr>
              <w:rFonts w:hint="eastAsia" w:ascii="仿宋" w:hAnsi="仿宋" w:eastAsia="仿宋" w:cs="仿宋"/>
              <w:b w:val="0"/>
              <w:bCs w:val="0"/>
              <w:sz w:val="30"/>
              <w:szCs w:val="30"/>
              <w:lang w:eastAsia="zh-CN"/>
            </w:rPr>
            <w:t>五</w:t>
          </w:r>
          <w:r>
            <w:rPr>
              <w:rFonts w:hint="eastAsia" w:ascii="仿宋" w:hAnsi="仿宋" w:eastAsia="仿宋" w:cs="仿宋"/>
              <w:b w:val="0"/>
              <w:bCs w:val="0"/>
              <w:sz w:val="30"/>
              <w:szCs w:val="30"/>
            </w:rPr>
            <w:t>章  签订合同、合同主要条款</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5</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lang w:val="en-US" w:eastAsia="zh-CN"/>
            </w:rPr>
            <w:t>4</w:t>
          </w:r>
        </w:p>
        <w:p w14:paraId="65972ED5">
          <w:pPr>
            <w:pStyle w:val="20"/>
            <w:keepNext w:val="0"/>
            <w:keepLines w:val="0"/>
            <w:pageBreakBefore w:val="0"/>
            <w:widowControl w:val="0"/>
            <w:tabs>
              <w:tab w:val="right" w:leader="dot" w:pos="8300"/>
            </w:tabs>
            <w:kinsoku/>
            <w:wordWrap/>
            <w:overflowPunct/>
            <w:topLinePunct w:val="0"/>
            <w:autoSpaceDE/>
            <w:autoSpaceDN/>
            <w:bidi w:val="0"/>
            <w:adjustRightInd/>
            <w:snapToGrid/>
            <w:spacing w:line="60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sz w:val="30"/>
              <w:szCs w:val="30"/>
            </w:rPr>
            <w:instrText xml:space="preserve"> HYPERLINK \l _Toc23691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rPr>
            <w:t>第</w:t>
          </w:r>
          <w:r>
            <w:rPr>
              <w:rFonts w:hint="eastAsia" w:ascii="仿宋" w:hAnsi="仿宋" w:eastAsia="仿宋" w:cs="仿宋"/>
              <w:b w:val="0"/>
              <w:bCs w:val="0"/>
              <w:sz w:val="30"/>
              <w:szCs w:val="30"/>
              <w:lang w:eastAsia="zh-CN"/>
            </w:rPr>
            <w:t>六</w:t>
          </w:r>
          <w:r>
            <w:rPr>
              <w:rFonts w:hint="eastAsia" w:ascii="仿宋" w:hAnsi="仿宋" w:eastAsia="仿宋" w:cs="仿宋"/>
              <w:b w:val="0"/>
              <w:bCs w:val="0"/>
              <w:sz w:val="30"/>
              <w:szCs w:val="30"/>
            </w:rPr>
            <w:t>章  响应文件格式</w:t>
          </w:r>
          <w:r>
            <w:rPr>
              <w:rFonts w:hint="eastAsia" w:ascii="仿宋" w:hAnsi="仿宋" w:eastAsia="仿宋" w:cs="仿宋"/>
              <w:b w:val="0"/>
              <w:bCs w:val="0"/>
              <w:sz w:val="30"/>
              <w:szCs w:val="30"/>
            </w:rPr>
            <w:tab/>
          </w:r>
          <w:r>
            <w:rPr>
              <w:rFonts w:hint="eastAsia" w:ascii="仿宋" w:hAnsi="仿宋" w:eastAsia="仿宋" w:cs="仿宋"/>
              <w:b w:val="0"/>
              <w:bCs w:val="0"/>
              <w:sz w:val="30"/>
              <w:szCs w:val="30"/>
              <w:lang w:val="en-US" w:eastAsia="zh-CN"/>
            </w:rPr>
            <w:t>6</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lang w:val="en-US" w:eastAsia="zh-CN"/>
            </w:rPr>
            <w:t>4</w:t>
          </w:r>
        </w:p>
        <w:p w14:paraId="389D3F1B">
          <w:pPr>
            <w:pStyle w:val="20"/>
            <w:tabs>
              <w:tab w:val="right" w:leader="dot" w:pos="8300"/>
            </w:tabs>
            <w:rPr>
              <w:rFonts w:hint="eastAsia" w:ascii="仿宋" w:hAnsi="仿宋" w:eastAsia="仿宋" w:cs="仿宋"/>
            </w:rPr>
          </w:pPr>
        </w:p>
        <w:p w14:paraId="3C84EC1B">
          <w:pPr>
            <w:pStyle w:val="11"/>
            <w:keepNext w:val="0"/>
            <w:keepLines w:val="0"/>
            <w:pageBreakBefore w:val="0"/>
            <w:widowControl w:val="0"/>
            <w:kinsoku/>
            <w:wordWrap/>
            <w:overflowPunct/>
            <w:topLinePunct w:val="0"/>
            <w:bidi w:val="0"/>
            <w:snapToGrid/>
            <w:spacing w:line="700" w:lineRule="exact"/>
            <w:rPr>
              <w:rFonts w:hint="eastAsia" w:ascii="仿宋" w:hAnsi="仿宋" w:eastAsia="仿宋" w:cs="仿宋"/>
              <w:color w:val="auto"/>
            </w:rPr>
            <w:sectPr>
              <w:footerReference r:id="rId6" w:type="default"/>
              <w:pgSz w:w="11906" w:h="16838"/>
              <w:pgMar w:top="1440" w:right="1803" w:bottom="1440" w:left="1803" w:header="850" w:footer="992" w:gutter="0"/>
              <w:pgNumType w:fmt="decimal" w:start="1"/>
              <w:cols w:space="720" w:num="1"/>
              <w:rtlGutter w:val="0"/>
              <w:docGrid w:type="lines" w:linePitch="312" w:charSpace="0"/>
            </w:sectPr>
          </w:pPr>
          <w:r>
            <w:rPr>
              <w:rFonts w:hint="eastAsia" w:ascii="仿宋" w:hAnsi="仿宋" w:eastAsia="仿宋" w:cs="仿宋"/>
              <w:color w:val="auto"/>
              <w:szCs w:val="32"/>
            </w:rPr>
            <w:fldChar w:fldCharType="end"/>
          </w:r>
        </w:p>
      </w:sdtContent>
    </w:sdt>
    <w:p w14:paraId="7B26074E">
      <w:pPr>
        <w:pStyle w:val="2"/>
        <w:pageBreakBefore w:val="0"/>
        <w:numPr>
          <w:ilvl w:val="0"/>
          <w:numId w:val="3"/>
        </w:numPr>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仿宋" w:hAnsi="仿宋" w:eastAsia="仿宋" w:cs="仿宋"/>
          <w:b/>
          <w:bCs/>
          <w:color w:val="auto"/>
          <w:kern w:val="44"/>
          <w:sz w:val="36"/>
          <w:szCs w:val="36"/>
          <w:lang w:val="en-US" w:eastAsia="zh-CN" w:bidi="ar-SA"/>
        </w:rPr>
      </w:pPr>
      <w:bookmarkStart w:id="0" w:name="_Toc4646"/>
      <w:bookmarkStart w:id="1" w:name="_Toc22462"/>
      <w:bookmarkStart w:id="2" w:name="_Toc12530"/>
      <w:bookmarkStart w:id="3" w:name="_Toc8118"/>
      <w:bookmarkStart w:id="4" w:name="_Toc19199"/>
      <w:bookmarkStart w:id="5" w:name="_Toc9306"/>
      <w:r>
        <w:rPr>
          <w:rFonts w:hint="eastAsia" w:ascii="仿宋" w:hAnsi="仿宋" w:eastAsia="仿宋" w:cs="仿宋"/>
          <w:b/>
          <w:bCs/>
          <w:color w:val="auto"/>
          <w:kern w:val="44"/>
          <w:sz w:val="36"/>
          <w:szCs w:val="36"/>
          <w:lang w:val="en-US" w:eastAsia="zh-CN" w:bidi="ar-SA"/>
        </w:rPr>
        <w:t xml:space="preserve"> 竞争性磋商公告</w:t>
      </w:r>
      <w:bookmarkEnd w:id="0"/>
      <w:bookmarkEnd w:id="1"/>
      <w:bookmarkEnd w:id="2"/>
      <w:bookmarkEnd w:id="3"/>
      <w:bookmarkEnd w:id="4"/>
    </w:p>
    <w:p w14:paraId="7F8E558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项目概况</w:t>
      </w:r>
    </w:p>
    <w:p w14:paraId="36FEF70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阿克苏市2026年基层农技推广体系改革与建设项目---村级农技推广服务特聘计划项目</w:t>
      </w:r>
      <w:r>
        <w:rPr>
          <w:rFonts w:hint="eastAsia" w:ascii="仿宋" w:hAnsi="仿宋" w:eastAsia="仿宋" w:cs="仿宋"/>
          <w:color w:val="auto"/>
          <w:sz w:val="28"/>
          <w:szCs w:val="28"/>
        </w:rPr>
        <w:t>的潜在供应商应</w:t>
      </w:r>
      <w:r>
        <w:rPr>
          <w:rFonts w:hint="eastAsia" w:ascii="仿宋" w:hAnsi="仿宋" w:eastAsia="仿宋" w:cs="仿宋"/>
          <w:color w:val="auto"/>
          <w:sz w:val="28"/>
          <w:szCs w:val="28"/>
          <w:u w:val="none"/>
        </w:rPr>
        <w:t>在</w:t>
      </w:r>
      <w:r>
        <w:rPr>
          <w:rFonts w:hint="eastAsia" w:ascii="仿宋" w:hAnsi="仿宋" w:eastAsia="仿宋" w:cs="仿宋"/>
          <w:color w:val="auto"/>
          <w:sz w:val="28"/>
          <w:szCs w:val="28"/>
          <w:u w:val="none"/>
          <w:lang w:val="en-US" w:eastAsia="zh-CN"/>
        </w:rPr>
        <w:t>新疆政府采购网政采云平台</w:t>
      </w:r>
      <w:r>
        <w:rPr>
          <w:rFonts w:hint="eastAsia" w:ascii="仿宋" w:hAnsi="仿宋" w:eastAsia="仿宋" w:cs="仿宋"/>
          <w:color w:val="auto"/>
          <w:sz w:val="28"/>
          <w:szCs w:val="28"/>
          <w:u w:val="none"/>
        </w:rPr>
        <w:t>获取采购文件，</w:t>
      </w:r>
      <w:r>
        <w:rPr>
          <w:rFonts w:hint="eastAsia" w:ascii="仿宋" w:hAnsi="仿宋" w:eastAsia="仿宋" w:cs="仿宋"/>
          <w:color w:val="000000"/>
          <w:sz w:val="28"/>
          <w:szCs w:val="28"/>
        </w:rPr>
        <w:t>并于</w:t>
      </w:r>
      <w:r>
        <w:rPr>
          <w:rFonts w:hint="eastAsia" w:ascii="仿宋" w:hAnsi="仿宋" w:eastAsia="仿宋" w:cs="仿宋"/>
          <w:color w:val="auto"/>
          <w:sz w:val="28"/>
          <w:szCs w:val="28"/>
          <w:highlight w:val="none"/>
          <w:u w:val="single"/>
          <w:lang w:val="en-US" w:eastAsia="zh-CN"/>
        </w:rPr>
        <w:t>2026年5月18日11点30分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rPr>
        <w:t>北京时间）前提交响应文件</w:t>
      </w:r>
      <w:r>
        <w:rPr>
          <w:rFonts w:hint="eastAsia" w:ascii="仿宋" w:hAnsi="仿宋" w:eastAsia="仿宋" w:cs="仿宋"/>
          <w:color w:val="auto"/>
          <w:sz w:val="28"/>
          <w:szCs w:val="28"/>
        </w:rPr>
        <w:t>。</w:t>
      </w:r>
    </w:p>
    <w:p w14:paraId="3E744320">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bookmarkStart w:id="6" w:name="_Toc28359089"/>
      <w:bookmarkStart w:id="7" w:name="_Toc35393629"/>
      <w:bookmarkStart w:id="8" w:name="_Toc35393798"/>
      <w:bookmarkStart w:id="9" w:name="_Toc28359012"/>
      <w:r>
        <w:rPr>
          <w:rFonts w:hint="eastAsia" w:ascii="仿宋" w:hAnsi="仿宋" w:eastAsia="仿宋" w:cs="仿宋"/>
          <w:b/>
          <w:bCs w:val="0"/>
          <w:color w:val="auto"/>
          <w:kern w:val="2"/>
          <w:sz w:val="28"/>
          <w:szCs w:val="28"/>
          <w:lang w:val="en-US" w:eastAsia="zh-CN" w:bidi="ar-SA"/>
        </w:rPr>
        <w:t>一、项目基本情况</w:t>
      </w:r>
      <w:bookmarkEnd w:id="6"/>
      <w:bookmarkEnd w:id="7"/>
      <w:bookmarkEnd w:id="8"/>
      <w:bookmarkEnd w:id="9"/>
    </w:p>
    <w:p w14:paraId="548E1F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项目编号：2026-C-30</w:t>
      </w:r>
    </w:p>
    <w:p w14:paraId="3BB1D0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项目名称：阿克苏市2026年基层农技推广体系改革与建设项目---村级农技推广服务特聘计划项目</w:t>
      </w:r>
    </w:p>
    <w:p w14:paraId="4BEEA4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采购方式：竞争性磋商</w:t>
      </w:r>
    </w:p>
    <w:p w14:paraId="01EA04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预算金额（元）：670000.00</w:t>
      </w:r>
    </w:p>
    <w:p w14:paraId="58E4A8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最高限价（元）：670000.00</w:t>
      </w:r>
    </w:p>
    <w:p w14:paraId="66C4AC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p>
    <w:p w14:paraId="2519E3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标项名称：</w:t>
      </w:r>
      <w:r>
        <w:rPr>
          <w:rFonts w:hint="eastAsia" w:ascii="仿宋" w:hAnsi="仿宋" w:eastAsia="仿宋" w:cs="仿宋"/>
          <w:color w:val="auto"/>
          <w:sz w:val="28"/>
          <w:szCs w:val="28"/>
          <w:u w:val="none"/>
          <w:lang w:val="en-US" w:eastAsia="zh-CN"/>
        </w:rPr>
        <w:t>阿克苏市2026年基层农技推广体系改革与建设项目---村级农技推广服务特聘计划项目</w:t>
      </w:r>
    </w:p>
    <w:p w14:paraId="174248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数量：1</w:t>
      </w:r>
    </w:p>
    <w:p w14:paraId="326920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预算金额（元）：670000.00</w:t>
      </w:r>
    </w:p>
    <w:p w14:paraId="55A03EEE">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单位：项</w:t>
      </w:r>
    </w:p>
    <w:p w14:paraId="025E79A6">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简要规格描述：开展51名村级特聘农技员劳务补助发放(每人每月1000元)，包含税收费，保险费，管理费(详见采购需求)</w:t>
      </w:r>
    </w:p>
    <w:p w14:paraId="64295C36">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p w14:paraId="6EAD6CF7">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合同履约期限：</w:t>
      </w:r>
      <w:r>
        <w:rPr>
          <w:rFonts w:hint="eastAsia" w:ascii="仿宋" w:hAnsi="仿宋" w:eastAsia="仿宋" w:cs="仿宋"/>
          <w:b w:val="0"/>
          <w:bCs w:val="0"/>
          <w:color w:val="auto"/>
          <w:sz w:val="28"/>
          <w:szCs w:val="28"/>
          <w:shd w:val="clear" w:color="auto" w:fill="auto"/>
          <w:lang w:val="en-US" w:eastAsia="zh-CN"/>
        </w:rPr>
        <w:t>自合同签订之日起18个月</w:t>
      </w:r>
    </w:p>
    <w:p w14:paraId="67C26C1F">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本项目（否）接受联合体响应。</w:t>
      </w:r>
      <w:bookmarkStart w:id="10" w:name="_Toc28359013"/>
      <w:bookmarkStart w:id="11" w:name="_Toc28359090"/>
      <w:bookmarkStart w:id="12" w:name="_Toc35393799"/>
      <w:bookmarkStart w:id="13" w:name="_Toc35393630"/>
    </w:p>
    <w:p w14:paraId="0D7D4296">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二、申请人的资格要求：</w:t>
      </w:r>
      <w:bookmarkEnd w:id="10"/>
      <w:bookmarkEnd w:id="11"/>
      <w:bookmarkEnd w:id="12"/>
      <w:bookmarkEnd w:id="13"/>
    </w:p>
    <w:p w14:paraId="4F638E92">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bookmarkStart w:id="14" w:name="_Toc35393800"/>
      <w:bookmarkStart w:id="15" w:name="_Toc35393631"/>
      <w:bookmarkStart w:id="16" w:name="_Toc28359091"/>
      <w:bookmarkStart w:id="17" w:name="_Toc28359014"/>
      <w:r>
        <w:rPr>
          <w:rFonts w:hint="eastAsia" w:ascii="仿宋" w:hAnsi="仿宋" w:eastAsia="仿宋" w:cs="仿宋"/>
          <w:color w:val="auto"/>
          <w:sz w:val="28"/>
          <w:szCs w:val="28"/>
          <w:lang w:val="en-US" w:eastAsia="zh-CN"/>
        </w:rPr>
        <w:t>1.满足《中华人民共和国政府采购法》第二十二条规定；</w:t>
      </w:r>
    </w:p>
    <w:p w14:paraId="4D550A65">
      <w:pPr>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28"/>
          <w:szCs w:val="28"/>
          <w:highlight w:val="none"/>
          <w:lang w:val="en-US" w:eastAsia="zh-CN"/>
        </w:rPr>
        <w:t>2.落实政府采购政策需满足的资格要求：标项1：本项目专门面向中小企业。</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3.本项目的特定资格要求：</w:t>
      </w:r>
      <w:r>
        <w:rPr>
          <w:rFonts w:hint="eastAsia" w:ascii="仿宋" w:hAnsi="仿宋" w:eastAsia="仿宋" w:cs="仿宋"/>
          <w:color w:val="auto"/>
          <w:kern w:val="2"/>
          <w:sz w:val="28"/>
          <w:szCs w:val="28"/>
          <w:highlight w:val="none"/>
          <w:lang w:val="en-US" w:eastAsia="zh-CN" w:bidi="ar-SA"/>
        </w:rPr>
        <w:t>劳务派遣经营许可证</w:t>
      </w:r>
    </w:p>
    <w:p w14:paraId="13899DBF">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三、获取采购文件</w:t>
      </w:r>
      <w:bookmarkEnd w:id="14"/>
      <w:bookmarkEnd w:id="15"/>
      <w:bookmarkEnd w:id="16"/>
      <w:bookmarkEnd w:id="17"/>
    </w:p>
    <w:p w14:paraId="3C06B0D1">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2026年5月8日至 2026年5月14日</w:t>
      </w:r>
      <w:r>
        <w:rPr>
          <w:rFonts w:hint="eastAsia" w:ascii="仿宋" w:hAnsi="仿宋" w:eastAsia="仿宋" w:cs="仿宋"/>
          <w:color w:val="000000"/>
          <w:sz w:val="28"/>
          <w:szCs w:val="28"/>
          <w:highlight w:val="none"/>
          <w:u w:val="none"/>
        </w:rPr>
        <w:t>，每天</w:t>
      </w:r>
      <w:r>
        <w:rPr>
          <w:rFonts w:hint="eastAsia" w:ascii="仿宋" w:hAnsi="仿宋" w:eastAsia="仿宋" w:cs="仿宋"/>
          <w:color w:val="000000"/>
          <w:sz w:val="28"/>
          <w:szCs w:val="28"/>
          <w:highlight w:val="none"/>
          <w:u w:val="single"/>
        </w:rPr>
        <w:t>上午10:00至14:00，下午</w:t>
      </w:r>
      <w:r>
        <w:rPr>
          <w:rFonts w:hint="eastAsia" w:ascii="仿宋" w:hAnsi="仿宋" w:eastAsia="仿宋" w:cs="仿宋"/>
          <w:color w:val="000000"/>
          <w:sz w:val="28"/>
          <w:szCs w:val="28"/>
          <w:highlight w:val="none"/>
          <w:u w:val="single"/>
          <w:lang w:val="en-US" w:eastAsia="zh-CN"/>
        </w:rPr>
        <w:t>16</w:t>
      </w:r>
      <w:r>
        <w:rPr>
          <w:rFonts w:hint="eastAsia" w:ascii="仿宋" w:hAnsi="仿宋" w:eastAsia="仿宋" w:cs="仿宋"/>
          <w:color w:val="000000"/>
          <w:sz w:val="28"/>
          <w:szCs w:val="28"/>
          <w:highlight w:val="none"/>
          <w:u w:val="single"/>
        </w:rPr>
        <w:t>:</w:t>
      </w:r>
      <w:r>
        <w:rPr>
          <w:rFonts w:hint="eastAsia" w:ascii="仿宋" w:hAnsi="仿宋" w:eastAsia="仿宋" w:cs="仿宋"/>
          <w:color w:val="000000"/>
          <w:sz w:val="28"/>
          <w:szCs w:val="28"/>
          <w:highlight w:val="none"/>
          <w:u w:val="single"/>
          <w:lang w:val="en-US" w:eastAsia="zh-CN"/>
        </w:rPr>
        <w:t>00</w:t>
      </w:r>
      <w:r>
        <w:rPr>
          <w:rFonts w:hint="eastAsia" w:ascii="仿宋" w:hAnsi="仿宋" w:eastAsia="仿宋" w:cs="仿宋"/>
          <w:color w:val="000000"/>
          <w:sz w:val="28"/>
          <w:szCs w:val="28"/>
          <w:highlight w:val="none"/>
          <w:u w:val="single"/>
        </w:rPr>
        <w:t>至</w:t>
      </w:r>
      <w:r>
        <w:rPr>
          <w:rFonts w:hint="eastAsia" w:ascii="仿宋" w:hAnsi="仿宋" w:eastAsia="仿宋" w:cs="仿宋"/>
          <w:color w:val="000000"/>
          <w:sz w:val="28"/>
          <w:szCs w:val="28"/>
          <w:highlight w:val="none"/>
          <w:u w:val="single"/>
          <w:lang w:val="en-US" w:eastAsia="zh-CN"/>
        </w:rPr>
        <w:t>20</w:t>
      </w:r>
      <w:r>
        <w:rPr>
          <w:rFonts w:hint="eastAsia" w:ascii="仿宋" w:hAnsi="仿宋" w:eastAsia="仿宋" w:cs="仿宋"/>
          <w:color w:val="000000"/>
          <w:sz w:val="28"/>
          <w:szCs w:val="28"/>
          <w:highlight w:val="none"/>
          <w:u w:val="single"/>
        </w:rPr>
        <w:t>:</w:t>
      </w:r>
      <w:r>
        <w:rPr>
          <w:rFonts w:hint="eastAsia" w:ascii="仿宋" w:hAnsi="仿宋" w:eastAsia="仿宋" w:cs="仿宋"/>
          <w:color w:val="000000"/>
          <w:sz w:val="28"/>
          <w:szCs w:val="28"/>
          <w:highlight w:val="none"/>
          <w:u w:val="single"/>
          <w:lang w:val="en-US" w:eastAsia="zh-CN"/>
        </w:rPr>
        <w:t>00</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u w:val="none"/>
        </w:rPr>
        <w:t>北京时间，法定节假日除外 ）</w:t>
      </w:r>
    </w:p>
    <w:p w14:paraId="78CF171C">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地点：</w:t>
      </w:r>
      <w:r>
        <w:rPr>
          <w:rFonts w:hint="eastAsia" w:ascii="仿宋" w:hAnsi="仿宋" w:eastAsia="仿宋" w:cs="仿宋"/>
          <w:i w:val="0"/>
          <w:iCs w:val="0"/>
          <w:caps w:val="0"/>
          <w:color w:val="000000"/>
          <w:spacing w:val="0"/>
          <w:sz w:val="27"/>
          <w:szCs w:val="27"/>
        </w:rPr>
        <w:t>政采云平台线上</w:t>
      </w:r>
    </w:p>
    <w:p w14:paraId="59C7722A">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方式：</w:t>
      </w:r>
      <w:r>
        <w:rPr>
          <w:rFonts w:hint="eastAsia" w:ascii="仿宋" w:hAnsi="仿宋" w:eastAsia="仿宋" w:cs="仿宋"/>
          <w:i w:val="0"/>
          <w:iCs w:val="0"/>
          <w:caps w:val="0"/>
          <w:color w:val="000000"/>
          <w:spacing w:val="0"/>
          <w:sz w:val="27"/>
          <w:szCs w:val="27"/>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7A91053">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p>
    <w:p w14:paraId="4D521196">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bookmarkStart w:id="18" w:name="_Toc35393632"/>
      <w:bookmarkStart w:id="19" w:name="_Toc28359015"/>
      <w:bookmarkStart w:id="20" w:name="_Toc28359092"/>
      <w:bookmarkStart w:id="21" w:name="_Toc35393801"/>
      <w:r>
        <w:rPr>
          <w:rFonts w:hint="eastAsia" w:ascii="仿宋" w:hAnsi="仿宋" w:eastAsia="仿宋" w:cs="仿宋"/>
          <w:b/>
          <w:bCs w:val="0"/>
          <w:color w:val="auto"/>
          <w:kern w:val="2"/>
          <w:sz w:val="28"/>
          <w:szCs w:val="28"/>
          <w:lang w:val="en-US" w:eastAsia="zh-CN" w:bidi="ar-SA"/>
        </w:rPr>
        <w:t>四、响应文件提交</w:t>
      </w:r>
      <w:bookmarkEnd w:id="18"/>
      <w:bookmarkEnd w:id="19"/>
      <w:bookmarkEnd w:id="20"/>
      <w:bookmarkEnd w:id="21"/>
    </w:p>
    <w:p w14:paraId="7E960933">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2026年05月18日11点30分</w:t>
      </w:r>
      <w:r>
        <w:rPr>
          <w:rFonts w:hint="eastAsia" w:ascii="仿宋" w:hAnsi="仿宋" w:eastAsia="仿宋" w:cs="仿宋"/>
          <w:color w:val="auto"/>
          <w:sz w:val="28"/>
          <w:szCs w:val="28"/>
          <w:highlight w:val="none"/>
          <w:u w:val="single"/>
        </w:rPr>
        <w:t>（北京时间）</w:t>
      </w:r>
    </w:p>
    <w:p w14:paraId="3C5BB000">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i w:val="0"/>
          <w:iCs w:val="0"/>
          <w:caps w:val="0"/>
          <w:color w:val="000000"/>
          <w:spacing w:val="0"/>
          <w:sz w:val="27"/>
          <w:szCs w:val="27"/>
        </w:rPr>
        <w:t>请登录政采云</w:t>
      </w:r>
      <w:r>
        <w:rPr>
          <w:rFonts w:hint="eastAsia" w:ascii="仿宋" w:hAnsi="仿宋" w:eastAsia="仿宋" w:cs="仿宋"/>
          <w:i w:val="0"/>
          <w:iCs w:val="0"/>
          <w:caps w:val="0"/>
          <w:color w:val="000000"/>
          <w:spacing w:val="0"/>
          <w:sz w:val="27"/>
          <w:szCs w:val="27"/>
          <w:lang w:eastAsia="zh-CN"/>
        </w:rPr>
        <w:t>响应</w:t>
      </w:r>
      <w:r>
        <w:rPr>
          <w:rFonts w:hint="eastAsia" w:ascii="仿宋" w:hAnsi="仿宋" w:eastAsia="仿宋" w:cs="仿宋"/>
          <w:i w:val="0"/>
          <w:iCs w:val="0"/>
          <w:caps w:val="0"/>
          <w:color w:val="000000"/>
          <w:spacing w:val="0"/>
          <w:sz w:val="27"/>
          <w:szCs w:val="27"/>
        </w:rPr>
        <w:t>客户端</w:t>
      </w:r>
      <w:r>
        <w:rPr>
          <w:rFonts w:hint="eastAsia" w:ascii="仿宋" w:hAnsi="仿宋" w:eastAsia="仿宋" w:cs="仿宋"/>
          <w:i w:val="0"/>
          <w:iCs w:val="0"/>
          <w:caps w:val="0"/>
          <w:color w:val="000000"/>
          <w:spacing w:val="0"/>
          <w:sz w:val="27"/>
          <w:szCs w:val="27"/>
          <w:lang w:eastAsia="zh-CN"/>
        </w:rPr>
        <w:t>响应</w:t>
      </w:r>
    </w:p>
    <w:p w14:paraId="236455CC">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bookmarkStart w:id="22" w:name="_Toc28359093"/>
      <w:bookmarkStart w:id="23" w:name="_Toc35393633"/>
      <w:bookmarkStart w:id="24" w:name="_Toc35393802"/>
      <w:bookmarkStart w:id="25" w:name="_Toc28359016"/>
      <w:r>
        <w:rPr>
          <w:rFonts w:hint="eastAsia" w:ascii="仿宋" w:hAnsi="仿宋" w:eastAsia="仿宋" w:cs="仿宋"/>
          <w:b/>
          <w:bCs w:val="0"/>
          <w:color w:val="auto"/>
          <w:kern w:val="2"/>
          <w:sz w:val="28"/>
          <w:szCs w:val="28"/>
          <w:lang w:val="en-US" w:eastAsia="zh-CN" w:bidi="ar-SA"/>
        </w:rPr>
        <w:t>五、开启</w:t>
      </w:r>
      <w:bookmarkEnd w:id="22"/>
      <w:bookmarkEnd w:id="23"/>
      <w:bookmarkEnd w:id="24"/>
      <w:bookmarkEnd w:id="25"/>
    </w:p>
    <w:p w14:paraId="391D563A">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auto"/>
          <w:sz w:val="28"/>
          <w:szCs w:val="28"/>
          <w:highlight w:val="yellow"/>
          <w:u w:val="single"/>
        </w:rPr>
      </w:pPr>
      <w:r>
        <w:rPr>
          <w:rFonts w:hint="eastAsia" w:ascii="仿宋" w:hAnsi="仿宋" w:eastAsia="仿宋" w:cs="仿宋"/>
          <w:color w:val="auto"/>
          <w:sz w:val="28"/>
          <w:szCs w:val="28"/>
        </w:rPr>
        <w:t>时间：</w:t>
      </w:r>
      <w:r>
        <w:rPr>
          <w:rFonts w:hint="eastAsia" w:ascii="仿宋" w:hAnsi="仿宋" w:eastAsia="仿宋" w:cs="仿宋"/>
          <w:color w:val="auto"/>
          <w:sz w:val="28"/>
          <w:szCs w:val="28"/>
          <w:highlight w:val="none"/>
          <w:u w:val="single"/>
          <w:lang w:val="en-US" w:eastAsia="zh-CN"/>
        </w:rPr>
        <w:t>2026年05月18日11点30分</w:t>
      </w:r>
      <w:r>
        <w:rPr>
          <w:rFonts w:hint="eastAsia" w:ascii="仿宋" w:hAnsi="仿宋" w:eastAsia="仿宋" w:cs="仿宋"/>
          <w:color w:val="auto"/>
          <w:sz w:val="28"/>
          <w:szCs w:val="28"/>
          <w:highlight w:val="none"/>
          <w:u w:val="single"/>
        </w:rPr>
        <w:t>（北京时间）</w:t>
      </w:r>
    </w:p>
    <w:p w14:paraId="38A1A785">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i w:val="0"/>
          <w:iCs w:val="0"/>
          <w:caps w:val="0"/>
          <w:color w:val="000000"/>
          <w:spacing w:val="0"/>
          <w:sz w:val="27"/>
          <w:szCs w:val="27"/>
          <w:lang w:eastAsia="zh-CN"/>
        </w:rPr>
        <w:t>响应</w:t>
      </w:r>
      <w:r>
        <w:rPr>
          <w:rFonts w:hint="eastAsia" w:ascii="仿宋" w:hAnsi="仿宋" w:eastAsia="仿宋" w:cs="仿宋"/>
          <w:i w:val="0"/>
          <w:iCs w:val="0"/>
          <w:caps w:val="0"/>
          <w:color w:val="000000"/>
          <w:spacing w:val="0"/>
          <w:sz w:val="27"/>
          <w:szCs w:val="27"/>
        </w:rPr>
        <w:t>人登录政采云平台https://www.zcygov.cn/，进入“项目采购-开标评标-右边选择对应项目点击“进入项目”进入开标大厅。</w:t>
      </w:r>
    </w:p>
    <w:p w14:paraId="16063AB7">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bookmarkStart w:id="26" w:name="_Toc35393634"/>
      <w:bookmarkStart w:id="27" w:name="_Toc28359094"/>
      <w:bookmarkStart w:id="28" w:name="_Toc35393803"/>
      <w:bookmarkStart w:id="29" w:name="_Toc28359017"/>
      <w:r>
        <w:rPr>
          <w:rFonts w:hint="eastAsia" w:ascii="仿宋" w:hAnsi="仿宋" w:eastAsia="仿宋" w:cs="仿宋"/>
          <w:b/>
          <w:bCs w:val="0"/>
          <w:color w:val="auto"/>
          <w:kern w:val="2"/>
          <w:sz w:val="28"/>
          <w:szCs w:val="28"/>
          <w:lang w:val="en-US" w:eastAsia="zh-CN" w:bidi="ar-SA"/>
        </w:rPr>
        <w:t>六、公告期限</w:t>
      </w:r>
      <w:bookmarkEnd w:id="26"/>
      <w:bookmarkEnd w:id="27"/>
      <w:bookmarkEnd w:id="28"/>
      <w:bookmarkEnd w:id="29"/>
    </w:p>
    <w:p w14:paraId="4F80C24B">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个工作日。</w:t>
      </w:r>
    </w:p>
    <w:p w14:paraId="068B2F5D">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val="0"/>
          <w:bCs/>
          <w:color w:val="auto"/>
          <w:kern w:val="2"/>
          <w:sz w:val="28"/>
          <w:szCs w:val="28"/>
          <w:lang w:val="en-US" w:eastAsia="zh-CN" w:bidi="ar-SA"/>
        </w:rPr>
      </w:pPr>
      <w:bookmarkStart w:id="30" w:name="_Toc35393635"/>
      <w:bookmarkStart w:id="31" w:name="_Toc35393804"/>
      <w:r>
        <w:rPr>
          <w:rFonts w:hint="eastAsia" w:ascii="仿宋" w:hAnsi="仿宋" w:eastAsia="仿宋" w:cs="仿宋"/>
          <w:b/>
          <w:bCs w:val="0"/>
          <w:color w:val="auto"/>
          <w:kern w:val="2"/>
          <w:sz w:val="28"/>
          <w:szCs w:val="28"/>
          <w:lang w:val="en-US" w:eastAsia="zh-CN" w:bidi="ar-SA"/>
        </w:rPr>
        <w:t>七、其他补充事宜</w:t>
      </w:r>
      <w:bookmarkEnd w:id="30"/>
      <w:bookmarkEnd w:id="31"/>
    </w:p>
    <w:p w14:paraId="6A82B6EB">
      <w:pPr>
        <w:pStyle w:val="25"/>
        <w:keepNext w:val="0"/>
        <w:keepLines w:val="0"/>
        <w:widowControl/>
        <w:suppressLineNumbers w:val="0"/>
        <w:wordWrap w:val="0"/>
        <w:spacing w:before="75" w:beforeAutospacing="0" w:after="75" w:afterAutospacing="0" w:line="315" w:lineRule="atLeast"/>
        <w:ind w:left="0" w:right="0" w:firstLine="281" w:firstLineChars="10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 </w:t>
      </w:r>
      <w:r>
        <w:rPr>
          <w:rFonts w:hint="eastAsia" w:ascii="仿宋" w:hAnsi="仿宋" w:eastAsia="仿宋" w:cs="仿宋"/>
          <w:b w:val="0"/>
          <w:bCs w:val="0"/>
          <w:color w:val="auto"/>
          <w:kern w:val="0"/>
          <w:sz w:val="28"/>
          <w:szCs w:val="28"/>
          <w:lang w:val="en-US" w:eastAsia="zh-CN" w:bidi="ar-SA"/>
        </w:rPr>
        <w:t>1、本项目实行网上响应，采用电子响应文件。</w:t>
      </w:r>
    </w:p>
    <w:p w14:paraId="60A2BABC">
      <w:pPr>
        <w:pStyle w:val="25"/>
        <w:keepNext w:val="0"/>
        <w:keepLines w:val="0"/>
        <w:widowControl/>
        <w:suppressLineNumbers w:val="0"/>
        <w:wordWrap w:val="0"/>
        <w:spacing w:before="75" w:beforeAutospacing="0" w:after="75" w:afterAutospacing="0"/>
        <w:ind w:left="0" w:right="0" w:firstLine="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2、各供应商应在开标前确保成为正式注册入库供应商，并完成CA数字证书(符合国密标准)申领。因未注册入库、未办理CA数字证书等原因造成无法响应或响应失败等后果由供应商自行承担。如需咨询，请联系新疆-安信CA服务热线0991-7810912；翔晟CA服务热线025-66085508；新疆CA服务热线4000921999。</w:t>
      </w:r>
    </w:p>
    <w:p w14:paraId="67038414">
      <w:pPr>
        <w:pStyle w:val="25"/>
        <w:keepNext w:val="0"/>
        <w:keepLines w:val="0"/>
        <w:widowControl/>
        <w:suppressLineNumbers w:val="0"/>
        <w:wordWrap w:val="0"/>
        <w:spacing w:before="75" w:beforeAutospacing="0" w:after="75" w:afterAutospacing="0"/>
        <w:ind w:left="0" w:right="0" w:firstLine="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3、供应商将政采云电子交易客户端下载、安装完成后，可通过账号密码或CA登录客户端进行响应文件的制作。在使用政采云响应客户端时，建议使用WIN7及以上操作系统。</w:t>
      </w:r>
    </w:p>
    <w:p w14:paraId="7C6A68BF">
      <w:pPr>
        <w:pStyle w:val="25"/>
        <w:keepNext w:val="0"/>
        <w:keepLines w:val="0"/>
        <w:widowControl/>
        <w:suppressLineNumbers w:val="0"/>
        <w:wordWrap w:val="0"/>
        <w:spacing w:before="75" w:beforeAutospacing="0" w:after="75" w:afterAutospacing="0"/>
        <w:ind w:left="0" w:right="0" w:firstLine="0"/>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4、其他事项：本次公告在新疆政府采购网、阿克苏地区行政公署网同时发布。</w:t>
      </w:r>
    </w:p>
    <w:p w14:paraId="121A4CC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特别提示：</w:t>
      </w:r>
      <w:bookmarkStart w:id="32" w:name="_Toc35393805"/>
      <w:bookmarkStart w:id="33" w:name="_Toc28359018"/>
      <w:bookmarkStart w:id="34" w:name="_Toc28359095"/>
      <w:bookmarkStart w:id="35" w:name="_Toc35393636"/>
    </w:p>
    <w:p w14:paraId="4DCD935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采购限额标准以上，200万元以下的货物和服务采购项目、400万元以下的工程采购项目，适宜由中小企业提供的，采购人应当专门面向中小企业采购</w:t>
      </w:r>
    </w:p>
    <w:p w14:paraId="2FC647CA">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超过200万元的货物和服务采购项目，预留该部分采购项目预算总额的30%以上专门面向中小企业采购，其中预留给小微企业的比例不低于60%。</w:t>
      </w:r>
    </w:p>
    <w:p w14:paraId="5B6A164E">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超过400万元的工程采购项目中适宜由中小企业提供的，预留该部分采购项目预算总额的40%以上专门面向中小企业采购，其中预留给小微企业的比例不低于60%。</w:t>
      </w:r>
    </w:p>
    <w:p w14:paraId="66DF5BEC">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对于未预留份额专门面向中小企业的采购项目，以及预留份额项目中的非预留部分采购包，采购人、采购代理机构应当对符合规定的小微企业报价给予10%~20%（工程项目为3%~5%）的扣除，用扣除后的价格参加评审。适用招标响应法的政府采购工程建设项目，采用综合评估法但未采用低价优先法计算价格分的，评标时应当在采用原报价进行评分的基础上增加其价格得分的3%~5%作为其价格分。</w:t>
      </w:r>
    </w:p>
    <w:p w14:paraId="7AAA3D9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响应法的政府采购工程建设项目，采用综合评估法但未采用低价优先法计算价格分的，评标时应当在采用原报价进行评分的基础上增加其价格得分的1%~2%作为其价格分。</w:t>
      </w:r>
    </w:p>
    <w:p w14:paraId="098423F1">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八、凡对本次采购提出询问，请按以下方式联系。</w:t>
      </w:r>
      <w:bookmarkEnd w:id="32"/>
      <w:bookmarkEnd w:id="33"/>
      <w:bookmarkEnd w:id="34"/>
      <w:bookmarkEnd w:id="35"/>
    </w:p>
    <w:p w14:paraId="2479F0C3">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bookmarkStart w:id="36" w:name="_Toc28359019"/>
      <w:bookmarkStart w:id="37" w:name="_Toc35393637"/>
      <w:bookmarkStart w:id="38" w:name="_Toc28359096"/>
      <w:bookmarkStart w:id="39" w:name="_Toc35393806"/>
      <w:r>
        <w:rPr>
          <w:rFonts w:hint="eastAsia" w:ascii="仿宋" w:hAnsi="仿宋" w:eastAsia="仿宋" w:cs="仿宋"/>
          <w:color w:val="auto"/>
          <w:sz w:val="28"/>
          <w:szCs w:val="28"/>
          <w:u w:val="none"/>
          <w:lang w:val="en-US" w:eastAsia="zh-CN"/>
        </w:rPr>
        <w:t>1.采购人信息</w:t>
      </w:r>
    </w:p>
    <w:p w14:paraId="483CC2C0">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名称：</w:t>
      </w:r>
      <w:r>
        <w:rPr>
          <w:rFonts w:hint="eastAsia" w:ascii="仿宋" w:hAnsi="仿宋" w:eastAsia="仿宋" w:cs="仿宋"/>
          <w:color w:val="auto"/>
          <w:sz w:val="28"/>
          <w:szCs w:val="28"/>
          <w:u w:val="none"/>
          <w:lang w:val="zh-CN" w:eastAsia="zh-CN"/>
        </w:rPr>
        <w:t xml:space="preserve">阿克苏市农业技术推广中心 </w:t>
      </w:r>
    </w:p>
    <w:p w14:paraId="534E34FB">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地址：</w:t>
      </w:r>
      <w:r>
        <w:rPr>
          <w:rFonts w:hint="eastAsia" w:ascii="仿宋" w:hAnsi="仿宋" w:eastAsia="仿宋" w:cs="仿宋"/>
          <w:color w:val="auto"/>
          <w:sz w:val="28"/>
          <w:szCs w:val="28"/>
          <w:u w:val="none"/>
          <w:lang w:val="zh-CN" w:eastAsia="zh-CN"/>
        </w:rPr>
        <w:t>阿克苏市北京东路2号</w:t>
      </w:r>
    </w:p>
    <w:p w14:paraId="4AB34927">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联系方式：</w:t>
      </w:r>
      <w:bookmarkStart w:id="40" w:name="_Toc28359009"/>
      <w:bookmarkStart w:id="41" w:name="_Toc28359086"/>
      <w:r>
        <w:rPr>
          <w:rFonts w:hint="eastAsia" w:ascii="仿宋" w:hAnsi="仿宋" w:eastAsia="仿宋" w:cs="Times New Roman"/>
          <w:color w:val="auto"/>
          <w:sz w:val="24"/>
          <w:szCs w:val="24"/>
          <w:highlight w:val="none"/>
          <w:lang w:val="zh-CN" w:eastAsia="zh-CN"/>
        </w:rPr>
        <w:t>19390726151</w:t>
      </w:r>
    </w:p>
    <w:p w14:paraId="59F63D8A">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w:t>
      </w:r>
      <w:bookmarkEnd w:id="40"/>
      <w:bookmarkEnd w:id="41"/>
      <w:r>
        <w:rPr>
          <w:rFonts w:hint="eastAsia" w:ascii="仿宋" w:hAnsi="仿宋" w:eastAsia="仿宋" w:cs="仿宋"/>
          <w:color w:val="auto"/>
          <w:sz w:val="28"/>
          <w:szCs w:val="28"/>
          <w:u w:val="none"/>
          <w:lang w:val="en-US" w:eastAsia="zh-CN"/>
        </w:rPr>
        <w:t>采购代理机构信息</w:t>
      </w:r>
    </w:p>
    <w:p w14:paraId="1A9A170B">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名称：新疆锦皓项目管理有限公司　　　　　　　　</w:t>
      </w:r>
    </w:p>
    <w:p w14:paraId="67417E4D">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地址：</w:t>
      </w:r>
      <w:r>
        <w:rPr>
          <w:rFonts w:hint="eastAsia" w:ascii="仿宋" w:hAnsi="仿宋" w:eastAsia="仿宋" w:cs="仿宋"/>
          <w:color w:val="auto"/>
          <w:sz w:val="28"/>
          <w:szCs w:val="28"/>
          <w:lang w:val="en-US" w:eastAsia="zh-CN"/>
        </w:rPr>
        <w:t>阿克苏市丝路古镇19栋003室</w:t>
      </w:r>
      <w:r>
        <w:rPr>
          <w:rFonts w:hint="eastAsia" w:ascii="仿宋" w:hAnsi="仿宋" w:eastAsia="仿宋" w:cs="仿宋"/>
          <w:color w:val="auto"/>
          <w:sz w:val="28"/>
          <w:szCs w:val="28"/>
          <w:u w:val="none"/>
          <w:lang w:val="en-US" w:eastAsia="zh-CN"/>
        </w:rPr>
        <w:t>　　　　　　　　　　</w:t>
      </w:r>
    </w:p>
    <w:p w14:paraId="0AFCFC6E">
      <w:pPr>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联系方式：19326587256</w:t>
      </w:r>
    </w:p>
    <w:p w14:paraId="43AF84F1">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3.项目联系方式</w:t>
      </w:r>
    </w:p>
    <w:p w14:paraId="0EFFAF1C">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项目联系人：李群</w:t>
      </w:r>
    </w:p>
    <w:p w14:paraId="2DE65394">
      <w:pPr>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电话：</w:t>
      </w:r>
      <w:bookmarkEnd w:id="36"/>
      <w:bookmarkEnd w:id="37"/>
      <w:bookmarkEnd w:id="38"/>
      <w:bookmarkEnd w:id="39"/>
      <w:r>
        <w:rPr>
          <w:rFonts w:hint="eastAsia" w:ascii="仿宋" w:hAnsi="仿宋" w:eastAsia="仿宋" w:cs="仿宋"/>
          <w:color w:val="auto"/>
          <w:sz w:val="28"/>
          <w:szCs w:val="28"/>
          <w:u w:val="none"/>
          <w:lang w:val="en-US" w:eastAsia="zh-CN"/>
        </w:rPr>
        <w:t>19326587256</w:t>
      </w:r>
    </w:p>
    <w:p w14:paraId="0581C2B0">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4.监督人信息</w:t>
      </w:r>
    </w:p>
    <w:p w14:paraId="24A164AF">
      <w:pPr>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名称：阿克苏市农业农村局</w:t>
      </w:r>
    </w:p>
    <w:p w14:paraId="0A747E9A">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地址：</w:t>
      </w:r>
      <w:r>
        <w:rPr>
          <w:rFonts w:hint="eastAsia" w:ascii="仿宋" w:hAnsi="仿宋" w:eastAsia="仿宋" w:cs="仿宋"/>
          <w:color w:val="auto"/>
          <w:sz w:val="28"/>
          <w:szCs w:val="28"/>
          <w:u w:val="none"/>
          <w:lang w:val="zh-CN" w:eastAsia="zh-CN"/>
        </w:rPr>
        <w:t>阿克苏市前程路10</w:t>
      </w:r>
      <w:r>
        <w:rPr>
          <w:rFonts w:hint="eastAsia" w:ascii="仿宋" w:hAnsi="仿宋" w:eastAsia="仿宋" w:cs="仿宋"/>
          <w:color w:val="auto"/>
          <w:sz w:val="28"/>
          <w:szCs w:val="28"/>
          <w:u w:val="none"/>
          <w:lang w:val="en-US" w:eastAsia="zh-CN"/>
        </w:rPr>
        <w:t>号</w:t>
      </w:r>
    </w:p>
    <w:p w14:paraId="49138CE3">
      <w:pPr>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联系方式：0997-2155008</w:t>
      </w:r>
    </w:p>
    <w:p w14:paraId="0C49A92E">
      <w:pPr>
        <w:numPr>
          <w:ilvl w:val="0"/>
          <w:numId w:val="0"/>
        </w:numPr>
        <w:rPr>
          <w:rFonts w:hint="eastAsia" w:ascii="仿宋" w:hAnsi="仿宋" w:eastAsia="仿宋" w:cs="仿宋"/>
          <w:color w:val="auto"/>
          <w:sz w:val="28"/>
          <w:szCs w:val="28"/>
          <w:u w:val="none"/>
          <w:lang w:val="en-US" w:eastAsia="zh-CN"/>
        </w:rPr>
      </w:pPr>
    </w:p>
    <w:p w14:paraId="64E0C14A">
      <w:pPr>
        <w:numPr>
          <w:ilvl w:val="0"/>
          <w:numId w:val="0"/>
        </w:numPr>
        <w:rPr>
          <w:rFonts w:hint="default" w:ascii="仿宋" w:hAnsi="仿宋" w:eastAsia="仿宋" w:cs="仿宋"/>
          <w:color w:val="auto"/>
          <w:sz w:val="28"/>
          <w:szCs w:val="28"/>
          <w:u w:val="none"/>
          <w:lang w:val="en-US" w:eastAsia="zh-CN"/>
        </w:rPr>
      </w:pPr>
    </w:p>
    <w:p w14:paraId="56127495">
      <w:pPr>
        <w:rPr>
          <w:rFonts w:hint="eastAsia" w:ascii="仿宋" w:hAnsi="仿宋" w:eastAsia="仿宋" w:cs="仿宋"/>
          <w:lang w:val="en-US" w:eastAsia="zh-CN"/>
        </w:rPr>
      </w:pPr>
    </w:p>
    <w:p w14:paraId="0FF73F6B">
      <w:pPr>
        <w:rPr>
          <w:rFonts w:hint="eastAsia" w:ascii="仿宋" w:hAnsi="仿宋" w:eastAsia="仿宋" w:cs="仿宋"/>
          <w:b/>
          <w:bCs/>
          <w:color w:val="auto"/>
          <w:sz w:val="36"/>
          <w:szCs w:val="36"/>
          <w:lang w:eastAsia="zh-CN"/>
        </w:rPr>
      </w:pPr>
      <w:bookmarkStart w:id="42" w:name="_Toc29121"/>
      <w:r>
        <w:rPr>
          <w:rFonts w:hint="eastAsia" w:ascii="仿宋" w:hAnsi="仿宋" w:eastAsia="仿宋" w:cs="仿宋"/>
          <w:b/>
          <w:bCs/>
          <w:color w:val="auto"/>
          <w:sz w:val="36"/>
          <w:szCs w:val="36"/>
          <w:lang w:eastAsia="zh-CN"/>
        </w:rPr>
        <w:br w:type="page"/>
      </w:r>
    </w:p>
    <w:p w14:paraId="53C141C8">
      <w:pPr>
        <w:pageBreakBefore w:val="0"/>
        <w:numPr>
          <w:ilvl w:val="0"/>
          <w:numId w:val="0"/>
        </w:numPr>
        <w:kinsoku/>
        <w:overflowPunct/>
        <w:topLinePunct w:val="0"/>
        <w:bidi w:val="0"/>
        <w:snapToGrid/>
        <w:spacing w:beforeAutospacing="0" w:afterAutospacing="0" w:line="440" w:lineRule="exact"/>
        <w:jc w:val="center"/>
        <w:textAlignment w:val="auto"/>
        <w:outlineLvl w:val="0"/>
        <w:rPr>
          <w:rFonts w:hint="eastAsia" w:ascii="仿宋" w:hAnsi="仿宋" w:eastAsia="仿宋" w:cs="仿宋"/>
          <w:color w:val="auto"/>
        </w:rPr>
      </w:pPr>
      <w:r>
        <w:rPr>
          <w:rFonts w:hint="eastAsia" w:ascii="仿宋" w:hAnsi="仿宋" w:eastAsia="仿宋" w:cs="仿宋"/>
          <w:b/>
          <w:bCs/>
          <w:color w:val="auto"/>
          <w:sz w:val="36"/>
          <w:szCs w:val="36"/>
          <w:lang w:eastAsia="zh-CN"/>
        </w:rPr>
        <w:t>第二章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bookmarkEnd w:id="42"/>
    </w:p>
    <w:p w14:paraId="7D1E5AA2">
      <w:pPr>
        <w:jc w:val="both"/>
        <w:outlineLvl w:val="1"/>
        <w:rPr>
          <w:rFonts w:hint="eastAsia" w:ascii="仿宋" w:hAnsi="仿宋" w:eastAsia="仿宋" w:cs="仿宋"/>
          <w:b/>
          <w:bCs/>
          <w:sz w:val="28"/>
          <w:szCs w:val="28"/>
        </w:rPr>
      </w:pPr>
      <w:bookmarkStart w:id="43" w:name="_Toc21983"/>
      <w:bookmarkStart w:id="44" w:name="_Toc30967"/>
      <w:bookmarkStart w:id="45" w:name="_Toc12398"/>
      <w:bookmarkStart w:id="46" w:name="_Toc14213"/>
      <w:bookmarkStart w:id="47" w:name="_Toc20643"/>
      <w:r>
        <w:rPr>
          <w:rFonts w:hint="eastAsia" w:ascii="仿宋" w:hAnsi="仿宋" w:eastAsia="仿宋" w:cs="仿宋"/>
          <w:b/>
          <w:bCs/>
          <w:sz w:val="28"/>
          <w:szCs w:val="28"/>
        </w:rPr>
        <w:t>供应商须知前附表</w:t>
      </w:r>
      <w:bookmarkEnd w:id="5"/>
      <w:bookmarkEnd w:id="43"/>
      <w:bookmarkEnd w:id="44"/>
      <w:bookmarkEnd w:id="45"/>
      <w:bookmarkEnd w:id="46"/>
      <w:bookmarkEnd w:id="47"/>
    </w:p>
    <w:tbl>
      <w:tblPr>
        <w:tblStyle w:val="30"/>
        <w:tblW w:w="9386" w:type="dxa"/>
        <w:tblInd w:w="0" w:type="dxa"/>
        <w:tblLayout w:type="fixed"/>
        <w:tblCellMar>
          <w:top w:w="0" w:type="dxa"/>
          <w:left w:w="108" w:type="dxa"/>
          <w:bottom w:w="0" w:type="dxa"/>
          <w:right w:w="108" w:type="dxa"/>
        </w:tblCellMar>
      </w:tblPr>
      <w:tblGrid>
        <w:gridCol w:w="764"/>
        <w:gridCol w:w="2463"/>
        <w:gridCol w:w="6159"/>
      </w:tblGrid>
      <w:tr w14:paraId="412CBD5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623CBC3">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77A44D9">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0345F36">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7D176DF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92CCDF2">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5A17DD7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采购人</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D6DC6A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highlight w:val="none"/>
                <w:lang w:val="zh-CN" w:eastAsia="zh-CN"/>
              </w:rPr>
            </w:pPr>
            <w:r>
              <w:rPr>
                <w:rFonts w:hint="eastAsia" w:ascii="仿宋" w:hAnsi="仿宋" w:eastAsia="仿宋" w:cs="Times New Roman"/>
                <w:color w:val="auto"/>
                <w:sz w:val="24"/>
                <w:szCs w:val="24"/>
                <w:highlight w:val="none"/>
                <w:lang w:val="zh-CN" w:eastAsia="zh-CN"/>
              </w:rPr>
              <w:t>名称：</w:t>
            </w:r>
            <w:r>
              <w:rPr>
                <w:rFonts w:hint="eastAsia" w:ascii="仿宋" w:hAnsi="仿宋" w:eastAsia="仿宋"/>
                <w:color w:val="auto"/>
                <w:sz w:val="24"/>
                <w:szCs w:val="24"/>
                <w:highlight w:val="none"/>
                <w:lang w:val="zh-CN" w:eastAsia="zh-CN"/>
              </w:rPr>
              <w:t xml:space="preserve">阿克苏市农业技术推广中心 </w:t>
            </w:r>
          </w:p>
          <w:p w14:paraId="3CC727C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zh-CN" w:eastAsia="zh-CN"/>
              </w:rPr>
              <w:t>地址：</w:t>
            </w:r>
            <w:r>
              <w:rPr>
                <w:rFonts w:hint="eastAsia" w:ascii="仿宋" w:hAnsi="仿宋" w:eastAsia="仿宋"/>
                <w:color w:val="auto"/>
                <w:sz w:val="24"/>
                <w:szCs w:val="24"/>
                <w:highlight w:val="none"/>
                <w:lang w:val="zh-CN" w:eastAsia="zh-CN"/>
              </w:rPr>
              <w:t>阿克苏市北京东路2号</w:t>
            </w:r>
          </w:p>
          <w:p w14:paraId="13ADB23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rPr>
            </w:pPr>
            <w:r>
              <w:rPr>
                <w:rFonts w:hint="eastAsia" w:ascii="仿宋" w:hAnsi="仿宋" w:eastAsia="仿宋" w:cs="Times New Roman"/>
                <w:color w:val="auto"/>
                <w:sz w:val="24"/>
                <w:szCs w:val="24"/>
                <w:highlight w:val="none"/>
                <w:lang w:val="zh-CN" w:eastAsia="zh-CN"/>
              </w:rPr>
              <w:t>联系人：朱志鹏</w:t>
            </w:r>
            <w:r>
              <w:rPr>
                <w:rFonts w:hint="eastAsia" w:ascii="仿宋" w:hAnsi="仿宋" w:eastAsia="仿宋" w:cs="Times New Roman"/>
                <w:color w:val="auto"/>
                <w:sz w:val="24"/>
                <w:szCs w:val="24"/>
                <w:highlight w:val="none"/>
                <w:lang w:val="en-US" w:eastAsia="zh-CN"/>
              </w:rPr>
              <w:t xml:space="preserve">    </w:t>
            </w:r>
            <w:r>
              <w:rPr>
                <w:rFonts w:hint="eastAsia" w:ascii="仿宋" w:hAnsi="仿宋" w:eastAsia="仿宋" w:cs="Times New Roman"/>
                <w:color w:val="auto"/>
                <w:sz w:val="24"/>
                <w:szCs w:val="24"/>
                <w:highlight w:val="none"/>
                <w:lang w:val="zh-CN" w:eastAsia="zh-CN"/>
              </w:rPr>
              <w:t>电话：19390726151</w:t>
            </w:r>
          </w:p>
        </w:tc>
      </w:tr>
      <w:tr w14:paraId="5AB844E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860A36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38AB2D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6F7539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名称：新疆锦皓项目管理有限公司</w:t>
            </w:r>
          </w:p>
          <w:p w14:paraId="6AD6AE4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地址：阿克苏市丝路古镇19栋003室</w:t>
            </w:r>
          </w:p>
          <w:p w14:paraId="49FF1CD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联系人：</w:t>
            </w:r>
            <w:r>
              <w:rPr>
                <w:rFonts w:hint="eastAsia" w:ascii="仿宋" w:hAnsi="仿宋" w:eastAsia="仿宋" w:cs="仿宋"/>
                <w:color w:val="auto"/>
                <w:sz w:val="24"/>
                <w:szCs w:val="24"/>
                <w:highlight w:val="none"/>
                <w:lang w:val="en-US" w:eastAsia="zh-CN"/>
              </w:rPr>
              <w:t>李群</w:t>
            </w:r>
          </w:p>
          <w:p w14:paraId="40C8F0D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en-US"/>
              </w:rPr>
              <w:t>电话：19326587256</w:t>
            </w:r>
          </w:p>
        </w:tc>
      </w:tr>
      <w:tr w14:paraId="1A2341A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2084E99">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2006BC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项目名称</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9610A7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阿克苏市2026年基层农技推广体系改革与建设项目---村级农技推广服务特聘计划项目</w:t>
            </w:r>
          </w:p>
        </w:tc>
      </w:tr>
      <w:tr w14:paraId="49F6597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1DEE54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B58B1D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项目编号</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DFF468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2026-C-30</w:t>
            </w:r>
          </w:p>
        </w:tc>
      </w:tr>
      <w:tr w14:paraId="68FE7C6A">
        <w:tblPrEx>
          <w:tblCellMar>
            <w:top w:w="0" w:type="dxa"/>
            <w:left w:w="108" w:type="dxa"/>
            <w:bottom w:w="0" w:type="dxa"/>
            <w:right w:w="108" w:type="dxa"/>
          </w:tblCellMar>
        </w:tblPrEx>
        <w:trPr>
          <w:trHeight w:val="416"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148C83B">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DDD53E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资金来源</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01C6F08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财政资金</w:t>
            </w:r>
          </w:p>
        </w:tc>
      </w:tr>
      <w:tr w14:paraId="41DCC22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A74FCA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105CDA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采购内容</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57F594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开展51名村级特聘农技员劳务补助发放，（每人每月1000元），其中包含税收费，保险费，管理费（详见采购需求）</w:t>
            </w:r>
          </w:p>
        </w:tc>
      </w:tr>
      <w:tr w14:paraId="71993488">
        <w:tblPrEx>
          <w:tblCellMar>
            <w:top w:w="0" w:type="dxa"/>
            <w:left w:w="108" w:type="dxa"/>
            <w:bottom w:w="0" w:type="dxa"/>
            <w:right w:w="108" w:type="dxa"/>
          </w:tblCellMar>
        </w:tblPrEx>
        <w:trPr>
          <w:trHeight w:val="41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B3064F9">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E05671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495582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670000.00元</w:t>
            </w:r>
          </w:p>
        </w:tc>
      </w:tr>
      <w:tr w14:paraId="73242520">
        <w:tblPrEx>
          <w:tblCellMar>
            <w:top w:w="0" w:type="dxa"/>
            <w:left w:w="108" w:type="dxa"/>
            <w:bottom w:w="0" w:type="dxa"/>
            <w:right w:w="108" w:type="dxa"/>
          </w:tblCellMar>
        </w:tblPrEx>
        <w:trPr>
          <w:trHeight w:val="439"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1C88912">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7AAC776">
            <w:pPr>
              <w:keepNext w:val="0"/>
              <w:keepLines w:val="0"/>
              <w:pageBreakBefore w:val="0"/>
              <w:widowControl w:val="0"/>
              <w:kinsoku/>
              <w:overflowPunct/>
              <w:topLinePunct w:val="0"/>
              <w:bidi w:val="0"/>
              <w:snapToGrid/>
              <w:spacing w:before="63" w:beforeLines="20"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20D7D7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w:t>
            </w:r>
          </w:p>
        </w:tc>
      </w:tr>
      <w:tr w14:paraId="01E3DE4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9886CA0">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72961A8">
            <w:pPr>
              <w:keepNext w:val="0"/>
              <w:keepLines w:val="0"/>
              <w:pageBreakBefore w:val="0"/>
              <w:widowControl w:val="0"/>
              <w:kinsoku/>
              <w:overflowPunct/>
              <w:topLinePunct w:val="0"/>
              <w:bidi w:val="0"/>
              <w:snapToGrid/>
              <w:spacing w:before="63" w:beforeLines="20" w:line="288"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服务期</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615064F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自合同签订之日起18个月</w:t>
            </w:r>
          </w:p>
        </w:tc>
      </w:tr>
      <w:tr w14:paraId="121829D1">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394D9A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835451C">
            <w:pPr>
              <w:keepNext w:val="0"/>
              <w:keepLines w:val="0"/>
              <w:pageBreakBefore w:val="0"/>
              <w:widowControl w:val="0"/>
              <w:kinsoku/>
              <w:overflowPunct/>
              <w:topLinePunct w:val="0"/>
              <w:bidi w:val="0"/>
              <w:snapToGrid/>
              <w:spacing w:before="63" w:beforeLines="20" w:line="288"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服务地点</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5A79D6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按甲乙双方合同中约定为准</w:t>
            </w:r>
          </w:p>
        </w:tc>
      </w:tr>
      <w:tr w14:paraId="48D96B7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F82E284">
            <w:pPr>
              <w:numPr>
                <w:ilvl w:val="0"/>
                <w:numId w:val="0"/>
              </w:numPr>
              <w:spacing w:line="400" w:lineRule="exact"/>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11</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4558870">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是否专门面向中小企业</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793ABE06">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是，本项目专门面向中小企业。对满足《政府采购促进中小企业发展管理办法》（财库﹝2020﹞46号）的规定的企业，不进行价格扣除扣除。</w:t>
            </w:r>
          </w:p>
          <w:p w14:paraId="5E9B4316">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所属行业：</w:t>
            </w:r>
            <w:r>
              <w:rPr>
                <w:rFonts w:hint="eastAsia" w:ascii="仿宋" w:hAnsi="仿宋" w:eastAsia="仿宋" w:cs="仿宋"/>
                <w:color w:val="auto"/>
                <w:sz w:val="24"/>
                <w:szCs w:val="24"/>
                <w:highlight w:val="none"/>
              </w:rPr>
              <w:t>租赁和商务服务业</w:t>
            </w:r>
          </w:p>
          <w:p w14:paraId="00D8B5D7">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14:paraId="2FBAAD06">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AC6750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5C6FA98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是否接受联合体报价</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723A4E4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不接受</w:t>
            </w:r>
          </w:p>
          <w:p w14:paraId="360EEA4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接受，应满足下列要求：</w:t>
            </w:r>
            <w:r>
              <w:rPr>
                <w:rFonts w:hint="eastAsia" w:ascii="仿宋" w:hAnsi="仿宋" w:eastAsia="仿宋" w:cs="仿宋"/>
                <w:color w:val="auto"/>
                <w:sz w:val="24"/>
                <w:szCs w:val="24"/>
                <w:highlight w:val="none"/>
                <w:u w:val="single"/>
              </w:rPr>
              <w:t xml:space="preserve">           </w:t>
            </w:r>
          </w:p>
        </w:tc>
      </w:tr>
      <w:tr w14:paraId="0D2480F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BC0E9C5">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6BF62B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响应有效期</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73A213A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自报价截止之日起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60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个日历天。</w:t>
            </w:r>
          </w:p>
        </w:tc>
      </w:tr>
      <w:tr w14:paraId="2478949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D73948C">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43543E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D7FB3B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0841450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6EF6037B">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p>
        </w:tc>
      </w:tr>
      <w:tr w14:paraId="2A8EDEC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47F73CB">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ACD9379">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履约保证金</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CF6ECD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不需要</w:t>
            </w:r>
          </w:p>
          <w:p w14:paraId="27325B2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需要，履约保证金的金额：成交合同金额的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%（履约保证金须以支票、汇票、本票或者金融机构、担保机构出具的保函等非现金形式提交）</w:t>
            </w:r>
            <w:r>
              <w:rPr>
                <w:rFonts w:hint="eastAsia" w:ascii="仿宋" w:hAnsi="仿宋" w:eastAsia="仿宋" w:cs="仿宋"/>
                <w:color w:val="auto"/>
                <w:sz w:val="24"/>
                <w:szCs w:val="24"/>
                <w:highlight w:val="none"/>
                <w:lang w:eastAsia="zh-CN"/>
              </w:rPr>
              <w:t>。</w:t>
            </w:r>
          </w:p>
        </w:tc>
      </w:tr>
      <w:tr w14:paraId="4606B6E8">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D76D41F">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7102C5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采购代理服务费支付</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6577C60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由采购人支付</w:t>
            </w:r>
          </w:p>
          <w:p w14:paraId="586656E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由成交供应商支付</w:t>
            </w:r>
          </w:p>
          <w:p w14:paraId="024AE8C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成交供应商在收到成交通知书时，须向代理机构支付招标代理服务费，招标代理服务费以预算价为计算基数，参照国家发展计划委员会“计价格（2002）1980号”、“发改价格〔2015〕299号”等文件计算。</w:t>
            </w:r>
          </w:p>
          <w:p w14:paraId="585AEA8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注：响应报价含采购代理服务费。</w:t>
            </w:r>
          </w:p>
        </w:tc>
      </w:tr>
      <w:tr w14:paraId="7823A576">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B08007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26D3F1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的其他材料</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8B666D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补充文件</w:t>
            </w:r>
          </w:p>
        </w:tc>
      </w:tr>
      <w:tr w14:paraId="571D5EF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62FF3ED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E9C17A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要求澄清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的截止时间</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41AC6EB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竞争性磋商文件发售截止</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lang w:val="zh-CN"/>
              </w:rPr>
              <w:t>日17点前</w:t>
            </w:r>
          </w:p>
        </w:tc>
      </w:tr>
      <w:tr w14:paraId="5F7B694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241141B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4ECA3A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澄清或修改的时间</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BDBA3C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从补充文件发布时间开始48小时内</w:t>
            </w:r>
          </w:p>
        </w:tc>
      </w:tr>
      <w:tr w14:paraId="788D7A15">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3E223DF">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C3F2E8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供应商资格条件</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4F19B09">
            <w:pPr>
              <w:keepNext w:val="0"/>
              <w:keepLines w:val="0"/>
              <w:pageBreakBefore w:val="0"/>
              <w:widowControl w:val="0"/>
              <w:numPr>
                <w:ilvl w:val="0"/>
                <w:numId w:val="5"/>
              </w:numPr>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满足《中华人民共和国政府采购法》第二十二条规定。</w:t>
            </w:r>
          </w:p>
          <w:p w14:paraId="78B46378">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ascii="仿宋" w:hAnsi="仿宋" w:eastAsia="仿宋" w:cs="仿宋"/>
                <w:spacing w:val="-3"/>
                <w:sz w:val="24"/>
                <w:szCs w:val="24"/>
              </w:rPr>
            </w:pPr>
            <w:r>
              <w:rPr>
                <w:rFonts w:ascii="仿宋" w:hAnsi="仿宋" w:eastAsia="仿宋" w:cs="仿宋"/>
                <w:spacing w:val="-3"/>
                <w:sz w:val="24"/>
                <w:szCs w:val="24"/>
              </w:rPr>
              <w:t>具备有效的营业执照</w:t>
            </w:r>
          </w:p>
          <w:p w14:paraId="6A7100CA">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ascii="仿宋" w:hAnsi="仿宋" w:eastAsia="仿宋" w:cs="仿宋"/>
                <w:spacing w:val="-1"/>
                <w:sz w:val="24"/>
                <w:szCs w:val="24"/>
              </w:rPr>
              <w:t>提供法定代表人身份资格证明文件或法定代表人授权委托书</w:t>
            </w:r>
          </w:p>
          <w:p w14:paraId="7B64571E">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hint="eastAsia" w:ascii="仿宋" w:hAnsi="仿宋" w:eastAsia="仿宋" w:cs="仿宋"/>
                <w:color w:val="auto"/>
                <w:sz w:val="24"/>
                <w:szCs w:val="24"/>
                <w:highlight w:val="none"/>
                <w:lang w:val="en-US" w:eastAsia="zh-CN"/>
              </w:rPr>
              <w:t>提供</w:t>
            </w:r>
            <w:r>
              <w:rPr>
                <w:rFonts w:hint="default" w:ascii="仿宋" w:hAnsi="仿宋" w:eastAsia="仿宋" w:cs="仿宋"/>
                <w:color w:val="auto"/>
                <w:sz w:val="24"/>
                <w:szCs w:val="24"/>
                <w:highlight w:val="none"/>
                <w:lang w:val="en-US" w:eastAsia="zh-CN"/>
              </w:rPr>
              <w:t>近三个月的完税证明</w:t>
            </w:r>
          </w:p>
          <w:p w14:paraId="33483B09">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hint="default" w:ascii="仿宋" w:hAnsi="仿宋" w:eastAsia="仿宋" w:cs="仿宋"/>
                <w:color w:val="auto"/>
                <w:sz w:val="24"/>
                <w:szCs w:val="24"/>
                <w:highlight w:val="none"/>
                <w:lang w:val="en-US" w:eastAsia="zh-CN"/>
              </w:rPr>
              <w:t>提供近三个月的社保(需有相关人员的社保缴纳明细，退休人员需提供退休证明)</w:t>
            </w:r>
          </w:p>
          <w:p w14:paraId="53E0D72A">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ascii="仿宋" w:hAnsi="仿宋" w:eastAsia="仿宋" w:cs="仿宋"/>
                <w:spacing w:val="-4"/>
                <w:sz w:val="24"/>
                <w:szCs w:val="24"/>
              </w:rPr>
              <w:t>提供近一年的财务审计报告（成立不足一年的提供企业成立至</w:t>
            </w:r>
            <w:r>
              <w:rPr>
                <w:rFonts w:ascii="仿宋" w:hAnsi="仿宋" w:eastAsia="仿宋" w:cs="仿宋"/>
                <w:spacing w:val="-3"/>
                <w:sz w:val="24"/>
                <w:szCs w:val="24"/>
              </w:rPr>
              <w:t>今的财务报表）</w:t>
            </w:r>
          </w:p>
          <w:p w14:paraId="4E61F085">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ascii="仿宋" w:hAnsi="仿宋" w:eastAsia="仿宋" w:cs="仿宋"/>
                <w:spacing w:val="-4"/>
                <w:sz w:val="24"/>
                <w:szCs w:val="24"/>
              </w:rPr>
              <w:t>参加政府采购活动前3年内，在经营活动中没有重大违法记录（提供参加政府采购活动近三年无重大违法记录承诺函或声明）</w:t>
            </w:r>
          </w:p>
          <w:p w14:paraId="07193986">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hint="eastAsia" w:ascii="仿宋" w:hAnsi="仿宋" w:eastAsia="仿宋" w:cs="仿宋"/>
                <w:color w:val="auto"/>
                <w:sz w:val="24"/>
                <w:szCs w:val="24"/>
                <w:highlight w:val="none"/>
                <w:lang w:val="en-US" w:eastAsia="zh-CN"/>
              </w:rPr>
              <w:t>具有履行合同所必需的设备和专业技术能力:供应商提供相关承诺书，格式自拟。</w:t>
            </w:r>
          </w:p>
          <w:p w14:paraId="025398CF">
            <w:pPr>
              <w:keepNext w:val="0"/>
              <w:keepLines w:val="0"/>
              <w:pageBreakBefore w:val="0"/>
              <w:widowControl w:val="0"/>
              <w:numPr>
                <w:ilvl w:val="0"/>
                <w:numId w:val="6"/>
              </w:numPr>
              <w:kinsoku/>
              <w:overflowPunct/>
              <w:topLinePunct w:val="0"/>
              <w:bidi w:val="0"/>
              <w:snapToGrid/>
              <w:spacing w:before="63" w:beforeLines="20" w:line="288" w:lineRule="auto"/>
              <w:textAlignment w:val="auto"/>
              <w:rPr>
                <w:rFonts w:hint="eastAsia" w:ascii="仿宋" w:hAnsi="仿宋" w:eastAsia="仿宋" w:cs="仿宋"/>
                <w:spacing w:val="-3"/>
                <w:sz w:val="24"/>
                <w:szCs w:val="24"/>
                <w:lang w:val="zh-CN"/>
              </w:rPr>
            </w:pPr>
            <w:r>
              <w:rPr>
                <w:rFonts w:hint="eastAsia" w:ascii="仿宋" w:hAnsi="仿宋" w:eastAsia="仿宋" w:cs="仿宋"/>
                <w:color w:val="auto"/>
                <w:sz w:val="24"/>
                <w:szCs w:val="24"/>
                <w:highlight w:val="none"/>
                <w:lang w:val="en-US" w:eastAsia="zh-CN"/>
              </w:rPr>
              <w:t>供应商须具有良好的信誉，未在“信用中国”网站（www.creditchina.gov.cn）、中国政府采购网（www.ccgp.gov.cn）被列入失信被执行人、重大税收违法案件当事人名单、政府采购违法失信名单且在处罚期内 （无须供应商提供，开标时由采购人或采购代理机构现场查询）</w:t>
            </w:r>
          </w:p>
          <w:p w14:paraId="4E4FA18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2.落实政府采购政策需满足的资格要求：  </w:t>
            </w:r>
          </w:p>
          <w:p w14:paraId="5E8AAE2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（1）财政部、工业和信息化部关于印发《政府采购促进中小企业发展管理办法》的通知（财库〔2020〕46号）；</w:t>
            </w:r>
          </w:p>
          <w:p w14:paraId="086E994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（2）《财政部、司法部关于政府采购支持监狱企业发展有关问题的通知》（财库[2014]68号）；</w:t>
            </w:r>
          </w:p>
          <w:p w14:paraId="36A1363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（3）《国务院办公厅关于建立政府强制采购节能产品制度的通知》（国发办[2007]51号）；</w:t>
            </w:r>
          </w:p>
          <w:p w14:paraId="0FD17DE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（4）《财政部民政部中国残疾人联合会关于促进残疾人就业政府采购政策的通知》财库[2017]141号；</w:t>
            </w:r>
          </w:p>
          <w:p w14:paraId="6ABC2FE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0C7AB6C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（6）按照《财政部关于在政府采购活动中查询及使用信用记录有关问题的通知》（财库〔2016〕125号）的要求，根据响应文件开启时间“信用中国”网站（</w:t>
            </w:r>
            <w:r>
              <w:rPr>
                <w:rFonts w:hint="eastAsia" w:ascii="仿宋" w:hAnsi="仿宋" w:eastAsia="仿宋" w:cs="仿宋"/>
                <w:color w:val="auto"/>
                <w:sz w:val="24"/>
                <w:szCs w:val="24"/>
                <w:highlight w:val="none"/>
                <w:lang w:val="zh-CN" w:eastAsia="zh-CN"/>
              </w:rPr>
              <w:fldChar w:fldCharType="begin"/>
            </w:r>
            <w:r>
              <w:rPr>
                <w:rFonts w:hint="eastAsia" w:ascii="仿宋" w:hAnsi="仿宋" w:eastAsia="仿宋" w:cs="仿宋"/>
                <w:color w:val="auto"/>
                <w:sz w:val="24"/>
                <w:szCs w:val="24"/>
                <w:highlight w:val="none"/>
                <w:lang w:val="zh-CN" w:eastAsia="zh-CN"/>
              </w:rPr>
              <w:instrText xml:space="preserve"> HYPERLINK "https://www.creditchina.gov.cn" </w:instrText>
            </w:r>
            <w:r>
              <w:rPr>
                <w:rFonts w:hint="eastAsia" w:ascii="仿宋" w:hAnsi="仿宋" w:eastAsia="仿宋" w:cs="仿宋"/>
                <w:color w:val="auto"/>
                <w:sz w:val="24"/>
                <w:szCs w:val="24"/>
                <w:highlight w:val="none"/>
                <w:lang w:val="zh-CN" w:eastAsia="zh-CN"/>
              </w:rPr>
              <w:fldChar w:fldCharType="separate"/>
            </w:r>
            <w:r>
              <w:rPr>
                <w:rFonts w:hint="eastAsia" w:ascii="仿宋" w:hAnsi="仿宋" w:eastAsia="仿宋" w:cs="仿宋"/>
                <w:color w:val="auto"/>
                <w:sz w:val="24"/>
                <w:szCs w:val="24"/>
                <w:highlight w:val="none"/>
                <w:lang w:val="zh-CN" w:eastAsia="zh-CN"/>
              </w:rPr>
              <w:t>www.creditchina.gov.cn</w:t>
            </w:r>
            <w:r>
              <w:rPr>
                <w:rFonts w:hint="eastAsia" w:ascii="仿宋" w:hAnsi="仿宋" w:eastAsia="仿宋" w:cs="仿宋"/>
                <w:color w:val="auto"/>
                <w:sz w:val="24"/>
                <w:szCs w:val="24"/>
                <w:highlight w:val="none"/>
                <w:lang w:val="zh-CN" w:eastAsia="zh-CN"/>
              </w:rPr>
              <w:fldChar w:fldCharType="end"/>
            </w:r>
            <w:r>
              <w:rPr>
                <w:rFonts w:hint="eastAsia" w:ascii="仿宋" w:hAnsi="仿宋" w:eastAsia="仿宋" w:cs="仿宋"/>
                <w:color w:val="auto"/>
                <w:sz w:val="24"/>
                <w:szCs w:val="24"/>
                <w:highlight w:val="none"/>
                <w:lang w:val="zh-CN" w:eastAsia="zh-CN"/>
              </w:rPr>
              <w:t>）、中国政府采购网（</w:t>
            </w:r>
            <w:r>
              <w:rPr>
                <w:rFonts w:hint="eastAsia" w:ascii="仿宋" w:hAnsi="仿宋" w:eastAsia="仿宋" w:cs="仿宋"/>
                <w:color w:val="auto"/>
                <w:sz w:val="24"/>
                <w:szCs w:val="24"/>
                <w:highlight w:val="none"/>
                <w:lang w:val="zh-CN" w:eastAsia="zh-CN"/>
              </w:rPr>
              <w:fldChar w:fldCharType="begin"/>
            </w:r>
            <w:r>
              <w:rPr>
                <w:rFonts w:hint="eastAsia" w:ascii="仿宋" w:hAnsi="仿宋" w:eastAsia="仿宋" w:cs="仿宋"/>
                <w:color w:val="auto"/>
                <w:sz w:val="24"/>
                <w:szCs w:val="24"/>
                <w:highlight w:val="none"/>
                <w:lang w:val="zh-CN" w:eastAsia="zh-CN"/>
              </w:rPr>
              <w:instrText xml:space="preserve"> HYPERLINK "https://www.ccgp.gov.cn" </w:instrText>
            </w:r>
            <w:r>
              <w:rPr>
                <w:rFonts w:hint="eastAsia" w:ascii="仿宋" w:hAnsi="仿宋" w:eastAsia="仿宋" w:cs="仿宋"/>
                <w:color w:val="auto"/>
                <w:sz w:val="24"/>
                <w:szCs w:val="24"/>
                <w:highlight w:val="none"/>
                <w:lang w:val="zh-CN" w:eastAsia="zh-CN"/>
              </w:rPr>
              <w:fldChar w:fldCharType="separate"/>
            </w:r>
            <w:r>
              <w:rPr>
                <w:rFonts w:hint="eastAsia" w:ascii="仿宋" w:hAnsi="仿宋" w:eastAsia="仿宋" w:cs="仿宋"/>
                <w:color w:val="auto"/>
                <w:sz w:val="24"/>
                <w:szCs w:val="24"/>
                <w:highlight w:val="none"/>
                <w:lang w:val="zh-CN" w:eastAsia="zh-CN"/>
              </w:rPr>
              <w:t>www.ccgp.gov.cn</w:t>
            </w:r>
            <w:r>
              <w:rPr>
                <w:rFonts w:hint="eastAsia" w:ascii="仿宋" w:hAnsi="仿宋" w:eastAsia="仿宋" w:cs="仿宋"/>
                <w:color w:val="auto"/>
                <w:sz w:val="24"/>
                <w:szCs w:val="24"/>
                <w:highlight w:val="none"/>
                <w:lang w:val="zh-CN" w:eastAsia="zh-CN"/>
              </w:rPr>
              <w:fldChar w:fldCharType="end"/>
            </w:r>
            <w:r>
              <w:rPr>
                <w:rFonts w:hint="eastAsia" w:ascii="仿宋" w:hAnsi="仿宋" w:eastAsia="仿宋" w:cs="仿宋"/>
                <w:color w:val="auto"/>
                <w:sz w:val="24"/>
                <w:szCs w:val="24"/>
                <w:highlight w:val="none"/>
                <w:lang w:val="zh-CN" w:eastAsia="zh-CN"/>
              </w:rPr>
              <w:t>）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2C3216D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（7）本项目专门面向中小企业采购。</w:t>
            </w:r>
          </w:p>
          <w:p w14:paraId="26106D4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3.本项目的特定资格要求：</w:t>
            </w:r>
            <w:r>
              <w:rPr>
                <w:rFonts w:hint="eastAsia" w:ascii="仿宋" w:hAnsi="仿宋" w:eastAsia="仿宋" w:cs="仿宋"/>
                <w:b/>
                <w:bCs/>
                <w:color w:val="auto"/>
                <w:sz w:val="24"/>
                <w:szCs w:val="24"/>
                <w:highlight w:val="none"/>
                <w:lang w:val="zh-CN"/>
              </w:rPr>
              <w:t>《</w:t>
            </w:r>
            <w:r>
              <w:rPr>
                <w:rFonts w:hint="default" w:ascii="仿宋" w:hAnsi="仿宋" w:eastAsia="仿宋" w:cs="仿宋"/>
                <w:b/>
                <w:bCs/>
                <w:color w:val="auto"/>
                <w:sz w:val="24"/>
                <w:szCs w:val="24"/>
                <w:highlight w:val="none"/>
                <w:lang w:val="en-US" w:eastAsia="zh-CN"/>
              </w:rPr>
              <w:t>劳务派遣经营许可证</w:t>
            </w:r>
            <w:r>
              <w:rPr>
                <w:rFonts w:hint="eastAsia" w:ascii="仿宋" w:hAnsi="仿宋" w:eastAsia="仿宋" w:cs="仿宋"/>
                <w:b/>
                <w:bCs/>
                <w:color w:val="auto"/>
                <w:sz w:val="24"/>
                <w:szCs w:val="24"/>
                <w:highlight w:val="none"/>
                <w:lang w:val="zh-CN"/>
              </w:rPr>
              <w:t>》</w:t>
            </w:r>
          </w:p>
        </w:tc>
      </w:tr>
      <w:tr w14:paraId="22C57F1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8C86F99">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D76439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是否允许递交备选报价方案</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4936174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101A42D7">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允许。要求：只有成交供应商所递交的备选报价方案方可予以考虑。磋商小组认为成交供应商的备选报价方案优于其按照竞争性磋商文件要求的报价方案，采购人可以接受该备选报价方案。</w:t>
            </w:r>
          </w:p>
        </w:tc>
      </w:tr>
      <w:tr w14:paraId="32FB69A3">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6976F1D">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B83CEB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响应报价的范围</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83DCCB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含税全包价。</w:t>
            </w:r>
          </w:p>
        </w:tc>
      </w:tr>
      <w:tr w14:paraId="50DDA38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E2C8AE9">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CA618A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响应报价的次数</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678367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本次响应报价</w:t>
            </w:r>
            <w:r>
              <w:rPr>
                <w:rFonts w:hint="eastAsia" w:ascii="仿宋" w:hAnsi="仿宋" w:eastAsia="仿宋" w:cs="仿宋"/>
                <w:b w:val="0"/>
                <w:bCs w:val="0"/>
                <w:color w:val="auto"/>
                <w:sz w:val="24"/>
                <w:highlight w:val="none"/>
              </w:rPr>
              <w:t>实行多轮报价，</w:t>
            </w:r>
            <w:r>
              <w:rPr>
                <w:rFonts w:hint="eastAsia" w:ascii="仿宋" w:hAnsi="仿宋" w:eastAsia="仿宋" w:cs="仿宋"/>
                <w:b w:val="0"/>
                <w:bCs w:val="0"/>
                <w:color w:val="auto"/>
                <w:sz w:val="24"/>
                <w:szCs w:val="24"/>
                <w:highlight w:val="none"/>
              </w:rPr>
              <w:t>原则上</w:t>
            </w:r>
            <w:r>
              <w:rPr>
                <w:rFonts w:hint="eastAsia" w:ascii="仿宋" w:hAnsi="仿宋" w:eastAsia="仿宋" w:cs="仿宋"/>
                <w:b w:val="0"/>
                <w:bCs w:val="0"/>
                <w:color w:val="auto"/>
                <w:sz w:val="24"/>
                <w:highlight w:val="none"/>
              </w:rPr>
              <w:t>第</w:t>
            </w:r>
            <w:r>
              <w:rPr>
                <w:rFonts w:hint="eastAsia" w:ascii="仿宋" w:hAnsi="仿宋" w:eastAsia="仿宋" w:cs="仿宋"/>
                <w:b w:val="0"/>
                <w:bCs w:val="0"/>
                <w:color w:val="auto"/>
                <w:sz w:val="24"/>
                <w:highlight w:val="none"/>
                <w:lang w:val="en-US" w:eastAsia="zh-CN"/>
              </w:rPr>
              <w:t>二</w:t>
            </w:r>
            <w:r>
              <w:rPr>
                <w:rFonts w:hint="eastAsia" w:ascii="仿宋" w:hAnsi="仿宋" w:eastAsia="仿宋" w:cs="仿宋"/>
                <w:b w:val="0"/>
                <w:bCs w:val="0"/>
                <w:color w:val="auto"/>
                <w:sz w:val="24"/>
                <w:highlight w:val="none"/>
              </w:rPr>
              <w:t>轮报价为最终报价</w:t>
            </w:r>
            <w:r>
              <w:rPr>
                <w:rFonts w:hint="eastAsia" w:ascii="仿宋" w:hAnsi="仿宋" w:eastAsia="仿宋" w:cs="仿宋"/>
                <w:b w:val="0"/>
                <w:bCs w:val="0"/>
                <w:color w:val="auto"/>
                <w:sz w:val="24"/>
                <w:highlight w:val="none"/>
                <w:lang w:val="en-GB"/>
              </w:rPr>
              <w:t>。</w:t>
            </w:r>
          </w:p>
        </w:tc>
      </w:tr>
      <w:tr w14:paraId="32E263C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FB137C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0E5298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投标保证金的交纳</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F68EF4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无</w:t>
            </w:r>
          </w:p>
        </w:tc>
      </w:tr>
      <w:tr w14:paraId="7A97F9A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81505DF">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40271D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响应文件编制</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4D0122A">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0187031D">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响应文件</w:t>
            </w:r>
            <w:r>
              <w:rPr>
                <w:rFonts w:hint="eastAsia" w:ascii="仿宋" w:hAnsi="仿宋" w:eastAsia="仿宋" w:cs="仿宋"/>
                <w:color w:val="auto"/>
                <w:sz w:val="24"/>
                <w:szCs w:val="24"/>
                <w:highlight w:val="none"/>
                <w:lang w:val="en-US" w:eastAsia="zh-CN"/>
              </w:rPr>
              <w:t>不分册</w:t>
            </w:r>
            <w:r>
              <w:rPr>
                <w:rFonts w:hint="eastAsia" w:ascii="仿宋" w:hAnsi="仿宋" w:eastAsia="仿宋" w:cs="仿宋"/>
                <w:color w:val="auto"/>
                <w:sz w:val="24"/>
                <w:szCs w:val="24"/>
                <w:highlight w:val="none"/>
                <w:lang w:val="zh-CN"/>
              </w:rPr>
              <w:t>。</w:t>
            </w:r>
          </w:p>
          <w:p w14:paraId="1CFADA47">
            <w:pPr>
              <w:spacing w:line="4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的要求编写</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3C3E55E">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供应商中标后应按要求提供纸质响应文件</w:t>
            </w:r>
            <w:r>
              <w:rPr>
                <w:rFonts w:hint="eastAsia" w:ascii="仿宋" w:hAnsi="仿宋" w:eastAsia="仿宋" w:cs="仿宋"/>
                <w:color w:val="auto"/>
                <w:sz w:val="24"/>
                <w:szCs w:val="24"/>
                <w:highlight w:val="none"/>
                <w:lang w:val="zh-CN"/>
              </w:rPr>
              <w:t>。</w:t>
            </w:r>
          </w:p>
        </w:tc>
      </w:tr>
      <w:tr w14:paraId="3DC3028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14:paraId="7318A96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FCDE64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响应文件签署和盖章</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C312C30">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1.竞争性磋商文件要求供应商法定代表人或者被授权代表签字处，均须</w:t>
            </w:r>
            <w:r>
              <w:rPr>
                <w:rFonts w:hint="eastAsia" w:ascii="仿宋" w:hAnsi="仿宋" w:eastAsia="仿宋" w:cs="仿宋"/>
                <w:color w:val="auto"/>
                <w:sz w:val="24"/>
                <w:szCs w:val="24"/>
                <w:highlight w:val="none"/>
                <w:lang w:val="en-US" w:eastAsia="zh-CN"/>
              </w:rPr>
              <w:t>签字或加盖其个人电子印章</w:t>
            </w:r>
            <w:r>
              <w:rPr>
                <w:rFonts w:hint="eastAsia" w:ascii="仿宋" w:hAnsi="仿宋" w:eastAsia="仿宋" w:cs="仿宋"/>
                <w:color w:val="auto"/>
                <w:sz w:val="24"/>
                <w:szCs w:val="24"/>
                <w:highlight w:val="none"/>
                <w:lang w:val="zh-CN"/>
              </w:rPr>
              <w:t>。</w:t>
            </w:r>
          </w:p>
          <w:p w14:paraId="3064B738">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w:t>
            </w:r>
            <w:r>
              <w:rPr>
                <w:rFonts w:hint="eastAsia" w:ascii="仿宋" w:hAnsi="仿宋" w:eastAsia="仿宋" w:cs="仿宋"/>
                <w:color w:val="auto"/>
                <w:sz w:val="24"/>
                <w:szCs w:val="24"/>
                <w:highlight w:val="none"/>
                <w:lang w:val="en-US" w:eastAsia="zh-CN"/>
              </w:rPr>
              <w:t>签章的</w:t>
            </w:r>
            <w:r>
              <w:rPr>
                <w:rFonts w:hint="eastAsia" w:ascii="仿宋" w:hAnsi="仿宋" w:eastAsia="仿宋" w:cs="仿宋"/>
                <w:color w:val="auto"/>
                <w:sz w:val="24"/>
                <w:szCs w:val="24"/>
                <w:highlight w:val="none"/>
                <w:lang w:val="zh-CN"/>
              </w:rPr>
              <w:t>，响应文件应附法人授权委托书。</w:t>
            </w:r>
          </w:p>
          <w:p w14:paraId="1C3E7617">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.供应商在响应文件以及相关书面文件中的单位盖章（包括印章、公章等）均指与供应商名称全称相一致的标准公章，不得使用其他形式（如带有“专用章”、“合同章”、“财务章”、“业务章”等）的印章。</w:t>
            </w:r>
          </w:p>
        </w:tc>
      </w:tr>
      <w:tr w14:paraId="13DFA11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78BD388">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E48D19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响应文件加密、上传</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63E9E639">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本项目采用不见面开标，供应商须在投标截止时间前，将生成的“电子加密响应文件”上传递交至“政府采购云平台”，投标截止时间以后上传递交的响应文件将被“政府采购 云平台”拒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655F688B">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0DD1493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57A3979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签到及电子响应文件解密</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10DAC0E5">
            <w:pPr>
              <w:spacing w:line="380" w:lineRule="exact"/>
              <w:ind w:firstLine="480" w:firstLineChars="200"/>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lang w:val="zh-CN"/>
              </w:rPr>
              <w:t>供应商登录政采云平台，在投标截止时间前必须完成签到，（本项目解密时长为：30分钟，签名时长为：10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14:paraId="6ECC9AE6">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F156978">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BDC17A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递交响应文件截止时间</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0E1431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1"/>
                <w:sz w:val="24"/>
                <w:szCs w:val="24"/>
                <w:highlight w:val="none"/>
                <w:lang w:val="zh-CN" w:eastAsia="zh-CN"/>
              </w:rPr>
            </w:pPr>
            <w:r>
              <w:rPr>
                <w:rFonts w:hint="eastAsia" w:ascii="仿宋" w:hAnsi="仿宋" w:eastAsia="仿宋" w:cs="仿宋"/>
                <w:color w:val="auto"/>
                <w:kern w:val="1"/>
                <w:sz w:val="24"/>
                <w:szCs w:val="24"/>
                <w:highlight w:val="none"/>
                <w:lang w:val="zh-CN" w:eastAsia="zh-CN"/>
              </w:rPr>
              <w:t>2026年</w:t>
            </w:r>
            <w:r>
              <w:rPr>
                <w:rFonts w:hint="eastAsia" w:ascii="仿宋" w:hAnsi="仿宋" w:eastAsia="仿宋" w:cs="仿宋"/>
                <w:color w:val="auto"/>
                <w:kern w:val="1"/>
                <w:sz w:val="24"/>
                <w:szCs w:val="24"/>
                <w:highlight w:val="none"/>
                <w:lang w:val="en-US" w:eastAsia="zh-CN"/>
              </w:rPr>
              <w:t>05</w:t>
            </w:r>
            <w:r>
              <w:rPr>
                <w:rFonts w:hint="eastAsia" w:ascii="仿宋" w:hAnsi="仿宋" w:eastAsia="仿宋" w:cs="仿宋"/>
                <w:color w:val="auto"/>
                <w:kern w:val="1"/>
                <w:sz w:val="24"/>
                <w:szCs w:val="24"/>
                <w:highlight w:val="none"/>
                <w:lang w:val="zh-CN" w:eastAsia="zh-CN"/>
              </w:rPr>
              <w:t>月</w:t>
            </w:r>
            <w:r>
              <w:rPr>
                <w:rFonts w:hint="eastAsia" w:ascii="仿宋" w:hAnsi="仿宋" w:eastAsia="仿宋" w:cs="仿宋"/>
                <w:color w:val="auto"/>
                <w:kern w:val="1"/>
                <w:sz w:val="24"/>
                <w:szCs w:val="24"/>
                <w:highlight w:val="none"/>
                <w:lang w:val="en-US" w:eastAsia="zh-CN"/>
              </w:rPr>
              <w:t>18</w:t>
            </w:r>
            <w:r>
              <w:rPr>
                <w:rFonts w:hint="eastAsia" w:ascii="仿宋" w:hAnsi="仿宋" w:eastAsia="仿宋" w:cs="仿宋"/>
                <w:color w:val="auto"/>
                <w:kern w:val="1"/>
                <w:sz w:val="24"/>
                <w:szCs w:val="24"/>
                <w:highlight w:val="none"/>
                <w:lang w:val="zh-CN" w:eastAsia="zh-CN"/>
              </w:rPr>
              <w:t>日</w:t>
            </w:r>
            <w:r>
              <w:rPr>
                <w:rFonts w:hint="eastAsia" w:ascii="仿宋" w:hAnsi="仿宋" w:eastAsia="仿宋" w:cs="仿宋"/>
                <w:color w:val="auto"/>
                <w:kern w:val="1"/>
                <w:sz w:val="24"/>
                <w:szCs w:val="24"/>
                <w:highlight w:val="none"/>
                <w:lang w:val="en-US" w:eastAsia="zh-CN"/>
              </w:rPr>
              <w:t>11点30分</w:t>
            </w:r>
            <w:r>
              <w:rPr>
                <w:rFonts w:hint="eastAsia" w:ascii="仿宋" w:hAnsi="仿宋" w:eastAsia="仿宋" w:cs="仿宋"/>
                <w:color w:val="auto"/>
                <w:kern w:val="1"/>
                <w:sz w:val="24"/>
                <w:szCs w:val="24"/>
                <w:highlight w:val="none"/>
                <w:lang w:val="zh-CN"/>
              </w:rPr>
              <w:t>（北京时间）</w:t>
            </w:r>
          </w:p>
        </w:tc>
      </w:tr>
      <w:tr w14:paraId="5FBB110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D236B76">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14EE47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开标时间及地点</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059EDDC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1"/>
                <w:sz w:val="24"/>
                <w:szCs w:val="24"/>
                <w:highlight w:val="none"/>
                <w:lang w:val="zh-CN"/>
              </w:rPr>
            </w:pPr>
            <w:r>
              <w:rPr>
                <w:rFonts w:hint="eastAsia" w:ascii="仿宋" w:hAnsi="仿宋" w:eastAsia="仿宋" w:cs="仿宋"/>
                <w:color w:val="auto"/>
                <w:kern w:val="1"/>
                <w:sz w:val="24"/>
                <w:szCs w:val="24"/>
                <w:highlight w:val="none"/>
                <w:lang w:val="zh-CN"/>
              </w:rPr>
              <w:t>截止时间：</w:t>
            </w:r>
            <w:r>
              <w:rPr>
                <w:rFonts w:hint="eastAsia" w:ascii="仿宋" w:hAnsi="仿宋" w:eastAsia="仿宋" w:cs="仿宋"/>
                <w:color w:val="auto"/>
                <w:kern w:val="1"/>
                <w:sz w:val="24"/>
                <w:szCs w:val="24"/>
                <w:highlight w:val="none"/>
                <w:lang w:val="zh-CN" w:eastAsia="zh-CN"/>
              </w:rPr>
              <w:t>2026年</w:t>
            </w:r>
            <w:r>
              <w:rPr>
                <w:rFonts w:hint="eastAsia" w:ascii="仿宋" w:hAnsi="仿宋" w:eastAsia="仿宋" w:cs="仿宋"/>
                <w:color w:val="auto"/>
                <w:kern w:val="1"/>
                <w:sz w:val="24"/>
                <w:szCs w:val="24"/>
                <w:highlight w:val="none"/>
                <w:lang w:val="en-US" w:eastAsia="zh-CN"/>
              </w:rPr>
              <w:t>05</w:t>
            </w:r>
            <w:r>
              <w:rPr>
                <w:rFonts w:hint="eastAsia" w:ascii="仿宋" w:hAnsi="仿宋" w:eastAsia="仿宋" w:cs="仿宋"/>
                <w:color w:val="auto"/>
                <w:kern w:val="1"/>
                <w:sz w:val="24"/>
                <w:szCs w:val="24"/>
                <w:highlight w:val="none"/>
                <w:lang w:val="zh-CN" w:eastAsia="zh-CN"/>
              </w:rPr>
              <w:t>月</w:t>
            </w:r>
            <w:r>
              <w:rPr>
                <w:rFonts w:hint="eastAsia" w:ascii="仿宋" w:hAnsi="仿宋" w:eastAsia="仿宋" w:cs="仿宋"/>
                <w:color w:val="auto"/>
                <w:kern w:val="1"/>
                <w:sz w:val="24"/>
                <w:szCs w:val="24"/>
                <w:highlight w:val="none"/>
                <w:lang w:val="en-US" w:eastAsia="zh-CN"/>
              </w:rPr>
              <w:t>18</w:t>
            </w:r>
            <w:r>
              <w:rPr>
                <w:rFonts w:hint="eastAsia" w:ascii="仿宋" w:hAnsi="仿宋" w:eastAsia="仿宋" w:cs="仿宋"/>
                <w:color w:val="auto"/>
                <w:kern w:val="1"/>
                <w:sz w:val="24"/>
                <w:szCs w:val="24"/>
                <w:highlight w:val="none"/>
                <w:lang w:val="zh-CN" w:eastAsia="zh-CN"/>
              </w:rPr>
              <w:t>日</w:t>
            </w:r>
            <w:r>
              <w:rPr>
                <w:rFonts w:hint="eastAsia" w:ascii="仿宋" w:hAnsi="仿宋" w:eastAsia="仿宋" w:cs="仿宋"/>
                <w:color w:val="auto"/>
                <w:kern w:val="1"/>
                <w:sz w:val="24"/>
                <w:szCs w:val="24"/>
                <w:highlight w:val="none"/>
                <w:lang w:val="en-US" w:eastAsia="zh-CN"/>
              </w:rPr>
              <w:t>11点30分</w:t>
            </w:r>
            <w:r>
              <w:rPr>
                <w:rFonts w:hint="eastAsia" w:ascii="仿宋" w:hAnsi="仿宋" w:eastAsia="仿宋" w:cs="仿宋"/>
                <w:color w:val="auto"/>
                <w:kern w:val="1"/>
                <w:sz w:val="24"/>
                <w:szCs w:val="24"/>
                <w:highlight w:val="none"/>
                <w:lang w:val="zh-CN"/>
              </w:rPr>
              <w:t>（北京时间）</w:t>
            </w:r>
          </w:p>
          <w:p w14:paraId="6C9C199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lang w:val="zh-CN"/>
              </w:rPr>
              <w:t>地点：</w:t>
            </w:r>
            <w:r>
              <w:rPr>
                <w:rFonts w:hint="eastAsia" w:ascii="仿宋" w:hAnsi="仿宋" w:eastAsia="仿宋" w:cs="仿宋"/>
                <w:color w:val="auto"/>
                <w:kern w:val="1"/>
                <w:sz w:val="24"/>
                <w:szCs w:val="24"/>
                <w:highlight w:val="none"/>
                <w:lang w:val="en-US" w:eastAsia="zh-CN"/>
              </w:rPr>
              <w:t>阿克苏市公共资源交易中心</w:t>
            </w:r>
          </w:p>
        </w:tc>
      </w:tr>
      <w:tr w14:paraId="30EA2318">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ECA5CD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658F6AA">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02886C9E">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磋商小组共</w:t>
            </w:r>
            <w:r>
              <w:rPr>
                <w:rFonts w:hint="eastAsia" w:ascii="仿宋" w:hAnsi="仿宋" w:eastAsia="仿宋" w:cs="仿宋"/>
                <w:color w:val="auto"/>
                <w:sz w:val="24"/>
                <w:szCs w:val="24"/>
                <w:highlight w:val="none"/>
                <w:u w:val="single"/>
                <w:lang w:val="en-US" w:eastAsia="zh-CN"/>
              </w:rPr>
              <w:t xml:space="preserve"> 3 </w:t>
            </w:r>
            <w:r>
              <w:rPr>
                <w:rFonts w:hint="eastAsia" w:ascii="仿宋" w:hAnsi="仿宋" w:eastAsia="仿宋" w:cs="仿宋"/>
                <w:color w:val="auto"/>
                <w:sz w:val="24"/>
                <w:szCs w:val="24"/>
                <w:highlight w:val="none"/>
                <w:lang w:val="zh-CN"/>
              </w:rPr>
              <w:t>人，其中：</w:t>
            </w:r>
          </w:p>
          <w:p w14:paraId="0A8F3654">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lang w:val="en-US" w:eastAsia="zh-CN"/>
              </w:rPr>
              <w:t xml:space="preserve"> 0 </w:t>
            </w:r>
            <w:r>
              <w:rPr>
                <w:rFonts w:hint="eastAsia" w:ascii="仿宋" w:hAnsi="仿宋" w:eastAsia="仿宋" w:cs="仿宋"/>
                <w:color w:val="auto"/>
                <w:sz w:val="24"/>
                <w:szCs w:val="24"/>
                <w:highlight w:val="none"/>
                <w:lang w:val="zh-CN"/>
              </w:rPr>
              <w:t>人，评审专家</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w:t>
            </w:r>
          </w:p>
        </w:tc>
      </w:tr>
      <w:tr w14:paraId="51627360">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6AAD6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B0E592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评审办法</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3EAFB50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综合评分法</w:t>
            </w:r>
          </w:p>
        </w:tc>
      </w:tr>
      <w:tr w14:paraId="00C0CB4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BAF6D7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58B7039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小组确定成交</w:t>
            </w:r>
            <w:r>
              <w:rPr>
                <w:rFonts w:hint="eastAsia" w:ascii="仿宋" w:hAnsi="仿宋" w:eastAsia="仿宋" w:cs="仿宋"/>
                <w:color w:val="auto"/>
                <w:sz w:val="24"/>
                <w:szCs w:val="24"/>
                <w:highlight w:val="none"/>
                <w:lang w:eastAsia="zh-CN"/>
              </w:rPr>
              <w:t>供应商</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6854890C">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是，</w:t>
            </w:r>
            <w:r>
              <w:rPr>
                <w:rFonts w:hint="eastAsia" w:ascii="仿宋" w:hAnsi="仿宋" w:eastAsia="仿宋" w:cs="仿宋"/>
                <w:color w:val="auto"/>
                <w:sz w:val="24"/>
                <w:szCs w:val="24"/>
                <w:highlight w:val="none"/>
                <w:lang w:val="zh-CN"/>
              </w:rPr>
              <w:t>每包确定一个成交供应商，成交结果在相关媒介发布，公告期限为1个工作日。</w:t>
            </w:r>
          </w:p>
          <w:p w14:paraId="540EF7A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否，推荐的成交候选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个数：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p>
        </w:tc>
      </w:tr>
      <w:tr w14:paraId="2AE3383D">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3A0D83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6DA3594">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行业类型</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1FBBE6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租赁和商务服务业</w:t>
            </w:r>
          </w:p>
        </w:tc>
      </w:tr>
      <w:tr w14:paraId="13A1273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1F8ED85">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8622" w:type="dxa"/>
            <w:gridSpan w:val="2"/>
            <w:tcBorders>
              <w:top w:val="single" w:color="auto" w:sz="4" w:space="0"/>
              <w:left w:val="single" w:color="auto" w:sz="4" w:space="0"/>
              <w:bottom w:val="single" w:color="auto" w:sz="4" w:space="0"/>
              <w:right w:val="single" w:color="auto" w:sz="4" w:space="0"/>
            </w:tcBorders>
            <w:noWrap w:val="0"/>
            <w:vAlign w:val="center"/>
          </w:tcPr>
          <w:p w14:paraId="735E043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1D4AC06E">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0302191">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71C03E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供应商电子不见面开标注意事项</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4272AE8A">
            <w:pPr>
              <w:spacing w:line="380" w:lineRule="exact"/>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本次</w:t>
            </w:r>
            <w:r>
              <w:rPr>
                <w:rFonts w:hint="eastAsia" w:ascii="仿宋" w:hAnsi="仿宋" w:eastAsia="仿宋" w:cs="仿宋"/>
                <w:color w:val="auto"/>
                <w:kern w:val="1"/>
                <w:sz w:val="24"/>
                <w:szCs w:val="24"/>
                <w:highlight w:val="none"/>
                <w:lang w:val="en-US" w:eastAsia="zh-CN"/>
              </w:rPr>
              <w:t>采购</w:t>
            </w:r>
            <w:r>
              <w:rPr>
                <w:rFonts w:hint="eastAsia" w:ascii="仿宋" w:hAnsi="仿宋" w:eastAsia="仿宋" w:cs="仿宋"/>
                <w:color w:val="auto"/>
                <w:kern w:val="1"/>
                <w:sz w:val="24"/>
                <w:szCs w:val="24"/>
                <w:highlight w:val="none"/>
              </w:rPr>
              <w:t>活动</w:t>
            </w:r>
            <w:r>
              <w:rPr>
                <w:rFonts w:hint="eastAsia" w:ascii="仿宋" w:hAnsi="仿宋" w:eastAsia="仿宋" w:cs="仿宋"/>
                <w:color w:val="auto"/>
                <w:kern w:val="1"/>
                <w:sz w:val="24"/>
                <w:szCs w:val="24"/>
                <w:highlight w:val="none"/>
                <w:lang w:val="en-US" w:eastAsia="zh-CN"/>
              </w:rPr>
              <w:t>不要求供应商到场递交响应文件，仅需在政采云平台递交已加密的电子响应文件，并注意以下事项</w:t>
            </w:r>
            <w:r>
              <w:rPr>
                <w:rFonts w:hint="eastAsia" w:ascii="仿宋" w:hAnsi="仿宋" w:eastAsia="仿宋" w:cs="仿宋"/>
                <w:color w:val="auto"/>
                <w:kern w:val="1"/>
                <w:sz w:val="24"/>
                <w:szCs w:val="24"/>
                <w:highlight w:val="none"/>
              </w:rPr>
              <w:t>：</w:t>
            </w:r>
          </w:p>
          <w:p w14:paraId="51B5EDBF">
            <w:pPr>
              <w:spacing w:line="380" w:lineRule="exact"/>
              <w:outlineLvl w:val="9"/>
              <w:rPr>
                <w:rStyle w:val="100"/>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lang w:val="en-US" w:eastAsia="zh-CN"/>
              </w:rPr>
              <w:t>1</w:t>
            </w:r>
            <w:r>
              <w:rPr>
                <w:rFonts w:hint="eastAsia" w:ascii="仿宋" w:hAnsi="仿宋" w:eastAsia="仿宋" w:cs="仿宋"/>
                <w:color w:val="auto"/>
                <w:kern w:val="1"/>
                <w:sz w:val="24"/>
                <w:szCs w:val="24"/>
                <w:highlight w:val="none"/>
              </w:rPr>
              <w:t>.</w:t>
            </w:r>
            <w:r>
              <w:rPr>
                <w:rStyle w:val="100"/>
                <w:rFonts w:hint="eastAsia" w:ascii="仿宋" w:hAnsi="仿宋" w:eastAsia="仿宋" w:cs="仿宋"/>
                <w:color w:val="auto"/>
                <w:sz w:val="24"/>
                <w:szCs w:val="24"/>
                <w:highlight w:val="none"/>
              </w:rPr>
              <w:t>本项目为电子招投标项目，</w:t>
            </w:r>
            <w:r>
              <w:rPr>
                <w:rStyle w:val="100"/>
                <w:rFonts w:hint="eastAsia" w:ascii="仿宋" w:hAnsi="仿宋" w:eastAsia="仿宋" w:cs="仿宋"/>
                <w:color w:val="auto"/>
                <w:sz w:val="24"/>
                <w:szCs w:val="24"/>
                <w:highlight w:val="none"/>
                <w:lang w:eastAsia="zh-CN"/>
              </w:rPr>
              <w:t>供应商</w:t>
            </w:r>
            <w:r>
              <w:rPr>
                <w:rStyle w:val="100"/>
                <w:rFonts w:hint="eastAsia" w:ascii="仿宋" w:hAnsi="仿宋" w:eastAsia="仿宋" w:cs="仿宋"/>
                <w:color w:val="auto"/>
                <w:sz w:val="24"/>
                <w:szCs w:val="24"/>
                <w:highlight w:val="none"/>
              </w:rPr>
              <w:t>需要使用 CA 加密设备，凡参加本项目</w:t>
            </w:r>
            <w:r>
              <w:rPr>
                <w:rStyle w:val="100"/>
                <w:rFonts w:hint="eastAsia" w:ascii="仿宋" w:hAnsi="仿宋" w:eastAsia="仿宋" w:cs="仿宋"/>
                <w:color w:val="auto"/>
                <w:sz w:val="24"/>
                <w:szCs w:val="24"/>
                <w:highlight w:val="none"/>
                <w:lang w:eastAsia="zh-CN"/>
              </w:rPr>
              <w:t>供应商</w:t>
            </w:r>
            <w:r>
              <w:rPr>
                <w:rStyle w:val="100"/>
                <w:rFonts w:hint="eastAsia" w:ascii="仿宋" w:hAnsi="仿宋" w:eastAsia="仿宋" w:cs="仿宋"/>
                <w:color w:val="auto"/>
                <w:sz w:val="24"/>
                <w:szCs w:val="24"/>
                <w:highlight w:val="none"/>
              </w:rPr>
              <w:t>可通过新疆数字证书 认证中心官网（https://www.xjca.com.cn/）或下载 “新疆政务通”APP 自行进行线上申领，如有操作性 问题可与政采云在线客服进行咨询，咨询电话： 400-881-7190。</w:t>
            </w:r>
          </w:p>
          <w:p w14:paraId="2201DC89">
            <w:pPr>
              <w:spacing w:line="380" w:lineRule="exact"/>
              <w:outlineLvl w:val="9"/>
              <w:rPr>
                <w:rStyle w:val="100"/>
                <w:rFonts w:hint="eastAsia" w:ascii="仿宋" w:hAnsi="仿宋" w:eastAsia="仿宋" w:cs="仿宋"/>
                <w:color w:val="auto"/>
                <w:sz w:val="24"/>
                <w:szCs w:val="24"/>
                <w:highlight w:val="none"/>
                <w:lang w:val="en-US" w:eastAsia="zh-CN"/>
              </w:rPr>
            </w:pPr>
            <w:r>
              <w:rPr>
                <w:rStyle w:val="100"/>
                <w:rFonts w:hint="eastAsia" w:ascii="仿宋" w:hAnsi="仿宋" w:eastAsia="仿宋" w:cs="仿宋"/>
                <w:color w:val="auto"/>
                <w:sz w:val="24"/>
                <w:szCs w:val="24"/>
                <w:highlight w:val="none"/>
                <w:lang w:val="en-US" w:eastAsia="zh-CN"/>
              </w:rPr>
              <w:t>2.供应商应在开标前应确保成为新疆政府采购网正式注册入库供应商，并完成CA数字证书申领。因未注册入库、未办理CA数字证书等原因造成无法投标或投标失败等后果由供应商自行承担。</w:t>
            </w:r>
          </w:p>
          <w:p w14:paraId="79D79FD6">
            <w:pPr>
              <w:spacing w:line="380" w:lineRule="exac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仿宋" w:hAnsi="仿宋" w:eastAsia="仿宋" w:cs="仿宋"/>
                <w:color w:val="auto"/>
                <w:sz w:val="24"/>
                <w:szCs w:val="24"/>
                <w:highlight w:val="none"/>
                <w:lang w:eastAsia="zh-CN"/>
              </w:rPr>
              <w:t>。</w:t>
            </w:r>
          </w:p>
        </w:tc>
      </w:tr>
      <w:tr w14:paraId="5E3FCDBD">
        <w:tblPrEx>
          <w:tblCellMar>
            <w:top w:w="0" w:type="dxa"/>
            <w:left w:w="108" w:type="dxa"/>
            <w:bottom w:w="0" w:type="dxa"/>
            <w:right w:w="108" w:type="dxa"/>
          </w:tblCellMar>
        </w:tblPrEx>
        <w:trPr>
          <w:trHeight w:val="0" w:hRule="atLeast"/>
        </w:trPr>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742DC17F">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2</w:t>
            </w:r>
          </w:p>
        </w:tc>
        <w:tc>
          <w:tcPr>
            <w:tcW w:w="2463" w:type="dxa"/>
            <w:vMerge w:val="restart"/>
            <w:tcBorders>
              <w:top w:val="single" w:color="auto" w:sz="4" w:space="0"/>
              <w:left w:val="single" w:color="auto" w:sz="4" w:space="0"/>
              <w:bottom w:val="single" w:color="auto" w:sz="4" w:space="0"/>
              <w:right w:val="single" w:color="auto" w:sz="4" w:space="0"/>
            </w:tcBorders>
            <w:noWrap w:val="0"/>
            <w:vAlign w:val="center"/>
          </w:tcPr>
          <w:p w14:paraId="1B4751D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4FD073B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s="仿宋"/>
                <w:color w:val="auto"/>
                <w:sz w:val="24"/>
                <w:szCs w:val="24"/>
                <w:highlight w:val="none"/>
              </w:rPr>
              <w:t>最初产生的区别于复制件的原始文件或文件的原本或公证处出具的文件复制件公证书。</w:t>
            </w:r>
          </w:p>
        </w:tc>
      </w:tr>
      <w:tr w14:paraId="0421E276">
        <w:tblPrEx>
          <w:tblCellMar>
            <w:top w:w="0" w:type="dxa"/>
            <w:left w:w="108" w:type="dxa"/>
            <w:bottom w:w="0" w:type="dxa"/>
            <w:right w:w="108" w:type="dxa"/>
          </w:tblCellMar>
        </w:tblPrEx>
        <w:trPr>
          <w:trHeight w:val="0" w:hRule="atLeast"/>
        </w:trPr>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2A8EE3C3">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zh-CN"/>
              </w:rPr>
            </w:pPr>
          </w:p>
        </w:tc>
        <w:tc>
          <w:tcPr>
            <w:tcW w:w="2463" w:type="dxa"/>
            <w:vMerge w:val="continue"/>
            <w:tcBorders>
              <w:top w:val="single" w:color="auto" w:sz="4" w:space="0"/>
              <w:left w:val="single" w:color="auto" w:sz="4" w:space="0"/>
              <w:bottom w:val="single" w:color="auto" w:sz="4" w:space="0"/>
              <w:right w:val="single" w:color="auto" w:sz="4" w:space="0"/>
            </w:tcBorders>
            <w:noWrap w:val="0"/>
            <w:vAlign w:val="center"/>
          </w:tcPr>
          <w:p w14:paraId="58E41EE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p>
        </w:tc>
        <w:tc>
          <w:tcPr>
            <w:tcW w:w="6159" w:type="dxa"/>
            <w:tcBorders>
              <w:top w:val="single" w:color="auto" w:sz="4" w:space="0"/>
              <w:left w:val="single" w:color="auto" w:sz="4" w:space="0"/>
              <w:bottom w:val="single" w:color="auto" w:sz="4" w:space="0"/>
              <w:right w:val="single" w:color="auto" w:sz="4" w:space="0"/>
            </w:tcBorders>
            <w:noWrap w:val="0"/>
            <w:vAlign w:val="center"/>
          </w:tcPr>
          <w:p w14:paraId="21461A7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书面形式：包括文字的打印或复印件、传真、信函、电传、电报、</w:t>
            </w:r>
            <w:r>
              <w:rPr>
                <w:rFonts w:hint="eastAsia" w:ascii="仿宋" w:hAnsi="仿宋" w:eastAsia="仿宋" w:cs="仿宋"/>
                <w:color w:val="auto"/>
                <w:sz w:val="24"/>
                <w:szCs w:val="24"/>
                <w:highlight w:val="none"/>
                <w:shd w:val="clear" w:color="auto" w:fill="FFFFFF"/>
              </w:rPr>
              <w:t>电子邮件、</w:t>
            </w:r>
            <w:r>
              <w:rPr>
                <w:rFonts w:hint="eastAsia" w:ascii="仿宋" w:hAnsi="仿宋" w:eastAsia="仿宋" w:cs="仿宋"/>
                <w:color w:val="auto"/>
                <w:sz w:val="24"/>
                <w:szCs w:val="24"/>
                <w:highlight w:val="none"/>
                <w:shd w:val="clear" w:color="auto" w:fill="FFFFFF"/>
                <w:lang w:eastAsia="zh-CN"/>
              </w:rPr>
              <w:t>相关网站</w:t>
            </w:r>
            <w:r>
              <w:rPr>
                <w:rFonts w:hint="eastAsia" w:ascii="仿宋" w:hAnsi="仿宋" w:eastAsia="仿宋" w:cs="仿宋"/>
                <w:color w:val="auto"/>
                <w:sz w:val="24"/>
                <w:szCs w:val="24"/>
                <w:highlight w:val="none"/>
              </w:rPr>
              <w:t>发布的公告</w:t>
            </w:r>
            <w:r>
              <w:rPr>
                <w:rFonts w:hint="eastAsia" w:ascii="仿宋" w:hAnsi="仿宋" w:eastAsia="仿宋" w:cs="仿宋"/>
                <w:color w:val="auto"/>
                <w:sz w:val="24"/>
                <w:szCs w:val="24"/>
                <w:highlight w:val="none"/>
                <w:shd w:val="clear" w:color="auto" w:fill="FFFFFF"/>
              </w:rPr>
              <w:t>等可以有形地表现所载内容的形式。</w:t>
            </w:r>
          </w:p>
        </w:tc>
      </w:tr>
      <w:tr w14:paraId="406701C1">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BA2226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ADD411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分包和非主体、非关键性工作</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59472637">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不允许</w:t>
            </w:r>
          </w:p>
          <w:p w14:paraId="209D380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载明的标的采购项目实际情况，拟在成交后将成交项目的非主体、非关键性工作交由他人完成的，应当在响应文件中载明。</w:t>
            </w:r>
          </w:p>
        </w:tc>
      </w:tr>
      <w:tr w14:paraId="69EDBEBF">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825369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35.4</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CA557A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多包成交规则</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70716BEA">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分包采购的项目，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可以选择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个包报价，但只能成交</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个包。</w:t>
            </w:r>
          </w:p>
          <w:p w14:paraId="2136DD62">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供应商可依照竞争性磋商文件要求进行多个包报价。若所投多个包的报价排位均第一，由供应商自行选择其中</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个包成交；其他包参与报价排序，排序第一也不成交，成交顺延排序第二的供应商，以此类推。</w:t>
            </w:r>
          </w:p>
        </w:tc>
      </w:tr>
      <w:tr w14:paraId="54EB036A">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DB2E647">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35.5</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4BAED1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630BE3D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6CE54839">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751A5C2">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37.3</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8F5D70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低价不正当竞争预防措施</w:t>
            </w:r>
          </w:p>
        </w:tc>
        <w:tc>
          <w:tcPr>
            <w:tcW w:w="6159" w:type="dxa"/>
            <w:tcBorders>
              <w:top w:val="single" w:color="auto" w:sz="4" w:space="0"/>
              <w:left w:val="single" w:color="auto" w:sz="4" w:space="0"/>
              <w:bottom w:val="single" w:color="auto" w:sz="4" w:space="0"/>
              <w:right w:val="single" w:color="auto" w:sz="4" w:space="0"/>
            </w:tcBorders>
            <w:noWrap w:val="0"/>
            <w:vAlign w:val="center"/>
          </w:tcPr>
          <w:p w14:paraId="00EA617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根据“关于推动解决政府采购异常低价问题的通知财库〔2026〕2号 ”强化政府采购异常低价审查规定：</w:t>
            </w:r>
          </w:p>
          <w:p w14:paraId="19A25C5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（一）政府采购评审中出现下列情形之一的，评审委员会应当启动异常低价投标（响应）审查程序：</w:t>
            </w:r>
          </w:p>
          <w:p w14:paraId="126BEBD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1.投标（响应）报价低于全部通过符合性审查供应商投标（响应）报价平均值50%的，即投标（响应）报价&lt;全部通过符合性审查供应商投标（响应）报价平均值×50%；</w:t>
            </w:r>
          </w:p>
          <w:p w14:paraId="6AC23BF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2.投标（响应）报价低于通过符合性审查的次低报价供应商投标（响应）报价50%的，即投标（响应）报价&lt;通过符合性审查的次低报价供应商投标（响应）报价×50%；</w:t>
            </w:r>
          </w:p>
          <w:p w14:paraId="47B2467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3.投标（响应）报价低于采购项目最高限价45%的，即投标（响应）报价&lt;采购项目最高限价×45%；</w:t>
            </w:r>
          </w:p>
          <w:p w14:paraId="6F8F514B">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4.评审委员会基于专业判断，认为供应商报价过低，有可能影响产品质量或者不能诚信履约的其他情形。</w:t>
            </w:r>
          </w:p>
          <w:p w14:paraId="659273F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采购人可以结合具体项目实际情况，提高上述第1项至第3项中启动异常低价投标（响应）审查的数值标准，但是最高不得超过65%。</w:t>
            </w:r>
          </w:p>
          <w:p w14:paraId="15A419B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7061D7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75E7B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73AB6B">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eastAsia="en-US"/>
              </w:rPr>
            </w:pPr>
            <w:r>
              <w:rPr>
                <w:rFonts w:hint="eastAsia" w:ascii="仿宋" w:hAnsi="仿宋" w:eastAsia="仿宋" w:cs="仿宋"/>
                <w:color w:val="auto"/>
                <w:sz w:val="24"/>
                <w:szCs w:val="24"/>
                <w:highlight w:val="none"/>
                <w:lang w:val="zh-CN" w:eastAsia="en-US"/>
              </w:rPr>
              <w:t>异常低价投标（响应）审查的启动原因、审查意见和审查结果应当在评审报告中记录，并随供应商提供的相关书面说明及证明材料，以及评审委员会有关互联网浏览、查询历史一并归档。</w:t>
            </w:r>
          </w:p>
          <w:p w14:paraId="49035EA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en-US"/>
              </w:rPr>
              <w:t>本通知自2026年2月1日起施行。</w:t>
            </w:r>
          </w:p>
        </w:tc>
      </w:tr>
    </w:tbl>
    <w:p w14:paraId="49B8DA8F">
      <w:pPr>
        <w:keepNext w:val="0"/>
        <w:keepLines w:val="0"/>
        <w:pageBreakBefore w:val="0"/>
        <w:kinsoku/>
        <w:wordWrap/>
        <w:overflowPunct/>
        <w:topLinePunct w:val="0"/>
        <w:bidi w:val="0"/>
        <w:snapToGrid/>
        <w:spacing w:line="400" w:lineRule="exact"/>
        <w:ind w:left="1"/>
        <w:textAlignment w:val="auto"/>
        <w:rPr>
          <w:rFonts w:hint="eastAsia" w:ascii="仿宋" w:hAnsi="仿宋" w:eastAsia="仿宋" w:cs="仿宋"/>
          <w:b/>
          <w:bCs/>
          <w:color w:val="auto"/>
          <w:sz w:val="24"/>
          <w:szCs w:val="24"/>
          <w:lang w:val="en-US" w:eastAsia="zh-CN"/>
        </w:rPr>
      </w:pPr>
      <w:bookmarkStart w:id="48" w:name="_Toc464831128"/>
      <w:bookmarkStart w:id="49" w:name="_Toc31331"/>
      <w:r>
        <w:rPr>
          <w:rFonts w:hint="eastAsia" w:ascii="仿宋" w:hAnsi="仿宋" w:eastAsia="仿宋" w:cs="仿宋"/>
          <w:b/>
          <w:bCs/>
          <w:color w:val="auto"/>
          <w:sz w:val="24"/>
          <w:szCs w:val="24"/>
          <w:lang w:val="en-US" w:eastAsia="zh-CN"/>
        </w:rPr>
        <w:t>注：采购文件中若有和前附表不一致时以前附表为准。</w:t>
      </w:r>
    </w:p>
    <w:p w14:paraId="2313BF7E">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sectPr>
          <w:headerReference r:id="rId7" w:type="default"/>
          <w:footerReference r:id="rId8" w:type="default"/>
          <w:pgSz w:w="11906" w:h="16838"/>
          <w:pgMar w:top="1440" w:right="1803" w:bottom="1440" w:left="1803" w:header="850" w:footer="992" w:gutter="0"/>
          <w:pgNumType w:fmt="decimal"/>
          <w:cols w:space="720" w:num="1"/>
          <w:rtlGutter w:val="0"/>
          <w:docGrid w:type="lines" w:linePitch="312" w:charSpace="0"/>
        </w:sectPr>
      </w:pPr>
    </w:p>
    <w:p w14:paraId="79905D6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1"/>
        <w:rPr>
          <w:rFonts w:hint="eastAsia" w:ascii="仿宋" w:hAnsi="仿宋" w:eastAsia="仿宋" w:cs="仿宋"/>
          <w:b/>
          <w:bCs/>
          <w:color w:val="auto"/>
          <w:sz w:val="36"/>
          <w:szCs w:val="36"/>
        </w:rPr>
      </w:pPr>
      <w:r>
        <w:rPr>
          <w:rFonts w:hint="eastAsia" w:ascii="仿宋" w:hAnsi="仿宋" w:eastAsia="仿宋" w:cs="仿宋"/>
          <w:b/>
          <w:bCs/>
          <w:color w:val="auto"/>
          <w:sz w:val="36"/>
          <w:szCs w:val="36"/>
        </w:rPr>
        <w:t>供应商须知</w:t>
      </w:r>
      <w:bookmarkEnd w:id="48"/>
      <w:bookmarkEnd w:id="49"/>
    </w:p>
    <w:p w14:paraId="18455D95">
      <w:pPr>
        <w:spacing w:line="360" w:lineRule="auto"/>
        <w:ind w:firstLine="560" w:firstLineChars="200"/>
        <w:outlineLvl w:val="2"/>
        <w:rPr>
          <w:rFonts w:ascii="楷体" w:hAnsi="楷体" w:eastAsia="楷体" w:cs="Times New Roman"/>
          <w:color w:val="auto"/>
          <w:sz w:val="28"/>
          <w:szCs w:val="28"/>
        </w:rPr>
      </w:pPr>
      <w:bookmarkStart w:id="50" w:name="_Toc17676"/>
      <w:bookmarkStart w:id="51" w:name="_Toc464831148"/>
      <w:bookmarkStart w:id="52" w:name="_Toc10132"/>
      <w:r>
        <w:rPr>
          <w:rFonts w:ascii="楷体" w:hAnsi="楷体" w:eastAsia="楷体" w:cs="Times New Roman"/>
          <w:color w:val="auto"/>
          <w:sz w:val="28"/>
          <w:szCs w:val="28"/>
        </w:rPr>
        <w:t>1</w:t>
      </w:r>
      <w:r>
        <w:rPr>
          <w:rFonts w:hint="eastAsia" w:ascii="楷体" w:hAnsi="楷体" w:eastAsia="楷体" w:cs="Times New Roman"/>
          <w:color w:val="auto"/>
          <w:sz w:val="28"/>
          <w:szCs w:val="28"/>
        </w:rPr>
        <w:t>.采购依据以及原则</w:t>
      </w:r>
      <w:bookmarkEnd w:id="50"/>
    </w:p>
    <w:p w14:paraId="7BFDF2EC">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1.1</w:t>
      </w:r>
      <w:r>
        <w:rPr>
          <w:rFonts w:hint="eastAsia" w:ascii="仿宋" w:hAnsi="仿宋" w:eastAsia="仿宋" w:cs="Times New Roman"/>
          <w:color w:val="auto"/>
          <w:sz w:val="24"/>
          <w:szCs w:val="24"/>
        </w:rPr>
        <w:t>《中华人民共和国政府采购法》；</w:t>
      </w:r>
    </w:p>
    <w:p w14:paraId="75BCB411">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1.2</w:t>
      </w:r>
      <w:r>
        <w:rPr>
          <w:rFonts w:hint="eastAsia" w:ascii="仿宋" w:hAnsi="仿宋" w:eastAsia="仿宋" w:cs="Times New Roman"/>
          <w:color w:val="auto"/>
          <w:sz w:val="24"/>
          <w:szCs w:val="24"/>
        </w:rPr>
        <w:t>《中华人民共和国</w:t>
      </w:r>
      <w:r>
        <w:rPr>
          <w:rFonts w:hint="eastAsia" w:ascii="仿宋" w:hAnsi="仿宋" w:eastAsia="仿宋" w:cs="Times New Roman"/>
          <w:color w:val="auto"/>
          <w:sz w:val="24"/>
          <w:szCs w:val="24"/>
          <w:lang w:val="en-US" w:eastAsia="zh-CN"/>
        </w:rPr>
        <w:t>民法典</w:t>
      </w:r>
      <w:r>
        <w:rPr>
          <w:rFonts w:hint="eastAsia" w:ascii="仿宋" w:hAnsi="仿宋" w:eastAsia="仿宋" w:cs="Times New Roman"/>
          <w:color w:val="auto"/>
          <w:sz w:val="24"/>
          <w:szCs w:val="24"/>
        </w:rPr>
        <w:t>》；</w:t>
      </w:r>
    </w:p>
    <w:p w14:paraId="172E2FB4">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w:t>
      </w:r>
      <w:r>
        <w:rPr>
          <w:rFonts w:hint="eastAsia" w:ascii="仿宋" w:hAnsi="仿宋" w:eastAsia="仿宋" w:cs="Times New Roman"/>
          <w:color w:val="auto"/>
          <w:sz w:val="24"/>
          <w:szCs w:val="24"/>
        </w:rPr>
        <w:t>.</w:t>
      </w:r>
      <w:r>
        <w:rPr>
          <w:rFonts w:ascii="仿宋" w:hAnsi="仿宋" w:eastAsia="仿宋" w:cs="Times New Roman"/>
          <w:color w:val="auto"/>
          <w:sz w:val="24"/>
          <w:szCs w:val="24"/>
        </w:rPr>
        <w:t>3</w:t>
      </w:r>
      <w:r>
        <w:rPr>
          <w:rFonts w:hint="eastAsia" w:ascii="仿宋" w:hAnsi="仿宋" w:eastAsia="仿宋" w:cs="Times New Roman"/>
          <w:color w:val="auto"/>
          <w:sz w:val="24"/>
          <w:szCs w:val="24"/>
        </w:rPr>
        <w:t>《中华人民共和国政府采购法实施条例》；</w:t>
      </w:r>
    </w:p>
    <w:p w14:paraId="6C39987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1.4《</w:t>
      </w:r>
      <w:r>
        <w:rPr>
          <w:rFonts w:ascii="仿宋" w:hAnsi="仿宋" w:eastAsia="仿宋" w:cs="Times New Roman"/>
          <w:color w:val="auto"/>
          <w:sz w:val="24"/>
          <w:szCs w:val="24"/>
        </w:rPr>
        <w:t>政府采购非招标采购方式管理办法</w:t>
      </w:r>
      <w:r>
        <w:rPr>
          <w:rFonts w:hint="eastAsia" w:ascii="仿宋" w:hAnsi="仿宋" w:eastAsia="仿宋" w:cs="Times New Roman"/>
          <w:color w:val="auto"/>
          <w:sz w:val="24"/>
          <w:szCs w:val="24"/>
        </w:rPr>
        <w:t>》；</w:t>
      </w:r>
    </w:p>
    <w:p w14:paraId="3061ABB4">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1.</w:t>
      </w:r>
      <w:r>
        <w:rPr>
          <w:rFonts w:hint="eastAsia" w:ascii="仿宋" w:hAnsi="仿宋" w:eastAsia="仿宋" w:cs="Times New Roman"/>
          <w:color w:val="auto"/>
          <w:sz w:val="24"/>
          <w:szCs w:val="24"/>
        </w:rPr>
        <w:t>5《</w:t>
      </w:r>
      <w:r>
        <w:rPr>
          <w:rFonts w:ascii="仿宋" w:hAnsi="仿宋" w:eastAsia="仿宋" w:cs="Times New Roman"/>
          <w:color w:val="auto"/>
          <w:sz w:val="24"/>
          <w:szCs w:val="24"/>
        </w:rPr>
        <w:t>政府采购质疑和投诉办法</w:t>
      </w:r>
      <w:r>
        <w:rPr>
          <w:rFonts w:hint="eastAsia" w:ascii="仿宋" w:hAnsi="仿宋" w:eastAsia="仿宋" w:cs="Times New Roman"/>
          <w:color w:val="auto"/>
          <w:sz w:val="24"/>
          <w:szCs w:val="24"/>
        </w:rPr>
        <w:t>》；</w:t>
      </w:r>
    </w:p>
    <w:p w14:paraId="35A0FE7D">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6</w:t>
      </w:r>
      <w:r>
        <w:rPr>
          <w:rFonts w:hint="eastAsia" w:ascii="仿宋" w:hAnsi="仿宋" w:eastAsia="仿宋" w:cs="Times New Roman"/>
          <w:color w:val="auto"/>
          <w:sz w:val="24"/>
          <w:szCs w:val="24"/>
        </w:rPr>
        <w:t>其他有关法律、行政法规以及省市规范性文件规定。</w:t>
      </w:r>
    </w:p>
    <w:p w14:paraId="2692EAB1">
      <w:pPr>
        <w:spacing w:line="360" w:lineRule="auto"/>
        <w:ind w:firstLine="560" w:firstLineChars="200"/>
        <w:outlineLvl w:val="2"/>
        <w:rPr>
          <w:rFonts w:hint="eastAsia" w:ascii="楷体" w:hAnsi="楷体" w:eastAsia="楷体" w:cs="Times New Roman"/>
          <w:color w:val="auto"/>
          <w:sz w:val="28"/>
          <w:szCs w:val="28"/>
          <w:lang w:eastAsia="zh-CN"/>
        </w:rPr>
      </w:pPr>
      <w:bookmarkStart w:id="53" w:name="_Toc26973"/>
      <w:r>
        <w:rPr>
          <w:rFonts w:ascii="楷体" w:hAnsi="楷体" w:eastAsia="楷体" w:cs="Times New Roman"/>
          <w:color w:val="auto"/>
          <w:sz w:val="28"/>
          <w:szCs w:val="28"/>
        </w:rPr>
        <w:t>2</w:t>
      </w:r>
      <w:r>
        <w:rPr>
          <w:rFonts w:hint="eastAsia" w:ascii="楷体" w:hAnsi="楷体" w:eastAsia="楷体" w:cs="Times New Roman"/>
          <w:color w:val="auto"/>
          <w:sz w:val="28"/>
          <w:szCs w:val="28"/>
        </w:rPr>
        <w:t>.合格的</w:t>
      </w:r>
      <w:r>
        <w:rPr>
          <w:rFonts w:hint="eastAsia" w:ascii="楷体" w:hAnsi="楷体" w:eastAsia="楷体" w:cs="Times New Roman"/>
          <w:color w:val="auto"/>
          <w:sz w:val="28"/>
          <w:szCs w:val="28"/>
          <w:lang w:eastAsia="zh-CN"/>
        </w:rPr>
        <w:t>供应商</w:t>
      </w:r>
      <w:bookmarkEnd w:id="53"/>
    </w:p>
    <w:p w14:paraId="3BBD7999">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w:t>
      </w:r>
      <w:r>
        <w:rPr>
          <w:rFonts w:ascii="仿宋" w:hAnsi="仿宋" w:eastAsia="仿宋" w:cs="Times New Roman"/>
          <w:color w:val="auto"/>
          <w:sz w:val="24"/>
          <w:szCs w:val="24"/>
        </w:rPr>
        <w:t>1</w:t>
      </w:r>
      <w:r>
        <w:rPr>
          <w:rFonts w:hint="eastAsia" w:ascii="仿宋" w:hAnsi="仿宋" w:eastAsia="仿宋" w:cs="Times New Roman"/>
          <w:color w:val="auto"/>
          <w:sz w:val="24"/>
          <w:szCs w:val="24"/>
        </w:rPr>
        <w:t>符合《中华人民共和国政府采购法》第二十二条第一款规定的条件；</w:t>
      </w:r>
    </w:p>
    <w:p w14:paraId="66BCB443">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w:t>
      </w:r>
      <w:r>
        <w:rPr>
          <w:rFonts w:ascii="仿宋" w:hAnsi="仿宋" w:eastAsia="仿宋" w:cs="Times New Roman"/>
          <w:color w:val="auto"/>
          <w:sz w:val="24"/>
          <w:szCs w:val="24"/>
        </w:rPr>
        <w:t>2</w:t>
      </w:r>
      <w:r>
        <w:rPr>
          <w:rFonts w:hint="eastAsia" w:ascii="仿宋" w:hAnsi="仿宋" w:eastAsia="仿宋" w:cs="Times New Roman"/>
          <w:color w:val="auto"/>
          <w:sz w:val="24"/>
          <w:szCs w:val="24"/>
        </w:rPr>
        <w:t>符合本磋商文件规定的资格要求，且按照要求提供相关证明材料；</w:t>
      </w:r>
    </w:p>
    <w:p w14:paraId="38DE9419">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.3单位负责人为同一人或者存在直接控股、管理关系的不同</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，不得参加同一合同项下的政府采购活动。</w:t>
      </w:r>
    </w:p>
    <w:p w14:paraId="495ED0F5">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须知前附表规定接受联合体报价的，应符合以下规定：</w:t>
      </w:r>
    </w:p>
    <w:p w14:paraId="5497749C">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ascii="仿宋" w:hAnsi="仿宋" w:eastAsia="仿宋" w:cs="Times New Roman"/>
          <w:color w:val="auto"/>
          <w:sz w:val="24"/>
          <w:szCs w:val="24"/>
        </w:rPr>
        <w:t>.1</w:t>
      </w:r>
      <w:r>
        <w:rPr>
          <w:rFonts w:hint="eastAsia" w:ascii="仿宋" w:hAnsi="仿宋" w:eastAsia="仿宋" w:cs="Times New Roman"/>
          <w:color w:val="auto"/>
          <w:sz w:val="24"/>
          <w:szCs w:val="24"/>
        </w:rPr>
        <w:t>联合体各方应按照磋商文件提供的格式签订联合体协议书，明确联合体牵头人和各方权利义务；</w:t>
      </w:r>
    </w:p>
    <w:p w14:paraId="49ED2F1C">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ascii="仿宋" w:hAnsi="仿宋" w:eastAsia="仿宋" w:cs="Times New Roman"/>
          <w:color w:val="auto"/>
          <w:sz w:val="24"/>
          <w:szCs w:val="24"/>
        </w:rPr>
        <w:t>.2</w:t>
      </w:r>
      <w:r>
        <w:rPr>
          <w:rFonts w:hint="eastAsia" w:ascii="仿宋" w:hAnsi="仿宋" w:eastAsia="仿宋" w:cs="Times New Roman"/>
          <w:color w:val="auto"/>
          <w:sz w:val="24"/>
          <w:szCs w:val="24"/>
        </w:rPr>
        <w:t>联合体各方均应当符合《政府采购法》第二十二条第一款规定的条件；</w:t>
      </w:r>
    </w:p>
    <w:p w14:paraId="3F943A46">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ascii="仿宋" w:hAnsi="仿宋" w:eastAsia="仿宋" w:cs="Times New Roman"/>
          <w:color w:val="auto"/>
          <w:sz w:val="24"/>
          <w:szCs w:val="24"/>
        </w:rPr>
        <w:t>.3</w:t>
      </w:r>
      <w:r>
        <w:rPr>
          <w:rFonts w:hint="eastAsia" w:ascii="仿宋" w:hAnsi="仿宋" w:eastAsia="仿宋" w:cs="Times New Roman"/>
          <w:color w:val="auto"/>
          <w:sz w:val="24"/>
          <w:szCs w:val="24"/>
        </w:rPr>
        <w:t>联合体中有同类资质的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按照联合体分工承担相同工作的，应当按照资质等级较低的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确定资质等级。</w:t>
      </w:r>
    </w:p>
    <w:p w14:paraId="1E646B84">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ascii="仿宋" w:hAnsi="仿宋" w:eastAsia="仿宋" w:cs="Times New Roman"/>
          <w:color w:val="auto"/>
          <w:sz w:val="24"/>
          <w:szCs w:val="24"/>
        </w:rPr>
        <w:t>.4</w:t>
      </w:r>
      <w:r>
        <w:rPr>
          <w:rFonts w:hint="eastAsia" w:ascii="仿宋" w:hAnsi="仿宋" w:eastAsia="仿宋" w:cs="Times New Roman"/>
          <w:color w:val="auto"/>
          <w:sz w:val="24"/>
          <w:szCs w:val="24"/>
        </w:rPr>
        <w:t>以联合体形式参加政府采购活动的，联合体各方不得再单独参加或者与其他</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另外组成联合体参加同一合同项下的政府采购活动。</w:t>
      </w:r>
    </w:p>
    <w:p w14:paraId="2C47ECDE">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rPr>
        <w:t>4</w:t>
      </w:r>
      <w:r>
        <w:rPr>
          <w:rFonts w:ascii="仿宋" w:hAnsi="仿宋" w:eastAsia="仿宋" w:cs="Times New Roman"/>
          <w:color w:val="auto"/>
          <w:sz w:val="24"/>
          <w:szCs w:val="24"/>
        </w:rPr>
        <w:t>.5</w:t>
      </w:r>
      <w:r>
        <w:rPr>
          <w:rFonts w:hint="eastAsia" w:ascii="仿宋" w:hAnsi="仿宋" w:eastAsia="仿宋" w:cs="Times New Roman"/>
          <w:color w:val="auto"/>
          <w:sz w:val="24"/>
          <w:szCs w:val="24"/>
        </w:rPr>
        <w:t>联合体各方应当共同与采购人签订采购合同，就合同约定的事项对采购人承担连带责任。</w:t>
      </w:r>
    </w:p>
    <w:p w14:paraId="79194E56">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5</w:t>
      </w:r>
      <w:r>
        <w:rPr>
          <w:rFonts w:hint="eastAsia" w:ascii="仿宋" w:hAnsi="仿宋" w:eastAsia="仿宋" w:cs="Times New Roman"/>
          <w:color w:val="auto"/>
          <w:sz w:val="24"/>
          <w:szCs w:val="24"/>
        </w:rPr>
        <w:t>鼓励大中型企业和其他自然人、法人或者其他组织与小型、微型企业组成联合体报价，但联合体各方均应符合上述规定。</w:t>
      </w:r>
    </w:p>
    <w:p w14:paraId="77334CA4">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6</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提供的证明材料内容必须真实可靠。</w:t>
      </w:r>
    </w:p>
    <w:p w14:paraId="7DC6863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符合上述条件的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即为合格</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，具有参与竞争性磋商的资格。</w:t>
      </w:r>
    </w:p>
    <w:p w14:paraId="4AC7F3B6">
      <w:pPr>
        <w:spacing w:line="360" w:lineRule="auto"/>
        <w:ind w:firstLine="560" w:firstLineChars="200"/>
        <w:outlineLvl w:val="2"/>
        <w:rPr>
          <w:rFonts w:ascii="楷体" w:hAnsi="楷体" w:eastAsia="楷体" w:cs="Times New Roman"/>
          <w:color w:val="auto"/>
          <w:sz w:val="28"/>
          <w:szCs w:val="28"/>
        </w:rPr>
      </w:pPr>
      <w:bookmarkStart w:id="54" w:name="_Toc22625"/>
      <w:r>
        <w:rPr>
          <w:rFonts w:ascii="楷体" w:hAnsi="楷体" w:eastAsia="楷体" w:cs="Times New Roman"/>
          <w:color w:val="auto"/>
          <w:sz w:val="28"/>
          <w:szCs w:val="28"/>
        </w:rPr>
        <w:t>3</w:t>
      </w:r>
      <w:r>
        <w:rPr>
          <w:rFonts w:hint="eastAsia" w:ascii="楷体" w:hAnsi="楷体" w:eastAsia="楷体" w:cs="Times New Roman"/>
          <w:color w:val="auto"/>
          <w:sz w:val="28"/>
          <w:szCs w:val="28"/>
        </w:rPr>
        <w:t>.保密</w:t>
      </w:r>
      <w:bookmarkEnd w:id="54"/>
    </w:p>
    <w:p w14:paraId="44BB28B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参与竞争性磋商活动的当事人应对磋商文件和响应文件中的商业和技术等秘密保密，违者应对由此造成的后果承担法律责任。</w:t>
      </w:r>
    </w:p>
    <w:p w14:paraId="315211A9">
      <w:pPr>
        <w:spacing w:line="360" w:lineRule="auto"/>
        <w:ind w:firstLine="560" w:firstLineChars="200"/>
        <w:outlineLvl w:val="2"/>
        <w:rPr>
          <w:rFonts w:ascii="楷体" w:hAnsi="楷体" w:eastAsia="楷体" w:cs="Times New Roman"/>
          <w:color w:val="auto"/>
          <w:sz w:val="28"/>
          <w:szCs w:val="28"/>
        </w:rPr>
      </w:pPr>
      <w:bookmarkStart w:id="55" w:name="_Toc9690"/>
      <w:r>
        <w:rPr>
          <w:rFonts w:ascii="楷体" w:hAnsi="楷体" w:eastAsia="楷体" w:cs="Times New Roman"/>
          <w:color w:val="auto"/>
          <w:sz w:val="28"/>
          <w:szCs w:val="28"/>
        </w:rPr>
        <w:t>4.</w:t>
      </w:r>
      <w:r>
        <w:rPr>
          <w:rFonts w:hint="eastAsia" w:ascii="楷体" w:hAnsi="楷体" w:eastAsia="楷体" w:cs="Times New Roman"/>
          <w:color w:val="auto"/>
          <w:sz w:val="28"/>
          <w:szCs w:val="28"/>
        </w:rPr>
        <w:t>语言文字、计量单位、时间单位、报价有效期以及参与采购活动费用</w:t>
      </w:r>
      <w:bookmarkEnd w:id="55"/>
    </w:p>
    <w:p w14:paraId="3B121467">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4</w:t>
      </w:r>
      <w:r>
        <w:rPr>
          <w:rFonts w:hint="eastAsia" w:ascii="仿宋" w:hAnsi="仿宋" w:eastAsia="仿宋" w:cs="Times New Roman"/>
          <w:color w:val="auto"/>
          <w:sz w:val="24"/>
          <w:szCs w:val="24"/>
        </w:rPr>
        <w:t>.</w:t>
      </w:r>
      <w:r>
        <w:rPr>
          <w:rFonts w:ascii="仿宋" w:hAnsi="仿宋" w:eastAsia="仿宋" w:cs="Times New Roman"/>
          <w:color w:val="auto"/>
          <w:sz w:val="24"/>
          <w:szCs w:val="24"/>
        </w:rPr>
        <w:t>1语言文字</w:t>
      </w:r>
    </w:p>
    <w:p w14:paraId="3F1CCBFC">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除专用术语外，与竞争性磋商活动有关的语言均使用简体中文。必要时专用术语应附有中文注释。如</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提交的支持文件和印刷的文献使用另一种语言，应附有相应内容的中文翻译本，在解释响应文件时以中文翻译本为准。</w:t>
      </w:r>
    </w:p>
    <w:p w14:paraId="32005199">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4.2</w:t>
      </w:r>
      <w:r>
        <w:rPr>
          <w:rFonts w:hint="eastAsia" w:ascii="仿宋" w:hAnsi="仿宋" w:eastAsia="仿宋" w:cs="Times New Roman"/>
          <w:color w:val="auto"/>
          <w:sz w:val="24"/>
          <w:szCs w:val="24"/>
        </w:rPr>
        <w:t>计量单位</w:t>
      </w:r>
    </w:p>
    <w:p w14:paraId="16B6345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除磋商文件另有规定外，计量均应采用中华人民共和国法定计量单位；所有报价一律使用人民币，货币单位为“元”。</w:t>
      </w:r>
    </w:p>
    <w:p w14:paraId="1F8B6D1E">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4.3</w:t>
      </w:r>
      <w:r>
        <w:rPr>
          <w:rFonts w:hint="eastAsia" w:ascii="仿宋" w:hAnsi="仿宋" w:eastAsia="仿宋" w:cs="Times New Roman"/>
          <w:color w:val="auto"/>
          <w:sz w:val="24"/>
          <w:szCs w:val="24"/>
        </w:rPr>
        <w:t>时间单位</w:t>
      </w:r>
    </w:p>
    <w:p w14:paraId="207AE9C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除磋商文件中另有规定外，磋商文件所使用的时间单位“天”、“日”均指日历天，时、分均为北京时间。</w:t>
      </w:r>
    </w:p>
    <w:p w14:paraId="5F465D37">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4</w:t>
      </w:r>
      <w:r>
        <w:rPr>
          <w:rFonts w:hint="eastAsia" w:ascii="仿宋" w:hAnsi="仿宋" w:eastAsia="仿宋" w:cs="Times New Roman"/>
          <w:color w:val="auto"/>
          <w:sz w:val="24"/>
          <w:szCs w:val="24"/>
        </w:rPr>
        <w:t>.</w:t>
      </w:r>
      <w:r>
        <w:rPr>
          <w:rFonts w:ascii="仿宋" w:hAnsi="仿宋" w:eastAsia="仿宋" w:cs="Times New Roman"/>
          <w:color w:val="auto"/>
          <w:sz w:val="24"/>
          <w:szCs w:val="24"/>
        </w:rPr>
        <w:t>4</w:t>
      </w:r>
      <w:r>
        <w:rPr>
          <w:rFonts w:hint="eastAsia" w:ascii="仿宋" w:hAnsi="仿宋" w:eastAsia="仿宋" w:cs="Times New Roman"/>
          <w:color w:val="auto"/>
          <w:sz w:val="24"/>
          <w:szCs w:val="24"/>
        </w:rPr>
        <w:t>报价</w:t>
      </w:r>
      <w:r>
        <w:rPr>
          <w:rFonts w:ascii="仿宋" w:hAnsi="仿宋" w:eastAsia="仿宋" w:cs="Times New Roman"/>
          <w:color w:val="auto"/>
          <w:sz w:val="24"/>
          <w:szCs w:val="24"/>
        </w:rPr>
        <w:t>有效期</w:t>
      </w:r>
    </w:p>
    <w:p w14:paraId="67F5C50E">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4.4.1</w:t>
      </w:r>
      <w:r>
        <w:rPr>
          <w:rFonts w:hint="eastAsia" w:ascii="仿宋" w:hAnsi="仿宋" w:eastAsia="仿宋" w:cs="Times New Roman"/>
          <w:color w:val="auto"/>
          <w:sz w:val="24"/>
          <w:szCs w:val="24"/>
        </w:rPr>
        <w:t>在</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须知前附表规定的报价有效期内，响应文件以及其补充、承诺等部分均保持有效。</w:t>
      </w:r>
    </w:p>
    <w:p w14:paraId="60691982">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4.4.2</w:t>
      </w:r>
      <w:r>
        <w:rPr>
          <w:rFonts w:hint="eastAsia" w:ascii="仿宋" w:hAnsi="仿宋" w:eastAsia="仿宋" w:cs="Times New Roman"/>
          <w:color w:val="auto"/>
          <w:sz w:val="24"/>
          <w:szCs w:val="24"/>
        </w:rPr>
        <w:t>在磋商文件规定的响应文件有效期满之前，如果出现特殊情况，采购人或者采购代理机构可在报价有效期内要求</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延长有效期，要求与答复均以书面通知为准并作为磋商文件和响应文件的组成部分；</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可以拒绝上述要求，拒绝延长响应文件有效期的，其响应失效；同意上述要求的，既不能要求也不允许其修改响应文件。</w:t>
      </w:r>
    </w:p>
    <w:p w14:paraId="77A27AB2">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4.5</w:t>
      </w:r>
      <w:r>
        <w:rPr>
          <w:rFonts w:hint="eastAsia" w:ascii="仿宋" w:hAnsi="仿宋" w:eastAsia="仿宋" w:cs="Times New Roman"/>
          <w:color w:val="auto"/>
          <w:sz w:val="24"/>
          <w:szCs w:val="24"/>
        </w:rPr>
        <w:t>参与采购活动</w:t>
      </w:r>
      <w:r>
        <w:rPr>
          <w:rFonts w:ascii="仿宋" w:hAnsi="仿宋" w:eastAsia="仿宋" w:cs="Times New Roman"/>
          <w:color w:val="auto"/>
          <w:sz w:val="24"/>
          <w:szCs w:val="24"/>
        </w:rPr>
        <w:t>费用</w:t>
      </w:r>
    </w:p>
    <w:p w14:paraId="463A2833">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应自行承担其准备和参加采购活动发生的所有费用。</w:t>
      </w:r>
    </w:p>
    <w:p w14:paraId="347159DA">
      <w:pPr>
        <w:spacing w:line="360" w:lineRule="auto"/>
        <w:ind w:firstLine="560" w:firstLineChars="200"/>
        <w:outlineLvl w:val="2"/>
        <w:rPr>
          <w:rFonts w:ascii="楷体" w:hAnsi="楷体" w:eastAsia="楷体" w:cs="Times New Roman"/>
          <w:color w:val="auto"/>
          <w:sz w:val="28"/>
          <w:szCs w:val="28"/>
        </w:rPr>
      </w:pPr>
      <w:bookmarkStart w:id="56" w:name="_Toc8847"/>
      <w:r>
        <w:rPr>
          <w:rFonts w:ascii="楷体" w:hAnsi="楷体" w:eastAsia="楷体" w:cs="Times New Roman"/>
          <w:color w:val="auto"/>
          <w:sz w:val="28"/>
          <w:szCs w:val="28"/>
        </w:rPr>
        <w:t>5.</w:t>
      </w:r>
      <w:r>
        <w:rPr>
          <w:rFonts w:hint="eastAsia" w:ascii="楷体" w:hAnsi="楷体" w:eastAsia="楷体" w:cs="Times New Roman"/>
          <w:color w:val="auto"/>
          <w:sz w:val="28"/>
          <w:szCs w:val="28"/>
        </w:rPr>
        <w:t>踏勘现场</w:t>
      </w:r>
      <w:bookmarkEnd w:id="56"/>
    </w:p>
    <w:p w14:paraId="496B8D2A">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5.1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须知前附表规定组织踏勘现场的，采购人必须按照规定时间、地点组织</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踏勘项目现场，以便</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获取有关编制响应文件和签署合同所涉及现场的资料。</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承担踏勘现场所发生的自身费用。</w:t>
      </w:r>
    </w:p>
    <w:p w14:paraId="50B410A1">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5.2</w:t>
      </w:r>
      <w:r>
        <w:rPr>
          <w:rFonts w:hint="eastAsia" w:ascii="仿宋" w:hAnsi="仿宋" w:eastAsia="仿宋" w:cs="Times New Roman"/>
          <w:color w:val="auto"/>
          <w:sz w:val="24"/>
          <w:szCs w:val="24"/>
        </w:rPr>
        <w:t>采购人向</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提供的有关现场的资料和数据，是采购人现有的能使</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利用的资料，采购人对</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由此而做出的推论、理解和结论不负责任。</w:t>
      </w:r>
    </w:p>
    <w:p w14:paraId="28B20613">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5.3</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经过采购人允许，可以进入项目现场踏勘，但不得因此使采购人承担有关责任和蒙受损失。除采购人原因外，</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应对踏勘现场而造成的死亡、人身伤害、财产损失、损害以及其它任何损失、损害和引起的费用和开支承担责任。</w:t>
      </w:r>
    </w:p>
    <w:p w14:paraId="49AB6295">
      <w:pPr>
        <w:spacing w:line="360" w:lineRule="auto"/>
        <w:ind w:firstLine="560" w:firstLineChars="200"/>
        <w:outlineLvl w:val="2"/>
        <w:rPr>
          <w:rFonts w:ascii="楷体" w:hAnsi="楷体" w:eastAsia="楷体" w:cs="Times New Roman"/>
          <w:color w:val="auto"/>
          <w:sz w:val="28"/>
          <w:szCs w:val="28"/>
        </w:rPr>
      </w:pPr>
      <w:bookmarkStart w:id="57" w:name="_Toc7937"/>
      <w:r>
        <w:rPr>
          <w:rFonts w:ascii="楷体" w:hAnsi="楷体" w:eastAsia="楷体" w:cs="Times New Roman"/>
          <w:color w:val="auto"/>
          <w:sz w:val="28"/>
          <w:szCs w:val="28"/>
        </w:rPr>
        <w:t>6</w:t>
      </w:r>
      <w:r>
        <w:rPr>
          <w:rFonts w:hint="eastAsia" w:ascii="楷体" w:hAnsi="楷体" w:eastAsia="楷体" w:cs="Times New Roman"/>
          <w:color w:val="auto"/>
          <w:sz w:val="28"/>
          <w:szCs w:val="28"/>
        </w:rPr>
        <w:t>.询问</w:t>
      </w:r>
      <w:bookmarkEnd w:id="57"/>
    </w:p>
    <w:p w14:paraId="71650200">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6.1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对竞争性磋商活动事项有疑问的，可以向采购代理机构提出询问；采购代理机构应当及时作出答复，但答复的内容不得涉及商业秘密。</w:t>
      </w:r>
    </w:p>
    <w:p w14:paraId="60B4935D">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6.</w:t>
      </w:r>
      <w:r>
        <w:rPr>
          <w:rFonts w:ascii="仿宋" w:hAnsi="仿宋" w:eastAsia="仿宋" w:cs="Times New Roman"/>
          <w:color w:val="auto"/>
          <w:sz w:val="24"/>
          <w:szCs w:val="24"/>
        </w:rPr>
        <w:t>2询问及答复</w:t>
      </w:r>
      <w:r>
        <w:rPr>
          <w:rFonts w:hint="eastAsia" w:ascii="仿宋" w:hAnsi="仿宋" w:eastAsia="仿宋" w:cs="Times New Roman"/>
          <w:color w:val="auto"/>
          <w:sz w:val="24"/>
          <w:szCs w:val="24"/>
        </w:rPr>
        <w:t>应当</w:t>
      </w:r>
      <w:r>
        <w:rPr>
          <w:rFonts w:ascii="仿宋" w:hAnsi="仿宋" w:eastAsia="仿宋" w:cs="Times New Roman"/>
          <w:color w:val="auto"/>
          <w:sz w:val="24"/>
          <w:szCs w:val="24"/>
        </w:rPr>
        <w:t>采取书面形式。</w:t>
      </w:r>
    </w:p>
    <w:p w14:paraId="6B2324AA">
      <w:pPr>
        <w:spacing w:line="360" w:lineRule="auto"/>
        <w:ind w:firstLine="560" w:firstLineChars="200"/>
        <w:outlineLvl w:val="2"/>
        <w:rPr>
          <w:rFonts w:ascii="楷体" w:hAnsi="楷体" w:eastAsia="楷体" w:cs="Times New Roman"/>
          <w:color w:val="auto"/>
          <w:sz w:val="28"/>
          <w:szCs w:val="28"/>
        </w:rPr>
      </w:pPr>
      <w:bookmarkStart w:id="58" w:name="_Toc11305"/>
      <w:r>
        <w:rPr>
          <w:rFonts w:ascii="楷体" w:hAnsi="楷体" w:eastAsia="楷体" w:cs="Times New Roman"/>
          <w:color w:val="auto"/>
          <w:sz w:val="28"/>
          <w:szCs w:val="28"/>
        </w:rPr>
        <w:t>7.</w:t>
      </w:r>
      <w:r>
        <w:rPr>
          <w:rFonts w:hint="eastAsia" w:ascii="楷体" w:hAnsi="楷体" w:eastAsia="楷体" w:cs="Times New Roman"/>
          <w:color w:val="auto"/>
          <w:sz w:val="28"/>
          <w:szCs w:val="28"/>
        </w:rPr>
        <w:t>偏离</w:t>
      </w:r>
      <w:bookmarkEnd w:id="58"/>
    </w:p>
    <w:p w14:paraId="47DA723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采购人允许响应文件偏离磋商文件某些非实质性要求的，偏离应当符合磋商文件规定的偏离范围和幅度。</w:t>
      </w:r>
    </w:p>
    <w:p w14:paraId="4731C443">
      <w:pPr>
        <w:spacing w:line="360" w:lineRule="auto"/>
        <w:ind w:firstLine="560" w:firstLineChars="200"/>
        <w:outlineLvl w:val="2"/>
        <w:rPr>
          <w:rFonts w:ascii="楷体" w:hAnsi="楷体" w:eastAsia="楷体" w:cs="Times New Roman"/>
          <w:color w:val="auto"/>
          <w:sz w:val="28"/>
          <w:szCs w:val="28"/>
        </w:rPr>
      </w:pPr>
      <w:bookmarkStart w:id="59" w:name="_Toc11944"/>
      <w:r>
        <w:rPr>
          <w:rFonts w:ascii="楷体" w:hAnsi="楷体" w:eastAsia="楷体" w:cs="Times New Roman"/>
          <w:color w:val="auto"/>
          <w:sz w:val="28"/>
          <w:szCs w:val="28"/>
        </w:rPr>
        <w:t>8</w:t>
      </w:r>
      <w:r>
        <w:rPr>
          <w:rFonts w:hint="eastAsia" w:ascii="楷体" w:hAnsi="楷体" w:eastAsia="楷体" w:cs="Times New Roman"/>
          <w:color w:val="auto"/>
          <w:sz w:val="28"/>
          <w:szCs w:val="28"/>
        </w:rPr>
        <w:t>.履约担保</w:t>
      </w:r>
      <w:bookmarkEnd w:id="59"/>
    </w:p>
    <w:p w14:paraId="606EF448">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8.1</w:t>
      </w:r>
      <w:r>
        <w:rPr>
          <w:rFonts w:hint="eastAsia" w:ascii="仿宋" w:hAnsi="仿宋" w:eastAsia="仿宋" w:cs="Times New Roman"/>
          <w:color w:val="auto"/>
          <w:sz w:val="24"/>
          <w:szCs w:val="24"/>
        </w:rPr>
        <w:t>在签订合同前，成交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应按照有关规定或者事先经过采购人书面认可的履约担保要求向采购人提交履约担保。除另有规定外，履约担保金额不超过成交合同金额的</w:t>
      </w:r>
      <w:r>
        <w:rPr>
          <w:rFonts w:ascii="仿宋" w:hAnsi="仿宋" w:eastAsia="仿宋" w:cs="Times New Roman"/>
          <w:color w:val="auto"/>
          <w:sz w:val="24"/>
          <w:szCs w:val="24"/>
        </w:rPr>
        <w:t>10%</w:t>
      </w:r>
      <w:r>
        <w:rPr>
          <w:rFonts w:hint="eastAsia" w:ascii="仿宋" w:hAnsi="仿宋" w:eastAsia="仿宋" w:cs="Times New Roman"/>
          <w:color w:val="auto"/>
          <w:sz w:val="24"/>
          <w:szCs w:val="24"/>
        </w:rPr>
        <w:t>。</w:t>
      </w:r>
    </w:p>
    <w:p w14:paraId="031B6CE1">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8.2</w:t>
      </w:r>
      <w:r>
        <w:rPr>
          <w:rFonts w:hint="eastAsia" w:ascii="仿宋" w:hAnsi="仿宋" w:eastAsia="仿宋" w:cs="Times New Roman"/>
          <w:color w:val="auto"/>
          <w:sz w:val="24"/>
          <w:szCs w:val="24"/>
        </w:rPr>
        <w:t>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未按照要求提交履约担保的，视为放弃成交资格，成交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应当对采购人造成的损失给予赔偿。</w:t>
      </w:r>
    </w:p>
    <w:p w14:paraId="7DA9603A">
      <w:pPr>
        <w:spacing w:line="360" w:lineRule="auto"/>
        <w:ind w:firstLine="560" w:firstLineChars="200"/>
        <w:outlineLvl w:val="2"/>
        <w:rPr>
          <w:rFonts w:hint="eastAsia" w:ascii="楷体" w:hAnsi="楷体" w:eastAsia="楷体" w:cs="Times New Roman"/>
          <w:color w:val="auto"/>
          <w:sz w:val="28"/>
          <w:szCs w:val="28"/>
        </w:rPr>
      </w:pPr>
      <w:bookmarkStart w:id="60" w:name="_Toc21748"/>
      <w:r>
        <w:rPr>
          <w:rFonts w:ascii="楷体" w:hAnsi="楷体" w:eastAsia="楷体" w:cs="Times New Roman"/>
          <w:color w:val="auto"/>
          <w:sz w:val="28"/>
          <w:szCs w:val="28"/>
        </w:rPr>
        <w:t>9</w:t>
      </w:r>
      <w:r>
        <w:rPr>
          <w:rFonts w:hint="eastAsia" w:ascii="楷体" w:hAnsi="楷体" w:eastAsia="楷体" w:cs="Times New Roman"/>
          <w:color w:val="auto"/>
          <w:sz w:val="28"/>
          <w:szCs w:val="28"/>
        </w:rPr>
        <w:t>.采购代理服务费</w:t>
      </w:r>
      <w:bookmarkEnd w:id="60"/>
    </w:p>
    <w:p w14:paraId="1F5BF24C">
      <w:pPr>
        <w:spacing w:line="360" w:lineRule="auto"/>
        <w:ind w:firstLine="480" w:firstLineChars="200"/>
        <w:outlineLvl w:val="2"/>
        <w:rPr>
          <w:rFonts w:hint="eastAsia" w:ascii="仿宋" w:hAnsi="仿宋" w:eastAsia="仿宋" w:cs="Times New Roman"/>
          <w:color w:val="auto"/>
          <w:sz w:val="24"/>
          <w:szCs w:val="24"/>
          <w:lang w:val="en-US" w:eastAsia="zh-CN"/>
        </w:rPr>
      </w:pPr>
      <w:r>
        <w:rPr>
          <w:rFonts w:ascii="仿宋" w:hAnsi="仿宋" w:eastAsia="仿宋" w:cs="Times New Roman"/>
          <w:color w:val="auto"/>
          <w:sz w:val="24"/>
          <w:szCs w:val="24"/>
        </w:rPr>
        <w:t>9.1</w:t>
      </w:r>
      <w:bookmarkStart w:id="61" w:name="_Toc5538"/>
      <w:r>
        <w:rPr>
          <w:rFonts w:hint="eastAsia" w:ascii="仿宋" w:hAnsi="仿宋" w:eastAsia="仿宋" w:cs="Times New Roman"/>
          <w:color w:val="auto"/>
          <w:sz w:val="24"/>
          <w:szCs w:val="24"/>
          <w:lang w:val="en-US" w:eastAsia="zh-CN"/>
        </w:rPr>
        <w:t>详见供应商须知前附表</w:t>
      </w:r>
    </w:p>
    <w:p w14:paraId="067E1FDD">
      <w:pPr>
        <w:spacing w:line="360" w:lineRule="auto"/>
        <w:ind w:firstLine="560" w:firstLineChars="200"/>
        <w:outlineLvl w:val="2"/>
        <w:rPr>
          <w:rFonts w:hint="eastAsia" w:ascii="楷体" w:hAnsi="楷体" w:eastAsia="楷体" w:cs="Times New Roman"/>
          <w:color w:val="auto"/>
          <w:sz w:val="28"/>
          <w:szCs w:val="28"/>
        </w:rPr>
      </w:pPr>
      <w:r>
        <w:rPr>
          <w:rFonts w:hint="eastAsia" w:ascii="楷体" w:hAnsi="楷体" w:eastAsia="楷体" w:cs="Times New Roman"/>
          <w:color w:val="auto"/>
          <w:sz w:val="28"/>
          <w:szCs w:val="28"/>
        </w:rPr>
        <w:t>1</w:t>
      </w:r>
      <w:r>
        <w:rPr>
          <w:rFonts w:ascii="楷体" w:hAnsi="楷体" w:eastAsia="楷体" w:cs="Times New Roman"/>
          <w:color w:val="auto"/>
          <w:sz w:val="28"/>
          <w:szCs w:val="28"/>
        </w:rPr>
        <w:t>0.</w:t>
      </w:r>
      <w:r>
        <w:rPr>
          <w:rFonts w:hint="eastAsia" w:ascii="楷体" w:hAnsi="楷体" w:eastAsia="楷体" w:cs="Times New Roman"/>
          <w:color w:val="auto"/>
          <w:sz w:val="28"/>
          <w:szCs w:val="28"/>
        </w:rPr>
        <w:t>磋商文件</w:t>
      </w:r>
      <w:bookmarkEnd w:id="61"/>
    </w:p>
    <w:p w14:paraId="08CA41F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0</w:t>
      </w:r>
      <w:r>
        <w:rPr>
          <w:rFonts w:hint="eastAsia" w:ascii="仿宋" w:hAnsi="仿宋" w:eastAsia="仿宋" w:cs="Times New Roman"/>
          <w:color w:val="auto"/>
          <w:sz w:val="24"/>
          <w:szCs w:val="24"/>
        </w:rPr>
        <w:t>.1</w:t>
      </w:r>
      <w:r>
        <w:rPr>
          <w:rFonts w:ascii="仿宋" w:hAnsi="仿宋" w:eastAsia="仿宋" w:cs="Times New Roman"/>
          <w:color w:val="auto"/>
          <w:sz w:val="24"/>
          <w:szCs w:val="24"/>
        </w:rPr>
        <w:t>磋商文件的组成</w:t>
      </w:r>
    </w:p>
    <w:p w14:paraId="08756C3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0</w:t>
      </w:r>
      <w:r>
        <w:rPr>
          <w:rFonts w:hint="eastAsia" w:ascii="仿宋" w:hAnsi="仿宋" w:eastAsia="仿宋" w:cs="Times New Roman"/>
          <w:color w:val="auto"/>
          <w:sz w:val="24"/>
          <w:szCs w:val="24"/>
        </w:rPr>
        <w:t>.</w:t>
      </w:r>
      <w:r>
        <w:rPr>
          <w:rFonts w:ascii="仿宋" w:hAnsi="仿宋" w:eastAsia="仿宋" w:cs="Times New Roman"/>
          <w:color w:val="auto"/>
          <w:sz w:val="24"/>
          <w:szCs w:val="24"/>
        </w:rPr>
        <w:t>1.1</w:t>
      </w:r>
      <w:r>
        <w:rPr>
          <w:rFonts w:hint="eastAsia" w:ascii="仿宋" w:hAnsi="仿宋" w:eastAsia="仿宋" w:cs="Times New Roman"/>
          <w:color w:val="auto"/>
          <w:sz w:val="24"/>
          <w:szCs w:val="24"/>
        </w:rPr>
        <w:t>磋商文件是用以阐明工程</w:t>
      </w:r>
      <w:r>
        <w:rPr>
          <w:rFonts w:hint="eastAsia" w:ascii="仿宋" w:hAnsi="仿宋" w:eastAsia="仿宋" w:cs="Times New Roman"/>
          <w:color w:val="auto"/>
          <w:sz w:val="24"/>
          <w:szCs w:val="24"/>
          <w:lang w:val="en-US" w:eastAsia="zh-CN"/>
        </w:rPr>
        <w:t>服务</w:t>
      </w:r>
      <w:r>
        <w:rPr>
          <w:rFonts w:hint="eastAsia" w:ascii="仿宋" w:hAnsi="仿宋" w:eastAsia="仿宋" w:cs="Times New Roman"/>
          <w:color w:val="auto"/>
          <w:sz w:val="24"/>
          <w:szCs w:val="24"/>
        </w:rPr>
        <w:t>、磋商程序和合同格式的规范性文件。磋商文件主要由以下部分组成：</w:t>
      </w:r>
    </w:p>
    <w:p w14:paraId="6D3FF207">
      <w:pPr>
        <w:numPr>
          <w:ilvl w:val="0"/>
          <w:numId w:val="7"/>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采购公告</w:t>
      </w:r>
    </w:p>
    <w:p w14:paraId="14B95F92">
      <w:pPr>
        <w:numPr>
          <w:ilvl w:val="0"/>
          <w:numId w:val="7"/>
        </w:num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供应商须知</w:t>
      </w:r>
    </w:p>
    <w:p w14:paraId="17EEECF2">
      <w:pPr>
        <w:numPr>
          <w:ilvl w:val="0"/>
          <w:numId w:val="7"/>
        </w:num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采购需求</w:t>
      </w:r>
    </w:p>
    <w:p w14:paraId="372988FF">
      <w:pPr>
        <w:numPr>
          <w:ilvl w:val="0"/>
          <w:numId w:val="7"/>
        </w:num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评审办法</w:t>
      </w:r>
    </w:p>
    <w:p w14:paraId="1CE6AE09">
      <w:pPr>
        <w:numPr>
          <w:ilvl w:val="0"/>
          <w:numId w:val="7"/>
        </w:num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签订合同、合同主要条款</w:t>
      </w:r>
    </w:p>
    <w:p w14:paraId="2354A8AC">
      <w:pPr>
        <w:numPr>
          <w:ilvl w:val="0"/>
          <w:numId w:val="7"/>
        </w:num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响应文件格式</w:t>
      </w:r>
    </w:p>
    <w:p w14:paraId="1BC01E45">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0</w:t>
      </w:r>
      <w:r>
        <w:rPr>
          <w:rFonts w:hint="eastAsia" w:ascii="仿宋" w:hAnsi="仿宋" w:eastAsia="仿宋" w:cs="Times New Roman"/>
          <w:color w:val="auto"/>
          <w:sz w:val="24"/>
          <w:szCs w:val="24"/>
        </w:rPr>
        <w:t>.</w:t>
      </w:r>
      <w:r>
        <w:rPr>
          <w:rFonts w:ascii="仿宋" w:hAnsi="仿宋" w:eastAsia="仿宋" w:cs="Times New Roman"/>
          <w:color w:val="auto"/>
          <w:sz w:val="24"/>
          <w:szCs w:val="24"/>
        </w:rPr>
        <w:t>1.2</w:t>
      </w:r>
      <w:r>
        <w:rPr>
          <w:rFonts w:hint="eastAsia" w:ascii="仿宋" w:hAnsi="仿宋" w:eastAsia="仿宋" w:cs="Times New Roman"/>
          <w:color w:val="auto"/>
          <w:sz w:val="24"/>
          <w:szCs w:val="24"/>
        </w:rPr>
        <w:t>根据本章第1</w:t>
      </w:r>
      <w:r>
        <w:rPr>
          <w:rFonts w:ascii="仿宋" w:hAnsi="仿宋" w:eastAsia="仿宋" w:cs="Times New Roman"/>
          <w:color w:val="auto"/>
          <w:sz w:val="24"/>
          <w:szCs w:val="24"/>
        </w:rPr>
        <w:t>0</w:t>
      </w:r>
      <w:r>
        <w:rPr>
          <w:rFonts w:hint="eastAsia" w:ascii="仿宋" w:hAnsi="仿宋" w:eastAsia="仿宋" w:cs="Times New Roman"/>
          <w:color w:val="auto"/>
          <w:sz w:val="24"/>
          <w:szCs w:val="24"/>
        </w:rPr>
        <w:t>.2款对磋商文件所作的澄清和修改，构成磋商文件的组成部分。</w:t>
      </w:r>
    </w:p>
    <w:p w14:paraId="447CBC8C">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0</w:t>
      </w:r>
      <w:r>
        <w:rPr>
          <w:rFonts w:hint="eastAsia" w:ascii="仿宋" w:hAnsi="仿宋" w:eastAsia="仿宋" w:cs="Times New Roman"/>
          <w:color w:val="auto"/>
          <w:sz w:val="24"/>
          <w:szCs w:val="24"/>
        </w:rPr>
        <w:t>.</w:t>
      </w:r>
      <w:r>
        <w:rPr>
          <w:rFonts w:ascii="仿宋" w:hAnsi="仿宋" w:eastAsia="仿宋" w:cs="Times New Roman"/>
          <w:color w:val="auto"/>
          <w:sz w:val="24"/>
          <w:szCs w:val="24"/>
        </w:rPr>
        <w:t>1.3</w:t>
      </w:r>
      <w:r>
        <w:rPr>
          <w:rFonts w:hint="eastAsia" w:ascii="仿宋" w:hAnsi="仿宋" w:eastAsia="仿宋" w:cs="Times New Roman"/>
          <w:color w:val="auto"/>
          <w:sz w:val="24"/>
          <w:szCs w:val="24"/>
        </w:rPr>
        <w:t>除非有特殊要求，磋商文件不单独提供项目所在地的自然环境、气候条件、公用设施等情况，</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被视为熟悉上述与履行合同有关的一切情况。</w:t>
      </w:r>
    </w:p>
    <w:p w14:paraId="52E13A7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0</w:t>
      </w:r>
      <w:r>
        <w:rPr>
          <w:rFonts w:hint="eastAsia" w:ascii="仿宋" w:hAnsi="仿宋" w:eastAsia="仿宋" w:cs="Times New Roman"/>
          <w:color w:val="auto"/>
          <w:sz w:val="24"/>
          <w:szCs w:val="24"/>
        </w:rPr>
        <w:t>.</w:t>
      </w:r>
      <w:r>
        <w:rPr>
          <w:rFonts w:ascii="仿宋" w:hAnsi="仿宋" w:eastAsia="仿宋" w:cs="Times New Roman"/>
          <w:color w:val="auto"/>
          <w:sz w:val="24"/>
          <w:szCs w:val="24"/>
        </w:rPr>
        <w:t>2</w:t>
      </w:r>
      <w:r>
        <w:rPr>
          <w:rFonts w:hint="eastAsia" w:ascii="仿宋" w:hAnsi="仿宋" w:eastAsia="仿宋" w:cs="Times New Roman"/>
          <w:color w:val="auto"/>
          <w:sz w:val="24"/>
          <w:szCs w:val="24"/>
        </w:rPr>
        <w:t>磋商文件的澄清和修改</w:t>
      </w:r>
    </w:p>
    <w:p w14:paraId="0B75984D">
      <w:pPr>
        <w:spacing w:line="400" w:lineRule="exact"/>
        <w:ind w:firstLine="480" w:firstLineChars="200"/>
        <w:rPr>
          <w:rFonts w:ascii="仿宋" w:hAnsi="仿宋" w:eastAsia="仿宋" w:cs="Times New Roman"/>
          <w:color w:val="auto"/>
          <w:sz w:val="24"/>
        </w:rPr>
      </w:pPr>
      <w:r>
        <w:rPr>
          <w:rFonts w:hint="eastAsia" w:ascii="仿宋" w:hAnsi="仿宋" w:eastAsia="仿宋" w:cs="Times New Roman"/>
          <w:color w:val="auto"/>
          <w:sz w:val="24"/>
        </w:rPr>
        <w:t>磋商文件的澄清和修改及确认，详见</w:t>
      </w:r>
      <w:r>
        <w:rPr>
          <w:rFonts w:hint="eastAsia" w:ascii="仿宋" w:hAnsi="仿宋" w:eastAsia="仿宋" w:cs="Times New Roman"/>
          <w:color w:val="auto"/>
          <w:sz w:val="24"/>
          <w:lang w:eastAsia="zh-CN"/>
        </w:rPr>
        <w:t>供应商</w:t>
      </w:r>
      <w:r>
        <w:rPr>
          <w:rFonts w:hint="eastAsia" w:ascii="仿宋" w:hAnsi="仿宋" w:eastAsia="仿宋" w:cs="Times New Roman"/>
          <w:color w:val="auto"/>
          <w:sz w:val="24"/>
        </w:rPr>
        <w:t>须知前附表。</w:t>
      </w:r>
    </w:p>
    <w:p w14:paraId="69B6BB3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rPr>
        <w:t>磋商文件的澄清或者修改在同一内容的表述上不一致时，以最后发出的公告为准。</w:t>
      </w:r>
    </w:p>
    <w:p w14:paraId="0625493E">
      <w:pPr>
        <w:spacing w:line="360" w:lineRule="auto"/>
        <w:ind w:firstLine="560" w:firstLineChars="200"/>
        <w:outlineLvl w:val="2"/>
        <w:rPr>
          <w:rFonts w:ascii="楷体" w:hAnsi="楷体" w:eastAsia="楷体" w:cs="Times New Roman"/>
          <w:color w:val="auto"/>
          <w:sz w:val="28"/>
          <w:szCs w:val="28"/>
        </w:rPr>
      </w:pPr>
      <w:bookmarkStart w:id="62" w:name="_Toc16920"/>
      <w:r>
        <w:rPr>
          <w:rFonts w:hint="eastAsia" w:ascii="楷体" w:hAnsi="楷体" w:eastAsia="楷体" w:cs="Times New Roman"/>
          <w:color w:val="auto"/>
          <w:sz w:val="28"/>
          <w:szCs w:val="28"/>
        </w:rPr>
        <w:t>1</w:t>
      </w:r>
      <w:r>
        <w:rPr>
          <w:rFonts w:ascii="楷体" w:hAnsi="楷体" w:eastAsia="楷体" w:cs="Times New Roman"/>
          <w:color w:val="auto"/>
          <w:sz w:val="28"/>
          <w:szCs w:val="28"/>
        </w:rPr>
        <w:t>1</w:t>
      </w:r>
      <w:r>
        <w:rPr>
          <w:rFonts w:hint="eastAsia" w:ascii="楷体" w:hAnsi="楷体" w:eastAsia="楷体" w:cs="Times New Roman"/>
          <w:color w:val="auto"/>
          <w:sz w:val="28"/>
          <w:szCs w:val="28"/>
        </w:rPr>
        <w:t>.响应文件的组成</w:t>
      </w:r>
      <w:bookmarkEnd w:id="62"/>
    </w:p>
    <w:p w14:paraId="54AD312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1</w:t>
      </w:r>
      <w:r>
        <w:rPr>
          <w:rFonts w:hint="eastAsia" w:ascii="仿宋" w:hAnsi="仿宋" w:eastAsia="仿宋" w:cs="Times New Roman"/>
          <w:color w:val="auto"/>
          <w:sz w:val="24"/>
          <w:szCs w:val="24"/>
        </w:rPr>
        <w:t>.</w:t>
      </w:r>
      <w:r>
        <w:rPr>
          <w:rFonts w:ascii="仿宋" w:hAnsi="仿宋" w:eastAsia="仿宋" w:cs="Times New Roman"/>
          <w:color w:val="auto"/>
          <w:sz w:val="24"/>
          <w:szCs w:val="24"/>
        </w:rPr>
        <w:t>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应按照磋商文件的要求以及格式编制响应文件，并保证其真实性、准确性以及完整性，并按照磋商文件要求提交全部资料并做出实质性响应。</w:t>
      </w:r>
    </w:p>
    <w:p w14:paraId="531233B9">
      <w:pPr>
        <w:spacing w:line="360" w:lineRule="auto"/>
        <w:ind w:firstLine="480" w:firstLineChars="200"/>
        <w:rPr>
          <w:rFonts w:hint="default" w:ascii="仿宋" w:hAnsi="仿宋" w:eastAsia="仿宋" w:cs="Times New Roman"/>
          <w:color w:val="auto"/>
          <w:sz w:val="24"/>
          <w:szCs w:val="24"/>
          <w:lang w:val="en-US" w:eastAsia="zh-CN"/>
        </w:rPr>
      </w:pPr>
      <w:r>
        <w:rPr>
          <w:rFonts w:ascii="仿宋" w:hAnsi="仿宋" w:eastAsia="仿宋" w:cs="Times New Roman"/>
          <w:color w:val="auto"/>
          <w:sz w:val="24"/>
          <w:szCs w:val="24"/>
        </w:rPr>
        <w:t>11.2</w:t>
      </w:r>
      <w:r>
        <w:rPr>
          <w:rFonts w:hint="eastAsia" w:ascii="仿宋" w:hAnsi="仿宋" w:eastAsia="仿宋" w:cs="Times New Roman"/>
          <w:color w:val="auto"/>
          <w:sz w:val="24"/>
          <w:szCs w:val="24"/>
        </w:rPr>
        <w:t>响应文件</w:t>
      </w:r>
      <w:r>
        <w:rPr>
          <w:rFonts w:hint="eastAsia" w:ascii="仿宋" w:hAnsi="仿宋" w:eastAsia="仿宋" w:cs="Times New Roman"/>
          <w:color w:val="auto"/>
          <w:sz w:val="24"/>
          <w:szCs w:val="24"/>
          <w:lang w:val="en-US" w:eastAsia="zh-CN"/>
        </w:rPr>
        <w:t>的</w:t>
      </w:r>
      <w:r>
        <w:rPr>
          <w:rFonts w:hint="eastAsia" w:ascii="仿宋" w:hAnsi="仿宋" w:eastAsia="仿宋" w:cs="Times New Roman"/>
          <w:color w:val="auto"/>
          <w:sz w:val="24"/>
          <w:szCs w:val="24"/>
        </w:rPr>
        <w:t>组成：</w:t>
      </w:r>
      <w:r>
        <w:rPr>
          <w:rFonts w:hint="eastAsia" w:ascii="仿宋" w:hAnsi="仿宋" w:eastAsia="仿宋" w:cs="Times New Roman"/>
          <w:color w:val="auto"/>
          <w:sz w:val="24"/>
          <w:szCs w:val="24"/>
          <w:lang w:val="en-US" w:eastAsia="zh-CN"/>
        </w:rPr>
        <w:t>详见第六章 响应文件格式。</w:t>
      </w:r>
    </w:p>
    <w:p w14:paraId="646F1C08">
      <w:pPr>
        <w:spacing w:line="360" w:lineRule="auto"/>
        <w:ind w:firstLine="560" w:firstLineChars="200"/>
        <w:outlineLvl w:val="2"/>
        <w:rPr>
          <w:rFonts w:ascii="楷体" w:hAnsi="楷体" w:eastAsia="楷体" w:cs="Times New Roman"/>
          <w:color w:val="auto"/>
          <w:sz w:val="28"/>
          <w:szCs w:val="28"/>
        </w:rPr>
      </w:pPr>
      <w:bookmarkStart w:id="63" w:name="_Toc5547"/>
      <w:r>
        <w:rPr>
          <w:rFonts w:hint="eastAsia" w:ascii="楷体" w:hAnsi="楷体" w:eastAsia="楷体" w:cs="Times New Roman"/>
          <w:color w:val="auto"/>
          <w:sz w:val="28"/>
          <w:szCs w:val="28"/>
        </w:rPr>
        <w:t>1</w:t>
      </w:r>
      <w:r>
        <w:rPr>
          <w:rFonts w:ascii="楷体" w:hAnsi="楷体" w:eastAsia="楷体" w:cs="Times New Roman"/>
          <w:color w:val="auto"/>
          <w:sz w:val="28"/>
          <w:szCs w:val="28"/>
        </w:rPr>
        <w:t>2</w:t>
      </w:r>
      <w:r>
        <w:rPr>
          <w:rFonts w:hint="eastAsia" w:ascii="楷体" w:hAnsi="楷体" w:eastAsia="楷体" w:cs="Times New Roman"/>
          <w:color w:val="auto"/>
          <w:sz w:val="28"/>
          <w:szCs w:val="28"/>
        </w:rPr>
        <w:t>.响应报价</w:t>
      </w:r>
      <w:bookmarkEnd w:id="63"/>
    </w:p>
    <w:p w14:paraId="2D9275E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2.1</w:t>
      </w:r>
      <w:r>
        <w:rPr>
          <w:rFonts w:hint="eastAsia" w:ascii="仿宋" w:hAnsi="仿宋" w:eastAsia="仿宋" w:cs="Times New Roman"/>
          <w:color w:val="auto"/>
          <w:sz w:val="24"/>
          <w:szCs w:val="24"/>
        </w:rPr>
        <w:t>响应报价的范围：见供应商须知前附表。</w:t>
      </w:r>
    </w:p>
    <w:p w14:paraId="4946254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2</w:t>
      </w:r>
      <w:r>
        <w:rPr>
          <w:rFonts w:ascii="仿宋" w:hAnsi="仿宋" w:eastAsia="仿宋" w:cs="Times New Roman"/>
          <w:color w:val="auto"/>
          <w:sz w:val="24"/>
          <w:szCs w:val="24"/>
        </w:rPr>
        <w:t>响应报价的次数：见供应商须知前附表。</w:t>
      </w:r>
    </w:p>
    <w:p w14:paraId="1FF37657">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3供应商不得以任何方式或者方法提供报价以外的任何附赠条款。</w:t>
      </w:r>
    </w:p>
    <w:p w14:paraId="7CEFDF8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4供应商应按照采购文件中要求的内容填写报价，并由法定代表人或者被授权代表签署。</w:t>
      </w:r>
    </w:p>
    <w:p w14:paraId="2DC0F719">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5供应商须按照附件格式表中的各单项明细逐项填写，以方便</w:t>
      </w:r>
      <w:r>
        <w:rPr>
          <w:rFonts w:hint="eastAsia" w:ascii="仿宋" w:hAnsi="仿宋" w:eastAsia="仿宋" w:cs="Times New Roman"/>
          <w:color w:val="auto"/>
          <w:sz w:val="24"/>
          <w:szCs w:val="24"/>
          <w:lang w:val="en-US" w:eastAsia="zh-CN"/>
        </w:rPr>
        <w:t>磋商</w:t>
      </w:r>
      <w:r>
        <w:rPr>
          <w:rFonts w:hint="eastAsia" w:ascii="仿宋" w:hAnsi="仿宋" w:eastAsia="仿宋" w:cs="Times New Roman"/>
          <w:color w:val="auto"/>
          <w:sz w:val="24"/>
          <w:szCs w:val="24"/>
        </w:rPr>
        <w:t>小组对各响应文件进行比较。</w:t>
      </w:r>
    </w:p>
    <w:p w14:paraId="0C00B4B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6417413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7唱标时，采购代理机构只对按照采购文件要求编制的响应报价进行唱标。</w:t>
      </w:r>
    </w:p>
    <w:p w14:paraId="03EA0EA0">
      <w:pPr>
        <w:spacing w:line="360" w:lineRule="auto"/>
        <w:ind w:firstLine="480" w:firstLineChars="200"/>
        <w:outlineLvl w:val="9"/>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8供应商的成交价格在合同执行中是固定不变的，不得以任何理由予以变更，不得出现任何包含价格调整的要求。</w:t>
      </w:r>
    </w:p>
    <w:p w14:paraId="4F673629">
      <w:pPr>
        <w:spacing w:line="360" w:lineRule="auto"/>
        <w:ind w:firstLine="560" w:firstLineChars="200"/>
        <w:outlineLvl w:val="2"/>
        <w:rPr>
          <w:rFonts w:ascii="楷体" w:hAnsi="楷体" w:eastAsia="楷体" w:cs="Times New Roman"/>
          <w:color w:val="auto"/>
          <w:sz w:val="28"/>
          <w:szCs w:val="28"/>
        </w:rPr>
      </w:pPr>
      <w:bookmarkStart w:id="64" w:name="_Toc25283"/>
      <w:r>
        <w:rPr>
          <w:rFonts w:hint="eastAsia" w:ascii="楷体" w:hAnsi="楷体" w:eastAsia="楷体" w:cs="Times New Roman"/>
          <w:color w:val="auto"/>
          <w:sz w:val="28"/>
          <w:szCs w:val="28"/>
        </w:rPr>
        <w:t>1</w:t>
      </w:r>
      <w:r>
        <w:rPr>
          <w:rFonts w:ascii="楷体" w:hAnsi="楷体" w:eastAsia="楷体" w:cs="Times New Roman"/>
          <w:color w:val="auto"/>
          <w:sz w:val="28"/>
          <w:szCs w:val="28"/>
        </w:rPr>
        <w:t>3.</w:t>
      </w:r>
      <w:r>
        <w:rPr>
          <w:rFonts w:hint="eastAsia" w:ascii="楷体" w:hAnsi="楷体" w:eastAsia="楷体" w:cs="Times New Roman"/>
          <w:color w:val="auto"/>
          <w:sz w:val="28"/>
          <w:szCs w:val="28"/>
        </w:rPr>
        <w:t>响应文件编制要求</w:t>
      </w:r>
      <w:bookmarkEnd w:id="64"/>
    </w:p>
    <w:p w14:paraId="0D7FDB43">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3</w:t>
      </w:r>
      <w:r>
        <w:rPr>
          <w:rFonts w:hint="eastAsia" w:ascii="仿宋" w:hAnsi="仿宋" w:eastAsia="仿宋" w:cs="Times New Roman"/>
          <w:color w:val="auto"/>
          <w:sz w:val="24"/>
          <w:szCs w:val="24"/>
        </w:rPr>
        <w:t>.</w:t>
      </w:r>
      <w:r>
        <w:rPr>
          <w:rFonts w:ascii="仿宋" w:hAnsi="仿宋" w:eastAsia="仿宋" w:cs="Times New Roman"/>
          <w:color w:val="auto"/>
          <w:sz w:val="24"/>
          <w:szCs w:val="24"/>
        </w:rPr>
        <w:t>1</w:t>
      </w:r>
      <w:r>
        <w:rPr>
          <w:rFonts w:hint="eastAsia" w:ascii="仿宋" w:hAnsi="仿宋" w:eastAsia="仿宋" w:cs="Times New Roman"/>
          <w:color w:val="auto"/>
          <w:sz w:val="24"/>
          <w:szCs w:val="24"/>
        </w:rPr>
        <w:t>响应文件应按所投包分别进行编制。</w:t>
      </w:r>
    </w:p>
    <w:p w14:paraId="2641039B">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13.2</w:t>
      </w:r>
      <w:r>
        <w:rPr>
          <w:rFonts w:hint="eastAsia" w:ascii="仿宋" w:hAnsi="仿宋" w:eastAsia="仿宋" w:cs="Times New Roman"/>
          <w:color w:val="auto"/>
          <w:sz w:val="24"/>
          <w:szCs w:val="24"/>
        </w:rPr>
        <w:t>响应文件编制：见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p w14:paraId="2239323D">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13.3响应文件</w:t>
      </w:r>
      <w:r>
        <w:rPr>
          <w:rFonts w:hint="eastAsia" w:ascii="仿宋" w:hAnsi="仿宋" w:eastAsia="仿宋" w:cs="Times New Roman"/>
          <w:color w:val="auto"/>
          <w:sz w:val="24"/>
          <w:szCs w:val="24"/>
        </w:rPr>
        <w:t>签章</w:t>
      </w:r>
      <w:r>
        <w:rPr>
          <w:rFonts w:ascii="仿宋" w:hAnsi="仿宋" w:eastAsia="仿宋" w:cs="Times New Roman"/>
          <w:color w:val="auto"/>
          <w:sz w:val="24"/>
          <w:szCs w:val="24"/>
        </w:rPr>
        <w:t>：</w:t>
      </w:r>
      <w:r>
        <w:rPr>
          <w:rFonts w:hint="eastAsia" w:ascii="仿宋" w:hAnsi="仿宋" w:eastAsia="仿宋" w:cs="Times New Roman"/>
          <w:color w:val="auto"/>
          <w:sz w:val="24"/>
          <w:szCs w:val="24"/>
        </w:rPr>
        <w:t>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p w14:paraId="4F539AE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3.4</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可对供货现场以及其范围环境进行考察，以获取有关编制响应文件和签署实施合同所需的各项资料，</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应承担现场考察的费用、责任和风险。</w:t>
      </w:r>
    </w:p>
    <w:p w14:paraId="11779D74">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13.5</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编制响应文件时，应当如实在技术响应表和商务响应表中填写响应情况。</w:t>
      </w:r>
    </w:p>
    <w:p w14:paraId="5F5A3AD8">
      <w:pPr>
        <w:spacing w:line="360" w:lineRule="auto"/>
        <w:ind w:firstLine="560" w:firstLineChars="200"/>
        <w:outlineLvl w:val="2"/>
        <w:rPr>
          <w:rFonts w:hint="eastAsia" w:ascii="楷体" w:hAnsi="楷体" w:eastAsia="楷体" w:cs="Times New Roman"/>
          <w:color w:val="auto"/>
          <w:sz w:val="28"/>
          <w:szCs w:val="28"/>
        </w:rPr>
      </w:pPr>
      <w:bookmarkStart w:id="65" w:name="_Toc27638"/>
      <w:r>
        <w:rPr>
          <w:rFonts w:hint="eastAsia" w:ascii="楷体" w:hAnsi="楷体" w:eastAsia="楷体" w:cs="Times New Roman"/>
          <w:color w:val="auto"/>
          <w:sz w:val="28"/>
          <w:szCs w:val="28"/>
        </w:rPr>
        <w:t>1</w:t>
      </w:r>
      <w:r>
        <w:rPr>
          <w:rFonts w:ascii="楷体" w:hAnsi="楷体" w:eastAsia="楷体" w:cs="Times New Roman"/>
          <w:color w:val="auto"/>
          <w:sz w:val="28"/>
          <w:szCs w:val="28"/>
        </w:rPr>
        <w:t>4.</w:t>
      </w:r>
      <w:r>
        <w:rPr>
          <w:rFonts w:hint="eastAsia" w:ascii="楷体" w:hAnsi="楷体" w:eastAsia="楷体" w:cs="Times New Roman"/>
          <w:color w:val="auto"/>
          <w:sz w:val="28"/>
          <w:szCs w:val="28"/>
        </w:rPr>
        <w:t>响应文件的密封和标记</w:t>
      </w:r>
      <w:bookmarkEnd w:id="65"/>
    </w:p>
    <w:p w14:paraId="5F5B76D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p w14:paraId="1A601B5F">
      <w:pPr>
        <w:spacing w:line="360" w:lineRule="auto"/>
        <w:ind w:firstLine="560" w:firstLineChars="200"/>
        <w:outlineLvl w:val="2"/>
        <w:rPr>
          <w:rFonts w:hint="eastAsia" w:ascii="楷体" w:hAnsi="楷体" w:eastAsia="楷体" w:cs="Times New Roman"/>
          <w:color w:val="auto"/>
          <w:sz w:val="28"/>
          <w:szCs w:val="28"/>
        </w:rPr>
      </w:pPr>
      <w:bookmarkStart w:id="66" w:name="_Toc26392"/>
      <w:r>
        <w:rPr>
          <w:rFonts w:hint="eastAsia" w:ascii="楷体" w:hAnsi="楷体" w:eastAsia="楷体" w:cs="Times New Roman"/>
          <w:color w:val="auto"/>
          <w:sz w:val="28"/>
          <w:szCs w:val="28"/>
        </w:rPr>
        <w:t>1</w:t>
      </w:r>
      <w:r>
        <w:rPr>
          <w:rFonts w:ascii="楷体" w:hAnsi="楷体" w:eastAsia="楷体" w:cs="Times New Roman"/>
          <w:color w:val="auto"/>
          <w:sz w:val="28"/>
          <w:szCs w:val="28"/>
        </w:rPr>
        <w:t>5.</w:t>
      </w:r>
      <w:r>
        <w:rPr>
          <w:rFonts w:hint="eastAsia" w:ascii="楷体" w:hAnsi="楷体" w:eastAsia="楷体" w:cs="Times New Roman"/>
          <w:color w:val="auto"/>
          <w:sz w:val="28"/>
          <w:szCs w:val="28"/>
        </w:rPr>
        <w:t>响应文件的递交</w:t>
      </w:r>
      <w:bookmarkEnd w:id="66"/>
    </w:p>
    <w:p w14:paraId="14202B3A">
      <w:pPr>
        <w:spacing w:line="360" w:lineRule="auto"/>
        <w:ind w:firstLine="480" w:firstLineChars="200"/>
        <w:rPr>
          <w:rFonts w:hint="eastAsia" w:ascii="仿宋" w:hAnsi="仿宋" w:eastAsia="仿宋" w:cs="Times New Roman"/>
          <w:color w:val="auto"/>
          <w:sz w:val="24"/>
          <w:szCs w:val="24"/>
        </w:rPr>
      </w:pPr>
      <w:r>
        <w:rPr>
          <w:rFonts w:ascii="仿宋" w:hAnsi="仿宋" w:eastAsia="仿宋" w:cs="Times New Roman"/>
          <w:color w:val="auto"/>
          <w:sz w:val="24"/>
          <w:szCs w:val="24"/>
        </w:rPr>
        <w:t>15</w:t>
      </w: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应在报价截止时间前递交响应文件。</w:t>
      </w:r>
    </w:p>
    <w:p w14:paraId="04F70F68">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15.</w:t>
      </w: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递交响应文件的时间、地点和要求：见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p w14:paraId="52FC009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5</w:t>
      </w:r>
      <w:r>
        <w:rPr>
          <w:rFonts w:hint="eastAsia" w:ascii="仿宋" w:hAnsi="仿宋" w:eastAsia="仿宋" w:cs="Times New Roman"/>
          <w:color w:val="auto"/>
          <w:sz w:val="24"/>
          <w:szCs w:val="24"/>
        </w:rPr>
        <w:t>.</w:t>
      </w:r>
      <w:r>
        <w:rPr>
          <w:rFonts w:ascii="仿宋" w:hAnsi="仿宋" w:eastAsia="仿宋" w:cs="Times New Roman"/>
          <w:color w:val="auto"/>
          <w:sz w:val="24"/>
          <w:szCs w:val="24"/>
        </w:rPr>
        <w:t>3</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有下列情况之一，采购人或者采购代理机构应当拒绝接收</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的响应文件：</w:t>
      </w:r>
    </w:p>
    <w:p w14:paraId="0DA5F02A">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5</w:t>
      </w:r>
      <w:r>
        <w:rPr>
          <w:rFonts w:hint="eastAsia" w:ascii="仿宋" w:hAnsi="仿宋" w:eastAsia="仿宋" w:cs="Times New Roman"/>
          <w:color w:val="auto"/>
          <w:sz w:val="24"/>
          <w:szCs w:val="24"/>
        </w:rPr>
        <w:t>.</w:t>
      </w:r>
      <w:r>
        <w:rPr>
          <w:rFonts w:ascii="仿宋" w:hAnsi="仿宋" w:eastAsia="仿宋" w:cs="Times New Roman"/>
          <w:color w:val="auto"/>
          <w:sz w:val="24"/>
          <w:szCs w:val="24"/>
        </w:rPr>
        <w:t>3.1</w:t>
      </w:r>
      <w:r>
        <w:rPr>
          <w:rFonts w:hint="eastAsia" w:ascii="仿宋" w:hAnsi="仿宋" w:eastAsia="仿宋" w:cs="Times New Roman"/>
          <w:color w:val="auto"/>
          <w:sz w:val="24"/>
          <w:szCs w:val="24"/>
        </w:rPr>
        <w:t>逾期送达的或者未送达指定地点的。</w:t>
      </w:r>
    </w:p>
    <w:p w14:paraId="12CBE7B0">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15.3.2响应文件未按采购文件要求密封的。</w:t>
      </w:r>
    </w:p>
    <w:p w14:paraId="612359B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15.3.3递交响应文件时法定代表人未出示法定代表人身份证明原件和身份证原件的；被授权代表未出示授权委托书原件和身份证原件的。</w:t>
      </w:r>
    </w:p>
    <w:p w14:paraId="3BDE0D72">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5.4</w:t>
      </w:r>
      <w:r>
        <w:rPr>
          <w:rFonts w:hint="eastAsia" w:ascii="仿宋" w:hAnsi="仿宋" w:eastAsia="仿宋" w:cs="Times New Roman"/>
          <w:color w:val="auto"/>
          <w:sz w:val="24"/>
          <w:szCs w:val="24"/>
        </w:rPr>
        <w:t>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须知前附表另有规定外，不论采购过程和结果如何，</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的响应文件均不退还。</w:t>
      </w:r>
    </w:p>
    <w:p w14:paraId="732E32C7">
      <w:pPr>
        <w:spacing w:line="360" w:lineRule="auto"/>
        <w:ind w:firstLine="560" w:firstLineChars="200"/>
        <w:outlineLvl w:val="2"/>
        <w:rPr>
          <w:rFonts w:ascii="楷体" w:hAnsi="楷体" w:eastAsia="楷体" w:cs="Times New Roman"/>
          <w:color w:val="auto"/>
          <w:sz w:val="28"/>
          <w:szCs w:val="28"/>
        </w:rPr>
      </w:pPr>
      <w:bookmarkStart w:id="67" w:name="_Toc14576"/>
      <w:r>
        <w:rPr>
          <w:rFonts w:hint="eastAsia" w:ascii="楷体" w:hAnsi="楷体" w:eastAsia="楷体" w:cs="Times New Roman"/>
          <w:color w:val="auto"/>
          <w:sz w:val="28"/>
          <w:szCs w:val="28"/>
        </w:rPr>
        <w:t>1</w:t>
      </w:r>
      <w:r>
        <w:rPr>
          <w:rFonts w:ascii="楷体" w:hAnsi="楷体" w:eastAsia="楷体" w:cs="Times New Roman"/>
          <w:color w:val="auto"/>
          <w:sz w:val="28"/>
          <w:szCs w:val="28"/>
        </w:rPr>
        <w:t>6</w:t>
      </w:r>
      <w:r>
        <w:rPr>
          <w:rFonts w:hint="eastAsia" w:ascii="楷体" w:hAnsi="楷体" w:eastAsia="楷体" w:cs="Times New Roman"/>
          <w:color w:val="auto"/>
          <w:sz w:val="28"/>
          <w:szCs w:val="28"/>
        </w:rPr>
        <w:t>.响应文件的修改与撤回</w:t>
      </w:r>
      <w:bookmarkEnd w:id="67"/>
    </w:p>
    <w:p w14:paraId="0BD93D63">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6.1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在磋商文件要求提交响应文件截止时间前，可以补充、修改、替代或者撤回已提交的响应文件。补充、修改的内容为响应文件的组成部分。</w:t>
      </w:r>
    </w:p>
    <w:p w14:paraId="36AF676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6</w:t>
      </w:r>
      <w:r>
        <w:rPr>
          <w:rFonts w:hint="eastAsia" w:ascii="仿宋" w:hAnsi="仿宋" w:eastAsia="仿宋" w:cs="Times New Roman"/>
          <w:color w:val="auto"/>
          <w:sz w:val="24"/>
          <w:szCs w:val="24"/>
        </w:rPr>
        <w:t>.</w:t>
      </w:r>
      <w:r>
        <w:rPr>
          <w:rFonts w:ascii="仿宋" w:hAnsi="仿宋" w:eastAsia="仿宋" w:cs="Times New Roman"/>
          <w:color w:val="auto"/>
          <w:sz w:val="24"/>
          <w:szCs w:val="24"/>
        </w:rPr>
        <w:t>2</w:t>
      </w:r>
      <w:r>
        <w:rPr>
          <w:rFonts w:hint="eastAsia" w:ascii="仿宋" w:hAnsi="仿宋" w:eastAsia="仿宋" w:cs="Times New Roman"/>
          <w:color w:val="auto"/>
          <w:sz w:val="24"/>
          <w:szCs w:val="24"/>
        </w:rPr>
        <w:t>在提交响应文件截止时间后到磋商文件规定的报价有效期终止之前，在磋商文件没有变动的情况下，</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不得补充、修改、替代或者撤销其响应文件。</w:t>
      </w:r>
    </w:p>
    <w:p w14:paraId="10C43D4F">
      <w:pPr>
        <w:spacing w:line="360" w:lineRule="auto"/>
        <w:ind w:firstLine="560" w:firstLineChars="200"/>
        <w:outlineLvl w:val="2"/>
        <w:rPr>
          <w:rFonts w:hint="eastAsia" w:ascii="楷体" w:hAnsi="楷体" w:eastAsia="楷体" w:cs="Times New Roman"/>
          <w:color w:val="auto"/>
          <w:sz w:val="28"/>
          <w:szCs w:val="28"/>
          <w:lang w:eastAsia="zh-CN"/>
        </w:rPr>
      </w:pPr>
      <w:bookmarkStart w:id="68" w:name="_Toc464831145"/>
      <w:bookmarkStart w:id="69" w:name="_Toc8485"/>
      <w:r>
        <w:rPr>
          <w:rFonts w:hint="eastAsia" w:ascii="楷体" w:hAnsi="楷体" w:eastAsia="楷体" w:cs="Times New Roman"/>
          <w:color w:val="auto"/>
          <w:sz w:val="28"/>
          <w:szCs w:val="28"/>
        </w:rPr>
        <w:t>1</w:t>
      </w:r>
      <w:r>
        <w:rPr>
          <w:rFonts w:ascii="楷体" w:hAnsi="楷体" w:eastAsia="楷体" w:cs="Times New Roman"/>
          <w:color w:val="auto"/>
          <w:sz w:val="28"/>
          <w:szCs w:val="28"/>
        </w:rPr>
        <w:t>7.</w:t>
      </w:r>
      <w:r>
        <w:rPr>
          <w:rFonts w:hint="eastAsia" w:ascii="楷体" w:hAnsi="楷体" w:eastAsia="楷体" w:cs="Times New Roman"/>
          <w:color w:val="auto"/>
          <w:sz w:val="28"/>
          <w:szCs w:val="28"/>
        </w:rPr>
        <w:t>保证金</w:t>
      </w:r>
      <w:bookmarkEnd w:id="68"/>
      <w:bookmarkEnd w:id="69"/>
      <w:r>
        <w:rPr>
          <w:rFonts w:hint="eastAsia" w:ascii="楷体" w:hAnsi="楷体" w:eastAsia="楷体" w:cs="Times New Roman"/>
          <w:color w:val="auto"/>
          <w:sz w:val="28"/>
          <w:szCs w:val="28"/>
          <w:lang w:eastAsia="zh-CN"/>
        </w:rPr>
        <w:t>（</w:t>
      </w:r>
      <w:r>
        <w:rPr>
          <w:rFonts w:hint="eastAsia" w:ascii="楷体" w:hAnsi="楷体" w:eastAsia="楷体" w:cs="Times New Roman"/>
          <w:color w:val="auto"/>
          <w:sz w:val="28"/>
          <w:szCs w:val="28"/>
          <w:lang w:val="en-US" w:eastAsia="zh-CN"/>
        </w:rPr>
        <w:t>本项目不做要求</w:t>
      </w:r>
      <w:r>
        <w:rPr>
          <w:rFonts w:hint="eastAsia" w:ascii="楷体" w:hAnsi="楷体" w:eastAsia="楷体" w:cs="Times New Roman"/>
          <w:color w:val="auto"/>
          <w:sz w:val="28"/>
          <w:szCs w:val="28"/>
          <w:lang w:eastAsia="zh-CN"/>
        </w:rPr>
        <w:t>）</w:t>
      </w:r>
    </w:p>
    <w:p w14:paraId="447B3249">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7.1保证金</w:t>
      </w:r>
      <w:r>
        <w:rPr>
          <w:rFonts w:hint="eastAsia" w:ascii="仿宋" w:hAnsi="仿宋" w:eastAsia="仿宋" w:cs="Times New Roman"/>
          <w:color w:val="auto"/>
          <w:sz w:val="24"/>
          <w:szCs w:val="24"/>
        </w:rPr>
        <w:t>的交纳</w:t>
      </w:r>
    </w:p>
    <w:p w14:paraId="687A8364">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7.1.1保证金</w:t>
      </w:r>
      <w:r>
        <w:rPr>
          <w:rFonts w:hint="eastAsia" w:ascii="仿宋" w:hAnsi="仿宋" w:eastAsia="仿宋" w:cs="Times New Roman"/>
          <w:color w:val="auto"/>
          <w:sz w:val="24"/>
          <w:szCs w:val="24"/>
        </w:rPr>
        <w:t>的交纳金额和形式：见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p w14:paraId="3E380458">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7.1.2</w:t>
      </w:r>
      <w:r>
        <w:rPr>
          <w:rFonts w:hint="eastAsia" w:ascii="仿宋" w:hAnsi="仿宋" w:eastAsia="仿宋" w:cs="Times New Roman"/>
          <w:color w:val="auto"/>
          <w:sz w:val="24"/>
          <w:szCs w:val="24"/>
        </w:rPr>
        <w:t>保证金以到账时间为准。</w:t>
      </w:r>
    </w:p>
    <w:p w14:paraId="117120B4">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7.1.3</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为联合体的，联合体牵头人交纳的保证金对联合体各方均具有约束力。</w:t>
      </w:r>
    </w:p>
    <w:p w14:paraId="7C1CF1F8">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17.</w:t>
      </w:r>
      <w:r>
        <w:rPr>
          <w:rFonts w:hint="eastAsia" w:ascii="仿宋" w:hAnsi="仿宋" w:eastAsia="仿宋" w:cs="Times New Roman"/>
          <w:color w:val="auto"/>
          <w:sz w:val="24"/>
          <w:szCs w:val="24"/>
        </w:rPr>
        <w:t>2保证金的退还</w:t>
      </w:r>
    </w:p>
    <w:p w14:paraId="226EB89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w:t>
      </w:r>
      <w:r>
        <w:rPr>
          <w:rFonts w:hint="eastAsia" w:ascii="仿宋" w:hAnsi="仿宋" w:eastAsia="仿宋" w:cs="Times New Roman"/>
          <w:color w:val="auto"/>
          <w:sz w:val="24"/>
          <w:szCs w:val="24"/>
        </w:rPr>
        <w:t>2</w:t>
      </w:r>
      <w:r>
        <w:rPr>
          <w:rFonts w:ascii="仿宋" w:hAnsi="仿宋" w:eastAsia="仿宋" w:cs="Times New Roman"/>
          <w:color w:val="auto"/>
          <w:sz w:val="24"/>
          <w:szCs w:val="24"/>
        </w:rPr>
        <w:t>.1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在采购文件要求提交响应文件截止时间前书面要求撤回响应文件的，采购人或者采购代理机构自收到</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书面撤回文件之日起</w:t>
      </w:r>
      <w:r>
        <w:rPr>
          <w:rFonts w:ascii="仿宋" w:hAnsi="仿宋" w:eastAsia="仿宋" w:cs="Times New Roman"/>
          <w:color w:val="auto"/>
          <w:sz w:val="24"/>
          <w:szCs w:val="24"/>
        </w:rPr>
        <w:t>5</w:t>
      </w:r>
      <w:r>
        <w:rPr>
          <w:rFonts w:hint="eastAsia" w:ascii="仿宋" w:hAnsi="仿宋" w:eastAsia="仿宋" w:cs="Times New Roman"/>
          <w:color w:val="auto"/>
          <w:sz w:val="24"/>
          <w:szCs w:val="24"/>
        </w:rPr>
        <w:t>日内退还已收取的保证金。</w:t>
      </w:r>
    </w:p>
    <w:p w14:paraId="081CE95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w:t>
      </w:r>
      <w:r>
        <w:rPr>
          <w:rFonts w:hint="eastAsia" w:ascii="仿宋" w:hAnsi="仿宋" w:eastAsia="仿宋" w:cs="Times New Roman"/>
          <w:color w:val="auto"/>
          <w:sz w:val="24"/>
          <w:szCs w:val="24"/>
        </w:rPr>
        <w:t>2</w:t>
      </w:r>
      <w:r>
        <w:rPr>
          <w:rFonts w:ascii="仿宋" w:hAnsi="仿宋" w:eastAsia="仿宋" w:cs="Times New Roman"/>
          <w:color w:val="auto"/>
          <w:sz w:val="24"/>
          <w:szCs w:val="24"/>
        </w:rPr>
        <w:t>.2</w:t>
      </w:r>
      <w:r>
        <w:rPr>
          <w:rFonts w:hint="eastAsia" w:ascii="仿宋" w:hAnsi="仿宋" w:eastAsia="仿宋" w:cs="Times New Roman"/>
          <w:color w:val="auto"/>
          <w:sz w:val="24"/>
          <w:szCs w:val="24"/>
        </w:rPr>
        <w:t>采购代理机构在成交通知发出后5个工作日内退还未成交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的保证金，在采购合同签订并备案后5个工作日内退还成交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的保证金。</w:t>
      </w:r>
    </w:p>
    <w:p w14:paraId="7452BD9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7.</w:t>
      </w:r>
      <w:r>
        <w:rPr>
          <w:rFonts w:hint="eastAsia" w:ascii="仿宋" w:hAnsi="仿宋" w:eastAsia="仿宋" w:cs="Times New Roman"/>
          <w:color w:val="auto"/>
          <w:sz w:val="24"/>
          <w:szCs w:val="24"/>
        </w:rPr>
        <w:t>3保证金的不予退还</w:t>
      </w:r>
    </w:p>
    <w:p w14:paraId="77132EB1">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17.3.1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有下列情形之一的，保证金将不予退还：</w:t>
      </w:r>
    </w:p>
    <w:p w14:paraId="145BF43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（1）提供的有关资料不真实或者提供虚假材料的；</w:t>
      </w:r>
    </w:p>
    <w:p w14:paraId="66CABE5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2</w:t>
      </w:r>
      <w:r>
        <w:rPr>
          <w:rFonts w:hint="eastAsia" w:ascii="仿宋" w:hAnsi="仿宋" w:eastAsia="仿宋" w:cs="Times New Roman"/>
          <w:color w:val="auto"/>
          <w:sz w:val="24"/>
          <w:szCs w:val="24"/>
        </w:rPr>
        <w:t>）报价截止时间后</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撤回全部或者部分响应文件的；</w:t>
      </w:r>
    </w:p>
    <w:p w14:paraId="3262E66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3</w:t>
      </w:r>
      <w:r>
        <w:rPr>
          <w:rFonts w:hint="eastAsia" w:ascii="仿宋" w:hAnsi="仿宋" w:eastAsia="仿宋" w:cs="Times New Roman"/>
          <w:color w:val="auto"/>
          <w:sz w:val="24"/>
          <w:szCs w:val="24"/>
        </w:rPr>
        <w:t>）损害采购人或者采购代理机构合法权益的；</w:t>
      </w:r>
    </w:p>
    <w:p w14:paraId="250F06C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4</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向采购代理机构、采购人、专家提供不正当利益的；</w:t>
      </w:r>
    </w:p>
    <w:p w14:paraId="79E227A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5</w:t>
      </w:r>
      <w:r>
        <w:rPr>
          <w:rFonts w:hint="eastAsia" w:ascii="仿宋" w:hAnsi="仿宋" w:eastAsia="仿宋" w:cs="Times New Roman"/>
          <w:color w:val="auto"/>
          <w:sz w:val="24"/>
          <w:szCs w:val="24"/>
        </w:rPr>
        <w:t>）经</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小组认定有故意哄抬报价、串标或者其它违法行为的</w:t>
      </w:r>
      <w:r>
        <w:rPr>
          <w:rFonts w:ascii="仿宋" w:hAnsi="仿宋" w:eastAsia="仿宋" w:cs="Times New Roman"/>
          <w:color w:val="auto"/>
          <w:sz w:val="24"/>
          <w:szCs w:val="24"/>
        </w:rPr>
        <w:t>;</w:t>
      </w:r>
    </w:p>
    <w:p w14:paraId="5F12B0B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6</w:t>
      </w:r>
      <w:r>
        <w:rPr>
          <w:rFonts w:hint="eastAsia" w:ascii="仿宋" w:hAnsi="仿宋" w:eastAsia="仿宋" w:cs="Times New Roman"/>
          <w:color w:val="auto"/>
          <w:sz w:val="24"/>
          <w:szCs w:val="24"/>
        </w:rPr>
        <w:t>）成交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未按照采购文件规定签订合同或者未按照采购文件规定提供履约保证金的；</w:t>
      </w:r>
    </w:p>
    <w:p w14:paraId="72D7872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ascii="仿宋" w:hAnsi="仿宋" w:eastAsia="仿宋" w:cs="Times New Roman"/>
          <w:color w:val="auto"/>
          <w:sz w:val="24"/>
          <w:szCs w:val="24"/>
        </w:rPr>
        <w:t>7</w:t>
      </w:r>
      <w:r>
        <w:rPr>
          <w:rFonts w:hint="eastAsia" w:ascii="仿宋" w:hAnsi="仿宋" w:eastAsia="仿宋" w:cs="Times New Roman"/>
          <w:color w:val="auto"/>
          <w:sz w:val="24"/>
          <w:szCs w:val="24"/>
        </w:rPr>
        <w:t>）法律、行政法规以及有关规定的其它情形。</w:t>
      </w:r>
    </w:p>
    <w:p w14:paraId="4F79B752">
      <w:pPr>
        <w:spacing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17.3.2</w:t>
      </w:r>
      <w:r>
        <w:rPr>
          <w:rFonts w:hint="eastAsia" w:ascii="仿宋" w:hAnsi="仿宋" w:eastAsia="仿宋" w:cs="Times New Roman"/>
          <w:color w:val="auto"/>
          <w:sz w:val="24"/>
          <w:szCs w:val="24"/>
        </w:rPr>
        <w:t>不予退还的保证金应在规定时间内上缴国库。</w:t>
      </w:r>
    </w:p>
    <w:p w14:paraId="3580305C">
      <w:pPr>
        <w:spacing w:line="360" w:lineRule="auto"/>
        <w:ind w:firstLine="560" w:firstLineChars="200"/>
        <w:outlineLvl w:val="2"/>
        <w:rPr>
          <w:rFonts w:hint="eastAsia" w:ascii="楷体" w:hAnsi="楷体" w:eastAsia="楷体" w:cs="Times New Roman"/>
          <w:color w:val="auto"/>
          <w:sz w:val="28"/>
          <w:szCs w:val="28"/>
        </w:rPr>
      </w:pPr>
      <w:bookmarkStart w:id="70" w:name="_Toc1830"/>
      <w:bookmarkStart w:id="71" w:name="_Toc4865"/>
      <w:bookmarkStart w:id="72" w:name="_Toc12370"/>
      <w:r>
        <w:rPr>
          <w:rFonts w:hint="eastAsia" w:ascii="楷体" w:hAnsi="楷体" w:eastAsia="楷体" w:cs="Times New Roman"/>
          <w:color w:val="auto"/>
          <w:sz w:val="28"/>
          <w:szCs w:val="28"/>
          <w:lang w:val="en-US" w:eastAsia="zh-CN"/>
        </w:rPr>
        <w:t>18.</w:t>
      </w:r>
      <w:r>
        <w:rPr>
          <w:rFonts w:hint="eastAsia" w:ascii="楷体" w:hAnsi="楷体" w:eastAsia="楷体" w:cs="Times New Roman"/>
          <w:color w:val="auto"/>
          <w:sz w:val="28"/>
          <w:szCs w:val="28"/>
        </w:rPr>
        <w:t>开标、</w:t>
      </w:r>
      <w:r>
        <w:rPr>
          <w:rFonts w:hint="eastAsia" w:ascii="楷体" w:hAnsi="楷体" w:eastAsia="楷体" w:cs="Times New Roman"/>
          <w:color w:val="auto"/>
          <w:sz w:val="28"/>
          <w:szCs w:val="28"/>
          <w:lang w:eastAsia="zh-CN"/>
        </w:rPr>
        <w:t>磋商</w:t>
      </w:r>
      <w:r>
        <w:rPr>
          <w:rFonts w:hint="eastAsia" w:ascii="楷体" w:hAnsi="楷体" w:eastAsia="楷体" w:cs="Times New Roman"/>
          <w:color w:val="auto"/>
          <w:sz w:val="28"/>
          <w:szCs w:val="28"/>
        </w:rPr>
        <w:t>、成交</w:t>
      </w:r>
      <w:bookmarkEnd w:id="70"/>
      <w:bookmarkEnd w:id="71"/>
    </w:p>
    <w:p w14:paraId="369BF479">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1.开标程序</w:t>
      </w:r>
    </w:p>
    <w:p w14:paraId="49D95F1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.1</w:t>
      </w:r>
      <w:r>
        <w:rPr>
          <w:rFonts w:hint="eastAsia" w:ascii="仿宋" w:hAnsi="仿宋" w:eastAsia="仿宋" w:cs="Times New Roman"/>
          <w:color w:val="auto"/>
          <w:sz w:val="24"/>
          <w:szCs w:val="24"/>
        </w:rPr>
        <w:t>宣布开标纪律；</w:t>
      </w:r>
    </w:p>
    <w:p w14:paraId="5D8BE1E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宣布主持人、唱价人、记录人等有关人员姓名；</w:t>
      </w:r>
    </w:p>
    <w:p w14:paraId="6544A4F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.3</w:t>
      </w:r>
      <w:r>
        <w:rPr>
          <w:rFonts w:hint="eastAsia" w:ascii="仿宋" w:hAnsi="仿宋" w:eastAsia="仿宋" w:cs="Times New Roman"/>
          <w:color w:val="auto"/>
          <w:sz w:val="24"/>
          <w:szCs w:val="24"/>
        </w:rPr>
        <w:t>公布在报价截止时间前递交响应文件的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名称及签到顺序；</w:t>
      </w:r>
    </w:p>
    <w:p w14:paraId="4070AE5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.4</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相互检查响应文件密封情况，并签字确认；</w:t>
      </w:r>
    </w:p>
    <w:p w14:paraId="0B44979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.5</w:t>
      </w:r>
      <w:r>
        <w:rPr>
          <w:rFonts w:hint="eastAsia" w:ascii="仿宋" w:hAnsi="仿宋" w:eastAsia="仿宋" w:cs="Times New Roman"/>
          <w:color w:val="auto"/>
          <w:sz w:val="24"/>
          <w:szCs w:val="24"/>
        </w:rPr>
        <w:t>开启响应文件，按照签到顺序公布</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名称、报价等内容，并记录在案；</w:t>
      </w:r>
    </w:p>
    <w:p w14:paraId="27CBFB2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.6</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法定代表人（或者被授权代表）、采购人代表、记录人等有关人员在开标记录上签字确认；</w:t>
      </w:r>
    </w:p>
    <w:p w14:paraId="4B84DC4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1</w:t>
      </w:r>
      <w:r>
        <w:rPr>
          <w:rFonts w:ascii="仿宋" w:hAnsi="仿宋" w:eastAsia="仿宋" w:cs="Times New Roman"/>
          <w:color w:val="auto"/>
          <w:sz w:val="24"/>
          <w:szCs w:val="24"/>
        </w:rPr>
        <w:t>.7</w:t>
      </w:r>
      <w:r>
        <w:rPr>
          <w:rFonts w:hint="eastAsia" w:ascii="仿宋" w:hAnsi="仿宋" w:eastAsia="仿宋" w:cs="Times New Roman"/>
          <w:color w:val="auto"/>
          <w:sz w:val="24"/>
          <w:szCs w:val="24"/>
        </w:rPr>
        <w:t>开标结束。</w:t>
      </w:r>
    </w:p>
    <w:p w14:paraId="0B3EF6B4">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2.开标</w:t>
      </w:r>
    </w:p>
    <w:p w14:paraId="487D6FB5">
      <w:pPr>
        <w:spacing w:line="44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18.2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开标应当在</w:t>
      </w:r>
      <w:r>
        <w:rPr>
          <w:rFonts w:hint="eastAsia" w:ascii="仿宋" w:hAnsi="仿宋" w:eastAsia="仿宋" w:cs="Times New Roman"/>
          <w:color w:val="auto"/>
          <w:sz w:val="24"/>
          <w:szCs w:val="24"/>
          <w:highlight w:val="none"/>
          <w:lang w:eastAsia="zh-CN"/>
        </w:rPr>
        <w:t>竞争性磋商文件</w:t>
      </w:r>
      <w:r>
        <w:rPr>
          <w:rFonts w:hint="eastAsia" w:ascii="仿宋" w:hAnsi="仿宋" w:eastAsia="仿宋" w:cs="Times New Roman"/>
          <w:color w:val="auto"/>
          <w:sz w:val="24"/>
          <w:szCs w:val="24"/>
          <w:highlight w:val="none"/>
        </w:rPr>
        <w:t>确定的提交</w:t>
      </w:r>
      <w:r>
        <w:rPr>
          <w:rFonts w:hint="eastAsia" w:ascii="仿宋" w:hAnsi="仿宋" w:eastAsia="仿宋" w:cs="Times New Roman"/>
          <w:color w:val="auto"/>
          <w:sz w:val="24"/>
          <w:szCs w:val="24"/>
          <w:highlight w:val="none"/>
          <w:lang w:eastAsia="zh-CN"/>
        </w:rPr>
        <w:t>响应文件</w:t>
      </w:r>
      <w:r>
        <w:rPr>
          <w:rFonts w:hint="eastAsia" w:ascii="仿宋" w:hAnsi="仿宋" w:eastAsia="仿宋" w:cs="Times New Roman"/>
          <w:color w:val="auto"/>
          <w:sz w:val="24"/>
          <w:szCs w:val="24"/>
          <w:highlight w:val="none"/>
        </w:rPr>
        <w:t>截止时间的同一时间公开进行。开标地点应当为</w:t>
      </w:r>
      <w:r>
        <w:rPr>
          <w:rFonts w:hint="eastAsia" w:ascii="仿宋" w:hAnsi="仿宋" w:eastAsia="仿宋" w:cs="Times New Roman"/>
          <w:color w:val="auto"/>
          <w:sz w:val="24"/>
          <w:szCs w:val="24"/>
          <w:highlight w:val="none"/>
          <w:lang w:eastAsia="zh-CN"/>
        </w:rPr>
        <w:t>竞争性磋商文件</w:t>
      </w:r>
      <w:r>
        <w:rPr>
          <w:rFonts w:hint="eastAsia" w:ascii="仿宋" w:hAnsi="仿宋" w:eastAsia="仿宋" w:cs="Times New Roman"/>
          <w:color w:val="auto"/>
          <w:sz w:val="24"/>
          <w:szCs w:val="24"/>
          <w:highlight w:val="none"/>
        </w:rPr>
        <w:t>中预先确定的地点。</w:t>
      </w:r>
    </w:p>
    <w:p w14:paraId="28F0571A">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18.2</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供应商应在供应商须知规定的时间内完成解密</w:t>
      </w:r>
      <w:r>
        <w:rPr>
          <w:rFonts w:hint="eastAsia" w:ascii="仿宋" w:hAnsi="仿宋" w:eastAsia="仿宋" w:cs="Times New Roman"/>
          <w:color w:val="auto"/>
          <w:sz w:val="24"/>
          <w:szCs w:val="24"/>
          <w:highlight w:val="none"/>
        </w:rPr>
        <w:t>。</w:t>
      </w:r>
    </w:p>
    <w:p w14:paraId="1E42D81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2</w:t>
      </w:r>
      <w:r>
        <w:rPr>
          <w:rFonts w:ascii="仿宋" w:hAnsi="仿宋" w:eastAsia="仿宋" w:cs="Times New Roman"/>
          <w:color w:val="auto"/>
          <w:sz w:val="24"/>
          <w:szCs w:val="24"/>
        </w:rPr>
        <w:t>.3</w:t>
      </w:r>
      <w:r>
        <w:rPr>
          <w:rFonts w:hint="eastAsia" w:ascii="仿宋" w:hAnsi="仿宋" w:eastAsia="仿宋" w:cs="Times New Roman"/>
          <w:color w:val="auto"/>
          <w:sz w:val="24"/>
          <w:szCs w:val="24"/>
        </w:rPr>
        <w:t>由采购代理机构工作人员唱标。</w:t>
      </w:r>
    </w:p>
    <w:p w14:paraId="6392DD3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唱标人当众宣读</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名称、响应报价、采购文件允许提供的备选报价方案和响应文件的其他主要内容，并不得拒绝任何符合要求的响应报价。</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若有报价和优惠未被唱出，应在开标时及时声明或者提出，否则采购代理机构对此不承担任何责任。</w:t>
      </w:r>
    </w:p>
    <w:p w14:paraId="1841F5D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2</w:t>
      </w:r>
      <w:r>
        <w:rPr>
          <w:rFonts w:ascii="仿宋" w:hAnsi="仿宋" w:eastAsia="仿宋" w:cs="Times New Roman"/>
          <w:color w:val="auto"/>
          <w:sz w:val="24"/>
          <w:szCs w:val="24"/>
        </w:rPr>
        <w:t>.4</w:t>
      </w:r>
      <w:r>
        <w:rPr>
          <w:rFonts w:hint="eastAsia" w:ascii="仿宋" w:hAnsi="仿宋" w:eastAsia="仿宋" w:cs="Times New Roman"/>
          <w:color w:val="auto"/>
          <w:sz w:val="24"/>
          <w:szCs w:val="24"/>
        </w:rPr>
        <w:t>开标和唱标由采购代理机构指定专人负责，开标记录由</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法定代表人或者被授权代表、采购人代表、记录人等有关人员签字确认，采购代理机构负责存档备查。</w:t>
      </w:r>
    </w:p>
    <w:p w14:paraId="01FC8077">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2</w:t>
      </w:r>
      <w:r>
        <w:rPr>
          <w:rFonts w:ascii="仿宋" w:hAnsi="仿宋" w:eastAsia="仿宋" w:cs="Times New Roman"/>
          <w:color w:val="auto"/>
          <w:sz w:val="24"/>
          <w:szCs w:val="24"/>
        </w:rPr>
        <w:t>.5</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对开标有异议的，应当在开标现场以书面形式提出，采购人或者采购代理机构应当场给予答复，并制作记录，</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法定代表人或者被授权代表、采购人代表、采购代理机构签字确认。</w:t>
      </w:r>
    </w:p>
    <w:p w14:paraId="7B06F963">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w:t>
      </w:r>
    </w:p>
    <w:p w14:paraId="3957601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.1</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小组的组成</w:t>
      </w:r>
    </w:p>
    <w:p w14:paraId="19117E2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采购人按照《中华人民共和国政府采购法》以及有关规定组建</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由依法组建的</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小组负责。</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小组由采购人代表和评审专家共同组成，成员人数为三人以及以上单数，其中采购人代表只限一人，技术、经济等方面的评审专家不得少于成员总数的三分之二。</w:t>
      </w:r>
    </w:p>
    <w:p w14:paraId="28710CB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.2</w:t>
      </w:r>
      <w:r>
        <w:rPr>
          <w:rFonts w:hint="eastAsia" w:ascii="仿宋" w:hAnsi="仿宋" w:eastAsia="仿宋" w:cs="Times New Roman"/>
          <w:color w:val="auto"/>
          <w:sz w:val="24"/>
          <w:szCs w:val="24"/>
        </w:rPr>
        <w:t>评审专家的抽取</w:t>
      </w:r>
    </w:p>
    <w:p w14:paraId="6E54456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.2.1</w:t>
      </w:r>
      <w:r>
        <w:rPr>
          <w:rFonts w:hint="eastAsia" w:ascii="仿宋" w:hAnsi="仿宋" w:eastAsia="仿宋" w:cs="Times New Roman"/>
          <w:color w:val="auto"/>
          <w:sz w:val="24"/>
          <w:szCs w:val="24"/>
        </w:rPr>
        <w:t>采用随机抽取方式从政府采购监管部门依法设立的专家库中确定</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小组成员。任何单位和个人都不得指定评审专家或干预评审专家的抽取工作。</w:t>
      </w:r>
    </w:p>
    <w:p w14:paraId="1F4ED57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.2.2</w:t>
      </w:r>
      <w:r>
        <w:rPr>
          <w:rFonts w:hint="eastAsia" w:ascii="仿宋" w:hAnsi="仿宋" w:eastAsia="仿宋" w:cs="Times New Roman"/>
          <w:color w:val="auto"/>
          <w:sz w:val="24"/>
          <w:szCs w:val="24"/>
        </w:rPr>
        <w:t>参加评审专家抽取的有关人员对被抽取的专家的姓名、单位和联系方式等内容负有保密的义务。</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小组成员的名单在评审结果确定前必须严格保密。</w:t>
      </w:r>
    </w:p>
    <w:p w14:paraId="1119FE1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.3</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小组成员不得参加与自己有利害关系的评审活动，与自己有利害关系的应当回避，已经进入的必须更换。</w:t>
      </w:r>
    </w:p>
    <w:p w14:paraId="7AC46FF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.4</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小组负责对各响应文件进行评审、比较、评定，并按本采购文件的规定确定成交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或者推荐中标候选人。</w:t>
      </w:r>
    </w:p>
    <w:p w14:paraId="55F54D9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.5</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小组具有依据采购文件进行独立评审的权力，且不受外界任何因素的干扰。</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小组成员必须独立、负责地提出评审意见，并对自己的评审意见承担责任。对评审结果有不同意见的</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小组成员应当以书面形式说明其不同意见和理由，评审报告应当注明不同意见。评审委员会成员拒绝评审或者拒绝在评审报告上签字并且又不书面说明其不同意见和理由的，视为同意评审结果。</w:t>
      </w:r>
    </w:p>
    <w:p w14:paraId="0C6C364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.6</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小组的职责：</w:t>
      </w:r>
    </w:p>
    <w:p w14:paraId="2C78200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.6.1</w:t>
      </w:r>
      <w:r>
        <w:rPr>
          <w:rFonts w:hint="eastAsia" w:ascii="仿宋" w:hAnsi="仿宋" w:eastAsia="仿宋" w:cs="Times New Roman"/>
          <w:color w:val="auto"/>
          <w:sz w:val="24"/>
          <w:szCs w:val="24"/>
        </w:rPr>
        <w:t>审查响应文件是否符合采购文件要求，进行资格性审查和符合性审查，并做出评价；</w:t>
      </w:r>
    </w:p>
    <w:p w14:paraId="0D2FBFCC">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.6.2</w:t>
      </w:r>
      <w:r>
        <w:rPr>
          <w:rFonts w:hint="eastAsia" w:ascii="仿宋" w:hAnsi="仿宋" w:eastAsia="仿宋" w:cs="Times New Roman"/>
          <w:color w:val="auto"/>
          <w:sz w:val="24"/>
          <w:szCs w:val="24"/>
        </w:rPr>
        <w:t>要求</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对响应文件有关事项做出解释或者澄清；</w:t>
      </w:r>
    </w:p>
    <w:p w14:paraId="3ECD9B1C">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.6.3</w:t>
      </w:r>
      <w:r>
        <w:rPr>
          <w:rFonts w:hint="eastAsia" w:ascii="仿宋" w:hAnsi="仿宋" w:eastAsia="仿宋" w:cs="Times New Roman"/>
          <w:color w:val="auto"/>
          <w:sz w:val="24"/>
          <w:szCs w:val="24"/>
        </w:rPr>
        <w:t>推荐中标候选人名单，或者受采购人委托按照事先确定的办法直接确定成交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w:t>
      </w:r>
    </w:p>
    <w:p w14:paraId="664B578C">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.6.4</w:t>
      </w:r>
      <w:r>
        <w:rPr>
          <w:rFonts w:hint="eastAsia" w:ascii="仿宋" w:hAnsi="仿宋" w:eastAsia="仿宋" w:cs="Times New Roman"/>
          <w:color w:val="auto"/>
          <w:sz w:val="24"/>
          <w:szCs w:val="24"/>
        </w:rPr>
        <w:t>向采购人、采购代理机构或者有关部门报告非法干预评审工作的行为。</w:t>
      </w:r>
    </w:p>
    <w:p w14:paraId="13BD6B6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3.6.5对围、串标等违法违规行为作出认定。</w:t>
      </w:r>
    </w:p>
    <w:p w14:paraId="3872C083">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小组的义务：</w:t>
      </w:r>
    </w:p>
    <w:p w14:paraId="1291742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.7.1</w:t>
      </w:r>
      <w:r>
        <w:rPr>
          <w:rFonts w:hint="eastAsia" w:ascii="仿宋" w:hAnsi="仿宋" w:eastAsia="仿宋" w:cs="Times New Roman"/>
          <w:color w:val="auto"/>
          <w:sz w:val="24"/>
          <w:szCs w:val="24"/>
        </w:rPr>
        <w:t>遵纪守法，客观、公正、廉洁地履行职责；</w:t>
      </w:r>
    </w:p>
    <w:p w14:paraId="1B4A2DB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.7.2</w:t>
      </w:r>
      <w:r>
        <w:rPr>
          <w:rFonts w:hint="eastAsia" w:ascii="仿宋" w:hAnsi="仿宋" w:eastAsia="仿宋" w:cs="Times New Roman"/>
          <w:color w:val="auto"/>
          <w:sz w:val="24"/>
          <w:szCs w:val="24"/>
        </w:rPr>
        <w:t>提出真实、可靠的评审意见；</w:t>
      </w:r>
    </w:p>
    <w:p w14:paraId="1418692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.7.3</w:t>
      </w:r>
      <w:r>
        <w:rPr>
          <w:rFonts w:hint="eastAsia" w:ascii="仿宋" w:hAnsi="仿宋" w:eastAsia="仿宋" w:cs="Times New Roman"/>
          <w:color w:val="auto"/>
          <w:sz w:val="24"/>
          <w:szCs w:val="24"/>
        </w:rPr>
        <w:t>严格遵守评审纪律，不得向外界泄露评审情况；</w:t>
      </w:r>
    </w:p>
    <w:p w14:paraId="09CB7FD9">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.7.4</w:t>
      </w:r>
      <w:r>
        <w:rPr>
          <w:rFonts w:hint="eastAsia" w:ascii="仿宋" w:hAnsi="仿宋" w:eastAsia="仿宋" w:cs="Times New Roman"/>
          <w:color w:val="auto"/>
          <w:sz w:val="24"/>
          <w:szCs w:val="24"/>
        </w:rPr>
        <w:t>发现</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在招报价活动中有不正当竞争或者恶意串通等违规行为，应及时向监督部门报告并加以制止；</w:t>
      </w:r>
    </w:p>
    <w:p w14:paraId="3DD7F39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.7.5</w:t>
      </w:r>
      <w:r>
        <w:rPr>
          <w:rFonts w:hint="eastAsia" w:ascii="仿宋" w:hAnsi="仿宋" w:eastAsia="仿宋" w:cs="Times New Roman"/>
          <w:color w:val="auto"/>
          <w:sz w:val="24"/>
          <w:szCs w:val="24"/>
        </w:rPr>
        <w:t>按照采购文件规定的评审方法和评审标准进行评审，对评审意见承担个人责任；</w:t>
      </w:r>
    </w:p>
    <w:p w14:paraId="24A848D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.7.6</w:t>
      </w:r>
      <w:r>
        <w:rPr>
          <w:rFonts w:hint="eastAsia" w:ascii="仿宋" w:hAnsi="仿宋" w:eastAsia="仿宋" w:cs="Times New Roman"/>
          <w:color w:val="auto"/>
          <w:sz w:val="24"/>
          <w:szCs w:val="24"/>
        </w:rPr>
        <w:t>编写评审报告；</w:t>
      </w:r>
    </w:p>
    <w:p w14:paraId="45153B6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.7.7</w:t>
      </w:r>
      <w:r>
        <w:rPr>
          <w:rFonts w:hint="eastAsia" w:ascii="仿宋" w:hAnsi="仿宋" w:eastAsia="仿宋" w:cs="Times New Roman"/>
          <w:color w:val="auto"/>
          <w:sz w:val="24"/>
          <w:szCs w:val="24"/>
        </w:rPr>
        <w:t>配合采购人或者采购代理机构答复</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提出的质疑；</w:t>
      </w:r>
    </w:p>
    <w:p w14:paraId="60383CF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.7.8</w:t>
      </w:r>
      <w:r>
        <w:rPr>
          <w:rFonts w:hint="eastAsia" w:ascii="仿宋" w:hAnsi="仿宋" w:eastAsia="仿宋" w:cs="Times New Roman"/>
          <w:color w:val="auto"/>
          <w:sz w:val="24"/>
          <w:szCs w:val="24"/>
        </w:rPr>
        <w:t>对评审过程和结果，以及采购人、</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的商业秘密保密；</w:t>
      </w:r>
    </w:p>
    <w:p w14:paraId="14D3AA4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.7.9</w:t>
      </w:r>
      <w:r>
        <w:rPr>
          <w:rFonts w:hint="eastAsia" w:ascii="仿宋" w:hAnsi="仿宋" w:eastAsia="仿宋" w:cs="Times New Roman"/>
          <w:color w:val="auto"/>
          <w:sz w:val="24"/>
          <w:szCs w:val="24"/>
        </w:rPr>
        <w:t>配合监管部门处理投诉；</w:t>
      </w:r>
    </w:p>
    <w:p w14:paraId="01ED047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小组成员有下列情形之一的，应当回避</w:t>
      </w:r>
      <w:r>
        <w:rPr>
          <w:rFonts w:ascii="仿宋" w:hAnsi="仿宋" w:eastAsia="仿宋" w:cs="Times New Roman"/>
          <w:color w:val="auto"/>
          <w:sz w:val="24"/>
          <w:szCs w:val="24"/>
        </w:rPr>
        <w:t>：</w:t>
      </w:r>
    </w:p>
    <w:p w14:paraId="495C97E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.8.1</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或者</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主要负责人的近亲属；</w:t>
      </w:r>
    </w:p>
    <w:p w14:paraId="06DD7FBC">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.8.2</w:t>
      </w:r>
      <w:r>
        <w:rPr>
          <w:rFonts w:hint="eastAsia" w:ascii="仿宋" w:hAnsi="仿宋" w:eastAsia="仿宋" w:cs="Times New Roman"/>
          <w:color w:val="auto"/>
          <w:sz w:val="24"/>
          <w:szCs w:val="24"/>
        </w:rPr>
        <w:t>项目主管部门或者行政监督部门的人员；</w:t>
      </w:r>
    </w:p>
    <w:p w14:paraId="0F20C2B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.8.3</w:t>
      </w:r>
      <w:r>
        <w:rPr>
          <w:rFonts w:hint="eastAsia" w:ascii="仿宋" w:hAnsi="仿宋" w:eastAsia="仿宋" w:cs="Times New Roman"/>
          <w:color w:val="auto"/>
          <w:sz w:val="24"/>
          <w:szCs w:val="24"/>
        </w:rPr>
        <w:t>与</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有经济利益关系；</w:t>
      </w:r>
    </w:p>
    <w:p w14:paraId="53682333">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.8.4</w:t>
      </w:r>
      <w:r>
        <w:rPr>
          <w:rFonts w:hint="eastAsia" w:ascii="仿宋" w:hAnsi="仿宋" w:eastAsia="仿宋" w:cs="Times New Roman"/>
          <w:color w:val="auto"/>
          <w:sz w:val="24"/>
          <w:szCs w:val="24"/>
        </w:rPr>
        <w:t>曾因在采购、评审以及其他与政府采购有关系活动中从事违法行为而受到行政处罚或者刑事处罚的；</w:t>
      </w:r>
    </w:p>
    <w:p w14:paraId="3899AA9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3</w:t>
      </w:r>
      <w:r>
        <w:rPr>
          <w:rFonts w:ascii="仿宋" w:hAnsi="仿宋" w:eastAsia="仿宋" w:cs="Times New Roman"/>
          <w:color w:val="auto"/>
          <w:sz w:val="24"/>
          <w:szCs w:val="24"/>
        </w:rPr>
        <w:t>.8.5</w:t>
      </w:r>
      <w:r>
        <w:rPr>
          <w:rFonts w:hint="eastAsia" w:ascii="仿宋" w:hAnsi="仿宋" w:eastAsia="仿宋" w:cs="Times New Roman"/>
          <w:color w:val="auto"/>
          <w:sz w:val="24"/>
          <w:szCs w:val="24"/>
        </w:rPr>
        <w:t>与</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有其他利害关系。</w:t>
      </w:r>
    </w:p>
    <w:p w14:paraId="7E279BF1">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4评审程序</w:t>
      </w:r>
    </w:p>
    <w:p w14:paraId="4AE9A15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4.1</w:t>
      </w:r>
      <w:r>
        <w:rPr>
          <w:rFonts w:hint="eastAsia" w:ascii="仿宋" w:hAnsi="仿宋" w:eastAsia="仿宋" w:cs="Times New Roman"/>
          <w:color w:val="auto"/>
          <w:sz w:val="24"/>
          <w:szCs w:val="24"/>
        </w:rPr>
        <w:t>宣布评审纪律以及回避提示；</w:t>
      </w:r>
    </w:p>
    <w:p w14:paraId="7DC98B8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4.2</w:t>
      </w:r>
      <w:r>
        <w:rPr>
          <w:rFonts w:hint="eastAsia" w:ascii="仿宋" w:hAnsi="仿宋" w:eastAsia="仿宋" w:cs="Times New Roman"/>
          <w:color w:val="auto"/>
          <w:sz w:val="24"/>
          <w:szCs w:val="24"/>
        </w:rPr>
        <w:t>组织推荐</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小组组长；</w:t>
      </w:r>
    </w:p>
    <w:p w14:paraId="647276A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4.3</w:t>
      </w:r>
      <w:r>
        <w:rPr>
          <w:rFonts w:hint="eastAsia" w:ascii="仿宋" w:hAnsi="仿宋" w:eastAsia="仿宋" w:cs="Times New Roman"/>
          <w:color w:val="auto"/>
          <w:sz w:val="24"/>
          <w:szCs w:val="24"/>
        </w:rPr>
        <w:t>资格性审查；</w:t>
      </w:r>
    </w:p>
    <w:p w14:paraId="5406652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4.4</w:t>
      </w:r>
      <w:r>
        <w:rPr>
          <w:rFonts w:hint="eastAsia" w:ascii="仿宋" w:hAnsi="仿宋" w:eastAsia="仿宋" w:cs="Times New Roman"/>
          <w:color w:val="auto"/>
          <w:sz w:val="24"/>
          <w:szCs w:val="24"/>
        </w:rPr>
        <w:t>符合性审查；</w:t>
      </w:r>
    </w:p>
    <w:p w14:paraId="795AA628">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4.5</w:t>
      </w:r>
      <w:r>
        <w:rPr>
          <w:rFonts w:hint="eastAsia" w:ascii="仿宋" w:hAnsi="仿宋" w:eastAsia="仿宋" w:cs="Times New Roman"/>
          <w:color w:val="auto"/>
          <w:sz w:val="24"/>
          <w:szCs w:val="24"/>
        </w:rPr>
        <w:t>技术评审；</w:t>
      </w:r>
    </w:p>
    <w:p w14:paraId="6880D83C">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4.6</w:t>
      </w:r>
      <w:r>
        <w:rPr>
          <w:rFonts w:hint="eastAsia" w:ascii="仿宋" w:hAnsi="仿宋" w:eastAsia="仿宋" w:cs="Times New Roman"/>
          <w:color w:val="auto"/>
          <w:sz w:val="24"/>
          <w:szCs w:val="24"/>
        </w:rPr>
        <w:t>澄清有关问题；</w:t>
      </w:r>
    </w:p>
    <w:p w14:paraId="25A57B3D">
      <w:pPr>
        <w:spacing w:line="360" w:lineRule="auto"/>
        <w:ind w:firstLine="480" w:firstLineChars="2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4.7</w:t>
      </w:r>
      <w:r>
        <w:rPr>
          <w:rFonts w:hint="eastAsia" w:ascii="仿宋" w:hAnsi="仿宋" w:eastAsia="仿宋" w:cs="Times New Roman"/>
          <w:color w:val="auto"/>
          <w:sz w:val="24"/>
          <w:szCs w:val="24"/>
          <w:lang w:eastAsia="zh-CN"/>
        </w:rPr>
        <w:t>磋商</w:t>
      </w:r>
    </w:p>
    <w:p w14:paraId="7C5036E8">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4.8</w:t>
      </w:r>
      <w:r>
        <w:rPr>
          <w:rFonts w:hint="eastAsia" w:ascii="仿宋" w:hAnsi="仿宋" w:eastAsia="仿宋" w:cs="Times New Roman"/>
          <w:color w:val="auto"/>
          <w:sz w:val="24"/>
          <w:szCs w:val="24"/>
        </w:rPr>
        <w:t>确定成交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或者推荐成交候选人名单；</w:t>
      </w:r>
    </w:p>
    <w:p w14:paraId="50D3FC0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4.9</w:t>
      </w:r>
      <w:r>
        <w:rPr>
          <w:rFonts w:hint="eastAsia" w:ascii="仿宋" w:hAnsi="仿宋" w:eastAsia="仿宋" w:cs="Times New Roman"/>
          <w:color w:val="auto"/>
          <w:sz w:val="24"/>
          <w:szCs w:val="24"/>
        </w:rPr>
        <w:t>编写评审报告；</w:t>
      </w:r>
    </w:p>
    <w:p w14:paraId="0A15CAD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ascii="仿宋" w:hAnsi="仿宋" w:eastAsia="仿宋" w:cs="Times New Roman"/>
          <w:color w:val="auto"/>
          <w:sz w:val="24"/>
          <w:szCs w:val="24"/>
        </w:rPr>
        <w:t>4.10</w:t>
      </w:r>
      <w:r>
        <w:rPr>
          <w:rFonts w:hint="eastAsia" w:ascii="仿宋" w:hAnsi="仿宋" w:eastAsia="仿宋" w:cs="Times New Roman"/>
          <w:color w:val="auto"/>
          <w:sz w:val="24"/>
          <w:szCs w:val="24"/>
        </w:rPr>
        <w:t>宣布评审。</w:t>
      </w:r>
    </w:p>
    <w:p w14:paraId="567D5177">
      <w:pPr>
        <w:spacing w:line="360" w:lineRule="auto"/>
        <w:ind w:firstLine="480" w:firstLineChars="200"/>
        <w:outlineLvl w:val="9"/>
        <w:rPr>
          <w:rFonts w:ascii="楷体" w:hAnsi="楷体" w:eastAsia="楷体" w:cs="Times New Roman"/>
          <w:color w:val="auto"/>
          <w:sz w:val="28"/>
          <w:szCs w:val="28"/>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5评审</w:t>
      </w:r>
    </w:p>
    <w:p w14:paraId="798A33DA">
      <w:pPr>
        <w:spacing w:line="360" w:lineRule="auto"/>
        <w:ind w:firstLine="480" w:firstLineChars="200"/>
        <w:outlineLvl w:val="9"/>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w:t>
      </w:r>
      <w:r>
        <w:rPr>
          <w:rFonts w:ascii="仿宋" w:hAnsi="仿宋" w:eastAsia="仿宋" w:cs="Times New Roman"/>
          <w:color w:val="auto"/>
          <w:sz w:val="24"/>
          <w:szCs w:val="24"/>
        </w:rPr>
        <w:t>.1</w:t>
      </w:r>
      <w:r>
        <w:rPr>
          <w:rFonts w:hint="eastAsia" w:ascii="仿宋" w:hAnsi="仿宋" w:eastAsia="仿宋" w:cs="Times New Roman"/>
          <w:color w:val="auto"/>
          <w:sz w:val="24"/>
          <w:szCs w:val="24"/>
        </w:rPr>
        <w:t>资格性审查</w:t>
      </w:r>
    </w:p>
    <w:p w14:paraId="0CC9254D">
      <w:pPr>
        <w:spacing w:line="360" w:lineRule="auto"/>
        <w:ind w:firstLine="480" w:firstLineChars="200"/>
        <w:outlineLvl w:val="9"/>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w:t>
      </w:r>
      <w:r>
        <w:rPr>
          <w:rFonts w:ascii="仿宋" w:hAnsi="仿宋" w:eastAsia="仿宋" w:cs="Times New Roman"/>
          <w:color w:val="auto"/>
          <w:sz w:val="24"/>
          <w:szCs w:val="24"/>
        </w:rPr>
        <w:t>.1.1</w:t>
      </w:r>
      <w:r>
        <w:rPr>
          <w:rFonts w:hint="eastAsia" w:ascii="仿宋" w:hAnsi="仿宋" w:eastAsia="仿宋" w:cs="Times New Roman"/>
          <w:color w:val="auto"/>
          <w:sz w:val="24"/>
          <w:szCs w:val="24"/>
          <w:lang w:eastAsia="zh-CN"/>
        </w:rPr>
        <w:t>磋商</w:t>
      </w:r>
      <w:r>
        <w:rPr>
          <w:rFonts w:ascii="仿宋" w:hAnsi="仿宋" w:eastAsia="仿宋" w:cs="Times New Roman"/>
          <w:color w:val="auto"/>
          <w:sz w:val="24"/>
          <w:szCs w:val="24"/>
        </w:rPr>
        <w:t>小组</w:t>
      </w:r>
      <w:r>
        <w:rPr>
          <w:rFonts w:hint="eastAsia" w:ascii="仿宋" w:hAnsi="仿宋" w:eastAsia="仿宋" w:cs="Times New Roman"/>
          <w:color w:val="auto"/>
          <w:sz w:val="24"/>
          <w:szCs w:val="24"/>
        </w:rPr>
        <w:t>依据法律法规和采购文件的规定，对响应文件中的资格证明、保证金等进行审查，以确定</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是否具备报价资格。</w:t>
      </w:r>
    </w:p>
    <w:p w14:paraId="05A8D09E">
      <w:pPr>
        <w:spacing w:line="360" w:lineRule="auto"/>
        <w:ind w:firstLine="480" w:firstLineChars="200"/>
        <w:outlineLvl w:val="9"/>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5.1.2采购人、采购代理机构通过“信用中国”网站、中国政府采购查询</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信用记录，查询时要将查询网页、内容进行截图或拍照，以作证据留存，截图或拍照内容要完整清晰，应包括网站网址、查询内容、电脑截屏时间。采购人或者采购代理机构应当对</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，应当拒绝其参加政府采购活动，其响应无效；两个以上的自然人、法人或者其他组织组成一个联合体，以一个</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的身份共同参加政府采购活动的，应当对所有联合体成员进行信用记录查询，联合体成员存在不良信用记录的，视同联合体存在不良信用记录，其响应无效。</w:t>
      </w:r>
    </w:p>
    <w:p w14:paraId="384076E5">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信用信息查询记录及相关证据应当与其他采购文件一并保存。</w:t>
      </w:r>
    </w:p>
    <w:p w14:paraId="767FBA4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w:t>
      </w:r>
      <w:r>
        <w:rPr>
          <w:rFonts w:ascii="仿宋" w:hAnsi="仿宋" w:eastAsia="仿宋" w:cs="Times New Roman"/>
          <w:color w:val="auto"/>
          <w:sz w:val="24"/>
          <w:szCs w:val="24"/>
        </w:rPr>
        <w:t>.2</w:t>
      </w:r>
      <w:r>
        <w:rPr>
          <w:rFonts w:hint="eastAsia" w:ascii="仿宋" w:hAnsi="仿宋" w:eastAsia="仿宋" w:cs="Times New Roman"/>
          <w:color w:val="auto"/>
          <w:sz w:val="24"/>
          <w:szCs w:val="24"/>
        </w:rPr>
        <w:t>符合性审查</w:t>
      </w:r>
    </w:p>
    <w:p w14:paraId="6F099833">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小组依据采购文件的规定，从响应文件的有效性、完整性和对采购文件的响应程度进行审查，以确定是否对采购文件的实质性要求作出响应。</w:t>
      </w:r>
    </w:p>
    <w:p w14:paraId="35060D4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5</w:t>
      </w:r>
      <w:r>
        <w:rPr>
          <w:rFonts w:ascii="仿宋" w:hAnsi="仿宋" w:eastAsia="仿宋" w:cs="Times New Roman"/>
          <w:color w:val="auto"/>
          <w:sz w:val="24"/>
          <w:szCs w:val="24"/>
        </w:rPr>
        <w:t>.3</w:t>
      </w:r>
      <w:r>
        <w:rPr>
          <w:rFonts w:hint="eastAsia" w:ascii="仿宋" w:hAnsi="仿宋" w:eastAsia="仿宋" w:cs="Times New Roman"/>
          <w:color w:val="auto"/>
          <w:sz w:val="24"/>
          <w:szCs w:val="24"/>
        </w:rPr>
        <w:t>在资格性和符合性审查同时，对属于不合格</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或者</w:t>
      </w:r>
      <w:r>
        <w:rPr>
          <w:rFonts w:hint="eastAsia" w:ascii="仿宋" w:hAnsi="仿宋" w:eastAsia="仿宋" w:cs="仿宋"/>
          <w:color w:val="auto"/>
          <w:sz w:val="24"/>
          <w:lang w:val="zh-CN"/>
        </w:rPr>
        <w:t>采购人依据法律法规和采购文件的规定，分别与供应商共同对其商务部分响应文件中的资格证明、保证金等进行审查，以确定供应商是否具备报价资格，填写资格审查表并签字确认后，提交磋商小组审核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Times New Roman"/>
          <w:color w:val="auto"/>
          <w:sz w:val="24"/>
          <w:szCs w:val="24"/>
        </w:rPr>
        <w:t>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小组必须提出不合格或者响应无效的事实依据，并出具不合格或者响应无效说明，</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签字确认。</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签字确认后</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小组全体成员签字。</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拒绝签字确认的不影响</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小组做出的不合格或无效裁定。</w:t>
      </w:r>
    </w:p>
    <w:p w14:paraId="47118134">
      <w:p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18.5.4技术评审</w:t>
      </w:r>
    </w:p>
    <w:p w14:paraId="3D00457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磋商小组根据工程实际情况对各供应商的技术文件进行审查。</w:t>
      </w:r>
    </w:p>
    <w:p w14:paraId="338AF7C4">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6澄清有关问题</w:t>
      </w:r>
    </w:p>
    <w:p w14:paraId="5CADA80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6</w:t>
      </w:r>
      <w:r>
        <w:rPr>
          <w:rFonts w:ascii="仿宋" w:hAnsi="仿宋" w:eastAsia="仿宋" w:cs="Times New Roman"/>
          <w:color w:val="auto"/>
          <w:sz w:val="24"/>
          <w:szCs w:val="24"/>
        </w:rPr>
        <w:t>.1</w:t>
      </w:r>
      <w:r>
        <w:rPr>
          <w:rFonts w:hint="eastAsia" w:ascii="仿宋" w:hAnsi="仿宋" w:eastAsia="仿宋" w:cs="Times New Roman"/>
          <w:color w:val="auto"/>
          <w:sz w:val="24"/>
          <w:szCs w:val="24"/>
        </w:rPr>
        <w:t>对响应文件中含义不明确、同类问题表述不一致或者有明显文字和计算错误的内容，</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小组应以书面形式要求</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做出必要的澄清、承诺、说明或者纠正。</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的澄清、承诺、说明或者纠正应采取书面形式，由法定代表人或者被授权代表签字，并不得超出响应文件的范围或者改变响应文件的实质性内容。</w:t>
      </w:r>
    </w:p>
    <w:p w14:paraId="25661D5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6</w:t>
      </w:r>
      <w:r>
        <w:rPr>
          <w:rFonts w:ascii="仿宋" w:hAnsi="仿宋" w:eastAsia="仿宋" w:cs="Times New Roman"/>
          <w:color w:val="auto"/>
          <w:sz w:val="24"/>
          <w:szCs w:val="24"/>
        </w:rPr>
        <w:t>.2</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小组判断响应文件的响应性仅基于响应文件本身而不靠外部因素。未响应实质性条款的，</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小组有权确定其响应无效，</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不能通过修正、撤销或者澄清不符之处而使其报价成为实质性响应的报价。</w:t>
      </w:r>
    </w:p>
    <w:p w14:paraId="11BEC11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6.</w:t>
      </w:r>
      <w:r>
        <w:rPr>
          <w:rFonts w:ascii="仿宋" w:hAnsi="仿宋" w:eastAsia="仿宋" w:cs="Times New Roman"/>
          <w:color w:val="auto"/>
          <w:sz w:val="24"/>
          <w:szCs w:val="24"/>
        </w:rPr>
        <w:t>3</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小组可以允许</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修改或者澄清其响应文件中不构成实质偏离的、微小的、非正规的不一致或者不规则的地方。</w:t>
      </w:r>
    </w:p>
    <w:p w14:paraId="568C1CB1">
      <w:p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18.6.4响应文件计算错误的修正。磋商小组在对实质上响应采购文件要求的响应文件进行评估时，除采购文件另有约定外，须进行修正的，应符合下列原则：</w:t>
      </w:r>
    </w:p>
    <w:p w14:paraId="04EDBD48">
      <w:p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5918F7B2">
      <w:p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18.6.4.2按前款规定调整后的报价，经供应商确认后产生约束力。</w:t>
      </w:r>
    </w:p>
    <w:p w14:paraId="50000E5D">
      <w:pPr>
        <w:spacing w:line="360" w:lineRule="auto"/>
        <w:ind w:firstLine="480" w:firstLineChars="200"/>
        <w:rPr>
          <w:rFonts w:hint="eastAsia" w:ascii="仿宋" w:hAnsi="仿宋" w:eastAsia="仿宋" w:cs="Times New Roman"/>
          <w:color w:val="auto"/>
          <w:sz w:val="24"/>
          <w:szCs w:val="24"/>
          <w:lang w:val="en-GB" w:eastAsia="zh-CN"/>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lang w:val="en-GB"/>
        </w:rPr>
        <w:t>7</w:t>
      </w:r>
      <w:r>
        <w:rPr>
          <w:rFonts w:hint="eastAsia" w:ascii="仿宋" w:hAnsi="仿宋" w:eastAsia="仿宋" w:cs="Times New Roman"/>
          <w:color w:val="auto"/>
          <w:sz w:val="24"/>
          <w:szCs w:val="24"/>
          <w:lang w:val="en-GB" w:eastAsia="zh-CN"/>
        </w:rPr>
        <w:t>磋商</w:t>
      </w:r>
    </w:p>
    <w:p w14:paraId="5EC8C1CC">
      <w:pPr>
        <w:spacing w:line="360" w:lineRule="auto"/>
        <w:ind w:firstLine="480" w:firstLineChars="200"/>
        <w:rPr>
          <w:rFonts w:hint="eastAsia" w:ascii="仿宋" w:hAnsi="仿宋" w:eastAsia="仿宋" w:cs="Times New Roman"/>
          <w:color w:val="auto"/>
          <w:sz w:val="24"/>
          <w:szCs w:val="24"/>
          <w:lang w:val="en-GB"/>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7</w:t>
      </w:r>
      <w:r>
        <w:rPr>
          <w:rFonts w:ascii="仿宋" w:hAnsi="仿宋" w:eastAsia="仿宋" w:cs="Times New Roman"/>
          <w:color w:val="auto"/>
          <w:sz w:val="24"/>
          <w:szCs w:val="24"/>
        </w:rPr>
        <w:t>.1</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前，</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小组应核实</w:t>
      </w:r>
      <w:r>
        <w:rPr>
          <w:rFonts w:hint="eastAsia" w:ascii="仿宋" w:hAnsi="仿宋" w:eastAsia="仿宋" w:cs="Times New Roman"/>
          <w:color w:val="auto"/>
          <w:sz w:val="24"/>
          <w:szCs w:val="24"/>
          <w:lang w:val="en-GB" w:eastAsia="zh-CN"/>
        </w:rPr>
        <w:t>供应商</w:t>
      </w:r>
      <w:r>
        <w:rPr>
          <w:rFonts w:hint="eastAsia" w:ascii="仿宋" w:hAnsi="仿宋" w:eastAsia="仿宋" w:cs="Times New Roman"/>
          <w:color w:val="auto"/>
          <w:sz w:val="24"/>
          <w:szCs w:val="24"/>
          <w:lang w:val="en-GB"/>
        </w:rPr>
        <w:t>对统一</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技术标准（包括强制性标准和行业标准）等是否全部承诺或者确认。</w:t>
      </w:r>
    </w:p>
    <w:p w14:paraId="3F457BE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lang w:val="en-GB"/>
        </w:rPr>
        <w:t>7.2</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小组所有成员集中与单一</w:t>
      </w:r>
      <w:r>
        <w:rPr>
          <w:rFonts w:hint="eastAsia" w:ascii="仿宋" w:hAnsi="仿宋" w:eastAsia="仿宋" w:cs="Times New Roman"/>
          <w:color w:val="auto"/>
          <w:sz w:val="24"/>
          <w:szCs w:val="24"/>
          <w:lang w:val="en-GB" w:eastAsia="zh-CN"/>
        </w:rPr>
        <w:t>供应商</w:t>
      </w:r>
      <w:r>
        <w:rPr>
          <w:rFonts w:hint="eastAsia" w:ascii="仿宋" w:hAnsi="仿宋" w:eastAsia="仿宋" w:cs="Times New Roman"/>
          <w:color w:val="auto"/>
          <w:sz w:val="24"/>
          <w:szCs w:val="24"/>
          <w:lang w:val="en-GB"/>
        </w:rPr>
        <w:t>进行</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。在</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中，</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的任何一方不得透露与</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lang w:val="en-GB"/>
        </w:rPr>
        <w:t>有关的其他</w:t>
      </w:r>
      <w:r>
        <w:rPr>
          <w:rFonts w:hint="eastAsia" w:ascii="仿宋" w:hAnsi="仿宋" w:eastAsia="仿宋" w:cs="Times New Roman"/>
          <w:color w:val="auto"/>
          <w:sz w:val="24"/>
          <w:szCs w:val="24"/>
          <w:lang w:val="en-GB" w:eastAsia="zh-CN"/>
        </w:rPr>
        <w:t>供应商</w:t>
      </w:r>
      <w:r>
        <w:rPr>
          <w:rFonts w:hint="eastAsia" w:ascii="仿宋" w:hAnsi="仿宋" w:eastAsia="仿宋" w:cs="Times New Roman"/>
          <w:color w:val="auto"/>
          <w:sz w:val="24"/>
          <w:szCs w:val="24"/>
          <w:lang w:val="en-GB"/>
        </w:rPr>
        <w:t>的技术资料、价格和其他信息。</w:t>
      </w:r>
    </w:p>
    <w:p w14:paraId="553DB80B">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7</w:t>
      </w:r>
      <w:r>
        <w:rPr>
          <w:rFonts w:ascii="仿宋" w:hAnsi="仿宋" w:eastAsia="仿宋" w:cs="Times New Roman"/>
          <w:color w:val="auto"/>
          <w:sz w:val="24"/>
          <w:szCs w:val="24"/>
        </w:rPr>
        <w:t>.3</w:t>
      </w:r>
      <w:r>
        <w:rPr>
          <w:rFonts w:hint="eastAsia" w:ascii="仿宋" w:hAnsi="仿宋" w:eastAsia="仿宋" w:cs="Times New Roman"/>
          <w:color w:val="auto"/>
          <w:sz w:val="24"/>
          <w:szCs w:val="24"/>
          <w:lang w:val="en-GB" w:eastAsia="zh-CN"/>
        </w:rPr>
        <w:t>磋商</w:t>
      </w:r>
      <w:r>
        <w:rPr>
          <w:rFonts w:hint="eastAsia" w:ascii="仿宋" w:hAnsi="仿宋" w:eastAsia="仿宋" w:cs="Times New Roman"/>
          <w:color w:val="auto"/>
          <w:sz w:val="24"/>
          <w:szCs w:val="24"/>
        </w:rPr>
        <w:t>实行多轮报价，原则上第</w:t>
      </w:r>
      <w:r>
        <w:rPr>
          <w:rFonts w:hint="eastAsia" w:ascii="仿宋" w:hAnsi="仿宋" w:eastAsia="仿宋" w:cs="Times New Roman"/>
          <w:color w:val="auto"/>
          <w:sz w:val="24"/>
          <w:szCs w:val="24"/>
          <w:lang w:val="en-US" w:eastAsia="zh-CN"/>
        </w:rPr>
        <w:t>二</w:t>
      </w:r>
      <w:r>
        <w:rPr>
          <w:rFonts w:hint="eastAsia" w:ascii="仿宋" w:hAnsi="仿宋" w:eastAsia="仿宋" w:cs="Times New Roman"/>
          <w:color w:val="auto"/>
          <w:sz w:val="24"/>
          <w:szCs w:val="24"/>
        </w:rPr>
        <w:t>轮报价为最终报价</w:t>
      </w:r>
      <w:r>
        <w:rPr>
          <w:rFonts w:hint="eastAsia" w:ascii="仿宋" w:hAnsi="仿宋" w:eastAsia="仿宋" w:cs="Times New Roman"/>
          <w:color w:val="auto"/>
          <w:sz w:val="24"/>
          <w:szCs w:val="24"/>
          <w:lang w:val="en-GB"/>
        </w:rPr>
        <w:t>。</w:t>
      </w:r>
      <w:r>
        <w:rPr>
          <w:rFonts w:hint="eastAsia" w:ascii="仿宋" w:hAnsi="仿宋" w:eastAsia="仿宋" w:cs="Times New Roman"/>
          <w:color w:val="auto"/>
          <w:sz w:val="24"/>
          <w:szCs w:val="24"/>
          <w:lang w:val="en-GB" w:eastAsia="zh-CN"/>
        </w:rPr>
        <w:t>供应商</w:t>
      </w:r>
      <w:r>
        <w:rPr>
          <w:rFonts w:hint="eastAsia" w:ascii="仿宋" w:hAnsi="仿宋" w:eastAsia="仿宋" w:cs="Times New Roman"/>
          <w:color w:val="auto"/>
          <w:sz w:val="24"/>
          <w:szCs w:val="24"/>
          <w:lang w:val="en-GB"/>
        </w:rPr>
        <w:t>后一轮报价不得高于其前一轮报价；</w:t>
      </w:r>
      <w:r>
        <w:rPr>
          <w:rFonts w:hint="eastAsia" w:ascii="仿宋" w:hAnsi="仿宋" w:eastAsia="仿宋" w:cs="Times New Roman"/>
          <w:color w:val="auto"/>
          <w:sz w:val="24"/>
          <w:szCs w:val="24"/>
        </w:rPr>
        <w:t>否则</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小组有权据此确定为无效报价，参与</w:t>
      </w:r>
      <w:r>
        <w:rPr>
          <w:rFonts w:hint="eastAsia" w:ascii="仿宋" w:hAnsi="仿宋" w:eastAsia="仿宋" w:cs="Times New Roman"/>
          <w:color w:val="auto"/>
          <w:sz w:val="24"/>
          <w:szCs w:val="24"/>
          <w:lang w:eastAsia="zh-CN"/>
        </w:rPr>
        <w:t>磋商</w:t>
      </w:r>
      <w:r>
        <w:rPr>
          <w:rFonts w:hint="eastAsia" w:ascii="仿宋" w:hAnsi="仿宋" w:eastAsia="仿宋" w:cs="Times New Roman"/>
          <w:color w:val="auto"/>
          <w:sz w:val="24"/>
          <w:szCs w:val="24"/>
        </w:rPr>
        <w:t>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少于三家的予以废标。</w:t>
      </w:r>
    </w:p>
    <w:p w14:paraId="0644EF4C">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rPr>
        <w:t>特殊情况及处置：</w:t>
      </w:r>
      <w:r>
        <w:rPr>
          <w:rFonts w:hint="eastAsia" w:ascii="仿宋" w:hAnsi="仿宋" w:eastAsia="仿宋" w:cs="Times New Roman"/>
          <w:color w:val="auto"/>
          <w:sz w:val="24"/>
          <w:szCs w:val="24"/>
          <w:lang w:val="en-US" w:eastAsia="zh-CN"/>
        </w:rPr>
        <w:t>（1）采购范围变化且总价不超过控制价的；（2）采购主材的市场价格明显降价的；（3）报价明细中个别报价明显高于市场价且无明确报价依据的；发生上述情形之一的，磋商小组有权予以废标或者与供应商进行磋商后继续报价。</w:t>
      </w:r>
    </w:p>
    <w:p w14:paraId="1C5F6FB6">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8成交</w:t>
      </w:r>
    </w:p>
    <w:p w14:paraId="6555299C">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8.1本项目</w:t>
      </w:r>
      <w:r>
        <w:rPr>
          <w:rFonts w:hint="eastAsia" w:ascii="仿宋" w:hAnsi="仿宋" w:eastAsia="仿宋" w:cs="Times New Roman"/>
          <w:color w:val="auto"/>
          <w:sz w:val="24"/>
          <w:szCs w:val="24"/>
          <w:lang w:eastAsia="zh-CN"/>
        </w:rPr>
        <w:t>评审</w:t>
      </w:r>
      <w:r>
        <w:rPr>
          <w:rFonts w:hint="eastAsia" w:ascii="仿宋" w:hAnsi="仿宋" w:eastAsia="仿宋" w:cs="Times New Roman"/>
          <w:color w:val="auto"/>
          <w:sz w:val="24"/>
          <w:szCs w:val="24"/>
        </w:rPr>
        <w:t>办法为综合评分法。</w:t>
      </w:r>
      <w:r>
        <w:rPr>
          <w:rFonts w:hint="eastAsia" w:ascii="仿宋" w:hAnsi="仿宋" w:eastAsia="仿宋" w:cs="Times New Roman"/>
          <w:color w:val="auto"/>
          <w:sz w:val="24"/>
          <w:szCs w:val="24"/>
          <w:lang w:eastAsia="zh-CN"/>
        </w:rPr>
        <w:t>磋商小组</w:t>
      </w:r>
      <w:r>
        <w:rPr>
          <w:rFonts w:hint="eastAsia" w:ascii="仿宋" w:hAnsi="仿宋" w:eastAsia="仿宋" w:cs="Times New Roman"/>
          <w:color w:val="auto"/>
          <w:sz w:val="24"/>
          <w:szCs w:val="24"/>
        </w:rPr>
        <w:t>对满足</w:t>
      </w:r>
      <w:r>
        <w:rPr>
          <w:rFonts w:hint="eastAsia" w:ascii="仿宋" w:hAnsi="仿宋" w:eastAsia="仿宋" w:cs="Times New Roman"/>
          <w:color w:val="auto"/>
          <w:sz w:val="24"/>
          <w:szCs w:val="24"/>
          <w:lang w:eastAsia="zh-CN"/>
        </w:rPr>
        <w:t>磋商文件</w:t>
      </w:r>
      <w:r>
        <w:rPr>
          <w:rFonts w:hint="eastAsia" w:ascii="仿宋" w:hAnsi="仿宋" w:eastAsia="仿宋" w:cs="Times New Roman"/>
          <w:color w:val="auto"/>
          <w:sz w:val="24"/>
          <w:szCs w:val="24"/>
        </w:rPr>
        <w:t>实质性要求的</w:t>
      </w:r>
      <w:r>
        <w:rPr>
          <w:rFonts w:hint="eastAsia" w:ascii="仿宋" w:hAnsi="仿宋" w:eastAsia="仿宋" w:cs="Times New Roman"/>
          <w:color w:val="auto"/>
          <w:sz w:val="24"/>
          <w:szCs w:val="24"/>
          <w:lang w:eastAsia="zh-CN"/>
        </w:rPr>
        <w:t>响应文件</w:t>
      </w:r>
      <w:r>
        <w:rPr>
          <w:rFonts w:hint="eastAsia" w:ascii="仿宋" w:hAnsi="仿宋" w:eastAsia="仿宋" w:cs="Times New Roman"/>
          <w:color w:val="auto"/>
          <w:sz w:val="24"/>
          <w:szCs w:val="24"/>
        </w:rPr>
        <w:t>，按照本章第2.3、2.4款规定的评分标准进行打分，并按综合得分由高到低顺序推荐中标候选人，或根据</w:t>
      </w:r>
      <w:r>
        <w:rPr>
          <w:rFonts w:hint="eastAsia" w:ascii="仿宋" w:hAnsi="仿宋" w:eastAsia="仿宋" w:cs="Times New Roman"/>
          <w:color w:val="auto"/>
          <w:sz w:val="24"/>
          <w:szCs w:val="24"/>
          <w:lang w:eastAsia="zh-CN"/>
        </w:rPr>
        <w:t>采购人</w:t>
      </w:r>
      <w:r>
        <w:rPr>
          <w:rFonts w:hint="eastAsia" w:ascii="仿宋" w:hAnsi="仿宋" w:eastAsia="仿宋" w:cs="Times New Roman"/>
          <w:color w:val="auto"/>
          <w:sz w:val="24"/>
          <w:szCs w:val="24"/>
        </w:rPr>
        <w:t>授权直接确定中标人。综合评分相等时，以</w:t>
      </w:r>
      <w:r>
        <w:rPr>
          <w:rFonts w:hint="eastAsia" w:ascii="仿宋" w:hAnsi="仿宋" w:eastAsia="仿宋" w:cs="Times New Roman"/>
          <w:color w:val="auto"/>
          <w:sz w:val="24"/>
          <w:szCs w:val="24"/>
          <w:lang w:eastAsia="zh-CN"/>
        </w:rPr>
        <w:t>报价</w:t>
      </w:r>
      <w:r>
        <w:rPr>
          <w:rFonts w:hint="eastAsia" w:ascii="仿宋" w:hAnsi="仿宋" w:eastAsia="仿宋" w:cs="Times New Roman"/>
          <w:color w:val="auto"/>
          <w:sz w:val="24"/>
          <w:szCs w:val="24"/>
        </w:rPr>
        <w:t>低的优先；</w:t>
      </w:r>
      <w:r>
        <w:rPr>
          <w:rFonts w:hint="eastAsia" w:ascii="仿宋" w:hAnsi="仿宋" w:eastAsia="仿宋" w:cs="Times New Roman"/>
          <w:color w:val="auto"/>
          <w:sz w:val="24"/>
          <w:szCs w:val="24"/>
          <w:lang w:eastAsia="zh-CN"/>
        </w:rPr>
        <w:t>报价</w:t>
      </w:r>
      <w:r>
        <w:rPr>
          <w:rFonts w:hint="eastAsia" w:ascii="仿宋" w:hAnsi="仿宋" w:eastAsia="仿宋" w:cs="Times New Roman"/>
          <w:color w:val="auto"/>
          <w:sz w:val="24"/>
          <w:szCs w:val="24"/>
        </w:rPr>
        <w:t>也相等的，由</w:t>
      </w:r>
      <w:r>
        <w:rPr>
          <w:rFonts w:hint="eastAsia" w:ascii="仿宋" w:hAnsi="仿宋" w:eastAsia="仿宋" w:cs="Times New Roman"/>
          <w:color w:val="auto"/>
          <w:sz w:val="24"/>
          <w:szCs w:val="24"/>
          <w:lang w:eastAsia="zh-CN"/>
        </w:rPr>
        <w:t>采购人</w:t>
      </w:r>
      <w:r>
        <w:rPr>
          <w:rFonts w:hint="eastAsia" w:ascii="仿宋" w:hAnsi="仿宋" w:eastAsia="仿宋" w:cs="Times New Roman"/>
          <w:color w:val="auto"/>
          <w:sz w:val="24"/>
          <w:szCs w:val="24"/>
        </w:rPr>
        <w:t>自行确定。</w:t>
      </w:r>
    </w:p>
    <w:p w14:paraId="66147D34">
      <w:pPr>
        <w:spacing w:line="360" w:lineRule="auto"/>
        <w:ind w:firstLine="480" w:firstLineChars="200"/>
        <w:rPr>
          <w:rFonts w:hint="eastAsia" w:ascii="仿宋" w:hAnsi="仿宋" w:eastAsia="仿宋" w:cs="Arial"/>
          <w:color w:val="auto"/>
          <w:sz w:val="24"/>
          <w:lang w:val="en-GB"/>
        </w:rPr>
      </w:pPr>
      <w:r>
        <w:rPr>
          <w:rFonts w:hint="eastAsia" w:ascii="仿宋" w:hAnsi="仿宋" w:eastAsia="仿宋" w:cs="Times New Roman"/>
          <w:color w:val="auto"/>
          <w:sz w:val="24"/>
          <w:szCs w:val="24"/>
          <w:lang w:val="en-US" w:eastAsia="zh-CN"/>
        </w:rPr>
        <w:t>18.</w:t>
      </w:r>
      <w:r>
        <w:rPr>
          <w:rFonts w:hint="eastAsia" w:ascii="仿宋" w:hAnsi="仿宋" w:eastAsia="仿宋" w:cs="Times New Roman"/>
          <w:color w:val="auto"/>
          <w:sz w:val="24"/>
          <w:szCs w:val="24"/>
        </w:rPr>
        <w:t>8.2</w:t>
      </w:r>
      <w:r>
        <w:rPr>
          <w:rFonts w:hint="eastAsia" w:ascii="仿宋" w:hAnsi="仿宋" w:eastAsia="仿宋" w:cs="Arial"/>
          <w:color w:val="auto"/>
          <w:sz w:val="24"/>
          <w:lang w:val="en-GB"/>
        </w:rPr>
        <w:t>采购人授权</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小组确定成交</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的，最终报价结束后，</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小组按照上述的规定，对</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进行排序并确定排序第一的为成交</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w:t>
      </w:r>
    </w:p>
    <w:p w14:paraId="3B61DE9D">
      <w:pPr>
        <w:spacing w:line="360" w:lineRule="auto"/>
        <w:ind w:firstLine="480" w:firstLineChars="200"/>
        <w:rPr>
          <w:rFonts w:hint="eastAsia" w:ascii="仿宋" w:hAnsi="仿宋" w:eastAsia="仿宋" w:cs="Arial"/>
          <w:color w:val="auto"/>
          <w:sz w:val="24"/>
          <w:lang w:val="en-GB"/>
        </w:rPr>
      </w:pPr>
      <w:r>
        <w:rPr>
          <w:rFonts w:hint="eastAsia" w:ascii="仿宋" w:hAnsi="仿宋" w:eastAsia="仿宋" w:cs="Times New Roman"/>
          <w:color w:val="auto"/>
          <w:sz w:val="24"/>
          <w:szCs w:val="24"/>
          <w:lang w:val="en-US" w:eastAsia="zh-CN"/>
        </w:rPr>
        <w:t>18.</w:t>
      </w:r>
      <w:r>
        <w:rPr>
          <w:rFonts w:hint="eastAsia" w:ascii="仿宋" w:hAnsi="仿宋" w:eastAsia="仿宋" w:cs="Arial"/>
          <w:color w:val="auto"/>
          <w:sz w:val="24"/>
          <w:lang w:val="en-GB"/>
        </w:rPr>
        <w:t>8.3</w:t>
      </w:r>
      <w:r>
        <w:rPr>
          <w:rFonts w:hint="eastAsia" w:ascii="仿宋" w:hAnsi="仿宋" w:eastAsia="仿宋" w:cs="仿宋"/>
          <w:color w:val="auto"/>
          <w:kern w:val="0"/>
          <w:sz w:val="24"/>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lang w:val="en-US" w:eastAsia="zh-CN"/>
        </w:rPr>
        <w:t>综合得分最高</w:t>
      </w:r>
      <w:r>
        <w:rPr>
          <w:rFonts w:hint="eastAsia" w:ascii="仿宋" w:hAnsi="仿宋" w:eastAsia="仿宋" w:cs="仿宋"/>
          <w:color w:val="auto"/>
          <w:kern w:val="0"/>
          <w:sz w:val="24"/>
          <w:lang w:val="zh-CN"/>
        </w:rPr>
        <w:t>的原则确定成交供应商。</w:t>
      </w:r>
    </w:p>
    <w:p w14:paraId="53B583E5">
      <w:pPr>
        <w:spacing w:line="360" w:lineRule="auto"/>
        <w:ind w:firstLine="482"/>
        <w:rPr>
          <w:rFonts w:hint="eastAsia" w:ascii="仿宋" w:hAnsi="仿宋" w:eastAsia="仿宋" w:cs="仿宋"/>
          <w:color w:val="auto"/>
          <w:sz w:val="24"/>
          <w:lang w:val="zh-CN"/>
        </w:rPr>
      </w:pPr>
      <w:r>
        <w:rPr>
          <w:rFonts w:hint="eastAsia" w:ascii="仿宋" w:hAnsi="仿宋" w:eastAsia="仿宋" w:cs="Times New Roman"/>
          <w:color w:val="auto"/>
          <w:sz w:val="24"/>
          <w:szCs w:val="24"/>
          <w:lang w:val="en-US" w:eastAsia="zh-CN"/>
        </w:rPr>
        <w:t>18.</w:t>
      </w:r>
      <w:r>
        <w:rPr>
          <w:rFonts w:hint="eastAsia" w:ascii="仿宋" w:hAnsi="仿宋" w:eastAsia="仿宋" w:cs="仿宋"/>
          <w:color w:val="auto"/>
          <w:sz w:val="24"/>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3F3CC28E">
      <w:pPr>
        <w:spacing w:line="360" w:lineRule="auto"/>
        <w:ind w:firstLine="480" w:firstLineChars="200"/>
        <w:rPr>
          <w:rFonts w:hint="eastAsia" w:ascii="仿宋" w:hAnsi="仿宋" w:eastAsia="仿宋" w:cs="Arial"/>
          <w:color w:val="auto"/>
          <w:sz w:val="24"/>
        </w:rPr>
      </w:pPr>
      <w:r>
        <w:rPr>
          <w:rFonts w:hint="eastAsia" w:ascii="仿宋" w:hAnsi="仿宋" w:eastAsia="仿宋" w:cs="Times New Roman"/>
          <w:color w:val="auto"/>
          <w:sz w:val="24"/>
          <w:szCs w:val="24"/>
          <w:lang w:val="en-US" w:eastAsia="zh-CN"/>
        </w:rPr>
        <w:t>18.</w:t>
      </w:r>
      <w:r>
        <w:rPr>
          <w:rFonts w:hint="eastAsia" w:ascii="仿宋" w:hAnsi="仿宋" w:eastAsia="仿宋" w:cs="Arial"/>
          <w:color w:val="auto"/>
          <w:sz w:val="24"/>
          <w:lang w:val="en-GB"/>
        </w:rPr>
        <w:t>8.5</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结果应通知所有参加</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的</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w:t>
      </w:r>
    </w:p>
    <w:p w14:paraId="7766715E">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18.9</w:t>
      </w:r>
      <w:r>
        <w:rPr>
          <w:rFonts w:hint="eastAsia" w:ascii="仿宋" w:hAnsi="仿宋" w:eastAsia="仿宋" w:cs="仿宋"/>
          <w:color w:val="auto"/>
          <w:kern w:val="0"/>
          <w:sz w:val="24"/>
          <w:szCs w:val="24"/>
        </w:rPr>
        <w:t>成交结果公告以及成交通知书</w:t>
      </w:r>
    </w:p>
    <w:p w14:paraId="5A0DA187">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18.9.</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采购人或者采购代理机构应当自成交</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确定之日起</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个工作日内，发出成交通知书，并在</w:t>
      </w:r>
      <w:r>
        <w:rPr>
          <w:rFonts w:hint="eastAsia" w:ascii="仿宋" w:hAnsi="仿宋" w:eastAsia="仿宋" w:cs="仿宋"/>
          <w:color w:val="auto"/>
          <w:kern w:val="0"/>
          <w:sz w:val="24"/>
          <w:szCs w:val="24"/>
          <w:lang w:eastAsia="zh-CN"/>
        </w:rPr>
        <w:t>相关媒介</w:t>
      </w:r>
      <w:r>
        <w:rPr>
          <w:rFonts w:hint="eastAsia" w:ascii="仿宋" w:hAnsi="仿宋" w:eastAsia="仿宋" w:cs="仿宋"/>
          <w:color w:val="auto"/>
          <w:kern w:val="0"/>
          <w:sz w:val="24"/>
          <w:szCs w:val="24"/>
        </w:rPr>
        <w:t>公告成交结果（公告期限为1个工作日），采购文件随成交结果同时公告。</w:t>
      </w:r>
    </w:p>
    <w:p w14:paraId="37BE447B">
      <w:pPr>
        <w:spacing w:line="360" w:lineRule="auto"/>
        <w:ind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18.9.</w:t>
      </w:r>
      <w:r>
        <w:rPr>
          <w:rFonts w:hint="eastAsia" w:ascii="仿宋" w:hAnsi="仿宋" w:eastAsia="仿宋" w:cs="仿宋"/>
          <w:color w:val="auto"/>
          <w:kern w:val="0"/>
          <w:sz w:val="24"/>
          <w:szCs w:val="24"/>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造成经济损失的应承担赔偿责任。</w:t>
      </w:r>
    </w:p>
    <w:p w14:paraId="090C432B">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18.9.</w:t>
      </w:r>
      <w:r>
        <w:rPr>
          <w:rStyle w:val="100"/>
          <w:rFonts w:hint="eastAsia" w:cs="Times New Roman"/>
          <w:color w:val="auto"/>
          <w:sz w:val="24"/>
          <w:szCs w:val="24"/>
        </w:rPr>
        <w:t>3成交通知书对采购人和成交</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都具有法律效力。成交通知书发出后，采购人改变成交结果的，或者成交</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放弃成交，应当依法承担法律责任。</w:t>
      </w:r>
    </w:p>
    <w:p w14:paraId="6CD5ED90">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lang w:eastAsia="zh-CN"/>
        </w:rPr>
        <w:t>18.10</w:t>
      </w:r>
      <w:r>
        <w:rPr>
          <w:rStyle w:val="100"/>
          <w:rFonts w:hint="eastAsia" w:cs="Times New Roman"/>
          <w:color w:val="auto"/>
          <w:sz w:val="24"/>
          <w:szCs w:val="24"/>
        </w:rPr>
        <w:t>响应无效</w:t>
      </w:r>
    </w:p>
    <w:p w14:paraId="3C828868">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cs="Times New Roman"/>
          <w:color w:val="auto"/>
          <w:sz w:val="24"/>
          <w:szCs w:val="24"/>
        </w:rPr>
        <w:t>出现下列情形之一的，响应无效：</w:t>
      </w:r>
    </w:p>
    <w:p w14:paraId="32A1F8E3">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cs="Times New Roman"/>
          <w:color w:val="auto"/>
          <w:sz w:val="24"/>
          <w:szCs w:val="24"/>
        </w:rPr>
        <w:t>1</w:t>
      </w:r>
      <w:r>
        <w:rPr>
          <w:rStyle w:val="100"/>
          <w:rFonts w:hint="eastAsia" w:cs="Times New Roman"/>
          <w:color w:val="auto"/>
          <w:sz w:val="24"/>
          <w:szCs w:val="24"/>
        </w:rPr>
        <w:t>响应报价高于采购预算的；</w:t>
      </w:r>
    </w:p>
    <w:p w14:paraId="01036F61">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cs="Times New Roman"/>
          <w:color w:val="auto"/>
          <w:sz w:val="24"/>
          <w:szCs w:val="24"/>
        </w:rPr>
        <w:t>2</w:t>
      </w:r>
      <w:r>
        <w:rPr>
          <w:rStyle w:val="100"/>
          <w:rFonts w:hint="eastAsia" w:cs="Times New Roman"/>
          <w:color w:val="auto"/>
          <w:sz w:val="24"/>
          <w:szCs w:val="24"/>
        </w:rPr>
        <w:t>对“★”条款未做出实质性响应或者发生负偏离的；</w:t>
      </w:r>
    </w:p>
    <w:p w14:paraId="09FBF885">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cs="Times New Roman"/>
          <w:color w:val="auto"/>
          <w:sz w:val="24"/>
          <w:szCs w:val="24"/>
        </w:rPr>
        <w:t>3应提供而未提供带“▲”标注的政府强制采购节能产品的；</w:t>
      </w:r>
    </w:p>
    <w:p w14:paraId="205DE78C">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cs="Times New Roman"/>
          <w:color w:val="auto"/>
          <w:sz w:val="24"/>
          <w:szCs w:val="24"/>
        </w:rPr>
        <w:t>4对允许偏离的非实质性条款，偏离采购文件规定的偏离范围和幅度的；</w:t>
      </w:r>
    </w:p>
    <w:p w14:paraId="3A9505AA">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cs="Times New Roman"/>
          <w:color w:val="auto"/>
          <w:sz w:val="24"/>
          <w:szCs w:val="24"/>
        </w:rPr>
        <w:t>5不按照采购文件规定报价、没有分项报价、拒绝报价、有多个报价（采购文件另有规定的除外）、有选择性报价、附有条件的报价或者拒绝修正报价的；</w:t>
      </w:r>
    </w:p>
    <w:p w14:paraId="70A146FC">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eastAsia="仿宋" w:cs="Times New Roman"/>
          <w:color w:val="auto"/>
          <w:sz w:val="24"/>
          <w:szCs w:val="24"/>
          <w:lang w:val="en-US" w:eastAsia="zh-CN"/>
        </w:rPr>
        <w:t>6</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未按采购文件要求交纳保证金的；</w:t>
      </w:r>
    </w:p>
    <w:p w14:paraId="4642E7F5">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eastAsia="仿宋" w:cs="Times New Roman"/>
          <w:color w:val="auto"/>
          <w:sz w:val="24"/>
          <w:szCs w:val="24"/>
          <w:lang w:val="en-US" w:eastAsia="zh-CN"/>
        </w:rPr>
        <w:t>7</w:t>
      </w:r>
      <w:r>
        <w:rPr>
          <w:rStyle w:val="100"/>
          <w:rFonts w:hint="eastAsia" w:cs="Times New Roman"/>
          <w:color w:val="auto"/>
          <w:sz w:val="24"/>
          <w:szCs w:val="24"/>
        </w:rPr>
        <w:t>报价有效期不满足采购文件要求的；</w:t>
      </w:r>
    </w:p>
    <w:p w14:paraId="5A28798C">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eastAsia="仿宋" w:cs="Times New Roman"/>
          <w:color w:val="auto"/>
          <w:sz w:val="24"/>
          <w:szCs w:val="24"/>
          <w:lang w:val="en-US" w:eastAsia="zh-CN"/>
        </w:rPr>
        <w:t>8</w:t>
      </w:r>
      <w:r>
        <w:rPr>
          <w:rStyle w:val="100"/>
          <w:rFonts w:hint="eastAsia" w:cs="Times New Roman"/>
          <w:color w:val="auto"/>
          <w:sz w:val="24"/>
          <w:szCs w:val="24"/>
        </w:rPr>
        <w:t>报价超出营业执照经营范围的；</w:t>
      </w:r>
    </w:p>
    <w:p w14:paraId="69E81AC8">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eastAsia="仿宋" w:cs="Times New Roman"/>
          <w:color w:val="auto"/>
          <w:sz w:val="24"/>
          <w:szCs w:val="24"/>
          <w:lang w:val="en-US" w:eastAsia="zh-CN"/>
        </w:rPr>
        <w:t>9</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w:t>
      </w:r>
      <w:r>
        <w:rPr>
          <w:rStyle w:val="100"/>
          <w:rFonts w:cs="Times New Roman"/>
          <w:color w:val="auto"/>
          <w:sz w:val="24"/>
          <w:szCs w:val="24"/>
        </w:rPr>
        <w:t>2/3</w:t>
      </w:r>
      <w:r>
        <w:rPr>
          <w:rStyle w:val="100"/>
          <w:rFonts w:hint="eastAsia" w:cs="Times New Roman"/>
          <w:color w:val="auto"/>
          <w:sz w:val="24"/>
          <w:szCs w:val="24"/>
        </w:rPr>
        <w:t>及以上成员认定报价方案技术含量低、偏离范围超出允许幅度、不符合采购文件要求的；</w:t>
      </w:r>
    </w:p>
    <w:p w14:paraId="41C2AFB1">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cs="Times New Roman"/>
          <w:color w:val="auto"/>
          <w:sz w:val="24"/>
          <w:szCs w:val="24"/>
        </w:rPr>
        <w:t>1</w:t>
      </w:r>
      <w:r>
        <w:rPr>
          <w:rStyle w:val="100"/>
          <w:rFonts w:hint="eastAsia" w:eastAsia="仿宋" w:cs="Times New Roman"/>
          <w:color w:val="auto"/>
          <w:sz w:val="24"/>
          <w:szCs w:val="24"/>
          <w:lang w:val="en-US" w:eastAsia="zh-CN"/>
        </w:rPr>
        <w:t>0</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小组判定</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提供虚假材料和承诺的；</w:t>
      </w:r>
    </w:p>
    <w:p w14:paraId="59B96507">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cs="Times New Roman"/>
          <w:color w:val="auto"/>
          <w:sz w:val="24"/>
          <w:szCs w:val="24"/>
        </w:rPr>
        <w:t>1</w:t>
      </w:r>
      <w:r>
        <w:rPr>
          <w:rStyle w:val="100"/>
          <w:rFonts w:hint="eastAsia" w:eastAsia="仿宋" w:cs="Times New Roman"/>
          <w:color w:val="auto"/>
          <w:sz w:val="24"/>
          <w:szCs w:val="24"/>
          <w:lang w:val="en-US" w:eastAsia="zh-CN"/>
        </w:rPr>
        <w:t>1</w:t>
      </w:r>
      <w:r>
        <w:rPr>
          <w:rStyle w:val="100"/>
          <w:rFonts w:cs="Times New Roman"/>
          <w:color w:val="auto"/>
          <w:sz w:val="24"/>
          <w:szCs w:val="24"/>
        </w:rPr>
        <w:t>采购文件第三章第</w:t>
      </w:r>
      <w:r>
        <w:rPr>
          <w:rStyle w:val="100"/>
          <w:rFonts w:hint="eastAsia" w:cs="Times New Roman"/>
          <w:color w:val="auto"/>
          <w:sz w:val="24"/>
          <w:szCs w:val="24"/>
        </w:rPr>
        <w:t>1条</w:t>
      </w:r>
      <w:r>
        <w:rPr>
          <w:rStyle w:val="100"/>
          <w:rFonts w:cs="Times New Roman"/>
          <w:color w:val="auto"/>
          <w:sz w:val="24"/>
          <w:szCs w:val="24"/>
        </w:rPr>
        <w:t>规定</w:t>
      </w:r>
      <w:r>
        <w:rPr>
          <w:rStyle w:val="100"/>
          <w:rFonts w:hint="eastAsia" w:eastAsia="仿宋" w:cs="Times New Roman"/>
          <w:color w:val="auto"/>
          <w:sz w:val="24"/>
          <w:szCs w:val="24"/>
          <w:lang w:eastAsia="zh-CN"/>
        </w:rPr>
        <w:t>供应商</w:t>
      </w:r>
      <w:r>
        <w:rPr>
          <w:rStyle w:val="100"/>
          <w:rFonts w:cs="Times New Roman"/>
          <w:color w:val="auto"/>
          <w:sz w:val="24"/>
          <w:szCs w:val="24"/>
        </w:rPr>
        <w:t>应当提交的</w:t>
      </w:r>
      <w:r>
        <w:rPr>
          <w:rStyle w:val="100"/>
          <w:rFonts w:hint="eastAsia" w:cs="Times New Roman"/>
          <w:color w:val="auto"/>
          <w:sz w:val="24"/>
          <w:szCs w:val="24"/>
        </w:rPr>
        <w:t>资格、资信等证明文件未提供、提供不齐全或者复印件未装订于响应文件中的；</w:t>
      </w:r>
    </w:p>
    <w:p w14:paraId="26904263">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18.10.</w:t>
      </w:r>
      <w:r>
        <w:rPr>
          <w:rStyle w:val="100"/>
          <w:rFonts w:hint="eastAsia" w:cs="Times New Roman"/>
          <w:color w:val="auto"/>
          <w:sz w:val="24"/>
          <w:szCs w:val="24"/>
        </w:rPr>
        <w:t>1</w:t>
      </w:r>
      <w:r>
        <w:rPr>
          <w:rStyle w:val="100"/>
          <w:rFonts w:hint="eastAsia" w:eastAsia="仿宋" w:cs="Times New Roman"/>
          <w:color w:val="auto"/>
          <w:sz w:val="24"/>
          <w:szCs w:val="24"/>
          <w:lang w:val="en-US" w:eastAsia="zh-CN"/>
        </w:rPr>
        <w:t>2</w:t>
      </w:r>
      <w:r>
        <w:rPr>
          <w:rStyle w:val="100"/>
          <w:rFonts w:hint="eastAsia" w:cs="Times New Roman"/>
          <w:color w:val="auto"/>
          <w:sz w:val="24"/>
          <w:szCs w:val="24"/>
        </w:rPr>
        <w:t>不符合法律、法规和采购文件中规定的其他要求的。</w:t>
      </w:r>
    </w:p>
    <w:p w14:paraId="2843A00E">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cs="Times New Roman"/>
          <w:color w:val="auto"/>
          <w:sz w:val="24"/>
          <w:szCs w:val="24"/>
        </w:rPr>
        <w:t>对响应无效的认定，必须经</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小组集体做出决定并出具响应无效的事实依据，由</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法定代表人或者被授权代表签字确认，拒绝签字的，不影响</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小组做出的决定。</w:t>
      </w:r>
    </w:p>
    <w:p w14:paraId="6BD259F9">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lang w:eastAsia="zh-CN"/>
        </w:rPr>
        <w:t>18.11</w:t>
      </w:r>
      <w:r>
        <w:rPr>
          <w:rStyle w:val="100"/>
          <w:rFonts w:hint="eastAsia" w:cs="Times New Roman"/>
          <w:color w:val="auto"/>
          <w:sz w:val="24"/>
          <w:szCs w:val="24"/>
        </w:rPr>
        <w:t>废标</w:t>
      </w:r>
    </w:p>
    <w:p w14:paraId="71EAD13A">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w:t>
      </w:r>
      <w:r>
        <w:rPr>
          <w:rStyle w:val="100"/>
          <w:rFonts w:hint="eastAsia" w:cs="Times New Roman"/>
          <w:color w:val="auto"/>
          <w:sz w:val="24"/>
          <w:szCs w:val="24"/>
        </w:rPr>
        <w:t>出现下列情形之一的，应予废标：</w:t>
      </w:r>
    </w:p>
    <w:p w14:paraId="25E2F6B5">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1.1</w:t>
      </w:r>
      <w:r>
        <w:rPr>
          <w:rStyle w:val="100"/>
          <w:rFonts w:hint="eastAsia" w:cs="Times New Roman"/>
          <w:color w:val="auto"/>
          <w:sz w:val="24"/>
          <w:szCs w:val="24"/>
        </w:rPr>
        <w:t>在报价截止时间结束后参加报价的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不足3家，符合采购文件规定条件的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不足3家或者对采购文件作实质性响应的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不足3家的；</w:t>
      </w:r>
    </w:p>
    <w:p w14:paraId="4A3BD08C">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1.2</w:t>
      </w:r>
      <w:r>
        <w:rPr>
          <w:rStyle w:val="100"/>
          <w:rFonts w:hint="eastAsia" w:cs="Times New Roman"/>
          <w:color w:val="auto"/>
          <w:sz w:val="24"/>
          <w:szCs w:val="24"/>
        </w:rPr>
        <w:t>出现影响采购公正的违法违规行为的；</w:t>
      </w:r>
    </w:p>
    <w:p w14:paraId="2D27D33B">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1.3</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的报价均超过采购预算的；</w:t>
      </w:r>
    </w:p>
    <w:p w14:paraId="5BE4842A">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1.4</w:t>
      </w:r>
      <w:r>
        <w:rPr>
          <w:rStyle w:val="100"/>
          <w:rFonts w:hint="eastAsia" w:cs="Times New Roman"/>
          <w:color w:val="auto"/>
          <w:sz w:val="24"/>
          <w:szCs w:val="24"/>
        </w:rPr>
        <w:t>因重大变故，采购任务取消的；</w:t>
      </w:r>
    </w:p>
    <w:p w14:paraId="5C8A763B">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1.5</w:t>
      </w:r>
      <w:r>
        <w:rPr>
          <w:rStyle w:val="100"/>
          <w:rFonts w:hint="eastAsia" w:cs="Times New Roman"/>
          <w:color w:val="auto"/>
          <w:sz w:val="24"/>
          <w:szCs w:val="24"/>
        </w:rPr>
        <w:t>法律、法规以及采购文件规定的其他废标情形。</w:t>
      </w:r>
    </w:p>
    <w:p w14:paraId="0BC7E2F0">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18.11.</w:t>
      </w:r>
      <w:r>
        <w:rPr>
          <w:rStyle w:val="100"/>
          <w:rFonts w:cs="Times New Roman"/>
          <w:color w:val="auto"/>
          <w:sz w:val="24"/>
          <w:szCs w:val="24"/>
        </w:rPr>
        <w:t>2</w:t>
      </w:r>
      <w:r>
        <w:rPr>
          <w:rStyle w:val="100"/>
          <w:rFonts w:hint="eastAsia" w:cs="Times New Roman"/>
          <w:color w:val="auto"/>
          <w:sz w:val="24"/>
          <w:szCs w:val="24"/>
        </w:rPr>
        <w:t>废标后，采购人或者采购代理机构应当将废标理由通知所有</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w:t>
      </w:r>
    </w:p>
    <w:p w14:paraId="68EF4AE0">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lang w:eastAsia="zh-CN"/>
        </w:rPr>
        <w:t>18.12</w:t>
      </w:r>
      <w:r>
        <w:rPr>
          <w:rStyle w:val="100"/>
          <w:rFonts w:hint="eastAsia" w:cs="Times New Roman"/>
          <w:color w:val="auto"/>
          <w:sz w:val="24"/>
          <w:szCs w:val="24"/>
        </w:rPr>
        <w:t>特殊情况处置程序</w:t>
      </w:r>
    </w:p>
    <w:p w14:paraId="75F205F1">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18.12.</w:t>
      </w:r>
      <w:r>
        <w:rPr>
          <w:rStyle w:val="100"/>
          <w:rFonts w:cs="Times New Roman"/>
          <w:color w:val="auto"/>
          <w:sz w:val="24"/>
          <w:szCs w:val="24"/>
        </w:rPr>
        <w:t>1</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小组成员的更换</w:t>
      </w:r>
    </w:p>
    <w:p w14:paraId="127F948F">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18.12.</w:t>
      </w:r>
      <w:r>
        <w:rPr>
          <w:rStyle w:val="100"/>
          <w:rFonts w:cs="Times New Roman"/>
          <w:color w:val="auto"/>
          <w:sz w:val="24"/>
          <w:szCs w:val="24"/>
        </w:rPr>
        <w:t>1.1</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小组进行评审。</w:t>
      </w:r>
    </w:p>
    <w:p w14:paraId="7D54A7F3">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18.12.</w:t>
      </w:r>
      <w:r>
        <w:rPr>
          <w:rStyle w:val="100"/>
          <w:rFonts w:cs="Times New Roman"/>
          <w:color w:val="auto"/>
          <w:sz w:val="24"/>
          <w:szCs w:val="24"/>
        </w:rPr>
        <w:t>1.2</w:t>
      </w:r>
      <w:r>
        <w:rPr>
          <w:rStyle w:val="100"/>
          <w:rFonts w:hint="eastAsia" w:cs="Times New Roman"/>
          <w:color w:val="auto"/>
          <w:sz w:val="24"/>
          <w:szCs w:val="24"/>
        </w:rPr>
        <w:t>退出</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小组的成员，其已完成的评审行为无效。由采购人向监督人员提出更换</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小组成员意见并获准后，根据本采购文件规定的</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小组成员产生方式另行确定替代者进行评审。</w:t>
      </w:r>
    </w:p>
    <w:p w14:paraId="271C414B">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18.12.</w:t>
      </w:r>
      <w:r>
        <w:rPr>
          <w:rStyle w:val="100"/>
          <w:rFonts w:cs="Times New Roman"/>
          <w:color w:val="auto"/>
          <w:sz w:val="24"/>
          <w:szCs w:val="24"/>
        </w:rPr>
        <w:t>2</w:t>
      </w:r>
      <w:r>
        <w:rPr>
          <w:rStyle w:val="100"/>
          <w:rFonts w:hint="eastAsia" w:cs="Times New Roman"/>
          <w:color w:val="auto"/>
          <w:sz w:val="24"/>
          <w:szCs w:val="24"/>
        </w:rPr>
        <w:t>记名投票</w:t>
      </w:r>
    </w:p>
    <w:p w14:paraId="3906F00B">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rPr>
        <w:t>在评审过程中，</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小组发生分歧或者评审结论有异议需表决的，按照少数服从多数的原则，由</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小组全体成员以记名投票方式表决。</w:t>
      </w:r>
    </w:p>
    <w:p w14:paraId="6CC96169">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18.12.</w:t>
      </w:r>
      <w:r>
        <w:rPr>
          <w:rStyle w:val="100"/>
          <w:rFonts w:cs="Times New Roman"/>
          <w:color w:val="auto"/>
          <w:sz w:val="24"/>
          <w:szCs w:val="24"/>
        </w:rPr>
        <w:t>3</w:t>
      </w:r>
      <w:r>
        <w:rPr>
          <w:rStyle w:val="100"/>
          <w:rFonts w:hint="eastAsia" w:cs="Times New Roman"/>
          <w:color w:val="auto"/>
          <w:sz w:val="24"/>
          <w:szCs w:val="24"/>
        </w:rPr>
        <w:t>延期开标</w:t>
      </w:r>
    </w:p>
    <w:p w14:paraId="3E4E96C3">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cs="Times New Roman"/>
          <w:color w:val="auto"/>
          <w:sz w:val="24"/>
          <w:szCs w:val="24"/>
        </w:rPr>
        <w:t>因特殊情况需要推迟开标时间的，采购人或者采购代理机构必须提前报监督部门审批，经批准后按规定提前告知所有参加报价的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，否则必须按时开标。</w:t>
      </w:r>
    </w:p>
    <w:p w14:paraId="13C74C3A">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lang w:eastAsia="zh-CN"/>
        </w:rPr>
        <w:t>18.13</w:t>
      </w:r>
      <w:r>
        <w:rPr>
          <w:rStyle w:val="100"/>
          <w:rFonts w:hint="eastAsia" w:cs="Times New Roman"/>
          <w:color w:val="auto"/>
          <w:sz w:val="24"/>
          <w:szCs w:val="24"/>
        </w:rPr>
        <w:t>违法违规情形</w:t>
      </w:r>
    </w:p>
    <w:p w14:paraId="1AB2CC43">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w:t>
      </w:r>
      <w:r>
        <w:rPr>
          <w:rStyle w:val="100"/>
          <w:rFonts w:hint="eastAsia" w:cs="Times New Roman"/>
          <w:color w:val="auto"/>
          <w:sz w:val="24"/>
          <w:szCs w:val="24"/>
        </w:rPr>
        <w:t>有下列情形之一的，属于</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相互串通报价：</w:t>
      </w:r>
    </w:p>
    <w:p w14:paraId="20F910A7">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1.1</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之间协商响应报价等响应文件的实质性内容；</w:t>
      </w:r>
    </w:p>
    <w:p w14:paraId="55888C9E">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1.2</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之间约定成交</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w:t>
      </w:r>
    </w:p>
    <w:p w14:paraId="56E8AC16">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1.3</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之间约定部分</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放弃报价或者成交；</w:t>
      </w:r>
    </w:p>
    <w:p w14:paraId="4F9A0EE5">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1.4</w:t>
      </w:r>
      <w:r>
        <w:rPr>
          <w:rStyle w:val="100"/>
          <w:rFonts w:hint="eastAsia" w:cs="Times New Roman"/>
          <w:color w:val="auto"/>
          <w:sz w:val="24"/>
          <w:szCs w:val="24"/>
        </w:rPr>
        <w:t>属于同一集团、协会、商会等组织成员的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按照该组织要求协同报价；</w:t>
      </w:r>
    </w:p>
    <w:p w14:paraId="7170F070">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1.5</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之间为谋取中标或者排斥特定</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而采取的其他联合行动。</w:t>
      </w:r>
    </w:p>
    <w:p w14:paraId="602633A4">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w:t>
      </w:r>
      <w:r>
        <w:rPr>
          <w:rStyle w:val="100"/>
          <w:rFonts w:hint="eastAsia" w:cs="Times New Roman"/>
          <w:color w:val="auto"/>
          <w:sz w:val="24"/>
          <w:szCs w:val="24"/>
        </w:rPr>
        <w:t>有下列情形之一的，视为</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相互串通报价，</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小组应当出具违法违规认定意见并作响应无效处理：</w:t>
      </w:r>
    </w:p>
    <w:p w14:paraId="31E9CF62">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2.1</w:t>
      </w:r>
      <w:r>
        <w:rPr>
          <w:rStyle w:val="100"/>
          <w:rFonts w:hint="eastAsia" w:cs="Times New Roman"/>
          <w:color w:val="auto"/>
          <w:sz w:val="24"/>
          <w:szCs w:val="24"/>
        </w:rPr>
        <w:t>不同</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的响应文件由同一单位或者个人编制；</w:t>
      </w:r>
    </w:p>
    <w:p w14:paraId="7DAE4D26">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2.2</w:t>
      </w:r>
      <w:r>
        <w:rPr>
          <w:rStyle w:val="100"/>
          <w:rFonts w:hint="eastAsia" w:cs="Times New Roman"/>
          <w:color w:val="auto"/>
          <w:sz w:val="24"/>
          <w:szCs w:val="24"/>
        </w:rPr>
        <w:t>不同</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委托同一单位或者个人办理报价事宜；</w:t>
      </w:r>
    </w:p>
    <w:p w14:paraId="54BFAF4B">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2.3</w:t>
      </w:r>
      <w:r>
        <w:rPr>
          <w:rStyle w:val="100"/>
          <w:rFonts w:hint="eastAsia" w:cs="Times New Roman"/>
          <w:color w:val="auto"/>
          <w:sz w:val="24"/>
          <w:szCs w:val="24"/>
        </w:rPr>
        <w:t>不同</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的响应文件载明的项目管理成员为同一人；</w:t>
      </w:r>
    </w:p>
    <w:p w14:paraId="25712758">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2.4</w:t>
      </w:r>
      <w:r>
        <w:rPr>
          <w:rStyle w:val="100"/>
          <w:rFonts w:hint="eastAsia" w:cs="Times New Roman"/>
          <w:color w:val="auto"/>
          <w:sz w:val="24"/>
          <w:szCs w:val="24"/>
        </w:rPr>
        <w:t>不同</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的响应文件异常一致或者响应报价呈规律性差异；</w:t>
      </w:r>
    </w:p>
    <w:p w14:paraId="455C2C88">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2.</w:t>
      </w:r>
      <w:r>
        <w:rPr>
          <w:rStyle w:val="100"/>
          <w:rFonts w:hint="eastAsia" w:eastAsia="仿宋" w:cs="Times New Roman"/>
          <w:color w:val="auto"/>
          <w:sz w:val="24"/>
          <w:szCs w:val="24"/>
          <w:lang w:val="en-US" w:eastAsia="zh-CN"/>
        </w:rPr>
        <w:t>5</w:t>
      </w:r>
      <w:r>
        <w:rPr>
          <w:rStyle w:val="100"/>
          <w:rFonts w:hint="eastAsia" w:cs="Times New Roman"/>
          <w:color w:val="auto"/>
          <w:sz w:val="24"/>
          <w:szCs w:val="24"/>
        </w:rPr>
        <w:t>不同</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的保证金从同一单位或者个人的账户转出。</w:t>
      </w:r>
    </w:p>
    <w:p w14:paraId="0729EC5D">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w:t>
      </w:r>
      <w:r>
        <w:rPr>
          <w:rStyle w:val="100"/>
          <w:rFonts w:hint="eastAsia" w:cs="Times New Roman"/>
          <w:color w:val="auto"/>
          <w:sz w:val="24"/>
          <w:szCs w:val="24"/>
        </w:rPr>
        <w:t>有下列情形之一的，属于采购人与</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串通报价：</w:t>
      </w:r>
    </w:p>
    <w:p w14:paraId="3B3BE632">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3.1</w:t>
      </w:r>
      <w:r>
        <w:rPr>
          <w:rStyle w:val="100"/>
          <w:rFonts w:hint="eastAsia" w:cs="Times New Roman"/>
          <w:color w:val="auto"/>
          <w:sz w:val="24"/>
          <w:szCs w:val="24"/>
        </w:rPr>
        <w:t>采购人在开标前开启响应文件并将有关信息泄露给其他</w:t>
      </w:r>
      <w:r>
        <w:rPr>
          <w:rStyle w:val="100"/>
          <w:rFonts w:hint="eastAsia" w:eastAsia="仿宋" w:cs="Times New Roman"/>
          <w:color w:val="auto"/>
          <w:sz w:val="24"/>
          <w:szCs w:val="24"/>
          <w:lang w:eastAsia="zh-CN"/>
        </w:rPr>
        <w:t>供应商</w:t>
      </w:r>
      <w:r>
        <w:rPr>
          <w:rStyle w:val="100"/>
          <w:rFonts w:cs="Times New Roman"/>
          <w:color w:val="auto"/>
          <w:sz w:val="24"/>
          <w:szCs w:val="24"/>
        </w:rPr>
        <w:t>；</w:t>
      </w:r>
    </w:p>
    <w:p w14:paraId="54787310">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3.2</w:t>
      </w:r>
      <w:r>
        <w:rPr>
          <w:rStyle w:val="100"/>
          <w:rFonts w:hint="eastAsia" w:cs="Times New Roman"/>
          <w:color w:val="auto"/>
          <w:sz w:val="24"/>
          <w:szCs w:val="24"/>
        </w:rPr>
        <w:t>采购人直接或者间接向</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泄露标底、</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小组成员等信息；</w:t>
      </w:r>
    </w:p>
    <w:p w14:paraId="2A165EFD">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3.3</w:t>
      </w:r>
      <w:r>
        <w:rPr>
          <w:rStyle w:val="100"/>
          <w:rFonts w:hint="eastAsia" w:cs="Times New Roman"/>
          <w:color w:val="auto"/>
          <w:sz w:val="24"/>
          <w:szCs w:val="24"/>
        </w:rPr>
        <w:t>采购人明示或者暗示</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压低或者抬高响应报价；</w:t>
      </w:r>
    </w:p>
    <w:p w14:paraId="41C18036">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3.4</w:t>
      </w:r>
      <w:r>
        <w:rPr>
          <w:rStyle w:val="100"/>
          <w:rFonts w:hint="eastAsia" w:cs="Times New Roman"/>
          <w:color w:val="auto"/>
          <w:sz w:val="24"/>
          <w:szCs w:val="24"/>
        </w:rPr>
        <w:t>采购人授意</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撤换、修改响应文件；</w:t>
      </w:r>
    </w:p>
    <w:p w14:paraId="295D780C">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3.5</w:t>
      </w:r>
      <w:r>
        <w:rPr>
          <w:rStyle w:val="100"/>
          <w:rFonts w:hint="eastAsia" w:cs="Times New Roman"/>
          <w:color w:val="auto"/>
          <w:sz w:val="24"/>
          <w:szCs w:val="24"/>
        </w:rPr>
        <w:t>采购人明示或者暗示</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为特定</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中标提供方便；</w:t>
      </w:r>
    </w:p>
    <w:p w14:paraId="52752C69">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18.13.</w:t>
      </w:r>
      <w:r>
        <w:rPr>
          <w:rStyle w:val="100"/>
          <w:rFonts w:cs="Times New Roman"/>
          <w:color w:val="auto"/>
          <w:sz w:val="24"/>
          <w:szCs w:val="24"/>
        </w:rPr>
        <w:t>3.6</w:t>
      </w:r>
      <w:r>
        <w:rPr>
          <w:rStyle w:val="100"/>
          <w:rFonts w:hint="eastAsia" w:cs="Times New Roman"/>
          <w:color w:val="auto"/>
          <w:sz w:val="24"/>
          <w:szCs w:val="24"/>
        </w:rPr>
        <w:t>采购人与</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为谋求特定</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中标而采取的其他串通行为。</w:t>
      </w:r>
    </w:p>
    <w:p w14:paraId="1C908921">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rPr>
        <w:t>在开标、评审过程中发现以上违法违规情形的，首先由</w:t>
      </w:r>
      <w:r>
        <w:rPr>
          <w:rStyle w:val="100"/>
          <w:rFonts w:hint="eastAsia" w:eastAsia="仿宋" w:cs="Times New Roman"/>
          <w:color w:val="auto"/>
          <w:sz w:val="24"/>
          <w:szCs w:val="24"/>
          <w:lang w:eastAsia="zh-CN"/>
        </w:rPr>
        <w:t>磋商</w:t>
      </w:r>
      <w:r>
        <w:rPr>
          <w:rStyle w:val="100"/>
          <w:rFonts w:hint="eastAsia" w:cs="Times New Roman"/>
          <w:color w:val="auto"/>
          <w:sz w:val="24"/>
          <w:szCs w:val="24"/>
        </w:rPr>
        <w:t>小组作出认定，对认定确有以上违法违规情形的</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，按无效报价处理，再进入正常评审程序。</w:t>
      </w:r>
    </w:p>
    <w:p w14:paraId="4E2E4D08">
      <w:pPr>
        <w:spacing w:line="360" w:lineRule="auto"/>
        <w:ind w:firstLine="480" w:firstLineChars="200"/>
        <w:rPr>
          <w:rStyle w:val="100"/>
          <w:rFonts w:hint="eastAsia" w:ascii="Times New Roman" w:hAnsi="Times New Roman" w:eastAsia="宋体" w:cs="Times New Roman"/>
          <w:color w:val="auto"/>
          <w:sz w:val="24"/>
          <w:szCs w:val="24"/>
        </w:rPr>
      </w:pPr>
      <w:r>
        <w:rPr>
          <w:rStyle w:val="100"/>
          <w:rFonts w:hint="eastAsia" w:cs="Times New Roman"/>
          <w:color w:val="auto"/>
          <w:sz w:val="24"/>
          <w:szCs w:val="24"/>
          <w:lang w:eastAsia="zh-CN"/>
        </w:rPr>
        <w:t>18.14</w:t>
      </w:r>
      <w:r>
        <w:rPr>
          <w:rStyle w:val="100"/>
          <w:rFonts w:hint="eastAsia" w:cs="Times New Roman"/>
          <w:color w:val="auto"/>
          <w:sz w:val="24"/>
          <w:szCs w:val="24"/>
        </w:rPr>
        <w:t>违规处理</w:t>
      </w:r>
    </w:p>
    <w:p w14:paraId="27C0B37F">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供应商</w:t>
      </w:r>
      <w:r>
        <w:rPr>
          <w:rStyle w:val="100"/>
          <w:rFonts w:hint="eastAsia" w:cs="Times New Roman"/>
          <w:color w:val="auto"/>
          <w:sz w:val="24"/>
          <w:szCs w:val="24"/>
        </w:rPr>
        <w:t>有下列情形之一的，列入不良行为记录名单，在一至三年内禁止参加</w:t>
      </w:r>
      <w:r>
        <w:rPr>
          <w:rStyle w:val="100"/>
          <w:rFonts w:hint="eastAsia" w:eastAsia="仿宋" w:cs="Times New Roman"/>
          <w:color w:val="auto"/>
          <w:sz w:val="24"/>
          <w:szCs w:val="24"/>
          <w:lang w:eastAsia="zh-CN"/>
        </w:rPr>
        <w:t>阿克苏市</w:t>
      </w:r>
      <w:r>
        <w:rPr>
          <w:rStyle w:val="100"/>
          <w:rFonts w:hint="eastAsia" w:cs="Times New Roman"/>
          <w:color w:val="auto"/>
          <w:sz w:val="24"/>
          <w:szCs w:val="24"/>
        </w:rPr>
        <w:t>政府采购活动：</w:t>
      </w:r>
    </w:p>
    <w:p w14:paraId="1FB4F062">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18.14.</w:t>
      </w:r>
      <w:r>
        <w:rPr>
          <w:rStyle w:val="100"/>
          <w:rFonts w:cs="Times New Roman"/>
          <w:color w:val="auto"/>
          <w:sz w:val="24"/>
          <w:szCs w:val="24"/>
        </w:rPr>
        <w:t>1</w:t>
      </w:r>
      <w:r>
        <w:rPr>
          <w:rStyle w:val="100"/>
          <w:rFonts w:hint="eastAsia" w:cs="Times New Roman"/>
          <w:color w:val="auto"/>
          <w:sz w:val="24"/>
          <w:szCs w:val="24"/>
        </w:rPr>
        <w:t>提供虚假报价材料谋取中标、成交的；</w:t>
      </w:r>
    </w:p>
    <w:p w14:paraId="07ED895D">
      <w:pPr>
        <w:spacing w:line="360" w:lineRule="auto"/>
        <w:ind w:firstLine="480" w:firstLineChars="200"/>
        <w:rPr>
          <w:rStyle w:val="100"/>
          <w:rFonts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18.14.</w:t>
      </w:r>
      <w:r>
        <w:rPr>
          <w:rStyle w:val="100"/>
          <w:rFonts w:cs="Times New Roman"/>
          <w:color w:val="auto"/>
          <w:sz w:val="24"/>
          <w:szCs w:val="24"/>
        </w:rPr>
        <w:t>2</w:t>
      </w:r>
      <w:r>
        <w:rPr>
          <w:rStyle w:val="100"/>
          <w:rFonts w:hint="eastAsia" w:cs="Times New Roman"/>
          <w:color w:val="auto"/>
          <w:sz w:val="24"/>
          <w:szCs w:val="24"/>
        </w:rPr>
        <w:t>采取不正当手段诋毁、排挤其他</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的；</w:t>
      </w:r>
    </w:p>
    <w:p w14:paraId="6A8DE8EF">
      <w:pPr>
        <w:ind w:firstLine="480" w:firstLineChars="200"/>
        <w:rPr>
          <w:rStyle w:val="100"/>
          <w:rFonts w:hint="eastAsia" w:ascii="Times New Roman" w:hAnsi="Times New Roman" w:eastAsia="宋体" w:cs="Times New Roman"/>
          <w:color w:val="auto"/>
          <w:sz w:val="24"/>
          <w:szCs w:val="24"/>
        </w:rPr>
      </w:pPr>
      <w:r>
        <w:rPr>
          <w:rStyle w:val="100"/>
          <w:rFonts w:hint="eastAsia" w:eastAsia="仿宋" w:cs="Times New Roman"/>
          <w:color w:val="auto"/>
          <w:sz w:val="24"/>
          <w:szCs w:val="24"/>
          <w:lang w:eastAsia="zh-CN"/>
        </w:rPr>
        <w:t>18.14.</w:t>
      </w:r>
      <w:r>
        <w:rPr>
          <w:rStyle w:val="100"/>
          <w:rFonts w:cs="Times New Roman"/>
          <w:color w:val="auto"/>
          <w:sz w:val="24"/>
          <w:szCs w:val="24"/>
        </w:rPr>
        <w:t>3</w:t>
      </w:r>
      <w:r>
        <w:rPr>
          <w:rStyle w:val="100"/>
          <w:rFonts w:hint="eastAsia" w:cs="Times New Roman"/>
          <w:color w:val="auto"/>
          <w:sz w:val="24"/>
          <w:szCs w:val="24"/>
        </w:rPr>
        <w:t>与采购人、其他</w:t>
      </w:r>
      <w:r>
        <w:rPr>
          <w:rStyle w:val="100"/>
          <w:rFonts w:hint="eastAsia" w:eastAsia="仿宋" w:cs="Times New Roman"/>
          <w:color w:val="auto"/>
          <w:sz w:val="24"/>
          <w:szCs w:val="24"/>
          <w:lang w:eastAsia="zh-CN"/>
        </w:rPr>
        <w:t>供应商</w:t>
      </w:r>
      <w:r>
        <w:rPr>
          <w:rStyle w:val="100"/>
          <w:rFonts w:hint="eastAsia" w:cs="Times New Roman"/>
          <w:color w:val="auto"/>
          <w:sz w:val="24"/>
          <w:szCs w:val="24"/>
        </w:rPr>
        <w:t>或者采购代理机构恶意串通的；</w:t>
      </w:r>
    </w:p>
    <w:p w14:paraId="006BEB98">
      <w:pPr>
        <w:spacing w:line="360" w:lineRule="auto"/>
        <w:ind w:firstLine="560" w:firstLineChars="200"/>
        <w:outlineLvl w:val="2"/>
        <w:rPr>
          <w:rFonts w:ascii="楷体" w:hAnsi="楷体" w:eastAsia="楷体" w:cs="Times New Roman"/>
          <w:color w:val="auto"/>
          <w:sz w:val="28"/>
          <w:szCs w:val="28"/>
        </w:rPr>
      </w:pPr>
      <w:bookmarkStart w:id="73" w:name="_Toc27074"/>
      <w:bookmarkStart w:id="74" w:name="_Toc18982"/>
      <w:r>
        <w:rPr>
          <w:rFonts w:hint="eastAsia" w:ascii="楷体" w:hAnsi="楷体" w:eastAsia="楷体" w:cs="Times New Roman"/>
          <w:color w:val="auto"/>
          <w:sz w:val="28"/>
          <w:szCs w:val="28"/>
          <w:lang w:eastAsia="zh-CN"/>
        </w:rPr>
        <w:t>19.</w:t>
      </w:r>
      <w:r>
        <w:rPr>
          <w:rFonts w:hint="eastAsia" w:ascii="楷体" w:hAnsi="楷体" w:eastAsia="楷体" w:cs="Times New Roman"/>
          <w:color w:val="auto"/>
          <w:sz w:val="28"/>
          <w:szCs w:val="28"/>
        </w:rPr>
        <w:t>质疑</w:t>
      </w:r>
      <w:bookmarkEnd w:id="73"/>
      <w:bookmarkEnd w:id="74"/>
    </w:p>
    <w:p w14:paraId="3A8ED45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hint="eastAsia" w:ascii="仿宋" w:hAnsi="仿宋" w:eastAsia="仿宋" w:cs="Times New Roman"/>
          <w:color w:val="auto"/>
          <w:sz w:val="24"/>
          <w:szCs w:val="24"/>
        </w:rPr>
        <w:t>1参加本次政府采购活动的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认为采购文件、采购过程和成交结果使自己的权益受到损害的，可以在知道或者应知道其权益受到损害之日起7个工作日内，以书面形式向采购人或者采购代理机构提出质疑。</w:t>
      </w:r>
    </w:p>
    <w:p w14:paraId="4E47CDB2">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2</w:t>
      </w:r>
      <w:r>
        <w:rPr>
          <w:rFonts w:hint="eastAsia" w:ascii="仿宋" w:hAnsi="仿宋" w:eastAsia="仿宋" w:cs="Times New Roman"/>
          <w:color w:val="auto"/>
          <w:sz w:val="24"/>
          <w:szCs w:val="24"/>
        </w:rPr>
        <w:t>质疑书内容应包括以下主要内容：</w:t>
      </w:r>
    </w:p>
    <w:p w14:paraId="3820502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2.1</w:t>
      </w:r>
      <w:r>
        <w:rPr>
          <w:rFonts w:hint="eastAsia" w:ascii="仿宋" w:hAnsi="仿宋" w:eastAsia="仿宋" w:cs="Times New Roman"/>
          <w:color w:val="auto"/>
          <w:sz w:val="24"/>
          <w:szCs w:val="24"/>
        </w:rPr>
        <w:t>质疑人的名称、地址、电话等；</w:t>
      </w:r>
    </w:p>
    <w:p w14:paraId="584BEA58">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2.2</w:t>
      </w:r>
      <w:r>
        <w:rPr>
          <w:rFonts w:hint="eastAsia" w:ascii="仿宋" w:hAnsi="仿宋" w:eastAsia="仿宋" w:cs="Times New Roman"/>
          <w:color w:val="auto"/>
          <w:sz w:val="24"/>
          <w:szCs w:val="24"/>
        </w:rPr>
        <w:t>具体的质疑事项、证据以及法律、法规依据；</w:t>
      </w:r>
    </w:p>
    <w:p w14:paraId="38C97B9B">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2.3</w:t>
      </w:r>
      <w:r>
        <w:rPr>
          <w:rFonts w:hint="eastAsia" w:ascii="仿宋" w:hAnsi="仿宋" w:eastAsia="仿宋" w:cs="Times New Roman"/>
          <w:color w:val="auto"/>
          <w:sz w:val="24"/>
          <w:szCs w:val="24"/>
        </w:rPr>
        <w:t>提出质疑的日期。</w:t>
      </w:r>
    </w:p>
    <w:p w14:paraId="288062CE">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3</w:t>
      </w:r>
      <w:r>
        <w:rPr>
          <w:rFonts w:hint="eastAsia" w:ascii="仿宋" w:hAnsi="仿宋" w:eastAsia="仿宋" w:cs="Times New Roman"/>
          <w:color w:val="auto"/>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52DB970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4</w:t>
      </w:r>
      <w:r>
        <w:rPr>
          <w:rFonts w:hint="eastAsia" w:ascii="仿宋" w:hAnsi="仿宋" w:eastAsia="仿宋" w:cs="Times New Roman"/>
          <w:color w:val="auto"/>
          <w:sz w:val="24"/>
          <w:szCs w:val="24"/>
        </w:rPr>
        <w:t>除书面形式外，其他任何方式的质疑，采购人或者采购代理机构均不予接受和回复。</w:t>
      </w:r>
    </w:p>
    <w:p w14:paraId="6342A3D1">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5</w:t>
      </w:r>
      <w:r>
        <w:rPr>
          <w:rFonts w:hint="eastAsia" w:ascii="仿宋" w:hAnsi="仿宋" w:eastAsia="仿宋" w:cs="Times New Roman"/>
          <w:color w:val="auto"/>
          <w:sz w:val="24"/>
          <w:szCs w:val="24"/>
        </w:rPr>
        <w:t>采购人或者采购代理机构在收到质疑书后7个工作日内做出书面答复，并以书面形式通知质疑人和其他有关</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，但答复不得涉及商业秘密。</w:t>
      </w:r>
    </w:p>
    <w:p w14:paraId="5D44397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19.</w:t>
      </w:r>
      <w:r>
        <w:rPr>
          <w:rFonts w:ascii="仿宋" w:hAnsi="仿宋" w:eastAsia="仿宋" w:cs="Times New Roman"/>
          <w:color w:val="auto"/>
          <w:sz w:val="24"/>
          <w:szCs w:val="24"/>
        </w:rPr>
        <w:t>6</w:t>
      </w:r>
      <w:r>
        <w:rPr>
          <w:rFonts w:hint="eastAsia" w:ascii="仿宋" w:hAnsi="仿宋" w:eastAsia="仿宋" w:cs="Times New Roman"/>
          <w:color w:val="auto"/>
          <w:sz w:val="24"/>
          <w:szCs w:val="24"/>
        </w:rPr>
        <w:t>质疑人对采购人、采购代理机构的答复不满意或者采购人、采购代理机构未在规定的时间内做出答复的，可以在答复期满后1</w:t>
      </w:r>
      <w:r>
        <w:rPr>
          <w:rFonts w:ascii="仿宋" w:hAnsi="仿宋" w:eastAsia="仿宋" w:cs="Times New Roman"/>
          <w:color w:val="auto"/>
          <w:sz w:val="24"/>
          <w:szCs w:val="24"/>
        </w:rPr>
        <w:t>5</w:t>
      </w:r>
      <w:r>
        <w:rPr>
          <w:rFonts w:hint="eastAsia" w:ascii="仿宋" w:hAnsi="仿宋" w:eastAsia="仿宋" w:cs="Times New Roman"/>
          <w:color w:val="auto"/>
          <w:sz w:val="24"/>
          <w:szCs w:val="24"/>
        </w:rPr>
        <w:t>个工作日内向同级监管部门投诉。</w:t>
      </w:r>
    </w:p>
    <w:p w14:paraId="1F951337">
      <w:pPr>
        <w:spacing w:line="360" w:lineRule="auto"/>
        <w:ind w:firstLine="560" w:firstLineChars="200"/>
        <w:outlineLvl w:val="2"/>
        <w:rPr>
          <w:rFonts w:ascii="楷体" w:hAnsi="楷体" w:eastAsia="楷体" w:cs="Times New Roman"/>
          <w:color w:val="auto"/>
          <w:sz w:val="28"/>
          <w:szCs w:val="28"/>
        </w:rPr>
      </w:pPr>
      <w:bookmarkStart w:id="75" w:name="_Toc29314"/>
      <w:bookmarkStart w:id="76" w:name="_Toc2813"/>
      <w:r>
        <w:rPr>
          <w:rFonts w:hint="eastAsia" w:ascii="楷体" w:hAnsi="楷体" w:eastAsia="楷体" w:cs="Times New Roman"/>
          <w:color w:val="auto"/>
          <w:sz w:val="28"/>
          <w:szCs w:val="28"/>
          <w:lang w:eastAsia="zh-CN"/>
        </w:rPr>
        <w:t>20.</w:t>
      </w:r>
      <w:r>
        <w:rPr>
          <w:rFonts w:hint="eastAsia" w:ascii="楷体" w:hAnsi="楷体" w:eastAsia="楷体" w:cs="Times New Roman"/>
          <w:color w:val="auto"/>
          <w:sz w:val="28"/>
          <w:szCs w:val="28"/>
        </w:rPr>
        <w:t>投诉</w:t>
      </w:r>
      <w:bookmarkEnd w:id="75"/>
      <w:bookmarkEnd w:id="76"/>
    </w:p>
    <w:p w14:paraId="5ED4FE5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1</w:t>
      </w:r>
      <w:r>
        <w:rPr>
          <w:rFonts w:hint="eastAsia" w:ascii="仿宋" w:hAnsi="仿宋" w:eastAsia="仿宋" w:cs="Times New Roman"/>
          <w:color w:val="auto"/>
          <w:sz w:val="24"/>
          <w:szCs w:val="24"/>
        </w:rPr>
        <w:t>按照《中华人民共和国政府采购法》、财政部《政府采购</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投诉处理办法》</w:t>
      </w:r>
      <w:r>
        <w:rPr>
          <w:rFonts w:hint="eastAsia" w:ascii="仿宋" w:hAnsi="仿宋" w:eastAsia="仿宋" w:cs="Times New Roman"/>
          <w:color w:val="auto"/>
          <w:sz w:val="24"/>
          <w:szCs w:val="24"/>
          <w:lang w:eastAsia="zh-CN"/>
        </w:rPr>
        <w:t>（财政部令第94号）</w:t>
      </w:r>
      <w:r>
        <w:rPr>
          <w:rFonts w:hint="eastAsia" w:ascii="仿宋" w:hAnsi="仿宋" w:eastAsia="仿宋" w:cs="Times New Roman"/>
          <w:color w:val="auto"/>
          <w:sz w:val="24"/>
          <w:szCs w:val="24"/>
        </w:rPr>
        <w:t>文件以及相关的法律、法规及规定，质疑人对采购人、采购代理机构的答复不满意或者采购人、采购代理机构未在规定的时间内做出答复的，可以在答复期满后1</w:t>
      </w:r>
      <w:r>
        <w:rPr>
          <w:rFonts w:ascii="仿宋" w:hAnsi="仿宋" w:eastAsia="仿宋" w:cs="Times New Roman"/>
          <w:color w:val="auto"/>
          <w:sz w:val="24"/>
          <w:szCs w:val="24"/>
        </w:rPr>
        <w:t>5</w:t>
      </w:r>
      <w:r>
        <w:rPr>
          <w:rFonts w:hint="eastAsia" w:ascii="仿宋" w:hAnsi="仿宋" w:eastAsia="仿宋" w:cs="Times New Roman"/>
          <w:color w:val="auto"/>
          <w:sz w:val="24"/>
          <w:szCs w:val="24"/>
        </w:rPr>
        <w:t>个工作日内向同级监管部门投诉。</w:t>
      </w:r>
    </w:p>
    <w:p w14:paraId="6118D64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w:t>
      </w:r>
      <w:r>
        <w:rPr>
          <w:rFonts w:hint="eastAsia" w:ascii="仿宋" w:hAnsi="仿宋" w:eastAsia="仿宋" w:cs="Times New Roman"/>
          <w:color w:val="auto"/>
          <w:sz w:val="24"/>
          <w:szCs w:val="24"/>
        </w:rPr>
        <w:t>投诉人提起投诉应符合下列条件：</w:t>
      </w:r>
    </w:p>
    <w:p w14:paraId="669CDC9C">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2.1</w:t>
      </w:r>
      <w:r>
        <w:rPr>
          <w:rFonts w:hint="eastAsia" w:ascii="仿宋" w:hAnsi="仿宋" w:eastAsia="仿宋" w:cs="Times New Roman"/>
          <w:color w:val="auto"/>
          <w:sz w:val="24"/>
          <w:szCs w:val="24"/>
        </w:rPr>
        <w:t>投诉人是参与所投诉政府采购活动的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w:t>
      </w:r>
    </w:p>
    <w:p w14:paraId="23114C9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2.2</w:t>
      </w:r>
      <w:r>
        <w:rPr>
          <w:rFonts w:hint="eastAsia" w:ascii="仿宋" w:hAnsi="仿宋" w:eastAsia="仿宋" w:cs="Times New Roman"/>
          <w:color w:val="auto"/>
          <w:sz w:val="24"/>
          <w:szCs w:val="24"/>
        </w:rPr>
        <w:t>提起投诉前已依法进行质疑；</w:t>
      </w:r>
    </w:p>
    <w:p w14:paraId="59C801D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2.3</w:t>
      </w:r>
      <w:r>
        <w:rPr>
          <w:rFonts w:hint="eastAsia" w:ascii="仿宋" w:hAnsi="仿宋" w:eastAsia="仿宋" w:cs="Times New Roman"/>
          <w:color w:val="auto"/>
          <w:sz w:val="24"/>
          <w:szCs w:val="24"/>
        </w:rPr>
        <w:t>投诉书内容符合财政部《政府采购</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投诉处理办法》</w:t>
      </w:r>
      <w:r>
        <w:rPr>
          <w:rFonts w:hint="eastAsia" w:ascii="仿宋" w:hAnsi="仿宋" w:eastAsia="仿宋" w:cs="Times New Roman"/>
          <w:color w:val="auto"/>
          <w:sz w:val="24"/>
          <w:szCs w:val="24"/>
          <w:lang w:eastAsia="zh-CN"/>
        </w:rPr>
        <w:t>（财政部令第94号）</w:t>
      </w:r>
      <w:r>
        <w:rPr>
          <w:rFonts w:hint="eastAsia" w:ascii="仿宋" w:hAnsi="仿宋" w:eastAsia="仿宋" w:cs="Times New Roman"/>
          <w:color w:val="auto"/>
          <w:sz w:val="24"/>
          <w:szCs w:val="24"/>
        </w:rPr>
        <w:t>规定；</w:t>
      </w:r>
    </w:p>
    <w:p w14:paraId="10E79BF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2.4</w:t>
      </w:r>
      <w:r>
        <w:rPr>
          <w:rFonts w:hint="eastAsia" w:ascii="仿宋" w:hAnsi="仿宋" w:eastAsia="仿宋" w:cs="Times New Roman"/>
          <w:color w:val="auto"/>
          <w:sz w:val="24"/>
          <w:szCs w:val="24"/>
        </w:rPr>
        <w:t>在投诉有效期限内提起投诉；</w:t>
      </w:r>
    </w:p>
    <w:p w14:paraId="79AA0FF7">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2.5</w:t>
      </w:r>
      <w:r>
        <w:rPr>
          <w:rFonts w:hint="eastAsia" w:ascii="仿宋" w:hAnsi="仿宋" w:eastAsia="仿宋" w:cs="Times New Roman"/>
          <w:color w:val="auto"/>
          <w:sz w:val="24"/>
          <w:szCs w:val="24"/>
        </w:rPr>
        <w:t>属于本财政部门管辖；</w:t>
      </w:r>
    </w:p>
    <w:p w14:paraId="396E5C54">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2.6</w:t>
      </w:r>
      <w:r>
        <w:rPr>
          <w:rFonts w:hint="eastAsia" w:ascii="仿宋" w:hAnsi="仿宋" w:eastAsia="仿宋" w:cs="Times New Roman"/>
          <w:color w:val="auto"/>
          <w:sz w:val="24"/>
          <w:szCs w:val="24"/>
        </w:rPr>
        <w:t>同一投诉事项未经财政部门投诉处理；</w:t>
      </w:r>
    </w:p>
    <w:p w14:paraId="692B8DFF">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2.7</w:t>
      </w:r>
      <w:r>
        <w:rPr>
          <w:rFonts w:hint="eastAsia" w:ascii="仿宋" w:hAnsi="仿宋" w:eastAsia="仿宋" w:cs="Times New Roman"/>
          <w:color w:val="auto"/>
          <w:sz w:val="24"/>
          <w:szCs w:val="24"/>
        </w:rPr>
        <w:t>法律法规规定的其他条件。</w:t>
      </w:r>
    </w:p>
    <w:p w14:paraId="09521706">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3</w:t>
      </w:r>
      <w:r>
        <w:rPr>
          <w:rFonts w:hint="eastAsia" w:ascii="仿宋" w:hAnsi="仿宋" w:eastAsia="仿宋" w:cs="Times New Roman"/>
          <w:color w:val="auto"/>
          <w:sz w:val="24"/>
          <w:szCs w:val="24"/>
        </w:rPr>
        <w:t>投诉人投诉时，应当提交投诉书，并按照被投诉采购人、采购代理机构和与投诉事项有关的</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数量提供投诉书的副本。</w:t>
      </w:r>
    </w:p>
    <w:p w14:paraId="5E0349B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4</w:t>
      </w:r>
      <w:r>
        <w:rPr>
          <w:rFonts w:hint="eastAsia" w:ascii="仿宋" w:hAnsi="仿宋" w:eastAsia="仿宋" w:cs="Times New Roman"/>
          <w:color w:val="auto"/>
          <w:sz w:val="24"/>
          <w:szCs w:val="24"/>
        </w:rPr>
        <w:t>投诉书应当包括以下主要内容：</w:t>
      </w:r>
    </w:p>
    <w:p w14:paraId="7C31FE65">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4.1</w:t>
      </w:r>
      <w:r>
        <w:rPr>
          <w:rFonts w:hint="eastAsia" w:ascii="仿宋" w:hAnsi="仿宋" w:eastAsia="仿宋" w:cs="Times New Roman"/>
          <w:color w:val="auto"/>
          <w:sz w:val="24"/>
          <w:szCs w:val="24"/>
        </w:rPr>
        <w:t>投诉人和被投诉人的名称、地址、电话等；</w:t>
      </w:r>
    </w:p>
    <w:p w14:paraId="2AF8A628">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4.2</w:t>
      </w:r>
      <w:r>
        <w:rPr>
          <w:rFonts w:hint="eastAsia" w:ascii="仿宋" w:hAnsi="仿宋" w:eastAsia="仿宋" w:cs="Times New Roman"/>
          <w:color w:val="auto"/>
          <w:sz w:val="24"/>
          <w:szCs w:val="24"/>
        </w:rPr>
        <w:t>具体的投诉事宜以及事实依据；</w:t>
      </w:r>
    </w:p>
    <w:p w14:paraId="4336F3EA">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4.3</w:t>
      </w:r>
      <w:r>
        <w:rPr>
          <w:rFonts w:hint="eastAsia" w:ascii="仿宋" w:hAnsi="仿宋" w:eastAsia="仿宋" w:cs="Times New Roman"/>
          <w:color w:val="auto"/>
          <w:sz w:val="24"/>
          <w:szCs w:val="24"/>
        </w:rPr>
        <w:t>质疑书和质疑答复情况以及相关证明材料；</w:t>
      </w:r>
    </w:p>
    <w:p w14:paraId="29F3C540">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4.4</w:t>
      </w:r>
      <w:r>
        <w:rPr>
          <w:rFonts w:hint="eastAsia" w:ascii="仿宋" w:hAnsi="仿宋" w:eastAsia="仿宋" w:cs="Times New Roman"/>
          <w:color w:val="auto"/>
          <w:sz w:val="24"/>
          <w:szCs w:val="24"/>
        </w:rPr>
        <w:t>提起投诉的日期。</w:t>
      </w:r>
    </w:p>
    <w:p w14:paraId="51F8CD09">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5</w:t>
      </w:r>
      <w:r>
        <w:rPr>
          <w:rFonts w:hint="eastAsia" w:ascii="仿宋" w:hAnsi="仿宋" w:eastAsia="仿宋" w:cs="Times New Roman"/>
          <w:color w:val="auto"/>
          <w:sz w:val="24"/>
          <w:szCs w:val="24"/>
        </w:rPr>
        <w:t>投诉书应当署名。投诉人为自然人的，应当由本人签字；投诉人为法人或者其他组织的，应当由法定代表人或者主要负责人签字盖章并加盖公章。</w:t>
      </w:r>
    </w:p>
    <w:p w14:paraId="6A3D014D">
      <w:pPr>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6</w:t>
      </w:r>
      <w:r>
        <w:rPr>
          <w:rFonts w:hint="eastAsia" w:ascii="仿宋" w:hAnsi="仿宋" w:eastAsia="仿宋" w:cs="Times New Roman"/>
          <w:color w:val="auto"/>
          <w:sz w:val="24"/>
          <w:szCs w:val="24"/>
        </w:rPr>
        <w:t>投诉人可以委托代理人办理投诉事务。代理人办理投诉事务时，除提交投诉书外，还应当向同级监管部门提交投诉人的授权委托书，授权委托书应当载明委托代理的具体权限和事项。</w:t>
      </w:r>
    </w:p>
    <w:p w14:paraId="01C85E1A">
      <w:pPr>
        <w:spacing w:line="360" w:lineRule="auto"/>
        <w:ind w:firstLine="480" w:firstLineChars="200"/>
        <w:outlineLvl w:val="9"/>
        <w:rPr>
          <w:rFonts w:hint="eastAsia" w:ascii="仿宋" w:hAnsi="仿宋" w:eastAsia="仿宋" w:cs="Times New Roman"/>
          <w:color w:val="auto"/>
          <w:sz w:val="24"/>
          <w:szCs w:val="24"/>
        </w:rPr>
      </w:pPr>
      <w:r>
        <w:rPr>
          <w:rFonts w:hint="eastAsia" w:ascii="仿宋" w:hAnsi="仿宋" w:eastAsia="仿宋" w:cs="Times New Roman"/>
          <w:color w:val="auto"/>
          <w:sz w:val="24"/>
          <w:szCs w:val="24"/>
          <w:lang w:eastAsia="zh-CN"/>
        </w:rPr>
        <w:t>20.</w:t>
      </w:r>
      <w:r>
        <w:rPr>
          <w:rFonts w:ascii="仿宋" w:hAnsi="仿宋" w:eastAsia="仿宋" w:cs="Times New Roman"/>
          <w:color w:val="auto"/>
          <w:sz w:val="24"/>
          <w:szCs w:val="24"/>
        </w:rPr>
        <w:t>7</w:t>
      </w:r>
      <w:r>
        <w:rPr>
          <w:rFonts w:hint="eastAsia" w:ascii="仿宋" w:hAnsi="仿宋" w:eastAsia="仿宋" w:cs="Times New Roman"/>
          <w:color w:val="auto"/>
          <w:sz w:val="24"/>
          <w:szCs w:val="24"/>
        </w:rPr>
        <w:t>投诉人不符合上述规定提起的投诉，监管部门不予受理。</w:t>
      </w:r>
    </w:p>
    <w:p w14:paraId="2210BA67">
      <w:pPr>
        <w:spacing w:line="360" w:lineRule="auto"/>
        <w:ind w:firstLine="560" w:firstLineChars="200"/>
        <w:outlineLvl w:val="2"/>
        <w:rPr>
          <w:rFonts w:hint="eastAsia" w:ascii="楷体" w:hAnsi="楷体" w:eastAsia="楷体" w:cs="Times New Roman"/>
          <w:color w:val="auto"/>
          <w:sz w:val="28"/>
          <w:szCs w:val="28"/>
        </w:rPr>
      </w:pPr>
      <w:bookmarkStart w:id="77" w:name="_Toc30519"/>
      <w:r>
        <w:rPr>
          <w:rFonts w:ascii="楷体" w:hAnsi="楷体" w:eastAsia="楷体" w:cs="Times New Roman"/>
          <w:color w:val="auto"/>
          <w:sz w:val="28"/>
          <w:szCs w:val="28"/>
        </w:rPr>
        <w:t>2</w:t>
      </w:r>
      <w:r>
        <w:rPr>
          <w:rFonts w:hint="eastAsia" w:ascii="楷体" w:hAnsi="楷体" w:eastAsia="楷体" w:cs="Times New Roman"/>
          <w:color w:val="auto"/>
          <w:sz w:val="28"/>
          <w:szCs w:val="28"/>
          <w:lang w:val="en-US" w:eastAsia="zh-CN"/>
        </w:rPr>
        <w:t>1</w:t>
      </w:r>
      <w:r>
        <w:rPr>
          <w:rFonts w:hint="eastAsia" w:ascii="楷体" w:hAnsi="楷体" w:eastAsia="楷体" w:cs="Times New Roman"/>
          <w:color w:val="auto"/>
          <w:sz w:val="28"/>
          <w:szCs w:val="28"/>
        </w:rPr>
        <w:t>.其他需补充的内容</w:t>
      </w:r>
      <w:bookmarkEnd w:id="72"/>
      <w:bookmarkEnd w:id="77"/>
    </w:p>
    <w:p w14:paraId="28C32765">
      <w:pPr>
        <w:rPr>
          <w:rFonts w:ascii="Times New Roman" w:hAnsi="Times New Roman" w:eastAsia="宋体" w:cs="Times New Roman"/>
          <w:color w:val="auto"/>
        </w:rPr>
      </w:pPr>
      <w:r>
        <w:rPr>
          <w:rFonts w:hint="eastAsia" w:ascii="仿宋" w:hAnsi="仿宋" w:eastAsia="仿宋" w:cs="Times New Roman"/>
          <w:color w:val="auto"/>
          <w:sz w:val="24"/>
          <w:szCs w:val="24"/>
        </w:rPr>
        <w:t>其他需补充的内容：见</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须知前附表。</w:t>
      </w:r>
    </w:p>
    <w:bookmarkEnd w:id="51"/>
    <w:bookmarkEnd w:id="52"/>
    <w:p w14:paraId="2087BA02">
      <w:pPr>
        <w:rPr>
          <w:rFonts w:hint="eastAsia" w:ascii="仿宋" w:hAnsi="仿宋" w:eastAsia="仿宋" w:cs="仿宋"/>
          <w:color w:val="auto"/>
          <w:sz w:val="24"/>
          <w:szCs w:val="24"/>
        </w:rPr>
        <w:sectPr>
          <w:pgSz w:w="11906" w:h="16838"/>
          <w:pgMar w:top="1134" w:right="1800" w:bottom="1134" w:left="1800" w:header="851" w:footer="992" w:gutter="0"/>
          <w:pgNumType w:fmt="decimal"/>
          <w:cols w:space="0" w:num="1"/>
          <w:rtlGutter w:val="0"/>
          <w:docGrid w:type="lines" w:linePitch="312" w:charSpace="0"/>
        </w:sectPr>
      </w:pPr>
      <w:r>
        <w:rPr>
          <w:rFonts w:hint="eastAsia" w:ascii="仿宋" w:hAnsi="仿宋" w:eastAsia="仿宋" w:cs="仿宋"/>
          <w:color w:val="auto"/>
          <w:sz w:val="24"/>
          <w:szCs w:val="24"/>
        </w:rPr>
        <w:br w:type="page"/>
      </w:r>
    </w:p>
    <w:p w14:paraId="2730C7AA">
      <w:pPr>
        <w:pStyle w:val="141"/>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附件：</w:t>
      </w:r>
    </w:p>
    <w:p w14:paraId="17135467">
      <w:pPr>
        <w:spacing w:line="380" w:lineRule="exact"/>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质疑函范本</w:t>
      </w:r>
    </w:p>
    <w:p w14:paraId="6011B540">
      <w:pPr>
        <w:adjustRightInd w:val="0"/>
        <w:snapToGrid w:val="0"/>
        <w:spacing w:before="318" w:beforeLines="100" w:line="380" w:lineRule="exact"/>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一、质疑供应商基本信息</w:t>
      </w:r>
    </w:p>
    <w:p w14:paraId="680688FF">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质疑供应商：</w:t>
      </w:r>
      <w:r>
        <w:rPr>
          <w:rFonts w:hint="eastAsia" w:ascii="仿宋" w:hAnsi="仿宋" w:eastAsia="仿宋" w:cs="仿宋"/>
          <w:color w:val="auto"/>
          <w:sz w:val="24"/>
          <w:szCs w:val="24"/>
          <w:u w:val="dotted"/>
        </w:rPr>
        <w:t xml:space="preserve">                                                              </w:t>
      </w:r>
    </w:p>
    <w:p w14:paraId="0E38FBC8">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dotted"/>
        </w:rPr>
        <w:t xml:space="preserve">                                    </w:t>
      </w:r>
    </w:p>
    <w:p w14:paraId="09024606">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dotted"/>
        </w:rPr>
        <w:t xml:space="preserve">                                       </w:t>
      </w:r>
    </w:p>
    <w:p w14:paraId="2BB9F24A">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授权代表：</w:t>
      </w:r>
      <w:r>
        <w:rPr>
          <w:rFonts w:hint="eastAsia" w:ascii="仿宋" w:hAnsi="仿宋" w:eastAsia="仿宋" w:cs="仿宋"/>
          <w:color w:val="auto"/>
          <w:sz w:val="24"/>
          <w:szCs w:val="24"/>
          <w:u w:val="dotted"/>
        </w:rPr>
        <w:t xml:space="preserve">                                                                 </w:t>
      </w:r>
    </w:p>
    <w:p w14:paraId="061D4FB8">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dotted"/>
        </w:rPr>
        <w:t xml:space="preserve">                                                                </w:t>
      </w:r>
    </w:p>
    <w:p w14:paraId="129D47DF">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dotted"/>
        </w:rPr>
        <w:t xml:space="preserve">                                     </w:t>
      </w:r>
    </w:p>
    <w:p w14:paraId="5BC533D1">
      <w:pPr>
        <w:adjustRightInd w:val="0"/>
        <w:snapToGrid w:val="0"/>
        <w:spacing w:line="380" w:lineRule="exact"/>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二、质疑项目基本情况</w:t>
      </w:r>
    </w:p>
    <w:p w14:paraId="6CF17958">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w:t>
      </w:r>
      <w:r>
        <w:rPr>
          <w:rFonts w:hint="eastAsia" w:ascii="仿宋" w:hAnsi="仿宋" w:eastAsia="仿宋" w:cs="仿宋"/>
          <w:color w:val="auto"/>
          <w:sz w:val="24"/>
          <w:szCs w:val="24"/>
          <w:u w:val="dotted"/>
        </w:rPr>
        <w:t xml:space="preserve">                                                          </w:t>
      </w:r>
    </w:p>
    <w:p w14:paraId="05AC613D">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包号：</w:t>
      </w:r>
      <w:r>
        <w:rPr>
          <w:rFonts w:hint="eastAsia" w:ascii="仿宋" w:hAnsi="仿宋" w:eastAsia="仿宋" w:cs="仿宋"/>
          <w:color w:val="auto"/>
          <w:sz w:val="24"/>
          <w:szCs w:val="24"/>
          <w:u w:val="dotted"/>
        </w:rPr>
        <w:t xml:space="preserve">                           </w:t>
      </w:r>
    </w:p>
    <w:p w14:paraId="45FA65E5">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u w:val="dotted"/>
        </w:rPr>
        <w:t xml:space="preserve">                                                              </w:t>
      </w:r>
    </w:p>
    <w:p w14:paraId="53BDD87D">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w:t>
      </w:r>
      <w:r>
        <w:rPr>
          <w:rFonts w:hint="eastAsia" w:ascii="仿宋" w:hAnsi="仿宋" w:eastAsia="仿宋" w:cs="仿宋"/>
          <w:color w:val="auto"/>
          <w:sz w:val="24"/>
          <w:szCs w:val="24"/>
          <w:u w:val="dotted"/>
        </w:rPr>
        <w:t xml:space="preserve">                                                        </w:t>
      </w:r>
    </w:p>
    <w:p w14:paraId="30AB1190">
      <w:pPr>
        <w:adjustRightInd w:val="0"/>
        <w:snapToGrid w:val="0"/>
        <w:spacing w:line="380" w:lineRule="exact"/>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三、质疑事项具体内容</w:t>
      </w:r>
    </w:p>
    <w:p w14:paraId="25A892BE">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质疑事项1：</w:t>
      </w:r>
      <w:r>
        <w:rPr>
          <w:rFonts w:hint="eastAsia" w:ascii="仿宋" w:hAnsi="仿宋" w:eastAsia="仿宋" w:cs="仿宋"/>
          <w:color w:val="auto"/>
          <w:sz w:val="24"/>
          <w:szCs w:val="24"/>
          <w:u w:val="dotted"/>
        </w:rPr>
        <w:t xml:space="preserve">                                                              </w:t>
      </w:r>
    </w:p>
    <w:p w14:paraId="7E163B21">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事实依据：</w:t>
      </w:r>
      <w:r>
        <w:rPr>
          <w:rFonts w:hint="eastAsia" w:ascii="仿宋" w:hAnsi="仿宋" w:eastAsia="仿宋" w:cs="仿宋"/>
          <w:color w:val="auto"/>
          <w:sz w:val="24"/>
          <w:szCs w:val="24"/>
          <w:u w:val="dotted"/>
        </w:rPr>
        <w:t xml:space="preserve">                                                                    </w:t>
      </w:r>
    </w:p>
    <w:p w14:paraId="61F08803">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法律依据：</w:t>
      </w:r>
      <w:r>
        <w:rPr>
          <w:rFonts w:hint="eastAsia" w:ascii="仿宋" w:hAnsi="仿宋" w:eastAsia="仿宋" w:cs="仿宋"/>
          <w:color w:val="auto"/>
          <w:sz w:val="24"/>
          <w:szCs w:val="24"/>
          <w:u w:val="dotted"/>
        </w:rPr>
        <w:t xml:space="preserve">                                                                    </w:t>
      </w:r>
    </w:p>
    <w:p w14:paraId="1E3654FA">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质疑事项2</w:t>
      </w:r>
    </w:p>
    <w:p w14:paraId="1E983E7B">
      <w:pPr>
        <w:adjustRightInd w:val="0"/>
        <w:snapToGrid w:val="0"/>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p>
    <w:p w14:paraId="6D6434E1">
      <w:pPr>
        <w:adjustRightInd w:val="0"/>
        <w:snapToGrid w:val="0"/>
        <w:spacing w:line="380" w:lineRule="exact"/>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四、与质疑事项相关的质疑请求</w:t>
      </w:r>
    </w:p>
    <w:p w14:paraId="25FABFCC">
      <w:pPr>
        <w:adjustRightInd w:val="0"/>
        <w:snapToGrid w:val="0"/>
        <w:spacing w:line="380" w:lineRule="exact"/>
        <w:rPr>
          <w:rFonts w:hint="eastAsia" w:ascii="仿宋" w:hAnsi="仿宋" w:eastAsia="仿宋" w:cs="仿宋"/>
          <w:color w:val="auto"/>
          <w:sz w:val="24"/>
          <w:szCs w:val="24"/>
          <w:u w:val="dotted"/>
        </w:rPr>
      </w:pPr>
      <w:r>
        <w:rPr>
          <w:rFonts w:hint="eastAsia" w:ascii="仿宋" w:hAnsi="仿宋" w:eastAsia="仿宋" w:cs="仿宋"/>
          <w:color w:val="auto"/>
          <w:sz w:val="24"/>
          <w:szCs w:val="24"/>
        </w:rPr>
        <w:t>请求：</w:t>
      </w:r>
      <w:r>
        <w:rPr>
          <w:rFonts w:hint="eastAsia" w:ascii="仿宋" w:hAnsi="仿宋" w:eastAsia="仿宋" w:cs="仿宋"/>
          <w:color w:val="auto"/>
          <w:sz w:val="24"/>
          <w:szCs w:val="24"/>
          <w:u w:val="dotted"/>
        </w:rPr>
        <w:t xml:space="preserve">                                                                     </w:t>
      </w:r>
    </w:p>
    <w:p w14:paraId="32509A63">
      <w:pPr>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签字(签章)：                   公章：                      </w:t>
      </w:r>
    </w:p>
    <w:p w14:paraId="0E98506F">
      <w:pPr>
        <w:spacing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日期：    </w:t>
      </w:r>
    </w:p>
    <w:p w14:paraId="4013409A">
      <w:pPr>
        <w:spacing w:line="380" w:lineRule="exact"/>
        <w:rPr>
          <w:rFonts w:hint="eastAsia" w:ascii="仿宋" w:hAnsi="仿宋" w:eastAsia="仿宋" w:cs="仿宋"/>
          <w:b/>
          <w:color w:val="auto"/>
          <w:sz w:val="24"/>
          <w:szCs w:val="24"/>
        </w:rPr>
      </w:pPr>
    </w:p>
    <w:p w14:paraId="04A3AAB3">
      <w:pPr>
        <w:spacing w:line="38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质疑函制作说明：</w:t>
      </w:r>
    </w:p>
    <w:p w14:paraId="3749DBC7">
      <w:pPr>
        <w:widowControl/>
        <w:spacing w:line="3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1.供应商提出质疑时，应提交质疑函和必要的证明材料。</w:t>
      </w:r>
    </w:p>
    <w:p w14:paraId="33A5B314">
      <w:pPr>
        <w:widowControl/>
        <w:spacing w:line="3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rPr>
        <w:t>供应商签署的授权委托书。授权委托书应载明代理人的姓名或者名称、代理事项、具体权限、期限和相关事项。</w:t>
      </w:r>
    </w:p>
    <w:p w14:paraId="50019527">
      <w:pPr>
        <w:widowControl/>
        <w:spacing w:line="3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3.质疑供应商若对项目的某一分包进行质疑，质疑函中应列明具体分包号。</w:t>
      </w:r>
    </w:p>
    <w:p w14:paraId="187D0D41">
      <w:pPr>
        <w:widowControl/>
        <w:spacing w:line="3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4.质疑函的质疑事项应具体、明确，并有必要的事实依据和法律依据。</w:t>
      </w:r>
    </w:p>
    <w:p w14:paraId="2A70619C">
      <w:pPr>
        <w:widowControl/>
        <w:spacing w:line="3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5.质疑函的质疑请求应与质疑事项相关。</w:t>
      </w:r>
    </w:p>
    <w:p w14:paraId="5CA3A5F0">
      <w:pPr>
        <w:pStyle w:val="13"/>
        <w:tabs>
          <w:tab w:val="left" w:pos="0"/>
        </w:tabs>
        <w:spacing w:line="240" w:lineRule="auto"/>
        <w:ind w:left="0" w:leftChars="0" w:firstLine="480" w:firstLineChars="0"/>
        <w:jc w:val="left"/>
        <w:outlineLvl w:val="9"/>
        <w:rPr>
          <w:rFonts w:hint="eastAsia" w:ascii="仿宋" w:hAnsi="仿宋" w:eastAsia="仿宋" w:cs="仿宋"/>
          <w:color w:val="auto"/>
          <w:sz w:val="24"/>
          <w:szCs w:val="24"/>
          <w:lang w:eastAsia="zh-CN"/>
        </w:rPr>
        <w:sectPr>
          <w:pgSz w:w="11906" w:h="16838"/>
          <w:pgMar w:top="1134" w:right="1800" w:bottom="1134" w:left="1800" w:header="851" w:footer="992" w:gutter="0"/>
          <w:pgNumType w:fmt="decimal"/>
          <w:cols w:space="0" w:num="1"/>
          <w:rtlGutter w:val="0"/>
          <w:docGrid w:type="lines" w:linePitch="312" w:charSpace="0"/>
        </w:sectPr>
      </w:pPr>
      <w:r>
        <w:rPr>
          <w:rFonts w:hint="eastAsia" w:ascii="仿宋" w:hAnsi="仿宋" w:eastAsia="仿宋" w:cs="仿宋"/>
          <w:color w:val="auto"/>
          <w:sz w:val="24"/>
          <w:szCs w:val="24"/>
        </w:rPr>
        <w:t>6.质疑供应商为自然人的，质疑函应由本人签字；质疑供应商为法人或者其他组织的，质疑函应由法定代表人、主要负责人，或者其授权代表签字或者盖章，并</w:t>
      </w:r>
      <w:r>
        <w:rPr>
          <w:rFonts w:hint="eastAsia" w:ascii="仿宋" w:hAnsi="仿宋" w:eastAsia="仿宋" w:cs="仿宋"/>
          <w:color w:val="auto"/>
          <w:sz w:val="24"/>
          <w:szCs w:val="24"/>
          <w:lang w:val="en-US" w:eastAsia="zh-CN"/>
        </w:rPr>
        <w:t>提供营业执照扫描件、法人身份证扫描件、如有委托人的需提供委托人身份证扫描件</w:t>
      </w:r>
      <w:r>
        <w:rPr>
          <w:rFonts w:hint="eastAsia" w:ascii="仿宋" w:hAnsi="仿宋" w:eastAsia="仿宋" w:cs="仿宋"/>
          <w:color w:val="auto"/>
          <w:sz w:val="24"/>
          <w:szCs w:val="24"/>
        </w:rPr>
        <w:t>加盖公章</w:t>
      </w:r>
      <w:r>
        <w:rPr>
          <w:rFonts w:hint="eastAsia" w:ascii="仿宋" w:hAnsi="仿宋" w:eastAsia="仿宋" w:cs="仿宋"/>
          <w:color w:val="auto"/>
          <w:sz w:val="24"/>
          <w:szCs w:val="24"/>
          <w:lang w:eastAsia="zh-CN"/>
        </w:rPr>
        <w:t>。</w:t>
      </w:r>
    </w:p>
    <w:p w14:paraId="7E6BEF68">
      <w:pPr>
        <w:keepNext w:val="0"/>
        <w:keepLines w:val="0"/>
        <w:pageBreakBefore w:val="0"/>
        <w:widowControl w:val="0"/>
        <w:numPr>
          <w:ilvl w:val="0"/>
          <w:numId w:val="0"/>
        </w:numPr>
        <w:kinsoku/>
        <w:wordWrap/>
        <w:overflowPunct/>
        <w:topLinePunct w:val="0"/>
        <w:autoSpaceDE/>
        <w:autoSpaceDN/>
        <w:bidi w:val="0"/>
        <w:adjustRightInd/>
        <w:snapToGrid/>
        <w:spacing w:after="156" w:afterLines="50" w:line="300" w:lineRule="atLeast"/>
        <w:ind w:leftChars="0"/>
        <w:jc w:val="center"/>
        <w:textAlignment w:val="auto"/>
        <w:outlineLvl w:val="0"/>
        <w:rPr>
          <w:rFonts w:hint="eastAsia" w:ascii="仿宋" w:hAnsi="仿宋" w:eastAsia="仿宋" w:cs="仿宋"/>
          <w:b/>
          <w:bCs/>
          <w:color w:val="auto"/>
          <w:sz w:val="36"/>
          <w:szCs w:val="36"/>
        </w:rPr>
      </w:pPr>
      <w:bookmarkStart w:id="78" w:name="_Toc31544"/>
      <w:bookmarkStart w:id="79" w:name="_Toc18821"/>
      <w:r>
        <w:rPr>
          <w:rFonts w:hint="eastAsia" w:ascii="仿宋" w:hAnsi="仿宋" w:eastAsia="仿宋" w:cs="仿宋"/>
          <w:b/>
          <w:bCs/>
          <w:color w:val="auto"/>
          <w:sz w:val="36"/>
          <w:szCs w:val="36"/>
          <w:lang w:val="en-US" w:eastAsia="zh-CN"/>
        </w:rPr>
        <w:t xml:space="preserve">第三章 </w:t>
      </w:r>
      <w:r>
        <w:rPr>
          <w:rFonts w:hint="eastAsia" w:ascii="仿宋" w:hAnsi="仿宋" w:eastAsia="仿宋" w:cs="仿宋"/>
          <w:b/>
          <w:bCs/>
          <w:color w:val="auto"/>
          <w:sz w:val="36"/>
          <w:szCs w:val="36"/>
        </w:rPr>
        <w:t xml:space="preserve"> 采购需求</w:t>
      </w:r>
      <w:bookmarkEnd w:id="78"/>
      <w:bookmarkEnd w:id="79"/>
      <w:bookmarkStart w:id="80" w:name="_Toc494455916"/>
      <w:bookmarkStart w:id="81" w:name="_Toc6661"/>
      <w:bookmarkStart w:id="82" w:name="_Toc2308"/>
    </w:p>
    <w:p w14:paraId="1F20587A">
      <w:pPr>
        <w:spacing w:afterLines="50" w:line="400" w:lineRule="exact"/>
        <w:ind w:firstLine="560" w:firstLineChars="200"/>
        <w:outlineLvl w:val="2"/>
        <w:rPr>
          <w:rFonts w:ascii="楷体" w:hAnsi="楷体" w:eastAsia="楷体"/>
          <w:color w:val="auto"/>
          <w:sz w:val="28"/>
          <w:szCs w:val="28"/>
          <w:highlight w:val="none"/>
        </w:rPr>
      </w:pPr>
      <w:bookmarkStart w:id="83" w:name="_Toc5012"/>
      <w:bookmarkStart w:id="84" w:name="_Toc494455913"/>
      <w:bookmarkStart w:id="85" w:name="_Toc17099"/>
      <w:bookmarkStart w:id="86" w:name="_Toc4942"/>
      <w:r>
        <w:rPr>
          <w:rFonts w:hint="eastAsia" w:ascii="楷体" w:hAnsi="楷体" w:eastAsia="楷体"/>
          <w:color w:val="auto"/>
          <w:sz w:val="28"/>
          <w:szCs w:val="28"/>
          <w:highlight w:val="none"/>
        </w:rPr>
        <w:t>1.项目说明</w:t>
      </w:r>
      <w:bookmarkEnd w:id="83"/>
      <w:bookmarkEnd w:id="84"/>
      <w:bookmarkEnd w:id="85"/>
      <w:bookmarkEnd w:id="86"/>
    </w:p>
    <w:p w14:paraId="271CE24A">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1.1本章内容是根据采购项目的实际需求制定的。</w:t>
      </w:r>
    </w:p>
    <w:p w14:paraId="1255C211">
      <w:pPr>
        <w:spacing w:after="156" w:afterLines="50" w:line="400" w:lineRule="exact"/>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所价格应为含税全包价，包含提供相关服务的所有费用，合同存续期间采购人不额外支付任何费用。</w:t>
      </w:r>
    </w:p>
    <w:p w14:paraId="3F4CE313">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ind w:firstLine="560" w:firstLineChars="200"/>
        <w:textAlignment w:val="auto"/>
        <w:outlineLvl w:val="2"/>
        <w:rPr>
          <w:rFonts w:hint="eastAsia" w:ascii="楷体" w:hAnsi="楷体" w:eastAsia="楷体"/>
          <w:color w:val="auto"/>
          <w:sz w:val="28"/>
          <w:szCs w:val="28"/>
          <w:highlight w:val="none"/>
          <w:lang w:eastAsia="zh-CN"/>
        </w:rPr>
      </w:pPr>
      <w:r>
        <w:rPr>
          <w:rFonts w:hint="eastAsia" w:ascii="楷体" w:hAnsi="楷体" w:eastAsia="楷体" w:cs="Times New Roman"/>
          <w:sz w:val="28"/>
          <w:szCs w:val="28"/>
          <w:lang w:val="en-US" w:eastAsia="zh-CN"/>
        </w:rPr>
        <w:t>2.</w:t>
      </w:r>
      <w:bookmarkStart w:id="87" w:name="_Toc19722"/>
      <w:bookmarkStart w:id="88" w:name="_Toc20906"/>
      <w:r>
        <w:rPr>
          <w:rFonts w:hint="eastAsia" w:ascii="楷体" w:hAnsi="楷体" w:eastAsia="楷体"/>
          <w:color w:val="auto"/>
          <w:sz w:val="28"/>
          <w:szCs w:val="28"/>
          <w:highlight w:val="none"/>
          <w:lang w:val="en-US" w:eastAsia="zh-CN"/>
        </w:rPr>
        <w:t>服务</w:t>
      </w:r>
      <w:bookmarkEnd w:id="87"/>
      <w:bookmarkEnd w:id="88"/>
      <w:r>
        <w:rPr>
          <w:rFonts w:hint="eastAsia" w:ascii="楷体" w:hAnsi="楷体" w:eastAsia="楷体"/>
          <w:color w:val="auto"/>
          <w:sz w:val="28"/>
          <w:szCs w:val="28"/>
          <w:highlight w:val="none"/>
          <w:lang w:val="en-US" w:eastAsia="zh-CN"/>
        </w:rPr>
        <w:t>内容</w:t>
      </w:r>
      <w:r>
        <w:rPr>
          <w:rFonts w:hint="eastAsia" w:ascii="仿宋" w:hAnsi="Times New Roman" w:eastAsia="仿宋" w:cs="仿宋"/>
          <w:color w:val="auto"/>
          <w:sz w:val="24"/>
          <w:lang w:val="zh-CN"/>
        </w:rPr>
        <w:t>★</w:t>
      </w:r>
    </w:p>
    <w:p w14:paraId="7FAC2FA6">
      <w:pPr>
        <w:spacing w:after="156" w:afterLines="50" w:line="400" w:lineRule="exact"/>
        <w:ind w:firstLine="482" w:firstLineChars="200"/>
        <w:outlineLvl w:val="9"/>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根据《农业农村部办公厅关于全面实施农技推广服务特聘计划的通知》精神，从50个村级农技服务站原有特聘农技员中续聘51名特聘农技员，签订《村特聘农技员协议书》、《村级农技推广特聘计划项目(51名特聘农技员劳务补助发放服务)合同》等相关协议，通过招投标方式，聘请第三方管理，劳务补助资金由第三方发放，接受第三方考核，每年对村特聘农技员绩效考核2次，实时掌握特聘农技员工作情况，根据考核及实际工作情况对农技人员发放劳务补助1000元/人/月</w:t>
      </w:r>
    </w:p>
    <w:p w14:paraId="350E2803">
      <w:pPr>
        <w:spacing w:line="360" w:lineRule="auto"/>
        <w:ind w:left="479" w:leftChars="228" w:firstLine="0" w:firstLineChars="0"/>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3.商务条件</w:t>
      </w:r>
      <w:r>
        <w:rPr>
          <w:rFonts w:hint="eastAsia" w:ascii="仿宋" w:hAnsi="Times New Roman" w:eastAsia="仿宋" w:cs="仿宋"/>
          <w:color w:val="auto"/>
          <w:sz w:val="24"/>
          <w:lang w:val="zh-CN"/>
        </w:rPr>
        <w:t>★</w:t>
      </w:r>
    </w:p>
    <w:p w14:paraId="3FB75FAF">
      <w:pPr>
        <w:spacing w:line="400" w:lineRule="exact"/>
        <w:ind w:firstLine="480" w:firstLineChars="200"/>
        <w:rPr>
          <w:rFonts w:hint="eastAsia" w:ascii="仿宋" w:eastAsia="仿宋" w:cs="仿宋"/>
          <w:color w:val="auto"/>
          <w:sz w:val="24"/>
          <w:lang w:val="en-US" w:eastAsia="zh-CN"/>
        </w:rPr>
      </w:pPr>
      <w:r>
        <w:rPr>
          <w:rFonts w:hint="eastAsia" w:ascii="仿宋" w:hAnsi="仿宋" w:eastAsia="仿宋"/>
          <w:sz w:val="24"/>
          <w:szCs w:val="24"/>
        </w:rPr>
        <w:t>3</w:t>
      </w:r>
      <w:r>
        <w:rPr>
          <w:rFonts w:hint="eastAsia" w:ascii="仿宋" w:eastAsia="仿宋" w:cs="仿宋"/>
          <w:color w:val="auto"/>
          <w:sz w:val="24"/>
          <w:lang w:val="zh-CN"/>
        </w:rPr>
        <w:t>.1</w:t>
      </w:r>
      <w:r>
        <w:rPr>
          <w:rFonts w:hint="eastAsia" w:ascii="仿宋" w:eastAsia="仿宋" w:cs="仿宋"/>
          <w:color w:val="auto"/>
          <w:sz w:val="24"/>
          <w:lang w:val="en-US" w:eastAsia="zh-CN"/>
        </w:rPr>
        <w:t>服务期</w:t>
      </w:r>
    </w:p>
    <w:p w14:paraId="2DCAB3A3">
      <w:pPr>
        <w:spacing w:line="400" w:lineRule="exact"/>
        <w:ind w:firstLine="480" w:firstLineChars="200"/>
        <w:rPr>
          <w:rFonts w:hint="eastAsia" w:ascii="仿宋" w:eastAsia="仿宋" w:cs="仿宋"/>
          <w:color w:val="auto"/>
          <w:sz w:val="24"/>
          <w:u w:val="single"/>
          <w:lang w:val="en-US" w:eastAsia="zh-CN"/>
        </w:rPr>
      </w:pPr>
      <w:r>
        <w:rPr>
          <w:rFonts w:hint="eastAsia" w:ascii="仿宋" w:eastAsia="仿宋" w:cs="仿宋"/>
          <w:color w:val="auto"/>
          <w:sz w:val="24"/>
          <w:u w:val="single"/>
          <w:lang w:val="en-US" w:eastAsia="zh-CN"/>
        </w:rPr>
        <w:t>自合同签订之日起18个月</w:t>
      </w:r>
    </w:p>
    <w:p w14:paraId="0E9C38B9">
      <w:pPr>
        <w:spacing w:line="400" w:lineRule="exact"/>
        <w:ind w:firstLine="480" w:firstLineChars="200"/>
        <w:rPr>
          <w:rFonts w:hint="eastAsia" w:ascii="仿宋" w:eastAsia="仿宋" w:cs="仿宋"/>
          <w:color w:val="auto"/>
          <w:sz w:val="24"/>
          <w:lang w:val="zh-CN"/>
        </w:rPr>
      </w:pPr>
      <w:r>
        <w:rPr>
          <w:rFonts w:hint="eastAsia" w:ascii="仿宋" w:eastAsia="仿宋" w:cs="仿宋"/>
          <w:color w:val="auto"/>
          <w:sz w:val="24"/>
          <w:lang w:val="zh-CN"/>
        </w:rPr>
        <w:t>3.2</w:t>
      </w:r>
      <w:r>
        <w:rPr>
          <w:rFonts w:hint="eastAsia" w:ascii="仿宋" w:eastAsia="仿宋" w:cs="仿宋"/>
          <w:color w:val="auto"/>
          <w:sz w:val="24"/>
          <w:lang w:val="en-US" w:eastAsia="zh-CN"/>
        </w:rPr>
        <w:t>服务</w:t>
      </w:r>
      <w:r>
        <w:rPr>
          <w:rFonts w:hint="eastAsia" w:ascii="仿宋" w:eastAsia="仿宋" w:cs="仿宋"/>
          <w:color w:val="auto"/>
          <w:sz w:val="24"/>
          <w:lang w:val="zh-CN"/>
        </w:rPr>
        <w:t>地点</w:t>
      </w:r>
    </w:p>
    <w:p w14:paraId="378D47F2">
      <w:pPr>
        <w:spacing w:line="400" w:lineRule="exact"/>
        <w:ind w:firstLine="480" w:firstLineChars="200"/>
        <w:rPr>
          <w:rFonts w:hint="eastAsia" w:ascii="仿宋" w:eastAsia="仿宋" w:cs="仿宋"/>
          <w:color w:val="auto"/>
          <w:sz w:val="24"/>
          <w:u w:val="single"/>
          <w:lang w:val="zh-CN"/>
        </w:rPr>
      </w:pPr>
      <w:r>
        <w:rPr>
          <w:rFonts w:hint="eastAsia" w:ascii="仿宋" w:eastAsia="仿宋" w:cs="仿宋"/>
          <w:color w:val="auto"/>
          <w:sz w:val="24"/>
          <w:u w:val="single"/>
          <w:lang w:val="en-US" w:eastAsia="zh-CN"/>
        </w:rPr>
        <w:t>按甲乙双方合同中约定为准</w:t>
      </w:r>
    </w:p>
    <w:p w14:paraId="1BD49823">
      <w:pPr>
        <w:spacing w:line="400" w:lineRule="exact"/>
        <w:ind w:firstLine="480" w:firstLineChars="200"/>
        <w:rPr>
          <w:rFonts w:hint="eastAsia" w:ascii="仿宋" w:eastAsia="仿宋" w:cs="仿宋"/>
          <w:color w:val="auto"/>
          <w:sz w:val="24"/>
          <w:lang w:val="zh-CN"/>
        </w:rPr>
      </w:pPr>
      <w:r>
        <w:rPr>
          <w:rFonts w:hint="eastAsia" w:ascii="仿宋" w:eastAsia="仿宋" w:cs="仿宋"/>
          <w:color w:val="auto"/>
          <w:sz w:val="24"/>
          <w:lang w:val="zh-CN"/>
        </w:rPr>
        <w:t>3.3付款方式</w:t>
      </w:r>
    </w:p>
    <w:p w14:paraId="0435D52D">
      <w:pPr>
        <w:spacing w:line="400" w:lineRule="exact"/>
        <w:ind w:firstLine="480" w:firstLineChars="200"/>
        <w:rPr>
          <w:rFonts w:hint="eastAsia" w:ascii="仿宋" w:eastAsia="仿宋" w:cs="仿宋"/>
          <w:color w:val="auto"/>
          <w:sz w:val="24"/>
          <w:lang w:val="en-US" w:eastAsia="zh-CN"/>
        </w:rPr>
      </w:pPr>
      <w:bookmarkStart w:id="89" w:name="_Toc30513"/>
      <w:bookmarkStart w:id="90" w:name="_Toc17736"/>
      <w:r>
        <w:rPr>
          <w:rFonts w:hint="eastAsia" w:ascii="仿宋" w:eastAsia="仿宋" w:cs="仿宋"/>
          <w:color w:val="auto"/>
          <w:sz w:val="24"/>
          <w:u w:val="single"/>
          <w:lang w:val="en-US" w:eastAsia="zh-CN"/>
        </w:rPr>
        <w:t>按甲乙双方合同中约定为准</w:t>
      </w:r>
    </w:p>
    <w:p w14:paraId="617BEDD5">
      <w:pPr>
        <w:spacing w:line="400" w:lineRule="exact"/>
        <w:ind w:firstLine="480" w:firstLineChars="200"/>
        <w:rPr>
          <w:rFonts w:hint="default" w:ascii="仿宋" w:eastAsia="仿宋" w:cs="仿宋"/>
          <w:color w:val="auto"/>
          <w:sz w:val="24"/>
          <w:lang w:val="en-US" w:eastAsia="zh-CN"/>
        </w:rPr>
      </w:pPr>
      <w:r>
        <w:rPr>
          <w:rFonts w:hint="eastAsia" w:ascii="仿宋" w:eastAsia="仿宋" w:cs="仿宋"/>
          <w:color w:val="auto"/>
          <w:sz w:val="24"/>
          <w:lang w:val="en-US" w:eastAsia="zh-CN"/>
        </w:rPr>
        <w:t>3.4</w:t>
      </w:r>
      <w:r>
        <w:rPr>
          <w:rFonts w:hint="default" w:ascii="仿宋" w:eastAsia="仿宋" w:cs="仿宋"/>
          <w:color w:val="auto"/>
          <w:sz w:val="24"/>
          <w:lang w:val="en-US" w:eastAsia="zh-CN"/>
        </w:rPr>
        <w:t>服务质量目标：</w:t>
      </w:r>
      <w:r>
        <w:rPr>
          <w:rFonts w:hint="default" w:ascii="仿宋" w:eastAsia="仿宋" w:cs="仿宋"/>
          <w:color w:val="auto"/>
          <w:sz w:val="24"/>
          <w:u w:val="single"/>
          <w:lang w:val="en-US" w:eastAsia="zh-CN"/>
        </w:rPr>
        <w:t>满足采购需求所要求的内容</w:t>
      </w:r>
    </w:p>
    <w:bookmarkEnd w:id="89"/>
    <w:bookmarkEnd w:id="90"/>
    <w:p w14:paraId="47307068">
      <w:pPr>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服务成果验收</w:t>
      </w:r>
    </w:p>
    <w:p w14:paraId="79A0BF94">
      <w:pPr>
        <w:spacing w:line="400" w:lineRule="exact"/>
        <w:ind w:firstLine="480" w:firstLineChars="200"/>
        <w:rPr>
          <w:rFonts w:hint="eastAsia" w:ascii="仿宋" w:hAnsi="仿宋" w:eastAsia="仿宋"/>
          <w:color w:val="auto"/>
          <w:sz w:val="24"/>
          <w:szCs w:val="24"/>
        </w:rPr>
      </w:pPr>
      <w:r>
        <w:rPr>
          <w:rFonts w:hint="eastAsia" w:ascii="仿宋" w:eastAsia="仿宋" w:cs="仿宋"/>
          <w:color w:val="auto"/>
          <w:sz w:val="24"/>
          <w:lang w:val="zh-CN"/>
        </w:rPr>
        <w:t>服务期满或完成服务成果后，招标人应对服务的成果进行详细而全面的检验。招标人有权限根据检验结果要求中标人立即更换或者提出索赔要求。检验合格后，由招标人组成的验收小组签署验收报告，作为付款凭据之一。</w:t>
      </w:r>
    </w:p>
    <w:p w14:paraId="6C7C26C4">
      <w:pPr>
        <w:spacing w:line="400" w:lineRule="exact"/>
        <w:ind w:firstLine="480" w:firstLineChars="200"/>
        <w:rPr>
          <w:rFonts w:hint="eastAsia" w:ascii="仿宋" w:hAnsi="Times New Roman" w:eastAsia="仿宋" w:cs="仿宋"/>
          <w:color w:val="auto"/>
          <w:sz w:val="24"/>
          <w:lang w:val="zh-CN"/>
        </w:rPr>
      </w:pPr>
      <w:r>
        <w:rPr>
          <w:rFonts w:hint="eastAsia" w:ascii="仿宋" w:hAnsi="Times New Roman" w:eastAsia="仿宋" w:cs="仿宋"/>
          <w:color w:val="auto"/>
          <w:sz w:val="24"/>
          <w:lang w:val="zh-CN"/>
        </w:rPr>
        <w:t>注：上述要求以及标注中：</w:t>
      </w:r>
    </w:p>
    <w:p w14:paraId="050F6C25">
      <w:pPr>
        <w:spacing w:line="400" w:lineRule="exact"/>
        <w:ind w:firstLine="480" w:firstLineChars="200"/>
        <w:rPr>
          <w:rFonts w:hint="eastAsia" w:ascii="仿宋" w:hAnsi="Times New Roman" w:eastAsia="仿宋" w:cs="仿宋"/>
          <w:color w:val="auto"/>
          <w:sz w:val="24"/>
          <w:lang w:val="zh-CN" w:eastAsia="zh-CN"/>
        </w:rPr>
      </w:pPr>
      <w:r>
        <w:rPr>
          <w:rFonts w:hint="eastAsia" w:ascii="仿宋" w:hAnsi="Times New Roman" w:eastAsia="仿宋" w:cs="仿宋"/>
          <w:color w:val="auto"/>
          <w:sz w:val="24"/>
          <w:lang w:val="zh-CN"/>
        </w:rPr>
        <w:t>带“★”条款为实质性条款，投标人必须按照招标文件的要求做出实质性投标。</w:t>
      </w:r>
    </w:p>
    <w:p w14:paraId="7094A763">
      <w:pPr>
        <w:spacing w:line="360" w:lineRule="auto"/>
        <w:ind w:firstLine="482" w:firstLineChars="200"/>
        <w:jc w:val="both"/>
        <w:outlineLvl w:val="9"/>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备注：其他未尽事宜在合同中约定。</w:t>
      </w:r>
    </w:p>
    <w:p w14:paraId="24525A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kern w:val="2"/>
          <w:sz w:val="24"/>
          <w:szCs w:val="24"/>
          <w:lang w:val="en-US" w:eastAsia="zh-CN" w:bidi="ar-SA"/>
        </w:rPr>
      </w:pPr>
    </w:p>
    <w:p w14:paraId="08088C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kern w:val="2"/>
          <w:sz w:val="24"/>
          <w:szCs w:val="24"/>
          <w:lang w:val="en-US" w:eastAsia="zh-CN" w:bidi="ar-SA"/>
        </w:rPr>
      </w:pPr>
    </w:p>
    <w:p w14:paraId="58EE43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kern w:val="2"/>
          <w:sz w:val="24"/>
          <w:szCs w:val="24"/>
          <w:lang w:val="en-US" w:eastAsia="zh-CN" w:bidi="ar-SA"/>
        </w:rPr>
      </w:pPr>
    </w:p>
    <w:p w14:paraId="0687BCEB">
      <w:pPr>
        <w:numPr>
          <w:ilvl w:val="0"/>
          <w:numId w:val="8"/>
        </w:numPr>
        <w:spacing w:line="360" w:lineRule="auto"/>
        <w:jc w:val="center"/>
        <w:outlineLvl w:val="0"/>
        <w:rPr>
          <w:rFonts w:hint="eastAsia" w:ascii="仿宋" w:hAnsi="仿宋" w:eastAsia="仿宋" w:cs="仿宋"/>
          <w:b/>
          <w:bCs/>
          <w:color w:val="auto"/>
          <w:sz w:val="36"/>
          <w:szCs w:val="36"/>
        </w:rPr>
      </w:pPr>
      <w:bookmarkStart w:id="91" w:name="_Toc13718"/>
      <w:r>
        <w:rPr>
          <w:rFonts w:hint="eastAsia" w:ascii="仿宋" w:hAnsi="仿宋" w:eastAsia="仿宋" w:cs="仿宋"/>
          <w:b/>
          <w:bCs/>
          <w:color w:val="auto"/>
          <w:sz w:val="36"/>
          <w:szCs w:val="36"/>
        </w:rPr>
        <w:t xml:space="preserve"> 评</w:t>
      </w:r>
      <w:r>
        <w:rPr>
          <w:rFonts w:hint="eastAsia" w:ascii="仿宋" w:hAnsi="仿宋" w:eastAsia="仿宋" w:cs="仿宋"/>
          <w:b/>
          <w:bCs/>
          <w:color w:val="auto"/>
          <w:sz w:val="36"/>
          <w:szCs w:val="36"/>
          <w:lang w:eastAsia="zh-CN"/>
        </w:rPr>
        <w:t>审</w:t>
      </w:r>
      <w:r>
        <w:rPr>
          <w:rFonts w:hint="eastAsia" w:ascii="仿宋" w:hAnsi="仿宋" w:eastAsia="仿宋" w:cs="仿宋"/>
          <w:b/>
          <w:bCs/>
          <w:color w:val="auto"/>
          <w:sz w:val="36"/>
          <w:szCs w:val="36"/>
        </w:rPr>
        <w:t>办法</w:t>
      </w:r>
      <w:bookmarkEnd w:id="80"/>
      <w:bookmarkEnd w:id="81"/>
      <w:bookmarkEnd w:id="82"/>
      <w:bookmarkEnd w:id="91"/>
    </w:p>
    <w:p w14:paraId="1084F438">
      <w:pPr>
        <w:spacing w:line="240" w:lineRule="auto"/>
        <w:ind w:firstLine="0" w:firstLineChars="0"/>
        <w:outlineLvl w:val="2"/>
        <w:rPr>
          <w:rFonts w:ascii="楷体" w:hAnsi="楷体" w:eastAsia="楷体"/>
          <w:color w:val="auto"/>
          <w:sz w:val="28"/>
          <w:szCs w:val="28"/>
          <w:highlight w:val="none"/>
        </w:rPr>
      </w:pPr>
      <w:bookmarkStart w:id="92" w:name="_Toc22376"/>
      <w:bookmarkStart w:id="93" w:name="_Toc519082493"/>
      <w:bookmarkStart w:id="94" w:name="_Toc32450"/>
      <w:r>
        <w:rPr>
          <w:rFonts w:hint="eastAsia" w:ascii="楷体" w:hAnsi="楷体" w:eastAsia="楷体"/>
          <w:color w:val="auto"/>
          <w:sz w:val="28"/>
          <w:szCs w:val="28"/>
          <w:highlight w:val="none"/>
        </w:rPr>
        <w:t>1.相关要求</w:t>
      </w:r>
      <w:bookmarkEnd w:id="92"/>
      <w:bookmarkEnd w:id="93"/>
      <w:bookmarkEnd w:id="94"/>
    </w:p>
    <w:p w14:paraId="0D490A85">
      <w:pPr>
        <w:spacing w:line="400" w:lineRule="exact"/>
        <w:ind w:firstLine="480" w:firstLineChars="200"/>
        <w:rPr>
          <w:rFonts w:ascii="仿宋" w:hAnsi="仿宋" w:eastAsia="仿宋"/>
          <w:color w:val="auto"/>
          <w:sz w:val="24"/>
          <w:szCs w:val="24"/>
          <w:highlight w:val="none"/>
        </w:rPr>
      </w:pPr>
      <w:bookmarkStart w:id="95" w:name="_Toc494455918"/>
      <w:r>
        <w:rPr>
          <w:rFonts w:ascii="仿宋" w:hAnsi="仿宋" w:eastAsia="仿宋"/>
          <w:color w:val="auto"/>
          <w:sz w:val="24"/>
          <w:szCs w:val="24"/>
          <w:highlight w:val="none"/>
        </w:rPr>
        <w:t>1.1技术汇总得分的计算方法：</w:t>
      </w:r>
      <w:r>
        <w:rPr>
          <w:rFonts w:hint="eastAsia" w:ascii="仿宋" w:hAnsi="仿宋" w:eastAsia="仿宋"/>
          <w:color w:val="auto"/>
          <w:sz w:val="24"/>
          <w:szCs w:val="24"/>
          <w:highlight w:val="none"/>
          <w:lang w:eastAsia="zh-CN"/>
        </w:rPr>
        <w:t>磋商小组</w:t>
      </w:r>
      <w:r>
        <w:rPr>
          <w:rFonts w:ascii="仿宋" w:hAnsi="仿宋" w:eastAsia="仿宋"/>
          <w:color w:val="auto"/>
          <w:sz w:val="24"/>
          <w:szCs w:val="24"/>
          <w:highlight w:val="none"/>
        </w:rPr>
        <w:t>成员技术评分的算术平均值。</w:t>
      </w:r>
    </w:p>
    <w:p w14:paraId="6F76A007">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1.2</w:t>
      </w:r>
      <w:r>
        <w:rPr>
          <w:rFonts w:hint="eastAsia" w:ascii="仿宋" w:hAnsi="仿宋" w:eastAsia="仿宋"/>
          <w:color w:val="auto"/>
          <w:sz w:val="24"/>
          <w:szCs w:val="24"/>
          <w:highlight w:val="none"/>
        </w:rPr>
        <w:t>同类项目”是指</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已经完成的与本次采购要求相同或者类同的服务，并且签订合同一方必须是</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，以相同或者类同部分的合同金额为准</w:t>
      </w:r>
      <w:r>
        <w:rPr>
          <w:rFonts w:ascii="仿宋" w:hAnsi="仿宋" w:eastAsia="仿宋"/>
          <w:color w:val="auto"/>
          <w:sz w:val="24"/>
          <w:szCs w:val="24"/>
          <w:highlight w:val="none"/>
        </w:rPr>
        <w:t>。</w:t>
      </w:r>
    </w:p>
    <w:p w14:paraId="1683C58A">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1.3执行国家统一定价标准和采用固定价格采购的项目，其价格不列为评审因素。</w:t>
      </w:r>
    </w:p>
    <w:p w14:paraId="4E46CF0E">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4</w:t>
      </w:r>
      <w:r>
        <w:rPr>
          <w:rFonts w:ascii="仿宋" w:hAnsi="仿宋" w:eastAsia="仿宋"/>
          <w:color w:val="auto"/>
          <w:sz w:val="24"/>
          <w:szCs w:val="24"/>
          <w:highlight w:val="none"/>
        </w:rPr>
        <w:t>评分得分非整数的保留小数点后两位（小数点后第三位数四舍五入）。</w:t>
      </w:r>
    </w:p>
    <w:p w14:paraId="4BA87ECA">
      <w:pPr>
        <w:spacing w:line="240" w:lineRule="auto"/>
        <w:ind w:firstLine="0" w:firstLineChars="0"/>
        <w:outlineLvl w:val="2"/>
        <w:rPr>
          <w:rFonts w:hint="eastAsia" w:ascii="楷体" w:hAnsi="楷体" w:eastAsia="楷体"/>
          <w:color w:val="auto"/>
          <w:sz w:val="28"/>
          <w:szCs w:val="28"/>
          <w:highlight w:val="none"/>
        </w:rPr>
      </w:pPr>
      <w:bookmarkStart w:id="96" w:name="_Toc519082494"/>
      <w:bookmarkStart w:id="97" w:name="_Toc13942"/>
      <w:bookmarkStart w:id="98" w:name="_Toc14646"/>
      <w:r>
        <w:rPr>
          <w:rFonts w:hint="eastAsia" w:ascii="楷体" w:hAnsi="楷体" w:eastAsia="楷体"/>
          <w:color w:val="auto"/>
          <w:sz w:val="28"/>
          <w:szCs w:val="28"/>
          <w:highlight w:val="none"/>
        </w:rPr>
        <w:t>2.评分标准</w:t>
      </w:r>
      <w:bookmarkEnd w:id="95"/>
      <w:bookmarkEnd w:id="96"/>
      <w:bookmarkEnd w:id="97"/>
      <w:bookmarkEnd w:id="98"/>
    </w:p>
    <w:p w14:paraId="4F2918FB">
      <w:pPr>
        <w:spacing w:afterLines="50" w:line="400" w:lineRule="exact"/>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2.1评分因素以及分值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14:paraId="550A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noWrap w:val="0"/>
            <w:vAlign w:val="center"/>
          </w:tcPr>
          <w:p w14:paraId="06F0D9AD">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457" w:type="dxa"/>
            <w:noWrap w:val="0"/>
            <w:vAlign w:val="center"/>
          </w:tcPr>
          <w:p w14:paraId="14AA509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商务部分</w:t>
            </w:r>
          </w:p>
        </w:tc>
        <w:tc>
          <w:tcPr>
            <w:tcW w:w="2484" w:type="dxa"/>
            <w:noWrap w:val="0"/>
            <w:vAlign w:val="center"/>
          </w:tcPr>
          <w:p w14:paraId="6E28D995">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技术部分</w:t>
            </w:r>
          </w:p>
        </w:tc>
        <w:tc>
          <w:tcPr>
            <w:tcW w:w="2304" w:type="dxa"/>
            <w:noWrap w:val="0"/>
            <w:vAlign w:val="center"/>
          </w:tcPr>
          <w:p w14:paraId="17FA7E8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2AA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noWrap w:val="0"/>
            <w:vAlign w:val="center"/>
          </w:tcPr>
          <w:p w14:paraId="22420737">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457" w:type="dxa"/>
            <w:noWrap w:val="0"/>
            <w:vAlign w:val="center"/>
          </w:tcPr>
          <w:p w14:paraId="3D9C1986">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分</w:t>
            </w:r>
          </w:p>
        </w:tc>
        <w:tc>
          <w:tcPr>
            <w:tcW w:w="2484" w:type="dxa"/>
            <w:noWrap w:val="0"/>
            <w:vAlign w:val="center"/>
          </w:tcPr>
          <w:p w14:paraId="5ADA1FEC">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90</w:t>
            </w:r>
            <w:r>
              <w:rPr>
                <w:rFonts w:hint="eastAsia" w:ascii="仿宋" w:hAnsi="仿宋" w:eastAsia="仿宋"/>
                <w:color w:val="auto"/>
                <w:sz w:val="24"/>
                <w:szCs w:val="24"/>
                <w:highlight w:val="none"/>
              </w:rPr>
              <w:t>分</w:t>
            </w:r>
          </w:p>
        </w:tc>
        <w:tc>
          <w:tcPr>
            <w:tcW w:w="2304" w:type="dxa"/>
            <w:noWrap w:val="0"/>
            <w:vAlign w:val="center"/>
          </w:tcPr>
          <w:p w14:paraId="26788D5E">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781B9D62">
      <w:pPr>
        <w:bidi w:val="0"/>
        <w:rPr>
          <w:rFonts w:hint="eastAsia" w:ascii="仿宋" w:hAnsi="仿宋" w:eastAsia="仿宋" w:cs="仿宋"/>
          <w:b/>
          <w:bCs/>
          <w:sz w:val="24"/>
          <w:szCs w:val="24"/>
          <w:lang w:val="en-US" w:eastAsia="zh-CN"/>
        </w:rPr>
      </w:pPr>
      <w:bookmarkStart w:id="99" w:name="_Toc381951225"/>
      <w:bookmarkStart w:id="100" w:name="_Toc391306856"/>
    </w:p>
    <w:bookmarkEnd w:id="99"/>
    <w:bookmarkEnd w:id="100"/>
    <w:p w14:paraId="4574236B">
      <w:pPr>
        <w:spacing w:afterLines="50" w:line="400" w:lineRule="exact"/>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2.2初步评审表</w:t>
      </w:r>
    </w:p>
    <w:tbl>
      <w:tblPr>
        <w:tblStyle w:val="30"/>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6553A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14:paraId="2917ED19">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3744627">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73B2E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7B8E3A06">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881" w:type="dxa"/>
            <w:vMerge w:val="restart"/>
            <w:tcBorders>
              <w:top w:val="single" w:color="auto" w:sz="4" w:space="0"/>
              <w:left w:val="nil"/>
              <w:right w:val="single" w:color="auto" w:sz="4" w:space="0"/>
            </w:tcBorders>
            <w:noWrap w:val="0"/>
            <w:vAlign w:val="center"/>
          </w:tcPr>
          <w:p w14:paraId="7B3FFC04">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717AEB2">
            <w:pPr>
              <w:spacing w:beforeLines="30" w:line="312" w:lineRule="auto"/>
              <w:rPr>
                <w:rFonts w:ascii="仿宋" w:hAnsi="仿宋" w:eastAsia="仿宋" w:cs="仿宋"/>
                <w:color w:val="auto"/>
                <w:sz w:val="24"/>
                <w:szCs w:val="24"/>
                <w:highlight w:val="none"/>
              </w:rPr>
            </w:pPr>
            <w:r>
              <w:rPr>
                <w:rFonts w:ascii="仿宋" w:hAnsi="仿宋" w:eastAsia="仿宋" w:cs="仿宋"/>
                <w:spacing w:val="-3"/>
                <w:sz w:val="24"/>
                <w:szCs w:val="24"/>
              </w:rPr>
              <w:t>具备有效的营业执照</w:t>
            </w:r>
          </w:p>
        </w:tc>
      </w:tr>
      <w:tr w14:paraId="3F05E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9023E19">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621EC435">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C8D62B5">
            <w:pPr>
              <w:spacing w:beforeLines="30" w:line="312" w:lineRule="auto"/>
              <w:rPr>
                <w:rFonts w:hint="eastAsia" w:ascii="仿宋" w:hAnsi="仿宋" w:eastAsia="仿宋" w:cs="仿宋"/>
                <w:color w:val="auto"/>
                <w:sz w:val="24"/>
                <w:szCs w:val="24"/>
                <w:highlight w:val="none"/>
                <w:lang w:eastAsia="zh-CN"/>
              </w:rPr>
            </w:pPr>
            <w:r>
              <w:rPr>
                <w:rFonts w:ascii="仿宋" w:hAnsi="仿宋" w:eastAsia="仿宋" w:cs="仿宋"/>
                <w:spacing w:val="-1"/>
                <w:sz w:val="24"/>
                <w:szCs w:val="24"/>
              </w:rPr>
              <w:t>提供法定代表人身份资格证明文件或法定代表人授权委托书</w:t>
            </w:r>
          </w:p>
        </w:tc>
      </w:tr>
      <w:tr w14:paraId="2FDBD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25B08B8">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1489FE8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C3B8997">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w:t>
            </w:r>
            <w:r>
              <w:rPr>
                <w:rFonts w:hint="default" w:ascii="仿宋" w:hAnsi="仿宋" w:eastAsia="仿宋" w:cs="仿宋"/>
                <w:color w:val="auto"/>
                <w:sz w:val="24"/>
                <w:szCs w:val="24"/>
                <w:highlight w:val="none"/>
                <w:lang w:val="en-US" w:eastAsia="zh-CN"/>
              </w:rPr>
              <w:t>近三个月的完税证明</w:t>
            </w:r>
          </w:p>
        </w:tc>
      </w:tr>
      <w:tr w14:paraId="6DC5F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3CE60A6">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5A9156E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7F9B20E">
            <w:pPr>
              <w:spacing w:beforeLines="30" w:line="312"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提供近三个月的社保(需有相关人员的社保缴纳明细，退休人员需提供退休证明)</w:t>
            </w:r>
          </w:p>
        </w:tc>
      </w:tr>
      <w:tr w14:paraId="26DBD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61BD4F4">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2038570F">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46223DA">
            <w:pPr>
              <w:spacing w:beforeLines="30" w:line="312" w:lineRule="auto"/>
              <w:rPr>
                <w:rFonts w:ascii="仿宋" w:hAnsi="仿宋" w:eastAsia="仿宋" w:cs="仿宋"/>
                <w:color w:val="auto"/>
                <w:sz w:val="24"/>
                <w:szCs w:val="24"/>
                <w:highlight w:val="none"/>
              </w:rPr>
            </w:pPr>
            <w:r>
              <w:rPr>
                <w:rFonts w:ascii="仿宋" w:hAnsi="仿宋" w:eastAsia="仿宋" w:cs="仿宋"/>
                <w:spacing w:val="-4"/>
                <w:sz w:val="24"/>
                <w:szCs w:val="24"/>
              </w:rPr>
              <w:t>提供近一年的财务审计报告（成立不足一年的提供企业成立至</w:t>
            </w:r>
            <w:r>
              <w:rPr>
                <w:rFonts w:ascii="仿宋" w:hAnsi="仿宋" w:eastAsia="仿宋" w:cs="仿宋"/>
                <w:spacing w:val="-3"/>
                <w:sz w:val="24"/>
                <w:szCs w:val="24"/>
              </w:rPr>
              <w:t>今的财务报表）</w:t>
            </w:r>
          </w:p>
        </w:tc>
      </w:tr>
      <w:tr w14:paraId="37C57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6BE9548">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5FAC97D8">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7ED04D59">
            <w:pPr>
              <w:spacing w:beforeLines="30" w:line="312" w:lineRule="auto"/>
              <w:rPr>
                <w:rFonts w:ascii="仿宋" w:hAnsi="仿宋" w:eastAsia="仿宋" w:cs="仿宋"/>
                <w:spacing w:val="-4"/>
                <w:sz w:val="24"/>
                <w:szCs w:val="24"/>
              </w:rPr>
            </w:pPr>
            <w:r>
              <w:rPr>
                <w:rFonts w:ascii="仿宋" w:hAnsi="仿宋" w:eastAsia="仿宋" w:cs="仿宋"/>
                <w:spacing w:val="-4"/>
                <w:sz w:val="24"/>
                <w:szCs w:val="24"/>
              </w:rPr>
              <w:t>参加政府采购活动前3年内，在经营活动中没有重大违法记录（提供参加政府采购活动近三年无重大违法记录承诺函或声明）</w:t>
            </w:r>
          </w:p>
        </w:tc>
      </w:tr>
      <w:tr w14:paraId="3C60A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B9F0E6F">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13565CD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1AD439C">
            <w:pPr>
              <w:spacing w:beforeLines="30" w:line="312" w:lineRule="auto"/>
              <w:rPr>
                <w:rFonts w:ascii="仿宋" w:hAnsi="仿宋" w:eastAsia="仿宋" w:cs="仿宋"/>
                <w:spacing w:val="-4"/>
                <w:sz w:val="24"/>
                <w:szCs w:val="24"/>
              </w:rPr>
            </w:pPr>
            <w:r>
              <w:rPr>
                <w:rFonts w:hint="eastAsia" w:ascii="仿宋" w:hAnsi="仿宋" w:eastAsia="仿宋" w:cs="仿宋"/>
                <w:color w:val="auto"/>
                <w:sz w:val="24"/>
                <w:szCs w:val="24"/>
                <w:highlight w:val="none"/>
                <w:lang w:val="en-US" w:eastAsia="zh-CN"/>
              </w:rPr>
              <w:t>具有履行合同所必需的设备和专业技术能力:供应商提供相关承诺书，格式自拟。</w:t>
            </w:r>
          </w:p>
        </w:tc>
      </w:tr>
      <w:tr w14:paraId="215C9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9FEE6DC">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5CD42A28">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18B6904">
            <w:pPr>
              <w:spacing w:beforeLines="30" w:line="312"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本项目专门面向中小企业，提供中小企业声明函</w:t>
            </w:r>
          </w:p>
        </w:tc>
      </w:tr>
      <w:tr w14:paraId="2BAD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097DC72">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69AE1C57">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378827B2">
            <w:pPr>
              <w:spacing w:beforeLines="30" w:line="312"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供应商须具有良好的信誉，未在“信用中国”网站（www.creditchina.gov.cn）、中国政府采购网（www.ccgp.gov.cn）被列入失信被执行人、重大税收违法案件当事人名单、政府采购违法失信名单且在处罚期内 （无须供应商提供，开标时由采购人或采购代理机构现场查询）</w:t>
            </w:r>
          </w:p>
        </w:tc>
      </w:tr>
      <w:tr w14:paraId="1C102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60B0ADAE">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3244F71C">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8F89A6C">
            <w:pPr>
              <w:spacing w:beforeLines="30" w:line="312" w:lineRule="auto"/>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劳务派遣经营许可证</w:t>
            </w:r>
          </w:p>
        </w:tc>
      </w:tr>
      <w:tr w14:paraId="3B525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0" w:type="dxa"/>
            <w:gridSpan w:val="3"/>
            <w:tcBorders>
              <w:top w:val="single" w:color="auto" w:sz="4" w:space="0"/>
              <w:left w:val="single" w:color="auto" w:sz="4" w:space="0"/>
              <w:right w:val="single" w:color="auto" w:sz="4" w:space="0"/>
            </w:tcBorders>
            <w:noWrap w:val="0"/>
            <w:vAlign w:val="center"/>
          </w:tcPr>
          <w:p w14:paraId="3A17C128">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751EBC2B">
            <w:pPr>
              <w:keepNext w:val="0"/>
              <w:keepLines w:val="0"/>
              <w:widowControl/>
              <w:suppressLineNumbers w:val="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1.以上资格审查项目中，政采云需上传合法有效的证明文件，否则视为不响应竞争性磋商文件要求。</w:t>
            </w:r>
          </w:p>
          <w:p w14:paraId="58C8EE3A">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2.如果资格评审中有一项不满足审查标准的，将认定该供应商不通过资格审查，不得进入下一阶段评审。并且不允许供应商通过修改或撤销其不符合要求的差异或保留，使之成为具有响应性的投标。</w:t>
            </w:r>
          </w:p>
        </w:tc>
      </w:tr>
      <w:tr w14:paraId="24C7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06476510">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881" w:type="dxa"/>
            <w:vMerge w:val="restart"/>
            <w:tcBorders>
              <w:top w:val="single" w:color="auto" w:sz="4" w:space="0"/>
              <w:left w:val="nil"/>
              <w:right w:val="single" w:color="auto" w:sz="4" w:space="0"/>
            </w:tcBorders>
            <w:noWrap w:val="0"/>
            <w:vAlign w:val="center"/>
          </w:tcPr>
          <w:p w14:paraId="5F4D0814">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0FA24457">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14:paraId="76EA1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A5BE4DC">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3FE51423">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AF420F9">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提供法定代表人身份证明或法定代表人授权委托书</w:t>
            </w:r>
          </w:p>
        </w:tc>
      </w:tr>
      <w:tr w14:paraId="21F9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5A4AA58">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68236FE6">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3A651C8">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14:paraId="2FEF1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B667E73">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325F95E0">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0C1E91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14:paraId="62B6A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D24D1F2">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0072AE8C">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BD86966">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14:paraId="44EBD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6900DF39">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4BFEA401">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BBAE418">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14:paraId="71039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F0C63BD">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47610979">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C161824">
            <w:pPr>
              <w:spacing w:before="72"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lang w:val="en-US" w:eastAsia="zh-CN"/>
              </w:rPr>
              <w:t>要求</w:t>
            </w:r>
          </w:p>
        </w:tc>
      </w:tr>
      <w:tr w14:paraId="4F2D9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0B59949">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1F00CB4A">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851A26D">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14:paraId="1867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0" w:type="dxa"/>
            <w:gridSpan w:val="3"/>
            <w:tcBorders>
              <w:top w:val="single" w:color="auto" w:sz="4" w:space="0"/>
              <w:left w:val="single" w:color="auto" w:sz="4" w:space="0"/>
              <w:right w:val="single" w:color="auto" w:sz="4" w:space="0"/>
            </w:tcBorders>
            <w:noWrap w:val="0"/>
            <w:vAlign w:val="center"/>
          </w:tcPr>
          <w:p w14:paraId="41594F8A">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如果响应文件中有一项未通过上述符合性审查标准，评标委员会将认定整个响应文件不响应公开竞争性磋商文件而予以废标，并且不允许供应商通过修改或撤销其不符合要求的差异或保留，使之成为具有响应性的投标。</w:t>
            </w:r>
          </w:p>
        </w:tc>
      </w:tr>
    </w:tbl>
    <w:p w14:paraId="36616DA0">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hint="eastAsia" w:ascii="楷体" w:hAnsi="楷体" w:eastAsia="楷体"/>
          <w:color w:val="auto"/>
          <w:sz w:val="24"/>
          <w:szCs w:val="24"/>
          <w:highlight w:val="none"/>
        </w:rPr>
      </w:pPr>
    </w:p>
    <w:p w14:paraId="39C7C409">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ascii="楷体" w:hAnsi="楷体" w:eastAsia="楷体"/>
          <w:color w:val="auto"/>
          <w:sz w:val="24"/>
          <w:szCs w:val="24"/>
          <w:highlight w:val="none"/>
        </w:rPr>
      </w:pPr>
      <w:r>
        <w:rPr>
          <w:rFonts w:hint="eastAsia" w:ascii="楷体" w:hAnsi="楷体" w:eastAsia="楷体"/>
          <w:color w:val="auto"/>
          <w:sz w:val="24"/>
          <w:szCs w:val="24"/>
          <w:highlight w:val="none"/>
        </w:rPr>
        <w:t>2.3商务部分</w:t>
      </w:r>
    </w:p>
    <w:tbl>
      <w:tblPr>
        <w:tblStyle w:val="30"/>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6106"/>
      </w:tblGrid>
      <w:tr w14:paraId="4898D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14:paraId="10C1E5FA">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106" w:type="dxa"/>
            <w:tcBorders>
              <w:top w:val="single" w:color="auto" w:sz="4" w:space="0"/>
              <w:left w:val="single" w:color="auto" w:sz="4" w:space="0"/>
              <w:bottom w:val="single" w:color="auto" w:sz="4" w:space="0"/>
              <w:right w:val="single" w:color="auto" w:sz="4" w:space="0"/>
            </w:tcBorders>
            <w:noWrap w:val="0"/>
            <w:vAlign w:val="center"/>
          </w:tcPr>
          <w:p w14:paraId="1C1FEA01">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74D8D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12C73864">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1900" w:type="dxa"/>
            <w:tcBorders>
              <w:top w:val="single" w:color="auto" w:sz="4" w:space="0"/>
              <w:left w:val="nil"/>
              <w:bottom w:val="single" w:color="auto" w:sz="4" w:space="0"/>
              <w:right w:val="single" w:color="auto" w:sz="4" w:space="0"/>
            </w:tcBorders>
            <w:noWrap w:val="0"/>
            <w:vAlign w:val="center"/>
          </w:tcPr>
          <w:p w14:paraId="7ECBBACC">
            <w:pPr>
              <w:widowControl w:val="0"/>
              <w:spacing w:before="71" w:line="220" w:lineRule="auto"/>
              <w:jc w:val="both"/>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报价得分</w:t>
            </w:r>
          </w:p>
          <w:p w14:paraId="49120EE3">
            <w:pPr>
              <w:spacing w:beforeLines="30" w:line="312" w:lineRule="auto"/>
              <w:rPr>
                <w:rFonts w:ascii="仿宋" w:hAnsi="仿宋" w:eastAsia="仿宋" w:cs="仿宋"/>
                <w:color w:val="auto"/>
                <w:sz w:val="24"/>
                <w:szCs w:val="24"/>
                <w:highlight w:val="none"/>
              </w:rPr>
            </w:pPr>
            <w:r>
              <w:rPr>
                <w:rFonts w:hint="eastAsia" w:ascii="仿宋" w:hAnsi="仿宋" w:eastAsia="仿宋" w:cs="仿宋"/>
                <w:spacing w:val="9"/>
                <w:kern w:val="2"/>
                <w:sz w:val="24"/>
                <w:szCs w:val="24"/>
                <w:lang w:val="en-US" w:eastAsia="en-US" w:bidi="ar-SA"/>
              </w:rPr>
              <w:t>(</w:t>
            </w:r>
            <w:r>
              <w:rPr>
                <w:rFonts w:hint="eastAsia" w:ascii="仿宋" w:hAnsi="仿宋" w:eastAsia="仿宋" w:cs="仿宋"/>
                <w:spacing w:val="9"/>
                <w:kern w:val="2"/>
                <w:sz w:val="24"/>
                <w:szCs w:val="24"/>
                <w:lang w:val="en-US" w:eastAsia="zh-CN" w:bidi="ar-SA"/>
              </w:rPr>
              <w:t>10</w:t>
            </w:r>
            <w:r>
              <w:rPr>
                <w:rFonts w:hint="eastAsia" w:ascii="仿宋" w:hAnsi="仿宋" w:eastAsia="仿宋" w:cs="仿宋"/>
                <w:spacing w:val="9"/>
                <w:kern w:val="2"/>
                <w:sz w:val="24"/>
                <w:szCs w:val="24"/>
                <w:lang w:val="en-US" w:eastAsia="en-US" w:bidi="ar-SA"/>
              </w:rPr>
              <w:t>分)</w:t>
            </w:r>
          </w:p>
        </w:tc>
        <w:tc>
          <w:tcPr>
            <w:tcW w:w="6106" w:type="dxa"/>
            <w:tcBorders>
              <w:top w:val="single" w:color="auto" w:sz="4" w:space="0"/>
              <w:left w:val="nil"/>
              <w:bottom w:val="single" w:color="auto" w:sz="4" w:space="0"/>
              <w:right w:val="single" w:color="auto" w:sz="4" w:space="0"/>
            </w:tcBorders>
            <w:noWrap w:val="0"/>
            <w:vAlign w:val="center"/>
          </w:tcPr>
          <w:p w14:paraId="32D38AAA">
            <w:pPr>
              <w:spacing w:beforeLines="30" w:line="312" w:lineRule="auto"/>
              <w:rPr>
                <w:rFonts w:hint="eastAsia" w:eastAsia="仿宋"/>
                <w:color w:val="auto"/>
                <w:highlight w:val="none"/>
                <w:lang w:val="en-US" w:eastAsia="zh-CN"/>
              </w:rPr>
            </w:pPr>
            <w:r>
              <w:rPr>
                <w:rFonts w:hint="eastAsia" w:ascii="仿宋" w:hAnsi="仿宋" w:eastAsia="仿宋" w:cs="仿宋"/>
                <w:sz w:val="24"/>
                <w:szCs w:val="24"/>
                <w:highlight w:val="none"/>
              </w:rPr>
              <w:t>满足招标要求且</w:t>
            </w:r>
            <w:r>
              <w:rPr>
                <w:rFonts w:hint="eastAsia" w:ascii="仿宋" w:hAnsi="仿宋" w:eastAsia="仿宋" w:cs="仿宋"/>
                <w:sz w:val="24"/>
                <w:szCs w:val="24"/>
                <w:highlight w:val="none"/>
                <w:lang w:val="en-US" w:eastAsia="zh-CN"/>
              </w:rPr>
              <w:t>报价最低</w:t>
            </w:r>
            <w:r>
              <w:rPr>
                <w:rFonts w:hint="eastAsia" w:ascii="仿宋" w:hAnsi="仿宋" w:eastAsia="仿宋" w:cs="仿宋"/>
                <w:sz w:val="24"/>
                <w:szCs w:val="24"/>
                <w:highlight w:val="none"/>
              </w:rPr>
              <w:t>的投标报价为评标基准价，其价格分为满分。其他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的价格分统一按照下列公式计算：投标报价得分=(评标基准价／投标报价)×价格权值。</w:t>
            </w:r>
          </w:p>
        </w:tc>
      </w:tr>
    </w:tbl>
    <w:p w14:paraId="3B9D3BB9">
      <w:pPr>
        <w:spacing w:beforeLines="50" w:afterLines="50" w:line="400" w:lineRule="exact"/>
        <w:ind w:firstLine="480" w:firstLineChars="200"/>
        <w:rPr>
          <w:rFonts w:hint="eastAsia" w:ascii="楷体" w:hAnsi="楷体" w:eastAsia="楷体"/>
          <w:color w:val="auto"/>
          <w:sz w:val="24"/>
          <w:szCs w:val="24"/>
          <w:highlight w:val="none"/>
        </w:rPr>
      </w:pPr>
    </w:p>
    <w:p w14:paraId="29F5BB07">
      <w:pPr>
        <w:spacing w:beforeLines="50" w:afterLines="50" w:line="400" w:lineRule="exact"/>
        <w:ind w:firstLine="480" w:firstLineChars="200"/>
        <w:rPr>
          <w:rFonts w:hint="eastAsia" w:ascii="楷体" w:hAnsi="楷体" w:eastAsia="楷体" w:cs="Times New Roman"/>
          <w:color w:val="auto"/>
          <w:sz w:val="24"/>
          <w:szCs w:val="24"/>
          <w:highlight w:val="none"/>
        </w:rPr>
      </w:pPr>
      <w:bookmarkStart w:id="101" w:name="_Toc30129"/>
      <w:bookmarkStart w:id="102" w:name="_Toc464831170"/>
      <w:r>
        <w:rPr>
          <w:rFonts w:hint="eastAsia" w:ascii="楷体" w:hAnsi="楷体" w:eastAsia="楷体" w:cs="Times New Roman"/>
          <w:color w:val="auto"/>
          <w:sz w:val="24"/>
          <w:szCs w:val="24"/>
          <w:highlight w:val="none"/>
        </w:rPr>
        <w:t>2.</w:t>
      </w:r>
      <w:r>
        <w:rPr>
          <w:rFonts w:hint="eastAsia" w:ascii="楷体" w:hAnsi="楷体" w:eastAsia="楷体" w:cs="Times New Roman"/>
          <w:color w:val="auto"/>
          <w:sz w:val="24"/>
          <w:szCs w:val="24"/>
          <w:highlight w:val="none"/>
          <w:lang w:val="en-US" w:eastAsia="zh-CN"/>
        </w:rPr>
        <w:t>4</w:t>
      </w:r>
      <w:r>
        <w:rPr>
          <w:rFonts w:hint="eastAsia" w:ascii="楷体" w:hAnsi="楷体" w:eastAsia="楷体" w:cs="Times New Roman"/>
          <w:color w:val="auto"/>
          <w:sz w:val="24"/>
          <w:szCs w:val="24"/>
          <w:highlight w:val="none"/>
        </w:rPr>
        <w:t>技术部分</w:t>
      </w:r>
    </w:p>
    <w:tbl>
      <w:tblPr>
        <w:tblStyle w:val="30"/>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738"/>
        <w:gridCol w:w="6280"/>
      </w:tblGrid>
      <w:tr w14:paraId="223CD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00" w:type="dxa"/>
            <w:gridSpan w:val="2"/>
            <w:tcBorders>
              <w:top w:val="single" w:color="auto" w:sz="4" w:space="0"/>
              <w:left w:val="single" w:color="auto" w:sz="4" w:space="0"/>
              <w:bottom w:val="single" w:color="auto" w:sz="4" w:space="0"/>
              <w:right w:val="single" w:color="auto" w:sz="4" w:space="0"/>
            </w:tcBorders>
            <w:noWrap w:val="0"/>
            <w:vAlign w:val="center"/>
          </w:tcPr>
          <w:p w14:paraId="0C58AF42">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155C5B47">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4C201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6413CEFD">
            <w:pPr>
              <w:spacing w:beforeLines="30" w:line="312"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1</w:t>
            </w:r>
          </w:p>
        </w:tc>
        <w:tc>
          <w:tcPr>
            <w:tcW w:w="1738" w:type="dxa"/>
            <w:tcBorders>
              <w:top w:val="single" w:color="auto" w:sz="4" w:space="0"/>
              <w:left w:val="single" w:color="auto" w:sz="4" w:space="0"/>
              <w:right w:val="single" w:color="auto" w:sz="4" w:space="0"/>
            </w:tcBorders>
            <w:noWrap w:val="0"/>
            <w:vAlign w:val="center"/>
          </w:tcPr>
          <w:p w14:paraId="75400E45">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项目整体实施方案（30分）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167CEAF">
            <w:pPr>
              <w:spacing w:beforeLines="30" w:line="312"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投标单位根据本项目的采购内容和需求编制服务方案，包含</w:t>
            </w:r>
          </w:p>
          <w:p w14:paraId="2ED07162">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1、人员安排计划：保证采购单位工作顺利开展； </w:t>
            </w:r>
          </w:p>
          <w:p w14:paraId="10291FAA">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2、团队管理：具有人员管理制度、岗位规范要求；</w:t>
            </w:r>
          </w:p>
          <w:p w14:paraId="74261D3C">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3、培训计划：提升服务人员综合素质；</w:t>
            </w:r>
          </w:p>
          <w:p w14:paraId="1E1A0C79">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4、供应商对服务人员的人事、劳资、社会保险的管理工作方案；</w:t>
            </w:r>
          </w:p>
          <w:p w14:paraId="7573FE3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5、服务人员体检方案；</w:t>
            </w:r>
          </w:p>
          <w:p w14:paraId="5BB1E829">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6、预防和处理劳动纠纷工作机制；</w:t>
            </w:r>
          </w:p>
          <w:p w14:paraId="14B6E9A5">
            <w:pPr>
              <w:widowControl/>
              <w:kinsoku w:val="0"/>
              <w:autoSpaceDE w:val="0"/>
              <w:autoSpaceDN w:val="0"/>
              <w:adjustRightInd w:val="0"/>
              <w:snapToGrid w:val="0"/>
              <w:spacing w:before="40" w:line="246" w:lineRule="auto"/>
              <w:ind w:left="161" w:right="138"/>
              <w:jc w:val="both"/>
              <w:textAlignment w:val="baseline"/>
              <w:rPr>
                <w:rFonts w:ascii="仿宋" w:hAnsi="仿宋" w:eastAsia="仿宋" w:cs="仿宋"/>
                <w:snapToGrid w:val="0"/>
                <w:color w:val="000000"/>
                <w:kern w:val="0"/>
                <w:sz w:val="24"/>
                <w:szCs w:val="24"/>
                <w:highlight w:val="none"/>
                <w:lang w:eastAsia="en-US"/>
              </w:rPr>
            </w:pPr>
            <w:r>
              <w:rPr>
                <w:rFonts w:ascii="仿宋" w:hAnsi="仿宋" w:eastAsia="仿宋" w:cs="仿宋"/>
                <w:snapToGrid w:val="0"/>
                <w:color w:val="000000"/>
                <w:spacing w:val="1"/>
                <w:kern w:val="0"/>
                <w:sz w:val="24"/>
                <w:szCs w:val="24"/>
                <w:highlight w:val="none"/>
                <w:lang w:eastAsia="en-US"/>
              </w:rPr>
              <w:t>针对以上6</w:t>
            </w:r>
            <w:r>
              <w:rPr>
                <w:rFonts w:ascii="仿宋" w:hAnsi="仿宋" w:eastAsia="仿宋" w:cs="仿宋"/>
                <w:snapToGrid w:val="0"/>
                <w:color w:val="000000"/>
                <w:spacing w:val="-44"/>
                <w:kern w:val="0"/>
                <w:sz w:val="24"/>
                <w:szCs w:val="24"/>
                <w:highlight w:val="none"/>
                <w:lang w:eastAsia="en-US"/>
              </w:rPr>
              <w:t xml:space="preserve"> </w:t>
            </w:r>
            <w:r>
              <w:rPr>
                <w:rFonts w:ascii="仿宋" w:hAnsi="仿宋" w:eastAsia="仿宋" w:cs="仿宋"/>
                <w:snapToGrid w:val="0"/>
                <w:color w:val="000000"/>
                <w:spacing w:val="1"/>
                <w:kern w:val="0"/>
                <w:sz w:val="24"/>
                <w:szCs w:val="24"/>
                <w:highlight w:val="none"/>
                <w:lang w:eastAsia="en-US"/>
              </w:rPr>
              <w:t>项内容进行评审，逐项打分，描述详细明确完全符合</w:t>
            </w:r>
            <w:r>
              <w:rPr>
                <w:rFonts w:ascii="仿宋" w:hAnsi="仿宋" w:eastAsia="仿宋" w:cs="仿宋"/>
                <w:snapToGrid w:val="0"/>
                <w:color w:val="000000"/>
                <w:spacing w:val="-3"/>
                <w:kern w:val="0"/>
                <w:sz w:val="24"/>
                <w:szCs w:val="24"/>
                <w:highlight w:val="none"/>
                <w:lang w:eastAsia="en-US"/>
              </w:rPr>
              <w:t>项目需求的得30分，每缺一项的扣5分，每有一项内容有缺陷</w:t>
            </w:r>
            <w:r>
              <w:rPr>
                <w:rFonts w:ascii="仿宋" w:hAnsi="仿宋" w:eastAsia="仿宋" w:cs="仿宋"/>
                <w:snapToGrid w:val="0"/>
                <w:color w:val="000000"/>
                <w:spacing w:val="1"/>
                <w:kern w:val="0"/>
                <w:sz w:val="24"/>
                <w:szCs w:val="24"/>
                <w:highlight w:val="none"/>
                <w:lang w:eastAsia="en-US"/>
              </w:rPr>
              <w:t>或不符合项目需求的扣3</w:t>
            </w:r>
            <w:r>
              <w:rPr>
                <w:rFonts w:ascii="仿宋" w:hAnsi="仿宋" w:eastAsia="仿宋" w:cs="仿宋"/>
                <w:snapToGrid w:val="0"/>
                <w:color w:val="000000"/>
                <w:spacing w:val="-42"/>
                <w:kern w:val="0"/>
                <w:sz w:val="24"/>
                <w:szCs w:val="24"/>
                <w:highlight w:val="none"/>
                <w:lang w:eastAsia="en-US"/>
              </w:rPr>
              <w:t xml:space="preserve"> </w:t>
            </w:r>
            <w:r>
              <w:rPr>
                <w:rFonts w:ascii="仿宋" w:hAnsi="仿宋" w:eastAsia="仿宋" w:cs="仿宋"/>
                <w:snapToGrid w:val="0"/>
                <w:color w:val="000000"/>
                <w:spacing w:val="1"/>
                <w:kern w:val="0"/>
                <w:sz w:val="24"/>
                <w:szCs w:val="24"/>
                <w:highlight w:val="none"/>
                <w:lang w:eastAsia="en-US"/>
              </w:rPr>
              <w:t>分，每有一项总体内容完备但存</w:t>
            </w:r>
            <w:r>
              <w:rPr>
                <w:rFonts w:ascii="仿宋" w:hAnsi="仿宋" w:eastAsia="仿宋" w:cs="仿宋"/>
                <w:snapToGrid w:val="0"/>
                <w:color w:val="000000"/>
                <w:kern w:val="0"/>
                <w:sz w:val="24"/>
                <w:szCs w:val="24"/>
                <w:highlight w:val="none"/>
                <w:lang w:eastAsia="en-US"/>
              </w:rPr>
              <w:t>在部分</w:t>
            </w:r>
            <w:r>
              <w:rPr>
                <w:rFonts w:ascii="仿宋" w:hAnsi="仿宋" w:eastAsia="仿宋" w:cs="仿宋"/>
                <w:snapToGrid w:val="0"/>
                <w:color w:val="000000"/>
                <w:spacing w:val="-1"/>
                <w:kern w:val="0"/>
                <w:sz w:val="24"/>
                <w:szCs w:val="24"/>
                <w:highlight w:val="none"/>
                <w:lang w:eastAsia="en-US"/>
              </w:rPr>
              <w:t>瑕疵之处扣1分。直至扣完为止，未提供不得分；</w:t>
            </w:r>
          </w:p>
          <w:p w14:paraId="7153A180">
            <w:pPr>
              <w:spacing w:beforeLines="30" w:line="312" w:lineRule="auto"/>
              <w:rPr>
                <w:rFonts w:hint="default" w:ascii="Times New Roman" w:hAnsi="Times New Roman" w:eastAsia="宋体" w:cs="Times New Roman"/>
                <w:b w:val="0"/>
                <w:bCs/>
                <w:szCs w:val="22"/>
                <w:highlight w:val="none"/>
                <w:lang w:val="en-US" w:eastAsia="zh-CN"/>
              </w:rPr>
            </w:pPr>
            <w:r>
              <w:rPr>
                <w:rFonts w:hint="eastAsia" w:ascii="仿宋" w:hAnsi="仿宋" w:eastAsia="仿宋" w:cs="仿宋"/>
                <w:snapToGrid w:val="0"/>
                <w:color w:val="000000"/>
                <w:spacing w:val="-10"/>
                <w:kern w:val="0"/>
                <w:sz w:val="24"/>
                <w:szCs w:val="24"/>
                <w:highlight w:val="none"/>
                <w:lang w:val="en-US" w:eastAsia="zh-CN"/>
              </w:rPr>
              <w:t>注：本项所称“缺陷”是指方案非专门针对本项目或不适用本项目特性、套用其他  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r>
      <w:tr w14:paraId="65BC2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62" w:type="dxa"/>
            <w:tcBorders>
              <w:top w:val="single" w:color="auto" w:sz="4" w:space="0"/>
              <w:left w:val="single" w:color="auto" w:sz="4" w:space="0"/>
              <w:right w:val="single" w:color="auto" w:sz="4" w:space="0"/>
            </w:tcBorders>
            <w:noWrap w:val="0"/>
            <w:vAlign w:val="center"/>
          </w:tcPr>
          <w:p w14:paraId="4852FE1E">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2.4.2</w:t>
            </w:r>
          </w:p>
        </w:tc>
        <w:tc>
          <w:tcPr>
            <w:tcW w:w="1738" w:type="dxa"/>
            <w:tcBorders>
              <w:top w:val="single" w:color="auto" w:sz="4" w:space="0"/>
              <w:left w:val="single" w:color="auto" w:sz="4" w:space="0"/>
              <w:right w:val="single" w:color="auto" w:sz="4" w:space="0"/>
            </w:tcBorders>
            <w:noWrap w:val="0"/>
            <w:vAlign w:val="center"/>
          </w:tcPr>
          <w:p w14:paraId="10D1BC96">
            <w:pPr>
              <w:spacing w:beforeLines="30" w:line="312" w:lineRule="auto"/>
              <w:rPr>
                <w:rFonts w:hint="eastAsia" w:ascii="仿宋" w:hAnsi="仿宋" w:eastAsia="仿宋" w:cs="仿宋"/>
                <w:spacing w:val="10"/>
                <w:kern w:val="2"/>
                <w:sz w:val="24"/>
                <w:szCs w:val="24"/>
                <w:highlight w:val="none"/>
                <w:lang w:val="en-US" w:eastAsia="en-US" w:bidi="ar-SA"/>
              </w:rPr>
            </w:pPr>
            <w:r>
              <w:rPr>
                <w:rFonts w:hint="eastAsia" w:ascii="仿宋" w:hAnsi="仿宋" w:eastAsia="仿宋" w:cs="仿宋"/>
                <w:spacing w:val="10"/>
                <w:kern w:val="2"/>
                <w:sz w:val="24"/>
                <w:szCs w:val="24"/>
                <w:highlight w:val="none"/>
                <w:lang w:val="en-US" w:eastAsia="en-US" w:bidi="ar-SA"/>
              </w:rPr>
              <w:t>应急预案（</w:t>
            </w:r>
            <w:r>
              <w:rPr>
                <w:rFonts w:hint="eastAsia" w:ascii="仿宋" w:hAnsi="仿宋" w:eastAsia="仿宋" w:cs="仿宋"/>
                <w:spacing w:val="10"/>
                <w:kern w:val="2"/>
                <w:sz w:val="24"/>
                <w:szCs w:val="24"/>
                <w:highlight w:val="none"/>
                <w:lang w:val="en-US" w:eastAsia="zh-CN" w:bidi="ar-SA"/>
              </w:rPr>
              <w:t>20</w:t>
            </w:r>
            <w:r>
              <w:rPr>
                <w:rFonts w:hint="eastAsia" w:ascii="仿宋" w:hAnsi="仿宋" w:eastAsia="仿宋" w:cs="仿宋"/>
                <w:spacing w:val="10"/>
                <w:kern w:val="2"/>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FC8CF13">
            <w:pPr>
              <w:widowControl/>
              <w:kinsoku w:val="0"/>
              <w:autoSpaceDE w:val="0"/>
              <w:autoSpaceDN w:val="0"/>
              <w:adjustRightInd w:val="0"/>
              <w:snapToGrid w:val="0"/>
              <w:spacing w:before="126" w:line="247" w:lineRule="auto"/>
              <w:ind w:left="228" w:right="383" w:hanging="3"/>
              <w:jc w:val="left"/>
              <w:textAlignment w:val="baseline"/>
              <w:rPr>
                <w:rFonts w:ascii="仿宋" w:hAnsi="仿宋" w:eastAsia="仿宋" w:cs="仿宋"/>
                <w:snapToGrid w:val="0"/>
                <w:color w:val="000000"/>
                <w:kern w:val="0"/>
                <w:sz w:val="24"/>
                <w:szCs w:val="24"/>
                <w:highlight w:val="none"/>
                <w:lang w:eastAsia="en-US"/>
              </w:rPr>
            </w:pPr>
            <w:r>
              <w:rPr>
                <w:rFonts w:ascii="仿宋" w:hAnsi="仿宋" w:eastAsia="仿宋" w:cs="仿宋"/>
                <w:snapToGrid w:val="0"/>
                <w:color w:val="000000"/>
                <w:spacing w:val="-1"/>
                <w:kern w:val="0"/>
                <w:sz w:val="24"/>
                <w:szCs w:val="24"/>
                <w:highlight w:val="none"/>
                <w:lang w:eastAsia="en-US"/>
              </w:rPr>
              <w:t>针对本项目制定合理完善的应急预案和应急措施，包含以下内</w:t>
            </w:r>
            <w:r>
              <w:rPr>
                <w:rFonts w:ascii="仿宋" w:hAnsi="仿宋" w:eastAsia="仿宋" w:cs="仿宋"/>
                <w:snapToGrid w:val="0"/>
                <w:color w:val="000000"/>
                <w:spacing w:val="-10"/>
                <w:kern w:val="0"/>
                <w:sz w:val="24"/>
                <w:szCs w:val="24"/>
                <w:highlight w:val="none"/>
                <w:lang w:eastAsia="en-US"/>
              </w:rPr>
              <w:t>容：</w:t>
            </w:r>
          </w:p>
          <w:p w14:paraId="595510BD">
            <w:pPr>
              <w:widowControl/>
              <w:numPr>
                <w:ilvl w:val="0"/>
                <w:numId w:val="0"/>
              </w:numPr>
              <w:kinsoku w:val="0"/>
              <w:autoSpaceDE w:val="0"/>
              <w:autoSpaceDN w:val="0"/>
              <w:adjustRightInd w:val="0"/>
              <w:snapToGrid w:val="0"/>
              <w:spacing w:before="68" w:line="247" w:lineRule="auto"/>
              <w:ind w:left="236" w:leftChars="0" w:right="186" w:rightChars="0"/>
              <w:jc w:val="both"/>
              <w:textAlignment w:val="baseline"/>
              <w:rPr>
                <w:rFonts w:hint="eastAsia" w:ascii="仿宋" w:hAnsi="仿宋" w:eastAsia="仿宋" w:cs="仿宋"/>
                <w:snapToGrid w:val="0"/>
                <w:color w:val="000000"/>
                <w:spacing w:val="-2"/>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val="en-US" w:eastAsia="zh-CN"/>
              </w:rPr>
              <w:t>1.</w:t>
            </w:r>
            <w:r>
              <w:rPr>
                <w:rFonts w:ascii="仿宋" w:hAnsi="仿宋" w:eastAsia="仿宋" w:cs="仿宋"/>
                <w:snapToGrid w:val="0"/>
                <w:color w:val="000000"/>
                <w:spacing w:val="-2"/>
                <w:kern w:val="0"/>
                <w:sz w:val="24"/>
                <w:szCs w:val="24"/>
                <w:highlight w:val="none"/>
                <w:lang w:eastAsia="en-US"/>
              </w:rPr>
              <w:t>针对服务对象的人身安全；</w:t>
            </w:r>
          </w:p>
          <w:p w14:paraId="11542DA0">
            <w:pPr>
              <w:widowControl/>
              <w:numPr>
                <w:ilvl w:val="0"/>
                <w:numId w:val="0"/>
              </w:numPr>
              <w:kinsoku w:val="0"/>
              <w:autoSpaceDE w:val="0"/>
              <w:autoSpaceDN w:val="0"/>
              <w:adjustRightInd w:val="0"/>
              <w:snapToGrid w:val="0"/>
              <w:spacing w:before="68" w:line="247" w:lineRule="auto"/>
              <w:ind w:left="236" w:leftChars="0" w:right="186" w:rightChars="0"/>
              <w:jc w:val="both"/>
              <w:textAlignment w:val="baseline"/>
              <w:rPr>
                <w:rFonts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val="en-US" w:eastAsia="zh-CN"/>
              </w:rPr>
              <w:t>2</w:t>
            </w:r>
            <w:r>
              <w:rPr>
                <w:rFonts w:ascii="仿宋" w:hAnsi="仿宋" w:eastAsia="仿宋" w:cs="仿宋"/>
                <w:snapToGrid w:val="0"/>
                <w:color w:val="000000"/>
                <w:spacing w:val="-3"/>
                <w:kern w:val="0"/>
                <w:sz w:val="24"/>
                <w:szCs w:val="24"/>
                <w:highlight w:val="none"/>
                <w:lang w:eastAsia="en-US"/>
              </w:rPr>
              <w:t>.人员安排、</w:t>
            </w:r>
            <w:r>
              <w:rPr>
                <w:rFonts w:ascii="仿宋" w:hAnsi="仿宋" w:eastAsia="仿宋" w:cs="仿宋"/>
                <w:snapToGrid w:val="0"/>
                <w:color w:val="000000"/>
                <w:spacing w:val="-4"/>
                <w:kern w:val="0"/>
                <w:sz w:val="24"/>
                <w:szCs w:val="24"/>
                <w:highlight w:val="none"/>
                <w:lang w:eastAsia="en-US"/>
              </w:rPr>
              <w:t>人员更替；</w:t>
            </w:r>
          </w:p>
          <w:p w14:paraId="5D57F9C5">
            <w:pPr>
              <w:widowControl/>
              <w:numPr>
                <w:ilvl w:val="0"/>
                <w:numId w:val="0"/>
              </w:numPr>
              <w:kinsoku w:val="0"/>
              <w:autoSpaceDE w:val="0"/>
              <w:autoSpaceDN w:val="0"/>
              <w:adjustRightInd w:val="0"/>
              <w:snapToGrid w:val="0"/>
              <w:spacing w:before="68" w:line="247" w:lineRule="auto"/>
              <w:ind w:left="236" w:leftChars="0" w:right="186" w:rightChars="0"/>
              <w:jc w:val="both"/>
              <w:textAlignment w:val="baseline"/>
              <w:rPr>
                <w:rFonts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val="en-US" w:eastAsia="zh-CN"/>
              </w:rPr>
              <w:t>3</w:t>
            </w:r>
            <w:r>
              <w:rPr>
                <w:rFonts w:ascii="仿宋" w:hAnsi="仿宋" w:eastAsia="仿宋" w:cs="仿宋"/>
                <w:snapToGrid w:val="0"/>
                <w:color w:val="000000"/>
                <w:spacing w:val="-4"/>
                <w:kern w:val="0"/>
                <w:sz w:val="24"/>
                <w:szCs w:val="24"/>
                <w:highlight w:val="none"/>
                <w:lang w:eastAsia="en-US"/>
              </w:rPr>
              <w:t>.</w:t>
            </w:r>
            <w:r>
              <w:rPr>
                <w:rFonts w:hint="eastAsia" w:ascii="仿宋" w:hAnsi="仿宋" w:eastAsia="仿宋" w:cs="仿宋"/>
                <w:snapToGrid w:val="0"/>
                <w:color w:val="000000"/>
                <w:spacing w:val="-4"/>
                <w:kern w:val="0"/>
                <w:sz w:val="24"/>
                <w:szCs w:val="24"/>
                <w:highlight w:val="none"/>
                <w:lang w:val="en-US" w:eastAsia="zh-CN"/>
              </w:rPr>
              <w:t>特殊情况处理</w:t>
            </w:r>
            <w:r>
              <w:rPr>
                <w:rFonts w:ascii="仿宋" w:hAnsi="仿宋" w:eastAsia="仿宋" w:cs="仿宋"/>
                <w:snapToGrid w:val="0"/>
                <w:color w:val="000000"/>
                <w:spacing w:val="-4"/>
                <w:kern w:val="0"/>
                <w:sz w:val="24"/>
                <w:szCs w:val="24"/>
                <w:highlight w:val="none"/>
                <w:lang w:eastAsia="en-US"/>
              </w:rPr>
              <w:t>；</w:t>
            </w:r>
          </w:p>
          <w:p w14:paraId="6B8F7F7B">
            <w:pPr>
              <w:widowControl/>
              <w:numPr>
                <w:ilvl w:val="0"/>
                <w:numId w:val="0"/>
              </w:numPr>
              <w:kinsoku w:val="0"/>
              <w:autoSpaceDE w:val="0"/>
              <w:autoSpaceDN w:val="0"/>
              <w:adjustRightInd w:val="0"/>
              <w:snapToGrid w:val="0"/>
              <w:spacing w:before="68" w:line="247" w:lineRule="auto"/>
              <w:ind w:left="236" w:leftChars="0" w:right="186" w:rightChars="0"/>
              <w:jc w:val="both"/>
              <w:textAlignment w:val="baseline"/>
              <w:rPr>
                <w:rFonts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val="en-US" w:eastAsia="zh-CN"/>
              </w:rPr>
              <w:t>4</w:t>
            </w:r>
            <w:r>
              <w:rPr>
                <w:rFonts w:ascii="仿宋" w:hAnsi="仿宋" w:eastAsia="仿宋" w:cs="仿宋"/>
                <w:snapToGrid w:val="0"/>
                <w:color w:val="000000"/>
                <w:spacing w:val="-4"/>
                <w:kern w:val="0"/>
                <w:sz w:val="24"/>
                <w:szCs w:val="24"/>
                <w:highlight w:val="none"/>
                <w:lang w:eastAsia="en-US"/>
              </w:rPr>
              <w:t>.突发疾病等预防措施；</w:t>
            </w:r>
          </w:p>
          <w:p w14:paraId="477C3E40">
            <w:pPr>
              <w:widowControl/>
              <w:numPr>
                <w:ilvl w:val="0"/>
                <w:numId w:val="0"/>
              </w:numPr>
              <w:kinsoku w:val="0"/>
              <w:autoSpaceDE w:val="0"/>
              <w:autoSpaceDN w:val="0"/>
              <w:adjustRightInd w:val="0"/>
              <w:snapToGrid w:val="0"/>
              <w:spacing w:before="68" w:line="247" w:lineRule="auto"/>
              <w:ind w:left="236" w:leftChars="0" w:right="186" w:rightChars="0"/>
              <w:jc w:val="both"/>
              <w:textAlignment w:val="baseline"/>
              <w:rPr>
                <w:rFonts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val="en-US" w:eastAsia="zh-CN"/>
              </w:rPr>
              <w:t>5</w:t>
            </w:r>
            <w:r>
              <w:rPr>
                <w:rFonts w:ascii="仿宋" w:hAnsi="仿宋" w:eastAsia="仿宋" w:cs="仿宋"/>
                <w:snapToGrid w:val="0"/>
                <w:color w:val="000000"/>
                <w:spacing w:val="-4"/>
                <w:kern w:val="0"/>
                <w:sz w:val="24"/>
                <w:szCs w:val="24"/>
                <w:highlight w:val="none"/>
                <w:lang w:eastAsia="en-US"/>
              </w:rPr>
              <w:t>.应急响应</w:t>
            </w:r>
            <w:r>
              <w:rPr>
                <w:rFonts w:ascii="仿宋" w:hAnsi="仿宋" w:eastAsia="仿宋" w:cs="仿宋"/>
                <w:snapToGrid w:val="0"/>
                <w:color w:val="000000"/>
                <w:spacing w:val="-7"/>
                <w:kern w:val="0"/>
                <w:sz w:val="24"/>
                <w:szCs w:val="24"/>
                <w:highlight w:val="none"/>
                <w:lang w:eastAsia="en-US"/>
              </w:rPr>
              <w:t>时间；</w:t>
            </w:r>
          </w:p>
          <w:p w14:paraId="5724548D">
            <w:pPr>
              <w:spacing w:beforeLines="30" w:line="312" w:lineRule="auto"/>
              <w:rPr>
                <w:rFonts w:ascii="仿宋" w:hAnsi="仿宋" w:eastAsia="仿宋" w:cs="仿宋"/>
                <w:snapToGrid w:val="0"/>
                <w:color w:val="000000"/>
                <w:spacing w:val="-10"/>
                <w:kern w:val="0"/>
                <w:sz w:val="24"/>
                <w:szCs w:val="24"/>
                <w:highlight w:val="none"/>
                <w:lang w:eastAsia="en-US"/>
              </w:rPr>
            </w:pPr>
            <w:r>
              <w:rPr>
                <w:rFonts w:ascii="仿宋" w:hAnsi="仿宋" w:eastAsia="仿宋" w:cs="仿宋"/>
                <w:snapToGrid w:val="0"/>
                <w:color w:val="000000"/>
                <w:spacing w:val="-2"/>
                <w:kern w:val="0"/>
                <w:sz w:val="24"/>
                <w:szCs w:val="24"/>
                <w:highlight w:val="none"/>
                <w:lang w:eastAsia="en-US"/>
              </w:rPr>
              <w:t>根据以上要求，每提供1项得0-</w:t>
            </w:r>
            <w:r>
              <w:rPr>
                <w:rFonts w:hint="eastAsia" w:ascii="仿宋" w:hAnsi="仿宋" w:eastAsia="仿宋" w:cs="仿宋"/>
                <w:snapToGrid w:val="0"/>
                <w:color w:val="000000"/>
                <w:spacing w:val="-2"/>
                <w:kern w:val="0"/>
                <w:sz w:val="24"/>
                <w:szCs w:val="24"/>
                <w:highlight w:val="none"/>
                <w:lang w:val="en-US" w:eastAsia="zh-CN"/>
              </w:rPr>
              <w:t>5</w:t>
            </w:r>
            <w:r>
              <w:rPr>
                <w:rFonts w:ascii="仿宋" w:hAnsi="仿宋" w:eastAsia="仿宋" w:cs="仿宋"/>
                <w:snapToGrid w:val="0"/>
                <w:color w:val="000000"/>
                <w:spacing w:val="-2"/>
                <w:kern w:val="0"/>
                <w:sz w:val="24"/>
                <w:szCs w:val="24"/>
                <w:highlight w:val="none"/>
                <w:lang w:eastAsia="en-US"/>
              </w:rPr>
              <w:t>分，满分</w:t>
            </w:r>
            <w:r>
              <w:rPr>
                <w:rFonts w:hint="eastAsia" w:ascii="仿宋" w:hAnsi="仿宋" w:eastAsia="仿宋" w:cs="仿宋"/>
                <w:snapToGrid w:val="0"/>
                <w:color w:val="000000"/>
                <w:spacing w:val="-34"/>
                <w:kern w:val="0"/>
                <w:sz w:val="24"/>
                <w:szCs w:val="24"/>
                <w:highlight w:val="none"/>
                <w:lang w:val="en-US" w:eastAsia="zh-CN"/>
              </w:rPr>
              <w:t>20</w:t>
            </w:r>
            <w:r>
              <w:rPr>
                <w:rFonts w:ascii="仿宋" w:hAnsi="仿宋" w:eastAsia="仿宋" w:cs="仿宋"/>
                <w:snapToGrid w:val="0"/>
                <w:color w:val="000000"/>
                <w:spacing w:val="-3"/>
                <w:kern w:val="0"/>
                <w:sz w:val="24"/>
                <w:szCs w:val="24"/>
                <w:highlight w:val="none"/>
                <w:lang w:eastAsia="en-US"/>
              </w:rPr>
              <w:t>分；未提供不得</w:t>
            </w:r>
            <w:r>
              <w:rPr>
                <w:rFonts w:ascii="仿宋" w:hAnsi="仿宋" w:eastAsia="仿宋" w:cs="仿宋"/>
                <w:snapToGrid w:val="0"/>
                <w:color w:val="000000"/>
                <w:spacing w:val="-10"/>
                <w:kern w:val="0"/>
                <w:sz w:val="24"/>
                <w:szCs w:val="24"/>
                <w:highlight w:val="none"/>
                <w:lang w:eastAsia="en-US"/>
              </w:rPr>
              <w:t>分。每有一项内容有缺陷或不符合项目需求的扣</w:t>
            </w:r>
            <w:r>
              <w:rPr>
                <w:rFonts w:hint="eastAsia" w:ascii="仿宋" w:hAnsi="仿宋" w:eastAsia="仿宋" w:cs="仿宋"/>
                <w:snapToGrid w:val="0"/>
                <w:color w:val="000000"/>
                <w:spacing w:val="-10"/>
                <w:kern w:val="0"/>
                <w:sz w:val="24"/>
                <w:szCs w:val="24"/>
                <w:highlight w:val="none"/>
                <w:lang w:val="en-US" w:eastAsia="zh-CN"/>
              </w:rPr>
              <w:t>2</w:t>
            </w:r>
            <w:r>
              <w:rPr>
                <w:rFonts w:ascii="仿宋" w:hAnsi="仿宋" w:eastAsia="仿宋" w:cs="仿宋"/>
                <w:snapToGrid w:val="0"/>
                <w:color w:val="000000"/>
                <w:spacing w:val="-10"/>
                <w:kern w:val="0"/>
                <w:sz w:val="24"/>
                <w:szCs w:val="24"/>
                <w:highlight w:val="none"/>
                <w:lang w:eastAsia="en-US"/>
              </w:rPr>
              <w:t>分，每有一项总体内容完备但存在部分瑕疵之处扣</w:t>
            </w:r>
            <w:r>
              <w:rPr>
                <w:rFonts w:hint="eastAsia" w:ascii="仿宋" w:hAnsi="仿宋" w:eastAsia="仿宋" w:cs="仿宋"/>
                <w:snapToGrid w:val="0"/>
                <w:color w:val="000000"/>
                <w:spacing w:val="-10"/>
                <w:kern w:val="0"/>
                <w:sz w:val="24"/>
                <w:szCs w:val="24"/>
                <w:highlight w:val="none"/>
                <w:lang w:val="en-US" w:eastAsia="zh-CN"/>
              </w:rPr>
              <w:t>1</w:t>
            </w:r>
            <w:r>
              <w:rPr>
                <w:rFonts w:ascii="仿宋" w:hAnsi="仿宋" w:eastAsia="仿宋" w:cs="仿宋"/>
                <w:snapToGrid w:val="0"/>
                <w:color w:val="000000"/>
                <w:spacing w:val="-10"/>
                <w:kern w:val="0"/>
                <w:sz w:val="24"/>
                <w:szCs w:val="24"/>
                <w:highlight w:val="none"/>
                <w:lang w:eastAsia="en-US"/>
              </w:rPr>
              <w:t>分。直至扣完为止，未提供不得分；</w:t>
            </w:r>
          </w:p>
          <w:p w14:paraId="5C4F0869">
            <w:pPr>
              <w:spacing w:beforeLines="30" w:line="312" w:lineRule="auto"/>
              <w:rPr>
                <w:rFonts w:hint="eastAsia" w:ascii="仿宋" w:hAnsi="仿宋" w:eastAsia="仿宋" w:cs="仿宋"/>
                <w:snapToGrid w:val="0"/>
                <w:color w:val="000000"/>
                <w:spacing w:val="-10"/>
                <w:kern w:val="0"/>
                <w:sz w:val="24"/>
                <w:szCs w:val="24"/>
                <w:highlight w:val="none"/>
                <w:lang w:val="en-US" w:eastAsia="zh-CN"/>
              </w:rPr>
            </w:pPr>
            <w:r>
              <w:rPr>
                <w:rFonts w:hint="eastAsia" w:ascii="仿宋" w:hAnsi="仿宋" w:eastAsia="仿宋" w:cs="仿宋"/>
                <w:snapToGrid w:val="0"/>
                <w:color w:val="000000"/>
                <w:spacing w:val="-10"/>
                <w:kern w:val="0"/>
                <w:sz w:val="24"/>
                <w:szCs w:val="24"/>
                <w:highlight w:val="none"/>
                <w:lang w:val="en-US" w:eastAsia="zh-CN"/>
              </w:rPr>
              <w:t>注：本项所称“缺陷”是指方案非专门针对本项目或不适用本项目特性、套用其他  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r>
      <w:tr w14:paraId="4A5A3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6FDFB42">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52ADCEF">
            <w:pPr>
              <w:spacing w:beforeLines="30" w:line="312" w:lineRule="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zh-CN" w:bidi="ar-SA"/>
              </w:rPr>
              <w:t>管理制度（20分）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0A693CEF">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供应商自有的规章制度：</w:t>
            </w:r>
          </w:p>
          <w:p w14:paraId="167DA5B7">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①各岗位的岗位职责；</w:t>
            </w:r>
          </w:p>
          <w:p w14:paraId="13961530">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②日常管理制度；</w:t>
            </w:r>
          </w:p>
          <w:p w14:paraId="2218B72D">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③人员考核制度；</w:t>
            </w:r>
          </w:p>
          <w:p w14:paraId="5F3D7333">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④首问责任制制度、投诉处理制度；</w:t>
            </w:r>
          </w:p>
          <w:p w14:paraId="6A1412F8">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⑤人员离职处理、空缺岗位填补、增减岗位程序；</w:t>
            </w:r>
          </w:p>
          <w:p w14:paraId="489A47C4">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上述5项制度每提供一项得5分；最高得20分，缺项或未提供均不得分。</w:t>
            </w:r>
            <w:r>
              <w:rPr>
                <w:rFonts w:ascii="仿宋" w:hAnsi="仿宋" w:eastAsia="仿宋" w:cs="仿宋"/>
                <w:snapToGrid w:val="0"/>
                <w:color w:val="000000"/>
                <w:spacing w:val="-10"/>
                <w:kern w:val="0"/>
                <w:sz w:val="24"/>
                <w:szCs w:val="24"/>
                <w:highlight w:val="none"/>
                <w:lang w:eastAsia="en-US"/>
              </w:rPr>
              <w:t>每有一项内容有缺陷或不符合项目需求的扣</w:t>
            </w:r>
            <w:r>
              <w:rPr>
                <w:rFonts w:hint="eastAsia" w:ascii="仿宋" w:hAnsi="仿宋" w:eastAsia="仿宋" w:cs="仿宋"/>
                <w:snapToGrid w:val="0"/>
                <w:color w:val="000000"/>
                <w:spacing w:val="-10"/>
                <w:kern w:val="0"/>
                <w:sz w:val="24"/>
                <w:szCs w:val="24"/>
                <w:highlight w:val="none"/>
                <w:lang w:val="en-US" w:eastAsia="zh-CN"/>
              </w:rPr>
              <w:t>2</w:t>
            </w:r>
            <w:r>
              <w:rPr>
                <w:rFonts w:ascii="仿宋" w:hAnsi="仿宋" w:eastAsia="仿宋" w:cs="仿宋"/>
                <w:snapToGrid w:val="0"/>
                <w:color w:val="000000"/>
                <w:spacing w:val="-10"/>
                <w:kern w:val="0"/>
                <w:sz w:val="24"/>
                <w:szCs w:val="24"/>
                <w:highlight w:val="none"/>
                <w:lang w:eastAsia="en-US"/>
              </w:rPr>
              <w:t>分，每有一项总体内容完备但存在部分瑕疵之处扣1分。直至扣完为止，未提供不得分；</w:t>
            </w:r>
          </w:p>
          <w:p w14:paraId="06C144DD">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项所称“缺陷”是指方案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r>
      <w:tr w14:paraId="5F6FB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1EFB371">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0E04251">
            <w:pPr>
              <w:spacing w:beforeLines="30" w:line="312" w:lineRule="auto"/>
              <w:rPr>
                <w:rFonts w:hint="eastAsia" w:ascii="仿宋" w:hAnsi="仿宋" w:eastAsia="仿宋" w:cs="仿宋"/>
                <w:spacing w:val="1"/>
                <w:kern w:val="2"/>
                <w:sz w:val="24"/>
                <w:szCs w:val="24"/>
                <w:highlight w:val="none"/>
                <w:lang w:val="en-US" w:eastAsia="zh-CN" w:bidi="ar-SA"/>
              </w:rPr>
            </w:pPr>
            <w:r>
              <w:rPr>
                <w:rFonts w:hint="eastAsia" w:ascii="仿宋" w:hAnsi="仿宋" w:eastAsia="仿宋" w:cs="仿宋"/>
                <w:spacing w:val="8"/>
                <w:kern w:val="2"/>
                <w:sz w:val="23"/>
                <w:szCs w:val="23"/>
                <w:highlight w:val="none"/>
                <w:lang w:val="en-US" w:eastAsia="zh-CN" w:bidi="ar-SA"/>
              </w:rPr>
              <w:t>项目团队人员（10分）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8393B6">
            <w:pPr>
              <w:numPr>
                <w:ilvl w:val="0"/>
                <w:numId w:val="9"/>
              </w:num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项目团队具有完成本项目的技术水平和经验；团队专业构成合理、团队人员数量充足、职责划分明确、安排合理，满足项目要求得10分；</w:t>
            </w:r>
          </w:p>
          <w:p w14:paraId="538A374B">
            <w:pPr>
              <w:numPr>
                <w:ilvl w:val="0"/>
                <w:numId w:val="9"/>
              </w:numPr>
              <w:spacing w:beforeLines="30" w:line="312"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项目团队基本具有完成本项目的技术水平和经验；团队专业构成较合理、团队人员数量较充足、职责划分较明确、安排较合理，基本满足项目要求得8分； </w:t>
            </w:r>
          </w:p>
          <w:p w14:paraId="6C133033">
            <w:pPr>
              <w:numPr>
                <w:ilvl w:val="0"/>
                <w:numId w:val="9"/>
              </w:numPr>
              <w:spacing w:beforeLines="30" w:line="312"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项目团队不完全具有完成本项目的技术水平和 经验丰富；团队专业构成一般合理、团队人员数量不够充足、职责划分不够明确、安排不合理，不满足项目要求得5分； </w:t>
            </w:r>
          </w:p>
          <w:p w14:paraId="49CBB91E">
            <w:pPr>
              <w:numPr>
                <w:numId w:val="0"/>
              </w:numPr>
              <w:spacing w:beforeLines="30" w:line="312" w:lineRule="auto"/>
              <w:ind w:leftChars="0"/>
              <w:rPr>
                <w:rFonts w:hint="eastAsia" w:ascii="仿宋" w:hAnsi="仿宋" w:eastAsia="仿宋" w:cs="仿宋"/>
                <w:color w:val="auto"/>
                <w:sz w:val="24"/>
                <w:szCs w:val="24"/>
                <w:highlight w:val="none"/>
                <w:lang w:val="en-US" w:eastAsia="zh-CN"/>
              </w:rPr>
            </w:pPr>
            <w:bookmarkStart w:id="408" w:name="_GoBack"/>
            <w:bookmarkEnd w:id="408"/>
            <w:r>
              <w:rPr>
                <w:rFonts w:hint="eastAsia" w:ascii="仿宋" w:hAnsi="仿宋" w:eastAsia="仿宋" w:cs="仿宋"/>
                <w:color w:val="auto"/>
                <w:sz w:val="24"/>
                <w:szCs w:val="24"/>
                <w:highlight w:val="none"/>
                <w:lang w:val="en-US" w:eastAsia="zh-CN"/>
              </w:rPr>
              <w:t>4.不提供不得分。</w:t>
            </w:r>
          </w:p>
        </w:tc>
      </w:tr>
      <w:tr w14:paraId="608A2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728B3C06">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2.4.5</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55CAF960">
            <w:pPr>
              <w:spacing w:beforeLines="30" w:line="312" w:lineRule="auto"/>
              <w:rPr>
                <w:rFonts w:hint="default" w:ascii="仿宋" w:hAnsi="仿宋" w:eastAsia="仿宋" w:cs="仿宋"/>
                <w:spacing w:val="1"/>
                <w:kern w:val="2"/>
                <w:sz w:val="24"/>
                <w:szCs w:val="24"/>
                <w:highlight w:val="none"/>
                <w:lang w:val="en-US" w:eastAsia="zh-CN" w:bidi="ar-SA"/>
              </w:rPr>
            </w:pPr>
            <w:r>
              <w:rPr>
                <w:rFonts w:ascii="仿宋" w:hAnsi="仿宋" w:eastAsia="仿宋" w:cs="仿宋"/>
                <w:spacing w:val="-4"/>
                <w:sz w:val="24"/>
                <w:szCs w:val="24"/>
              </w:rPr>
              <w:t>服务承诺</w:t>
            </w:r>
            <w:r>
              <w:rPr>
                <w:rFonts w:ascii="仿宋" w:hAnsi="仿宋" w:eastAsia="仿宋" w:cs="仿宋"/>
                <w:spacing w:val="-18"/>
                <w:sz w:val="24"/>
                <w:szCs w:val="24"/>
              </w:rPr>
              <w:t>(</w:t>
            </w:r>
            <w:r>
              <w:rPr>
                <w:rFonts w:hint="eastAsia" w:ascii="仿宋" w:hAnsi="仿宋" w:eastAsia="仿宋" w:cs="仿宋"/>
                <w:spacing w:val="-18"/>
                <w:sz w:val="24"/>
                <w:szCs w:val="24"/>
                <w:lang w:val="en-US" w:eastAsia="zh-CN"/>
              </w:rPr>
              <w:t>6</w:t>
            </w:r>
            <w:r>
              <w:rPr>
                <w:rFonts w:ascii="仿宋" w:hAnsi="仿宋" w:eastAsia="仿宋" w:cs="仿宋"/>
                <w:spacing w:val="-18"/>
                <w:sz w:val="24"/>
                <w:szCs w:val="24"/>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6FDC3158">
            <w:pPr>
              <w:widowControl/>
              <w:kinsoku w:val="0"/>
              <w:autoSpaceDE w:val="0"/>
              <w:autoSpaceDN w:val="0"/>
              <w:adjustRightInd w:val="0"/>
              <w:snapToGrid w:val="0"/>
              <w:spacing w:before="123" w:line="247" w:lineRule="auto"/>
              <w:ind w:right="232"/>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4"/>
                <w:kern w:val="0"/>
                <w:sz w:val="24"/>
                <w:szCs w:val="24"/>
                <w:lang w:eastAsia="en-US"/>
              </w:rPr>
              <w:t>1.承诺本公司有良好的职业道德，遵守法律，</w:t>
            </w:r>
            <w:r>
              <w:rPr>
                <w:rFonts w:ascii="仿宋" w:hAnsi="仿宋" w:eastAsia="仿宋" w:cs="仿宋"/>
                <w:snapToGrid w:val="0"/>
                <w:color w:val="000000"/>
                <w:spacing w:val="-5"/>
                <w:kern w:val="0"/>
                <w:sz w:val="24"/>
                <w:szCs w:val="24"/>
                <w:lang w:eastAsia="en-US"/>
              </w:rPr>
              <w:t>服从管理，自觉接</w:t>
            </w:r>
            <w:r>
              <w:rPr>
                <w:rFonts w:ascii="仿宋" w:hAnsi="仿宋" w:eastAsia="仿宋" w:cs="仿宋"/>
                <w:snapToGrid w:val="0"/>
                <w:color w:val="000000"/>
                <w:kern w:val="0"/>
                <w:sz w:val="24"/>
                <w:szCs w:val="24"/>
                <w:lang w:eastAsia="en-US"/>
              </w:rPr>
              <w:t>受监督、每季度接受甲方考核的得3</w:t>
            </w:r>
            <w:r>
              <w:rPr>
                <w:rFonts w:ascii="仿宋" w:hAnsi="仿宋" w:eastAsia="仿宋" w:cs="仿宋"/>
                <w:snapToGrid w:val="0"/>
                <w:color w:val="000000"/>
                <w:spacing w:val="-29"/>
                <w:kern w:val="0"/>
                <w:sz w:val="24"/>
                <w:szCs w:val="24"/>
                <w:lang w:eastAsia="en-US"/>
              </w:rPr>
              <w:t xml:space="preserve"> </w:t>
            </w:r>
            <w:r>
              <w:rPr>
                <w:rFonts w:ascii="仿宋" w:hAnsi="仿宋" w:eastAsia="仿宋" w:cs="仿宋"/>
                <w:snapToGrid w:val="0"/>
                <w:color w:val="000000"/>
                <w:kern w:val="0"/>
                <w:sz w:val="24"/>
                <w:szCs w:val="24"/>
                <w:lang w:eastAsia="en-US"/>
              </w:rPr>
              <w:t>分，未提供</w:t>
            </w:r>
            <w:r>
              <w:rPr>
                <w:rFonts w:hint="eastAsia" w:ascii="仿宋" w:hAnsi="仿宋" w:eastAsia="仿宋" w:cs="仿宋"/>
                <w:snapToGrid w:val="0"/>
                <w:color w:val="000000"/>
                <w:kern w:val="0"/>
                <w:sz w:val="24"/>
                <w:szCs w:val="24"/>
                <w:lang w:val="en-US" w:eastAsia="zh-CN"/>
              </w:rPr>
              <w:t>不</w:t>
            </w:r>
            <w:r>
              <w:rPr>
                <w:rFonts w:ascii="仿宋" w:hAnsi="仿宋" w:eastAsia="仿宋" w:cs="仿宋"/>
                <w:snapToGrid w:val="0"/>
                <w:color w:val="000000"/>
                <w:kern w:val="0"/>
                <w:sz w:val="24"/>
                <w:szCs w:val="24"/>
                <w:lang w:eastAsia="en-US"/>
              </w:rPr>
              <w:t>得分。</w:t>
            </w:r>
          </w:p>
          <w:p w14:paraId="34B6E784">
            <w:pPr>
              <w:spacing w:beforeLines="30" w:line="312" w:lineRule="auto"/>
              <w:rPr>
                <w:rFonts w:hint="default" w:ascii="仿宋" w:hAnsi="仿宋" w:eastAsia="仿宋" w:cs="Times New Roman"/>
                <w:color w:val="auto"/>
                <w:sz w:val="24"/>
                <w:szCs w:val="24"/>
                <w:highlight w:val="none"/>
                <w:lang w:val="en-US" w:eastAsia="zh-CN"/>
              </w:rPr>
            </w:pPr>
            <w:r>
              <w:rPr>
                <w:rFonts w:ascii="仿宋" w:hAnsi="仿宋" w:eastAsia="仿宋" w:cs="仿宋"/>
                <w:snapToGrid w:val="0"/>
                <w:color w:val="000000"/>
                <w:kern w:val="0"/>
                <w:sz w:val="24"/>
                <w:szCs w:val="24"/>
                <w:lang w:eastAsia="en-US"/>
              </w:rPr>
              <w:t>2.承诺提供8</w:t>
            </w:r>
            <w:r>
              <w:rPr>
                <w:rFonts w:ascii="仿宋" w:hAnsi="仿宋" w:eastAsia="仿宋" w:cs="仿宋"/>
                <w:snapToGrid w:val="0"/>
                <w:color w:val="000000"/>
                <w:spacing w:val="-26"/>
                <w:kern w:val="0"/>
                <w:sz w:val="24"/>
                <w:szCs w:val="24"/>
                <w:lang w:eastAsia="en-US"/>
              </w:rPr>
              <w:t xml:space="preserve"> </w:t>
            </w:r>
            <w:r>
              <w:rPr>
                <w:rFonts w:ascii="仿宋" w:hAnsi="仿宋" w:eastAsia="仿宋" w:cs="仿宋"/>
                <w:snapToGrid w:val="0"/>
                <w:color w:val="000000"/>
                <w:kern w:val="0"/>
                <w:sz w:val="24"/>
                <w:szCs w:val="24"/>
                <w:lang w:eastAsia="en-US"/>
              </w:rPr>
              <w:t>小时的咨询服务，提供时间安排计划表的得3</w:t>
            </w:r>
            <w:r>
              <w:rPr>
                <w:rFonts w:ascii="仿宋" w:hAnsi="仿宋" w:eastAsia="仿宋" w:cs="仿宋"/>
                <w:snapToGrid w:val="0"/>
                <w:color w:val="000000"/>
                <w:spacing w:val="-41"/>
                <w:kern w:val="0"/>
                <w:sz w:val="24"/>
                <w:szCs w:val="24"/>
                <w:lang w:eastAsia="en-US"/>
              </w:rPr>
              <w:t xml:space="preserve"> </w:t>
            </w:r>
            <w:r>
              <w:rPr>
                <w:rFonts w:ascii="仿宋" w:hAnsi="仿宋" w:eastAsia="仿宋" w:cs="仿宋"/>
                <w:snapToGrid w:val="0"/>
                <w:color w:val="000000"/>
                <w:kern w:val="0"/>
                <w:sz w:val="24"/>
                <w:szCs w:val="24"/>
                <w:lang w:eastAsia="en-US"/>
              </w:rPr>
              <w:t>分，</w:t>
            </w:r>
            <w:r>
              <w:rPr>
                <w:rFonts w:ascii="仿宋" w:hAnsi="仿宋" w:eastAsia="仿宋" w:cs="仿宋"/>
                <w:snapToGrid w:val="0"/>
                <w:color w:val="000000"/>
                <w:spacing w:val="-4"/>
                <w:kern w:val="0"/>
                <w:sz w:val="24"/>
                <w:szCs w:val="24"/>
                <w:lang w:eastAsia="en-US"/>
              </w:rPr>
              <w:t>不提供不得分。</w:t>
            </w:r>
          </w:p>
        </w:tc>
      </w:tr>
      <w:tr w14:paraId="735E3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2E83BE5A">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2.4.6</w:t>
            </w:r>
          </w:p>
        </w:tc>
        <w:tc>
          <w:tcPr>
            <w:tcW w:w="1738" w:type="dxa"/>
            <w:tcBorders>
              <w:top w:val="single" w:color="auto" w:sz="4" w:space="0"/>
              <w:left w:val="single" w:color="auto" w:sz="4" w:space="0"/>
              <w:right w:val="single" w:color="auto" w:sz="4" w:space="0"/>
            </w:tcBorders>
            <w:noWrap w:val="0"/>
            <w:vAlign w:val="center"/>
          </w:tcPr>
          <w:p w14:paraId="2595B348">
            <w:pPr>
              <w:spacing w:beforeLines="30" w:line="312" w:lineRule="auto"/>
              <w:rPr>
                <w:rFonts w:hint="default" w:ascii="仿宋" w:hAnsi="仿宋" w:eastAsia="仿宋" w:cs="仿宋"/>
                <w:spacing w:val="1"/>
                <w:kern w:val="2"/>
                <w:sz w:val="24"/>
                <w:szCs w:val="24"/>
                <w:highlight w:val="none"/>
                <w:lang w:val="en-US" w:eastAsia="zh-CN" w:bidi="ar-SA"/>
              </w:rPr>
            </w:pPr>
            <w:r>
              <w:rPr>
                <w:rFonts w:hint="eastAsia" w:ascii="仿宋" w:hAnsi="仿宋" w:eastAsia="仿宋" w:cs="仿宋"/>
                <w:spacing w:val="1"/>
                <w:kern w:val="2"/>
                <w:sz w:val="24"/>
                <w:szCs w:val="24"/>
                <w:highlight w:val="none"/>
                <w:lang w:val="en-US" w:eastAsia="zh-CN" w:bidi="ar-SA"/>
              </w:rPr>
              <w:t>业绩（4分）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77EEF09">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企业近三年（2023年1月1日至今）类似项目业绩，1个得1分，本项最高得4分。 </w:t>
            </w:r>
          </w:p>
          <w:p w14:paraId="5BEA6825">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注：须提供业绩合同或中标通知书，业绩合同须提供合同关键页（包括金额、签约日期、双方签章）。</w:t>
            </w:r>
          </w:p>
        </w:tc>
      </w:tr>
    </w:tbl>
    <w:p w14:paraId="6BEC8441">
      <w:pPr>
        <w:widowControl w:val="0"/>
        <w:kinsoku w:val="0"/>
        <w:autoSpaceDE w:val="0"/>
        <w:autoSpaceDN w:val="0"/>
        <w:adjustRightInd w:val="0"/>
        <w:snapToGrid w:val="0"/>
        <w:spacing w:line="360" w:lineRule="atLeast"/>
        <w:ind w:firstLine="482"/>
        <w:jc w:val="left"/>
        <w:textAlignment w:val="baseline"/>
        <w:rPr>
          <w:rFonts w:ascii="Arial" w:hAnsi="Arial" w:eastAsia="宋体" w:cs="Arial"/>
          <w:snapToGrid w:val="0"/>
          <w:color w:val="000000"/>
          <w:kern w:val="0"/>
          <w:sz w:val="24"/>
          <w:szCs w:val="21"/>
          <w:highlight w:val="none"/>
          <w:lang w:val="en-US" w:eastAsia="en-US" w:bidi="ar-SA"/>
        </w:rPr>
      </w:pPr>
    </w:p>
    <w:p w14:paraId="52F163B5">
      <w:pPr>
        <w:spacing w:beforeLines="100" w:afterLines="50" w:line="400" w:lineRule="exact"/>
        <w:ind w:firstLine="560" w:firstLineChars="200"/>
        <w:outlineLvl w:val="1"/>
        <w:rPr>
          <w:rFonts w:ascii="楷体" w:hAnsi="楷体" w:eastAsia="楷体" w:cs="Times New Roman"/>
          <w:color w:val="auto"/>
          <w:sz w:val="28"/>
          <w:szCs w:val="28"/>
        </w:rPr>
      </w:pPr>
      <w:r>
        <w:rPr>
          <w:rFonts w:hint="eastAsia" w:ascii="楷体" w:hAnsi="楷体" w:eastAsia="楷体" w:cs="Times New Roman"/>
          <w:color w:val="auto"/>
          <w:sz w:val="28"/>
          <w:szCs w:val="28"/>
          <w:lang w:val="en-US" w:eastAsia="zh-CN"/>
        </w:rPr>
        <w:t>3</w:t>
      </w:r>
      <w:r>
        <w:rPr>
          <w:rFonts w:hint="eastAsia" w:ascii="楷体" w:hAnsi="楷体" w:eastAsia="楷体" w:cs="Times New Roman"/>
          <w:color w:val="auto"/>
          <w:sz w:val="28"/>
          <w:szCs w:val="28"/>
        </w:rPr>
        <w:t>.</w:t>
      </w:r>
      <w:r>
        <w:rPr>
          <w:rFonts w:hint="eastAsia" w:ascii="楷体" w:hAnsi="楷体" w:eastAsia="楷体" w:cs="Times New Roman"/>
          <w:color w:val="auto"/>
          <w:sz w:val="28"/>
          <w:szCs w:val="28"/>
          <w:lang w:eastAsia="zh-CN"/>
        </w:rPr>
        <w:t>评审</w:t>
      </w:r>
      <w:r>
        <w:rPr>
          <w:rFonts w:hint="eastAsia" w:ascii="楷体" w:hAnsi="楷体" w:eastAsia="楷体" w:cs="Times New Roman"/>
          <w:color w:val="auto"/>
          <w:sz w:val="28"/>
          <w:szCs w:val="28"/>
        </w:rPr>
        <w:t>方法</w:t>
      </w:r>
      <w:bookmarkEnd w:id="101"/>
    </w:p>
    <w:p w14:paraId="5C570EA0">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本项目</w:t>
      </w:r>
      <w:r>
        <w:rPr>
          <w:rFonts w:hint="eastAsia" w:ascii="仿宋" w:hAnsi="仿宋" w:eastAsia="仿宋" w:cs="Times New Roman"/>
          <w:color w:val="auto"/>
          <w:sz w:val="24"/>
          <w:szCs w:val="24"/>
          <w:lang w:eastAsia="zh-CN"/>
        </w:rPr>
        <w:t>评审</w:t>
      </w:r>
      <w:r>
        <w:rPr>
          <w:rFonts w:hint="eastAsia" w:ascii="仿宋" w:hAnsi="仿宋" w:eastAsia="仿宋" w:cs="Times New Roman"/>
          <w:color w:val="auto"/>
          <w:sz w:val="24"/>
          <w:szCs w:val="24"/>
        </w:rPr>
        <w:t>办法为综合评分法。</w:t>
      </w:r>
      <w:r>
        <w:rPr>
          <w:rFonts w:hint="eastAsia" w:ascii="仿宋" w:hAnsi="仿宋" w:eastAsia="仿宋" w:cs="Times New Roman"/>
          <w:color w:val="auto"/>
          <w:sz w:val="24"/>
          <w:szCs w:val="24"/>
          <w:lang w:eastAsia="zh-CN"/>
        </w:rPr>
        <w:t>磋商小组</w:t>
      </w:r>
      <w:r>
        <w:rPr>
          <w:rFonts w:hint="eastAsia" w:ascii="仿宋" w:hAnsi="仿宋" w:eastAsia="仿宋" w:cs="Times New Roman"/>
          <w:color w:val="auto"/>
          <w:sz w:val="24"/>
          <w:szCs w:val="24"/>
        </w:rPr>
        <w:t>对满足</w:t>
      </w:r>
      <w:r>
        <w:rPr>
          <w:rFonts w:hint="eastAsia" w:ascii="仿宋" w:hAnsi="仿宋" w:eastAsia="仿宋" w:cs="Times New Roman"/>
          <w:color w:val="auto"/>
          <w:sz w:val="24"/>
          <w:szCs w:val="24"/>
          <w:lang w:eastAsia="zh-CN"/>
        </w:rPr>
        <w:t>磋商文件</w:t>
      </w:r>
      <w:r>
        <w:rPr>
          <w:rFonts w:hint="eastAsia" w:ascii="仿宋" w:hAnsi="仿宋" w:eastAsia="仿宋" w:cs="Times New Roman"/>
          <w:color w:val="auto"/>
          <w:sz w:val="24"/>
          <w:szCs w:val="24"/>
        </w:rPr>
        <w:t>实质性要求的</w:t>
      </w:r>
      <w:r>
        <w:rPr>
          <w:rFonts w:hint="eastAsia" w:ascii="仿宋" w:hAnsi="仿宋" w:eastAsia="仿宋" w:cs="Times New Roman"/>
          <w:color w:val="auto"/>
          <w:sz w:val="24"/>
          <w:szCs w:val="24"/>
          <w:lang w:eastAsia="zh-CN"/>
        </w:rPr>
        <w:t>响应文件</w:t>
      </w:r>
      <w:r>
        <w:rPr>
          <w:rFonts w:hint="eastAsia" w:ascii="仿宋" w:hAnsi="仿宋" w:eastAsia="仿宋" w:cs="Times New Roman"/>
          <w:color w:val="auto"/>
          <w:sz w:val="24"/>
          <w:szCs w:val="24"/>
        </w:rPr>
        <w:t>，按照本章第2.3、2.4款规定的评分标准进行打分，并按综合得分由高到低顺序推荐中标候选人，或根据</w:t>
      </w:r>
      <w:r>
        <w:rPr>
          <w:rFonts w:hint="eastAsia" w:ascii="仿宋" w:hAnsi="仿宋" w:eastAsia="仿宋" w:cs="Times New Roman"/>
          <w:color w:val="auto"/>
          <w:sz w:val="24"/>
          <w:szCs w:val="24"/>
          <w:lang w:eastAsia="zh-CN"/>
        </w:rPr>
        <w:t>采购人</w:t>
      </w:r>
      <w:r>
        <w:rPr>
          <w:rFonts w:hint="eastAsia" w:ascii="仿宋" w:hAnsi="仿宋" w:eastAsia="仿宋" w:cs="Times New Roman"/>
          <w:color w:val="auto"/>
          <w:sz w:val="24"/>
          <w:szCs w:val="24"/>
        </w:rPr>
        <w:t>授权直接确定中标人。综合评分相等时，以</w:t>
      </w:r>
      <w:r>
        <w:rPr>
          <w:rFonts w:hint="eastAsia" w:ascii="仿宋" w:hAnsi="仿宋" w:eastAsia="仿宋" w:cs="Times New Roman"/>
          <w:color w:val="auto"/>
          <w:sz w:val="24"/>
          <w:szCs w:val="24"/>
          <w:lang w:eastAsia="zh-CN"/>
        </w:rPr>
        <w:t>报价</w:t>
      </w:r>
      <w:r>
        <w:rPr>
          <w:rFonts w:hint="eastAsia" w:ascii="仿宋" w:hAnsi="仿宋" w:eastAsia="仿宋" w:cs="Times New Roman"/>
          <w:color w:val="auto"/>
          <w:sz w:val="24"/>
          <w:szCs w:val="24"/>
        </w:rPr>
        <w:t>低的优先；</w:t>
      </w:r>
      <w:r>
        <w:rPr>
          <w:rFonts w:hint="eastAsia" w:ascii="仿宋" w:hAnsi="仿宋" w:eastAsia="仿宋" w:cs="Times New Roman"/>
          <w:color w:val="auto"/>
          <w:sz w:val="24"/>
          <w:szCs w:val="24"/>
          <w:lang w:eastAsia="zh-CN"/>
        </w:rPr>
        <w:t>报价</w:t>
      </w:r>
      <w:r>
        <w:rPr>
          <w:rFonts w:hint="eastAsia" w:ascii="仿宋" w:hAnsi="仿宋" w:eastAsia="仿宋" w:cs="Times New Roman"/>
          <w:color w:val="auto"/>
          <w:sz w:val="24"/>
          <w:szCs w:val="24"/>
        </w:rPr>
        <w:t>也相等的，由</w:t>
      </w:r>
      <w:r>
        <w:rPr>
          <w:rFonts w:hint="eastAsia" w:ascii="仿宋" w:hAnsi="仿宋" w:eastAsia="仿宋" w:cs="Times New Roman"/>
          <w:color w:val="auto"/>
          <w:sz w:val="24"/>
          <w:szCs w:val="24"/>
          <w:lang w:eastAsia="zh-CN"/>
        </w:rPr>
        <w:t>采购人</w:t>
      </w:r>
      <w:r>
        <w:rPr>
          <w:rFonts w:hint="eastAsia" w:ascii="仿宋" w:hAnsi="仿宋" w:eastAsia="仿宋" w:cs="Times New Roman"/>
          <w:color w:val="auto"/>
          <w:sz w:val="24"/>
          <w:szCs w:val="24"/>
        </w:rPr>
        <w:t>自行确定。</w:t>
      </w:r>
    </w:p>
    <w:p w14:paraId="43195423">
      <w:pPr>
        <w:spacing w:after="156" w:afterLines="50" w:line="400" w:lineRule="exact"/>
        <w:jc w:val="center"/>
        <w:outlineLvl w:val="1"/>
        <w:rPr>
          <w:rFonts w:ascii="黑体" w:hAnsi="黑体" w:eastAsia="黑体" w:cs="Times New Roman"/>
          <w:color w:val="auto"/>
          <w:sz w:val="28"/>
          <w:szCs w:val="28"/>
        </w:rPr>
      </w:pPr>
      <w:r>
        <w:rPr>
          <w:rFonts w:hint="eastAsia" w:ascii="黑体" w:hAnsi="黑体" w:eastAsia="黑体"/>
          <w:color w:val="auto"/>
          <w:sz w:val="32"/>
          <w:szCs w:val="32"/>
          <w:highlight w:val="none"/>
        </w:rPr>
        <w:br w:type="page"/>
      </w:r>
      <w:bookmarkEnd w:id="102"/>
      <w:bookmarkStart w:id="103" w:name="_Toc28849"/>
      <w:bookmarkStart w:id="104" w:name="_Toc12379"/>
      <w:bookmarkStart w:id="105" w:name="12"/>
      <w:bookmarkStart w:id="106" w:name="_Toc464831174"/>
      <w:bookmarkStart w:id="107" w:name="_Toc464831175"/>
      <w:bookmarkStart w:id="108" w:name="_Toc427823747"/>
      <w:r>
        <w:rPr>
          <w:rFonts w:hint="eastAsia" w:ascii="黑体" w:hAnsi="黑体" w:eastAsia="黑体" w:cs="Times New Roman"/>
          <w:color w:val="auto"/>
          <w:sz w:val="32"/>
          <w:szCs w:val="32"/>
          <w:highlight w:val="none"/>
          <w:lang w:val="en-US" w:eastAsia="zh-CN"/>
        </w:rPr>
        <w:t>第五章</w:t>
      </w:r>
      <w:bookmarkEnd w:id="103"/>
      <w:r>
        <w:rPr>
          <w:rFonts w:hint="eastAsia" w:ascii="黑体" w:hAnsi="黑体" w:eastAsia="黑体" w:cs="Times New Roman"/>
          <w:color w:val="auto"/>
          <w:sz w:val="32"/>
          <w:szCs w:val="32"/>
          <w:highlight w:val="none"/>
          <w:lang w:val="en-US" w:eastAsia="zh-CN"/>
        </w:rPr>
        <w:t xml:space="preserve"> 签订合同、合同主要条款</w:t>
      </w:r>
      <w:bookmarkEnd w:id="104"/>
    </w:p>
    <w:p w14:paraId="6330604A">
      <w:pPr>
        <w:spacing w:line="400" w:lineRule="exact"/>
        <w:ind w:firstLine="560" w:firstLineChars="200"/>
        <w:outlineLvl w:val="2"/>
        <w:rPr>
          <w:rFonts w:ascii="楷体" w:hAnsi="楷体" w:eastAsia="楷体" w:cs="Times New Roman"/>
          <w:color w:val="auto"/>
          <w:sz w:val="28"/>
          <w:szCs w:val="28"/>
        </w:rPr>
      </w:pPr>
      <w:bookmarkStart w:id="109" w:name="_Toc494457101"/>
      <w:bookmarkStart w:id="110" w:name="_Toc4884"/>
      <w:r>
        <w:rPr>
          <w:rFonts w:hint="eastAsia" w:ascii="楷体" w:hAnsi="楷体" w:eastAsia="楷体" w:cs="Times New Roman"/>
          <w:color w:val="auto"/>
          <w:sz w:val="28"/>
          <w:szCs w:val="28"/>
        </w:rPr>
        <w:t>1.签订合同</w:t>
      </w:r>
      <w:bookmarkEnd w:id="109"/>
      <w:bookmarkEnd w:id="110"/>
    </w:p>
    <w:p w14:paraId="46B1DB28">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.1</w:t>
      </w:r>
      <w:r>
        <w:rPr>
          <w:rFonts w:hint="eastAsia" w:ascii="仿宋" w:hAnsi="仿宋" w:eastAsia="仿宋" w:cs="Times New Roman"/>
          <w:color w:val="auto"/>
          <w:sz w:val="24"/>
          <w:szCs w:val="24"/>
        </w:rPr>
        <w:t>按照</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和中标人</w:t>
      </w:r>
      <w:r>
        <w:rPr>
          <w:rFonts w:hint="eastAsia" w:ascii="仿宋" w:hAnsi="仿宋" w:eastAsia="仿宋" w:cs="Times New Roman"/>
          <w:color w:val="auto"/>
          <w:sz w:val="24"/>
          <w:szCs w:val="24"/>
          <w:lang w:eastAsia="zh-CN"/>
        </w:rPr>
        <w:t>响应文件</w:t>
      </w:r>
      <w:r>
        <w:rPr>
          <w:rFonts w:hint="eastAsia" w:ascii="仿宋" w:hAnsi="仿宋" w:eastAsia="仿宋" w:cs="Times New Roman"/>
          <w:color w:val="auto"/>
          <w:sz w:val="24"/>
          <w:szCs w:val="24"/>
        </w:rPr>
        <w:t>的约定，与中标人签订书面合同。所签订合同不得对</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和中标人</w:t>
      </w:r>
      <w:r>
        <w:rPr>
          <w:rFonts w:hint="eastAsia" w:ascii="仿宋" w:hAnsi="仿宋" w:eastAsia="仿宋" w:cs="Times New Roman"/>
          <w:color w:val="auto"/>
          <w:sz w:val="24"/>
          <w:szCs w:val="24"/>
          <w:lang w:eastAsia="zh-CN"/>
        </w:rPr>
        <w:t>响应文件</w:t>
      </w:r>
      <w:r>
        <w:rPr>
          <w:rFonts w:hint="eastAsia" w:ascii="仿宋" w:hAnsi="仿宋" w:eastAsia="仿宋" w:cs="Times New Roman"/>
          <w:color w:val="auto"/>
          <w:sz w:val="24"/>
          <w:szCs w:val="24"/>
        </w:rPr>
        <w:t>作实质性修改。</w:t>
      </w:r>
    </w:p>
    <w:p w14:paraId="23AC8ED1">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.2</w:t>
      </w:r>
      <w:r>
        <w:rPr>
          <w:rFonts w:hint="eastAsia" w:ascii="仿宋" w:hAnsi="仿宋" w:eastAsia="仿宋" w:cs="Times New Roman"/>
          <w:color w:val="auto"/>
          <w:sz w:val="24"/>
          <w:szCs w:val="24"/>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0E49D417">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.3</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响应文件</w:t>
      </w:r>
      <w:r>
        <w:rPr>
          <w:rFonts w:hint="eastAsia" w:ascii="仿宋" w:hAnsi="仿宋" w:eastAsia="仿宋" w:cs="Times New Roman"/>
          <w:color w:val="auto"/>
          <w:sz w:val="24"/>
          <w:szCs w:val="24"/>
        </w:rPr>
        <w:t>、书面承诺和中标通知书均作为经济合同的一部分，且具有法律效力。中标人应严格履行经济合同所规定的各项义务和责任，否则将依法处理。</w:t>
      </w:r>
    </w:p>
    <w:p w14:paraId="67B7DDA2">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.4</w:t>
      </w:r>
      <w:r>
        <w:rPr>
          <w:rFonts w:hint="eastAsia" w:ascii="仿宋" w:hAnsi="仿宋" w:eastAsia="仿宋" w:cs="Times New Roman"/>
          <w:color w:val="auto"/>
          <w:sz w:val="24"/>
          <w:szCs w:val="24"/>
        </w:rPr>
        <w:t>有关法规或者</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明确不允许分包方式履行合同的，中标人不得分包履行合同，否则将依法承担法律责任。</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明确允许分包方式履行合同的，按照</w:t>
      </w:r>
      <w:r>
        <w:rPr>
          <w:rFonts w:hint="eastAsia" w:ascii="仿宋" w:hAnsi="仿宋" w:eastAsia="仿宋" w:cs="Times New Roman"/>
          <w:color w:val="auto"/>
          <w:sz w:val="24"/>
          <w:szCs w:val="24"/>
          <w:lang w:eastAsia="zh-CN"/>
        </w:rPr>
        <w:t>竞争性磋商文件</w:t>
      </w:r>
      <w:r>
        <w:rPr>
          <w:rFonts w:hint="eastAsia" w:ascii="仿宋" w:hAnsi="仿宋" w:eastAsia="仿宋" w:cs="Times New Roman"/>
          <w:color w:val="auto"/>
          <w:sz w:val="24"/>
          <w:szCs w:val="24"/>
        </w:rPr>
        <w:t>相关规定执行。</w:t>
      </w:r>
    </w:p>
    <w:p w14:paraId="1B70F142">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14:paraId="1A3EBB13">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.5</w:t>
      </w:r>
      <w:r>
        <w:rPr>
          <w:rFonts w:hint="eastAsia" w:ascii="仿宋" w:hAnsi="仿宋" w:eastAsia="仿宋" w:cs="Times New Roman"/>
          <w:color w:val="auto"/>
          <w:sz w:val="24"/>
          <w:szCs w:val="24"/>
        </w:rPr>
        <w:t>采购人应当自采购合同签订之日起7个工作日内，将采购合同副本报同级财政部门和有关部门备案。</w:t>
      </w:r>
    </w:p>
    <w:p w14:paraId="10DC6012">
      <w:pPr>
        <w:spacing w:line="40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t>1</w:t>
      </w:r>
      <w:r>
        <w:rPr>
          <w:rFonts w:ascii="仿宋" w:hAnsi="仿宋" w:eastAsia="仿宋" w:cs="Times New Roman"/>
          <w:color w:val="auto"/>
          <w:sz w:val="24"/>
          <w:szCs w:val="24"/>
        </w:rPr>
        <w:t>.6</w:t>
      </w:r>
      <w:r>
        <w:rPr>
          <w:rFonts w:hint="eastAsia" w:ascii="仿宋" w:hAnsi="仿宋" w:eastAsia="仿宋" w:cs="Times New Roman"/>
          <w:color w:val="auto"/>
          <w:sz w:val="24"/>
          <w:szCs w:val="24"/>
        </w:rPr>
        <w:t>法律、行政法规规定应当办理批准、登记等手续后生效的合同，依照其规定。</w:t>
      </w:r>
    </w:p>
    <w:p w14:paraId="71084AF0">
      <w:pPr>
        <w:spacing w:line="400" w:lineRule="exact"/>
        <w:ind w:firstLine="560" w:firstLineChars="200"/>
        <w:outlineLvl w:val="2"/>
        <w:rPr>
          <w:rFonts w:ascii="楷体" w:hAnsi="楷体" w:eastAsia="楷体" w:cs="Times New Roman"/>
          <w:color w:val="auto"/>
          <w:sz w:val="28"/>
          <w:szCs w:val="28"/>
        </w:rPr>
      </w:pPr>
      <w:bookmarkStart w:id="111" w:name="_Toc30345"/>
      <w:bookmarkStart w:id="112" w:name="_Toc494457102"/>
      <w:r>
        <w:rPr>
          <w:rFonts w:hint="eastAsia" w:ascii="楷体" w:hAnsi="楷体" w:eastAsia="楷体" w:cs="Times New Roman"/>
          <w:color w:val="auto"/>
          <w:sz w:val="28"/>
          <w:szCs w:val="28"/>
        </w:rPr>
        <w:t>2.追加合同金额</w:t>
      </w:r>
      <w:bookmarkEnd w:id="111"/>
      <w:bookmarkEnd w:id="112"/>
    </w:p>
    <w:p w14:paraId="12B23686">
      <w:pPr>
        <w:autoSpaceDE w:val="0"/>
        <w:autoSpaceDN w:val="0"/>
        <w:adjustRightInd w:val="0"/>
        <w:spacing w:line="400" w:lineRule="exact"/>
        <w:ind w:firstLine="480"/>
        <w:rPr>
          <w:rFonts w:ascii="Times New Roman" w:hAnsi="Times New Roman" w:eastAsia="仿宋" w:cs="Times New Roman"/>
          <w:color w:val="auto"/>
          <w:sz w:val="24"/>
          <w:lang w:val="zh-CN"/>
        </w:rPr>
      </w:pPr>
      <w:r>
        <w:rPr>
          <w:rFonts w:hint="eastAsia" w:ascii="仿宋" w:hAnsi="Times New Roman" w:eastAsia="仿宋" w:cs="仿宋"/>
          <w:color w:val="auto"/>
          <w:sz w:val="24"/>
          <w:lang w:val="zh-CN"/>
        </w:rPr>
        <w:t>政府采购合同履行中，采购人需要追加与合同标的相同服务的，在不改变合同其他条款的前提下并且在签订合同后</w:t>
      </w:r>
      <w:r>
        <w:rPr>
          <w:rFonts w:ascii="仿宋" w:hAnsi="Times New Roman" w:eastAsia="仿宋" w:cs="仿宋"/>
          <w:color w:val="auto"/>
          <w:sz w:val="24"/>
          <w:lang w:val="zh-CN"/>
        </w:rPr>
        <w:t>1</w:t>
      </w:r>
      <w:r>
        <w:rPr>
          <w:rFonts w:hint="eastAsia" w:ascii="仿宋" w:hAnsi="Times New Roman" w:eastAsia="仿宋" w:cs="仿宋"/>
          <w:color w:val="auto"/>
          <w:sz w:val="24"/>
          <w:lang w:val="zh-CN"/>
        </w:rPr>
        <w:t>年内，经采购人报同级财政部门批准后，可以与中标人协商签订补充合同，但所有补充合同的采购金额不得超过原合同采购金额的</w:t>
      </w:r>
      <w:r>
        <w:rPr>
          <w:rFonts w:ascii="仿宋" w:hAnsi="Times New Roman" w:eastAsia="仿宋" w:cs="仿宋"/>
          <w:color w:val="auto"/>
          <w:sz w:val="24"/>
          <w:lang w:val="zh-CN"/>
        </w:rPr>
        <w:t>10%</w:t>
      </w:r>
      <w:r>
        <w:rPr>
          <w:rFonts w:hint="eastAsia" w:ascii="仿宋" w:hAnsi="Times New Roman" w:eastAsia="仿宋" w:cs="仿宋"/>
          <w:color w:val="auto"/>
          <w:sz w:val="24"/>
          <w:lang w:val="zh-CN"/>
        </w:rPr>
        <w:t>，否则采购人应重新组织招标。</w:t>
      </w:r>
    </w:p>
    <w:p w14:paraId="1AA98889">
      <w:pPr>
        <w:autoSpaceDE w:val="0"/>
        <w:autoSpaceDN w:val="0"/>
        <w:adjustRightInd w:val="0"/>
        <w:spacing w:line="400" w:lineRule="exact"/>
        <w:ind w:firstLine="480"/>
        <w:rPr>
          <w:rFonts w:ascii="Times New Roman" w:hAnsi="Times New Roman" w:eastAsia="仿宋" w:cs="Times New Roman"/>
          <w:color w:val="auto"/>
          <w:sz w:val="24"/>
          <w:lang w:val="zh-CN"/>
        </w:rPr>
      </w:pPr>
      <w:r>
        <w:rPr>
          <w:rFonts w:hint="eastAsia" w:ascii="仿宋" w:hAnsi="Times New Roman" w:eastAsia="仿宋" w:cs="仿宋"/>
          <w:color w:val="auto"/>
          <w:sz w:val="24"/>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4A10B924">
      <w:pPr>
        <w:spacing w:line="400" w:lineRule="exact"/>
        <w:ind w:firstLine="560" w:firstLineChars="200"/>
        <w:outlineLvl w:val="2"/>
        <w:rPr>
          <w:rFonts w:ascii="楷体" w:hAnsi="楷体" w:eastAsia="楷体" w:cs="Times New Roman"/>
          <w:color w:val="auto"/>
          <w:sz w:val="28"/>
          <w:szCs w:val="28"/>
        </w:rPr>
      </w:pPr>
      <w:bookmarkStart w:id="113" w:name="_Toc20641"/>
      <w:bookmarkStart w:id="114" w:name="_Toc494457103"/>
      <w:r>
        <w:rPr>
          <w:rFonts w:hint="eastAsia" w:ascii="楷体" w:hAnsi="楷体" w:eastAsia="楷体" w:cs="Times New Roman"/>
          <w:color w:val="auto"/>
          <w:sz w:val="28"/>
          <w:szCs w:val="28"/>
        </w:rPr>
        <w:t>3.</w:t>
      </w:r>
      <w:r>
        <w:rPr>
          <w:rFonts w:hint="eastAsia" w:ascii="楷体" w:hAnsi="楷体" w:eastAsia="楷体" w:cs="Times New Roman"/>
          <w:color w:val="auto"/>
          <w:sz w:val="28"/>
          <w:szCs w:val="28"/>
          <w:lang w:eastAsia="zh-CN"/>
        </w:rPr>
        <w:t>服务成果质量</w:t>
      </w:r>
      <w:r>
        <w:rPr>
          <w:rFonts w:hint="eastAsia" w:ascii="楷体" w:hAnsi="楷体" w:eastAsia="楷体" w:cs="Times New Roman"/>
          <w:color w:val="auto"/>
          <w:sz w:val="28"/>
          <w:szCs w:val="28"/>
        </w:rPr>
        <w:t>与验收</w:t>
      </w:r>
      <w:bookmarkEnd w:id="113"/>
      <w:bookmarkEnd w:id="114"/>
    </w:p>
    <w:p w14:paraId="39E5AFA1">
      <w:pPr>
        <w:autoSpaceDE w:val="0"/>
        <w:autoSpaceDN w:val="0"/>
        <w:adjustRightInd w:val="0"/>
        <w:spacing w:line="400" w:lineRule="exact"/>
        <w:ind w:firstLine="482"/>
        <w:rPr>
          <w:rFonts w:ascii="Times New Roman" w:hAnsi="Times New Roman" w:eastAsia="仿宋" w:cs="Times New Roman"/>
          <w:color w:val="auto"/>
          <w:sz w:val="24"/>
          <w:lang w:val="zh-CN"/>
        </w:rPr>
      </w:pPr>
      <w:r>
        <w:rPr>
          <w:rFonts w:hint="eastAsia" w:ascii="仿宋" w:hAnsi="Times New Roman" w:eastAsia="仿宋" w:cs="仿宋"/>
          <w:color w:val="auto"/>
          <w:sz w:val="24"/>
          <w:lang w:val="zh-CN"/>
        </w:rPr>
        <w:t>竞争性磋商文件中的服务按照国标、部标、行业标准或者双方技术协议或者竞争性磋商文件、响应文件、书面承诺提供服务。如对服务以及质量有争议，采购人组织相关部门对服务和质量进行检验或者验收，未达到服务要求的，由成中标人承担全部责任。</w:t>
      </w:r>
    </w:p>
    <w:p w14:paraId="7B425B4D">
      <w:pPr>
        <w:spacing w:line="400" w:lineRule="exact"/>
        <w:ind w:firstLine="560" w:firstLineChars="200"/>
        <w:outlineLvl w:val="2"/>
        <w:rPr>
          <w:rFonts w:ascii="楷体" w:hAnsi="楷体" w:eastAsia="楷体" w:cs="Times New Roman"/>
          <w:color w:val="auto"/>
          <w:sz w:val="28"/>
          <w:szCs w:val="28"/>
        </w:rPr>
      </w:pPr>
      <w:bookmarkStart w:id="115" w:name="_Toc3359"/>
      <w:bookmarkStart w:id="116" w:name="_Toc494457104"/>
      <w:r>
        <w:rPr>
          <w:rFonts w:hint="eastAsia" w:ascii="楷体" w:hAnsi="楷体" w:eastAsia="楷体" w:cs="Times New Roman"/>
          <w:color w:val="auto"/>
          <w:sz w:val="28"/>
          <w:szCs w:val="28"/>
        </w:rPr>
        <w:t>4.合同主要条款</w:t>
      </w:r>
      <w:bookmarkEnd w:id="115"/>
      <w:bookmarkEnd w:id="116"/>
    </w:p>
    <w:p w14:paraId="158C1C10">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合同编号：</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            </w:t>
      </w:r>
    </w:p>
    <w:p w14:paraId="1D867080">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甲方（采购人）：</w:t>
      </w:r>
      <w:r>
        <w:rPr>
          <w:rFonts w:hint="eastAsia" w:ascii="仿宋" w:hAnsi="仿宋" w:eastAsia="仿宋" w:cs="仿宋"/>
          <w:color w:val="auto"/>
          <w:sz w:val="24"/>
          <w:u w:val="single"/>
          <w:lang w:val="zh-CN"/>
        </w:rPr>
        <w:t xml:space="preserve">                    </w:t>
      </w:r>
    </w:p>
    <w:p w14:paraId="2C704D9D">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住所地：</w:t>
      </w:r>
      <w:r>
        <w:rPr>
          <w:rFonts w:hint="eastAsia"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p>
    <w:p w14:paraId="2C77F1C8">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乙方（中标人）：</w:t>
      </w:r>
      <w:r>
        <w:rPr>
          <w:rFonts w:hint="eastAsia" w:ascii="仿宋" w:hAnsi="仿宋" w:eastAsia="仿宋" w:cs="仿宋"/>
          <w:color w:val="auto"/>
          <w:sz w:val="24"/>
          <w:u w:val="single"/>
          <w:lang w:val="zh-CN"/>
        </w:rPr>
        <w:t xml:space="preserve">                    </w:t>
      </w:r>
    </w:p>
    <w:p w14:paraId="67597650">
      <w:pPr>
        <w:autoSpaceDE w:val="0"/>
        <w:autoSpaceDN w:val="0"/>
        <w:adjustRightInd w:val="0"/>
        <w:spacing w:line="400" w:lineRule="exact"/>
        <w:ind w:firstLine="480"/>
        <w:jc w:val="left"/>
        <w:rPr>
          <w:rFonts w:hint="eastAsia" w:ascii="仿宋" w:hAnsi="仿宋" w:eastAsia="仿宋" w:cs="仿宋"/>
          <w:color w:val="auto"/>
          <w:sz w:val="24"/>
          <w:u w:val="single"/>
        </w:rPr>
      </w:pPr>
      <w:r>
        <w:rPr>
          <w:rFonts w:hint="eastAsia" w:ascii="仿宋" w:hAnsi="仿宋" w:eastAsia="仿宋" w:cs="仿宋"/>
          <w:color w:val="auto"/>
          <w:sz w:val="24"/>
          <w:lang w:val="zh-CN"/>
        </w:rPr>
        <w:t>住所地：</w:t>
      </w:r>
      <w:r>
        <w:rPr>
          <w:rFonts w:hint="eastAsia" w:ascii="仿宋" w:hAnsi="仿宋" w:eastAsia="仿宋" w:cs="仿宋"/>
          <w:color w:val="auto"/>
          <w:sz w:val="24"/>
          <w:u w:val="single"/>
          <w:lang w:val="zh-CN"/>
        </w:rPr>
        <w:t xml:space="preserve">                          </w:t>
      </w:r>
    </w:p>
    <w:p w14:paraId="6013605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乙方于</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日参加了</w:t>
      </w:r>
      <w:r>
        <w:rPr>
          <w:rFonts w:hint="eastAsia" w:ascii="仿宋" w:hAnsi="仿宋" w:eastAsia="仿宋" w:cs="仿宋"/>
          <w:color w:val="auto"/>
          <w:sz w:val="24"/>
          <w:u w:val="single"/>
          <w:lang w:val="zh-CN"/>
        </w:rPr>
        <w:t xml:space="preserve"> （采购人或者代理机构） </w:t>
      </w:r>
      <w:r>
        <w:rPr>
          <w:rFonts w:hint="eastAsia" w:ascii="仿宋" w:hAnsi="仿宋" w:eastAsia="仿宋" w:cs="仿宋"/>
          <w:color w:val="auto"/>
          <w:sz w:val="24"/>
          <w:lang w:val="zh-CN"/>
        </w:rPr>
        <w:t xml:space="preserve">组织的“ </w:t>
      </w:r>
      <w:r>
        <w:rPr>
          <w:rFonts w:hint="eastAsia" w:ascii="仿宋" w:hAnsi="仿宋" w:eastAsia="仿宋" w:cs="仿宋"/>
          <w:color w:val="auto"/>
          <w:sz w:val="24"/>
          <w:u w:val="single"/>
          <w:lang w:val="zh-CN"/>
        </w:rPr>
        <w:t xml:space="preserve"> （项目名称及项目编号）  </w:t>
      </w:r>
      <w:r>
        <w:rPr>
          <w:rFonts w:hint="eastAsia" w:ascii="仿宋" w:hAnsi="仿宋" w:eastAsia="仿宋" w:cs="仿宋"/>
          <w:color w:val="auto"/>
          <w:sz w:val="24"/>
          <w:lang w:val="zh-CN"/>
        </w:rPr>
        <w:t>”政府采购活动，经</w:t>
      </w:r>
      <w:r>
        <w:rPr>
          <w:rFonts w:hint="eastAsia" w:ascii="仿宋" w:hAnsi="仿宋" w:eastAsia="仿宋" w:cs="仿宋"/>
          <w:color w:val="auto"/>
          <w:sz w:val="24"/>
          <w:lang w:val="en-US" w:eastAsia="zh-CN"/>
        </w:rPr>
        <w:t>磋商</w:t>
      </w:r>
      <w:r>
        <w:rPr>
          <w:rFonts w:hint="eastAsia" w:ascii="仿宋" w:hAnsi="仿宋" w:eastAsia="仿宋" w:cs="仿宋"/>
          <w:color w:val="auto"/>
          <w:sz w:val="24"/>
          <w:lang w:val="zh-CN"/>
        </w:rPr>
        <w:t>小组评审确定乙方为</w:t>
      </w:r>
      <w:r>
        <w:rPr>
          <w:rFonts w:hint="eastAsia" w:ascii="仿宋" w:hAnsi="仿宋" w:eastAsia="仿宋" w:cs="仿宋"/>
          <w:color w:val="auto"/>
          <w:sz w:val="24"/>
          <w:u w:val="single"/>
          <w:lang w:val="zh-CN"/>
        </w:rPr>
        <w:t xml:space="preserve"> （包及包名称） </w:t>
      </w:r>
      <w:r>
        <w:rPr>
          <w:rFonts w:hint="eastAsia" w:ascii="仿宋" w:hAnsi="仿宋" w:eastAsia="仿宋" w:cs="仿宋"/>
          <w:color w:val="auto"/>
          <w:sz w:val="24"/>
          <w:lang w:val="zh-CN"/>
        </w:rPr>
        <w:t xml:space="preserve"> 中标人，按照《中华人民共和国合同法》、《中华人民共和国政府采购法》和相关的法律法规规定，以及竞争性磋商文件要求，经甲乙双方协商一致，签订本政府采购合同。</w:t>
      </w:r>
    </w:p>
    <w:p w14:paraId="7AC0FE2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第一条 合同标的</w:t>
      </w:r>
    </w:p>
    <w:p w14:paraId="77F445B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服务名称：</w:t>
      </w:r>
    </w:p>
    <w:p w14:paraId="2E9C941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服务内容：</w:t>
      </w:r>
    </w:p>
    <w:p w14:paraId="6E56F9FF">
      <w:pPr>
        <w:autoSpaceDE w:val="0"/>
        <w:autoSpaceDN w:val="0"/>
        <w:adjustRightInd w:val="0"/>
        <w:spacing w:line="400" w:lineRule="exact"/>
        <w:ind w:firstLine="482"/>
        <w:rPr>
          <w:rFonts w:hint="eastAsia" w:ascii="仿宋" w:hAnsi="仿宋" w:eastAsia="仿宋" w:cs="仿宋"/>
          <w:color w:val="auto"/>
          <w:sz w:val="24"/>
          <w:lang w:val="zh-CN"/>
        </w:rPr>
      </w:pPr>
      <w:r>
        <w:rPr>
          <w:rFonts w:ascii="仿宋" w:hAnsi="仿宋" w:eastAsia="仿宋" w:cs="仿宋"/>
          <w:color w:val="auto"/>
          <w:sz w:val="24"/>
          <w:lang w:val="zh-CN"/>
        </w:rPr>
        <w:t>…………</w:t>
      </w:r>
    </w:p>
    <w:p w14:paraId="3506370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技术标准：</w:t>
      </w:r>
    </w:p>
    <w:p w14:paraId="33C62E7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6AE31D8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第二条  合同总金额</w:t>
      </w:r>
    </w:p>
    <w:p w14:paraId="637801D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合同总金额为人民币（大写）：</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 </w:t>
      </w:r>
    </w:p>
    <w:p w14:paraId="7E6D126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此价格为合同执行不变价，不因国家政策变化而变化，该价款包括了全部价款，除此之外，甲方不再向乙方支付其他任何费用。</w:t>
      </w:r>
    </w:p>
    <w:p w14:paraId="0575E8D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A495FA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第三条  服务交付</w:t>
      </w:r>
    </w:p>
    <w:p w14:paraId="0B43CF1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1、交付日期： </w:t>
      </w:r>
    </w:p>
    <w:p w14:paraId="3E6FDC3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2、交付地点：</w:t>
      </w:r>
    </w:p>
    <w:p w14:paraId="3267943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E7D03C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第四条  交付验收</w:t>
      </w:r>
    </w:p>
    <w:p w14:paraId="73674CF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1、乙方应对提交的服务成果作出全面检查和整理，并列出清单，作为甲方验收和使用技术条件依据，清单应随提交的服务成果交给甲方。</w:t>
      </w:r>
    </w:p>
    <w:p w14:paraId="215F653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2、乙方在指定地点提交服务成果后，甲乙双方应依据竞争性磋商文件、响应文件等文件材料的要求共同验收，并且出具书面验收报告。</w:t>
      </w:r>
    </w:p>
    <w:p w14:paraId="2943E67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3、对复杂的服务，甲方可邀请国家认可的专业机构参与验收，并出具验收报告，相关费用负担由甲乙双方约定。</w:t>
      </w:r>
    </w:p>
    <w:p w14:paraId="2705D30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66C735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第五条  所有权归属</w:t>
      </w:r>
    </w:p>
    <w:p w14:paraId="202B036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56F615B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61BEE16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第六条  包装、装运及运输</w:t>
      </w:r>
    </w:p>
    <w:p w14:paraId="0D08E52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1、乙方负责包装、装运和运输，由于不适当的包装、装运和运输造成任何损坏均由乙方负责。</w:t>
      </w:r>
    </w:p>
    <w:p w14:paraId="6070E9B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2、包装费、运费及相关费用已包含在合同总金额内。</w:t>
      </w:r>
    </w:p>
    <w:p w14:paraId="2139CD4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609741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第七条  款项支付</w:t>
      </w:r>
    </w:p>
    <w:p w14:paraId="4BE3688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1、服务成果交付甲方，经甲乙双方共同验收合格后由甲方负责办理支付手续。</w:t>
      </w:r>
    </w:p>
    <w:p w14:paraId="5DE0344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2、属国库集中支付资金，甲方应按照双方约定的付款期限，及时向财政部门报送资金支付申请，财政部门对支付申请审核无误后，将款项直接支付至乙方账户。</w:t>
      </w:r>
    </w:p>
    <w:p w14:paraId="38BDEF2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3、付款方式 </w:t>
      </w:r>
    </w:p>
    <w:p w14:paraId="23FE5F3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Times New Roman"/>
          <w:sz w:val="24"/>
          <w:szCs w:val="24"/>
          <w:lang w:val="en-US" w:eastAsia="zh-CN"/>
        </w:rPr>
        <w:t>合同签订后5日内向成交供应商支付30%预付款，项目成果文件提交后支付30%合同款，服务成果验收合格后支付30%合同款，服务质保期满1年后支付10%。</w:t>
      </w:r>
    </w:p>
    <w:p w14:paraId="131BC2D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210FA9B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第八条  履约保证金</w:t>
      </w:r>
    </w:p>
    <w:p w14:paraId="7E938BB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1、乙方须向甲方交纳人民币（大写）</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）元作为本合同的履约保证金。 </w:t>
      </w:r>
    </w:p>
    <w:p w14:paraId="55212F8A">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2、履约保证金用于补偿甲方因乙方不能履行或不能完全履行合同义务而蒙受的损失。</w:t>
      </w:r>
    </w:p>
    <w:p w14:paraId="5BDE1AF9">
      <w:pPr>
        <w:autoSpaceDE w:val="0"/>
        <w:autoSpaceDN w:val="0"/>
        <w:adjustRightInd w:val="0"/>
        <w:spacing w:line="400" w:lineRule="exact"/>
        <w:ind w:firstLine="480" w:firstLineChars="200"/>
        <w:rPr>
          <w:rFonts w:ascii="Times New Roman" w:hAnsi="Times New Roman" w:eastAsia="仿宋" w:cs="Times New Roman"/>
          <w:color w:val="auto"/>
          <w:sz w:val="24"/>
          <w:lang w:val="zh-CN"/>
        </w:rPr>
      </w:pPr>
      <w:r>
        <w:rPr>
          <w:rFonts w:hint="eastAsia" w:ascii="仿宋" w:hAnsi="仿宋" w:eastAsia="仿宋" w:cs="仿宋"/>
          <w:color w:val="auto"/>
          <w:sz w:val="24"/>
          <w:lang w:val="zh-CN"/>
        </w:rPr>
        <w:t>3、</w:t>
      </w:r>
      <w:r>
        <w:rPr>
          <w:rFonts w:hint="eastAsia" w:ascii="仿宋" w:hAnsi="Times New Roman" w:eastAsia="仿宋" w:cs="仿宋"/>
          <w:color w:val="auto"/>
          <w:sz w:val="24"/>
          <w:lang w:val="zh-CN"/>
        </w:rPr>
        <w:t>履约保证金在服务交付验收合格</w:t>
      </w:r>
      <w:r>
        <w:rPr>
          <w:rFonts w:ascii="仿宋" w:hAnsi="Times New Roman" w:eastAsia="仿宋" w:cs="仿宋"/>
          <w:color w:val="auto"/>
          <w:sz w:val="24"/>
          <w:u w:val="single"/>
          <w:lang w:val="zh-CN"/>
        </w:rPr>
        <w:t xml:space="preserve">    </w:t>
      </w:r>
      <w:r>
        <w:rPr>
          <w:rFonts w:hint="eastAsia" w:ascii="仿宋" w:hAnsi="Times New Roman" w:eastAsia="仿宋" w:cs="仿宋"/>
          <w:color w:val="auto"/>
          <w:sz w:val="24"/>
          <w:lang w:val="zh-CN"/>
        </w:rPr>
        <w:t>月无质量问题后，填写《政府采购项目履约保证金退付表》、《政府采购项目验收单》和资金往来收款收据交监督部门后</w:t>
      </w:r>
      <w:r>
        <w:rPr>
          <w:rFonts w:ascii="仿宋" w:hAnsi="Times New Roman" w:eastAsia="仿宋" w:cs="仿宋"/>
          <w:color w:val="auto"/>
          <w:sz w:val="24"/>
          <w:lang w:val="zh-CN"/>
        </w:rPr>
        <w:t>20</w:t>
      </w:r>
      <w:r>
        <w:rPr>
          <w:rFonts w:hint="eastAsia" w:ascii="仿宋" w:hAnsi="Times New Roman" w:eastAsia="仿宋" w:cs="仿宋"/>
          <w:color w:val="auto"/>
          <w:sz w:val="24"/>
          <w:lang w:val="zh-CN"/>
        </w:rPr>
        <w:t>个工作日内退还。</w:t>
      </w:r>
    </w:p>
    <w:p w14:paraId="3BF4CDD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1DB97E8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第九条  售后服务及承诺</w:t>
      </w:r>
    </w:p>
    <w:p w14:paraId="4CADEB5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1、服务成果质量保证期限自提交服务验收合格之日起</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年，在质量保证期内，乙方应对服务出现的问题负责处理并承担一切费用，并且赔偿甲方的损失。</w:t>
      </w:r>
    </w:p>
    <w:p w14:paraId="7943870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2、乙方有完善的服务体系，有能力提供持续的、本地化售后服务。</w:t>
      </w:r>
    </w:p>
    <w:p w14:paraId="20A98F4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、服务范围：负责竞争性磋商文件所涉及到的所有服务。</w:t>
      </w:r>
    </w:p>
    <w:p w14:paraId="0E3126A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A30065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第十条  知识产权</w:t>
      </w:r>
    </w:p>
    <w:p w14:paraId="75F7AE5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4E8C807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2、乙方为执行本合同而提供的技术资料或者其他相关资料、软件等由甲方永久免费使用。</w:t>
      </w:r>
    </w:p>
    <w:p w14:paraId="516EE46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53DB764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第十一条  甲方责任</w:t>
      </w:r>
    </w:p>
    <w:p w14:paraId="37EAF6D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1、及时办理付款手续。</w:t>
      </w:r>
    </w:p>
    <w:p w14:paraId="26B3D06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2、负责提供工作场地，协助乙方办理有关事宜。</w:t>
      </w:r>
    </w:p>
    <w:p w14:paraId="0F9DFE8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3、对合同条款及所知悉的乙方商业秘密负有保密义务。</w:t>
      </w:r>
    </w:p>
    <w:p w14:paraId="725C7D8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378E446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第十二条  乙方责任</w:t>
      </w:r>
    </w:p>
    <w:p w14:paraId="450E3DD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1、保证所提供服务为响应文件承诺服务，符合相关法律法规规定并且满足甲方的需求，保证其配套项目部件为全新的未使用的且符合相关的质量要求。</w:t>
      </w:r>
    </w:p>
    <w:p w14:paraId="14D212C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2、保证所提供服务的售后服务，严格依据响应文件及相关承诺。</w:t>
      </w:r>
    </w:p>
    <w:p w14:paraId="5097DF0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3、保证其所供服务不存在侵犯第三方知识产权的行为，否则由此产生的损失由乙方承担。</w:t>
      </w:r>
    </w:p>
    <w:p w14:paraId="150CF75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7FB77E5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第十三条  违约责任</w:t>
      </w:r>
    </w:p>
    <w:p w14:paraId="42D3F6A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1、乙方所供服务成果及与之配套项目等不符合合同约定标准，甲方有权拒收。同时，乙方向甲方支付合同总金额20%的违约金。</w:t>
      </w:r>
    </w:p>
    <w:p w14:paraId="6F1A6D1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2、乙方不能交付服务成果时，乙方向甲方支付合同总金额20%的违约金。</w:t>
      </w:r>
    </w:p>
    <w:p w14:paraId="5CCDC82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0D9E411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4、因甲方过错而给乙方造成的损失，由甲方负担。</w:t>
      </w:r>
    </w:p>
    <w:p w14:paraId="55FE463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1DDFDE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第十四条  不可抗力</w:t>
      </w:r>
    </w:p>
    <w:p w14:paraId="18E8C80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55B70F5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F25760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第十五条  保密</w:t>
      </w:r>
    </w:p>
    <w:p w14:paraId="563CCBD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0E3C989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乙方违反本合同所规定的保密义务，应按照本合同总金额的10%支付违约金。</w:t>
      </w:r>
    </w:p>
    <w:p w14:paraId="5AA4AFC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24228E4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第十六条  争议解决</w:t>
      </w:r>
    </w:p>
    <w:p w14:paraId="2921F16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甲乙双方在合同履行中发生争议，应通过协商解决。如协商不成，可以向合同签订地法院提起诉讼。</w:t>
      </w:r>
    </w:p>
    <w:p w14:paraId="4222959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3D21FF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第十七条  合同生效及其他</w:t>
      </w:r>
    </w:p>
    <w:p w14:paraId="576BE8C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1、除竞争性磋商文件规定且甲方事先书面同意外，乙方不得部分或者全部转让、分包履行其应履行的合同项下的义务。</w:t>
      </w:r>
    </w:p>
    <w:p w14:paraId="7832B03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2、合同由甲、乙双方法定代表人（或者被授权代表）签字并加盖单位公章。 </w:t>
      </w:r>
    </w:p>
    <w:p w14:paraId="3ED1CAF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3、本合同一式六份，甲方一份，乙方一份，采购代理机构二份，同级财政部门一份，市公共资源交易管理办公室一份。</w:t>
      </w:r>
    </w:p>
    <w:p w14:paraId="72A3537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A40F10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第十八条   服务期限</w:t>
      </w:r>
    </w:p>
    <w:p w14:paraId="7D7C695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本合同服务期限为</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年；服务期限自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日起至</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日止。本合同期限届满，如需续签，根据《政府采购目录》有关规定，经财政部门批准，双方可以根据法律及各项规定另行签订书面合同。</w:t>
      </w:r>
    </w:p>
    <w:p w14:paraId="6F88338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第十九条  下列文件为本合同不可分割部分</w:t>
      </w:r>
    </w:p>
    <w:p w14:paraId="6CE7DFF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1、政府采购竞争性磋商文件（包括澄清、修改）；</w:t>
      </w:r>
    </w:p>
    <w:p w14:paraId="0168846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2、乙方响应文件；</w:t>
      </w:r>
    </w:p>
    <w:p w14:paraId="73FADC0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3、中标（成交）通知书；</w:t>
      </w:r>
    </w:p>
    <w:p w14:paraId="574C08F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4、中标人在评标过程中做出的有关澄清、说明、承诺或者补正文件；</w:t>
      </w:r>
    </w:p>
    <w:p w14:paraId="1257A19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5、政府采购委托协议书；</w:t>
      </w:r>
    </w:p>
    <w:p w14:paraId="5106368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    方：                             乙    方：</w:t>
      </w:r>
    </w:p>
    <w:p w14:paraId="74549FF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单位名称(公章)：                       单位名称(公章)：</w:t>
      </w:r>
    </w:p>
    <w:p w14:paraId="68FCB11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法定代表人（被授权代表）签字：         法定代表人（被授权代表）签字：                </w:t>
      </w:r>
    </w:p>
    <w:p w14:paraId="72A8E36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电    话：                             电    话：</w:t>
      </w:r>
    </w:p>
    <w:p w14:paraId="380858C0">
      <w:pPr>
        <w:pStyle w:val="25"/>
        <w:spacing w:before="0" w:beforeAutospacing="0" w:after="0" w:afterAutospacing="0" w:line="360" w:lineRule="auto"/>
        <w:rPr>
          <w:rFonts w:ascii="Times New Roman" w:hAnsi="Times New Roman" w:eastAsia="等线" w:cs="Times New Roman"/>
        </w:rPr>
      </w:pPr>
      <w:r>
        <w:rPr>
          <w:rFonts w:hint="eastAsia" w:ascii="仿宋" w:hAnsi="仿宋" w:eastAsia="仿宋" w:cs="仿宋"/>
          <w:color w:val="auto"/>
          <w:sz w:val="24"/>
          <w:lang w:val="zh-CN"/>
        </w:rPr>
        <w:t>年   月   日                           年   月   日</w:t>
      </w:r>
    </w:p>
    <w:p w14:paraId="458FD852">
      <w:pPr>
        <w:pStyle w:val="149"/>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仿宋" w:hAnsi="仿宋" w:eastAsia="仿宋" w:cs="仿宋"/>
          <w:color w:val="auto"/>
          <w:sz w:val="24"/>
          <w:szCs w:val="24"/>
          <w:highlight w:val="none"/>
        </w:rPr>
      </w:pPr>
    </w:p>
    <w:p w14:paraId="19D6EA2F">
      <w:pPr>
        <w:pStyle w:val="149"/>
        <w:spacing w:line="360" w:lineRule="auto"/>
        <w:ind w:firstLine="480" w:firstLineChars="200"/>
        <w:jc w:val="left"/>
        <w:rPr>
          <w:rFonts w:hint="eastAsia" w:ascii="仿宋" w:hAnsi="仿宋" w:eastAsia="仿宋" w:cs="仿宋"/>
          <w:color w:val="auto"/>
          <w:sz w:val="24"/>
          <w:szCs w:val="24"/>
          <w:highlight w:val="none"/>
        </w:rPr>
      </w:pPr>
    </w:p>
    <w:bookmarkEnd w:id="105"/>
    <w:p w14:paraId="5A56341C">
      <w:pPr>
        <w:pStyle w:val="4"/>
        <w:spacing w:after="120" w:line="360" w:lineRule="auto"/>
        <w:jc w:val="center"/>
        <w:outlineLvl w:val="2"/>
        <w:rPr>
          <w:rFonts w:hint="eastAsia" w:ascii="仿宋" w:hAnsi="仿宋" w:eastAsia="仿宋" w:cs="仿宋"/>
          <w:color w:val="auto"/>
          <w:sz w:val="24"/>
          <w:szCs w:val="24"/>
          <w:highlight w:val="none"/>
        </w:rPr>
      </w:pPr>
      <w:bookmarkStart w:id="117" w:name="_Toc422322481"/>
      <w:bookmarkStart w:id="118" w:name="_Toc419045066"/>
      <w:r>
        <w:rPr>
          <w:rFonts w:hint="eastAsia" w:ascii="仿宋" w:hAnsi="仿宋" w:eastAsia="仿宋" w:cs="仿宋"/>
          <w:color w:val="auto"/>
          <w:sz w:val="24"/>
          <w:szCs w:val="24"/>
          <w:highlight w:val="none"/>
        </w:rPr>
        <w:br w:type="page"/>
      </w:r>
      <w:bookmarkStart w:id="119" w:name="_Toc13480"/>
      <w:bookmarkStart w:id="120" w:name="_Toc30928"/>
      <w:r>
        <w:rPr>
          <w:rFonts w:hint="eastAsia" w:ascii="楷体" w:hAnsi="楷体" w:eastAsia="楷体" w:cs="Times New Roman"/>
          <w:b w:val="0"/>
          <w:bCs w:val="0"/>
          <w:color w:val="auto"/>
          <w:kern w:val="2"/>
          <w:sz w:val="28"/>
          <w:szCs w:val="28"/>
          <w:highlight w:val="none"/>
          <w:lang w:val="en-US" w:eastAsia="zh-CN" w:bidi="ar-SA"/>
        </w:rPr>
        <w:t>第二部分  通用条件</w:t>
      </w:r>
      <w:bookmarkEnd w:id="117"/>
      <w:bookmarkEnd w:id="118"/>
      <w:bookmarkEnd w:id="119"/>
      <w:bookmarkEnd w:id="120"/>
    </w:p>
    <w:p w14:paraId="358FBA66">
      <w:pPr>
        <w:pStyle w:val="26"/>
        <w:spacing w:before="0" w:after="0" w:line="360" w:lineRule="auto"/>
        <w:jc w:val="left"/>
        <w:outlineLvl w:val="9"/>
        <w:rPr>
          <w:rFonts w:hint="eastAsia" w:ascii="仿宋" w:hAnsi="仿宋" w:eastAsia="仿宋" w:cs="仿宋"/>
          <w:color w:val="auto"/>
          <w:sz w:val="24"/>
          <w:szCs w:val="24"/>
          <w:highlight w:val="none"/>
        </w:rPr>
      </w:pPr>
      <w:bookmarkStart w:id="121" w:name="_Toc422322482"/>
      <w:bookmarkStart w:id="122" w:name="_Toc2668"/>
      <w:bookmarkStart w:id="123" w:name="_Toc12085"/>
      <w:bookmarkStart w:id="124" w:name="_Toc419045067"/>
      <w:r>
        <w:rPr>
          <w:rFonts w:hint="eastAsia" w:ascii="仿宋" w:hAnsi="仿宋" w:eastAsia="仿宋" w:cs="仿宋"/>
          <w:color w:val="auto"/>
          <w:sz w:val="24"/>
          <w:szCs w:val="24"/>
          <w:highlight w:val="none"/>
        </w:rPr>
        <w:t>1.词语定义、语言、解释顺序与适用法律</w:t>
      </w:r>
      <w:bookmarkEnd w:id="121"/>
      <w:bookmarkEnd w:id="122"/>
      <w:bookmarkEnd w:id="123"/>
      <w:bookmarkEnd w:id="124"/>
    </w:p>
    <w:p w14:paraId="1FA0518D">
      <w:pPr>
        <w:pStyle w:val="21"/>
        <w:spacing w:line="360" w:lineRule="auto"/>
        <w:ind w:firstLine="480" w:firstLineChars="200"/>
        <w:jc w:val="left"/>
        <w:outlineLvl w:val="9"/>
        <w:rPr>
          <w:rFonts w:hint="eastAsia" w:ascii="仿宋" w:hAnsi="仿宋" w:eastAsia="仿宋" w:cs="仿宋"/>
          <w:b w:val="0"/>
          <w:color w:val="auto"/>
          <w:sz w:val="24"/>
          <w:szCs w:val="24"/>
          <w:highlight w:val="none"/>
        </w:rPr>
      </w:pPr>
      <w:bookmarkStart w:id="125" w:name="_Toc419045068"/>
      <w:bookmarkStart w:id="126" w:name="_Toc2810"/>
      <w:bookmarkStart w:id="127" w:name="_Toc11006"/>
      <w:bookmarkStart w:id="128" w:name="_Toc422322483"/>
      <w:r>
        <w:rPr>
          <w:rFonts w:hint="eastAsia" w:ascii="仿宋" w:hAnsi="仿宋" w:eastAsia="仿宋" w:cs="仿宋"/>
          <w:b w:val="0"/>
          <w:color w:val="auto"/>
          <w:sz w:val="24"/>
          <w:szCs w:val="24"/>
          <w:highlight w:val="none"/>
        </w:rPr>
        <w:t>1.1词语定义</w:t>
      </w:r>
      <w:bookmarkEnd w:id="125"/>
      <w:bookmarkEnd w:id="126"/>
      <w:bookmarkEnd w:id="127"/>
      <w:bookmarkEnd w:id="128"/>
    </w:p>
    <w:p w14:paraId="41B7381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组成本合同的全部文件中的下列名词和用语应具有本款所赋予的含义：</w:t>
      </w:r>
    </w:p>
    <w:p w14:paraId="7A58094B">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1.1.1“工程”是指按照本合同约定实施造价咨询与其他服务的建设工程。    </w:t>
      </w:r>
    </w:p>
    <w:p w14:paraId="5B52680D">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1.1.2“工程造价”是指工程项目建设过程中预计或实际支出的全部费用。</w:t>
      </w:r>
    </w:p>
    <w:p w14:paraId="0D007828">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1.1.3“委托人”是指本合同中委托造价咨询与其他服务的一方，及其合法的继承人或受让人。</w:t>
      </w:r>
    </w:p>
    <w:p w14:paraId="5EEE34BE">
      <w:pPr>
        <w:pStyle w:val="149"/>
        <w:spacing w:line="360" w:lineRule="auto"/>
        <w:ind w:firstLine="480" w:firstLineChars="20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1.1.4“咨询人”是指本合同中提供造价咨询与其他服务的一方</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及其合法的继承人。</w:t>
      </w:r>
    </w:p>
    <w:p w14:paraId="1D5FB114">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1.1.5“第三人”是指除委托人、咨询人以外与本咨询业务有关的当事人。</w:t>
      </w:r>
    </w:p>
    <w:p w14:paraId="126BF133">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1.1.6“正常工作”是指本合同订立时通用条件和专用条件中约定的咨询人的工作。</w:t>
      </w:r>
    </w:p>
    <w:p w14:paraId="163CFDDF">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1.1.7“附加工作”是指咨询人根据合同条件完成的正常工作以外的工作。</w:t>
      </w:r>
    </w:p>
    <w:p w14:paraId="37870E7B">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1.1.8“项目咨询团队”是指咨询人指派负责履行本合同的团队，其团队成员为本合同的项目咨询人员。</w:t>
      </w:r>
    </w:p>
    <w:p w14:paraId="660699E4">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1.1.9“项目负责人”是指由咨询人的法定代表人书面授权，在授权范围内负责履行本合同、主持项目咨询团队工作的负责人。</w:t>
      </w:r>
    </w:p>
    <w:p w14:paraId="0E51C33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1.1.10“委托人代表”是指由委托人的法定代表人书面授权，在授权范围内行使委托人权利的人。</w:t>
      </w:r>
    </w:p>
    <w:p w14:paraId="7ED69166">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1.1.11“酬金”是指咨询人履行本合同义务，委托人按照本合同约定给付咨询人的金额。</w:t>
      </w:r>
    </w:p>
    <w:p w14:paraId="0DB6131D">
      <w:pPr>
        <w:pStyle w:val="149"/>
        <w:spacing w:line="360" w:lineRule="auto"/>
        <w:ind w:firstLine="480" w:firstLineChars="20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1.1.12“正常工作酬金”是指在协议书中载明的，咨询人完成正常工作，委托人应给付咨询人的酬金。</w:t>
      </w:r>
    </w:p>
    <w:p w14:paraId="23F9DF1C">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1.1.13“附加工作酬金”是指咨询人完成附加工作，委托人应给付咨询人的酬金。</w:t>
      </w:r>
    </w:p>
    <w:p w14:paraId="6A0D1B4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“书面形式”是指合同书、信件和数据电文（包括电报、电传、传真、电子数据交换和电子邮件）等可以有形地表现所载内容的形式。</w:t>
      </w:r>
    </w:p>
    <w:p w14:paraId="097CBE8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“不可抗力”是指委托人和咨询人在订立本合同时不可预见，在合同履行过程中不可避免并不能克服的自然灾害和社会性突发事件，如地震、海啸、瘟疫、水灾、骚乱、暴动、战争等情形。</w:t>
      </w:r>
    </w:p>
    <w:p w14:paraId="5B2D91CB">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29" w:name="_Toc19193"/>
      <w:bookmarkStart w:id="130" w:name="_Toc15453"/>
      <w:bookmarkStart w:id="131" w:name="_Toc422322484"/>
      <w:bookmarkStart w:id="132" w:name="_Toc419045069"/>
      <w:r>
        <w:rPr>
          <w:rFonts w:hint="eastAsia" w:ascii="仿宋" w:hAnsi="仿宋" w:eastAsia="仿宋" w:cs="仿宋"/>
          <w:b w:val="0"/>
          <w:color w:val="auto"/>
          <w:sz w:val="24"/>
          <w:szCs w:val="24"/>
          <w:highlight w:val="none"/>
        </w:rPr>
        <w:t>1.2语言</w:t>
      </w:r>
      <w:bookmarkEnd w:id="129"/>
      <w:bookmarkEnd w:id="130"/>
      <w:bookmarkEnd w:id="131"/>
      <w:bookmarkEnd w:id="132"/>
    </w:p>
    <w:p w14:paraId="33E4493D">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本合同使用中文书写、解释和说明。如专用条件约定使用两种及以上语言文字时，应以中文为准。</w:t>
      </w:r>
    </w:p>
    <w:p w14:paraId="001AE813">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33" w:name="_Toc422322485"/>
      <w:bookmarkStart w:id="134" w:name="_Toc25841"/>
      <w:bookmarkStart w:id="135" w:name="_Toc419045070"/>
      <w:bookmarkStart w:id="136" w:name="_Toc24710"/>
      <w:r>
        <w:rPr>
          <w:rFonts w:hint="eastAsia" w:ascii="仿宋" w:hAnsi="仿宋" w:eastAsia="仿宋" w:cs="仿宋"/>
          <w:b w:val="0"/>
          <w:color w:val="auto"/>
          <w:sz w:val="24"/>
          <w:szCs w:val="24"/>
          <w:highlight w:val="none"/>
        </w:rPr>
        <w:t>1.3合同文件的优先顺序</w:t>
      </w:r>
      <w:bookmarkEnd w:id="133"/>
      <w:bookmarkEnd w:id="134"/>
      <w:bookmarkEnd w:id="135"/>
      <w:bookmarkEnd w:id="136"/>
    </w:p>
    <w:p w14:paraId="79B600CC">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组成本合同的下列文件彼此应能相互解释、互为说明。除专用条件另有约定外，本合同文件的解释顺序如下：</w:t>
      </w:r>
    </w:p>
    <w:p w14:paraId="5FA01A75">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1.协议书</w:t>
      </w:r>
    </w:p>
    <w:p w14:paraId="4731F2DD">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2.中标通知书或委托书（如果有）；</w:t>
      </w:r>
    </w:p>
    <w:p w14:paraId="230DADD6">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3.专用条件及附录；</w:t>
      </w:r>
    </w:p>
    <w:p w14:paraId="0323A8E2">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4.通用条件；</w:t>
      </w:r>
    </w:p>
    <w:p w14:paraId="7F3129F2">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5.投标函及投标函附录或造价咨询服务建议书（如果有）；</w:t>
      </w:r>
    </w:p>
    <w:p w14:paraId="76712A64">
      <w:pPr>
        <w:spacing w:line="360" w:lineRule="auto"/>
        <w:ind w:firstLine="468"/>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6.其他合同文件。</w:t>
      </w:r>
    </w:p>
    <w:p w14:paraId="720C5F4C">
      <w:pPr>
        <w:pStyle w:val="149"/>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上述各项合同文件包括合同当事人就该项合同文件所作出的补充和修改，属于同一类内容的文件，应以最新签署的为准。</w:t>
      </w:r>
    </w:p>
    <w:p w14:paraId="527AB498">
      <w:pPr>
        <w:spacing w:line="360" w:lineRule="auto"/>
        <w:ind w:firstLine="468"/>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在合同订立及履行过程中形成的与合同有关的文件均构成合同文件的组成部分。</w:t>
      </w:r>
    </w:p>
    <w:p w14:paraId="1E766AF4">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37" w:name="_Toc422322486"/>
      <w:bookmarkStart w:id="138" w:name="_Toc419045071"/>
      <w:bookmarkStart w:id="139" w:name="_Toc28917"/>
      <w:bookmarkStart w:id="140" w:name="_Toc29518"/>
      <w:r>
        <w:rPr>
          <w:rFonts w:hint="eastAsia" w:ascii="仿宋" w:hAnsi="仿宋" w:eastAsia="仿宋" w:cs="仿宋"/>
          <w:b w:val="0"/>
          <w:color w:val="auto"/>
          <w:sz w:val="24"/>
          <w:szCs w:val="24"/>
          <w:highlight w:val="none"/>
        </w:rPr>
        <w:t>1.4适用法律</w:t>
      </w:r>
      <w:bookmarkEnd w:id="137"/>
      <w:bookmarkEnd w:id="138"/>
      <w:bookmarkEnd w:id="139"/>
      <w:bookmarkEnd w:id="140"/>
    </w:p>
    <w:p w14:paraId="7EAA4F8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本合同适用中华人民共和国法律、行政法规、部门规章以及工程所在地的地方性法规、自治条例、单行条例和地方政府规章等。</w:t>
      </w:r>
    </w:p>
    <w:p w14:paraId="35D70493">
      <w:pPr>
        <w:spacing w:line="360" w:lineRule="auto"/>
        <w:ind w:firstLine="480" w:firstLineChars="200"/>
        <w:outlineLvl w:val="9"/>
        <w:rPr>
          <w:rStyle w:val="188"/>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合同当事人可以在专用条件中约定本合同适用的其他规范、规程、定额、技术标准等规范性文件。</w:t>
      </w:r>
    </w:p>
    <w:p w14:paraId="0E534C68">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141" w:name="_Toc422322487"/>
      <w:bookmarkStart w:id="142" w:name="_Toc5974"/>
      <w:bookmarkStart w:id="143" w:name="_Toc5464"/>
      <w:r>
        <w:rPr>
          <w:rFonts w:hint="eastAsia" w:ascii="仿宋" w:hAnsi="仿宋" w:eastAsia="仿宋" w:cs="仿宋"/>
          <w:color w:val="auto"/>
          <w:sz w:val="24"/>
          <w:szCs w:val="24"/>
          <w:highlight w:val="none"/>
        </w:rPr>
        <w:t>2.委托人的义务</w:t>
      </w:r>
      <w:bookmarkEnd w:id="141"/>
      <w:bookmarkEnd w:id="142"/>
      <w:bookmarkEnd w:id="143"/>
    </w:p>
    <w:p w14:paraId="358D805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44" w:name="_Toc22408"/>
      <w:bookmarkStart w:id="145" w:name="_Toc422322488"/>
      <w:bookmarkStart w:id="146" w:name="_Toc419045072"/>
      <w:bookmarkStart w:id="147" w:name="_Toc31833"/>
      <w:r>
        <w:rPr>
          <w:rFonts w:hint="eastAsia" w:ascii="仿宋" w:hAnsi="仿宋" w:eastAsia="仿宋" w:cs="仿宋"/>
          <w:b w:val="0"/>
          <w:color w:val="auto"/>
          <w:sz w:val="24"/>
          <w:szCs w:val="24"/>
          <w:highlight w:val="none"/>
        </w:rPr>
        <w:t>2.1提供资料</w:t>
      </w:r>
      <w:bookmarkEnd w:id="144"/>
      <w:bookmarkEnd w:id="145"/>
      <w:bookmarkEnd w:id="146"/>
      <w:bookmarkEnd w:id="147"/>
    </w:p>
    <w:p w14:paraId="378F524D">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70E64E1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48" w:name="_Toc26445"/>
      <w:bookmarkStart w:id="149" w:name="_Toc419045073"/>
      <w:bookmarkStart w:id="150" w:name="_Toc10490"/>
      <w:bookmarkStart w:id="151" w:name="_Toc422322489"/>
      <w:r>
        <w:rPr>
          <w:rFonts w:hint="eastAsia" w:ascii="仿宋" w:hAnsi="仿宋" w:eastAsia="仿宋" w:cs="仿宋"/>
          <w:b w:val="0"/>
          <w:color w:val="auto"/>
          <w:sz w:val="24"/>
          <w:szCs w:val="24"/>
          <w:highlight w:val="none"/>
        </w:rPr>
        <w:t>2.2提供工作条件</w:t>
      </w:r>
      <w:bookmarkEnd w:id="148"/>
      <w:bookmarkEnd w:id="149"/>
      <w:bookmarkEnd w:id="150"/>
      <w:bookmarkEnd w:id="151"/>
    </w:p>
    <w:p w14:paraId="3BB2232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委托人应为咨询人完成造价咨询提供必要的条件。</w:t>
      </w:r>
    </w:p>
    <w:p w14:paraId="79BA637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2.2.1委托人需要咨询人派驻项目现场咨询人员的，除专用条件另有约定外，项目咨询人员有权无偿使用附录D中由委托人提供的房屋及设备。</w:t>
      </w:r>
    </w:p>
    <w:p w14:paraId="05271E7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2.2.2委托人应负责与本工程造价咨询业务有关的所有外部关系的协调，为咨询人履行本合同提供必要的外部条件。</w:t>
      </w:r>
    </w:p>
    <w:p w14:paraId="324B3C40">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52" w:name="_Toc31185"/>
      <w:bookmarkStart w:id="153" w:name="_Toc422322490"/>
      <w:bookmarkStart w:id="154" w:name="_Toc12583"/>
      <w:bookmarkStart w:id="155" w:name="_Toc419045074"/>
      <w:r>
        <w:rPr>
          <w:rFonts w:hint="eastAsia" w:ascii="仿宋" w:hAnsi="仿宋" w:eastAsia="仿宋" w:cs="仿宋"/>
          <w:b w:val="0"/>
          <w:color w:val="auto"/>
          <w:sz w:val="24"/>
          <w:szCs w:val="24"/>
          <w:highlight w:val="none"/>
        </w:rPr>
        <w:t>2.3合理工作时限</w:t>
      </w:r>
      <w:bookmarkEnd w:id="152"/>
      <w:bookmarkEnd w:id="153"/>
      <w:bookmarkEnd w:id="154"/>
      <w:bookmarkEnd w:id="155"/>
    </w:p>
    <w:p w14:paraId="1120609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委托人应当为咨询人完成其咨询工作，设定合理的工作时限。</w:t>
      </w:r>
    </w:p>
    <w:p w14:paraId="1BF75E3C">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56" w:name="_Toc20536"/>
      <w:bookmarkStart w:id="157" w:name="_Toc419045075"/>
      <w:bookmarkStart w:id="158" w:name="_Toc26985"/>
      <w:bookmarkStart w:id="159" w:name="_Toc422322491"/>
      <w:r>
        <w:rPr>
          <w:rFonts w:hint="eastAsia" w:ascii="仿宋" w:hAnsi="仿宋" w:eastAsia="仿宋" w:cs="仿宋"/>
          <w:b w:val="0"/>
          <w:color w:val="auto"/>
          <w:sz w:val="24"/>
          <w:szCs w:val="24"/>
          <w:highlight w:val="none"/>
        </w:rPr>
        <w:t>2.4委托人代表</w:t>
      </w:r>
      <w:bookmarkEnd w:id="156"/>
      <w:bookmarkEnd w:id="157"/>
      <w:bookmarkEnd w:id="158"/>
      <w:bookmarkEnd w:id="159"/>
    </w:p>
    <w:p w14:paraId="3F10957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委托人应授权一名代表负责本合同的履行。委托人应在双方签订本合同7日内，将委托人代表的姓名和权限范围书面告知咨询人。委托人更换委托人代表时，应提前7日书面通知咨询人。</w:t>
      </w:r>
    </w:p>
    <w:p w14:paraId="21685E41">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60" w:name="_Toc7519"/>
      <w:bookmarkStart w:id="161" w:name="_Toc419045076"/>
      <w:bookmarkStart w:id="162" w:name="_Toc26858"/>
      <w:bookmarkStart w:id="163" w:name="_Toc422322492"/>
      <w:r>
        <w:rPr>
          <w:rFonts w:hint="eastAsia" w:ascii="仿宋" w:hAnsi="仿宋" w:eastAsia="仿宋" w:cs="仿宋"/>
          <w:b w:val="0"/>
          <w:color w:val="auto"/>
          <w:sz w:val="24"/>
          <w:szCs w:val="24"/>
          <w:highlight w:val="none"/>
        </w:rPr>
        <w:t>2.5答复</w:t>
      </w:r>
      <w:bookmarkEnd w:id="160"/>
      <w:bookmarkEnd w:id="161"/>
      <w:bookmarkEnd w:id="162"/>
      <w:bookmarkEnd w:id="163"/>
    </w:p>
    <w:p w14:paraId="3E250A8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委托人应当在专用条件约定的时间内就咨询人以书面形式提交并要求做出答复的事宜给予书面答复。逾期未答复的，由此造成的工作延误和损失由委托人承担。</w:t>
      </w:r>
    </w:p>
    <w:p w14:paraId="6C064F8A">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64" w:name="_Toc10003"/>
      <w:bookmarkStart w:id="165" w:name="_Toc419045077"/>
      <w:bookmarkStart w:id="166" w:name="_Toc20668"/>
      <w:bookmarkStart w:id="167" w:name="_Toc422322493"/>
      <w:r>
        <w:rPr>
          <w:rFonts w:hint="eastAsia" w:ascii="仿宋" w:hAnsi="仿宋" w:eastAsia="仿宋" w:cs="仿宋"/>
          <w:b w:val="0"/>
          <w:color w:val="auto"/>
          <w:sz w:val="24"/>
          <w:szCs w:val="24"/>
          <w:highlight w:val="none"/>
        </w:rPr>
        <w:t>2.6支付</w:t>
      </w:r>
      <w:bookmarkEnd w:id="164"/>
      <w:bookmarkEnd w:id="165"/>
      <w:bookmarkEnd w:id="166"/>
      <w:bookmarkEnd w:id="167"/>
    </w:p>
    <w:p w14:paraId="4AC03CD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委托人应当按照合同的约定，向咨询人支付酬金。</w:t>
      </w:r>
    </w:p>
    <w:p w14:paraId="26FA373E">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168" w:name="_Toc22678"/>
      <w:bookmarkStart w:id="169" w:name="_Toc16"/>
      <w:bookmarkStart w:id="170" w:name="_Toc419045078"/>
      <w:bookmarkStart w:id="171" w:name="_Toc422322494"/>
      <w:r>
        <w:rPr>
          <w:rFonts w:hint="eastAsia" w:ascii="仿宋" w:hAnsi="仿宋" w:eastAsia="仿宋" w:cs="仿宋"/>
          <w:color w:val="auto"/>
          <w:sz w:val="24"/>
          <w:szCs w:val="24"/>
          <w:highlight w:val="none"/>
        </w:rPr>
        <w:t>3.咨询人的义务</w:t>
      </w:r>
      <w:bookmarkEnd w:id="168"/>
      <w:bookmarkEnd w:id="169"/>
      <w:bookmarkEnd w:id="170"/>
      <w:bookmarkEnd w:id="171"/>
    </w:p>
    <w:p w14:paraId="61720F70">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72" w:name="_Toc30240"/>
      <w:bookmarkStart w:id="173" w:name="_Toc419045080"/>
      <w:bookmarkStart w:id="174" w:name="_Toc27689"/>
      <w:bookmarkStart w:id="175" w:name="_Toc422322495"/>
      <w:bookmarkStart w:id="176" w:name="16"/>
      <w:r>
        <w:rPr>
          <w:rFonts w:hint="eastAsia" w:ascii="仿宋" w:hAnsi="仿宋" w:eastAsia="仿宋" w:cs="仿宋"/>
          <w:b w:val="0"/>
          <w:color w:val="auto"/>
          <w:sz w:val="24"/>
          <w:szCs w:val="24"/>
          <w:highlight w:val="none"/>
        </w:rPr>
        <w:t>3.1 项目咨询团队及人员</w:t>
      </w:r>
      <w:bookmarkEnd w:id="172"/>
      <w:bookmarkEnd w:id="173"/>
      <w:bookmarkEnd w:id="174"/>
      <w:bookmarkEnd w:id="175"/>
    </w:p>
    <w:p w14:paraId="52A8082A">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3.1.1项目咨询团队的主要人员应具有专用条件约定的资格条件，团队人员的数量应符合专用条件的约定。</w:t>
      </w:r>
    </w:p>
    <w:p w14:paraId="6A756E98">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3.1.2项目负责人</w:t>
      </w:r>
    </w:p>
    <w:p w14:paraId="5AB8DEFE">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咨询人应以书面形式授权一名项目负责人负责履行本合同、主持项目咨询团队工作。采用招标程序签署本合同的，项目负责人应当与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载明的一致。</w:t>
      </w:r>
    </w:p>
    <w:p w14:paraId="5E66A5DC">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3.1.3在本合同履行过程中，咨询人员应保持相对稳定，以保证咨询工作正常进行。</w:t>
      </w:r>
    </w:p>
    <w:p w14:paraId="589411D9">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53B9D9FC">
      <w:pPr>
        <w:pStyle w:val="149"/>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3.1.4咨询人员有下列情形之一，委托人要求咨询人更换的，咨询人应当更换：</w:t>
      </w:r>
    </w:p>
    <w:p w14:paraId="1786C7BE">
      <w:pPr>
        <w:pStyle w:val="149"/>
        <w:spacing w:line="360" w:lineRule="auto"/>
        <w:ind w:firstLine="33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（1）存在严重过失行为的；</w:t>
      </w:r>
    </w:p>
    <w:p w14:paraId="7858AF06">
      <w:pPr>
        <w:pStyle w:val="149"/>
        <w:spacing w:line="360" w:lineRule="auto"/>
        <w:ind w:firstLine="33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（2）存在违法行为不能履行职责的；</w:t>
      </w:r>
    </w:p>
    <w:p w14:paraId="1D25E9B7">
      <w:pPr>
        <w:pStyle w:val="149"/>
        <w:spacing w:line="360" w:lineRule="auto"/>
        <w:ind w:firstLine="33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（3）涉嫌犯罪的；</w:t>
      </w:r>
    </w:p>
    <w:p w14:paraId="2A2BE301">
      <w:pPr>
        <w:pStyle w:val="149"/>
        <w:spacing w:line="360" w:lineRule="auto"/>
        <w:ind w:firstLine="33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（4）不能胜任岗位职责的；</w:t>
      </w:r>
    </w:p>
    <w:p w14:paraId="3749E7CE">
      <w:pPr>
        <w:pStyle w:val="149"/>
        <w:spacing w:line="360" w:lineRule="auto"/>
        <w:ind w:firstLine="33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（5）严重违反职业道德的；</w:t>
      </w:r>
    </w:p>
    <w:p w14:paraId="4CF21622">
      <w:pPr>
        <w:pStyle w:val="149"/>
        <w:spacing w:line="360" w:lineRule="auto"/>
        <w:ind w:firstLine="336"/>
        <w:jc w:val="left"/>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（6）专用条件约定的其他情形。</w:t>
      </w:r>
    </w:p>
    <w:p w14:paraId="1DAB4E9D">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77" w:name="_Toc7818"/>
      <w:bookmarkStart w:id="178" w:name="_Toc422322496"/>
      <w:bookmarkStart w:id="179" w:name="_Toc15677"/>
      <w:r>
        <w:rPr>
          <w:rFonts w:hint="eastAsia" w:ascii="仿宋" w:hAnsi="仿宋" w:eastAsia="仿宋" w:cs="仿宋"/>
          <w:b w:val="0"/>
          <w:color w:val="auto"/>
          <w:sz w:val="24"/>
          <w:szCs w:val="24"/>
          <w:highlight w:val="none"/>
        </w:rPr>
        <w:t>3.2 咨询人的工作要求</w:t>
      </w:r>
      <w:bookmarkEnd w:id="177"/>
      <w:bookmarkEnd w:id="178"/>
      <w:bookmarkEnd w:id="179"/>
    </w:p>
    <w:p w14:paraId="61DD838B">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339BA79">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3.2.2咨询人应当在专用条件约定的时间内，按照专用条件约定的份数、组成向委托人提交咨询成果文件。</w:t>
      </w:r>
    </w:p>
    <w:p w14:paraId="695386E3">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EA4727A">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3.2.3咨询人提交的工程造价咨询成果文件，除加盖咨询人单位公章、工程造价咨询企业执业印章外，还必须按要求加盖参加咨询工作人员的执业（从业）资格印章。</w:t>
      </w:r>
    </w:p>
    <w:p w14:paraId="551EEA52">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3.2.4咨询人应在专用条件约定的时间内，对委托人以书面形式提出的建议或者异议给予书面答复。</w:t>
      </w:r>
    </w:p>
    <w:p w14:paraId="0730E86B">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3.2.5咨询人从事工程造价咨询活动，应当遵循独立、客观、公正、诚</w:t>
      </w:r>
    </w:p>
    <w:p w14:paraId="76A5ED7E">
      <w:pPr>
        <w:pStyle w:val="149"/>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实信用的原则，不得损害社会公共利益和他人的合法权益。</w:t>
      </w:r>
    </w:p>
    <w:p w14:paraId="485E2A5B">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3.2.6咨询人承诺按照法律规定及合同约定，完成合同范围内的建设工程造价咨询服务，不转包承接的造价咨询服务业务。</w:t>
      </w:r>
    </w:p>
    <w:p w14:paraId="2D9700A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80" w:name="_Toc16142"/>
      <w:bookmarkStart w:id="181" w:name="_Toc7279"/>
      <w:bookmarkStart w:id="182" w:name="_Toc419045081"/>
      <w:bookmarkStart w:id="183" w:name="_Toc422322497"/>
      <w:r>
        <w:rPr>
          <w:rFonts w:hint="eastAsia" w:ascii="仿宋" w:hAnsi="仿宋" w:eastAsia="仿宋" w:cs="仿宋"/>
          <w:b w:val="0"/>
          <w:color w:val="auto"/>
          <w:sz w:val="24"/>
          <w:szCs w:val="24"/>
          <w:highlight w:val="none"/>
        </w:rPr>
        <w:t>3.3咨询人的工作依据</w:t>
      </w:r>
      <w:bookmarkEnd w:id="180"/>
      <w:bookmarkEnd w:id="181"/>
      <w:bookmarkEnd w:id="182"/>
      <w:bookmarkEnd w:id="183"/>
    </w:p>
    <w:p w14:paraId="444B99F9">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咨询人应在专用条件内与委托人协商明确履行本合同约定的咨询服务需要适用的技术标准、规范、定额等工作依据，但不得违反国家及工程所在地的强制性标准、规范。</w:t>
      </w:r>
    </w:p>
    <w:p w14:paraId="2F549009">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咨询人应自行配备本条所述的技术标准、规范、定额等相关资料。必须由委托人提供的资料，应在附录C中载明。需要委托人协助才能获得的资料，委托人应予以协助。</w:t>
      </w:r>
    </w:p>
    <w:p w14:paraId="32171F28">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84" w:name="_Toc422322498"/>
      <w:bookmarkStart w:id="185" w:name="_Toc14464"/>
      <w:bookmarkStart w:id="186" w:name="_Toc419045082"/>
      <w:bookmarkStart w:id="187" w:name="_Toc20768"/>
      <w:r>
        <w:rPr>
          <w:rFonts w:hint="eastAsia" w:ascii="仿宋" w:hAnsi="仿宋" w:eastAsia="仿宋" w:cs="仿宋"/>
          <w:b w:val="0"/>
          <w:color w:val="auto"/>
          <w:sz w:val="24"/>
          <w:szCs w:val="24"/>
          <w:highlight w:val="none"/>
        </w:rPr>
        <w:t>3.4使用委托人房屋及设备的返还</w:t>
      </w:r>
      <w:bookmarkEnd w:id="184"/>
      <w:bookmarkEnd w:id="185"/>
      <w:bookmarkEnd w:id="186"/>
      <w:bookmarkEnd w:id="187"/>
    </w:p>
    <w:p w14:paraId="04F44294">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项目咨询人员使用委托人提供的房屋及设备的，咨询人应妥善使用和保管，在本合同终止时将上述房屋及设备按专用条件约定的时间和方式返还委托人。</w:t>
      </w:r>
    </w:p>
    <w:bookmarkEnd w:id="176"/>
    <w:p w14:paraId="3992FE12">
      <w:pPr>
        <w:spacing w:line="360" w:lineRule="auto"/>
        <w:ind w:firstLine="482" w:firstLineChars="200"/>
        <w:outlineLvl w:val="9"/>
        <w:rPr>
          <w:rStyle w:val="188"/>
          <w:rFonts w:hint="eastAsia" w:ascii="仿宋" w:hAnsi="仿宋" w:eastAsia="仿宋" w:cs="仿宋"/>
          <w:color w:val="auto"/>
          <w:sz w:val="24"/>
          <w:szCs w:val="24"/>
          <w:highlight w:val="none"/>
        </w:rPr>
      </w:pPr>
      <w:bookmarkStart w:id="188" w:name="_Toc419045083"/>
      <w:bookmarkStart w:id="189" w:name="_Toc422322499"/>
      <w:bookmarkStart w:id="190" w:name="_Toc12359"/>
      <w:bookmarkStart w:id="191" w:name="_Toc29051"/>
      <w:bookmarkStart w:id="192" w:name="19"/>
      <w:r>
        <w:rPr>
          <w:rStyle w:val="188"/>
          <w:rFonts w:hint="eastAsia" w:ascii="仿宋" w:hAnsi="仿宋" w:eastAsia="仿宋" w:cs="仿宋"/>
          <w:color w:val="auto"/>
          <w:sz w:val="24"/>
          <w:szCs w:val="24"/>
          <w:highlight w:val="none"/>
        </w:rPr>
        <w:t>4.违约责任</w:t>
      </w:r>
      <w:bookmarkEnd w:id="188"/>
      <w:bookmarkEnd w:id="189"/>
    </w:p>
    <w:bookmarkEnd w:id="190"/>
    <w:bookmarkEnd w:id="191"/>
    <w:p w14:paraId="505FE7C8">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93" w:name="_Toc29617"/>
      <w:bookmarkStart w:id="194" w:name="_Toc422322500"/>
      <w:bookmarkStart w:id="195" w:name="_Toc32491"/>
      <w:r>
        <w:rPr>
          <w:rFonts w:hint="eastAsia" w:ascii="仿宋" w:hAnsi="仿宋" w:eastAsia="仿宋" w:cs="仿宋"/>
          <w:b w:val="0"/>
          <w:color w:val="auto"/>
          <w:sz w:val="24"/>
          <w:szCs w:val="24"/>
          <w:highlight w:val="none"/>
        </w:rPr>
        <w:t>4.1委托人的违约责任</w:t>
      </w:r>
      <w:bookmarkEnd w:id="193"/>
      <w:bookmarkEnd w:id="194"/>
      <w:bookmarkEnd w:id="195"/>
    </w:p>
    <w:p w14:paraId="69261D96">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4.1.1委托人不履行本合同义务或者履行义务不符合本合同约定的，应承担违约责任。双方可在专用条件中约定违约金的计算及支付方法。</w:t>
      </w:r>
    </w:p>
    <w:p w14:paraId="3BF1CDB3">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4.1.2委托人违反本合同约定造成咨询人损失的，委托人应予以赔偿。双方可在专用条件中约定赔偿金额的确定及支付方法。</w:t>
      </w:r>
    </w:p>
    <w:p w14:paraId="7E72DB66">
      <w:pPr>
        <w:pStyle w:val="149"/>
        <w:spacing w:line="360" w:lineRule="auto"/>
        <w:ind w:firstLine="480" w:firstLineChars="200"/>
        <w:jc w:val="left"/>
        <w:outlineLvl w:val="9"/>
        <w:rPr>
          <w:rStyle w:val="188"/>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0539A53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196" w:name="_Toc10121"/>
      <w:bookmarkStart w:id="197" w:name="_Toc422322501"/>
      <w:bookmarkStart w:id="198" w:name="_Toc419045084"/>
      <w:bookmarkStart w:id="199" w:name="_Toc2598"/>
      <w:r>
        <w:rPr>
          <w:rFonts w:hint="eastAsia" w:ascii="仿宋" w:hAnsi="仿宋" w:eastAsia="仿宋" w:cs="仿宋"/>
          <w:b w:val="0"/>
          <w:color w:val="auto"/>
          <w:sz w:val="24"/>
          <w:szCs w:val="24"/>
          <w:highlight w:val="none"/>
        </w:rPr>
        <w:t>4.2咨询人的违约责任</w:t>
      </w:r>
      <w:bookmarkEnd w:id="196"/>
      <w:bookmarkEnd w:id="197"/>
      <w:bookmarkEnd w:id="198"/>
      <w:bookmarkEnd w:id="199"/>
    </w:p>
    <w:p w14:paraId="4966F773">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4.2.1咨询人不履行本合同义务或者履行义务不符合本合同约定的，应承担违约责任。双方可在专用条件中约定违约金的计算及支付方法。</w:t>
      </w:r>
    </w:p>
    <w:p w14:paraId="39C8D52A">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4.2.2因咨询人违反本合同约定给委托人造成损失的，咨询人应当赔偿委托人损失。双方可在专用条件中约定赔偿金额的确定及支付方法。</w:t>
      </w:r>
    </w:p>
    <w:p w14:paraId="63413727">
      <w:pPr>
        <w:spacing w:line="360" w:lineRule="auto"/>
        <w:ind w:firstLine="482" w:firstLineChars="200"/>
        <w:outlineLvl w:val="9"/>
        <w:rPr>
          <w:rStyle w:val="188"/>
          <w:rFonts w:hint="eastAsia" w:ascii="仿宋" w:hAnsi="仿宋" w:eastAsia="仿宋" w:cs="仿宋"/>
          <w:bCs w:val="0"/>
          <w:color w:val="auto"/>
          <w:sz w:val="24"/>
          <w:szCs w:val="24"/>
          <w:highlight w:val="none"/>
        </w:rPr>
      </w:pPr>
      <w:bookmarkStart w:id="200" w:name="_Toc422322502"/>
      <w:bookmarkStart w:id="201" w:name="_Toc419045086"/>
      <w:bookmarkStart w:id="202" w:name="_Toc22216"/>
      <w:bookmarkStart w:id="203" w:name="_Toc4272"/>
      <w:r>
        <w:rPr>
          <w:rStyle w:val="188"/>
          <w:rFonts w:hint="eastAsia" w:ascii="仿宋" w:hAnsi="仿宋" w:eastAsia="仿宋" w:cs="仿宋"/>
          <w:bCs w:val="0"/>
          <w:color w:val="auto"/>
          <w:sz w:val="24"/>
          <w:szCs w:val="24"/>
          <w:highlight w:val="none"/>
        </w:rPr>
        <w:t>5.支付</w:t>
      </w:r>
      <w:bookmarkEnd w:id="200"/>
      <w:bookmarkEnd w:id="201"/>
    </w:p>
    <w:bookmarkEnd w:id="202"/>
    <w:bookmarkEnd w:id="203"/>
    <w:p w14:paraId="12D5B5F4">
      <w:pPr>
        <w:pStyle w:val="21"/>
        <w:spacing w:before="60" w:line="360" w:lineRule="auto"/>
        <w:ind w:firstLine="480" w:firstLineChars="200"/>
        <w:jc w:val="left"/>
        <w:outlineLvl w:val="9"/>
        <w:rPr>
          <w:rFonts w:hint="eastAsia" w:ascii="仿宋" w:hAnsi="仿宋" w:eastAsia="仿宋" w:cs="仿宋"/>
          <w:color w:val="auto"/>
          <w:sz w:val="24"/>
          <w:szCs w:val="24"/>
          <w:highlight w:val="none"/>
        </w:rPr>
      </w:pPr>
      <w:bookmarkStart w:id="204" w:name="_Toc6999"/>
      <w:bookmarkStart w:id="205" w:name="_Toc422322503"/>
      <w:bookmarkStart w:id="206" w:name="_Toc419045087"/>
      <w:bookmarkStart w:id="207" w:name="_Toc14889"/>
      <w:r>
        <w:rPr>
          <w:rStyle w:val="189"/>
          <w:rFonts w:hint="eastAsia" w:ascii="仿宋" w:hAnsi="仿宋" w:eastAsia="仿宋" w:cs="仿宋"/>
          <w:b w:val="0"/>
          <w:bCs w:val="0"/>
          <w:color w:val="auto"/>
          <w:sz w:val="24"/>
          <w:szCs w:val="24"/>
          <w:highlight w:val="none"/>
        </w:rPr>
        <w:t>5.1支付货币</w:t>
      </w:r>
      <w:bookmarkEnd w:id="204"/>
      <w:bookmarkEnd w:id="205"/>
      <w:bookmarkEnd w:id="206"/>
      <w:bookmarkEnd w:id="207"/>
    </w:p>
    <w:p w14:paraId="7CFEAD6E">
      <w:pPr>
        <w:spacing w:line="360" w:lineRule="auto"/>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除专用条件另有约定外，酬金均以人民币支付。涉及外币支付的，所采用的货币种类和汇率等在专用条件中约定。</w:t>
      </w:r>
    </w:p>
    <w:p w14:paraId="68A13FED">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08" w:name="_Toc7105"/>
      <w:bookmarkStart w:id="209" w:name="_Toc422322504"/>
      <w:bookmarkStart w:id="210" w:name="_Toc2137"/>
      <w:r>
        <w:rPr>
          <w:rFonts w:hint="eastAsia" w:ascii="仿宋" w:hAnsi="仿宋" w:eastAsia="仿宋" w:cs="仿宋"/>
          <w:b w:val="0"/>
          <w:color w:val="auto"/>
          <w:sz w:val="24"/>
          <w:szCs w:val="24"/>
          <w:highlight w:val="none"/>
        </w:rPr>
        <w:t>5.2支付申请</w:t>
      </w:r>
      <w:bookmarkEnd w:id="208"/>
      <w:bookmarkEnd w:id="209"/>
      <w:bookmarkEnd w:id="210"/>
    </w:p>
    <w:p w14:paraId="4165AC00">
      <w:pPr>
        <w:spacing w:line="360" w:lineRule="auto"/>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咨询人应在本合同约定的每次应付款日期前，向委托人提交支付申请书，支付申请书的提交日期由双方在专用条件中约定。支付申请书应当说明当期应付款总额，并列出当期应支付的款项及其金额。</w:t>
      </w:r>
    </w:p>
    <w:p w14:paraId="08DB9D3F">
      <w:pPr>
        <w:pStyle w:val="21"/>
        <w:spacing w:before="60" w:line="360" w:lineRule="auto"/>
        <w:ind w:firstLine="480" w:firstLineChars="200"/>
        <w:jc w:val="left"/>
        <w:outlineLvl w:val="9"/>
        <w:rPr>
          <w:rFonts w:hint="eastAsia" w:ascii="仿宋" w:hAnsi="仿宋" w:eastAsia="仿宋" w:cs="仿宋"/>
          <w:color w:val="auto"/>
          <w:sz w:val="24"/>
          <w:szCs w:val="24"/>
          <w:highlight w:val="none"/>
        </w:rPr>
      </w:pPr>
      <w:bookmarkStart w:id="211" w:name="_Toc422322505"/>
      <w:bookmarkStart w:id="212" w:name="_Toc2000"/>
      <w:bookmarkStart w:id="213" w:name="_Toc4544"/>
      <w:r>
        <w:rPr>
          <w:rFonts w:hint="eastAsia" w:ascii="仿宋" w:hAnsi="仿宋" w:eastAsia="仿宋" w:cs="仿宋"/>
          <w:b w:val="0"/>
          <w:color w:val="auto"/>
          <w:sz w:val="24"/>
          <w:szCs w:val="24"/>
          <w:highlight w:val="none"/>
        </w:rPr>
        <w:t>5.3 支付酬金</w:t>
      </w:r>
      <w:bookmarkEnd w:id="211"/>
      <w:bookmarkEnd w:id="212"/>
      <w:bookmarkEnd w:id="213"/>
    </w:p>
    <w:p w14:paraId="0DC28B5A">
      <w:pPr>
        <w:spacing w:line="360" w:lineRule="auto"/>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支付酬金包括正常工作酬金、附加工作酬金、合理化建议奖励金额及费用。</w:t>
      </w:r>
    </w:p>
    <w:p w14:paraId="398F73E1">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14" w:name="_Toc20588"/>
      <w:bookmarkStart w:id="215" w:name="_Toc422322506"/>
      <w:bookmarkStart w:id="216" w:name="_Toc17107"/>
      <w:r>
        <w:rPr>
          <w:rFonts w:hint="eastAsia" w:ascii="仿宋" w:hAnsi="仿宋" w:eastAsia="仿宋" w:cs="仿宋"/>
          <w:b w:val="0"/>
          <w:color w:val="auto"/>
          <w:sz w:val="24"/>
          <w:szCs w:val="24"/>
          <w:highlight w:val="none"/>
        </w:rPr>
        <w:t>5.4有异议部分的支付</w:t>
      </w:r>
      <w:bookmarkEnd w:id="214"/>
      <w:bookmarkEnd w:id="215"/>
      <w:bookmarkEnd w:id="216"/>
    </w:p>
    <w:p w14:paraId="3303E1C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委托人对咨询人提交的支付申请书有异议时，应当在收到咨询人提交的支付申请书后7日内，以书面形式向咨询人发出异议通知。无异议部分的款项应按期支付，有异议部分的款项按第7条约定办理。</w:t>
      </w:r>
    </w:p>
    <w:p w14:paraId="7585D1A8">
      <w:pPr>
        <w:spacing w:line="360" w:lineRule="auto"/>
        <w:ind w:firstLine="482" w:firstLineChars="200"/>
        <w:outlineLvl w:val="9"/>
        <w:rPr>
          <w:rStyle w:val="188"/>
          <w:rFonts w:hint="eastAsia" w:ascii="仿宋" w:hAnsi="仿宋" w:eastAsia="仿宋" w:cs="仿宋"/>
          <w:color w:val="auto"/>
          <w:sz w:val="24"/>
          <w:szCs w:val="24"/>
          <w:highlight w:val="none"/>
        </w:rPr>
      </w:pPr>
      <w:bookmarkStart w:id="217" w:name="_Toc422322507"/>
      <w:bookmarkStart w:id="218" w:name="_Toc419045088"/>
      <w:bookmarkStart w:id="219" w:name="_Toc3127"/>
      <w:bookmarkStart w:id="220" w:name="_Toc4658"/>
      <w:r>
        <w:rPr>
          <w:rStyle w:val="188"/>
          <w:rFonts w:hint="eastAsia" w:ascii="仿宋" w:hAnsi="仿宋" w:eastAsia="仿宋" w:cs="仿宋"/>
          <w:color w:val="auto"/>
          <w:sz w:val="24"/>
          <w:szCs w:val="24"/>
          <w:highlight w:val="none"/>
        </w:rPr>
        <w:t>6.合同变更、解除与终止</w:t>
      </w:r>
      <w:bookmarkEnd w:id="217"/>
      <w:bookmarkEnd w:id="218"/>
    </w:p>
    <w:bookmarkEnd w:id="219"/>
    <w:bookmarkEnd w:id="220"/>
    <w:p w14:paraId="0BD2A922">
      <w:pPr>
        <w:spacing w:line="360" w:lineRule="auto"/>
        <w:ind w:firstLine="480" w:firstLineChars="200"/>
        <w:outlineLvl w:val="9"/>
        <w:rPr>
          <w:rFonts w:hint="default" w:ascii="仿宋" w:hAnsi="仿宋" w:eastAsia="仿宋" w:cs="仿宋"/>
          <w:color w:val="auto"/>
          <w:sz w:val="24"/>
          <w:szCs w:val="24"/>
          <w:highlight w:val="none"/>
        </w:rPr>
      </w:pPr>
      <w:bookmarkStart w:id="221" w:name="_Toc3299"/>
      <w:bookmarkStart w:id="222" w:name="_Toc419045089"/>
      <w:bookmarkStart w:id="223" w:name="_Toc29765"/>
      <w:bookmarkStart w:id="224" w:name="_Toc422322508"/>
      <w:r>
        <w:rPr>
          <w:rStyle w:val="189"/>
          <w:rFonts w:hint="eastAsia" w:ascii="仿宋" w:hAnsi="仿宋" w:eastAsia="仿宋" w:cs="仿宋"/>
          <w:b w:val="0"/>
          <w:color w:val="auto"/>
          <w:sz w:val="24"/>
          <w:szCs w:val="24"/>
          <w:highlight w:val="none"/>
        </w:rPr>
        <w:t>6.1合同变更</w:t>
      </w:r>
      <w:bookmarkEnd w:id="221"/>
      <w:bookmarkEnd w:id="222"/>
      <w:bookmarkEnd w:id="223"/>
      <w:bookmarkEnd w:id="224"/>
      <w:r>
        <w:rPr>
          <w:rFonts w:hint="eastAsia" w:ascii="仿宋" w:hAnsi="仿宋" w:eastAsia="仿宋" w:cs="仿宋"/>
          <w:color w:val="auto"/>
          <w:sz w:val="24"/>
          <w:szCs w:val="24"/>
          <w:highlight w:val="none"/>
        </w:rPr>
        <w:t xml:space="preserve"> </w:t>
      </w:r>
    </w:p>
    <w:p w14:paraId="2D437EF6">
      <w:pPr>
        <w:spacing w:line="360" w:lineRule="auto"/>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6.1.1 任何一方以书面形式提出变更请求时，双方经协商一致后可进行变更。</w:t>
      </w:r>
    </w:p>
    <w:p w14:paraId="593C293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58AA3074">
      <w:pPr>
        <w:spacing w:line="360" w:lineRule="auto"/>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758A6C3">
      <w:pPr>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6.1.4 因工程规模、服务范围及工作内容的变化等导致咨询人的工作量增减时，服务酬金应作相应调整，调整方法由双方在专用条件中约定。</w:t>
      </w:r>
    </w:p>
    <w:p w14:paraId="03C307C6">
      <w:pPr>
        <w:spacing w:line="360" w:lineRule="auto"/>
        <w:ind w:firstLine="480" w:firstLineChars="200"/>
        <w:outlineLvl w:val="9"/>
        <w:rPr>
          <w:rStyle w:val="189"/>
          <w:rFonts w:hint="eastAsia" w:ascii="仿宋" w:hAnsi="仿宋" w:eastAsia="仿宋" w:cs="仿宋"/>
          <w:b w:val="0"/>
          <w:color w:val="auto"/>
          <w:sz w:val="24"/>
          <w:szCs w:val="24"/>
          <w:highlight w:val="none"/>
        </w:rPr>
      </w:pPr>
      <w:bookmarkStart w:id="225" w:name="_Toc422322509"/>
      <w:bookmarkStart w:id="226" w:name="_Toc419045090"/>
      <w:bookmarkStart w:id="227" w:name="_Toc23620"/>
      <w:bookmarkStart w:id="228" w:name="_Toc10570"/>
      <w:r>
        <w:rPr>
          <w:rStyle w:val="189"/>
          <w:rFonts w:hint="eastAsia" w:ascii="仿宋" w:hAnsi="仿宋" w:eastAsia="仿宋" w:cs="仿宋"/>
          <w:b w:val="0"/>
          <w:bCs w:val="0"/>
          <w:color w:val="auto"/>
          <w:sz w:val="24"/>
          <w:szCs w:val="24"/>
          <w:highlight w:val="none"/>
        </w:rPr>
        <w:t>6.2合同</w:t>
      </w:r>
      <w:r>
        <w:rPr>
          <w:rStyle w:val="189"/>
          <w:rFonts w:hint="eastAsia" w:ascii="仿宋" w:hAnsi="仿宋" w:eastAsia="仿宋" w:cs="仿宋"/>
          <w:b w:val="0"/>
          <w:color w:val="auto"/>
          <w:sz w:val="24"/>
          <w:szCs w:val="24"/>
          <w:highlight w:val="none"/>
        </w:rPr>
        <w:t>解除</w:t>
      </w:r>
      <w:bookmarkEnd w:id="225"/>
      <w:bookmarkEnd w:id="226"/>
    </w:p>
    <w:bookmarkEnd w:id="227"/>
    <w:bookmarkEnd w:id="228"/>
    <w:p w14:paraId="24FC9F2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 委托人与咨询人协商一致，可以解除合同。</w:t>
      </w:r>
    </w:p>
    <w:p w14:paraId="58A1AAC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 有下列情形之一的，合同当事人一方或双方可以解除合同：</w:t>
      </w:r>
    </w:p>
    <w:p w14:paraId="2E7A427E">
      <w:pPr>
        <w:spacing w:line="360" w:lineRule="auto"/>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（1）咨询人将本合同约定的工程造价咨询服务工作全部或部分转包给他人，委托人可以解除合同；</w:t>
      </w:r>
    </w:p>
    <w:p w14:paraId="78534E8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（2）咨询人提供的造价咨询服务不符合合同约定的要求，经委托人催告仍不能达到合同约定要求的，委托人可以解除合同；</w:t>
      </w:r>
    </w:p>
    <w:p w14:paraId="2B794BC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（3）委托人未按合同约定支付服务酬金，经咨询人催告后，在28天内仍未支付的，咨询人可以解除合同；</w:t>
      </w:r>
    </w:p>
    <w:p w14:paraId="3F95BA5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（4）因不可抗力致使合同无法履行；</w:t>
      </w:r>
    </w:p>
    <w:p w14:paraId="312D42F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（5）因一方违约致使合同无法实际履行或实际履行已无必要。</w:t>
      </w:r>
    </w:p>
    <w:p w14:paraId="00A455D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除上述情形外，双方可以根据委托的服务范围及工作内容，在专用条件中约定解除合同的其他条件。</w:t>
      </w:r>
    </w:p>
    <w:p w14:paraId="10CFFB1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 任何一方提出解除合同的，应提前30天书面通知对方。</w:t>
      </w:r>
    </w:p>
    <w:p w14:paraId="3D56CEFF">
      <w:pPr>
        <w:spacing w:line="360" w:lineRule="auto"/>
        <w:ind w:firstLine="46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6.2.4合同解除后，委托人应按照合同约定向咨询人支付已完成部分的咨询服务酬金。</w:t>
      </w:r>
    </w:p>
    <w:p w14:paraId="1900743E">
      <w:pPr>
        <w:spacing w:line="360" w:lineRule="auto"/>
        <w:ind w:firstLine="46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640D0CC3">
      <w:pPr>
        <w:spacing w:line="360" w:lineRule="auto"/>
        <w:ind w:firstLine="480" w:firstLineChars="200"/>
        <w:outlineLvl w:val="9"/>
        <w:rPr>
          <w:rFonts w:hint="eastAsia" w:ascii="仿宋" w:hAnsi="仿宋" w:eastAsia="仿宋" w:cs="仿宋"/>
          <w:smallCaps/>
          <w:color w:val="auto"/>
          <w:sz w:val="24"/>
          <w:szCs w:val="24"/>
          <w:highlight w:val="none"/>
        </w:rPr>
      </w:pPr>
      <w:r>
        <w:rPr>
          <w:rFonts w:hint="eastAsia" w:ascii="仿宋" w:hAnsi="仿宋" w:eastAsia="仿宋" w:cs="仿宋"/>
          <w:color w:val="auto"/>
          <w:sz w:val="24"/>
          <w:szCs w:val="24"/>
          <w:highlight w:val="none"/>
        </w:rPr>
        <w:t>6.2.5本合同解除后，本合同约定的有关结算、争议解决方式的条款仍然有效。</w:t>
      </w:r>
    </w:p>
    <w:p w14:paraId="050BA88D">
      <w:pPr>
        <w:spacing w:line="360" w:lineRule="auto"/>
        <w:ind w:firstLine="480" w:firstLineChars="200"/>
        <w:outlineLvl w:val="9"/>
        <w:rPr>
          <w:rStyle w:val="189"/>
          <w:rFonts w:hint="default" w:ascii="仿宋" w:hAnsi="仿宋" w:eastAsia="仿宋" w:cs="仿宋"/>
          <w:b w:val="0"/>
          <w:color w:val="auto"/>
          <w:sz w:val="24"/>
          <w:szCs w:val="24"/>
          <w:highlight w:val="none"/>
        </w:rPr>
      </w:pPr>
      <w:bookmarkStart w:id="229" w:name="_Toc422322510"/>
      <w:bookmarkStart w:id="230" w:name="_Toc547"/>
      <w:bookmarkStart w:id="231" w:name="_Toc17455"/>
      <w:r>
        <w:rPr>
          <w:rStyle w:val="189"/>
          <w:rFonts w:hint="eastAsia" w:ascii="仿宋" w:hAnsi="仿宋" w:eastAsia="仿宋" w:cs="仿宋"/>
          <w:b w:val="0"/>
          <w:color w:val="auto"/>
          <w:sz w:val="24"/>
          <w:szCs w:val="24"/>
          <w:highlight w:val="none"/>
        </w:rPr>
        <w:t>6.3 合同终止</w:t>
      </w:r>
      <w:bookmarkEnd w:id="229"/>
    </w:p>
    <w:bookmarkEnd w:id="230"/>
    <w:bookmarkEnd w:id="231"/>
    <w:p w14:paraId="15458961">
      <w:pPr>
        <w:spacing w:line="360" w:lineRule="auto"/>
        <w:ind w:firstLine="482" w:firstLineChars="200"/>
        <w:outlineLvl w:val="9"/>
        <w:rPr>
          <w:rFonts w:hint="default" w:ascii="仿宋" w:hAnsi="仿宋" w:eastAsia="仿宋" w:cs="仿宋"/>
          <w:color w:val="auto"/>
          <w:sz w:val="24"/>
          <w:szCs w:val="24"/>
          <w:highlight w:val="none"/>
        </w:rPr>
      </w:pPr>
      <w:r>
        <w:rPr>
          <w:rFonts w:hint="eastAsia" w:ascii="仿宋" w:hAnsi="仿宋" w:eastAsia="仿宋" w:cs="仿宋"/>
          <w:b/>
          <w:bCs/>
          <w:smallCaps/>
          <w:color w:val="auto"/>
          <w:sz w:val="24"/>
          <w:szCs w:val="24"/>
          <w:highlight w:val="none"/>
        </w:rPr>
        <w:t>　　</w:t>
      </w:r>
      <w:r>
        <w:rPr>
          <w:rFonts w:hint="eastAsia" w:ascii="仿宋" w:hAnsi="仿宋" w:eastAsia="仿宋" w:cs="仿宋"/>
          <w:bCs/>
          <w:smallCaps/>
          <w:color w:val="auto"/>
          <w:sz w:val="24"/>
          <w:szCs w:val="24"/>
          <w:highlight w:val="none"/>
        </w:rPr>
        <w:t>除合同解除外，以下条</w:t>
      </w:r>
      <w:r>
        <w:rPr>
          <w:rFonts w:hint="eastAsia" w:ascii="仿宋" w:hAnsi="仿宋" w:eastAsia="仿宋" w:cs="仿宋"/>
          <w:color w:val="auto"/>
          <w:sz w:val="24"/>
          <w:szCs w:val="24"/>
          <w:highlight w:val="none"/>
        </w:rPr>
        <w:t>件全部满足时，本合同终止：</w:t>
      </w:r>
    </w:p>
    <w:p w14:paraId="1B51B9A5">
      <w:pPr>
        <w:spacing w:line="360" w:lineRule="auto"/>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（1）咨询人完成本合同约定的全部工作；</w:t>
      </w:r>
    </w:p>
    <w:p w14:paraId="3ACBA8C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（2）委托人与咨询人结清并支付酬金；</w:t>
      </w:r>
    </w:p>
    <w:p w14:paraId="3C3AA3D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（3）咨询人将委托人提供的资料交还。</w:t>
      </w:r>
    </w:p>
    <w:p w14:paraId="5C3079D5">
      <w:pPr>
        <w:spacing w:line="360" w:lineRule="auto"/>
        <w:ind w:firstLine="482" w:firstLineChars="200"/>
        <w:outlineLvl w:val="9"/>
        <w:rPr>
          <w:rStyle w:val="188"/>
          <w:rFonts w:hint="eastAsia" w:ascii="仿宋" w:hAnsi="仿宋" w:eastAsia="仿宋" w:cs="仿宋"/>
          <w:bCs w:val="0"/>
          <w:color w:val="auto"/>
          <w:sz w:val="24"/>
          <w:szCs w:val="24"/>
          <w:highlight w:val="none"/>
        </w:rPr>
      </w:pPr>
      <w:bookmarkStart w:id="232" w:name="_Toc422322511"/>
      <w:bookmarkStart w:id="233" w:name="_Toc419045091"/>
      <w:bookmarkStart w:id="234" w:name="_Toc8856"/>
      <w:bookmarkStart w:id="235" w:name="_Toc31726"/>
      <w:r>
        <w:rPr>
          <w:rStyle w:val="188"/>
          <w:rFonts w:hint="eastAsia" w:ascii="仿宋" w:hAnsi="仿宋" w:eastAsia="仿宋" w:cs="仿宋"/>
          <w:bCs w:val="0"/>
          <w:color w:val="auto"/>
          <w:sz w:val="24"/>
          <w:szCs w:val="24"/>
          <w:highlight w:val="none"/>
        </w:rPr>
        <w:t>7.争议解决</w:t>
      </w:r>
      <w:bookmarkEnd w:id="192"/>
      <w:bookmarkEnd w:id="232"/>
      <w:bookmarkEnd w:id="233"/>
    </w:p>
    <w:bookmarkEnd w:id="234"/>
    <w:bookmarkEnd w:id="235"/>
    <w:p w14:paraId="55CF42D8">
      <w:pPr>
        <w:pStyle w:val="149"/>
        <w:spacing w:line="360" w:lineRule="auto"/>
        <w:ind w:firstLine="480" w:firstLineChars="200"/>
        <w:jc w:val="left"/>
        <w:outlineLvl w:val="9"/>
        <w:rPr>
          <w:rStyle w:val="189"/>
          <w:rFonts w:hint="default" w:ascii="仿宋" w:hAnsi="仿宋" w:eastAsia="仿宋" w:cs="仿宋"/>
          <w:b w:val="0"/>
          <w:smallCaps/>
          <w:color w:val="auto"/>
          <w:sz w:val="24"/>
          <w:szCs w:val="24"/>
          <w:highlight w:val="none"/>
        </w:rPr>
      </w:pPr>
      <w:bookmarkStart w:id="236" w:name="_Toc422322512"/>
      <w:bookmarkStart w:id="237" w:name="_Toc419045092"/>
      <w:bookmarkStart w:id="238" w:name="_Toc9026"/>
      <w:bookmarkStart w:id="239" w:name="_Toc5640"/>
      <w:r>
        <w:rPr>
          <w:rStyle w:val="189"/>
          <w:rFonts w:hint="eastAsia" w:ascii="仿宋" w:hAnsi="仿宋" w:eastAsia="仿宋" w:cs="仿宋"/>
          <w:b w:val="0"/>
          <w:smallCaps/>
          <w:color w:val="auto"/>
          <w:sz w:val="24"/>
          <w:szCs w:val="24"/>
          <w:highlight w:val="none"/>
        </w:rPr>
        <w:t>7.1协商</w:t>
      </w:r>
      <w:bookmarkEnd w:id="236"/>
      <w:bookmarkEnd w:id="237"/>
    </w:p>
    <w:bookmarkEnd w:id="238"/>
    <w:bookmarkEnd w:id="239"/>
    <w:p w14:paraId="673F8A38">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双方应本着诚实信用的原则协商解决本合同履行过程中发生的争议。</w:t>
      </w:r>
      <w:bookmarkStart w:id="240" w:name="37"/>
    </w:p>
    <w:p w14:paraId="62109E71">
      <w:pPr>
        <w:pStyle w:val="149"/>
        <w:spacing w:line="360" w:lineRule="auto"/>
        <w:ind w:firstLine="480" w:firstLineChars="200"/>
        <w:jc w:val="left"/>
        <w:outlineLvl w:val="9"/>
        <w:rPr>
          <w:rStyle w:val="189"/>
          <w:rFonts w:hint="default" w:ascii="仿宋" w:hAnsi="仿宋" w:eastAsia="仿宋" w:cs="仿宋"/>
          <w:b w:val="0"/>
          <w:smallCaps/>
          <w:color w:val="auto"/>
          <w:sz w:val="24"/>
          <w:szCs w:val="24"/>
          <w:highlight w:val="none"/>
        </w:rPr>
      </w:pPr>
      <w:bookmarkStart w:id="241" w:name="_Toc419045093"/>
      <w:bookmarkStart w:id="242" w:name="_Toc422322513"/>
      <w:bookmarkStart w:id="243" w:name="_Toc4611"/>
      <w:bookmarkStart w:id="244" w:name="_Toc5174"/>
      <w:r>
        <w:rPr>
          <w:rStyle w:val="189"/>
          <w:rFonts w:hint="eastAsia" w:ascii="仿宋" w:hAnsi="仿宋" w:eastAsia="仿宋" w:cs="仿宋"/>
          <w:b w:val="0"/>
          <w:smallCaps/>
          <w:color w:val="auto"/>
          <w:sz w:val="24"/>
          <w:szCs w:val="24"/>
          <w:highlight w:val="none"/>
        </w:rPr>
        <w:t>7.2</w:t>
      </w:r>
      <w:bookmarkEnd w:id="240"/>
      <w:r>
        <w:rPr>
          <w:rStyle w:val="189"/>
          <w:rFonts w:hint="eastAsia" w:ascii="仿宋" w:hAnsi="仿宋" w:eastAsia="仿宋" w:cs="仿宋"/>
          <w:b w:val="0"/>
          <w:smallCaps/>
          <w:color w:val="auto"/>
          <w:sz w:val="24"/>
          <w:szCs w:val="24"/>
          <w:highlight w:val="none"/>
        </w:rPr>
        <w:t>调解</w:t>
      </w:r>
      <w:bookmarkEnd w:id="241"/>
      <w:bookmarkEnd w:id="242"/>
    </w:p>
    <w:bookmarkEnd w:id="243"/>
    <w:bookmarkEnd w:id="244"/>
    <w:p w14:paraId="62BE8522">
      <w:pPr>
        <w:pStyle w:val="149"/>
        <w:spacing w:line="360" w:lineRule="auto"/>
        <w:ind w:firstLine="480"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如果双方不能在14日内或双方商定的其他时间内解决本合同争议，可以将其提交给专用条件约定的或事后达成协议的调解人进行调解。</w:t>
      </w:r>
    </w:p>
    <w:p w14:paraId="44F0506E">
      <w:pPr>
        <w:spacing w:line="360" w:lineRule="auto"/>
        <w:ind w:firstLine="480" w:firstLineChars="200"/>
        <w:outlineLvl w:val="9"/>
        <w:rPr>
          <w:rStyle w:val="189"/>
          <w:rFonts w:hint="default" w:ascii="仿宋" w:hAnsi="仿宋" w:eastAsia="仿宋" w:cs="仿宋"/>
          <w:b w:val="0"/>
          <w:smallCaps/>
          <w:color w:val="auto"/>
          <w:sz w:val="24"/>
          <w:szCs w:val="24"/>
          <w:highlight w:val="none"/>
        </w:rPr>
      </w:pPr>
      <w:bookmarkStart w:id="245" w:name="38"/>
      <w:bookmarkStart w:id="246" w:name="_Toc422322514"/>
      <w:bookmarkStart w:id="247" w:name="_Toc419045094"/>
      <w:bookmarkStart w:id="248" w:name="_Toc19304"/>
      <w:bookmarkStart w:id="249" w:name="_Toc26169"/>
      <w:r>
        <w:rPr>
          <w:rStyle w:val="189"/>
          <w:rFonts w:hint="eastAsia" w:ascii="仿宋" w:hAnsi="仿宋" w:eastAsia="仿宋" w:cs="仿宋"/>
          <w:b w:val="0"/>
          <w:smallCaps/>
          <w:color w:val="auto"/>
          <w:sz w:val="24"/>
          <w:szCs w:val="24"/>
          <w:highlight w:val="none"/>
        </w:rPr>
        <w:t>7.</w:t>
      </w:r>
      <w:bookmarkEnd w:id="245"/>
      <w:r>
        <w:rPr>
          <w:rStyle w:val="189"/>
          <w:rFonts w:hint="eastAsia" w:ascii="仿宋" w:hAnsi="仿宋" w:eastAsia="仿宋" w:cs="仿宋"/>
          <w:b w:val="0"/>
          <w:smallCaps/>
          <w:color w:val="auto"/>
          <w:sz w:val="24"/>
          <w:szCs w:val="24"/>
          <w:highlight w:val="none"/>
        </w:rPr>
        <w:t>3仲裁或诉讼</w:t>
      </w:r>
      <w:bookmarkEnd w:id="246"/>
      <w:bookmarkEnd w:id="247"/>
    </w:p>
    <w:bookmarkEnd w:id="248"/>
    <w:bookmarkEnd w:id="249"/>
    <w:p w14:paraId="38784B6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双方均有权不经调解直接向专用条件约定的仲裁机构申请仲裁或向有管辖权的人民法院提起诉讼。</w:t>
      </w:r>
    </w:p>
    <w:p w14:paraId="410412F6">
      <w:pPr>
        <w:spacing w:line="360" w:lineRule="auto"/>
        <w:ind w:firstLine="482" w:firstLineChars="200"/>
        <w:outlineLvl w:val="9"/>
        <w:rPr>
          <w:rStyle w:val="188"/>
          <w:rFonts w:hint="eastAsia" w:ascii="仿宋" w:hAnsi="仿宋" w:eastAsia="仿宋" w:cs="仿宋"/>
          <w:color w:val="auto"/>
          <w:sz w:val="24"/>
          <w:szCs w:val="24"/>
          <w:highlight w:val="none"/>
        </w:rPr>
      </w:pPr>
      <w:bookmarkStart w:id="250" w:name="_Toc422322515"/>
      <w:bookmarkStart w:id="251" w:name="_Toc419045095"/>
      <w:bookmarkStart w:id="252" w:name="_Toc28698"/>
      <w:bookmarkStart w:id="253" w:name="_Toc2832"/>
      <w:r>
        <w:rPr>
          <w:rStyle w:val="188"/>
          <w:rFonts w:hint="eastAsia" w:ascii="仿宋" w:hAnsi="仿宋" w:eastAsia="仿宋" w:cs="仿宋"/>
          <w:color w:val="auto"/>
          <w:sz w:val="24"/>
          <w:szCs w:val="24"/>
          <w:highlight w:val="none"/>
        </w:rPr>
        <w:t>8.其他</w:t>
      </w:r>
      <w:bookmarkEnd w:id="250"/>
      <w:bookmarkEnd w:id="251"/>
    </w:p>
    <w:bookmarkEnd w:id="252"/>
    <w:bookmarkEnd w:id="253"/>
    <w:p w14:paraId="6147927F">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54" w:name="39"/>
      <w:bookmarkStart w:id="255" w:name="_Toc422322516"/>
      <w:bookmarkStart w:id="256" w:name="_Toc18202"/>
      <w:bookmarkStart w:id="257" w:name="_Toc27922"/>
      <w:bookmarkStart w:id="258" w:name="_Toc419045096"/>
      <w:r>
        <w:rPr>
          <w:rFonts w:hint="eastAsia" w:ascii="仿宋" w:hAnsi="仿宋" w:eastAsia="仿宋" w:cs="仿宋"/>
          <w:b w:val="0"/>
          <w:smallCaps/>
          <w:color w:val="auto"/>
          <w:sz w:val="24"/>
          <w:szCs w:val="24"/>
          <w:highlight w:val="none"/>
        </w:rPr>
        <w:t>8.1</w:t>
      </w:r>
      <w:bookmarkEnd w:id="254"/>
      <w:r>
        <w:rPr>
          <w:rFonts w:hint="eastAsia" w:ascii="仿宋" w:hAnsi="仿宋" w:eastAsia="仿宋" w:cs="仿宋"/>
          <w:b w:val="0"/>
          <w:color w:val="auto"/>
          <w:sz w:val="24"/>
          <w:szCs w:val="24"/>
          <w:highlight w:val="none"/>
        </w:rPr>
        <w:t>考察及相关费用</w:t>
      </w:r>
      <w:bookmarkEnd w:id="255"/>
      <w:bookmarkEnd w:id="256"/>
      <w:bookmarkEnd w:id="257"/>
      <w:bookmarkEnd w:id="258"/>
    </w:p>
    <w:p w14:paraId="5B1240F7">
      <w:pPr>
        <w:spacing w:line="360" w:lineRule="auto"/>
        <w:ind w:firstLine="480" w:firstLineChars="200"/>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除专用条件另有约定外，咨询人经委托人同意进行考察发生的费用由委托人审核后另行支付。差旅费及相关费用的承担由双方在专用条件中约定。</w:t>
      </w:r>
    </w:p>
    <w:p w14:paraId="737AF744">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59" w:name="_Toc2978"/>
      <w:bookmarkStart w:id="260" w:name="_Toc422322517"/>
      <w:bookmarkStart w:id="261" w:name="_Toc12811"/>
      <w:r>
        <w:rPr>
          <w:rFonts w:hint="eastAsia" w:ascii="仿宋" w:hAnsi="仿宋" w:eastAsia="仿宋" w:cs="仿宋"/>
          <w:b w:val="0"/>
          <w:color w:val="auto"/>
          <w:sz w:val="24"/>
          <w:szCs w:val="24"/>
          <w:highlight w:val="none"/>
        </w:rPr>
        <w:t>8.2奖励</w:t>
      </w:r>
      <w:bookmarkEnd w:id="259"/>
      <w:bookmarkEnd w:id="260"/>
      <w:bookmarkEnd w:id="261"/>
    </w:p>
    <w:p w14:paraId="23923B69">
      <w:pPr>
        <w:spacing w:line="360" w:lineRule="auto"/>
        <w:ind w:firstLine="480" w:firstLineChars="200"/>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14:paraId="35FBD891">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62" w:name="_Toc422322518"/>
      <w:bookmarkStart w:id="263" w:name="_Toc11045"/>
      <w:bookmarkStart w:id="264" w:name="_Toc30801"/>
      <w:r>
        <w:rPr>
          <w:rFonts w:hint="eastAsia" w:ascii="仿宋" w:hAnsi="仿宋" w:eastAsia="仿宋" w:cs="仿宋"/>
          <w:b w:val="0"/>
          <w:color w:val="auto"/>
          <w:sz w:val="24"/>
          <w:szCs w:val="24"/>
          <w:highlight w:val="none"/>
        </w:rPr>
        <w:t>8.3保密</w:t>
      </w:r>
      <w:bookmarkEnd w:id="262"/>
      <w:bookmarkEnd w:id="263"/>
      <w:bookmarkEnd w:id="264"/>
    </w:p>
    <w:p w14:paraId="6793A48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在本合同履行期间或专用条件约定的期限内，双方不得泄露对方申明的保密资料，亦不得泄露与实施工程有关的第三人所提供的保密资料。保密事项在专用条件中约定。</w:t>
      </w:r>
    </w:p>
    <w:p w14:paraId="5ADAAABE">
      <w:pPr>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Cs/>
          <w:smallCaps/>
          <w:color w:val="auto"/>
          <w:sz w:val="24"/>
          <w:szCs w:val="24"/>
          <w:highlight w:val="none"/>
        </w:rPr>
        <w:t xml:space="preserve">　　 </w:t>
      </w:r>
      <w:bookmarkStart w:id="265" w:name="_Toc419045097"/>
      <w:bookmarkStart w:id="266" w:name="_Toc422322519"/>
      <w:bookmarkStart w:id="267" w:name="_Toc9054"/>
      <w:bookmarkStart w:id="268" w:name="_Toc26679"/>
      <w:r>
        <w:rPr>
          <w:rStyle w:val="189"/>
          <w:rFonts w:hint="eastAsia" w:ascii="仿宋" w:hAnsi="仿宋" w:eastAsia="仿宋" w:cs="仿宋"/>
          <w:b w:val="0"/>
          <w:color w:val="auto"/>
          <w:sz w:val="24"/>
          <w:szCs w:val="24"/>
          <w:highlight w:val="none"/>
        </w:rPr>
        <w:t>8.4</w:t>
      </w:r>
      <w:bookmarkEnd w:id="265"/>
      <w:r>
        <w:rPr>
          <w:rStyle w:val="189"/>
          <w:rFonts w:hint="eastAsia" w:ascii="仿宋" w:hAnsi="仿宋" w:eastAsia="仿宋" w:cs="仿宋"/>
          <w:b w:val="0"/>
          <w:color w:val="auto"/>
          <w:sz w:val="24"/>
          <w:szCs w:val="24"/>
          <w:highlight w:val="none"/>
        </w:rPr>
        <w:t>联络</w:t>
      </w:r>
      <w:bookmarkEnd w:id="266"/>
      <w:bookmarkEnd w:id="267"/>
      <w:bookmarkEnd w:id="268"/>
    </w:p>
    <w:p w14:paraId="7668A3C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8.4.1与合同有关的通知、指示、要求、决定等，均应采用书面形式，并应在专用条件约定的期限内送达接收人和送达地点。</w:t>
      </w:r>
    </w:p>
    <w:p w14:paraId="43F910E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14:paraId="17EEDD14">
      <w:pPr>
        <w:tabs>
          <w:tab w:val="left" w:pos="5085"/>
        </w:tabs>
        <w:spacing w:line="360" w:lineRule="auto"/>
        <w:ind w:firstLine="480" w:firstLineChars="200"/>
        <w:outlineLvl w:val="9"/>
        <w:rPr>
          <w:rStyle w:val="189"/>
          <w:rFonts w:hint="eastAsia" w:ascii="仿宋" w:hAnsi="仿宋" w:eastAsia="仿宋" w:cs="仿宋"/>
          <w:b w:val="0"/>
          <w:bCs w:val="0"/>
          <w:color w:val="auto"/>
          <w:kern w:val="0"/>
          <w:sz w:val="24"/>
          <w:szCs w:val="24"/>
          <w:highlight w:val="none"/>
        </w:rPr>
      </w:pPr>
      <w:r>
        <w:rPr>
          <w:rFonts w:hint="eastAsia" w:ascii="仿宋" w:hAnsi="仿宋" w:eastAsia="仿宋" w:cs="仿宋"/>
          <w:color w:val="auto"/>
          <w:sz w:val="24"/>
          <w:szCs w:val="24"/>
          <w:highlight w:val="none"/>
        </w:rPr>
        <w:t>8.4.3委托人和咨询人应当及时签收另一方送达至送达地点和指定接收人的往来函件，如确有充分证据证明一方无正当理由拒不签收的，视为认可往来函件的内容。</w:t>
      </w:r>
    </w:p>
    <w:p w14:paraId="1FB636A3">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69" w:name="_Toc422322520"/>
      <w:bookmarkStart w:id="270" w:name="_Toc12364"/>
      <w:bookmarkStart w:id="271" w:name="_Toc30044"/>
      <w:r>
        <w:rPr>
          <w:rFonts w:hint="eastAsia" w:ascii="仿宋" w:hAnsi="仿宋" w:eastAsia="仿宋" w:cs="仿宋"/>
          <w:b w:val="0"/>
          <w:color w:val="auto"/>
          <w:sz w:val="24"/>
          <w:szCs w:val="24"/>
          <w:highlight w:val="none"/>
        </w:rPr>
        <w:t>8.5知识产权</w:t>
      </w:r>
      <w:bookmarkEnd w:id="269"/>
      <w:bookmarkEnd w:id="270"/>
      <w:bookmarkEnd w:id="271"/>
    </w:p>
    <w:p w14:paraId="6EF8699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53D0A91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4CA84E0">
      <w:pPr>
        <w:autoSpaceDE w:val="0"/>
        <w:autoSpaceDN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双方保证在履行本合同过程中不侵犯对方及第三方的知识产权。因咨询人侵犯他人知识产权所引起的责任，由咨询人承担；因委托人提供的基础资料导致侵权的，由委托人承担责任。</w:t>
      </w:r>
    </w:p>
    <w:p w14:paraId="46937E9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除专用条件另有约定外，双方均有权在履行本合同保密义务并且不损害对方利益的情况下，将履行本合同形成的有关成果文件用于企业宣传、申报奖项以及接受上级主管部门的检查。</w:t>
      </w:r>
    </w:p>
    <w:p w14:paraId="494D8A5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711BBB0F">
      <w:pPr>
        <w:spacing w:line="360" w:lineRule="auto"/>
        <w:ind w:firstLine="480" w:firstLineChars="200"/>
        <w:outlineLvl w:val="9"/>
        <w:rPr>
          <w:rFonts w:hint="eastAsia" w:ascii="仿宋" w:hAnsi="仿宋" w:eastAsia="仿宋" w:cs="仿宋"/>
          <w:color w:val="auto"/>
          <w:sz w:val="24"/>
          <w:szCs w:val="24"/>
          <w:highlight w:val="none"/>
        </w:rPr>
      </w:pPr>
    </w:p>
    <w:p w14:paraId="3CF894E4">
      <w:pPr>
        <w:spacing w:line="360" w:lineRule="auto"/>
        <w:ind w:firstLine="480" w:firstLineChars="200"/>
        <w:outlineLvl w:val="9"/>
        <w:rPr>
          <w:rFonts w:hint="eastAsia" w:ascii="仿宋" w:hAnsi="仿宋" w:eastAsia="仿宋" w:cs="仿宋"/>
          <w:color w:val="auto"/>
          <w:sz w:val="24"/>
          <w:szCs w:val="24"/>
          <w:highlight w:val="none"/>
        </w:rPr>
      </w:pPr>
    </w:p>
    <w:p w14:paraId="71537C15">
      <w:pPr>
        <w:spacing w:after="120"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br w:type="page"/>
      </w:r>
      <w:bookmarkStart w:id="272" w:name="_Toc31562"/>
      <w:bookmarkStart w:id="273" w:name="_Toc2098"/>
      <w:r>
        <w:rPr>
          <w:rFonts w:hint="eastAsia" w:ascii="楷体" w:hAnsi="楷体" w:eastAsia="楷体" w:cs="Times New Roman"/>
          <w:b w:val="0"/>
          <w:bCs w:val="0"/>
          <w:color w:val="auto"/>
          <w:kern w:val="2"/>
          <w:sz w:val="28"/>
          <w:szCs w:val="28"/>
          <w:highlight w:val="none"/>
          <w:lang w:val="en-US" w:eastAsia="zh-CN" w:bidi="ar-SA"/>
        </w:rPr>
        <w:t xml:space="preserve">第三部分 </w:t>
      </w:r>
      <w:bookmarkStart w:id="274" w:name="_Toc419045098"/>
      <w:bookmarkStart w:id="275" w:name="_Toc422322521"/>
      <w:r>
        <w:rPr>
          <w:rFonts w:hint="eastAsia" w:ascii="楷体" w:hAnsi="楷体" w:eastAsia="楷体" w:cs="Times New Roman"/>
          <w:b w:val="0"/>
          <w:bCs w:val="0"/>
          <w:color w:val="auto"/>
          <w:kern w:val="2"/>
          <w:sz w:val="28"/>
          <w:szCs w:val="28"/>
          <w:highlight w:val="none"/>
          <w:lang w:val="en-US" w:eastAsia="zh-CN" w:bidi="ar-SA"/>
        </w:rPr>
        <w:t>专用条件</w:t>
      </w:r>
      <w:bookmarkEnd w:id="272"/>
      <w:bookmarkEnd w:id="273"/>
      <w:bookmarkEnd w:id="274"/>
      <w:bookmarkEnd w:id="275"/>
      <w:bookmarkStart w:id="276" w:name="45"/>
    </w:p>
    <w:p w14:paraId="74CEBB3B">
      <w:pPr>
        <w:spacing w:line="360" w:lineRule="auto"/>
        <w:outlineLvl w:val="9"/>
        <w:rPr>
          <w:rFonts w:hint="eastAsia" w:ascii="仿宋" w:hAnsi="仿宋" w:eastAsia="仿宋" w:cs="仿宋"/>
          <w:b/>
          <w:bCs/>
          <w:color w:val="auto"/>
          <w:sz w:val="24"/>
          <w:szCs w:val="24"/>
          <w:highlight w:val="none"/>
        </w:rPr>
      </w:pPr>
    </w:p>
    <w:bookmarkEnd w:id="276"/>
    <w:p w14:paraId="360A9D6C">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277" w:name="_Toc12828"/>
      <w:bookmarkStart w:id="278" w:name="_Toc422322522"/>
      <w:bookmarkStart w:id="279" w:name="_Toc419045099"/>
      <w:bookmarkStart w:id="280" w:name="_Toc18850"/>
      <w:r>
        <w:rPr>
          <w:rFonts w:hint="eastAsia" w:ascii="仿宋" w:hAnsi="仿宋" w:eastAsia="仿宋" w:cs="仿宋"/>
          <w:color w:val="auto"/>
          <w:sz w:val="24"/>
          <w:szCs w:val="24"/>
          <w:highlight w:val="none"/>
        </w:rPr>
        <w:t>1.词语定义、语言、解释顺序与适用法律</w:t>
      </w:r>
      <w:bookmarkEnd w:id="277"/>
      <w:bookmarkEnd w:id="278"/>
      <w:bookmarkEnd w:id="279"/>
      <w:bookmarkEnd w:id="280"/>
    </w:p>
    <w:p w14:paraId="77563AB6">
      <w:pPr>
        <w:spacing w:line="360" w:lineRule="auto"/>
        <w:ind w:firstLine="468"/>
        <w:outlineLvl w:val="9"/>
        <w:rPr>
          <w:rStyle w:val="189"/>
          <w:rFonts w:hint="default" w:ascii="仿宋" w:hAnsi="仿宋" w:eastAsia="仿宋" w:cs="仿宋"/>
          <w:b w:val="0"/>
          <w:color w:val="auto"/>
          <w:sz w:val="24"/>
          <w:szCs w:val="24"/>
          <w:highlight w:val="none"/>
        </w:rPr>
      </w:pPr>
      <w:bookmarkStart w:id="281" w:name="_Toc422322524"/>
      <w:bookmarkStart w:id="282" w:name="_Toc419045101"/>
      <w:bookmarkStart w:id="283" w:name="_Toc454"/>
      <w:bookmarkStart w:id="284" w:name="_Toc6749"/>
      <w:r>
        <w:rPr>
          <w:rStyle w:val="189"/>
          <w:rFonts w:hint="eastAsia" w:ascii="仿宋" w:hAnsi="仿宋" w:eastAsia="仿宋" w:cs="仿宋"/>
          <w:b w:val="0"/>
          <w:color w:val="auto"/>
          <w:sz w:val="24"/>
          <w:szCs w:val="24"/>
          <w:highlight w:val="none"/>
        </w:rPr>
        <w:t>1.2 语言</w:t>
      </w:r>
      <w:bookmarkEnd w:id="281"/>
      <w:bookmarkEnd w:id="282"/>
    </w:p>
    <w:bookmarkEnd w:id="283"/>
    <w:bookmarkEnd w:id="284"/>
    <w:p w14:paraId="77CD40DF">
      <w:pPr>
        <w:spacing w:line="360" w:lineRule="auto"/>
        <w:ind w:firstLine="468"/>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xml:space="preserve">    本合同文件除使用中文外，还可用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1486825">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285" w:name="_Toc3225"/>
      <w:bookmarkStart w:id="286" w:name="_Toc422322525"/>
      <w:bookmarkStart w:id="287" w:name="_Toc22455"/>
      <w:r>
        <w:rPr>
          <w:rFonts w:hint="eastAsia" w:ascii="仿宋" w:hAnsi="仿宋" w:eastAsia="仿宋" w:cs="仿宋"/>
          <w:b w:val="0"/>
          <w:color w:val="auto"/>
          <w:sz w:val="24"/>
          <w:szCs w:val="24"/>
          <w:highlight w:val="none"/>
        </w:rPr>
        <w:t>1.3合同文件的优先顺序</w:t>
      </w:r>
      <w:bookmarkEnd w:id="285"/>
      <w:bookmarkEnd w:id="286"/>
      <w:bookmarkEnd w:id="287"/>
    </w:p>
    <w:p w14:paraId="782EE62F">
      <w:pPr>
        <w:spacing w:line="360" w:lineRule="auto"/>
        <w:ind w:firstLine="46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本合同文件的解释顺序为：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AB43AB">
      <w:pPr>
        <w:spacing w:line="360" w:lineRule="auto"/>
        <w:ind w:firstLine="468"/>
        <w:outlineLvl w:val="9"/>
        <w:rPr>
          <w:rStyle w:val="189"/>
          <w:rFonts w:hint="eastAsia" w:ascii="仿宋" w:hAnsi="仿宋" w:eastAsia="仿宋" w:cs="仿宋"/>
          <w:b w:val="0"/>
          <w:color w:val="auto"/>
          <w:sz w:val="24"/>
          <w:szCs w:val="24"/>
          <w:highlight w:val="none"/>
        </w:rPr>
      </w:pPr>
      <w:bookmarkStart w:id="288" w:name="_Toc422322526"/>
      <w:bookmarkStart w:id="289" w:name="_Toc419045102"/>
      <w:bookmarkStart w:id="290" w:name="_Toc1270"/>
      <w:bookmarkStart w:id="291" w:name="_Toc15388"/>
      <w:r>
        <w:rPr>
          <w:rStyle w:val="189"/>
          <w:rFonts w:hint="eastAsia" w:ascii="仿宋" w:hAnsi="仿宋" w:eastAsia="仿宋" w:cs="仿宋"/>
          <w:b w:val="0"/>
          <w:color w:val="auto"/>
          <w:sz w:val="24"/>
          <w:szCs w:val="24"/>
          <w:highlight w:val="none"/>
        </w:rPr>
        <w:t>1.4适用法律</w:t>
      </w:r>
      <w:bookmarkEnd w:id="288"/>
      <w:bookmarkEnd w:id="289"/>
    </w:p>
    <w:bookmarkEnd w:id="290"/>
    <w:bookmarkEnd w:id="291"/>
    <w:p w14:paraId="30131A29">
      <w:pPr>
        <w:spacing w:line="360" w:lineRule="auto"/>
        <w:ind w:left="210" w:leftChars="1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本合同适用的其他规范性文件包括: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1F3EC5C">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292" w:name="_Toc12679"/>
      <w:bookmarkStart w:id="293" w:name="_Toc17737"/>
      <w:bookmarkStart w:id="294" w:name="_Toc419045103"/>
      <w:bookmarkStart w:id="295" w:name="_Toc422322527"/>
      <w:r>
        <w:rPr>
          <w:rFonts w:hint="eastAsia" w:ascii="仿宋" w:hAnsi="仿宋" w:eastAsia="仿宋" w:cs="仿宋"/>
          <w:color w:val="auto"/>
          <w:sz w:val="24"/>
          <w:szCs w:val="24"/>
          <w:highlight w:val="none"/>
        </w:rPr>
        <w:t>2.委托人的义务</w:t>
      </w:r>
      <w:bookmarkEnd w:id="292"/>
      <w:bookmarkEnd w:id="293"/>
      <w:bookmarkEnd w:id="294"/>
      <w:bookmarkEnd w:id="295"/>
    </w:p>
    <w:p w14:paraId="46C4082B">
      <w:pPr>
        <w:spacing w:line="360" w:lineRule="auto"/>
        <w:ind w:firstLine="468"/>
        <w:outlineLvl w:val="9"/>
        <w:rPr>
          <w:rStyle w:val="189"/>
          <w:rFonts w:hint="eastAsia" w:ascii="仿宋" w:hAnsi="仿宋" w:eastAsia="仿宋" w:cs="仿宋"/>
          <w:b w:val="0"/>
          <w:color w:val="auto"/>
          <w:sz w:val="24"/>
          <w:szCs w:val="24"/>
          <w:highlight w:val="none"/>
        </w:rPr>
      </w:pPr>
      <w:bookmarkStart w:id="296" w:name="_Toc422322528"/>
      <w:bookmarkStart w:id="297" w:name="_Toc419045104"/>
      <w:bookmarkStart w:id="298" w:name="_Toc2964"/>
      <w:bookmarkStart w:id="299" w:name="_Toc8794"/>
      <w:r>
        <w:rPr>
          <w:rStyle w:val="189"/>
          <w:rFonts w:hint="eastAsia" w:ascii="仿宋" w:hAnsi="仿宋" w:eastAsia="仿宋" w:cs="仿宋"/>
          <w:b w:val="0"/>
          <w:color w:val="auto"/>
          <w:sz w:val="24"/>
          <w:szCs w:val="24"/>
          <w:highlight w:val="none"/>
        </w:rPr>
        <w:t>2.1提供资料</w:t>
      </w:r>
      <w:bookmarkEnd w:id="296"/>
      <w:bookmarkEnd w:id="297"/>
    </w:p>
    <w:bookmarkEnd w:id="298"/>
    <w:bookmarkEnd w:id="299"/>
    <w:p w14:paraId="75D50DA8">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委托人按照附录C约定无偿向咨询人提供与本合同咨询业务有关资料的时间为：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A4A1532">
      <w:pPr>
        <w:spacing w:line="360" w:lineRule="auto"/>
        <w:ind w:firstLine="468"/>
        <w:outlineLvl w:val="9"/>
        <w:rPr>
          <w:rStyle w:val="189"/>
          <w:rFonts w:hint="eastAsia" w:ascii="仿宋" w:hAnsi="仿宋" w:eastAsia="仿宋" w:cs="仿宋"/>
          <w:b w:val="0"/>
          <w:color w:val="auto"/>
          <w:sz w:val="24"/>
          <w:szCs w:val="24"/>
          <w:highlight w:val="none"/>
        </w:rPr>
      </w:pPr>
      <w:bookmarkStart w:id="300" w:name="_Toc419045105"/>
      <w:bookmarkStart w:id="301" w:name="_Toc422322529"/>
      <w:bookmarkStart w:id="302" w:name="_Toc22644"/>
      <w:bookmarkStart w:id="303" w:name="_Toc29182"/>
      <w:r>
        <w:rPr>
          <w:rStyle w:val="189"/>
          <w:rFonts w:hint="eastAsia" w:ascii="仿宋" w:hAnsi="仿宋" w:eastAsia="仿宋" w:cs="仿宋"/>
          <w:b w:val="0"/>
          <w:color w:val="auto"/>
          <w:sz w:val="24"/>
          <w:szCs w:val="24"/>
          <w:highlight w:val="none"/>
        </w:rPr>
        <w:t>2.2提供工作条件</w:t>
      </w:r>
      <w:bookmarkEnd w:id="300"/>
      <w:bookmarkEnd w:id="301"/>
    </w:p>
    <w:bookmarkEnd w:id="302"/>
    <w:bookmarkEnd w:id="303"/>
    <w:p w14:paraId="30C52D1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2.2.1项目咨询人员使用附录D中由委托人提供的房屋及设备，支付使用费的标准为：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63E8C3">
      <w:pPr>
        <w:spacing w:line="360" w:lineRule="auto"/>
        <w:ind w:firstLine="480" w:firstLineChars="200"/>
        <w:outlineLvl w:val="9"/>
        <w:rPr>
          <w:rStyle w:val="189"/>
          <w:rFonts w:hint="default" w:ascii="仿宋" w:hAnsi="仿宋" w:eastAsia="仿宋" w:cs="仿宋"/>
          <w:b w:val="0"/>
          <w:color w:val="auto"/>
          <w:sz w:val="24"/>
          <w:szCs w:val="24"/>
          <w:highlight w:val="none"/>
        </w:rPr>
      </w:pPr>
      <w:bookmarkStart w:id="304" w:name="_Toc422322530"/>
      <w:bookmarkStart w:id="305" w:name="_Toc419045106"/>
      <w:bookmarkStart w:id="306" w:name="_Toc766"/>
      <w:bookmarkStart w:id="307" w:name="_Toc19365"/>
      <w:r>
        <w:rPr>
          <w:rStyle w:val="189"/>
          <w:rFonts w:hint="eastAsia" w:ascii="仿宋" w:hAnsi="仿宋" w:eastAsia="仿宋" w:cs="仿宋"/>
          <w:b w:val="0"/>
          <w:color w:val="auto"/>
          <w:sz w:val="24"/>
          <w:szCs w:val="24"/>
          <w:highlight w:val="none"/>
        </w:rPr>
        <w:t>2.4委托人代表</w:t>
      </w:r>
      <w:bookmarkEnd w:id="304"/>
      <w:bookmarkEnd w:id="305"/>
    </w:p>
    <w:bookmarkEnd w:id="306"/>
    <w:bookmarkEnd w:id="307"/>
    <w:p w14:paraId="72D5E441">
      <w:pPr>
        <w:spacing w:line="360" w:lineRule="auto"/>
        <w:ind w:firstLine="480" w:firstLineChars="200"/>
        <w:outlineLvl w:val="9"/>
        <w:rPr>
          <w:rStyle w:val="189"/>
          <w:rFonts w:hint="eastAsia" w:ascii="仿宋" w:hAnsi="仿宋" w:eastAsia="仿宋" w:cs="仿宋"/>
          <w:b w:val="0"/>
          <w:bCs w:val="0"/>
          <w:color w:val="auto"/>
          <w:kern w:val="0"/>
          <w:sz w:val="24"/>
          <w:szCs w:val="24"/>
          <w:highlight w:val="none"/>
        </w:rPr>
      </w:pPr>
      <w:r>
        <w:rPr>
          <w:rFonts w:hint="eastAsia" w:ascii="仿宋" w:hAnsi="仿宋" w:eastAsia="仿宋" w:cs="仿宋"/>
          <w:color w:val="auto"/>
          <w:sz w:val="24"/>
          <w:szCs w:val="24"/>
          <w:highlight w:val="none"/>
        </w:rPr>
        <w:t xml:space="preserve">    委托人代表为：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，其权限范围：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AD4B810">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08" w:name="_Toc6183"/>
      <w:bookmarkStart w:id="309" w:name="_Toc422322531"/>
      <w:bookmarkStart w:id="310" w:name="_Toc16012"/>
      <w:r>
        <w:rPr>
          <w:rFonts w:hint="eastAsia" w:ascii="仿宋" w:hAnsi="仿宋" w:eastAsia="仿宋" w:cs="仿宋"/>
          <w:b w:val="0"/>
          <w:color w:val="auto"/>
          <w:sz w:val="24"/>
          <w:szCs w:val="24"/>
          <w:highlight w:val="none"/>
        </w:rPr>
        <w:t>2.5答复</w:t>
      </w:r>
      <w:bookmarkEnd w:id="308"/>
      <w:bookmarkEnd w:id="309"/>
      <w:bookmarkEnd w:id="310"/>
    </w:p>
    <w:p w14:paraId="096EEED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委托人同意在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日内，对咨询人书面提交并要求做出决定的事宜给予书面答复。逾期未答复的，视为委托人认可。</w:t>
      </w:r>
    </w:p>
    <w:p w14:paraId="5E14BB91">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311" w:name="_Toc422322532"/>
      <w:bookmarkStart w:id="312" w:name="_Toc20045"/>
      <w:bookmarkStart w:id="313" w:name="_Toc19628"/>
      <w:bookmarkStart w:id="314" w:name="_Toc419045107"/>
      <w:r>
        <w:rPr>
          <w:rFonts w:hint="eastAsia" w:ascii="仿宋" w:hAnsi="仿宋" w:eastAsia="仿宋" w:cs="仿宋"/>
          <w:color w:val="auto"/>
          <w:sz w:val="24"/>
          <w:szCs w:val="24"/>
          <w:highlight w:val="none"/>
        </w:rPr>
        <w:t>3.咨询人的义务</w:t>
      </w:r>
      <w:bookmarkEnd w:id="311"/>
      <w:bookmarkEnd w:id="312"/>
      <w:bookmarkEnd w:id="313"/>
      <w:bookmarkEnd w:id="314"/>
    </w:p>
    <w:p w14:paraId="1F0B623D">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15" w:name="_Toc11692"/>
      <w:bookmarkStart w:id="316" w:name="_Toc15353"/>
      <w:bookmarkStart w:id="317" w:name="_Toc422322533"/>
      <w:bookmarkStart w:id="318" w:name="_Toc419045109"/>
      <w:r>
        <w:rPr>
          <w:rFonts w:hint="eastAsia" w:ascii="仿宋" w:hAnsi="仿宋" w:eastAsia="仿宋" w:cs="仿宋"/>
          <w:b w:val="0"/>
          <w:color w:val="auto"/>
          <w:sz w:val="24"/>
          <w:szCs w:val="24"/>
          <w:highlight w:val="none"/>
        </w:rPr>
        <w:t>3.1项目咨询团队及人员</w:t>
      </w:r>
      <w:bookmarkEnd w:id="315"/>
      <w:bookmarkEnd w:id="316"/>
      <w:bookmarkEnd w:id="317"/>
      <w:bookmarkEnd w:id="318"/>
    </w:p>
    <w:p w14:paraId="2ECE62D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3.1.1项目咨询团队的主要人员应具有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资格条件，团队人员的数量为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1A79495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，项目负责人为履行本合同的权限为：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2513020">
      <w:pPr>
        <w:pStyle w:val="149"/>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3.1.3咨询人更换项目咨询团队其他咨询人员的约定：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2EF98E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3.1.4委托人要求更换咨询人员的情形还包括：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F116868">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19" w:name="_Toc12187"/>
      <w:bookmarkStart w:id="320" w:name="_Toc419045110"/>
      <w:bookmarkStart w:id="321" w:name="_Toc422322534"/>
      <w:bookmarkStart w:id="322" w:name="_Toc26866"/>
      <w:r>
        <w:rPr>
          <w:rFonts w:hint="eastAsia" w:ascii="仿宋" w:hAnsi="仿宋" w:eastAsia="仿宋" w:cs="仿宋"/>
          <w:b w:val="0"/>
          <w:color w:val="auto"/>
          <w:sz w:val="24"/>
          <w:szCs w:val="24"/>
          <w:highlight w:val="none"/>
        </w:rPr>
        <w:t>3.2咨询人的工作要求</w:t>
      </w:r>
      <w:bookmarkEnd w:id="319"/>
      <w:bookmarkEnd w:id="320"/>
      <w:bookmarkEnd w:id="321"/>
      <w:bookmarkEnd w:id="322"/>
    </w:p>
    <w:p w14:paraId="525FF49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3.2.1咨询人向委托人提供有关资料的时间：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。咨询人向委托人提供的资料还包括：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A09FB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3.2.2咨询人向委托人提供咨询成果文件的名称、组成、时间、份数及质量标准：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。详见附录B。</w:t>
      </w:r>
    </w:p>
    <w:p w14:paraId="6765635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3.2.4咨询人应在收到委托人以书面形式提出的建议或者异议后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日内给予书面答复。</w:t>
      </w:r>
    </w:p>
    <w:p w14:paraId="65C588D3">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23" w:name="_Toc20093"/>
      <w:bookmarkStart w:id="324" w:name="_Toc419045111"/>
      <w:bookmarkStart w:id="325" w:name="_Toc9331"/>
      <w:bookmarkStart w:id="326" w:name="_Toc422322535"/>
      <w:r>
        <w:rPr>
          <w:rFonts w:hint="eastAsia" w:ascii="仿宋" w:hAnsi="仿宋" w:eastAsia="仿宋" w:cs="仿宋"/>
          <w:b w:val="0"/>
          <w:color w:val="auto"/>
          <w:sz w:val="24"/>
          <w:szCs w:val="24"/>
          <w:highlight w:val="none"/>
        </w:rPr>
        <w:t>3.3咨询人的工作依据</w:t>
      </w:r>
      <w:bookmarkEnd w:id="323"/>
      <w:bookmarkEnd w:id="324"/>
      <w:bookmarkEnd w:id="325"/>
      <w:bookmarkEnd w:id="326"/>
    </w:p>
    <w:p w14:paraId="32ABFF4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经双方协商，本合同约定的造价咨询服务适用的技术标准、规范、定额等工作依据为：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870AEB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27" w:name="_Toc422322536"/>
      <w:bookmarkStart w:id="328" w:name="_Toc419045112"/>
      <w:bookmarkStart w:id="329" w:name="_Toc1440"/>
      <w:bookmarkStart w:id="330" w:name="_Toc313"/>
      <w:r>
        <w:rPr>
          <w:rFonts w:hint="eastAsia" w:ascii="仿宋" w:hAnsi="仿宋" w:eastAsia="仿宋" w:cs="仿宋"/>
          <w:b w:val="0"/>
          <w:color w:val="auto"/>
          <w:sz w:val="24"/>
          <w:szCs w:val="24"/>
          <w:highlight w:val="none"/>
        </w:rPr>
        <w:t>3.4使用委托人房屋及设备的返还</w:t>
      </w:r>
      <w:bookmarkEnd w:id="327"/>
      <w:bookmarkEnd w:id="328"/>
      <w:bookmarkEnd w:id="329"/>
      <w:bookmarkEnd w:id="330"/>
    </w:p>
    <w:p w14:paraId="1EDF606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咨询人应在本合同终止后</w:t>
      </w:r>
      <w:r>
        <w:rPr>
          <w:rFonts w:hint="eastAsia" w:ascii="仿宋" w:hAnsi="仿宋" w:eastAsia="仿宋" w:cs="仿宋"/>
          <w:color w:val="auto"/>
          <w:sz w:val="24"/>
          <w:szCs w:val="24"/>
          <w:highlight w:val="none"/>
          <w:u w:val="single"/>
        </w:rPr>
        <w:t xml:space="preserve">     _</w:t>
      </w:r>
      <w:r>
        <w:rPr>
          <w:rFonts w:hint="eastAsia" w:ascii="仿宋" w:hAnsi="仿宋" w:eastAsia="仿宋" w:cs="仿宋"/>
          <w:color w:val="auto"/>
          <w:sz w:val="24"/>
          <w:szCs w:val="24"/>
          <w:highlight w:val="none"/>
        </w:rPr>
        <w:t>日内移交委托人提供的房屋及设备，移交的方式为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C528C79">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331" w:name="_Toc22064"/>
      <w:bookmarkStart w:id="332" w:name="_Toc669"/>
      <w:bookmarkStart w:id="333" w:name="_Toc422322537"/>
      <w:bookmarkStart w:id="334" w:name="_Toc419045113"/>
      <w:r>
        <w:rPr>
          <w:rFonts w:hint="eastAsia" w:ascii="仿宋" w:hAnsi="仿宋" w:eastAsia="仿宋" w:cs="仿宋"/>
          <w:color w:val="auto"/>
          <w:sz w:val="24"/>
          <w:szCs w:val="24"/>
          <w:highlight w:val="none"/>
        </w:rPr>
        <w:t>4. 违约责任</w:t>
      </w:r>
      <w:bookmarkEnd w:id="331"/>
      <w:bookmarkEnd w:id="332"/>
      <w:bookmarkEnd w:id="333"/>
      <w:bookmarkEnd w:id="334"/>
    </w:p>
    <w:p w14:paraId="5D6291A6">
      <w:pPr>
        <w:pStyle w:val="21"/>
        <w:spacing w:before="60" w:line="360" w:lineRule="auto"/>
        <w:ind w:firstLine="480" w:firstLineChars="200"/>
        <w:jc w:val="left"/>
        <w:outlineLvl w:val="9"/>
        <w:rPr>
          <w:rFonts w:hint="eastAsia" w:ascii="仿宋" w:hAnsi="仿宋" w:eastAsia="仿宋" w:cs="仿宋"/>
          <w:color w:val="auto"/>
          <w:sz w:val="24"/>
          <w:szCs w:val="24"/>
          <w:highlight w:val="none"/>
        </w:rPr>
      </w:pPr>
      <w:bookmarkStart w:id="335" w:name="_Toc9880"/>
      <w:bookmarkStart w:id="336" w:name="_Toc422322538"/>
      <w:bookmarkStart w:id="337" w:name="_Toc11947"/>
      <w:r>
        <w:rPr>
          <w:rStyle w:val="189"/>
          <w:rFonts w:hint="eastAsia" w:ascii="仿宋" w:hAnsi="仿宋" w:eastAsia="仿宋" w:cs="仿宋"/>
          <w:b w:val="0"/>
          <w:bCs w:val="0"/>
          <w:color w:val="auto"/>
          <w:sz w:val="24"/>
          <w:szCs w:val="24"/>
          <w:highlight w:val="none"/>
        </w:rPr>
        <w:t>4.1委托人的违约责任</w:t>
      </w:r>
      <w:bookmarkEnd w:id="335"/>
      <w:bookmarkEnd w:id="336"/>
      <w:bookmarkEnd w:id="337"/>
    </w:p>
    <w:p w14:paraId="2BC4B283">
      <w:pPr>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4.1.1委托人违约金的计算及支付方法：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2E329F6">
      <w:pPr>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4.1.2委托人赔偿金额按下列方法确定并支付：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FE42F6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委托人逾期付款利息按下列方法计算并支付：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C443F2A">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38" w:name="_Toc422322539"/>
      <w:bookmarkStart w:id="339" w:name="_Toc4966"/>
      <w:bookmarkStart w:id="340" w:name="_Toc9059"/>
      <w:bookmarkStart w:id="341" w:name="_Toc419045114"/>
      <w:r>
        <w:rPr>
          <w:rFonts w:hint="eastAsia" w:ascii="仿宋" w:hAnsi="仿宋" w:eastAsia="仿宋" w:cs="仿宋"/>
          <w:b w:val="0"/>
          <w:color w:val="auto"/>
          <w:sz w:val="24"/>
          <w:szCs w:val="24"/>
          <w:highlight w:val="none"/>
        </w:rPr>
        <w:t>4.2咨询人的违约责任</w:t>
      </w:r>
      <w:bookmarkEnd w:id="338"/>
      <w:bookmarkEnd w:id="339"/>
      <w:bookmarkEnd w:id="340"/>
    </w:p>
    <w:bookmarkEnd w:id="341"/>
    <w:p w14:paraId="47788B5E">
      <w:pPr>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4.2.1咨询人违约金的计算及支付方法：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FE98CAA">
      <w:pPr>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 咨询人赔偿金额按下列方法确定并支付：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18DFD01">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342" w:name="_Toc419045115"/>
      <w:bookmarkStart w:id="343" w:name="_Toc422322540"/>
      <w:bookmarkStart w:id="344" w:name="_Toc3900"/>
      <w:bookmarkStart w:id="345" w:name="_Toc29854"/>
      <w:r>
        <w:rPr>
          <w:rFonts w:hint="eastAsia" w:ascii="仿宋" w:hAnsi="仿宋" w:eastAsia="仿宋" w:cs="仿宋"/>
          <w:color w:val="auto"/>
          <w:sz w:val="24"/>
          <w:szCs w:val="24"/>
          <w:highlight w:val="none"/>
        </w:rPr>
        <w:t>5. 支付</w:t>
      </w:r>
      <w:bookmarkEnd w:id="342"/>
      <w:bookmarkEnd w:id="343"/>
      <w:bookmarkEnd w:id="344"/>
      <w:bookmarkEnd w:id="345"/>
    </w:p>
    <w:p w14:paraId="291DD93F">
      <w:pPr>
        <w:spacing w:line="360" w:lineRule="auto"/>
        <w:ind w:firstLine="480" w:firstLineChars="200"/>
        <w:outlineLvl w:val="9"/>
        <w:rPr>
          <w:rStyle w:val="189"/>
          <w:rFonts w:hint="eastAsia" w:ascii="仿宋" w:hAnsi="仿宋" w:eastAsia="仿宋" w:cs="仿宋"/>
          <w:b w:val="0"/>
          <w:color w:val="auto"/>
          <w:sz w:val="24"/>
          <w:szCs w:val="24"/>
          <w:highlight w:val="none"/>
        </w:rPr>
      </w:pPr>
      <w:bookmarkStart w:id="346" w:name="_Toc419045116"/>
      <w:bookmarkStart w:id="347" w:name="_Toc422322541"/>
      <w:bookmarkStart w:id="348" w:name="_Toc4018"/>
      <w:bookmarkStart w:id="349" w:name="_Toc21745"/>
      <w:r>
        <w:rPr>
          <w:rStyle w:val="189"/>
          <w:rFonts w:hint="eastAsia" w:ascii="仿宋" w:hAnsi="仿宋" w:eastAsia="仿宋" w:cs="仿宋"/>
          <w:b w:val="0"/>
          <w:color w:val="auto"/>
          <w:sz w:val="24"/>
          <w:szCs w:val="24"/>
          <w:highlight w:val="none"/>
        </w:rPr>
        <w:t>5.1支付货币</w:t>
      </w:r>
      <w:bookmarkEnd w:id="346"/>
      <w:bookmarkEnd w:id="347"/>
    </w:p>
    <w:bookmarkEnd w:id="348"/>
    <w:bookmarkEnd w:id="349"/>
    <w:p w14:paraId="5821575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，汇率为：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A3C5841">
      <w:pPr>
        <w:spacing w:line="360" w:lineRule="auto"/>
        <w:ind w:firstLine="480" w:firstLineChars="200"/>
        <w:outlineLvl w:val="9"/>
        <w:rPr>
          <w:rStyle w:val="189"/>
          <w:rFonts w:hint="eastAsia" w:ascii="仿宋" w:hAnsi="仿宋" w:eastAsia="仿宋" w:cs="仿宋"/>
          <w:b w:val="0"/>
          <w:color w:val="auto"/>
          <w:sz w:val="24"/>
          <w:szCs w:val="24"/>
          <w:highlight w:val="none"/>
        </w:rPr>
      </w:pPr>
      <w:bookmarkStart w:id="350" w:name="_Toc422322542"/>
      <w:bookmarkStart w:id="351" w:name="_Toc419045117"/>
      <w:bookmarkStart w:id="352" w:name="_Toc16960"/>
      <w:bookmarkStart w:id="353" w:name="_Toc20853"/>
      <w:r>
        <w:rPr>
          <w:rStyle w:val="189"/>
          <w:rFonts w:hint="eastAsia" w:ascii="仿宋" w:hAnsi="仿宋" w:eastAsia="仿宋" w:cs="仿宋"/>
          <w:b w:val="0"/>
          <w:color w:val="auto"/>
          <w:sz w:val="24"/>
          <w:szCs w:val="24"/>
          <w:highlight w:val="none"/>
        </w:rPr>
        <w:t>5.2 支付申请</w:t>
      </w:r>
      <w:bookmarkEnd w:id="350"/>
      <w:bookmarkEnd w:id="351"/>
    </w:p>
    <w:bookmarkEnd w:id="352"/>
    <w:bookmarkEnd w:id="353"/>
    <w:p w14:paraId="1D392D9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咨询人应在本合同约定的每次应付款日期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日前，向委托人提交支付申请书。</w:t>
      </w:r>
    </w:p>
    <w:p w14:paraId="52B41F67">
      <w:pPr>
        <w:spacing w:line="360" w:lineRule="auto"/>
        <w:ind w:firstLine="480" w:firstLineChars="200"/>
        <w:outlineLvl w:val="9"/>
        <w:rPr>
          <w:rStyle w:val="189"/>
          <w:rFonts w:hint="eastAsia" w:ascii="仿宋" w:hAnsi="仿宋" w:eastAsia="仿宋" w:cs="仿宋"/>
          <w:b w:val="0"/>
          <w:color w:val="auto"/>
          <w:sz w:val="24"/>
          <w:szCs w:val="24"/>
          <w:highlight w:val="none"/>
        </w:rPr>
      </w:pPr>
      <w:bookmarkStart w:id="354" w:name="_Toc422322543"/>
      <w:bookmarkStart w:id="355" w:name="_Toc419045118"/>
      <w:bookmarkStart w:id="356" w:name="_Toc20208"/>
      <w:bookmarkStart w:id="357" w:name="_Toc18209"/>
      <w:r>
        <w:rPr>
          <w:rStyle w:val="189"/>
          <w:rFonts w:hint="eastAsia" w:ascii="仿宋" w:hAnsi="仿宋" w:eastAsia="仿宋" w:cs="仿宋"/>
          <w:b w:val="0"/>
          <w:color w:val="auto"/>
          <w:sz w:val="24"/>
          <w:szCs w:val="24"/>
          <w:highlight w:val="none"/>
        </w:rPr>
        <w:t>5.3支付酬金</w:t>
      </w:r>
      <w:bookmarkEnd w:id="354"/>
      <w:bookmarkEnd w:id="355"/>
    </w:p>
    <w:bookmarkEnd w:id="356"/>
    <w:bookmarkEnd w:id="357"/>
    <w:p w14:paraId="6E968A0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正常工作酬金的支付：</w:t>
      </w:r>
    </w:p>
    <w:p w14:paraId="5F47F1E2">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358" w:name="_Toc419045119"/>
      <w:bookmarkStart w:id="359" w:name="_Toc422322544"/>
      <w:bookmarkStart w:id="360" w:name="_Toc6499"/>
      <w:bookmarkStart w:id="361" w:name="_Toc15173"/>
      <w:r>
        <w:rPr>
          <w:rFonts w:hint="eastAsia" w:ascii="仿宋" w:hAnsi="仿宋" w:eastAsia="仿宋" w:cs="仿宋"/>
          <w:color w:val="auto"/>
          <w:sz w:val="24"/>
          <w:szCs w:val="24"/>
          <w:highlight w:val="none"/>
        </w:rPr>
        <w:t>6. 合同变更、解除与终止</w:t>
      </w:r>
      <w:bookmarkEnd w:id="358"/>
      <w:bookmarkEnd w:id="359"/>
      <w:bookmarkEnd w:id="360"/>
      <w:bookmarkEnd w:id="361"/>
    </w:p>
    <w:p w14:paraId="7631A265">
      <w:pPr>
        <w:spacing w:line="360" w:lineRule="auto"/>
        <w:ind w:firstLine="480" w:firstLineChars="200"/>
        <w:outlineLvl w:val="9"/>
        <w:rPr>
          <w:rStyle w:val="189"/>
          <w:rFonts w:hint="default" w:ascii="仿宋" w:hAnsi="仿宋" w:eastAsia="仿宋" w:cs="仿宋"/>
          <w:b w:val="0"/>
          <w:color w:val="auto"/>
          <w:sz w:val="24"/>
          <w:szCs w:val="24"/>
          <w:highlight w:val="none"/>
        </w:rPr>
      </w:pPr>
      <w:bookmarkStart w:id="362" w:name="_Toc419045120"/>
      <w:bookmarkStart w:id="363" w:name="_Toc422322545"/>
      <w:bookmarkStart w:id="364" w:name="_Toc201"/>
      <w:bookmarkStart w:id="365" w:name="_Toc27129"/>
      <w:r>
        <w:rPr>
          <w:rStyle w:val="189"/>
          <w:rFonts w:hint="eastAsia" w:ascii="仿宋" w:hAnsi="仿宋" w:eastAsia="仿宋" w:cs="仿宋"/>
          <w:b w:val="0"/>
          <w:color w:val="auto"/>
          <w:sz w:val="24"/>
          <w:szCs w:val="24"/>
          <w:highlight w:val="none"/>
        </w:rPr>
        <w:t>6.1合同变更</w:t>
      </w:r>
      <w:bookmarkEnd w:id="362"/>
      <w:bookmarkEnd w:id="363"/>
    </w:p>
    <w:bookmarkEnd w:id="364"/>
    <w:bookmarkEnd w:id="365"/>
    <w:p w14:paraId="59D9C956">
      <w:pPr>
        <w:spacing w:line="360" w:lineRule="auto"/>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6.1.2 除不可抗力外，因非咨询人原因导致本合同履行期限延长、内容增加时，附加工作酬金按下列方法确定：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43275E7">
      <w:pPr>
        <w:spacing w:line="360" w:lineRule="auto"/>
        <w:ind w:firstLine="480" w:firstLineChars="200"/>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xml:space="preserve">    6.1.4因工程规模、服务范围及内容的变化等导致咨询人的工作量增减时，服务酬金的调整方法：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2DCD9D">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66" w:name="_Toc422322546"/>
      <w:bookmarkStart w:id="367" w:name="_Toc16018"/>
      <w:bookmarkStart w:id="368" w:name="_Toc2981"/>
      <w:r>
        <w:rPr>
          <w:rFonts w:hint="eastAsia" w:ascii="仿宋" w:hAnsi="仿宋" w:eastAsia="仿宋" w:cs="仿宋"/>
          <w:b w:val="0"/>
          <w:color w:val="auto"/>
          <w:sz w:val="24"/>
          <w:szCs w:val="24"/>
          <w:highlight w:val="none"/>
        </w:rPr>
        <w:t>6.2合同解除</w:t>
      </w:r>
      <w:bookmarkEnd w:id="366"/>
      <w:bookmarkEnd w:id="367"/>
      <w:bookmarkEnd w:id="368"/>
    </w:p>
    <w:p w14:paraId="617A3FD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6.2.2双方约定解除合同的条件还包括：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21D95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6.2.4因不可抗力导致的合同解除，双方约定损失的分担如下：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EB2D3BD">
      <w:pPr>
        <w:pStyle w:val="26"/>
        <w:spacing w:before="0" w:after="0" w:line="360" w:lineRule="auto"/>
        <w:ind w:firstLine="482" w:firstLineChars="200"/>
        <w:jc w:val="left"/>
        <w:outlineLvl w:val="9"/>
        <w:rPr>
          <w:rFonts w:hint="eastAsia" w:ascii="仿宋" w:hAnsi="仿宋" w:eastAsia="仿宋" w:cs="仿宋"/>
          <w:color w:val="auto"/>
          <w:sz w:val="24"/>
          <w:szCs w:val="24"/>
          <w:highlight w:val="none"/>
        </w:rPr>
      </w:pPr>
      <w:bookmarkStart w:id="369" w:name="_Toc422322547"/>
      <w:bookmarkStart w:id="370" w:name="_Toc10244"/>
      <w:bookmarkStart w:id="371" w:name="_Toc22632"/>
      <w:bookmarkStart w:id="372" w:name="_Toc419045121"/>
      <w:r>
        <w:rPr>
          <w:rFonts w:hint="eastAsia" w:ascii="仿宋" w:hAnsi="仿宋" w:eastAsia="仿宋" w:cs="仿宋"/>
          <w:color w:val="auto"/>
          <w:sz w:val="24"/>
          <w:szCs w:val="24"/>
          <w:highlight w:val="none"/>
        </w:rPr>
        <w:t>7. 争议解决</w:t>
      </w:r>
      <w:bookmarkEnd w:id="369"/>
      <w:bookmarkEnd w:id="370"/>
      <w:bookmarkEnd w:id="371"/>
      <w:bookmarkEnd w:id="372"/>
    </w:p>
    <w:p w14:paraId="6A8D6030">
      <w:pPr>
        <w:spacing w:line="360" w:lineRule="auto"/>
        <w:ind w:firstLine="480"/>
        <w:outlineLvl w:val="9"/>
        <w:rPr>
          <w:rStyle w:val="189"/>
          <w:rFonts w:hint="default" w:ascii="仿宋" w:hAnsi="仿宋" w:eastAsia="仿宋" w:cs="仿宋"/>
          <w:b w:val="0"/>
          <w:color w:val="auto"/>
          <w:sz w:val="24"/>
          <w:szCs w:val="24"/>
          <w:highlight w:val="none"/>
        </w:rPr>
      </w:pPr>
      <w:bookmarkStart w:id="373" w:name="_Toc422322548"/>
      <w:bookmarkStart w:id="374" w:name="_Toc419045122"/>
      <w:bookmarkStart w:id="375" w:name="_Toc28289"/>
      <w:bookmarkStart w:id="376" w:name="_Toc17401"/>
      <w:r>
        <w:rPr>
          <w:rStyle w:val="189"/>
          <w:rFonts w:hint="eastAsia" w:ascii="仿宋" w:hAnsi="仿宋" w:eastAsia="仿宋" w:cs="仿宋"/>
          <w:b w:val="0"/>
          <w:color w:val="auto"/>
          <w:sz w:val="24"/>
          <w:szCs w:val="24"/>
          <w:highlight w:val="none"/>
        </w:rPr>
        <w:t>7.2调解</w:t>
      </w:r>
      <w:bookmarkEnd w:id="373"/>
      <w:bookmarkEnd w:id="374"/>
    </w:p>
    <w:bookmarkEnd w:id="375"/>
    <w:bookmarkEnd w:id="376"/>
    <w:p w14:paraId="5C3AB339">
      <w:pPr>
        <w:spacing w:line="360" w:lineRule="auto"/>
        <w:ind w:firstLine="480"/>
        <w:outlineLvl w:val="9"/>
        <w:rPr>
          <w:rStyle w:val="189"/>
          <w:rFonts w:hint="eastAsia" w:ascii="仿宋" w:hAnsi="仿宋" w:eastAsia="仿宋" w:cs="仿宋"/>
          <w:b w:val="0"/>
          <w:bCs w:val="0"/>
          <w:color w:val="auto"/>
          <w:kern w:val="0"/>
          <w:sz w:val="24"/>
          <w:szCs w:val="24"/>
          <w:highlight w:val="none"/>
        </w:rPr>
      </w:pPr>
      <w:r>
        <w:rPr>
          <w:rFonts w:hint="eastAsia" w:ascii="仿宋" w:hAnsi="仿宋" w:eastAsia="仿宋" w:cs="仿宋"/>
          <w:color w:val="auto"/>
          <w:sz w:val="24"/>
          <w:szCs w:val="24"/>
          <w:highlight w:val="none"/>
        </w:rPr>
        <w:t xml:space="preserve">    如果双方不能在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日内解决本合同争议，可以将其提交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进行调解。</w:t>
      </w:r>
    </w:p>
    <w:p w14:paraId="3E53085A">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77" w:name="_Toc4333"/>
      <w:bookmarkStart w:id="378" w:name="_Toc5694"/>
      <w:bookmarkStart w:id="379" w:name="_Toc422322549"/>
      <w:r>
        <w:rPr>
          <w:rFonts w:hint="eastAsia" w:ascii="仿宋" w:hAnsi="仿宋" w:eastAsia="仿宋" w:cs="仿宋"/>
          <w:b w:val="0"/>
          <w:color w:val="auto"/>
          <w:sz w:val="24"/>
          <w:szCs w:val="24"/>
          <w:highlight w:val="none"/>
        </w:rPr>
        <w:t>7.3仲裁或诉讼</w:t>
      </w:r>
      <w:bookmarkEnd w:id="377"/>
      <w:bookmarkEnd w:id="378"/>
      <w:bookmarkEnd w:id="379"/>
    </w:p>
    <w:p w14:paraId="4F17D084">
      <w:pPr>
        <w:spacing w:line="360" w:lineRule="auto"/>
        <w:ind w:firstLine="48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合同争议的最终解决方式为下列第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876A729">
      <w:pPr>
        <w:spacing w:line="360" w:lineRule="auto"/>
        <w:ind w:firstLine="48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仲裁委员会进行仲裁。</w:t>
      </w:r>
    </w:p>
    <w:p w14:paraId="62A1BFA5">
      <w:pPr>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人民法院提起诉讼。</w:t>
      </w:r>
    </w:p>
    <w:p w14:paraId="71FE443E">
      <w:pPr>
        <w:spacing w:line="360" w:lineRule="auto"/>
        <w:ind w:firstLine="482" w:firstLineChars="200"/>
        <w:outlineLvl w:val="9"/>
        <w:rPr>
          <w:rStyle w:val="189"/>
          <w:rFonts w:hint="eastAsia" w:ascii="仿宋" w:hAnsi="仿宋" w:eastAsia="仿宋" w:cs="仿宋"/>
          <w:b w:val="0"/>
          <w:color w:val="auto"/>
          <w:sz w:val="24"/>
          <w:szCs w:val="24"/>
          <w:highlight w:val="none"/>
        </w:rPr>
      </w:pPr>
      <w:bookmarkStart w:id="380" w:name="_Toc24563"/>
      <w:bookmarkStart w:id="381" w:name="_Toc11766"/>
      <w:bookmarkStart w:id="382" w:name="_Toc422322550"/>
      <w:bookmarkStart w:id="383" w:name="_Toc419045123"/>
      <w:r>
        <w:rPr>
          <w:rStyle w:val="188"/>
          <w:rFonts w:hint="eastAsia" w:ascii="仿宋" w:hAnsi="仿宋" w:eastAsia="仿宋" w:cs="仿宋"/>
          <w:color w:val="auto"/>
          <w:sz w:val="24"/>
          <w:szCs w:val="24"/>
          <w:highlight w:val="none"/>
        </w:rPr>
        <w:t>8. 其他</w:t>
      </w:r>
      <w:bookmarkEnd w:id="380"/>
      <w:bookmarkEnd w:id="381"/>
      <w:bookmarkEnd w:id="382"/>
      <w:bookmarkEnd w:id="383"/>
    </w:p>
    <w:p w14:paraId="6FA3AAD2">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84" w:name="_Toc22561"/>
      <w:bookmarkStart w:id="385" w:name="_Toc757"/>
      <w:bookmarkStart w:id="386" w:name="_Toc422322551"/>
      <w:r>
        <w:rPr>
          <w:rFonts w:hint="eastAsia" w:ascii="仿宋" w:hAnsi="仿宋" w:eastAsia="仿宋" w:cs="仿宋"/>
          <w:b w:val="0"/>
          <w:color w:val="auto"/>
          <w:sz w:val="24"/>
          <w:szCs w:val="24"/>
          <w:highlight w:val="none"/>
        </w:rPr>
        <w:t>8.1考察及相关费用</w:t>
      </w:r>
      <w:bookmarkEnd w:id="384"/>
      <w:bookmarkEnd w:id="385"/>
      <w:bookmarkEnd w:id="386"/>
    </w:p>
    <w:p w14:paraId="4B6219B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咨询人经委托人同意进行考察发生的费用由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支付。</w:t>
      </w:r>
    </w:p>
    <w:p w14:paraId="56B0F8D7">
      <w:pPr>
        <w:spacing w:line="360" w:lineRule="auto"/>
        <w:ind w:firstLine="480" w:firstLineChars="200"/>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差旅费及相关费用的支付：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5BB0375">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87" w:name="_Toc422322552"/>
      <w:bookmarkStart w:id="388" w:name="_Toc5241"/>
      <w:bookmarkStart w:id="389" w:name="_Toc27451"/>
      <w:r>
        <w:rPr>
          <w:rFonts w:hint="eastAsia" w:ascii="仿宋" w:hAnsi="仿宋" w:eastAsia="仿宋" w:cs="仿宋"/>
          <w:b w:val="0"/>
          <w:color w:val="auto"/>
          <w:sz w:val="24"/>
          <w:szCs w:val="24"/>
          <w:highlight w:val="none"/>
        </w:rPr>
        <w:t>8.2奖励</w:t>
      </w:r>
      <w:bookmarkEnd w:id="387"/>
      <w:bookmarkEnd w:id="388"/>
      <w:bookmarkEnd w:id="389"/>
    </w:p>
    <w:p w14:paraId="5861DF8E">
      <w:pPr>
        <w:spacing w:line="360" w:lineRule="auto"/>
        <w:ind w:firstLine="480" w:firstLineChars="200"/>
        <w:outlineLvl w:val="9"/>
        <w:rPr>
          <w:rStyle w:val="189"/>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合理化建议的奖励金额按下列方法确定：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3D4978E">
      <w:pPr>
        <w:pStyle w:val="21"/>
        <w:spacing w:before="60" w:line="360" w:lineRule="auto"/>
        <w:ind w:firstLine="480" w:firstLineChars="200"/>
        <w:jc w:val="left"/>
        <w:outlineLvl w:val="9"/>
        <w:rPr>
          <w:rFonts w:hint="eastAsia" w:ascii="仿宋" w:hAnsi="仿宋" w:eastAsia="仿宋" w:cs="仿宋"/>
          <w:b w:val="0"/>
          <w:color w:val="auto"/>
          <w:sz w:val="24"/>
          <w:szCs w:val="24"/>
          <w:highlight w:val="none"/>
        </w:rPr>
      </w:pPr>
      <w:bookmarkStart w:id="390" w:name="_Toc16256"/>
      <w:bookmarkStart w:id="391" w:name="_Toc422322553"/>
      <w:bookmarkStart w:id="392" w:name="_Toc31945"/>
      <w:r>
        <w:rPr>
          <w:rFonts w:hint="eastAsia" w:ascii="仿宋" w:hAnsi="仿宋" w:eastAsia="仿宋" w:cs="仿宋"/>
          <w:b w:val="0"/>
          <w:color w:val="auto"/>
          <w:sz w:val="24"/>
          <w:szCs w:val="24"/>
          <w:highlight w:val="none"/>
        </w:rPr>
        <w:t>8.3保密</w:t>
      </w:r>
      <w:bookmarkEnd w:id="390"/>
      <w:bookmarkEnd w:id="391"/>
      <w:bookmarkEnd w:id="392"/>
    </w:p>
    <w:p w14:paraId="07B70626">
      <w:pPr>
        <w:spacing w:line="360" w:lineRule="auto"/>
        <w:ind w:firstLine="360" w:firstLineChars="15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委托人申明的保密事项和期限：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79DD3F7">
      <w:pPr>
        <w:spacing w:line="360" w:lineRule="auto"/>
        <w:ind w:firstLine="360" w:firstLineChars="15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咨询人申明的保密事项和期限：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6335CC9">
      <w:pPr>
        <w:spacing w:line="360" w:lineRule="auto"/>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第三人申明的保密事项和期限：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7B87B03">
      <w:pPr>
        <w:spacing w:line="360" w:lineRule="auto"/>
        <w:ind w:firstLine="360" w:firstLineChars="150"/>
        <w:outlineLvl w:val="9"/>
        <w:rPr>
          <w:rFonts w:hint="eastAsia" w:ascii="仿宋" w:hAnsi="仿宋" w:eastAsia="仿宋" w:cs="仿宋"/>
          <w:bCs/>
          <w:color w:val="auto"/>
          <w:kern w:val="28"/>
          <w:sz w:val="24"/>
          <w:szCs w:val="24"/>
          <w:highlight w:val="none"/>
        </w:rPr>
      </w:pPr>
      <w:bookmarkStart w:id="393" w:name="_Toc29222"/>
      <w:bookmarkStart w:id="394" w:name="_Toc10364"/>
      <w:bookmarkStart w:id="395" w:name="_Toc422322554"/>
      <w:r>
        <w:rPr>
          <w:rStyle w:val="189"/>
          <w:rFonts w:hint="eastAsia" w:ascii="仿宋" w:hAnsi="仿宋" w:eastAsia="仿宋" w:cs="仿宋"/>
          <w:b w:val="0"/>
          <w:color w:val="auto"/>
          <w:sz w:val="24"/>
          <w:szCs w:val="24"/>
          <w:highlight w:val="none"/>
        </w:rPr>
        <w:t>8.4联络</w:t>
      </w:r>
      <w:bookmarkEnd w:id="393"/>
      <w:bookmarkEnd w:id="394"/>
      <w:bookmarkEnd w:id="395"/>
    </w:p>
    <w:p w14:paraId="7617B80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8.4.1任何一方与合同有关的通知、指示、要求、决定等，均应在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日内送达对方指定的接收人和送达地点。</w:t>
      </w:r>
    </w:p>
    <w:p w14:paraId="5405500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8.4.2委托人指定的送达接收人：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414314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lang w:val="en-US" w:eastAsia="zh-CN"/>
        </w:rPr>
        <w:t xml:space="preserve">         。    </w:t>
      </w:r>
    </w:p>
    <w:p w14:paraId="22CCB7E8">
      <w:pPr>
        <w:spacing w:line="360" w:lineRule="auto"/>
        <w:ind w:firstLine="360" w:firstLineChars="150"/>
        <w:outlineLvl w:val="9"/>
        <w:rPr>
          <w:rStyle w:val="189"/>
          <w:rFonts w:hint="eastAsia" w:ascii="仿宋" w:hAnsi="仿宋" w:eastAsia="仿宋" w:cs="仿宋"/>
          <w:b w:val="0"/>
          <w:color w:val="auto"/>
          <w:sz w:val="24"/>
          <w:szCs w:val="24"/>
          <w:highlight w:val="none"/>
        </w:rPr>
      </w:pPr>
      <w:bookmarkStart w:id="396" w:name="_Toc422322555"/>
      <w:bookmarkStart w:id="397" w:name="_Toc419045124"/>
      <w:bookmarkStart w:id="398" w:name="_Toc1974"/>
      <w:bookmarkStart w:id="399" w:name="_Toc381"/>
      <w:r>
        <w:rPr>
          <w:rStyle w:val="189"/>
          <w:rFonts w:hint="eastAsia" w:ascii="仿宋" w:hAnsi="仿宋" w:eastAsia="仿宋" w:cs="仿宋"/>
          <w:b w:val="0"/>
          <w:color w:val="auto"/>
          <w:sz w:val="24"/>
          <w:szCs w:val="24"/>
          <w:highlight w:val="none"/>
        </w:rPr>
        <w:t>8.5知识产权</w:t>
      </w:r>
      <w:bookmarkEnd w:id="396"/>
      <w:bookmarkEnd w:id="397"/>
    </w:p>
    <w:bookmarkEnd w:id="398"/>
    <w:bookmarkEnd w:id="399"/>
    <w:p w14:paraId="5275CC6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委托人提供给咨询人的图纸、委托人为实施工程自行编制或委托编制的技术规范以及反映委托人要求的或其他类似性质文件的著作权属于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DF42E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咨询人为履行本合同约定而编制的成果文件，其著作权属于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3E074C4">
      <w:pPr>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双方将履行本合同形成的有关成果文件用于企业宣传、申报奖项以及接受上级主管部门的检查须遵守以下约定：</w:t>
      </w:r>
      <w:bookmarkStart w:id="400" w:name="_Toc419045125"/>
      <w:bookmarkStart w:id="401" w:name="_Toc422322556"/>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17B6F8">
      <w:pPr>
        <w:spacing w:line="360" w:lineRule="auto"/>
        <w:ind w:firstLine="472" w:firstLineChars="196"/>
        <w:outlineLvl w:val="9"/>
        <w:rPr>
          <w:rFonts w:hint="eastAsia" w:ascii="仿宋" w:hAnsi="仿宋" w:eastAsia="仿宋" w:cs="仿宋"/>
          <w:color w:val="auto"/>
          <w:sz w:val="24"/>
          <w:szCs w:val="24"/>
          <w:highlight w:val="none"/>
        </w:rPr>
      </w:pPr>
      <w:bookmarkStart w:id="402" w:name="_Toc17441"/>
      <w:bookmarkStart w:id="403" w:name="_Toc10915"/>
      <w:r>
        <w:rPr>
          <w:rStyle w:val="188"/>
          <w:rFonts w:hint="eastAsia" w:ascii="仿宋" w:hAnsi="仿宋" w:eastAsia="仿宋" w:cs="仿宋"/>
          <w:color w:val="auto"/>
          <w:sz w:val="24"/>
          <w:szCs w:val="24"/>
          <w:highlight w:val="none"/>
        </w:rPr>
        <w:t>9.补充条款</w:t>
      </w:r>
      <w:bookmarkEnd w:id="400"/>
      <w:bookmarkEnd w:id="401"/>
      <w:bookmarkEnd w:id="402"/>
      <w:bookmarkEnd w:id="403"/>
    </w:p>
    <w:p w14:paraId="5DA8D686">
      <w:pPr>
        <w:spacing w:line="360" w:lineRule="auto"/>
        <w:rPr>
          <w:rFonts w:hint="eastAsia" w:ascii="仿宋" w:hAnsi="仿宋" w:eastAsia="仿宋" w:cs="仿宋"/>
          <w:b/>
          <w:color w:val="auto"/>
          <w:sz w:val="24"/>
          <w:szCs w:val="24"/>
          <w:highlight w:val="none"/>
        </w:rPr>
        <w:sectPr>
          <w:pgSz w:w="11906" w:h="16838"/>
          <w:pgMar w:top="1440" w:right="1800" w:bottom="1440" w:left="1800" w:header="851" w:footer="992" w:gutter="0"/>
          <w:pgNumType w:fmt="decimal"/>
          <w:cols w:space="720" w:num="1"/>
          <w:docGrid w:linePitch="312" w:charSpace="0"/>
        </w:sectPr>
      </w:pPr>
      <w:r>
        <w:rPr>
          <w:rFonts w:hint="eastAsia" w:ascii="仿宋" w:hAnsi="仿宋" w:eastAsia="仿宋" w:cs="仿宋"/>
          <w:color w:val="auto"/>
          <w:sz w:val="24"/>
          <w:szCs w:val="24"/>
          <w:highlight w:val="none"/>
          <w:u w:val="single"/>
        </w:rPr>
        <w:t xml:space="preserve">       </w:t>
      </w:r>
    </w:p>
    <w:bookmarkEnd w:id="106"/>
    <w:bookmarkEnd w:id="107"/>
    <w:bookmarkEnd w:id="108"/>
    <w:p w14:paraId="0239DF59">
      <w:pPr>
        <w:spacing w:line="360" w:lineRule="auto"/>
        <w:jc w:val="center"/>
        <w:outlineLvl w:val="1"/>
        <w:rPr>
          <w:rFonts w:hint="eastAsia" w:ascii="黑体" w:hAnsi="黑体" w:eastAsia="黑体"/>
          <w:color w:val="auto"/>
          <w:sz w:val="32"/>
          <w:szCs w:val="32"/>
          <w:highlight w:val="none"/>
        </w:rPr>
      </w:pPr>
      <w:bookmarkStart w:id="404" w:name="_Toc6356"/>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章  响应文件格式</w:t>
      </w:r>
      <w:bookmarkEnd w:id="404"/>
    </w:p>
    <w:p w14:paraId="0215CD9E">
      <w:pPr>
        <w:spacing w:line="420" w:lineRule="exact"/>
        <w:rPr>
          <w:color w:val="auto"/>
          <w:highlight w:val="none"/>
        </w:rPr>
      </w:pPr>
    </w:p>
    <w:p w14:paraId="6E0CB13F">
      <w:pPr>
        <w:spacing w:afterLines="50" w:line="440" w:lineRule="exact"/>
        <w:jc w:val="right"/>
        <w:rPr>
          <w:rFonts w:ascii="黑体" w:hAnsi="黑体" w:eastAsia="黑体" w:cs="黑体"/>
          <w:color w:val="auto"/>
          <w:kern w:val="1"/>
          <w:sz w:val="36"/>
          <w:szCs w:val="36"/>
          <w:highlight w:val="none"/>
        </w:rPr>
      </w:pPr>
    </w:p>
    <w:p w14:paraId="632E04DC">
      <w:pPr>
        <w:spacing w:line="360" w:lineRule="auto"/>
        <w:jc w:val="center"/>
        <w:rPr>
          <w:color w:val="auto"/>
          <w:highlight w:val="none"/>
        </w:rPr>
      </w:pPr>
      <w:r>
        <w:rPr>
          <w:rFonts w:hint="eastAsia"/>
          <w:b/>
          <w:bCs/>
          <w:color w:val="auto"/>
          <w:sz w:val="32"/>
          <w:szCs w:val="32"/>
          <w:highlight w:val="none"/>
        </w:rPr>
        <w:t>（</w:t>
      </w:r>
      <w:r>
        <w:rPr>
          <w:rFonts w:hint="eastAsia"/>
          <w:b/>
          <w:bCs/>
          <w:color w:val="auto"/>
          <w:sz w:val="32"/>
          <w:szCs w:val="32"/>
          <w:highlight w:val="none"/>
          <w:lang w:eastAsia="zh-CN"/>
        </w:rPr>
        <w:t>响应文件</w:t>
      </w:r>
      <w:r>
        <w:rPr>
          <w:rFonts w:hint="eastAsia"/>
          <w:b/>
          <w:bCs/>
          <w:color w:val="auto"/>
          <w:sz w:val="32"/>
          <w:szCs w:val="32"/>
          <w:highlight w:val="none"/>
        </w:rPr>
        <w:t>标书封皮）</w:t>
      </w:r>
    </w:p>
    <w:p w14:paraId="71C82CFB">
      <w:pPr>
        <w:spacing w:line="360" w:lineRule="auto"/>
        <w:jc w:val="right"/>
        <w:rPr>
          <w:color w:val="auto"/>
          <w:highlight w:val="none"/>
        </w:rPr>
      </w:pPr>
      <w:r>
        <w:rPr>
          <w:rFonts w:hint="eastAsia" w:ascii="宋体" w:hAnsi="宋体" w:cs="宋体"/>
          <w:b/>
          <w:bCs/>
          <w:color w:val="auto"/>
          <w:kern w:val="1"/>
          <w:sz w:val="36"/>
          <w:szCs w:val="36"/>
          <w:highlight w:val="none"/>
        </w:rPr>
        <w:t>正（副）本</w:t>
      </w:r>
    </w:p>
    <w:p w14:paraId="41968E95">
      <w:pPr>
        <w:spacing w:line="360" w:lineRule="auto"/>
        <w:rPr>
          <w:color w:val="auto"/>
          <w:highlight w:val="none"/>
        </w:rPr>
      </w:pPr>
    </w:p>
    <w:p w14:paraId="0E3EBD1A">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314B9C6F">
      <w:pPr>
        <w:spacing w:line="360" w:lineRule="auto"/>
        <w:jc w:val="center"/>
        <w:rPr>
          <w:color w:val="auto"/>
          <w:sz w:val="24"/>
          <w:szCs w:val="28"/>
          <w:highlight w:val="none"/>
        </w:rPr>
      </w:pPr>
      <w:r>
        <w:rPr>
          <w:rFonts w:hint="eastAsia"/>
          <w:color w:val="auto"/>
          <w:sz w:val="24"/>
          <w:szCs w:val="28"/>
          <w:highlight w:val="none"/>
        </w:rPr>
        <w:t>项目编号：</w:t>
      </w:r>
    </w:p>
    <w:p w14:paraId="341DF952">
      <w:pPr>
        <w:spacing w:line="360" w:lineRule="auto"/>
        <w:rPr>
          <w:color w:val="auto"/>
          <w:highlight w:val="none"/>
        </w:rPr>
      </w:pPr>
    </w:p>
    <w:p w14:paraId="0068FD16">
      <w:pPr>
        <w:spacing w:line="360" w:lineRule="auto"/>
        <w:rPr>
          <w:color w:val="auto"/>
          <w:highlight w:val="none"/>
        </w:rPr>
      </w:pPr>
    </w:p>
    <w:p w14:paraId="7CA79ECB">
      <w:pPr>
        <w:spacing w:line="360" w:lineRule="auto"/>
        <w:rPr>
          <w:color w:val="auto"/>
          <w:highlight w:val="none"/>
        </w:rPr>
      </w:pPr>
    </w:p>
    <w:p w14:paraId="08485B46">
      <w:pPr>
        <w:spacing w:line="360" w:lineRule="auto"/>
        <w:rPr>
          <w:color w:val="auto"/>
          <w:highlight w:val="none"/>
        </w:rPr>
      </w:pPr>
    </w:p>
    <w:p w14:paraId="678AF184">
      <w:pPr>
        <w:spacing w:line="360" w:lineRule="auto"/>
        <w:rPr>
          <w:color w:val="auto"/>
          <w:highlight w:val="none"/>
        </w:rPr>
      </w:pPr>
    </w:p>
    <w:p w14:paraId="43C8CABE">
      <w:pPr>
        <w:spacing w:line="360" w:lineRule="auto"/>
        <w:rPr>
          <w:color w:val="auto"/>
          <w:highlight w:val="none"/>
        </w:rPr>
      </w:pPr>
    </w:p>
    <w:p w14:paraId="781E24D6">
      <w:pPr>
        <w:spacing w:line="360" w:lineRule="auto"/>
        <w:rPr>
          <w:color w:val="auto"/>
          <w:highlight w:val="none"/>
        </w:rPr>
      </w:pPr>
    </w:p>
    <w:p w14:paraId="47E9CEFC">
      <w:pPr>
        <w:spacing w:line="360" w:lineRule="auto"/>
        <w:jc w:val="center"/>
        <w:rPr>
          <w:color w:val="auto"/>
          <w:sz w:val="28"/>
          <w:szCs w:val="28"/>
          <w:highlight w:val="none"/>
        </w:rPr>
      </w:pPr>
      <w:r>
        <w:rPr>
          <w:rFonts w:hint="eastAsia"/>
          <w:b/>
          <w:bCs/>
          <w:color w:val="auto"/>
          <w:sz w:val="72"/>
          <w:szCs w:val="144"/>
          <w:highlight w:val="none"/>
          <w:lang w:val="en-US" w:eastAsia="zh-CN"/>
        </w:rPr>
        <w:t>响 应</w:t>
      </w:r>
      <w:r>
        <w:rPr>
          <w:rFonts w:hint="eastAsia"/>
          <w:b/>
          <w:bCs/>
          <w:color w:val="auto"/>
          <w:sz w:val="72"/>
          <w:szCs w:val="144"/>
          <w:highlight w:val="none"/>
        </w:rPr>
        <w:t xml:space="preserve"> 文 件</w:t>
      </w:r>
    </w:p>
    <w:p w14:paraId="36B4DFD2">
      <w:pPr>
        <w:spacing w:line="360" w:lineRule="auto"/>
        <w:rPr>
          <w:color w:val="auto"/>
          <w:sz w:val="28"/>
          <w:szCs w:val="28"/>
          <w:highlight w:val="none"/>
        </w:rPr>
      </w:pPr>
    </w:p>
    <w:p w14:paraId="6A0E326B">
      <w:pPr>
        <w:spacing w:line="360" w:lineRule="auto"/>
        <w:rPr>
          <w:color w:val="auto"/>
          <w:sz w:val="28"/>
          <w:szCs w:val="28"/>
          <w:highlight w:val="none"/>
        </w:rPr>
      </w:pPr>
    </w:p>
    <w:p w14:paraId="03A1525F">
      <w:pPr>
        <w:spacing w:line="360" w:lineRule="auto"/>
        <w:rPr>
          <w:color w:val="auto"/>
          <w:sz w:val="28"/>
          <w:szCs w:val="28"/>
          <w:highlight w:val="none"/>
        </w:rPr>
      </w:pPr>
    </w:p>
    <w:p w14:paraId="72CB297A">
      <w:pPr>
        <w:spacing w:line="360" w:lineRule="auto"/>
        <w:rPr>
          <w:color w:val="auto"/>
          <w:sz w:val="28"/>
          <w:szCs w:val="28"/>
          <w:highlight w:val="none"/>
        </w:rPr>
      </w:pPr>
      <w:bookmarkStart w:id="405" w:name="_Toc17052"/>
      <w:r>
        <w:rPr>
          <w:rFonts w:hint="eastAsia"/>
          <w:color w:val="auto"/>
          <w:sz w:val="28"/>
          <w:szCs w:val="28"/>
          <w:highlight w:val="none"/>
          <w:lang w:eastAsia="zh-CN"/>
        </w:rPr>
        <w:t>供应商</w:t>
      </w:r>
      <w:r>
        <w:rPr>
          <w:rFonts w:hint="eastAsia"/>
          <w:color w:val="auto"/>
          <w:sz w:val="28"/>
          <w:szCs w:val="28"/>
          <w:highlight w:val="none"/>
        </w:rPr>
        <w:t>名称：</w:t>
      </w:r>
      <w:r>
        <w:rPr>
          <w:rFonts w:hint="eastAsia"/>
          <w:color w:val="auto"/>
          <w:sz w:val="28"/>
          <w:szCs w:val="28"/>
          <w:highlight w:val="none"/>
          <w:u w:val="single"/>
        </w:rPr>
        <w:t xml:space="preserve">               </w:t>
      </w:r>
      <w:r>
        <w:rPr>
          <w:rFonts w:hint="eastAsia"/>
          <w:color w:val="auto"/>
          <w:sz w:val="28"/>
          <w:szCs w:val="28"/>
          <w:highlight w:val="none"/>
        </w:rPr>
        <w:t>（盖章）</w:t>
      </w:r>
      <w:bookmarkEnd w:id="405"/>
    </w:p>
    <w:p w14:paraId="168436CB">
      <w:pPr>
        <w:spacing w:line="360" w:lineRule="auto"/>
        <w:rPr>
          <w:color w:val="auto"/>
          <w:sz w:val="28"/>
          <w:szCs w:val="28"/>
          <w:highlight w:val="none"/>
        </w:rPr>
      </w:pPr>
      <w:bookmarkStart w:id="406"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406"/>
    </w:p>
    <w:p w14:paraId="19E08837">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407" w:name="_Toc26551"/>
      <w:r>
        <w:rPr>
          <w:rFonts w:hint="eastAsia"/>
          <w:color w:val="auto"/>
          <w:sz w:val="28"/>
          <w:szCs w:val="28"/>
          <w:highlight w:val="none"/>
        </w:rPr>
        <w:t>年     月     日</w:t>
      </w:r>
      <w:bookmarkEnd w:id="407"/>
    </w:p>
    <w:p w14:paraId="02D689AD">
      <w:pPr>
        <w:widowControl/>
        <w:autoSpaceDE w:val="0"/>
        <w:autoSpaceDN w:val="0"/>
        <w:adjustRightInd w:val="0"/>
        <w:ind w:right="0"/>
        <w:jc w:val="center"/>
        <w:rPr>
          <w:rFonts w:ascii="宋体" w:hAnsi="宋体"/>
          <w:color w:val="auto"/>
          <w:kern w:val="1"/>
          <w:sz w:val="30"/>
          <w:szCs w:val="30"/>
          <w:highlight w:val="none"/>
        </w:rPr>
      </w:pPr>
      <w:r>
        <w:rPr>
          <w:rFonts w:hint="eastAsia"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14586F0B">
      <w:pPr>
        <w:widowControl/>
        <w:autoSpaceDE w:val="0"/>
        <w:autoSpaceDN w:val="0"/>
        <w:adjustRightInd w:val="0"/>
        <w:spacing w:line="440" w:lineRule="exact"/>
        <w:ind w:right="-481"/>
        <w:rPr>
          <w:rFonts w:ascii="宋体" w:hAnsi="宋体" w:cs="Arial"/>
          <w:color w:val="auto"/>
          <w:kern w:val="1"/>
          <w:sz w:val="24"/>
          <w:szCs w:val="24"/>
          <w:highlight w:val="none"/>
        </w:rPr>
      </w:pPr>
    </w:p>
    <w:p w14:paraId="7B3631DD">
      <w:pPr>
        <w:widowControl/>
        <w:autoSpaceDE w:val="0"/>
        <w:autoSpaceDN w:val="0"/>
        <w:adjustRightInd w:val="0"/>
        <w:spacing w:line="240" w:lineRule="auto"/>
        <w:ind w:right="0" w:firstLine="0"/>
        <w:jc w:val="center"/>
        <w:rPr>
          <w:rFonts w:ascii="仿宋" w:hAnsi="仿宋" w:eastAsia="仿宋"/>
          <w:color w:val="auto"/>
          <w:kern w:val="1"/>
          <w:sz w:val="24"/>
          <w:szCs w:val="24"/>
          <w:highlight w:val="none"/>
        </w:rPr>
      </w:pPr>
      <w:r>
        <w:rPr>
          <w:rFonts w:hint="eastAsia" w:ascii="仿宋" w:hAnsi="仿宋" w:eastAsia="仿宋" w:cs="仿宋"/>
          <w:color w:val="auto"/>
          <w:kern w:val="1"/>
          <w:sz w:val="21"/>
          <w:szCs w:val="21"/>
          <w:highlight w:val="none"/>
          <w:lang w:eastAsia="zh-CN"/>
        </w:rPr>
        <w:t>（</w:t>
      </w:r>
      <w:r>
        <w:rPr>
          <w:rFonts w:hint="eastAsia" w:ascii="仿宋" w:hAnsi="仿宋" w:eastAsia="仿宋" w:cs="仿宋"/>
          <w:color w:val="auto"/>
          <w:kern w:val="1"/>
          <w:sz w:val="21"/>
          <w:szCs w:val="21"/>
          <w:highlight w:val="none"/>
          <w:lang w:val="en-US" w:eastAsia="zh-CN"/>
        </w:rPr>
        <w:t>需包含目录页码</w:t>
      </w:r>
      <w:r>
        <w:rPr>
          <w:rFonts w:hint="eastAsia" w:ascii="仿宋" w:hAnsi="仿宋" w:eastAsia="仿宋" w:cs="仿宋"/>
          <w:color w:val="auto"/>
          <w:kern w:val="1"/>
          <w:sz w:val="21"/>
          <w:szCs w:val="21"/>
          <w:highlight w:val="none"/>
          <w:lang w:eastAsia="zh-CN"/>
        </w:rPr>
        <w:t>）</w:t>
      </w:r>
    </w:p>
    <w:p w14:paraId="59577228">
      <w:pPr>
        <w:widowControl/>
        <w:autoSpaceDE w:val="0"/>
        <w:autoSpaceDN w:val="0"/>
        <w:adjustRightInd w:val="0"/>
        <w:spacing w:line="440" w:lineRule="exact"/>
        <w:ind w:right="-481"/>
        <w:jc w:val="left"/>
        <w:rPr>
          <w:rFonts w:ascii="宋体" w:hAnsi="宋体"/>
          <w:color w:val="auto"/>
          <w:kern w:val="1"/>
          <w:sz w:val="24"/>
          <w:szCs w:val="24"/>
          <w:highlight w:val="none"/>
        </w:rPr>
      </w:pPr>
    </w:p>
    <w:p w14:paraId="6002E2A0">
      <w:pPr>
        <w:widowControl/>
        <w:autoSpaceDE w:val="0"/>
        <w:autoSpaceDN w:val="0"/>
        <w:adjustRightInd w:val="0"/>
        <w:spacing w:line="440" w:lineRule="exact"/>
        <w:ind w:right="-481"/>
        <w:jc w:val="center"/>
        <w:rPr>
          <w:rFonts w:ascii="宋体" w:hAnsi="宋体"/>
          <w:color w:val="auto"/>
          <w:kern w:val="1"/>
          <w:sz w:val="32"/>
          <w:szCs w:val="32"/>
          <w:highlight w:val="none"/>
        </w:rPr>
      </w:pPr>
    </w:p>
    <w:p w14:paraId="7BA7EF10">
      <w:pPr>
        <w:widowControl/>
        <w:autoSpaceDE w:val="0"/>
        <w:autoSpaceDN w:val="0"/>
        <w:adjustRightInd w:val="0"/>
        <w:spacing w:line="440" w:lineRule="exact"/>
        <w:ind w:right="-481"/>
        <w:jc w:val="left"/>
        <w:rPr>
          <w:rStyle w:val="100"/>
          <w:color w:val="auto"/>
          <w:sz w:val="24"/>
          <w:szCs w:val="24"/>
          <w:highlight w:val="none"/>
        </w:rPr>
      </w:pPr>
      <w:r>
        <w:rPr>
          <w:rFonts w:ascii="宋体" w:hAnsi="宋体"/>
          <w:color w:val="auto"/>
          <w:kern w:val="1"/>
          <w:highlight w:val="none"/>
        </w:rPr>
        <w:br w:type="page"/>
      </w:r>
    </w:p>
    <w:p w14:paraId="1BF1AD2D">
      <w:pPr>
        <w:widowControl/>
        <w:autoSpaceDE w:val="0"/>
        <w:autoSpaceDN w:val="0"/>
        <w:adjustRightInd w:val="0"/>
        <w:spacing w:before="120" w:after="120" w:line="440" w:lineRule="exact"/>
        <w:ind w:right="-481"/>
        <w:jc w:val="center"/>
        <w:rPr>
          <w:rFonts w:hint="eastAsia" w:ascii="仿宋" w:hAnsi="仿宋" w:eastAsia="仿宋"/>
          <w:color w:val="auto"/>
          <w:kern w:val="1"/>
          <w:sz w:val="28"/>
          <w:szCs w:val="28"/>
          <w:highlight w:val="none"/>
          <w:lang w:eastAsia="zh-CN"/>
        </w:rPr>
      </w:pPr>
      <w:r>
        <w:rPr>
          <w:rFonts w:hint="eastAsia" w:ascii="仿宋" w:hAnsi="仿宋" w:eastAsia="仿宋" w:cs="宋体"/>
          <w:color w:val="auto"/>
          <w:kern w:val="1"/>
          <w:sz w:val="28"/>
          <w:szCs w:val="28"/>
          <w:highlight w:val="none"/>
        </w:rPr>
        <w:t>一、</w:t>
      </w:r>
      <w:r>
        <w:rPr>
          <w:rFonts w:hint="eastAsia" w:ascii="仿宋" w:hAnsi="仿宋" w:eastAsia="仿宋" w:cs="宋体"/>
          <w:color w:val="auto"/>
          <w:kern w:val="1"/>
          <w:sz w:val="28"/>
          <w:szCs w:val="28"/>
          <w:highlight w:val="none"/>
          <w:lang w:eastAsia="zh-CN"/>
        </w:rPr>
        <w:t>报价函</w:t>
      </w:r>
    </w:p>
    <w:p w14:paraId="25DB9DCC">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69882C19">
      <w:pPr>
        <w:widowControl/>
        <w:autoSpaceDE w:val="0"/>
        <w:autoSpaceDN w:val="0"/>
        <w:adjustRightInd w:val="0"/>
        <w:spacing w:line="38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lang w:val="en-US" w:eastAsia="zh-CN"/>
        </w:rPr>
        <w:t>致</w:t>
      </w:r>
      <w:r>
        <w:rPr>
          <w:rFonts w:hint="eastAsia" w:ascii="仿宋" w:hAnsi="仿宋" w:eastAsia="仿宋" w:cs="仿宋"/>
          <w:color w:val="auto"/>
          <w:kern w:val="1"/>
          <w:sz w:val="24"/>
          <w:szCs w:val="24"/>
          <w:highlight w:val="none"/>
          <w:u w:val="single"/>
        </w:rPr>
        <w:t>（采购人）</w:t>
      </w:r>
      <w:r>
        <w:rPr>
          <w:rStyle w:val="100"/>
          <w:rFonts w:hint="eastAsia"/>
          <w:color w:val="auto"/>
          <w:sz w:val="24"/>
          <w:szCs w:val="24"/>
          <w:highlight w:val="none"/>
        </w:rPr>
        <w:t>：</w:t>
      </w:r>
    </w:p>
    <w:p w14:paraId="4F72B362">
      <w:pPr>
        <w:widowControl/>
        <w:autoSpaceDE w:val="0"/>
        <w:autoSpaceDN w:val="0"/>
        <w:adjustRightInd w:val="0"/>
        <w:spacing w:line="480" w:lineRule="exact"/>
        <w:rPr>
          <w:rFonts w:ascii="仿宋" w:hAnsi="仿宋" w:eastAsia="仿宋"/>
          <w:color w:val="auto"/>
          <w:kern w:val="1"/>
          <w:sz w:val="24"/>
          <w:szCs w:val="24"/>
          <w:highlight w:val="none"/>
        </w:rPr>
      </w:pPr>
    </w:p>
    <w:p w14:paraId="5651EEB7">
      <w:pPr>
        <w:widowControl/>
        <w:autoSpaceDE w:val="0"/>
        <w:autoSpaceDN w:val="0"/>
        <w:adjustRightInd w:val="0"/>
        <w:spacing w:line="46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（供应商名称）</w:t>
      </w:r>
      <w:r>
        <w:rPr>
          <w:rStyle w:val="100"/>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100"/>
          <w:rFonts w:hint="eastAsia"/>
          <w:color w:val="auto"/>
          <w:sz w:val="24"/>
          <w:szCs w:val="24"/>
          <w:highlight w:val="none"/>
        </w:rPr>
        <w:t>。</w:t>
      </w:r>
    </w:p>
    <w:p w14:paraId="332879E8">
      <w:pPr>
        <w:widowControl/>
        <w:autoSpaceDE w:val="0"/>
        <w:autoSpaceDN w:val="0"/>
        <w:adjustRightInd w:val="0"/>
        <w:spacing w:line="460" w:lineRule="exact"/>
        <w:ind w:firstLine="480"/>
        <w:rPr>
          <w:rFonts w:ascii="仿宋" w:hAnsi="仿宋" w:eastAsia="仿宋"/>
          <w:color w:val="auto"/>
          <w:kern w:val="1"/>
          <w:sz w:val="24"/>
          <w:szCs w:val="24"/>
          <w:highlight w:val="none"/>
        </w:rPr>
      </w:pPr>
      <w:r>
        <w:rPr>
          <w:rStyle w:val="100"/>
          <w:rFonts w:hint="eastAsia"/>
          <w:color w:val="auto"/>
          <w:sz w:val="24"/>
          <w:szCs w:val="24"/>
          <w:highlight w:val="none"/>
        </w:rPr>
        <w:t>我</w:t>
      </w:r>
      <w:r>
        <w:rPr>
          <w:rFonts w:hint="eastAsia" w:ascii="仿宋" w:hAnsi="仿宋" w:eastAsia="仿宋" w:cs="仿宋"/>
          <w:color w:val="auto"/>
          <w:kern w:val="1"/>
          <w:sz w:val="24"/>
          <w:szCs w:val="24"/>
          <w:highlight w:val="none"/>
          <w:u w:val="single"/>
        </w:rPr>
        <w:t>（姓名）</w:t>
      </w:r>
      <w:r>
        <w:rPr>
          <w:rStyle w:val="100"/>
          <w:rFonts w:hint="eastAsia"/>
          <w:color w:val="auto"/>
          <w:sz w:val="24"/>
          <w:szCs w:val="24"/>
          <w:highlight w:val="none"/>
        </w:rPr>
        <w:t>系</w:t>
      </w:r>
      <w:r>
        <w:rPr>
          <w:rFonts w:hint="eastAsia" w:ascii="仿宋" w:hAnsi="仿宋" w:eastAsia="仿宋" w:cs="仿宋"/>
          <w:color w:val="auto"/>
          <w:kern w:val="1"/>
          <w:sz w:val="24"/>
          <w:szCs w:val="24"/>
          <w:highlight w:val="none"/>
          <w:u w:val="single"/>
        </w:rPr>
        <w:t>（供应商名称）</w:t>
      </w:r>
      <w:r>
        <w:rPr>
          <w:rStyle w:val="100"/>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（项目名称）（编号为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100"/>
          <w:rFonts w:hint="eastAsia"/>
          <w:color w:val="auto"/>
          <w:sz w:val="24"/>
          <w:szCs w:val="24"/>
          <w:highlight w:val="none"/>
        </w:rPr>
        <w:t>的报价，为此，我方就本次报价有关事项郑重声明如下：</w:t>
      </w:r>
    </w:p>
    <w:p w14:paraId="195A5984">
      <w:pPr>
        <w:widowControl/>
        <w:autoSpaceDE w:val="0"/>
        <w:autoSpaceDN w:val="0"/>
        <w:adjustRightInd w:val="0"/>
        <w:spacing w:line="460" w:lineRule="exact"/>
        <w:ind w:firstLine="480"/>
        <w:rPr>
          <w:rStyle w:val="100"/>
          <w:color w:val="auto"/>
          <w:sz w:val="24"/>
          <w:szCs w:val="24"/>
          <w:highlight w:val="none"/>
        </w:rPr>
      </w:pPr>
      <w:r>
        <w:rPr>
          <w:rStyle w:val="100"/>
          <w:color w:val="auto"/>
          <w:sz w:val="24"/>
          <w:szCs w:val="24"/>
          <w:highlight w:val="none"/>
        </w:rPr>
        <w:t>1</w:t>
      </w:r>
      <w:r>
        <w:rPr>
          <w:rStyle w:val="100"/>
          <w:rFonts w:hint="eastAsia"/>
          <w:color w:val="auto"/>
          <w:sz w:val="24"/>
          <w:szCs w:val="24"/>
          <w:highlight w:val="none"/>
        </w:rPr>
        <w:t>、我方已详细审查全部磋商文件，同意磋商文件的各项要求。</w:t>
      </w:r>
    </w:p>
    <w:p w14:paraId="4E569A4D">
      <w:pPr>
        <w:widowControl/>
        <w:autoSpaceDE w:val="0"/>
        <w:autoSpaceDN w:val="0"/>
        <w:adjustRightInd w:val="0"/>
        <w:spacing w:line="460" w:lineRule="exact"/>
        <w:ind w:firstLine="480"/>
        <w:rPr>
          <w:rStyle w:val="100"/>
          <w:color w:val="auto"/>
          <w:sz w:val="24"/>
          <w:szCs w:val="24"/>
          <w:highlight w:val="none"/>
        </w:rPr>
      </w:pPr>
      <w:r>
        <w:rPr>
          <w:rStyle w:val="100"/>
          <w:color w:val="auto"/>
          <w:sz w:val="24"/>
          <w:szCs w:val="24"/>
          <w:highlight w:val="none"/>
        </w:rPr>
        <w:t>2</w:t>
      </w:r>
      <w:r>
        <w:rPr>
          <w:rStyle w:val="100"/>
          <w:rFonts w:hint="eastAsia"/>
          <w:color w:val="auto"/>
          <w:sz w:val="24"/>
          <w:szCs w:val="24"/>
          <w:highlight w:val="none"/>
        </w:rPr>
        <w:t>、我方向贵方提交的所有响应文件、资料都是准确的和真实的。</w:t>
      </w:r>
    </w:p>
    <w:p w14:paraId="2DF6AAFF">
      <w:pPr>
        <w:widowControl/>
        <w:autoSpaceDE w:val="0"/>
        <w:autoSpaceDN w:val="0"/>
        <w:adjustRightInd w:val="0"/>
        <w:spacing w:line="460" w:lineRule="exact"/>
        <w:ind w:firstLine="480"/>
        <w:rPr>
          <w:rStyle w:val="100"/>
          <w:color w:val="auto"/>
          <w:sz w:val="24"/>
          <w:szCs w:val="24"/>
          <w:highlight w:val="none"/>
        </w:rPr>
      </w:pPr>
      <w:r>
        <w:rPr>
          <w:rStyle w:val="100"/>
          <w:color w:val="auto"/>
          <w:sz w:val="24"/>
          <w:szCs w:val="24"/>
          <w:highlight w:val="none"/>
        </w:rPr>
        <w:t>3</w:t>
      </w:r>
      <w:r>
        <w:rPr>
          <w:rStyle w:val="100"/>
          <w:rFonts w:hint="eastAsia"/>
          <w:color w:val="auto"/>
          <w:sz w:val="24"/>
          <w:szCs w:val="24"/>
          <w:highlight w:val="none"/>
        </w:rPr>
        <w:t>、若中标，我方将按照磋商文件规定履行合同责任和义务。</w:t>
      </w:r>
    </w:p>
    <w:p w14:paraId="38A3F70B">
      <w:pPr>
        <w:widowControl/>
        <w:autoSpaceDE w:val="0"/>
        <w:autoSpaceDN w:val="0"/>
        <w:adjustRightInd w:val="0"/>
        <w:spacing w:line="460" w:lineRule="exact"/>
        <w:ind w:firstLine="480"/>
        <w:rPr>
          <w:rStyle w:val="100"/>
          <w:color w:val="auto"/>
          <w:sz w:val="24"/>
          <w:szCs w:val="24"/>
          <w:highlight w:val="none"/>
        </w:rPr>
      </w:pPr>
      <w:r>
        <w:rPr>
          <w:rStyle w:val="100"/>
          <w:color w:val="auto"/>
          <w:sz w:val="24"/>
          <w:szCs w:val="24"/>
          <w:highlight w:val="none"/>
        </w:rPr>
        <w:t>4</w:t>
      </w:r>
      <w:r>
        <w:rPr>
          <w:rStyle w:val="100"/>
          <w:rFonts w:hint="eastAsia"/>
          <w:color w:val="auto"/>
          <w:sz w:val="24"/>
          <w:szCs w:val="24"/>
          <w:highlight w:val="none"/>
        </w:rPr>
        <w:t>、我方不是采购人的附属机构；在获知本项目采购信息后，与采购人聘请的为此项目提供咨询服务的公司以及其附属机构没有任何联系。</w:t>
      </w:r>
    </w:p>
    <w:p w14:paraId="10FA1EF5">
      <w:pPr>
        <w:widowControl/>
        <w:autoSpaceDE w:val="0"/>
        <w:autoSpaceDN w:val="0"/>
        <w:adjustRightInd w:val="0"/>
        <w:spacing w:line="460" w:lineRule="exact"/>
        <w:ind w:firstLine="480"/>
        <w:rPr>
          <w:rFonts w:ascii="仿宋" w:hAnsi="仿宋" w:eastAsia="仿宋"/>
          <w:color w:val="auto"/>
          <w:kern w:val="1"/>
          <w:sz w:val="24"/>
          <w:szCs w:val="24"/>
          <w:highlight w:val="none"/>
        </w:rPr>
      </w:pPr>
      <w:r>
        <w:rPr>
          <w:rStyle w:val="100"/>
          <w:color w:val="auto"/>
          <w:sz w:val="24"/>
          <w:szCs w:val="24"/>
          <w:highlight w:val="none"/>
        </w:rPr>
        <w:t>5</w:t>
      </w:r>
      <w:r>
        <w:rPr>
          <w:rStyle w:val="100"/>
          <w:rFonts w:hint="eastAsia"/>
          <w:color w:val="auto"/>
          <w:sz w:val="24"/>
          <w:szCs w:val="24"/>
          <w:highlight w:val="none"/>
        </w:rPr>
        <w:t>、响应文件自开启响应文件日起有效期为</w:t>
      </w:r>
      <w:r>
        <w:rPr>
          <w:rFonts w:hint="eastAsia" w:ascii="仿宋" w:hAnsi="仿宋" w:eastAsia="仿宋" w:cs="仿宋"/>
          <w:color w:val="auto"/>
          <w:kern w:val="1"/>
          <w:sz w:val="24"/>
          <w:szCs w:val="24"/>
          <w:highlight w:val="none"/>
          <w:u w:val="single"/>
          <w:lang w:val="en-US" w:eastAsia="zh-CN"/>
        </w:rPr>
        <w:t xml:space="preserve">   </w:t>
      </w:r>
      <w:r>
        <w:rPr>
          <w:rStyle w:val="100"/>
          <w:rFonts w:hint="eastAsia"/>
          <w:color w:val="auto"/>
          <w:sz w:val="24"/>
          <w:szCs w:val="24"/>
          <w:highlight w:val="none"/>
        </w:rPr>
        <w:t>日历日。</w:t>
      </w:r>
    </w:p>
    <w:p w14:paraId="766F4DBB">
      <w:pPr>
        <w:widowControl/>
        <w:autoSpaceDE w:val="0"/>
        <w:autoSpaceDN w:val="0"/>
        <w:adjustRightInd w:val="0"/>
        <w:spacing w:line="460" w:lineRule="exact"/>
        <w:ind w:firstLine="480"/>
        <w:rPr>
          <w:rStyle w:val="100"/>
          <w:color w:val="auto"/>
          <w:sz w:val="24"/>
          <w:szCs w:val="24"/>
          <w:highlight w:val="none"/>
        </w:rPr>
      </w:pPr>
      <w:r>
        <w:rPr>
          <w:rStyle w:val="100"/>
          <w:color w:val="auto"/>
          <w:sz w:val="24"/>
          <w:szCs w:val="24"/>
          <w:highlight w:val="none"/>
        </w:rPr>
        <w:t>6</w:t>
      </w:r>
      <w:r>
        <w:rPr>
          <w:rStyle w:val="100"/>
          <w:rFonts w:hint="eastAsia"/>
          <w:color w:val="auto"/>
          <w:sz w:val="24"/>
          <w:szCs w:val="24"/>
          <w:highlight w:val="none"/>
        </w:rPr>
        <w:t>、以上事项如有虚假或者隐瞒，我方愿意承担一切后果。</w:t>
      </w:r>
    </w:p>
    <w:p w14:paraId="5643776B">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highlight w:val="none"/>
        </w:rPr>
      </w:pPr>
    </w:p>
    <w:p w14:paraId="5327200A">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highlight w:val="none"/>
        </w:rPr>
      </w:pPr>
    </w:p>
    <w:p w14:paraId="7A04F3CD">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370C44DB">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3B70AB59">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55519441">
      <w:pPr>
        <w:spacing w:line="440" w:lineRule="exact"/>
        <w:ind w:firstLine="4108" w:firstLineChars="1712"/>
        <w:rPr>
          <w:rFonts w:ascii="仿宋" w:hAnsi="仿宋" w:eastAsia="仿宋"/>
          <w:color w:val="auto"/>
          <w:sz w:val="24"/>
          <w:szCs w:val="24"/>
          <w:highlight w:val="none"/>
        </w:rPr>
      </w:pPr>
      <w:r>
        <w:rPr>
          <w:rStyle w:val="100"/>
          <w:rFonts w:hint="eastAsia"/>
          <w:color w:val="auto"/>
          <w:sz w:val="24"/>
          <w:szCs w:val="24"/>
          <w:highlight w:val="none"/>
        </w:rPr>
        <w:t>供应商名称</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1174D2EC">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1D81D68">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56E8FB64">
      <w:pPr>
        <w:spacing w:before="100" w:beforeAutospacing="1" w:after="100" w:afterAutospacing="1" w:line="440" w:lineRule="exact"/>
        <w:jc w:val="left"/>
        <w:rPr>
          <w:rFonts w:ascii="仿宋" w:hAnsi="仿宋" w:eastAsia="仿宋" w:cs="仿宋"/>
          <w:color w:val="auto"/>
          <w:kern w:val="1"/>
          <w:sz w:val="24"/>
          <w:szCs w:val="24"/>
          <w:highlight w:val="none"/>
          <w:u w:val="single"/>
        </w:rPr>
      </w:pPr>
    </w:p>
    <w:p w14:paraId="1CEF75A5">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hint="eastAsia" w:ascii="仿宋" w:hAnsi="仿宋" w:eastAsia="仿宋" w:cs="仿宋"/>
          <w:color w:val="auto"/>
          <w:kern w:val="1"/>
          <w:sz w:val="28"/>
          <w:szCs w:val="28"/>
          <w:highlight w:val="none"/>
        </w:rPr>
        <w:br w:type="page"/>
      </w:r>
      <w:r>
        <w:rPr>
          <w:rFonts w:hint="eastAsia" w:ascii="仿宋" w:hAnsi="仿宋" w:eastAsia="仿宋" w:cs="仿宋"/>
          <w:color w:val="auto"/>
          <w:kern w:val="1"/>
          <w:sz w:val="28"/>
          <w:szCs w:val="28"/>
          <w:highlight w:val="none"/>
        </w:rPr>
        <w:t>二、</w:t>
      </w:r>
      <w:r>
        <w:rPr>
          <w:rFonts w:hint="eastAsia" w:ascii="仿宋" w:hAnsi="仿宋" w:eastAsia="仿宋" w:cs="仿宋"/>
          <w:color w:val="auto"/>
          <w:kern w:val="1"/>
          <w:sz w:val="28"/>
          <w:szCs w:val="28"/>
          <w:highlight w:val="none"/>
          <w:lang w:eastAsia="zh-CN"/>
        </w:rPr>
        <w:t>报价</w:t>
      </w:r>
      <w:r>
        <w:rPr>
          <w:rFonts w:hint="eastAsia" w:ascii="仿宋" w:hAnsi="仿宋" w:eastAsia="仿宋" w:cs="仿宋"/>
          <w:color w:val="auto"/>
          <w:kern w:val="1"/>
          <w:sz w:val="28"/>
          <w:szCs w:val="28"/>
          <w:highlight w:val="none"/>
        </w:rPr>
        <w:t>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7776"/>
      </w:tblGrid>
      <w:tr w14:paraId="5DD3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44" w:type="dxa"/>
            <w:noWrap w:val="0"/>
            <w:vAlign w:val="center"/>
          </w:tcPr>
          <w:p w14:paraId="1AAE991A">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776" w:type="dxa"/>
            <w:noWrap w:val="0"/>
            <w:vAlign w:val="center"/>
          </w:tcPr>
          <w:p w14:paraId="54BC38B0">
            <w:pPr>
              <w:spacing w:line="440" w:lineRule="exact"/>
              <w:jc w:val="center"/>
              <w:rPr>
                <w:rFonts w:ascii="仿宋" w:hAnsi="仿宋" w:eastAsia="仿宋" w:cs="仿宋"/>
                <w:color w:val="auto"/>
                <w:sz w:val="24"/>
                <w:szCs w:val="24"/>
                <w:highlight w:val="none"/>
              </w:rPr>
            </w:pPr>
          </w:p>
        </w:tc>
      </w:tr>
      <w:tr w14:paraId="2958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944" w:type="dxa"/>
            <w:noWrap w:val="0"/>
            <w:vAlign w:val="center"/>
          </w:tcPr>
          <w:p w14:paraId="3AD61566">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776" w:type="dxa"/>
            <w:noWrap w:val="0"/>
            <w:vAlign w:val="top"/>
          </w:tcPr>
          <w:p w14:paraId="67766306">
            <w:pPr>
              <w:spacing w:line="440" w:lineRule="exact"/>
              <w:jc w:val="center"/>
              <w:rPr>
                <w:rFonts w:ascii="仿宋" w:hAnsi="仿宋" w:eastAsia="仿宋" w:cs="仿宋"/>
                <w:color w:val="auto"/>
                <w:sz w:val="24"/>
                <w:szCs w:val="24"/>
                <w:highlight w:val="none"/>
              </w:rPr>
            </w:pPr>
          </w:p>
        </w:tc>
      </w:tr>
      <w:tr w14:paraId="0118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944" w:type="dxa"/>
            <w:noWrap w:val="0"/>
            <w:vAlign w:val="center"/>
          </w:tcPr>
          <w:p w14:paraId="477775B8">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服务内容</w:t>
            </w:r>
          </w:p>
        </w:tc>
        <w:tc>
          <w:tcPr>
            <w:tcW w:w="7776" w:type="dxa"/>
            <w:noWrap w:val="0"/>
            <w:vAlign w:val="top"/>
          </w:tcPr>
          <w:p w14:paraId="2923438C">
            <w:pPr>
              <w:spacing w:line="440" w:lineRule="exact"/>
              <w:jc w:val="center"/>
              <w:rPr>
                <w:rFonts w:ascii="仿宋" w:hAnsi="仿宋" w:eastAsia="仿宋" w:cs="仿宋"/>
                <w:color w:val="auto"/>
                <w:sz w:val="24"/>
                <w:szCs w:val="24"/>
                <w:highlight w:val="none"/>
              </w:rPr>
            </w:pPr>
          </w:p>
        </w:tc>
      </w:tr>
      <w:tr w14:paraId="79EB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944" w:type="dxa"/>
            <w:noWrap w:val="0"/>
            <w:vAlign w:val="center"/>
          </w:tcPr>
          <w:p w14:paraId="381DCF80">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服务质量</w:t>
            </w:r>
          </w:p>
        </w:tc>
        <w:tc>
          <w:tcPr>
            <w:tcW w:w="7776" w:type="dxa"/>
            <w:noWrap w:val="0"/>
            <w:vAlign w:val="top"/>
          </w:tcPr>
          <w:p w14:paraId="3217B30D">
            <w:pPr>
              <w:spacing w:line="440" w:lineRule="exact"/>
              <w:jc w:val="left"/>
              <w:rPr>
                <w:rFonts w:hint="eastAsia" w:ascii="仿宋" w:hAnsi="仿宋" w:eastAsia="仿宋" w:cs="仿宋"/>
                <w:color w:val="auto"/>
                <w:sz w:val="24"/>
                <w:szCs w:val="24"/>
                <w:highlight w:val="none"/>
                <w:lang w:val="en-US" w:eastAsia="zh-CN"/>
              </w:rPr>
            </w:pPr>
          </w:p>
          <w:p w14:paraId="6244FE48">
            <w:pPr>
              <w:spacing w:line="440" w:lineRule="exact"/>
              <w:jc w:val="left"/>
              <w:rPr>
                <w:rFonts w:hint="default" w:ascii="仿宋" w:hAnsi="仿宋" w:eastAsia="仿宋" w:cs="仿宋"/>
                <w:color w:val="auto"/>
                <w:sz w:val="24"/>
                <w:szCs w:val="24"/>
                <w:highlight w:val="none"/>
                <w:lang w:val="en-US" w:eastAsia="zh-CN"/>
              </w:rPr>
            </w:pPr>
          </w:p>
        </w:tc>
      </w:tr>
      <w:tr w14:paraId="478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44" w:type="dxa"/>
            <w:noWrap w:val="0"/>
            <w:vAlign w:val="center"/>
          </w:tcPr>
          <w:p w14:paraId="65343526">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w:t>
            </w:r>
          </w:p>
        </w:tc>
        <w:tc>
          <w:tcPr>
            <w:tcW w:w="7776" w:type="dxa"/>
            <w:noWrap w:val="0"/>
            <w:vAlign w:val="center"/>
          </w:tcPr>
          <w:p w14:paraId="0AA3DB9B">
            <w:pPr>
              <w:spacing w:line="440" w:lineRule="exact"/>
              <w:rPr>
                <w:rFonts w:ascii="仿宋" w:hAnsi="仿宋" w:eastAsia="仿宋" w:cs="仿宋"/>
                <w:b/>
                <w:bCs/>
                <w:color w:val="auto"/>
                <w:sz w:val="24"/>
                <w:szCs w:val="24"/>
                <w:highlight w:val="none"/>
                <w:u w:val="single"/>
              </w:rPr>
            </w:pPr>
          </w:p>
        </w:tc>
      </w:tr>
      <w:tr w14:paraId="2CE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944" w:type="dxa"/>
            <w:noWrap w:val="0"/>
            <w:vAlign w:val="center"/>
          </w:tcPr>
          <w:p w14:paraId="0541EBE0">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tc>
        <w:tc>
          <w:tcPr>
            <w:tcW w:w="7776" w:type="dxa"/>
            <w:noWrap w:val="0"/>
            <w:vAlign w:val="center"/>
          </w:tcPr>
          <w:p w14:paraId="7E12C0A7">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p w14:paraId="186840F5">
            <w:pPr>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tc>
      </w:tr>
      <w:tr w14:paraId="6034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944" w:type="dxa"/>
            <w:noWrap w:val="0"/>
            <w:vAlign w:val="center"/>
          </w:tcPr>
          <w:p w14:paraId="2F920F2C">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776" w:type="dxa"/>
            <w:noWrap w:val="0"/>
            <w:vAlign w:val="top"/>
          </w:tcPr>
          <w:p w14:paraId="4D097291">
            <w:pPr>
              <w:spacing w:line="440" w:lineRule="exact"/>
              <w:jc w:val="center"/>
              <w:rPr>
                <w:rFonts w:ascii="仿宋" w:hAnsi="仿宋" w:eastAsia="仿宋" w:cs="仿宋"/>
                <w:color w:val="auto"/>
                <w:sz w:val="24"/>
                <w:szCs w:val="24"/>
                <w:highlight w:val="none"/>
              </w:rPr>
            </w:pPr>
          </w:p>
        </w:tc>
      </w:tr>
    </w:tbl>
    <w:p w14:paraId="77C2FD80">
      <w:pPr>
        <w:spacing w:line="360" w:lineRule="auto"/>
        <w:rPr>
          <w:rFonts w:ascii="仿宋" w:hAnsi="仿宋" w:eastAsia="仿宋" w:cs="仿宋"/>
          <w:color w:val="auto"/>
          <w:sz w:val="24"/>
          <w:szCs w:val="24"/>
          <w:highlight w:val="none"/>
        </w:rPr>
      </w:pPr>
    </w:p>
    <w:p w14:paraId="74FBFD5E">
      <w:pPr>
        <w:spacing w:line="360" w:lineRule="auto"/>
        <w:rPr>
          <w:rFonts w:ascii="仿宋" w:hAnsi="仿宋" w:eastAsia="仿宋" w:cs="仿宋"/>
          <w:color w:val="auto"/>
          <w:sz w:val="24"/>
          <w:szCs w:val="24"/>
          <w:highlight w:val="none"/>
        </w:rPr>
      </w:pPr>
    </w:p>
    <w:p w14:paraId="30713D13">
      <w:pPr>
        <w:spacing w:line="360" w:lineRule="auto"/>
        <w:rPr>
          <w:rFonts w:ascii="仿宋" w:hAnsi="仿宋" w:eastAsia="仿宋" w:cs="仿宋"/>
          <w:color w:val="auto"/>
          <w:sz w:val="24"/>
          <w:szCs w:val="24"/>
          <w:highlight w:val="none"/>
        </w:rPr>
      </w:pPr>
    </w:p>
    <w:p w14:paraId="55D8E749">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供应商名称</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69BE0B52">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9CE36E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17265606">
      <w:pPr>
        <w:spacing w:before="100" w:beforeAutospacing="1" w:after="100" w:afterAutospacing="1" w:line="440" w:lineRule="exact"/>
        <w:jc w:val="center"/>
        <w:rPr>
          <w:rFonts w:hint="eastAsia" w:ascii="仿宋" w:hAnsi="仿宋" w:eastAsia="仿宋" w:cs="仿宋"/>
          <w:color w:val="auto"/>
          <w:sz w:val="28"/>
          <w:szCs w:val="20"/>
          <w:highlight w:val="none"/>
          <w:lang w:val="zh-CN"/>
        </w:rPr>
      </w:pPr>
      <w:r>
        <w:rPr>
          <w:rFonts w:ascii="仿宋" w:hAnsi="仿宋" w:eastAsia="仿宋" w:cs="仿宋"/>
          <w:color w:val="auto"/>
          <w:kern w:val="1"/>
          <w:sz w:val="24"/>
          <w:szCs w:val="24"/>
          <w:highlight w:val="none"/>
          <w:u w:val="single"/>
        </w:rPr>
        <w:br w:type="page"/>
      </w:r>
      <w:r>
        <w:rPr>
          <w:rFonts w:hint="eastAsia" w:ascii="仿宋" w:hAnsi="仿宋" w:eastAsia="仿宋" w:cs="宋体"/>
          <w:color w:val="auto"/>
          <w:sz w:val="28"/>
          <w:szCs w:val="20"/>
          <w:highlight w:val="none"/>
          <w:lang w:val="en-US" w:eastAsia="zh-CN"/>
        </w:rPr>
        <w:t>三</w:t>
      </w:r>
      <w:r>
        <w:rPr>
          <w:rFonts w:hint="eastAsia" w:ascii="仿宋" w:hAnsi="仿宋" w:eastAsia="仿宋" w:cs="宋体"/>
          <w:color w:val="auto"/>
          <w:sz w:val="28"/>
          <w:szCs w:val="20"/>
          <w:highlight w:val="none"/>
          <w:lang w:val="zh-CN"/>
        </w:rPr>
        <w:t>、</w:t>
      </w:r>
      <w:r>
        <w:rPr>
          <w:rFonts w:ascii="仿宋" w:hAnsi="仿宋" w:eastAsia="仿宋"/>
          <w:color w:val="auto"/>
          <w:sz w:val="28"/>
          <w:szCs w:val="28"/>
        </w:rPr>
        <w:t>法定代表人身份证明</w:t>
      </w:r>
      <w:r>
        <w:rPr>
          <w:rFonts w:hint="eastAsia" w:ascii="仿宋" w:hAnsi="仿宋" w:eastAsia="仿宋"/>
          <w:color w:val="auto"/>
          <w:sz w:val="28"/>
          <w:szCs w:val="28"/>
          <w:lang w:val="en-US" w:eastAsia="zh-CN"/>
        </w:rPr>
        <w:t>书</w:t>
      </w:r>
    </w:p>
    <w:p w14:paraId="6B3BCF1F">
      <w:pPr>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（采购人）：</w:t>
      </w:r>
    </w:p>
    <w:p w14:paraId="2817FBF1">
      <w:pPr>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兹证明</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同志在我单位任</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（职务），是我单位的法定代表人。</w:t>
      </w:r>
    </w:p>
    <w:p w14:paraId="1EC0DEC8">
      <w:pPr>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附法定代表人基本情况：</w:t>
      </w:r>
    </w:p>
    <w:p w14:paraId="5358E35E">
      <w:pPr>
        <w:autoSpaceDE w:val="0"/>
        <w:spacing w:after="0" w:line="460" w:lineRule="exact"/>
        <w:ind w:firstLine="560" w:firstLineChars="200"/>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（签</w:t>
      </w:r>
      <w:r>
        <w:rPr>
          <w:rFonts w:hint="eastAsia" w:ascii="仿宋" w:hAnsi="仿宋" w:eastAsia="仿宋" w:cs="仿宋"/>
          <w:color w:val="000000"/>
          <w:sz w:val="28"/>
          <w:szCs w:val="28"/>
          <w:u w:val="single"/>
          <w:lang w:val="en-US" w:eastAsia="zh-CN"/>
        </w:rPr>
        <w:t>字或盖</w:t>
      </w:r>
      <w:r>
        <w:rPr>
          <w:rFonts w:hint="eastAsia" w:ascii="仿宋" w:hAnsi="仿宋" w:eastAsia="仿宋" w:cs="仿宋"/>
          <w:color w:val="000000"/>
          <w:sz w:val="28"/>
          <w:szCs w:val="28"/>
          <w:u w:val="single"/>
        </w:rPr>
        <w:t>章）</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p w14:paraId="3B259CEB">
      <w:pPr>
        <w:spacing w:after="0" w:line="460" w:lineRule="exact"/>
        <w:ind w:firstLine="560" w:firstLineChars="200"/>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lang w:val="en-US" w:eastAsia="zh-CN"/>
        </w:rPr>
        <w:t xml:space="preserve">                      </w:t>
      </w:r>
    </w:p>
    <w:p w14:paraId="41423A94">
      <w:pPr>
        <w:spacing w:after="0" w:line="460" w:lineRule="exact"/>
        <w:ind w:firstLine="560" w:firstLineChars="200"/>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通讯地址：</w:t>
      </w:r>
      <w:r>
        <w:rPr>
          <w:rFonts w:hint="eastAsia" w:ascii="仿宋" w:hAnsi="仿宋" w:eastAsia="仿宋" w:cs="仿宋"/>
          <w:color w:val="000000"/>
          <w:sz w:val="28"/>
          <w:szCs w:val="28"/>
          <w:u w:val="single"/>
          <w:lang w:val="en-US" w:eastAsia="zh-CN"/>
        </w:rPr>
        <w:t xml:space="preserve">                      </w:t>
      </w:r>
    </w:p>
    <w:p w14:paraId="14C55D66">
      <w:pPr>
        <w:spacing w:after="0" w:line="46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电话号码：</w:t>
      </w:r>
      <w:r>
        <w:rPr>
          <w:rFonts w:hint="eastAsia" w:ascii="仿宋" w:hAnsi="仿宋" w:eastAsia="仿宋" w:cs="仿宋"/>
          <w:color w:val="000000"/>
          <w:sz w:val="28"/>
          <w:szCs w:val="28"/>
          <w:u w:val="single"/>
          <w:lang w:val="en-US" w:eastAsia="zh-CN"/>
        </w:rPr>
        <w:t xml:space="preserve">                      </w:t>
      </w:r>
    </w:p>
    <w:p w14:paraId="197D4E4C">
      <w:pPr>
        <w:spacing w:after="0" w:line="460" w:lineRule="exact"/>
        <w:ind w:firstLine="560" w:firstLineChars="200"/>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邮编：</w:t>
      </w:r>
      <w:r>
        <w:rPr>
          <w:rFonts w:hint="eastAsia" w:ascii="仿宋" w:hAnsi="仿宋" w:eastAsia="仿宋" w:cs="仿宋"/>
          <w:color w:val="000000"/>
          <w:sz w:val="28"/>
          <w:szCs w:val="28"/>
          <w:u w:val="single"/>
          <w:lang w:val="en-US" w:eastAsia="zh-CN"/>
        </w:rPr>
        <w:t xml:space="preserve">                      </w:t>
      </w:r>
    </w:p>
    <w:p w14:paraId="51630EF0">
      <w:pPr>
        <w:spacing w:after="0" w:line="460" w:lineRule="exact"/>
        <w:ind w:firstLine="560" w:firstLineChars="200"/>
        <w:rPr>
          <w:rFonts w:hint="eastAsia" w:ascii="仿宋" w:hAnsi="仿宋" w:eastAsia="仿宋" w:cs="仿宋"/>
          <w:color w:val="000000"/>
          <w:sz w:val="28"/>
          <w:szCs w:val="28"/>
        </w:rPr>
      </w:pPr>
    </w:p>
    <w:p w14:paraId="5E628BA8">
      <w:pPr>
        <w:spacing w:after="0" w:line="460" w:lineRule="exact"/>
        <w:ind w:firstLine="560" w:firstLineChars="200"/>
        <w:rPr>
          <w:rFonts w:hint="eastAsia" w:ascii="仿宋" w:hAnsi="仿宋" w:eastAsia="仿宋" w:cs="仿宋"/>
          <w:color w:val="000000"/>
          <w:sz w:val="28"/>
          <w:szCs w:val="28"/>
        </w:rPr>
      </w:pPr>
    </w:p>
    <w:p w14:paraId="328DA807">
      <w:pPr>
        <w:spacing w:after="0" w:line="460" w:lineRule="exact"/>
        <w:ind w:firstLine="4480" w:firstLineChars="16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w:t>
      </w:r>
      <w:r>
        <w:rPr>
          <w:rFonts w:hint="eastAsia" w:ascii="仿宋" w:hAnsi="仿宋" w:eastAsia="仿宋" w:cs="仿宋"/>
          <w:color w:val="000000"/>
          <w:sz w:val="28"/>
          <w:szCs w:val="28"/>
          <w:lang w:val="en-US" w:eastAsia="zh-CN"/>
        </w:rPr>
        <w:t>盖</w:t>
      </w:r>
      <w:r>
        <w:rPr>
          <w:rFonts w:hint="eastAsia" w:ascii="仿宋" w:hAnsi="仿宋" w:eastAsia="仿宋" w:cs="仿宋"/>
          <w:color w:val="000000"/>
          <w:sz w:val="28"/>
          <w:szCs w:val="28"/>
        </w:rPr>
        <w:t>章）：</w:t>
      </w:r>
    </w:p>
    <w:p w14:paraId="017BDDB5">
      <w:pPr>
        <w:spacing w:after="0" w:line="460" w:lineRule="exact"/>
        <w:ind w:firstLine="4480" w:firstLineChars="1600"/>
        <w:rPr>
          <w:rFonts w:hint="eastAsia" w:ascii="仿宋" w:hAnsi="仿宋" w:eastAsia="仿宋" w:cs="仿宋"/>
          <w:color w:val="000000"/>
          <w:sz w:val="28"/>
          <w:szCs w:val="28"/>
        </w:rPr>
      </w:pPr>
      <w:r>
        <w:rPr>
          <w:rFonts w:hint="eastAsia" w:ascii="仿宋" w:hAnsi="仿宋" w:eastAsia="仿宋" w:cs="仿宋"/>
          <w:color w:val="000000"/>
          <w:sz w:val="28"/>
          <w:szCs w:val="28"/>
        </w:rPr>
        <w:t>日期：年月日</w:t>
      </w:r>
    </w:p>
    <w:p w14:paraId="4B8FD343">
      <w:pPr>
        <w:spacing w:after="0" w:line="460" w:lineRule="exact"/>
        <w:ind w:firstLine="562" w:firstLineChars="200"/>
        <w:rPr>
          <w:rFonts w:hint="eastAsia" w:ascii="仿宋" w:hAnsi="仿宋" w:eastAsia="仿宋" w:cs="仿宋"/>
          <w:b/>
          <w:bCs/>
          <w:color w:val="000000"/>
          <w:sz w:val="28"/>
          <w:szCs w:val="28"/>
        </w:rPr>
      </w:pPr>
    </w:p>
    <w:p w14:paraId="5A2014E0">
      <w:pPr>
        <w:spacing w:after="0" w:line="4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附：法定代表人《居民身份证》复印件正反面</w:t>
      </w:r>
    </w:p>
    <w:tbl>
      <w:tblPr>
        <w:tblStyle w:val="30"/>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2439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0"/>
            <w:vAlign w:val="center"/>
          </w:tcPr>
          <w:p w14:paraId="16307232">
            <w:pPr>
              <w:spacing w:after="0" w:line="4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（身份证正面）</w:t>
            </w:r>
          </w:p>
        </w:tc>
        <w:tc>
          <w:tcPr>
            <w:tcW w:w="4115" w:type="dxa"/>
            <w:noWrap w:val="0"/>
            <w:vAlign w:val="center"/>
          </w:tcPr>
          <w:p w14:paraId="0B950510">
            <w:pPr>
              <w:spacing w:after="0" w:line="4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（身份证背面）</w:t>
            </w:r>
          </w:p>
        </w:tc>
      </w:tr>
    </w:tbl>
    <w:p w14:paraId="1395F763">
      <w:pPr>
        <w:adjustRightInd w:val="0"/>
        <w:snapToGrid w:val="0"/>
        <w:spacing w:after="0" w:line="240" w:lineRule="atLeast"/>
        <w:rPr>
          <w:rFonts w:hint="eastAsia" w:ascii="仿宋" w:hAnsi="仿宋" w:eastAsia="仿宋" w:cs="仿宋"/>
          <w:color w:val="000000"/>
          <w:sz w:val="28"/>
          <w:szCs w:val="28"/>
        </w:rPr>
      </w:pPr>
    </w:p>
    <w:p w14:paraId="4CE6CD85">
      <w:pPr>
        <w:adjustRightInd w:val="0"/>
        <w:snapToGrid w:val="0"/>
        <w:spacing w:after="0" w:line="240" w:lineRule="atLeast"/>
        <w:rPr>
          <w:rFonts w:hint="eastAsia" w:ascii="仿宋" w:hAnsi="仿宋" w:eastAsia="仿宋" w:cs="仿宋"/>
          <w:color w:val="000000"/>
          <w:sz w:val="28"/>
          <w:szCs w:val="28"/>
        </w:rPr>
      </w:pPr>
    </w:p>
    <w:p w14:paraId="22D4DC64">
      <w:pPr>
        <w:spacing w:after="0" w:line="3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注：1.法定代表人签字或盖章必须是亲笔签名或相关主管行政部门备案的法定代表人印章。不得使用其他印章或是电子版签名。</w:t>
      </w:r>
    </w:p>
    <w:p w14:paraId="3A9F5B09">
      <w:pPr>
        <w:spacing w:after="0" w:line="3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响应文件</w:t>
      </w:r>
      <w:r>
        <w:rPr>
          <w:rFonts w:hint="eastAsia" w:ascii="仿宋" w:hAnsi="仿宋" w:eastAsia="仿宋" w:cs="仿宋"/>
          <w:color w:val="000000"/>
          <w:sz w:val="28"/>
          <w:szCs w:val="28"/>
        </w:rPr>
        <w:t>中须放置法定代表人身份证明。</w:t>
      </w:r>
    </w:p>
    <w:p w14:paraId="4A05E324">
      <w:pPr>
        <w:spacing w:after="0" w:line="320" w:lineRule="exact"/>
        <w:rPr>
          <w:rFonts w:hint="eastAsia" w:ascii="仿宋" w:hAnsi="仿宋" w:eastAsia="仿宋" w:cs="仿宋"/>
          <w:color w:val="auto"/>
          <w:kern w:val="1"/>
          <w:sz w:val="24"/>
          <w:szCs w:val="24"/>
          <w:highlight w:val="none"/>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的法人代表本人作为公司代理人前来参加投标的，须提供此项证明文件</w:t>
      </w:r>
      <w:r>
        <w:rPr>
          <w:rFonts w:hint="eastAsia" w:ascii="仿宋" w:hAnsi="仿宋" w:eastAsia="仿宋" w:cs="仿宋"/>
          <w:color w:val="000000"/>
          <w:sz w:val="28"/>
          <w:szCs w:val="28"/>
          <w:lang w:eastAsia="zh-CN"/>
        </w:rPr>
        <w:t>。</w:t>
      </w:r>
    </w:p>
    <w:p w14:paraId="2EED05CD">
      <w:pPr>
        <w:widowControl/>
        <w:autoSpaceDE w:val="0"/>
        <w:autoSpaceDN w:val="0"/>
        <w:adjustRightInd w:val="0"/>
        <w:spacing w:line="440" w:lineRule="exact"/>
        <w:jc w:val="both"/>
        <w:rPr>
          <w:rFonts w:hint="eastAsia" w:ascii="仿宋" w:hAnsi="仿宋" w:eastAsia="仿宋" w:cs="仿宋"/>
          <w:color w:val="auto"/>
          <w:highlight w:val="none"/>
        </w:rPr>
      </w:pPr>
    </w:p>
    <w:p w14:paraId="7FD7781A">
      <w:pPr>
        <w:pStyle w:val="11"/>
        <w:rPr>
          <w:rFonts w:hint="eastAsia" w:ascii="仿宋" w:hAnsi="仿宋" w:eastAsia="仿宋" w:cs="仿宋"/>
          <w:color w:val="auto"/>
          <w:highlight w:val="none"/>
        </w:rPr>
      </w:pPr>
    </w:p>
    <w:p w14:paraId="413F018B">
      <w:pPr>
        <w:pStyle w:val="11"/>
        <w:rPr>
          <w:rFonts w:hint="eastAsia" w:ascii="仿宋" w:hAnsi="仿宋" w:eastAsia="仿宋" w:cs="仿宋"/>
          <w:color w:val="auto"/>
          <w:highlight w:val="none"/>
        </w:rPr>
      </w:pPr>
    </w:p>
    <w:p w14:paraId="2E0016CE">
      <w:pPr>
        <w:pStyle w:val="11"/>
        <w:rPr>
          <w:rFonts w:hint="eastAsia" w:ascii="仿宋" w:hAnsi="仿宋" w:eastAsia="仿宋" w:cs="仿宋"/>
          <w:color w:val="auto"/>
          <w:highlight w:val="none"/>
        </w:rPr>
      </w:pPr>
    </w:p>
    <w:p w14:paraId="4268108F">
      <w:pPr>
        <w:pStyle w:val="11"/>
        <w:rPr>
          <w:rFonts w:hint="eastAsia" w:ascii="仿宋" w:hAnsi="仿宋" w:eastAsia="仿宋" w:cs="仿宋"/>
          <w:color w:val="auto"/>
          <w:highlight w:val="none"/>
        </w:rPr>
      </w:pPr>
    </w:p>
    <w:p w14:paraId="260B4074">
      <w:pPr>
        <w:widowControl/>
        <w:autoSpaceDE w:val="0"/>
        <w:autoSpaceDN w:val="0"/>
        <w:adjustRightInd w:val="0"/>
        <w:spacing w:line="440" w:lineRule="exact"/>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四</w:t>
      </w: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8"/>
          <w:szCs w:val="28"/>
          <w:highlight w:val="none"/>
        </w:rPr>
        <w:t>法定代表人授权委托书</w:t>
      </w:r>
    </w:p>
    <w:p w14:paraId="2AAE7620">
      <w:pPr>
        <w:widowControl/>
        <w:autoSpaceDE w:val="0"/>
        <w:autoSpaceDN w:val="0"/>
        <w:adjustRightInd w:val="0"/>
        <w:spacing w:line="440" w:lineRule="exact"/>
        <w:rPr>
          <w:rFonts w:hint="eastAsia" w:ascii="仿宋" w:hAnsi="仿宋" w:eastAsia="仿宋" w:cs="仿宋"/>
          <w:color w:val="auto"/>
          <w:kern w:val="1"/>
          <w:sz w:val="24"/>
          <w:szCs w:val="24"/>
          <w:highlight w:val="none"/>
        </w:rPr>
      </w:pPr>
    </w:p>
    <w:p w14:paraId="65F43714">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 xml:space="preserve">   （采购人）  </w:t>
      </w:r>
      <w:r>
        <w:rPr>
          <w:rStyle w:val="100"/>
          <w:rFonts w:hint="eastAsia" w:ascii="仿宋" w:hAnsi="仿宋" w:eastAsia="仿宋" w:cs="仿宋"/>
          <w:color w:val="auto"/>
          <w:sz w:val="24"/>
          <w:szCs w:val="24"/>
          <w:highlight w:val="none"/>
        </w:rPr>
        <w:t>：</w:t>
      </w:r>
    </w:p>
    <w:p w14:paraId="0FE2882B">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100"/>
          <w:rFonts w:hint="eastAsia" w:ascii="仿宋" w:hAnsi="仿宋" w:eastAsia="仿宋" w:cs="仿宋"/>
          <w:color w:val="auto"/>
          <w:sz w:val="24"/>
          <w:szCs w:val="24"/>
          <w:highlight w:val="none"/>
        </w:rPr>
        <w:t>我</w:t>
      </w:r>
      <w:r>
        <w:rPr>
          <w:rFonts w:hint="eastAsia" w:ascii="仿宋" w:hAnsi="仿宋" w:eastAsia="仿宋" w:cs="仿宋"/>
          <w:color w:val="auto"/>
          <w:kern w:val="1"/>
          <w:sz w:val="24"/>
          <w:szCs w:val="24"/>
          <w:highlight w:val="none"/>
          <w:u w:val="single"/>
        </w:rPr>
        <w:t xml:space="preserve">   （姓名） </w:t>
      </w:r>
      <w:r>
        <w:rPr>
          <w:rStyle w:val="100"/>
          <w:rFonts w:hint="eastAsia" w:ascii="仿宋" w:hAnsi="仿宋" w:eastAsia="仿宋" w:cs="仿宋"/>
          <w:color w:val="auto"/>
          <w:sz w:val="24"/>
          <w:szCs w:val="24"/>
          <w:highlight w:val="none"/>
        </w:rPr>
        <w:t>系</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100"/>
          <w:rFonts w:hint="eastAsia" w:ascii="仿宋" w:hAnsi="仿宋" w:eastAsia="仿宋" w:cs="仿宋"/>
          <w:color w:val="auto"/>
          <w:sz w:val="24"/>
          <w:szCs w:val="24"/>
          <w:highlight w:val="none"/>
        </w:rPr>
        <w:t>法定代表人，现授权委托我公司的</w:t>
      </w:r>
      <w:r>
        <w:rPr>
          <w:rFonts w:hint="eastAsia" w:ascii="仿宋" w:hAnsi="仿宋" w:eastAsia="仿宋" w:cs="仿宋"/>
          <w:color w:val="auto"/>
          <w:kern w:val="1"/>
          <w:sz w:val="24"/>
          <w:szCs w:val="24"/>
          <w:highlight w:val="none"/>
          <w:u w:val="single"/>
        </w:rPr>
        <w:t xml:space="preserve">  （姓名、职务或者职称）</w:t>
      </w:r>
      <w:r>
        <w:rPr>
          <w:rStyle w:val="100"/>
          <w:rFonts w:hint="eastAsia" w:ascii="仿宋" w:hAnsi="仿宋" w:eastAsia="仿宋" w:cs="仿宋"/>
          <w:color w:val="auto"/>
          <w:sz w:val="24"/>
          <w:szCs w:val="24"/>
          <w:highlight w:val="none"/>
        </w:rPr>
        <w:t>为我公司本次</w:t>
      </w:r>
      <w:r>
        <w:rPr>
          <w:rFonts w:hint="eastAsia" w:ascii="仿宋" w:hAnsi="仿宋" w:eastAsia="仿宋" w:cs="仿宋"/>
          <w:color w:val="auto"/>
          <w:kern w:val="1"/>
          <w:sz w:val="24"/>
          <w:szCs w:val="24"/>
          <w:highlight w:val="none"/>
          <w:u w:val="single"/>
        </w:rPr>
        <w:t xml:space="preserve">             </w:t>
      </w:r>
      <w:r>
        <w:rPr>
          <w:rStyle w:val="100"/>
          <w:rFonts w:hint="eastAsia" w:ascii="仿宋" w:hAnsi="仿宋" w:eastAsia="仿宋" w:cs="仿宋"/>
          <w:color w:val="auto"/>
          <w:sz w:val="24"/>
          <w:szCs w:val="24"/>
          <w:highlight w:val="none"/>
        </w:rPr>
        <w:t>项目的授权代表，代表我方办理本次投标、签约等相关事宜，签署全部有关的文件、协议、合同并具有法律效力。</w:t>
      </w:r>
    </w:p>
    <w:p w14:paraId="48187E02">
      <w:pPr>
        <w:widowControl/>
        <w:autoSpaceDE w:val="0"/>
        <w:autoSpaceDN w:val="0"/>
        <w:adjustRightInd w:val="0"/>
        <w:spacing w:line="440" w:lineRule="exact"/>
        <w:ind w:firstLine="480"/>
        <w:rPr>
          <w:rStyle w:val="100"/>
          <w:rFonts w:hint="eastAsia" w:ascii="仿宋" w:hAnsi="仿宋" w:eastAsia="仿宋" w:cs="仿宋"/>
          <w:color w:val="auto"/>
          <w:sz w:val="24"/>
          <w:szCs w:val="24"/>
          <w:highlight w:val="none"/>
        </w:rPr>
      </w:pPr>
      <w:r>
        <w:rPr>
          <w:rStyle w:val="100"/>
          <w:rFonts w:hint="eastAsia" w:ascii="仿宋" w:hAnsi="仿宋" w:eastAsia="仿宋" w:cs="仿宋"/>
          <w:color w:val="auto"/>
          <w:sz w:val="24"/>
          <w:szCs w:val="24"/>
          <w:highlight w:val="none"/>
        </w:rPr>
        <w:t>在我方未发出撤销授权委托书的书面通知以前，本授权委托书一直有效。被授权人签署的所有文件（在授权书有效期内签署的）不因授权撤销而失效。</w:t>
      </w:r>
    </w:p>
    <w:p w14:paraId="5E281C90">
      <w:pPr>
        <w:widowControl/>
        <w:autoSpaceDE w:val="0"/>
        <w:autoSpaceDN w:val="0"/>
        <w:adjustRightInd w:val="0"/>
        <w:spacing w:line="440" w:lineRule="exact"/>
        <w:ind w:firstLine="480"/>
        <w:rPr>
          <w:rStyle w:val="100"/>
          <w:rFonts w:hint="eastAsia" w:ascii="仿宋" w:hAnsi="仿宋" w:eastAsia="仿宋" w:cs="仿宋"/>
          <w:color w:val="auto"/>
          <w:sz w:val="24"/>
          <w:szCs w:val="24"/>
          <w:highlight w:val="none"/>
        </w:rPr>
      </w:pPr>
      <w:r>
        <w:rPr>
          <w:rStyle w:val="100"/>
          <w:rFonts w:hint="eastAsia" w:ascii="仿宋" w:hAnsi="仿宋" w:eastAsia="仿宋" w:cs="仿宋"/>
          <w:color w:val="auto"/>
          <w:sz w:val="24"/>
          <w:szCs w:val="24"/>
          <w:highlight w:val="none"/>
        </w:rPr>
        <w:t>被授权代表无权转让委托权。特此授权。</w:t>
      </w:r>
    </w:p>
    <w:p w14:paraId="596F1D6C">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100"/>
          <w:rFonts w:hint="eastAsia" w:ascii="仿宋" w:hAnsi="仿宋" w:eastAsia="仿宋" w:cs="仿宋"/>
          <w:color w:val="auto"/>
          <w:sz w:val="24"/>
          <w:szCs w:val="24"/>
          <w:highlight w:val="none"/>
        </w:rPr>
        <w:t>本授权委托书于</w:t>
      </w:r>
      <w:r>
        <w:rPr>
          <w:rFonts w:hint="eastAsia" w:ascii="仿宋" w:hAnsi="仿宋" w:eastAsia="仿宋" w:cs="仿宋"/>
          <w:color w:val="auto"/>
          <w:kern w:val="1"/>
          <w:sz w:val="24"/>
          <w:szCs w:val="24"/>
          <w:highlight w:val="none"/>
          <w:u w:val="single"/>
        </w:rPr>
        <w:t xml:space="preserve">        </w:t>
      </w:r>
      <w:r>
        <w:rPr>
          <w:rStyle w:val="100"/>
          <w:rFonts w:hint="eastAsia" w:ascii="仿宋" w:hAnsi="仿宋" w:eastAsia="仿宋" w:cs="仿宋"/>
          <w:color w:val="auto"/>
          <w:sz w:val="24"/>
          <w:szCs w:val="24"/>
          <w:highlight w:val="none"/>
        </w:rPr>
        <w:t>年</w:t>
      </w:r>
      <w:r>
        <w:rPr>
          <w:rFonts w:hint="eastAsia" w:ascii="仿宋" w:hAnsi="仿宋" w:eastAsia="仿宋" w:cs="仿宋"/>
          <w:color w:val="auto"/>
          <w:kern w:val="1"/>
          <w:sz w:val="24"/>
          <w:szCs w:val="24"/>
          <w:highlight w:val="none"/>
          <w:u w:val="single"/>
        </w:rPr>
        <w:t xml:space="preserve">        </w:t>
      </w:r>
      <w:r>
        <w:rPr>
          <w:rStyle w:val="100"/>
          <w:rFonts w:hint="eastAsia" w:ascii="仿宋" w:hAnsi="仿宋" w:eastAsia="仿宋" w:cs="仿宋"/>
          <w:color w:val="auto"/>
          <w:sz w:val="24"/>
          <w:szCs w:val="24"/>
          <w:highlight w:val="none"/>
        </w:rPr>
        <w:t>月</w:t>
      </w:r>
      <w:r>
        <w:rPr>
          <w:rFonts w:hint="eastAsia" w:ascii="仿宋" w:hAnsi="仿宋" w:eastAsia="仿宋" w:cs="仿宋"/>
          <w:color w:val="auto"/>
          <w:kern w:val="1"/>
          <w:sz w:val="24"/>
          <w:szCs w:val="24"/>
          <w:highlight w:val="none"/>
          <w:u w:val="single"/>
        </w:rPr>
        <w:t xml:space="preserve">        </w:t>
      </w:r>
      <w:r>
        <w:rPr>
          <w:rStyle w:val="100"/>
          <w:rFonts w:hint="eastAsia" w:ascii="仿宋" w:hAnsi="仿宋" w:eastAsia="仿宋" w:cs="仿宋"/>
          <w:color w:val="auto"/>
          <w:sz w:val="24"/>
          <w:szCs w:val="24"/>
          <w:highlight w:val="none"/>
        </w:rPr>
        <w:t>日签字生效,特此声明。</w:t>
      </w:r>
    </w:p>
    <w:p w14:paraId="59051935">
      <w:pPr>
        <w:widowControl/>
        <w:autoSpaceDE w:val="0"/>
        <w:autoSpaceDN w:val="0"/>
        <w:adjustRightInd w:val="0"/>
        <w:spacing w:line="440" w:lineRule="exact"/>
        <w:rPr>
          <w:rFonts w:hint="eastAsia" w:ascii="仿宋" w:hAnsi="仿宋" w:eastAsia="仿宋" w:cs="仿宋"/>
          <w:color w:val="auto"/>
          <w:kern w:val="1"/>
          <w:sz w:val="24"/>
          <w:szCs w:val="24"/>
          <w:highlight w:val="none"/>
        </w:rPr>
      </w:pPr>
    </w:p>
    <w:p w14:paraId="5DF2F3F4">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(附法人代表身份证以及被授权代表身份证复印件)</w:t>
      </w:r>
    </w:p>
    <w:p w14:paraId="293CA34C">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p>
    <w:p w14:paraId="5F2FB676">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p>
    <w:p w14:paraId="3740F07B">
      <w:pPr>
        <w:widowControl/>
        <w:autoSpaceDE w:val="0"/>
        <w:autoSpaceDN w:val="0"/>
        <w:adjustRightInd w:val="0"/>
        <w:spacing w:line="440" w:lineRule="exact"/>
        <w:ind w:right="-481"/>
        <w:rPr>
          <w:rStyle w:val="100"/>
          <w:rFonts w:hint="eastAsia" w:ascii="仿宋" w:hAnsi="仿宋" w:eastAsia="仿宋" w:cs="仿宋"/>
          <w:color w:val="auto"/>
          <w:sz w:val="24"/>
          <w:szCs w:val="24"/>
          <w:highlight w:val="none"/>
        </w:rPr>
      </w:pPr>
      <w:r>
        <w:rPr>
          <w:rStyle w:val="100"/>
          <w:rFonts w:hint="eastAsia" w:ascii="仿宋" w:hAnsi="仿宋" w:eastAsia="仿宋" w:cs="仿宋"/>
          <w:color w:val="auto"/>
          <w:sz w:val="24"/>
          <w:szCs w:val="24"/>
          <w:highlight w:val="none"/>
        </w:rPr>
        <w:t>被授权代表姓名：             性 别：              年 龄：</w:t>
      </w:r>
    </w:p>
    <w:p w14:paraId="6F7E012A">
      <w:pPr>
        <w:widowControl/>
        <w:autoSpaceDE w:val="0"/>
        <w:autoSpaceDN w:val="0"/>
        <w:adjustRightInd w:val="0"/>
        <w:spacing w:line="440" w:lineRule="exact"/>
        <w:ind w:right="-481"/>
        <w:rPr>
          <w:rStyle w:val="100"/>
          <w:rFonts w:hint="eastAsia" w:ascii="仿宋" w:hAnsi="仿宋" w:eastAsia="仿宋" w:cs="仿宋"/>
          <w:color w:val="auto"/>
          <w:sz w:val="24"/>
          <w:szCs w:val="24"/>
          <w:highlight w:val="none"/>
        </w:rPr>
      </w:pPr>
      <w:r>
        <w:rPr>
          <w:rStyle w:val="100"/>
          <w:rFonts w:hint="eastAsia" w:ascii="仿宋" w:hAnsi="仿宋" w:eastAsia="仿宋" w:cs="仿宋"/>
          <w:color w:val="auto"/>
          <w:sz w:val="24"/>
          <w:szCs w:val="24"/>
          <w:highlight w:val="none"/>
        </w:rPr>
        <w:t>单  位：                     部 门：              职 务：</w:t>
      </w:r>
    </w:p>
    <w:p w14:paraId="71643882">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7407CCF1">
      <w:pPr>
        <w:pStyle w:val="28"/>
        <w:rPr>
          <w:rFonts w:hint="eastAsia" w:ascii="仿宋" w:hAnsi="仿宋" w:eastAsia="仿宋" w:cs="仿宋"/>
          <w:color w:val="auto"/>
          <w:kern w:val="1"/>
          <w:sz w:val="24"/>
          <w:szCs w:val="24"/>
          <w:highlight w:val="none"/>
        </w:rPr>
      </w:pPr>
    </w:p>
    <w:p w14:paraId="04A6D860">
      <w:pPr>
        <w:rPr>
          <w:rFonts w:hint="eastAsia" w:ascii="仿宋" w:hAnsi="仿宋" w:eastAsia="仿宋" w:cs="仿宋"/>
          <w:color w:val="auto"/>
          <w:kern w:val="1"/>
          <w:sz w:val="24"/>
          <w:szCs w:val="24"/>
          <w:highlight w:val="none"/>
        </w:rPr>
      </w:pPr>
    </w:p>
    <w:p w14:paraId="792968E5">
      <w:pPr>
        <w:pStyle w:val="28"/>
        <w:rPr>
          <w:rFonts w:hint="eastAsia" w:ascii="仿宋" w:hAnsi="仿宋" w:eastAsia="仿宋" w:cs="仿宋"/>
          <w:color w:val="auto"/>
          <w:kern w:val="1"/>
          <w:sz w:val="24"/>
          <w:szCs w:val="24"/>
          <w:highlight w:val="none"/>
        </w:rPr>
      </w:pPr>
    </w:p>
    <w:p w14:paraId="6A1FA520">
      <w:pPr>
        <w:rPr>
          <w:rFonts w:hint="eastAsia" w:ascii="仿宋" w:hAnsi="仿宋" w:eastAsia="仿宋" w:cs="仿宋"/>
          <w:color w:val="auto"/>
          <w:kern w:val="1"/>
          <w:sz w:val="24"/>
          <w:szCs w:val="24"/>
          <w:highlight w:val="none"/>
        </w:rPr>
      </w:pPr>
    </w:p>
    <w:p w14:paraId="13B2634F">
      <w:pPr>
        <w:pStyle w:val="28"/>
        <w:rPr>
          <w:rFonts w:hint="eastAsia"/>
        </w:rPr>
      </w:pPr>
    </w:p>
    <w:p w14:paraId="0C9FDEF5">
      <w:pPr>
        <w:spacing w:line="360" w:lineRule="auto"/>
        <w:ind w:firstLine="4108" w:firstLineChars="17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  应  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14:paraId="61559DEF">
      <w:pPr>
        <w:spacing w:line="360" w:lineRule="auto"/>
        <w:ind w:firstLine="4108" w:firstLineChars="17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7C156F6C">
      <w:pPr>
        <w:spacing w:beforeAutospacing="0" w:afterAutospacing="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1A4B2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D1B00EC">
      <w:pPr>
        <w:spacing w:before="100" w:beforeAutospacing="1" w:after="100" w:afterAutospacing="1" w:line="440" w:lineRule="exact"/>
        <w:jc w:val="center"/>
        <w:rPr>
          <w:rFonts w:ascii="仿宋" w:hAnsi="仿宋" w:eastAsia="仿宋" w:cs="仿宋"/>
          <w:b/>
          <w:bCs/>
          <w:color w:val="auto"/>
          <w:sz w:val="24"/>
          <w:szCs w:val="24"/>
          <w:highlight w:val="none"/>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、商务偏离表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4D61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7E10318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48" w:type="dxa"/>
            <w:noWrap w:val="0"/>
            <w:vAlign w:val="center"/>
          </w:tcPr>
          <w:p w14:paraId="608BE68B">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章节及条款号</w:t>
            </w:r>
          </w:p>
        </w:tc>
        <w:tc>
          <w:tcPr>
            <w:tcW w:w="3087" w:type="dxa"/>
            <w:noWrap w:val="0"/>
            <w:vAlign w:val="center"/>
          </w:tcPr>
          <w:p w14:paraId="01A2B08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章节及条款号</w:t>
            </w:r>
          </w:p>
        </w:tc>
        <w:tc>
          <w:tcPr>
            <w:tcW w:w="2013" w:type="dxa"/>
            <w:noWrap w:val="0"/>
            <w:vAlign w:val="center"/>
          </w:tcPr>
          <w:p w14:paraId="0FC2DC1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r>
      <w:tr w14:paraId="2044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0524987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48" w:type="dxa"/>
            <w:noWrap w:val="0"/>
            <w:vAlign w:val="center"/>
          </w:tcPr>
          <w:p w14:paraId="1B31CFB1">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center"/>
          </w:tcPr>
          <w:p w14:paraId="4C4D0C5B">
            <w:pPr>
              <w:spacing w:line="360" w:lineRule="auto"/>
              <w:jc w:val="center"/>
              <w:rPr>
                <w:rFonts w:ascii="仿宋" w:hAnsi="仿宋" w:eastAsia="仿宋" w:cs="仿宋"/>
                <w:color w:val="auto"/>
                <w:sz w:val="24"/>
                <w:szCs w:val="24"/>
                <w:highlight w:val="none"/>
              </w:rPr>
            </w:pPr>
          </w:p>
        </w:tc>
        <w:tc>
          <w:tcPr>
            <w:tcW w:w="2013" w:type="dxa"/>
            <w:noWrap w:val="0"/>
            <w:vAlign w:val="center"/>
          </w:tcPr>
          <w:p w14:paraId="4A7038F4">
            <w:pPr>
              <w:spacing w:line="360" w:lineRule="auto"/>
              <w:jc w:val="center"/>
              <w:rPr>
                <w:rFonts w:ascii="仿宋" w:hAnsi="仿宋" w:eastAsia="仿宋" w:cs="仿宋"/>
                <w:color w:val="auto"/>
                <w:sz w:val="24"/>
                <w:szCs w:val="24"/>
                <w:highlight w:val="none"/>
              </w:rPr>
            </w:pPr>
          </w:p>
        </w:tc>
      </w:tr>
      <w:tr w14:paraId="77D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7E5736A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p>
        </w:tc>
        <w:tc>
          <w:tcPr>
            <w:tcW w:w="3248" w:type="dxa"/>
            <w:noWrap w:val="0"/>
            <w:vAlign w:val="center"/>
          </w:tcPr>
          <w:p w14:paraId="33B195FA">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center"/>
          </w:tcPr>
          <w:p w14:paraId="303DEDC6">
            <w:pPr>
              <w:spacing w:line="360" w:lineRule="auto"/>
              <w:jc w:val="center"/>
              <w:rPr>
                <w:rFonts w:ascii="仿宋" w:hAnsi="仿宋" w:eastAsia="仿宋" w:cs="仿宋"/>
                <w:color w:val="auto"/>
                <w:sz w:val="24"/>
                <w:szCs w:val="24"/>
                <w:highlight w:val="none"/>
              </w:rPr>
            </w:pPr>
          </w:p>
        </w:tc>
        <w:tc>
          <w:tcPr>
            <w:tcW w:w="2013" w:type="dxa"/>
            <w:noWrap w:val="0"/>
            <w:vAlign w:val="center"/>
          </w:tcPr>
          <w:p w14:paraId="6C274170">
            <w:pPr>
              <w:spacing w:line="360" w:lineRule="auto"/>
              <w:jc w:val="center"/>
              <w:rPr>
                <w:rFonts w:ascii="仿宋" w:hAnsi="仿宋" w:eastAsia="仿宋" w:cs="仿宋"/>
                <w:color w:val="auto"/>
                <w:sz w:val="24"/>
                <w:szCs w:val="24"/>
                <w:highlight w:val="none"/>
              </w:rPr>
            </w:pPr>
          </w:p>
        </w:tc>
      </w:tr>
      <w:tr w14:paraId="354B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0EBF4C7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248" w:type="dxa"/>
            <w:noWrap w:val="0"/>
            <w:vAlign w:val="center"/>
          </w:tcPr>
          <w:p w14:paraId="45B3A8B6">
            <w:pPr>
              <w:widowControl/>
              <w:autoSpaceDE w:val="0"/>
              <w:autoSpaceDN w:val="0"/>
              <w:adjustRightInd w:val="0"/>
              <w:spacing w:line="440" w:lineRule="exact"/>
              <w:rPr>
                <w:rFonts w:hint="eastAsia" w:ascii="仿宋" w:hAnsi="仿宋" w:eastAsia="仿宋" w:cs="仿宋"/>
                <w:color w:val="auto"/>
                <w:sz w:val="24"/>
                <w:szCs w:val="24"/>
                <w:highlight w:val="none"/>
                <w:lang w:eastAsia="zh-CN"/>
              </w:rPr>
            </w:pPr>
          </w:p>
        </w:tc>
        <w:tc>
          <w:tcPr>
            <w:tcW w:w="3087" w:type="dxa"/>
            <w:noWrap w:val="0"/>
            <w:vAlign w:val="center"/>
          </w:tcPr>
          <w:p w14:paraId="4642337E">
            <w:pPr>
              <w:spacing w:line="360" w:lineRule="auto"/>
              <w:jc w:val="center"/>
              <w:rPr>
                <w:rFonts w:ascii="仿宋" w:hAnsi="仿宋" w:eastAsia="仿宋" w:cs="仿宋"/>
                <w:color w:val="auto"/>
                <w:sz w:val="24"/>
                <w:szCs w:val="24"/>
                <w:highlight w:val="none"/>
              </w:rPr>
            </w:pPr>
          </w:p>
        </w:tc>
        <w:tc>
          <w:tcPr>
            <w:tcW w:w="2013" w:type="dxa"/>
            <w:noWrap w:val="0"/>
            <w:vAlign w:val="center"/>
          </w:tcPr>
          <w:p w14:paraId="25F965B6">
            <w:pPr>
              <w:spacing w:line="360" w:lineRule="auto"/>
              <w:jc w:val="center"/>
              <w:rPr>
                <w:rFonts w:ascii="仿宋" w:hAnsi="仿宋" w:eastAsia="仿宋" w:cs="仿宋"/>
                <w:color w:val="auto"/>
                <w:sz w:val="24"/>
                <w:szCs w:val="24"/>
                <w:highlight w:val="none"/>
              </w:rPr>
            </w:pPr>
          </w:p>
        </w:tc>
      </w:tr>
      <w:tr w14:paraId="3B9A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5083C01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248" w:type="dxa"/>
            <w:noWrap w:val="0"/>
            <w:vAlign w:val="center"/>
          </w:tcPr>
          <w:p w14:paraId="36392567">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center"/>
          </w:tcPr>
          <w:p w14:paraId="2D7845D1">
            <w:pPr>
              <w:spacing w:line="360" w:lineRule="auto"/>
              <w:jc w:val="center"/>
              <w:rPr>
                <w:rFonts w:ascii="仿宋" w:hAnsi="仿宋" w:eastAsia="仿宋" w:cs="仿宋"/>
                <w:color w:val="auto"/>
                <w:sz w:val="24"/>
                <w:szCs w:val="24"/>
                <w:highlight w:val="none"/>
              </w:rPr>
            </w:pPr>
          </w:p>
        </w:tc>
        <w:tc>
          <w:tcPr>
            <w:tcW w:w="2013" w:type="dxa"/>
            <w:noWrap w:val="0"/>
            <w:vAlign w:val="center"/>
          </w:tcPr>
          <w:p w14:paraId="5388632D">
            <w:pPr>
              <w:spacing w:line="360" w:lineRule="auto"/>
              <w:jc w:val="center"/>
              <w:rPr>
                <w:rFonts w:ascii="仿宋" w:hAnsi="仿宋" w:eastAsia="仿宋" w:cs="仿宋"/>
                <w:color w:val="auto"/>
                <w:sz w:val="24"/>
                <w:szCs w:val="24"/>
                <w:highlight w:val="none"/>
              </w:rPr>
            </w:pPr>
          </w:p>
        </w:tc>
      </w:tr>
      <w:tr w14:paraId="65C6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noWrap w:val="0"/>
            <w:vAlign w:val="center"/>
          </w:tcPr>
          <w:p w14:paraId="749E1EC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248" w:type="dxa"/>
            <w:noWrap w:val="0"/>
            <w:vAlign w:val="center"/>
          </w:tcPr>
          <w:p w14:paraId="176C705E">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center"/>
          </w:tcPr>
          <w:p w14:paraId="5DEEDC27">
            <w:pPr>
              <w:spacing w:line="360" w:lineRule="auto"/>
              <w:jc w:val="center"/>
              <w:rPr>
                <w:rFonts w:ascii="仿宋" w:hAnsi="仿宋" w:eastAsia="仿宋" w:cs="仿宋"/>
                <w:color w:val="auto"/>
                <w:sz w:val="24"/>
                <w:szCs w:val="24"/>
                <w:highlight w:val="none"/>
              </w:rPr>
            </w:pPr>
          </w:p>
        </w:tc>
        <w:tc>
          <w:tcPr>
            <w:tcW w:w="2013" w:type="dxa"/>
            <w:noWrap w:val="0"/>
            <w:vAlign w:val="center"/>
          </w:tcPr>
          <w:p w14:paraId="0E1E0B24">
            <w:pPr>
              <w:spacing w:line="360" w:lineRule="auto"/>
              <w:jc w:val="center"/>
              <w:rPr>
                <w:rFonts w:ascii="仿宋" w:hAnsi="仿宋" w:eastAsia="仿宋" w:cs="仿宋"/>
                <w:color w:val="auto"/>
                <w:sz w:val="24"/>
                <w:szCs w:val="24"/>
                <w:highlight w:val="none"/>
              </w:rPr>
            </w:pPr>
          </w:p>
        </w:tc>
      </w:tr>
      <w:tr w14:paraId="0F0F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noWrap w:val="0"/>
            <w:vAlign w:val="top"/>
          </w:tcPr>
          <w:p w14:paraId="38B3A52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248" w:type="dxa"/>
            <w:noWrap w:val="0"/>
            <w:vAlign w:val="center"/>
          </w:tcPr>
          <w:p w14:paraId="317DEC6B">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top"/>
          </w:tcPr>
          <w:p w14:paraId="44E84029">
            <w:pPr>
              <w:spacing w:line="360" w:lineRule="auto"/>
              <w:jc w:val="center"/>
              <w:rPr>
                <w:rFonts w:ascii="仿宋" w:hAnsi="仿宋" w:eastAsia="仿宋" w:cs="仿宋"/>
                <w:color w:val="auto"/>
                <w:sz w:val="24"/>
                <w:szCs w:val="24"/>
                <w:highlight w:val="none"/>
              </w:rPr>
            </w:pPr>
          </w:p>
        </w:tc>
        <w:tc>
          <w:tcPr>
            <w:tcW w:w="2013" w:type="dxa"/>
            <w:noWrap w:val="0"/>
            <w:vAlign w:val="top"/>
          </w:tcPr>
          <w:p w14:paraId="687FCD77">
            <w:pPr>
              <w:spacing w:line="360" w:lineRule="auto"/>
              <w:jc w:val="center"/>
              <w:rPr>
                <w:rFonts w:ascii="仿宋" w:hAnsi="仿宋" w:eastAsia="仿宋" w:cs="仿宋"/>
                <w:color w:val="auto"/>
                <w:sz w:val="24"/>
                <w:szCs w:val="24"/>
                <w:highlight w:val="none"/>
              </w:rPr>
            </w:pPr>
          </w:p>
        </w:tc>
      </w:tr>
      <w:tr w14:paraId="37E7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noWrap w:val="0"/>
            <w:vAlign w:val="top"/>
          </w:tcPr>
          <w:p w14:paraId="0AFC9216">
            <w:pPr>
              <w:spacing w:line="360" w:lineRule="auto"/>
              <w:jc w:val="center"/>
              <w:rPr>
                <w:rFonts w:ascii="仿宋" w:hAnsi="仿宋" w:eastAsia="仿宋" w:cs="仿宋"/>
                <w:color w:val="auto"/>
                <w:sz w:val="24"/>
                <w:szCs w:val="24"/>
                <w:highlight w:val="none"/>
              </w:rPr>
            </w:pPr>
          </w:p>
        </w:tc>
        <w:tc>
          <w:tcPr>
            <w:tcW w:w="3248" w:type="dxa"/>
            <w:noWrap w:val="0"/>
            <w:vAlign w:val="center"/>
          </w:tcPr>
          <w:p w14:paraId="1FD29CDF">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top"/>
          </w:tcPr>
          <w:p w14:paraId="15A535E0">
            <w:pPr>
              <w:spacing w:line="360" w:lineRule="auto"/>
              <w:jc w:val="center"/>
              <w:rPr>
                <w:rFonts w:ascii="仿宋" w:hAnsi="仿宋" w:eastAsia="仿宋" w:cs="仿宋"/>
                <w:color w:val="auto"/>
                <w:sz w:val="24"/>
                <w:szCs w:val="24"/>
                <w:highlight w:val="none"/>
              </w:rPr>
            </w:pPr>
          </w:p>
        </w:tc>
        <w:tc>
          <w:tcPr>
            <w:tcW w:w="2013" w:type="dxa"/>
            <w:noWrap w:val="0"/>
            <w:vAlign w:val="top"/>
          </w:tcPr>
          <w:p w14:paraId="42D1051F">
            <w:pPr>
              <w:spacing w:line="360" w:lineRule="auto"/>
              <w:jc w:val="center"/>
              <w:rPr>
                <w:rFonts w:ascii="仿宋" w:hAnsi="仿宋" w:eastAsia="仿宋" w:cs="仿宋"/>
                <w:color w:val="auto"/>
                <w:sz w:val="24"/>
                <w:szCs w:val="24"/>
                <w:highlight w:val="none"/>
              </w:rPr>
            </w:pPr>
          </w:p>
        </w:tc>
      </w:tr>
      <w:tr w14:paraId="0D91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noWrap w:val="0"/>
            <w:vAlign w:val="top"/>
          </w:tcPr>
          <w:p w14:paraId="7E20ECB0">
            <w:pPr>
              <w:spacing w:line="360" w:lineRule="auto"/>
              <w:jc w:val="center"/>
              <w:rPr>
                <w:rFonts w:ascii="仿宋" w:hAnsi="仿宋" w:eastAsia="仿宋" w:cs="仿宋"/>
                <w:color w:val="auto"/>
                <w:sz w:val="24"/>
                <w:szCs w:val="24"/>
                <w:highlight w:val="none"/>
              </w:rPr>
            </w:pPr>
          </w:p>
        </w:tc>
        <w:tc>
          <w:tcPr>
            <w:tcW w:w="3248" w:type="dxa"/>
            <w:noWrap w:val="0"/>
            <w:vAlign w:val="center"/>
          </w:tcPr>
          <w:p w14:paraId="541BEAA7">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top"/>
          </w:tcPr>
          <w:p w14:paraId="30D797B6">
            <w:pPr>
              <w:spacing w:line="360" w:lineRule="auto"/>
              <w:jc w:val="center"/>
              <w:rPr>
                <w:rFonts w:ascii="仿宋" w:hAnsi="仿宋" w:eastAsia="仿宋" w:cs="仿宋"/>
                <w:color w:val="auto"/>
                <w:sz w:val="24"/>
                <w:szCs w:val="24"/>
                <w:highlight w:val="none"/>
              </w:rPr>
            </w:pPr>
          </w:p>
        </w:tc>
        <w:tc>
          <w:tcPr>
            <w:tcW w:w="2013" w:type="dxa"/>
            <w:noWrap w:val="0"/>
            <w:vAlign w:val="top"/>
          </w:tcPr>
          <w:p w14:paraId="6D030ED2">
            <w:pPr>
              <w:spacing w:line="360" w:lineRule="auto"/>
              <w:jc w:val="center"/>
              <w:rPr>
                <w:rFonts w:ascii="仿宋" w:hAnsi="仿宋" w:eastAsia="仿宋" w:cs="仿宋"/>
                <w:color w:val="auto"/>
                <w:sz w:val="24"/>
                <w:szCs w:val="24"/>
                <w:highlight w:val="none"/>
              </w:rPr>
            </w:pPr>
          </w:p>
        </w:tc>
      </w:tr>
      <w:tr w14:paraId="5AD2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noWrap w:val="0"/>
            <w:vAlign w:val="top"/>
          </w:tcPr>
          <w:p w14:paraId="50D0B61E">
            <w:pPr>
              <w:spacing w:line="360" w:lineRule="auto"/>
              <w:jc w:val="center"/>
              <w:rPr>
                <w:rFonts w:ascii="仿宋" w:hAnsi="仿宋" w:eastAsia="仿宋" w:cs="仿宋"/>
                <w:color w:val="auto"/>
                <w:sz w:val="24"/>
                <w:szCs w:val="24"/>
                <w:highlight w:val="none"/>
              </w:rPr>
            </w:pPr>
          </w:p>
        </w:tc>
        <w:tc>
          <w:tcPr>
            <w:tcW w:w="3248" w:type="dxa"/>
            <w:noWrap w:val="0"/>
            <w:vAlign w:val="center"/>
          </w:tcPr>
          <w:p w14:paraId="487D6028">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noWrap w:val="0"/>
            <w:vAlign w:val="top"/>
          </w:tcPr>
          <w:p w14:paraId="3B4807ED">
            <w:pPr>
              <w:spacing w:line="360" w:lineRule="auto"/>
              <w:jc w:val="center"/>
              <w:rPr>
                <w:rFonts w:ascii="仿宋" w:hAnsi="仿宋" w:eastAsia="仿宋" w:cs="仿宋"/>
                <w:color w:val="auto"/>
                <w:sz w:val="24"/>
                <w:szCs w:val="24"/>
                <w:highlight w:val="none"/>
              </w:rPr>
            </w:pPr>
          </w:p>
        </w:tc>
        <w:tc>
          <w:tcPr>
            <w:tcW w:w="2013" w:type="dxa"/>
            <w:noWrap w:val="0"/>
            <w:vAlign w:val="top"/>
          </w:tcPr>
          <w:p w14:paraId="61B5FDFC">
            <w:pPr>
              <w:spacing w:line="360" w:lineRule="auto"/>
              <w:jc w:val="center"/>
              <w:rPr>
                <w:rFonts w:ascii="仿宋" w:hAnsi="仿宋" w:eastAsia="仿宋" w:cs="仿宋"/>
                <w:color w:val="auto"/>
                <w:sz w:val="24"/>
                <w:szCs w:val="24"/>
                <w:highlight w:val="none"/>
              </w:rPr>
            </w:pPr>
          </w:p>
        </w:tc>
      </w:tr>
    </w:tbl>
    <w:p w14:paraId="52008BF8">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注：偏离情况填写为正偏离、负偏离、无偏离。</w:t>
      </w:r>
    </w:p>
    <w:p w14:paraId="3DCC5962">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应根据自身的商务指标，对照磋商文件中“第三章 采购需求-</w:t>
      </w:r>
      <w:r>
        <w:rPr>
          <w:rFonts w:hint="eastAsia" w:ascii="仿宋" w:hAnsi="仿宋" w:eastAsia="仿宋" w:cs="仿宋"/>
          <w:color w:val="auto"/>
          <w:sz w:val="24"/>
          <w:szCs w:val="24"/>
          <w:highlight w:val="none"/>
          <w:lang w:val="en-US" w:eastAsia="zh-CN"/>
        </w:rPr>
        <w:t>2.服务内容、3</w:t>
      </w:r>
      <w:r>
        <w:rPr>
          <w:rFonts w:hint="eastAsia" w:ascii="仿宋" w:hAnsi="仿宋" w:eastAsia="仿宋" w:cs="仿宋"/>
          <w:color w:val="auto"/>
          <w:sz w:val="24"/>
          <w:szCs w:val="24"/>
          <w:highlight w:val="none"/>
        </w:rPr>
        <w:t>.商务要求”中的各项要求，如实逐条一一对应填写响应情况，如有未响应商务要求，评审小组有权视其为负偏离；</w:t>
      </w:r>
    </w:p>
    <w:p w14:paraId="3EBFA46E">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在“偏离情况”一栏详细描述存在正偏离或负偏离商务指标，并标明偏离情况；</w:t>
      </w:r>
    </w:p>
    <w:p w14:paraId="752A420F">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3、磋商文件商务指标未做要求的，不视为正偏离。</w:t>
      </w:r>
    </w:p>
    <w:p w14:paraId="705D60E7">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4、商务指标不允许负偏离，负偏离视为不响应磋商文件。</w:t>
      </w:r>
    </w:p>
    <w:p w14:paraId="53143471">
      <w:pPr>
        <w:spacing w:line="440" w:lineRule="exact"/>
        <w:rPr>
          <w:rFonts w:ascii="仿宋" w:hAnsi="仿宋" w:eastAsia="仿宋"/>
          <w:color w:val="auto"/>
          <w:sz w:val="24"/>
          <w:szCs w:val="24"/>
          <w:highlight w:val="none"/>
        </w:rPr>
      </w:pPr>
    </w:p>
    <w:p w14:paraId="78548715">
      <w:pPr>
        <w:spacing w:line="440" w:lineRule="exact"/>
        <w:rPr>
          <w:rFonts w:ascii="仿宋" w:hAnsi="仿宋" w:eastAsia="仿宋"/>
          <w:color w:val="auto"/>
          <w:sz w:val="24"/>
          <w:szCs w:val="24"/>
          <w:highlight w:val="none"/>
        </w:rPr>
      </w:pPr>
    </w:p>
    <w:p w14:paraId="7CBCCA10">
      <w:pPr>
        <w:spacing w:line="440" w:lineRule="exact"/>
        <w:rPr>
          <w:rFonts w:ascii="仿宋" w:hAnsi="仿宋" w:eastAsia="仿宋"/>
          <w:color w:val="auto"/>
          <w:sz w:val="24"/>
          <w:szCs w:val="24"/>
          <w:highlight w:val="none"/>
        </w:rPr>
      </w:pPr>
    </w:p>
    <w:p w14:paraId="4C4DCC00">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供应商名称</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43FA0EC">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229AAB15">
      <w:pPr>
        <w:spacing w:line="440" w:lineRule="exact"/>
        <w:ind w:firstLine="4108" w:firstLineChars="1712"/>
        <w:rPr>
          <w:rFonts w:hint="eastAsia" w:ascii="仿宋" w:hAnsi="仿宋" w:eastAsia="仿宋"/>
          <w:color w:val="auto"/>
          <w:sz w:val="24"/>
          <w:szCs w:val="24"/>
          <w:highlight w:val="none"/>
        </w:rPr>
        <w:sectPr>
          <w:footerReference r:id="rId9" w:type="default"/>
          <w:pgSz w:w="11906" w:h="16838"/>
          <w:pgMar w:top="1440" w:right="1440" w:bottom="1440" w:left="1440" w:header="851" w:footer="992" w:gutter="0"/>
          <w:pgNumType w:fmt="decimal"/>
          <w:cols w:space="720" w:num="1"/>
          <w:docGrid w:type="lines" w:linePitch="317" w:charSpace="0"/>
        </w:sect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F3BDDD2">
      <w:pPr>
        <w:spacing w:afterLines="100"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1"/>
          <w:sz w:val="28"/>
          <w:szCs w:val="28"/>
          <w:highlight w:val="none"/>
          <w:lang w:val="en-US" w:eastAsia="zh-CN"/>
        </w:rPr>
        <w:t>六</w:t>
      </w:r>
      <w:r>
        <w:rPr>
          <w:rFonts w:hint="eastAsia" w:ascii="仿宋" w:hAnsi="仿宋" w:eastAsia="仿宋" w:cs="仿宋"/>
          <w:color w:val="auto"/>
          <w:kern w:val="1"/>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基本情况表（附营业执照等）</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50E0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E9064E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7947" w:type="dxa"/>
            <w:gridSpan w:val="6"/>
            <w:noWrap w:val="0"/>
            <w:vAlign w:val="center"/>
          </w:tcPr>
          <w:p w14:paraId="32A80EC5">
            <w:pPr>
              <w:jc w:val="center"/>
              <w:rPr>
                <w:rFonts w:ascii="仿宋" w:hAnsi="仿宋" w:eastAsia="仿宋" w:cs="仿宋"/>
                <w:color w:val="auto"/>
                <w:sz w:val="24"/>
                <w:szCs w:val="24"/>
                <w:highlight w:val="none"/>
              </w:rPr>
            </w:pPr>
          </w:p>
        </w:tc>
      </w:tr>
      <w:tr w14:paraId="79A6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24536C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noWrap w:val="0"/>
            <w:vAlign w:val="center"/>
          </w:tcPr>
          <w:p w14:paraId="02A9459C">
            <w:pPr>
              <w:jc w:val="center"/>
              <w:rPr>
                <w:rFonts w:ascii="仿宋" w:hAnsi="仿宋" w:eastAsia="仿宋" w:cs="仿宋"/>
                <w:color w:val="auto"/>
                <w:sz w:val="24"/>
                <w:szCs w:val="24"/>
                <w:highlight w:val="none"/>
              </w:rPr>
            </w:pPr>
          </w:p>
        </w:tc>
        <w:tc>
          <w:tcPr>
            <w:tcW w:w="1426" w:type="dxa"/>
            <w:noWrap w:val="0"/>
            <w:vAlign w:val="center"/>
          </w:tcPr>
          <w:p w14:paraId="60CF3EA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noWrap w:val="0"/>
            <w:vAlign w:val="center"/>
          </w:tcPr>
          <w:p w14:paraId="6D83B396">
            <w:pPr>
              <w:jc w:val="center"/>
              <w:rPr>
                <w:rFonts w:ascii="仿宋" w:hAnsi="仿宋" w:eastAsia="仿宋" w:cs="仿宋"/>
                <w:color w:val="auto"/>
                <w:sz w:val="24"/>
                <w:szCs w:val="24"/>
                <w:highlight w:val="none"/>
              </w:rPr>
            </w:pPr>
          </w:p>
        </w:tc>
      </w:tr>
      <w:tr w14:paraId="2952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2120FF6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noWrap w:val="0"/>
            <w:vAlign w:val="center"/>
          </w:tcPr>
          <w:p w14:paraId="1EFA417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noWrap w:val="0"/>
            <w:vAlign w:val="center"/>
          </w:tcPr>
          <w:p w14:paraId="634576CD">
            <w:pPr>
              <w:jc w:val="center"/>
              <w:rPr>
                <w:rFonts w:ascii="仿宋" w:hAnsi="仿宋" w:eastAsia="仿宋" w:cs="仿宋"/>
                <w:color w:val="auto"/>
                <w:sz w:val="24"/>
                <w:szCs w:val="24"/>
                <w:highlight w:val="none"/>
              </w:rPr>
            </w:pPr>
          </w:p>
        </w:tc>
        <w:tc>
          <w:tcPr>
            <w:tcW w:w="1426" w:type="dxa"/>
            <w:noWrap w:val="0"/>
            <w:vAlign w:val="center"/>
          </w:tcPr>
          <w:p w14:paraId="0A2FDCA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noWrap w:val="0"/>
            <w:vAlign w:val="center"/>
          </w:tcPr>
          <w:p w14:paraId="74B7182C">
            <w:pPr>
              <w:jc w:val="center"/>
              <w:rPr>
                <w:rFonts w:ascii="仿宋" w:hAnsi="仿宋" w:eastAsia="仿宋" w:cs="仿宋"/>
                <w:color w:val="auto"/>
                <w:sz w:val="24"/>
                <w:szCs w:val="24"/>
                <w:highlight w:val="none"/>
              </w:rPr>
            </w:pPr>
          </w:p>
        </w:tc>
      </w:tr>
      <w:tr w14:paraId="52C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3CB28BB1">
            <w:pPr>
              <w:jc w:val="center"/>
              <w:rPr>
                <w:rFonts w:ascii="仿宋" w:hAnsi="仿宋" w:eastAsia="仿宋" w:cs="仿宋"/>
                <w:color w:val="auto"/>
                <w:sz w:val="24"/>
                <w:szCs w:val="24"/>
                <w:highlight w:val="none"/>
              </w:rPr>
            </w:pPr>
          </w:p>
        </w:tc>
        <w:tc>
          <w:tcPr>
            <w:tcW w:w="1350" w:type="dxa"/>
            <w:noWrap w:val="0"/>
            <w:vAlign w:val="center"/>
          </w:tcPr>
          <w:p w14:paraId="6E08C6B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noWrap w:val="0"/>
            <w:vAlign w:val="center"/>
          </w:tcPr>
          <w:p w14:paraId="3D18CFEB">
            <w:pPr>
              <w:jc w:val="center"/>
              <w:rPr>
                <w:rFonts w:ascii="仿宋" w:hAnsi="仿宋" w:eastAsia="仿宋" w:cs="仿宋"/>
                <w:color w:val="auto"/>
                <w:sz w:val="24"/>
                <w:szCs w:val="24"/>
                <w:highlight w:val="none"/>
              </w:rPr>
            </w:pPr>
          </w:p>
        </w:tc>
        <w:tc>
          <w:tcPr>
            <w:tcW w:w="1426" w:type="dxa"/>
            <w:noWrap w:val="0"/>
            <w:vAlign w:val="center"/>
          </w:tcPr>
          <w:p w14:paraId="732F2B3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noWrap w:val="0"/>
            <w:vAlign w:val="center"/>
          </w:tcPr>
          <w:p w14:paraId="1E1CED91">
            <w:pPr>
              <w:jc w:val="center"/>
              <w:rPr>
                <w:rFonts w:ascii="仿宋" w:hAnsi="仿宋" w:eastAsia="仿宋" w:cs="仿宋"/>
                <w:color w:val="auto"/>
                <w:sz w:val="24"/>
                <w:szCs w:val="24"/>
                <w:highlight w:val="none"/>
              </w:rPr>
            </w:pPr>
          </w:p>
        </w:tc>
      </w:tr>
      <w:tr w14:paraId="131B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1000E4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noWrap w:val="0"/>
            <w:vAlign w:val="center"/>
          </w:tcPr>
          <w:p w14:paraId="0EB83D5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noWrap w:val="0"/>
            <w:vAlign w:val="center"/>
          </w:tcPr>
          <w:p w14:paraId="5E2B4655">
            <w:pPr>
              <w:jc w:val="center"/>
              <w:rPr>
                <w:rFonts w:ascii="仿宋" w:hAnsi="仿宋" w:eastAsia="仿宋" w:cs="仿宋"/>
                <w:color w:val="auto"/>
                <w:sz w:val="24"/>
                <w:szCs w:val="24"/>
                <w:highlight w:val="none"/>
              </w:rPr>
            </w:pPr>
          </w:p>
        </w:tc>
        <w:tc>
          <w:tcPr>
            <w:tcW w:w="1406" w:type="dxa"/>
            <w:noWrap w:val="0"/>
            <w:vAlign w:val="center"/>
          </w:tcPr>
          <w:p w14:paraId="311C57B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noWrap w:val="0"/>
            <w:vAlign w:val="center"/>
          </w:tcPr>
          <w:p w14:paraId="160C5E05">
            <w:pPr>
              <w:jc w:val="center"/>
              <w:rPr>
                <w:rFonts w:ascii="仿宋" w:hAnsi="仿宋" w:eastAsia="仿宋" w:cs="仿宋"/>
                <w:color w:val="auto"/>
                <w:sz w:val="24"/>
                <w:szCs w:val="24"/>
                <w:highlight w:val="none"/>
              </w:rPr>
            </w:pPr>
          </w:p>
        </w:tc>
        <w:tc>
          <w:tcPr>
            <w:tcW w:w="1059" w:type="dxa"/>
            <w:noWrap w:val="0"/>
            <w:vAlign w:val="center"/>
          </w:tcPr>
          <w:p w14:paraId="22AA162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noWrap w:val="0"/>
            <w:vAlign w:val="center"/>
          </w:tcPr>
          <w:p w14:paraId="1C3B85E3">
            <w:pPr>
              <w:jc w:val="center"/>
              <w:rPr>
                <w:rFonts w:ascii="仿宋" w:hAnsi="仿宋" w:eastAsia="仿宋" w:cs="仿宋"/>
                <w:color w:val="auto"/>
                <w:sz w:val="24"/>
                <w:szCs w:val="24"/>
                <w:highlight w:val="none"/>
              </w:rPr>
            </w:pPr>
          </w:p>
        </w:tc>
      </w:tr>
      <w:tr w14:paraId="5C52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76F820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noWrap w:val="0"/>
            <w:vAlign w:val="center"/>
          </w:tcPr>
          <w:p w14:paraId="110A0F6D">
            <w:pPr>
              <w:jc w:val="center"/>
              <w:rPr>
                <w:rFonts w:ascii="仿宋" w:hAnsi="仿宋" w:eastAsia="仿宋" w:cs="仿宋"/>
                <w:color w:val="auto"/>
                <w:sz w:val="24"/>
                <w:szCs w:val="24"/>
                <w:highlight w:val="none"/>
              </w:rPr>
            </w:pPr>
          </w:p>
        </w:tc>
      </w:tr>
      <w:tr w14:paraId="2F8D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84B528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noWrap w:val="0"/>
            <w:vAlign w:val="center"/>
          </w:tcPr>
          <w:p w14:paraId="60D7CE9D">
            <w:pPr>
              <w:jc w:val="center"/>
              <w:rPr>
                <w:rFonts w:ascii="仿宋" w:hAnsi="仿宋" w:eastAsia="仿宋" w:cs="仿宋"/>
                <w:color w:val="auto"/>
                <w:sz w:val="24"/>
                <w:szCs w:val="24"/>
                <w:highlight w:val="none"/>
              </w:rPr>
            </w:pPr>
          </w:p>
        </w:tc>
        <w:tc>
          <w:tcPr>
            <w:tcW w:w="1406" w:type="dxa"/>
            <w:vMerge w:val="restart"/>
            <w:noWrap w:val="0"/>
            <w:vAlign w:val="center"/>
          </w:tcPr>
          <w:p w14:paraId="356A37B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noWrap w:val="0"/>
            <w:vAlign w:val="center"/>
          </w:tcPr>
          <w:p w14:paraId="3B06C094">
            <w:pPr>
              <w:jc w:val="center"/>
              <w:rPr>
                <w:rFonts w:ascii="仿宋" w:hAnsi="仿宋" w:eastAsia="仿宋" w:cs="仿宋"/>
                <w:color w:val="auto"/>
                <w:sz w:val="24"/>
                <w:szCs w:val="24"/>
                <w:highlight w:val="none"/>
              </w:rPr>
            </w:pPr>
          </w:p>
        </w:tc>
        <w:tc>
          <w:tcPr>
            <w:tcW w:w="2627" w:type="dxa"/>
            <w:gridSpan w:val="2"/>
            <w:noWrap w:val="0"/>
            <w:vAlign w:val="center"/>
          </w:tcPr>
          <w:p w14:paraId="798B3C51">
            <w:pPr>
              <w:jc w:val="center"/>
              <w:rPr>
                <w:rFonts w:ascii="仿宋" w:hAnsi="仿宋" w:eastAsia="仿宋" w:cs="仿宋"/>
                <w:color w:val="auto"/>
                <w:sz w:val="24"/>
                <w:szCs w:val="24"/>
                <w:highlight w:val="none"/>
              </w:rPr>
            </w:pPr>
          </w:p>
        </w:tc>
      </w:tr>
      <w:tr w14:paraId="0CC2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CAAC24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noWrap w:val="0"/>
            <w:vAlign w:val="center"/>
          </w:tcPr>
          <w:p w14:paraId="51298144">
            <w:pPr>
              <w:jc w:val="center"/>
              <w:rPr>
                <w:rFonts w:ascii="仿宋" w:hAnsi="仿宋" w:eastAsia="仿宋" w:cs="仿宋"/>
                <w:color w:val="auto"/>
                <w:sz w:val="24"/>
                <w:szCs w:val="24"/>
                <w:highlight w:val="none"/>
              </w:rPr>
            </w:pPr>
          </w:p>
        </w:tc>
        <w:tc>
          <w:tcPr>
            <w:tcW w:w="1406" w:type="dxa"/>
            <w:vMerge w:val="continue"/>
            <w:noWrap w:val="0"/>
            <w:vAlign w:val="center"/>
          </w:tcPr>
          <w:p w14:paraId="2D846729">
            <w:pPr>
              <w:jc w:val="center"/>
              <w:rPr>
                <w:rFonts w:ascii="仿宋" w:hAnsi="仿宋" w:eastAsia="仿宋" w:cs="仿宋"/>
                <w:color w:val="auto"/>
                <w:sz w:val="24"/>
                <w:szCs w:val="24"/>
                <w:highlight w:val="none"/>
              </w:rPr>
            </w:pPr>
          </w:p>
        </w:tc>
        <w:tc>
          <w:tcPr>
            <w:tcW w:w="1426" w:type="dxa"/>
            <w:noWrap w:val="0"/>
            <w:vAlign w:val="center"/>
          </w:tcPr>
          <w:p w14:paraId="2539D5FE">
            <w:pPr>
              <w:jc w:val="center"/>
              <w:rPr>
                <w:rFonts w:ascii="仿宋" w:hAnsi="仿宋" w:eastAsia="仿宋" w:cs="仿宋"/>
                <w:color w:val="auto"/>
                <w:sz w:val="24"/>
                <w:szCs w:val="24"/>
                <w:highlight w:val="none"/>
              </w:rPr>
            </w:pPr>
          </w:p>
        </w:tc>
        <w:tc>
          <w:tcPr>
            <w:tcW w:w="2627" w:type="dxa"/>
            <w:gridSpan w:val="2"/>
            <w:noWrap w:val="0"/>
            <w:vAlign w:val="center"/>
          </w:tcPr>
          <w:p w14:paraId="5F8C7FB1">
            <w:pPr>
              <w:jc w:val="center"/>
              <w:rPr>
                <w:rFonts w:ascii="仿宋" w:hAnsi="仿宋" w:eastAsia="仿宋" w:cs="仿宋"/>
                <w:color w:val="auto"/>
                <w:sz w:val="24"/>
                <w:szCs w:val="24"/>
                <w:highlight w:val="none"/>
              </w:rPr>
            </w:pPr>
          </w:p>
        </w:tc>
      </w:tr>
      <w:tr w14:paraId="06D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98A4B2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noWrap w:val="0"/>
            <w:vAlign w:val="center"/>
          </w:tcPr>
          <w:p w14:paraId="11738BE1">
            <w:pPr>
              <w:jc w:val="center"/>
              <w:rPr>
                <w:rFonts w:ascii="仿宋" w:hAnsi="仿宋" w:eastAsia="仿宋" w:cs="仿宋"/>
                <w:color w:val="auto"/>
                <w:sz w:val="24"/>
                <w:szCs w:val="24"/>
                <w:highlight w:val="none"/>
              </w:rPr>
            </w:pPr>
          </w:p>
        </w:tc>
        <w:tc>
          <w:tcPr>
            <w:tcW w:w="1406" w:type="dxa"/>
            <w:vMerge w:val="continue"/>
            <w:noWrap w:val="0"/>
            <w:vAlign w:val="center"/>
          </w:tcPr>
          <w:p w14:paraId="599D1745">
            <w:pPr>
              <w:jc w:val="center"/>
              <w:rPr>
                <w:rFonts w:ascii="仿宋" w:hAnsi="仿宋" w:eastAsia="仿宋" w:cs="仿宋"/>
                <w:color w:val="auto"/>
                <w:sz w:val="24"/>
                <w:szCs w:val="24"/>
                <w:highlight w:val="none"/>
              </w:rPr>
            </w:pPr>
          </w:p>
        </w:tc>
        <w:tc>
          <w:tcPr>
            <w:tcW w:w="1426" w:type="dxa"/>
            <w:noWrap w:val="0"/>
            <w:vAlign w:val="center"/>
          </w:tcPr>
          <w:p w14:paraId="54DF3D1E">
            <w:pPr>
              <w:jc w:val="center"/>
              <w:rPr>
                <w:rFonts w:ascii="仿宋" w:hAnsi="仿宋" w:eastAsia="仿宋" w:cs="仿宋"/>
                <w:color w:val="auto"/>
                <w:sz w:val="24"/>
                <w:szCs w:val="24"/>
                <w:highlight w:val="none"/>
              </w:rPr>
            </w:pPr>
          </w:p>
        </w:tc>
        <w:tc>
          <w:tcPr>
            <w:tcW w:w="2627" w:type="dxa"/>
            <w:gridSpan w:val="2"/>
            <w:noWrap w:val="0"/>
            <w:vAlign w:val="center"/>
          </w:tcPr>
          <w:p w14:paraId="18B89A51">
            <w:pPr>
              <w:jc w:val="center"/>
              <w:rPr>
                <w:rFonts w:ascii="仿宋" w:hAnsi="仿宋" w:eastAsia="仿宋" w:cs="仿宋"/>
                <w:color w:val="auto"/>
                <w:sz w:val="24"/>
                <w:szCs w:val="24"/>
                <w:highlight w:val="none"/>
              </w:rPr>
            </w:pPr>
          </w:p>
        </w:tc>
      </w:tr>
      <w:tr w14:paraId="125B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B146A8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noWrap w:val="0"/>
            <w:vAlign w:val="center"/>
          </w:tcPr>
          <w:p w14:paraId="2E801B0D">
            <w:pPr>
              <w:jc w:val="center"/>
              <w:rPr>
                <w:rFonts w:ascii="仿宋" w:hAnsi="仿宋" w:eastAsia="仿宋" w:cs="仿宋"/>
                <w:color w:val="auto"/>
                <w:sz w:val="24"/>
                <w:szCs w:val="24"/>
                <w:highlight w:val="none"/>
              </w:rPr>
            </w:pPr>
          </w:p>
        </w:tc>
        <w:tc>
          <w:tcPr>
            <w:tcW w:w="1406" w:type="dxa"/>
            <w:vMerge w:val="continue"/>
            <w:noWrap w:val="0"/>
            <w:vAlign w:val="center"/>
          </w:tcPr>
          <w:p w14:paraId="71559612">
            <w:pPr>
              <w:jc w:val="center"/>
              <w:rPr>
                <w:rFonts w:ascii="仿宋" w:hAnsi="仿宋" w:eastAsia="仿宋" w:cs="仿宋"/>
                <w:color w:val="auto"/>
                <w:sz w:val="24"/>
                <w:szCs w:val="24"/>
                <w:highlight w:val="none"/>
              </w:rPr>
            </w:pPr>
          </w:p>
        </w:tc>
        <w:tc>
          <w:tcPr>
            <w:tcW w:w="1426" w:type="dxa"/>
            <w:noWrap w:val="0"/>
            <w:vAlign w:val="center"/>
          </w:tcPr>
          <w:p w14:paraId="3E36F5FD">
            <w:pPr>
              <w:jc w:val="center"/>
              <w:rPr>
                <w:rFonts w:ascii="仿宋" w:hAnsi="仿宋" w:eastAsia="仿宋" w:cs="仿宋"/>
                <w:color w:val="auto"/>
                <w:sz w:val="24"/>
                <w:szCs w:val="24"/>
                <w:highlight w:val="none"/>
              </w:rPr>
            </w:pPr>
          </w:p>
        </w:tc>
        <w:tc>
          <w:tcPr>
            <w:tcW w:w="2627" w:type="dxa"/>
            <w:gridSpan w:val="2"/>
            <w:noWrap w:val="0"/>
            <w:vAlign w:val="center"/>
          </w:tcPr>
          <w:p w14:paraId="669442E2">
            <w:pPr>
              <w:jc w:val="center"/>
              <w:rPr>
                <w:rFonts w:ascii="仿宋" w:hAnsi="仿宋" w:eastAsia="仿宋" w:cs="仿宋"/>
                <w:color w:val="auto"/>
                <w:sz w:val="24"/>
                <w:szCs w:val="24"/>
                <w:highlight w:val="none"/>
              </w:rPr>
            </w:pPr>
          </w:p>
        </w:tc>
      </w:tr>
      <w:tr w14:paraId="6634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7282E32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noWrap w:val="0"/>
            <w:vAlign w:val="center"/>
          </w:tcPr>
          <w:p w14:paraId="5F6286AE">
            <w:pPr>
              <w:rPr>
                <w:rFonts w:ascii="仿宋" w:hAnsi="仿宋" w:eastAsia="仿宋" w:cs="仿宋"/>
                <w:color w:val="auto"/>
                <w:sz w:val="24"/>
                <w:szCs w:val="24"/>
                <w:highlight w:val="none"/>
              </w:rPr>
            </w:pPr>
          </w:p>
        </w:tc>
      </w:tr>
      <w:tr w14:paraId="2C56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5F931A5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noWrap w:val="0"/>
            <w:vAlign w:val="center"/>
          </w:tcPr>
          <w:p w14:paraId="68CCF856">
            <w:pPr>
              <w:rPr>
                <w:rFonts w:ascii="仿宋" w:hAnsi="仿宋" w:eastAsia="仿宋" w:cs="仿宋"/>
                <w:color w:val="auto"/>
                <w:sz w:val="24"/>
                <w:szCs w:val="24"/>
                <w:highlight w:val="none"/>
              </w:rPr>
            </w:pPr>
          </w:p>
        </w:tc>
      </w:tr>
    </w:tbl>
    <w:p w14:paraId="6C0406CB">
      <w:pPr>
        <w:spacing w:beforeLines="5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注：本表后应附企业法人营业执照、开户许可证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社保明细、完税证明</w:t>
      </w:r>
      <w:r>
        <w:rPr>
          <w:rFonts w:hint="eastAsia" w:ascii="仿宋" w:hAnsi="仿宋" w:eastAsia="仿宋" w:cs="仿宋"/>
          <w:b/>
          <w:bCs/>
          <w:color w:val="auto"/>
          <w:sz w:val="24"/>
          <w:szCs w:val="24"/>
          <w:highlight w:val="none"/>
        </w:rPr>
        <w:t>等相关材料的复印件。（</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可根据本表自行编制）</w:t>
      </w:r>
    </w:p>
    <w:p w14:paraId="1D910072">
      <w:pPr>
        <w:spacing w:before="100" w:beforeAutospacing="1" w:after="100" w:afterAutospacing="1" w:line="440" w:lineRule="exact"/>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br w:type="page"/>
      </w: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28"/>
          <w:szCs w:val="28"/>
          <w:highlight w:val="none"/>
        </w:rPr>
        <w:t>财务状况</w:t>
      </w:r>
    </w:p>
    <w:p w14:paraId="1AA257B9">
      <w:pPr>
        <w:numPr>
          <w:ilvl w:val="0"/>
          <w:numId w:val="0"/>
        </w:numPr>
        <w:spacing w:before="100" w:beforeAutospacing="1" w:after="100" w:afterAutospacing="1" w:line="440" w:lineRule="exact"/>
        <w:jc w:val="both"/>
        <w:rPr>
          <w:rFonts w:hint="eastAsia" w:ascii="仿宋" w:hAnsi="仿宋" w:eastAsia="仿宋" w:cs="仿宋"/>
          <w:color w:val="auto"/>
          <w:kern w:val="1"/>
          <w:sz w:val="28"/>
          <w:szCs w:val="28"/>
          <w:highlight w:val="none"/>
          <w:lang w:val="en-US" w:eastAsia="zh-CN"/>
        </w:rPr>
        <w:sectPr>
          <w:pgSz w:w="11906" w:h="16838"/>
          <w:pgMar w:top="1440" w:right="1440" w:bottom="1440" w:left="1440" w:header="851" w:footer="992" w:gutter="0"/>
          <w:pgNumType w:fmt="decimal"/>
          <w:cols w:space="720" w:num="1"/>
          <w:docGrid w:type="lines" w:linePitch="317" w:charSpace="0"/>
        </w:sectPr>
      </w:pPr>
    </w:p>
    <w:p w14:paraId="56EB73A2">
      <w:pPr>
        <w:spacing w:line="440" w:lineRule="exact"/>
        <w:jc w:val="center"/>
        <w:rPr>
          <w:rFonts w:hint="default" w:ascii="仿宋" w:hAnsi="仿宋" w:eastAsia="仿宋"/>
          <w:color w:val="auto"/>
          <w:sz w:val="24"/>
          <w:szCs w:val="24"/>
          <w:highlight w:val="none"/>
          <w:lang w:val="en-US"/>
        </w:rPr>
      </w:pPr>
      <w:r>
        <w:rPr>
          <w:rFonts w:hint="eastAsia" w:ascii="仿宋" w:hAnsi="仿宋" w:eastAsia="仿宋" w:cs="仿宋"/>
          <w:b w:val="0"/>
          <w:bCs w:val="0"/>
          <w:color w:val="auto"/>
          <w:kern w:val="2"/>
          <w:sz w:val="28"/>
          <w:szCs w:val="28"/>
          <w:highlight w:val="none"/>
          <w:lang w:val="en-US" w:eastAsia="zh-CN" w:bidi="ar-SA"/>
        </w:rPr>
        <w:t>八、技术文件</w:t>
      </w:r>
    </w:p>
    <w:p w14:paraId="7264E2C7">
      <w:pPr>
        <w:spacing w:before="100" w:beforeAutospacing="1" w:after="100" w:afterAutospacing="1" w:line="440" w:lineRule="exact"/>
        <w:jc w:val="center"/>
        <w:rPr>
          <w:rFonts w:hint="eastAsia" w:ascii="仿宋" w:hAnsi="仿宋" w:eastAsia="仿宋" w:cs="仿宋"/>
          <w:color w:val="auto"/>
          <w:kern w:val="1"/>
          <w:sz w:val="28"/>
          <w:szCs w:val="28"/>
          <w:highlight w:val="none"/>
        </w:rPr>
      </w:pPr>
    </w:p>
    <w:p w14:paraId="67C1C1A3">
      <w:pPr>
        <w:spacing w:before="100" w:beforeAutospacing="1" w:after="100" w:afterAutospacing="1" w:line="440" w:lineRule="exact"/>
        <w:jc w:val="center"/>
        <w:rPr>
          <w:rFonts w:hint="eastAsia" w:ascii="仿宋" w:hAnsi="仿宋" w:eastAsia="仿宋" w:cs="仿宋"/>
          <w:color w:val="auto"/>
          <w:kern w:val="1"/>
          <w:sz w:val="28"/>
          <w:szCs w:val="28"/>
          <w:highlight w:val="none"/>
        </w:rPr>
      </w:pPr>
    </w:p>
    <w:p w14:paraId="35116D40">
      <w:pPr>
        <w:spacing w:before="100" w:beforeAutospacing="1" w:after="100" w:afterAutospacing="1" w:line="440" w:lineRule="exact"/>
        <w:rPr>
          <w:rFonts w:ascii="仿宋" w:hAnsi="仿宋" w:eastAsia="仿宋" w:cs="仿宋"/>
          <w:color w:val="auto"/>
          <w:kern w:val="1"/>
          <w:sz w:val="24"/>
          <w:szCs w:val="24"/>
          <w:highlight w:val="none"/>
        </w:rPr>
      </w:pPr>
    </w:p>
    <w:p w14:paraId="234872D6">
      <w:pPr>
        <w:spacing w:line="440" w:lineRule="exact"/>
        <w:rPr>
          <w:rFonts w:ascii="仿宋" w:hAnsi="仿宋" w:eastAsia="仿宋"/>
          <w:color w:val="auto"/>
          <w:sz w:val="24"/>
          <w:szCs w:val="24"/>
          <w:highlight w:val="none"/>
        </w:rPr>
      </w:pPr>
    </w:p>
    <w:p w14:paraId="6D234FD5">
      <w:pPr>
        <w:spacing w:before="100" w:beforeAutospacing="1" w:after="100" w:afterAutospacing="1" w:line="440" w:lineRule="exact"/>
        <w:rPr>
          <w:rFonts w:ascii="仿宋" w:hAnsi="仿宋" w:eastAsia="仿宋" w:cs="仿宋"/>
          <w:color w:val="auto"/>
          <w:kern w:val="1"/>
          <w:sz w:val="24"/>
          <w:szCs w:val="24"/>
          <w:highlight w:val="none"/>
        </w:rPr>
        <w:sectPr>
          <w:pgSz w:w="11906" w:h="16838"/>
          <w:pgMar w:top="1440" w:right="1440" w:bottom="1440" w:left="1440" w:header="851" w:footer="992" w:gutter="0"/>
          <w:pgNumType w:fmt="decimal"/>
          <w:cols w:space="720" w:num="1"/>
          <w:docGrid w:type="lines" w:linePitch="317" w:charSpace="0"/>
        </w:sectPr>
      </w:pPr>
    </w:p>
    <w:p w14:paraId="4593E4F2">
      <w:pPr>
        <w:spacing w:before="100" w:beforeAutospacing="1" w:after="100" w:afterAutospacing="1" w:line="440" w:lineRule="exact"/>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olor w:val="auto"/>
          <w:sz w:val="28"/>
          <w:szCs w:val="28"/>
          <w:highlight w:val="none"/>
        </w:rPr>
        <w:t>、在经营活动中没有重大违法记录的书面声明</w:t>
      </w:r>
    </w:p>
    <w:p w14:paraId="21FF2251">
      <w:pPr>
        <w:spacing w:line="440" w:lineRule="exact"/>
        <w:jc w:val="center"/>
        <w:rPr>
          <w:rFonts w:ascii="仿宋" w:hAnsi="仿宋" w:eastAsia="仿宋"/>
          <w:color w:val="auto"/>
          <w:sz w:val="24"/>
          <w:szCs w:val="24"/>
          <w:highlight w:val="none"/>
        </w:rPr>
      </w:pPr>
    </w:p>
    <w:p w14:paraId="21349CF6">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我方在参加</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（项目名称）政府采购活动前3年内，我方被公开披露或查处的违法违规行为有：</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，但在经营活动中没有重大违法记录（重大违法记录指</w:t>
      </w:r>
      <w:r>
        <w:rPr>
          <w:rFonts w:hint="eastAsia" w:ascii="仿宋" w:hAnsi="仿宋" w:eastAsia="仿宋" w:cs="宋体"/>
          <w:color w:val="auto"/>
          <w:kern w:val="0"/>
          <w:sz w:val="24"/>
          <w:szCs w:val="24"/>
          <w:highlight w:val="none"/>
          <w:lang w:eastAsia="zh-CN"/>
        </w:rPr>
        <w:t>供应商</w:t>
      </w:r>
      <w:r>
        <w:rPr>
          <w:rFonts w:hint="eastAsia" w:ascii="仿宋" w:hAnsi="仿宋" w:eastAsia="仿宋" w:cs="宋体"/>
          <w:color w:val="auto"/>
          <w:kern w:val="0"/>
          <w:sz w:val="24"/>
          <w:szCs w:val="24"/>
          <w:highlight w:val="none"/>
        </w:rPr>
        <w:t>因违法经营受到刑事处罚或者责令停产停业、吊销许可证或者执照、较大数额罚款等行政处罚）</w:t>
      </w:r>
      <w:r>
        <w:rPr>
          <w:rFonts w:hint="eastAsia" w:ascii="仿宋" w:hAnsi="仿宋" w:eastAsia="仿宋"/>
          <w:color w:val="auto"/>
          <w:sz w:val="24"/>
          <w:szCs w:val="24"/>
          <w:highlight w:val="none"/>
        </w:rPr>
        <w:t>。</w:t>
      </w:r>
    </w:p>
    <w:p w14:paraId="484C91E6">
      <w:pPr>
        <w:spacing w:line="440" w:lineRule="exact"/>
        <w:ind w:firstLine="480" w:firstLineChars="200"/>
        <w:rPr>
          <w:rFonts w:ascii="仿宋" w:hAnsi="仿宋" w:eastAsia="仿宋"/>
          <w:color w:val="auto"/>
          <w:sz w:val="24"/>
          <w:szCs w:val="24"/>
          <w:highlight w:val="none"/>
        </w:rPr>
      </w:pPr>
    </w:p>
    <w:p w14:paraId="74334204">
      <w:pPr>
        <w:spacing w:line="440" w:lineRule="exact"/>
        <w:ind w:firstLine="480" w:firstLineChars="200"/>
        <w:rPr>
          <w:rFonts w:ascii="仿宋" w:hAnsi="仿宋" w:eastAsia="仿宋"/>
          <w:color w:val="auto"/>
          <w:sz w:val="24"/>
          <w:szCs w:val="24"/>
          <w:highlight w:val="none"/>
        </w:rPr>
      </w:pPr>
    </w:p>
    <w:p w14:paraId="0935144E">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供应商名称</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262CDFC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372DEF77">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4A15FEA3">
      <w:pPr>
        <w:spacing w:line="440" w:lineRule="exact"/>
        <w:ind w:firstLine="480" w:firstLineChars="200"/>
        <w:rPr>
          <w:rFonts w:ascii="仿宋" w:hAnsi="仿宋" w:eastAsia="仿宋"/>
          <w:color w:val="auto"/>
          <w:sz w:val="24"/>
          <w:szCs w:val="24"/>
          <w:highlight w:val="none"/>
        </w:rPr>
      </w:pPr>
    </w:p>
    <w:p w14:paraId="6933E742">
      <w:pPr>
        <w:spacing w:line="440" w:lineRule="exact"/>
        <w:ind w:firstLine="480" w:firstLineChars="200"/>
        <w:rPr>
          <w:rFonts w:ascii="仿宋" w:hAnsi="仿宋" w:eastAsia="仿宋"/>
          <w:color w:val="auto"/>
          <w:sz w:val="24"/>
          <w:szCs w:val="24"/>
          <w:highlight w:val="none"/>
        </w:rPr>
      </w:pPr>
    </w:p>
    <w:p w14:paraId="46487336">
      <w:pPr>
        <w:spacing w:line="440" w:lineRule="exact"/>
        <w:ind w:firstLine="480" w:firstLineChars="200"/>
        <w:rPr>
          <w:rFonts w:ascii="仿宋" w:hAnsi="仿宋" w:eastAsia="仿宋"/>
          <w:color w:val="auto"/>
          <w:sz w:val="24"/>
          <w:szCs w:val="24"/>
          <w:highlight w:val="none"/>
        </w:rPr>
      </w:pPr>
    </w:p>
    <w:p w14:paraId="6738005E">
      <w:pPr>
        <w:spacing w:line="440" w:lineRule="exact"/>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备注：</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没有被公开披露或查处违法违规行为的，注明“无”即可。</w:t>
      </w:r>
    </w:p>
    <w:p w14:paraId="1F300B14">
      <w:pPr>
        <w:widowControl/>
        <w:autoSpaceDE w:val="0"/>
        <w:autoSpaceDN w:val="0"/>
        <w:adjustRightInd w:val="0"/>
        <w:spacing w:line="440" w:lineRule="exact"/>
        <w:ind w:right="-481"/>
        <w:jc w:val="left"/>
        <w:rPr>
          <w:rStyle w:val="100"/>
          <w:color w:val="auto"/>
          <w:sz w:val="24"/>
          <w:szCs w:val="24"/>
          <w:highlight w:val="none"/>
        </w:rPr>
      </w:pPr>
    </w:p>
    <w:p w14:paraId="25732EA3">
      <w:pPr>
        <w:jc w:val="center"/>
        <w:rPr>
          <w:rStyle w:val="100"/>
          <w:rFonts w:hint="eastAsia"/>
          <w:color w:val="auto"/>
          <w:sz w:val="24"/>
          <w:szCs w:val="24"/>
          <w:highlight w:val="none"/>
        </w:rPr>
      </w:pPr>
      <w:r>
        <w:rPr>
          <w:rFonts w:ascii="仿宋" w:hAnsi="仿宋" w:eastAsia="仿宋"/>
          <w:color w:val="auto"/>
          <w:kern w:val="1"/>
          <w:sz w:val="24"/>
          <w:szCs w:val="24"/>
          <w:highlight w:val="none"/>
        </w:rPr>
        <w:br w:type="page"/>
      </w:r>
      <w:r>
        <w:rPr>
          <w:rFonts w:hint="eastAsia" w:ascii="仿宋" w:hAnsi="仿宋" w:eastAsia="仿宋" w:cs="宋体"/>
          <w:color w:val="auto"/>
          <w:kern w:val="1"/>
          <w:sz w:val="28"/>
          <w:szCs w:val="28"/>
          <w:highlight w:val="none"/>
          <w:lang w:val="en-US" w:eastAsia="zh-CN"/>
        </w:rPr>
        <w:t>十、</w:t>
      </w:r>
      <w:r>
        <w:rPr>
          <w:rFonts w:hint="eastAsia" w:ascii="仿宋" w:hAnsi="仿宋" w:eastAsia="仿宋" w:cs="宋体"/>
          <w:color w:val="auto"/>
          <w:kern w:val="1"/>
          <w:sz w:val="28"/>
          <w:szCs w:val="28"/>
          <w:highlight w:val="none"/>
        </w:rPr>
        <w:t>其他资料</w:t>
      </w:r>
    </w:p>
    <w:p w14:paraId="07C5CE3A">
      <w:pPr>
        <w:widowControl/>
        <w:autoSpaceDE w:val="0"/>
        <w:autoSpaceDN w:val="0"/>
        <w:adjustRightInd w:val="0"/>
        <w:spacing w:line="440" w:lineRule="exact"/>
        <w:ind w:firstLine="504"/>
        <w:rPr>
          <w:rFonts w:ascii="仿宋" w:hAnsi="仿宋" w:eastAsia="仿宋"/>
          <w:b/>
          <w:bCs/>
          <w:color w:val="auto"/>
          <w:kern w:val="1"/>
          <w:sz w:val="24"/>
          <w:szCs w:val="24"/>
          <w:highlight w:val="none"/>
        </w:rPr>
      </w:pPr>
      <w:r>
        <w:rPr>
          <w:rStyle w:val="100"/>
          <w:rFonts w:hint="eastAsia"/>
          <w:color w:val="auto"/>
          <w:sz w:val="24"/>
          <w:szCs w:val="24"/>
          <w:highlight w:val="none"/>
        </w:rPr>
        <w:t>（中小微企业、节能、环保等其他资料，投标单位可自拟）</w:t>
      </w:r>
    </w:p>
    <w:p w14:paraId="7BCC9CE8">
      <w:pPr>
        <w:spacing w:before="119" w:line="319" w:lineRule="auto"/>
        <w:ind w:right="1662"/>
        <w:jc w:val="center"/>
        <w:rPr>
          <w:rFonts w:ascii="仿宋" w:hAnsi="仿宋" w:eastAsia="仿宋" w:cs="仿宋"/>
          <w:color w:val="auto"/>
          <w:spacing w:val="-3"/>
          <w:sz w:val="28"/>
          <w:szCs w:val="28"/>
          <w:highlight w:val="none"/>
        </w:rPr>
      </w:pPr>
      <w:r>
        <w:rPr>
          <w:rFonts w:hint="eastAsia" w:ascii="仿宋" w:hAnsi="仿宋" w:eastAsia="仿宋" w:cs="仿宋"/>
          <w:color w:val="auto"/>
          <w:spacing w:val="-6"/>
          <w:sz w:val="28"/>
          <w:szCs w:val="28"/>
          <w:highlight w:val="none"/>
          <w:lang w:val="en-US" w:eastAsia="zh-CN"/>
        </w:rPr>
        <w:t xml:space="preserve">               </w:t>
      </w:r>
      <w:r>
        <w:rPr>
          <w:rFonts w:ascii="仿宋" w:hAnsi="仿宋" w:eastAsia="仿宋" w:cs="仿宋"/>
          <w:color w:val="auto"/>
          <w:spacing w:val="-6"/>
          <w:sz w:val="28"/>
          <w:szCs w:val="28"/>
          <w:highlight w:val="none"/>
        </w:rPr>
        <w:t>中小</w:t>
      </w:r>
      <w:r>
        <w:rPr>
          <w:rFonts w:ascii="仿宋" w:hAnsi="仿宋" w:eastAsia="仿宋" w:cs="仿宋"/>
          <w:color w:val="auto"/>
          <w:spacing w:val="-4"/>
          <w:sz w:val="28"/>
          <w:szCs w:val="28"/>
          <w:highlight w:val="none"/>
        </w:rPr>
        <w:t>企</w:t>
      </w:r>
      <w:r>
        <w:rPr>
          <w:rFonts w:ascii="仿宋" w:hAnsi="仿宋" w:eastAsia="仿宋" w:cs="仿宋"/>
          <w:color w:val="auto"/>
          <w:spacing w:val="-3"/>
          <w:sz w:val="28"/>
          <w:szCs w:val="28"/>
          <w:highlight w:val="none"/>
        </w:rPr>
        <w:t>业声明函 (服务)</w:t>
      </w:r>
    </w:p>
    <w:p w14:paraId="3EF43EDD">
      <w:pPr>
        <w:spacing w:before="64" w:line="353" w:lineRule="auto"/>
        <w:ind w:right="79" w:firstLine="484" w:firstLineChars="200"/>
        <w:rPr>
          <w:rFonts w:ascii="仿宋" w:hAnsi="仿宋" w:eastAsia="仿宋" w:cs="仿宋"/>
          <w:color w:val="auto"/>
          <w:spacing w:val="6"/>
          <w:sz w:val="23"/>
          <w:szCs w:val="23"/>
          <w:highlight w:val="none"/>
        </w:rPr>
      </w:pPr>
      <w:r>
        <w:rPr>
          <w:rFonts w:ascii="仿宋" w:hAnsi="仿宋" w:eastAsia="仿宋" w:cs="仿宋"/>
          <w:color w:val="auto"/>
          <w:spacing w:val="6"/>
          <w:sz w:val="23"/>
          <w:szCs w:val="23"/>
          <w:highlight w:val="none"/>
        </w:rPr>
        <w:t>本公司 (联合体) 郑重声明，根据《政府采购促进中小企业发展管理办法》(财库 ﹝ 2020 ﹞ 46 号) 的规定，本公司 (联合体) 参加 (单位名称) 的 (项目 名称) 采购活动，工程的施工单位全部为符合政策要求的中小企业 (或者：服务 全部由符合政策要求的中小企业承接) 。相关企业 (含联合体中的中小企业、签 订分包意向协议的中小企业)  的具体情况如下：</w:t>
      </w:r>
    </w:p>
    <w:p w14:paraId="02E80C0A">
      <w:pPr>
        <w:spacing w:line="229" w:lineRule="auto"/>
        <w:ind w:left="505"/>
        <w:rPr>
          <w:rFonts w:ascii="仿宋" w:hAnsi="仿宋" w:eastAsia="仿宋" w:cs="仿宋"/>
          <w:color w:val="auto"/>
          <w:sz w:val="23"/>
          <w:szCs w:val="23"/>
          <w:highlight w:val="none"/>
        </w:rPr>
      </w:pPr>
      <w:r>
        <w:rPr>
          <w:rFonts w:ascii="仿宋" w:hAnsi="仿宋" w:eastAsia="仿宋" w:cs="仿宋"/>
          <w:color w:val="auto"/>
          <w:spacing w:val="10"/>
          <w:sz w:val="23"/>
          <w:szCs w:val="23"/>
          <w:highlight w:val="none"/>
        </w:rPr>
        <w:t>1.</w:t>
      </w:r>
      <w:r>
        <w:rPr>
          <w:rFonts w:ascii="仿宋" w:hAnsi="仿宋" w:eastAsia="仿宋" w:cs="仿宋"/>
          <w:color w:val="auto"/>
          <w:spacing w:val="10"/>
          <w:sz w:val="23"/>
          <w:szCs w:val="23"/>
          <w:highlight w:val="none"/>
          <w:u w:val="single" w:color="auto"/>
        </w:rPr>
        <w:t xml:space="preserve"> </w:t>
      </w:r>
      <w:r>
        <w:rPr>
          <w:rFonts w:ascii="仿宋" w:hAnsi="仿宋" w:eastAsia="仿宋" w:cs="仿宋"/>
          <w:color w:val="auto"/>
          <w:spacing w:val="8"/>
          <w:sz w:val="23"/>
          <w:szCs w:val="23"/>
          <w:highlight w:val="none"/>
          <w:u w:val="single" w:color="auto"/>
        </w:rPr>
        <w:t xml:space="preserve">(标的名称) </w:t>
      </w:r>
      <w:r>
        <w:rPr>
          <w:rFonts w:ascii="仿宋" w:hAnsi="仿宋" w:eastAsia="仿宋" w:cs="仿宋"/>
          <w:color w:val="auto"/>
          <w:spacing w:val="8"/>
          <w:sz w:val="23"/>
          <w:szCs w:val="23"/>
          <w:highlight w:val="none"/>
        </w:rPr>
        <w:t>，属于</w:t>
      </w:r>
      <w:r>
        <w:rPr>
          <w:rFonts w:ascii="仿宋" w:hAnsi="仿宋" w:eastAsia="仿宋" w:cs="仿宋"/>
          <w:color w:val="auto"/>
          <w:spacing w:val="8"/>
          <w:sz w:val="23"/>
          <w:szCs w:val="23"/>
          <w:highlight w:val="none"/>
          <w:u w:val="single" w:color="auto"/>
        </w:rPr>
        <w:t xml:space="preserve"> (采购文件中明确的所属行业)  </w:t>
      </w:r>
      <w:r>
        <w:rPr>
          <w:rFonts w:ascii="仿宋" w:hAnsi="仿宋" w:eastAsia="仿宋" w:cs="仿宋"/>
          <w:color w:val="auto"/>
          <w:spacing w:val="8"/>
          <w:sz w:val="23"/>
          <w:szCs w:val="23"/>
          <w:highlight w:val="none"/>
        </w:rPr>
        <w:t>；承建 (承</w:t>
      </w:r>
      <w:r>
        <w:rPr>
          <w:rFonts w:ascii="仿宋" w:hAnsi="仿宋" w:eastAsia="仿宋" w:cs="仿宋"/>
          <w:color w:val="auto"/>
          <w:spacing w:val="1"/>
          <w:sz w:val="23"/>
          <w:szCs w:val="23"/>
          <w:highlight w:val="none"/>
        </w:rPr>
        <w:t>接) 企业为</w:t>
      </w:r>
      <w:r>
        <w:rPr>
          <w:rFonts w:ascii="仿宋" w:hAnsi="仿宋" w:eastAsia="仿宋" w:cs="仿宋"/>
          <w:color w:val="auto"/>
          <w:spacing w:val="1"/>
          <w:sz w:val="23"/>
          <w:szCs w:val="23"/>
          <w:highlight w:val="none"/>
          <w:u w:val="single" w:color="auto"/>
        </w:rPr>
        <w:t xml:space="preserve"> (企</w:t>
      </w:r>
      <w:r>
        <w:rPr>
          <w:rFonts w:ascii="仿宋" w:hAnsi="仿宋" w:eastAsia="仿宋" w:cs="仿宋"/>
          <w:color w:val="auto"/>
          <w:sz w:val="23"/>
          <w:szCs w:val="23"/>
          <w:highlight w:val="none"/>
          <w:u w:val="single" w:color="auto"/>
        </w:rPr>
        <w:t xml:space="preserve">业名称) </w:t>
      </w:r>
      <w:r>
        <w:rPr>
          <w:rFonts w:ascii="仿宋" w:hAnsi="仿宋" w:eastAsia="仿宋" w:cs="仿宋"/>
          <w:color w:val="auto"/>
          <w:sz w:val="23"/>
          <w:szCs w:val="23"/>
          <w:highlight w:val="none"/>
        </w:rPr>
        <w:t>，从业人员</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人，营业收入为</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万元，资产总额为 </w:t>
      </w:r>
      <w:r>
        <w:rPr>
          <w:rFonts w:ascii="仿宋" w:hAnsi="仿宋" w:eastAsia="仿宋" w:cs="仿宋"/>
          <w:color w:val="auto"/>
          <w:spacing w:val="8"/>
          <w:sz w:val="23"/>
          <w:szCs w:val="23"/>
          <w:highlight w:val="none"/>
        </w:rPr>
        <w:t>万元，属于</w:t>
      </w:r>
      <w:r>
        <w:rPr>
          <w:rFonts w:ascii="仿宋" w:hAnsi="仿宋" w:eastAsia="仿宋" w:cs="仿宋"/>
          <w:color w:val="auto"/>
          <w:spacing w:val="8"/>
          <w:sz w:val="23"/>
          <w:szCs w:val="23"/>
          <w:highlight w:val="none"/>
          <w:u w:val="single" w:color="auto"/>
        </w:rPr>
        <w:t xml:space="preserve"> (中型企业、小型企业</w:t>
      </w:r>
      <w:r>
        <w:rPr>
          <w:rFonts w:hint="eastAsia" w:ascii="仿宋" w:hAnsi="仿宋" w:eastAsia="仿宋" w:cs="仿宋"/>
          <w:color w:val="auto"/>
          <w:spacing w:val="8"/>
          <w:sz w:val="23"/>
          <w:szCs w:val="23"/>
          <w:highlight w:val="none"/>
          <w:u w:val="single" w:color="auto"/>
          <w:lang w:eastAsia="zh-CN"/>
        </w:rPr>
        <w:t>、</w:t>
      </w:r>
      <w:r>
        <w:rPr>
          <w:rFonts w:ascii="仿宋" w:hAnsi="仿宋" w:eastAsia="仿宋" w:cs="仿宋"/>
          <w:color w:val="auto"/>
          <w:spacing w:val="8"/>
          <w:sz w:val="23"/>
          <w:szCs w:val="23"/>
          <w:highlight w:val="none"/>
          <w:u w:val="single" w:color="auto"/>
        </w:rPr>
        <w:t xml:space="preserve">微型企业) </w:t>
      </w:r>
      <w:r>
        <w:rPr>
          <w:rFonts w:ascii="仿宋" w:hAnsi="仿宋" w:eastAsia="仿宋" w:cs="仿宋"/>
          <w:color w:val="auto"/>
          <w:spacing w:val="6"/>
          <w:sz w:val="23"/>
          <w:szCs w:val="23"/>
          <w:highlight w:val="none"/>
        </w:rPr>
        <w:t>；</w:t>
      </w:r>
    </w:p>
    <w:p w14:paraId="5E2052BA">
      <w:pPr>
        <w:spacing w:line="229" w:lineRule="auto"/>
        <w:ind w:left="505"/>
        <w:rPr>
          <w:rFonts w:ascii="仿宋" w:hAnsi="仿宋" w:eastAsia="仿宋" w:cs="仿宋"/>
          <w:color w:val="auto"/>
          <w:sz w:val="23"/>
          <w:szCs w:val="23"/>
          <w:highlight w:val="none"/>
        </w:rPr>
      </w:pPr>
      <w:r>
        <w:rPr>
          <w:rFonts w:ascii="仿宋" w:hAnsi="仿宋" w:eastAsia="仿宋" w:cs="仿宋"/>
          <w:color w:val="auto"/>
          <w:spacing w:val="16"/>
          <w:sz w:val="23"/>
          <w:szCs w:val="23"/>
          <w:highlight w:val="none"/>
        </w:rPr>
        <w:t>2.</w:t>
      </w:r>
      <w:r>
        <w:rPr>
          <w:rFonts w:ascii="仿宋" w:hAnsi="仿宋" w:eastAsia="仿宋" w:cs="仿宋"/>
          <w:color w:val="auto"/>
          <w:spacing w:val="12"/>
          <w:sz w:val="23"/>
          <w:szCs w:val="23"/>
          <w:highlight w:val="none"/>
          <w:u w:val="single" w:color="auto"/>
        </w:rPr>
        <w:t xml:space="preserve"> </w:t>
      </w:r>
      <w:r>
        <w:rPr>
          <w:rFonts w:ascii="仿宋" w:hAnsi="仿宋" w:eastAsia="仿宋" w:cs="仿宋"/>
          <w:color w:val="auto"/>
          <w:spacing w:val="8"/>
          <w:sz w:val="23"/>
          <w:szCs w:val="23"/>
          <w:highlight w:val="none"/>
          <w:u w:val="single" w:color="auto"/>
        </w:rPr>
        <w:t xml:space="preserve"> (标的名称)  </w:t>
      </w:r>
      <w:r>
        <w:rPr>
          <w:rFonts w:ascii="仿宋" w:hAnsi="仿宋" w:eastAsia="仿宋" w:cs="仿宋"/>
          <w:color w:val="auto"/>
          <w:spacing w:val="8"/>
          <w:sz w:val="23"/>
          <w:szCs w:val="23"/>
          <w:highlight w:val="none"/>
        </w:rPr>
        <w:t>，属于</w:t>
      </w:r>
      <w:r>
        <w:rPr>
          <w:rFonts w:ascii="仿宋" w:hAnsi="仿宋" w:eastAsia="仿宋" w:cs="仿宋"/>
          <w:color w:val="auto"/>
          <w:spacing w:val="8"/>
          <w:sz w:val="23"/>
          <w:szCs w:val="23"/>
          <w:highlight w:val="none"/>
          <w:u w:val="single" w:color="auto"/>
        </w:rPr>
        <w:t xml:space="preserve"> (采购文件中明确的所属行业)  行业</w:t>
      </w:r>
      <w:r>
        <w:rPr>
          <w:rFonts w:ascii="仿宋" w:hAnsi="仿宋" w:eastAsia="仿宋" w:cs="仿宋"/>
          <w:color w:val="auto"/>
          <w:spacing w:val="8"/>
          <w:sz w:val="23"/>
          <w:szCs w:val="23"/>
          <w:highlight w:val="none"/>
        </w:rPr>
        <w:t>；承建 (承</w:t>
      </w:r>
    </w:p>
    <w:p w14:paraId="69F23F7C">
      <w:pPr>
        <w:spacing w:before="155" w:line="353" w:lineRule="auto"/>
        <w:ind w:left="30" w:right="79"/>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接) 企业为</w:t>
      </w:r>
      <w:r>
        <w:rPr>
          <w:rFonts w:ascii="仿宋" w:hAnsi="仿宋" w:eastAsia="仿宋" w:cs="仿宋"/>
          <w:color w:val="auto"/>
          <w:spacing w:val="1"/>
          <w:sz w:val="23"/>
          <w:szCs w:val="23"/>
          <w:highlight w:val="none"/>
          <w:u w:val="single" w:color="auto"/>
        </w:rPr>
        <w:t xml:space="preserve"> (企</w:t>
      </w:r>
      <w:r>
        <w:rPr>
          <w:rFonts w:ascii="仿宋" w:hAnsi="仿宋" w:eastAsia="仿宋" w:cs="仿宋"/>
          <w:color w:val="auto"/>
          <w:sz w:val="23"/>
          <w:szCs w:val="23"/>
          <w:highlight w:val="none"/>
          <w:u w:val="single" w:color="auto"/>
        </w:rPr>
        <w:t xml:space="preserve">业名称) </w:t>
      </w:r>
      <w:r>
        <w:rPr>
          <w:rFonts w:ascii="仿宋" w:hAnsi="仿宋" w:eastAsia="仿宋" w:cs="仿宋"/>
          <w:color w:val="auto"/>
          <w:sz w:val="23"/>
          <w:szCs w:val="23"/>
          <w:highlight w:val="none"/>
        </w:rPr>
        <w:t>，从业人员</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人，营业收入为</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万元，资产总额为 </w:t>
      </w:r>
      <w:r>
        <w:rPr>
          <w:rFonts w:ascii="仿宋" w:hAnsi="仿宋" w:eastAsia="仿宋" w:cs="仿宋"/>
          <w:color w:val="auto"/>
          <w:spacing w:val="8"/>
          <w:sz w:val="23"/>
          <w:szCs w:val="23"/>
          <w:highlight w:val="none"/>
        </w:rPr>
        <w:t>万元，属于</w:t>
      </w:r>
      <w:r>
        <w:rPr>
          <w:rFonts w:ascii="仿宋" w:hAnsi="仿宋" w:eastAsia="仿宋" w:cs="仿宋"/>
          <w:color w:val="auto"/>
          <w:spacing w:val="8"/>
          <w:sz w:val="23"/>
          <w:szCs w:val="23"/>
          <w:highlight w:val="none"/>
          <w:u w:val="single" w:color="auto"/>
        </w:rPr>
        <w:t xml:space="preserve"> (中型企业、小型 企业、微型企业) </w:t>
      </w:r>
      <w:r>
        <w:rPr>
          <w:rFonts w:ascii="仿宋" w:hAnsi="仿宋" w:eastAsia="仿宋" w:cs="仿宋"/>
          <w:color w:val="auto"/>
          <w:spacing w:val="6"/>
          <w:sz w:val="23"/>
          <w:szCs w:val="23"/>
          <w:highlight w:val="none"/>
        </w:rPr>
        <w:t>；</w:t>
      </w:r>
    </w:p>
    <w:p w14:paraId="2E7DE244">
      <w:pPr>
        <w:spacing w:line="377" w:lineRule="exact"/>
        <w:ind w:left="519"/>
        <w:rPr>
          <w:rFonts w:ascii="仿宋" w:hAnsi="仿宋" w:eastAsia="仿宋" w:cs="仿宋"/>
          <w:color w:val="auto"/>
          <w:sz w:val="23"/>
          <w:szCs w:val="23"/>
          <w:highlight w:val="none"/>
        </w:rPr>
      </w:pPr>
      <w:r>
        <w:rPr>
          <w:rFonts w:ascii="仿宋" w:hAnsi="仿宋" w:eastAsia="仿宋" w:cs="仿宋"/>
          <w:color w:val="auto"/>
          <w:spacing w:val="5"/>
          <w:position w:val="3"/>
          <w:sz w:val="23"/>
          <w:szCs w:val="23"/>
          <w:highlight w:val="none"/>
        </w:rPr>
        <w:t>……</w:t>
      </w:r>
    </w:p>
    <w:p w14:paraId="30F53024">
      <w:pPr>
        <w:spacing w:before="64" w:line="353" w:lineRule="auto"/>
        <w:ind w:left="35" w:right="79" w:firstLine="498"/>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以上企业，不属于大企业的分支机构，不存在控股股东为大企业的情形，</w:t>
      </w:r>
      <w:r>
        <w:rPr>
          <w:rFonts w:ascii="仿宋" w:hAnsi="仿宋" w:eastAsia="仿宋" w:cs="仿宋"/>
          <w:color w:val="auto"/>
          <w:spacing w:val="4"/>
          <w:sz w:val="23"/>
          <w:szCs w:val="23"/>
          <w:highlight w:val="none"/>
        </w:rPr>
        <w:t>也</w:t>
      </w:r>
      <w:r>
        <w:rPr>
          <w:rFonts w:ascii="仿宋" w:hAnsi="仿宋" w:eastAsia="仿宋" w:cs="仿宋"/>
          <w:color w:val="auto"/>
          <w:sz w:val="23"/>
          <w:szCs w:val="23"/>
          <w:highlight w:val="none"/>
        </w:rPr>
        <w:t xml:space="preserve"> </w:t>
      </w:r>
      <w:r>
        <w:rPr>
          <w:rFonts w:ascii="仿宋" w:hAnsi="仿宋" w:eastAsia="仿宋" w:cs="仿宋"/>
          <w:color w:val="auto"/>
          <w:spacing w:val="11"/>
          <w:sz w:val="23"/>
          <w:szCs w:val="23"/>
          <w:highlight w:val="none"/>
        </w:rPr>
        <w:t>不</w:t>
      </w:r>
      <w:r>
        <w:rPr>
          <w:rFonts w:ascii="仿宋" w:hAnsi="仿宋" w:eastAsia="仿宋" w:cs="仿宋"/>
          <w:color w:val="auto"/>
          <w:spacing w:val="8"/>
          <w:sz w:val="23"/>
          <w:szCs w:val="23"/>
          <w:highlight w:val="none"/>
        </w:rPr>
        <w:t>存在与大企业的负责人为同一人的情 形。</w:t>
      </w:r>
    </w:p>
    <w:p w14:paraId="5CCDDC8C">
      <w:pPr>
        <w:spacing w:line="228" w:lineRule="auto"/>
        <w:ind w:left="510"/>
        <w:rPr>
          <w:rFonts w:ascii="仿宋" w:hAnsi="仿宋" w:eastAsia="仿宋" w:cs="仿宋"/>
          <w:color w:val="auto"/>
          <w:sz w:val="23"/>
          <w:szCs w:val="23"/>
          <w:highlight w:val="none"/>
        </w:rPr>
      </w:pPr>
      <w:r>
        <w:rPr>
          <w:rFonts w:ascii="仿宋" w:hAnsi="仿宋" w:eastAsia="仿宋" w:cs="仿宋"/>
          <w:color w:val="auto"/>
          <w:spacing w:val="10"/>
          <w:sz w:val="23"/>
          <w:szCs w:val="23"/>
          <w:highlight w:val="none"/>
        </w:rPr>
        <w:t>本</w:t>
      </w:r>
      <w:r>
        <w:rPr>
          <w:rFonts w:ascii="仿宋" w:hAnsi="仿宋" w:eastAsia="仿宋" w:cs="仿宋"/>
          <w:color w:val="auto"/>
          <w:spacing w:val="9"/>
          <w:sz w:val="23"/>
          <w:szCs w:val="23"/>
          <w:highlight w:val="none"/>
        </w:rPr>
        <w:t>企业对上述声明内容的真实性负责。如有虚假，将依 法承担相应责任。</w:t>
      </w:r>
    </w:p>
    <w:p w14:paraId="6043223E">
      <w:pPr>
        <w:spacing w:line="318" w:lineRule="auto"/>
        <w:rPr>
          <w:rFonts w:ascii="Arial"/>
          <w:color w:val="auto"/>
          <w:sz w:val="21"/>
          <w:highlight w:val="none"/>
        </w:rPr>
      </w:pPr>
    </w:p>
    <w:p w14:paraId="24DAA5C9">
      <w:pPr>
        <w:spacing w:line="318" w:lineRule="auto"/>
        <w:rPr>
          <w:rFonts w:ascii="Arial"/>
          <w:color w:val="auto"/>
          <w:sz w:val="21"/>
          <w:highlight w:val="none"/>
        </w:rPr>
      </w:pPr>
    </w:p>
    <w:p w14:paraId="093395EC">
      <w:pPr>
        <w:spacing w:line="318" w:lineRule="auto"/>
        <w:rPr>
          <w:rFonts w:ascii="Arial"/>
          <w:color w:val="auto"/>
          <w:sz w:val="21"/>
          <w:highlight w:val="none"/>
        </w:rPr>
      </w:pPr>
    </w:p>
    <w:p w14:paraId="2E542483">
      <w:pPr>
        <w:spacing w:before="76" w:line="229" w:lineRule="auto"/>
        <w:ind w:left="510"/>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 xml:space="preserve">企业名称 (盖章) </w:t>
      </w:r>
      <w:r>
        <w:rPr>
          <w:rFonts w:ascii="仿宋" w:hAnsi="仿宋" w:eastAsia="仿宋" w:cs="仿宋"/>
          <w:color w:val="auto"/>
          <w:spacing w:val="4"/>
          <w:sz w:val="23"/>
          <w:szCs w:val="23"/>
          <w:highlight w:val="none"/>
        </w:rPr>
        <w:t>：</w:t>
      </w:r>
    </w:p>
    <w:p w14:paraId="453EF13A">
      <w:pPr>
        <w:spacing w:before="156" w:line="231" w:lineRule="auto"/>
        <w:ind w:left="560"/>
        <w:rPr>
          <w:rFonts w:ascii="仿宋" w:hAnsi="仿宋" w:eastAsia="仿宋" w:cs="仿宋"/>
          <w:color w:val="auto"/>
          <w:sz w:val="23"/>
          <w:szCs w:val="23"/>
          <w:highlight w:val="none"/>
        </w:rPr>
      </w:pPr>
      <w:r>
        <w:rPr>
          <w:rFonts w:ascii="仿宋" w:hAnsi="仿宋" w:eastAsia="仿宋" w:cs="仿宋"/>
          <w:color w:val="auto"/>
          <w:spacing w:val="-12"/>
          <w:sz w:val="23"/>
          <w:szCs w:val="23"/>
          <w:highlight w:val="none"/>
        </w:rPr>
        <w:t>日</w:t>
      </w:r>
      <w:r>
        <w:rPr>
          <w:rFonts w:ascii="仿宋" w:hAnsi="仿宋" w:eastAsia="仿宋" w:cs="仿宋"/>
          <w:color w:val="auto"/>
          <w:spacing w:val="-10"/>
          <w:sz w:val="23"/>
          <w:szCs w:val="23"/>
          <w:highlight w:val="none"/>
        </w:rPr>
        <w:t xml:space="preserve"> 期：</w:t>
      </w:r>
    </w:p>
    <w:p w14:paraId="07DC33BF">
      <w:pPr>
        <w:widowControl/>
        <w:autoSpaceDE w:val="0"/>
        <w:autoSpaceDN w:val="0"/>
        <w:adjustRightInd w:val="0"/>
        <w:spacing w:line="440" w:lineRule="exact"/>
        <w:ind w:right="-481" w:firstLine="756"/>
        <w:jc w:val="center"/>
        <w:rPr>
          <w:rStyle w:val="100"/>
          <w:color w:val="auto"/>
          <w:sz w:val="24"/>
          <w:szCs w:val="24"/>
          <w:highlight w:val="none"/>
        </w:rPr>
      </w:pPr>
    </w:p>
    <w:p w14:paraId="3A8B87B2">
      <w:pPr>
        <w:spacing w:line="440" w:lineRule="exact"/>
        <w:rPr>
          <w:rStyle w:val="100"/>
          <w:color w:val="auto"/>
          <w:sz w:val="24"/>
          <w:szCs w:val="24"/>
          <w:highlight w:val="none"/>
        </w:rPr>
      </w:pPr>
      <w:r>
        <w:rPr>
          <w:rStyle w:val="100"/>
          <w:color w:val="auto"/>
          <w:sz w:val="24"/>
          <w:szCs w:val="24"/>
          <w:highlight w:val="none"/>
        </w:rPr>
        <w:t xml:space="preserve"> </w:t>
      </w:r>
    </w:p>
    <w:p w14:paraId="3F977A87">
      <w:pPr>
        <w:widowControl/>
        <w:autoSpaceDE w:val="0"/>
        <w:autoSpaceDN w:val="0"/>
        <w:adjustRightInd w:val="0"/>
        <w:spacing w:line="440" w:lineRule="exact"/>
        <w:rPr>
          <w:rStyle w:val="100"/>
          <w:color w:val="auto"/>
          <w:sz w:val="28"/>
          <w:szCs w:val="28"/>
          <w:highlight w:val="none"/>
          <w:lang w:val="en-GB"/>
        </w:rPr>
      </w:pPr>
    </w:p>
    <w:p w14:paraId="0107BDC0">
      <w:pPr>
        <w:spacing w:before="72" w:line="279" w:lineRule="auto"/>
        <w:ind w:left="32" w:right="79" w:firstLine="2"/>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rPr>
        <w:t>注：从业人员、营业收入、资产总额填报上一年度数据，无上一年度数据的新成立企</w:t>
      </w:r>
      <w:r>
        <w:rPr>
          <w:rFonts w:ascii="仿宋" w:hAnsi="仿宋" w:eastAsia="仿宋" w:cs="仿宋"/>
          <w:color w:val="auto"/>
          <w:spacing w:val="-1"/>
          <w:sz w:val="22"/>
          <w:szCs w:val="22"/>
          <w:highlight w:val="none"/>
        </w:rPr>
        <w:t>业</w:t>
      </w:r>
      <w:r>
        <w:rPr>
          <w:rFonts w:ascii="仿宋" w:hAnsi="仿宋" w:eastAsia="仿宋" w:cs="仿宋"/>
          <w:color w:val="auto"/>
          <w:sz w:val="22"/>
          <w:szCs w:val="22"/>
          <w:highlight w:val="none"/>
        </w:rPr>
        <w:t xml:space="preserve"> </w:t>
      </w:r>
      <w:r>
        <w:rPr>
          <w:rFonts w:ascii="仿宋" w:hAnsi="仿宋" w:eastAsia="仿宋" w:cs="仿宋"/>
          <w:color w:val="auto"/>
          <w:spacing w:val="-6"/>
          <w:sz w:val="22"/>
          <w:szCs w:val="22"/>
          <w:highlight w:val="none"/>
        </w:rPr>
        <w:t>可</w:t>
      </w:r>
      <w:r>
        <w:rPr>
          <w:rFonts w:ascii="仿宋" w:hAnsi="仿宋" w:eastAsia="仿宋" w:cs="仿宋"/>
          <w:color w:val="auto"/>
          <w:spacing w:val="-3"/>
          <w:sz w:val="22"/>
          <w:szCs w:val="22"/>
          <w:highlight w:val="none"/>
        </w:rPr>
        <w:t>不填报。</w:t>
      </w:r>
    </w:p>
    <w:p w14:paraId="4CCC0008">
      <w:pPr>
        <w:spacing w:line="360" w:lineRule="auto"/>
        <w:ind w:firstLine="480" w:firstLineChars="200"/>
        <w:rPr>
          <w:rFonts w:ascii="宋体" w:hAnsi="宋体"/>
          <w:color w:val="auto"/>
          <w:sz w:val="24"/>
          <w:szCs w:val="24"/>
          <w:highlight w:val="none"/>
        </w:rPr>
      </w:pPr>
    </w:p>
    <w:p w14:paraId="11902B98">
      <w:pPr>
        <w:pStyle w:val="7"/>
        <w:rPr>
          <w:rFonts w:ascii="宋体" w:hAnsi="宋体"/>
          <w:color w:val="auto"/>
          <w:sz w:val="24"/>
          <w:szCs w:val="24"/>
          <w:highlight w:val="none"/>
        </w:rPr>
      </w:pPr>
    </w:p>
    <w:p w14:paraId="495AAF42">
      <w:pPr>
        <w:keepNext w:val="0"/>
        <w:keepLines w:val="0"/>
        <w:widowControl/>
        <w:suppressLineNumbers w:val="0"/>
        <w:shd w:val="clear" w:color="auto" w:fill="FFFFFF"/>
        <w:adjustRightInd w:val="0"/>
        <w:snapToGrid w:val="0"/>
        <w:spacing w:beforeAutospacing="1" w:afterAutospacing="1" w:line="360" w:lineRule="auto"/>
        <w:ind w:left="0" w:firstLine="723" w:firstLineChars="200"/>
        <w:jc w:val="center"/>
        <w:rPr>
          <w:rFonts w:hint="eastAsia" w:ascii="宋体" w:hAnsi="宋体" w:eastAsia="宋体" w:cs="宋体"/>
          <w:i w:val="0"/>
          <w:iCs w:val="0"/>
          <w:caps w:val="0"/>
          <w:color w:val="auto"/>
          <w:spacing w:val="0"/>
          <w:kern w:val="0"/>
          <w:sz w:val="24"/>
          <w:szCs w:val="24"/>
          <w:highlight w:val="none"/>
          <w:lang w:val="en-US" w:eastAsia="zh-CN" w:bidi="ar-SA"/>
        </w:rPr>
      </w:pPr>
      <w:r>
        <w:rPr>
          <w:rStyle w:val="33"/>
          <w:rFonts w:hint="eastAsia" w:ascii="宋体" w:hAnsi="宋体" w:eastAsia="宋体" w:cs="宋体"/>
          <w:i w:val="0"/>
          <w:iCs w:val="0"/>
          <w:caps w:val="0"/>
          <w:color w:val="auto"/>
          <w:spacing w:val="0"/>
          <w:kern w:val="2"/>
          <w:sz w:val="36"/>
          <w:szCs w:val="36"/>
          <w:highlight w:val="none"/>
          <w:shd w:val="clear" w:color="auto" w:fill="FFFFFF"/>
          <w:lang w:val="en-US" w:eastAsia="zh-CN" w:bidi="ar-SA"/>
        </w:rPr>
        <w:t>中小企业划型标准规定</w:t>
      </w:r>
    </w:p>
    <w:p w14:paraId="69AFE8B6">
      <w:pPr>
        <w:spacing w:line="360" w:lineRule="auto"/>
        <w:rPr>
          <w:rFonts w:hint="eastAsia" w:ascii="仿宋" w:hAnsi="仿宋" w:eastAsia="仿宋" w:cs="仿宋"/>
          <w:color w:val="auto"/>
          <w:sz w:val="24"/>
          <w:szCs w:val="24"/>
          <w:highlight w:val="none"/>
          <w:lang w:val="zh-CN"/>
        </w:rPr>
      </w:pPr>
      <w:r>
        <w:rPr>
          <w:rFonts w:hint="eastAsia" w:ascii="宋体" w:hAnsi="宋体" w:eastAsia="宋体" w:cs="宋体"/>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8"/>
          <w:szCs w:val="28"/>
          <w:highlight w:val="none"/>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lang w:val="en-US" w:eastAsia="zh-CN"/>
        </w:rPr>
        <w:t xml:space="preserve">    </w:t>
      </w:r>
      <w:r>
        <w:rPr>
          <w:rFonts w:hint="eastAsia" w:ascii="仿宋" w:hAnsi="仿宋" w:eastAsia="仿宋" w:cs="仿宋"/>
          <w:i w:val="0"/>
          <w:iCs w:val="0"/>
          <w:caps w:val="0"/>
          <w:color w:val="auto"/>
          <w:spacing w:val="0"/>
          <w:sz w:val="28"/>
          <w:szCs w:val="28"/>
          <w:highlight w:val="none"/>
          <w:shd w:val="clear" w:color="auto" w:fill="FFFFFF"/>
        </w:rPr>
        <w:t>各行业划型标准为：</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584009A8"/>
    <w:p w14:paraId="4A3A93E5">
      <w:pPr>
        <w:spacing w:line="360" w:lineRule="auto"/>
        <w:ind w:firstLine="480" w:firstLineChars="200"/>
        <w:rPr>
          <w:rFonts w:ascii="宋体" w:hAnsi="宋体"/>
          <w:color w:val="auto"/>
          <w:sz w:val="24"/>
          <w:szCs w:val="24"/>
          <w:highlight w:val="none"/>
        </w:rPr>
      </w:pPr>
    </w:p>
    <w:p w14:paraId="6A36000B">
      <w:pPr>
        <w:rPr>
          <w:rFonts w:hint="eastAsia" w:ascii="仿宋" w:hAnsi="仿宋" w:eastAsia="仿宋" w:cs="仿宋"/>
          <w:color w:val="auto"/>
        </w:rPr>
      </w:pPr>
    </w:p>
    <w:sectPr>
      <w:headerReference r:id="rId10" w:type="default"/>
      <w:footerReference r:id="rId11"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221C78-8DFA-4825-86C1-BDCA3446FCCA}"/>
  </w:font>
  <w:font w:name="黑体">
    <w:panose1 w:val="02010609060101010101"/>
    <w:charset w:val="86"/>
    <w:family w:val="auto"/>
    <w:pitch w:val="default"/>
    <w:sig w:usb0="800002BF" w:usb1="38CF7CFA" w:usb2="00000016" w:usb3="00000000" w:csb0="00040001" w:csb1="00000000"/>
    <w:embedRegular r:id="rId2" w:fontKey="{E14EA0EF-5EFB-43BD-9616-83B8E89AD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embedRegular r:id="rId3" w:fontKey="{AB5409F8-629C-4EF8-9059-808A798DEE56}"/>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4" w:fontKey="{4C6A1F29-159F-4CDF-9B9F-769306184DB2}"/>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F6C576A9-39F7-4F0B-8433-C9F1CD85F3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C639">
    <w:pPr>
      <w:pStyle w:val="19"/>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A8A45">
                          <w:pPr>
                            <w:pStyle w:val="19"/>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39FA8A45">
                    <w:pPr>
                      <w:pStyle w:val="19"/>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DB13">
    <w:pPr>
      <w:pStyle w:val="19"/>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DD71A">
                          <w:pPr>
                            <w:pStyle w:val="19"/>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J7nHdAQAAvwMAAA4AAAAAAAAA&#10;AQAgAAAAHgEAAGRycy9lMm9Eb2MueG1sUEsFBgAAAAAGAAYAWQEAAG0FAAAAAA==&#10;">
              <v:fill on="f" focussize="0,0"/>
              <v:stroke on="f"/>
              <v:imagedata o:title=""/>
              <o:lock v:ext="edit" aspectratio="f"/>
              <v:textbox inset="0mm,0mm,0mm,0mm" style="mso-fit-shape-to-text:t;">
                <w:txbxContent>
                  <w:p w14:paraId="495DD71A">
                    <w:pPr>
                      <w:pStyle w:val="19"/>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3807">
    <w:pPr>
      <w:pStyle w:val="19"/>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DF42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5DF426">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DD1CA">
                          <w:pPr>
                            <w:pStyle w:val="19"/>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CGVfndAQAAvgMAAA4AAAAAAAAA&#10;AQAgAAAAHgEAAGRycy9lMm9Eb2MueG1sUEsFBgAAAAAGAAYAWQEAAG0FAAAAAA==&#10;">
              <v:fill on="f" focussize="0,0"/>
              <v:stroke on="f"/>
              <v:imagedata o:title=""/>
              <o:lock v:ext="edit" aspectratio="f"/>
              <v:textbox inset="0mm,0mm,0mm,0mm" style="mso-fit-shape-to-text:t;">
                <w:txbxContent>
                  <w:p w14:paraId="17DDD1CA">
                    <w:pPr>
                      <w:pStyle w:val="19"/>
                      <w:rPr>
                        <w:rFonts w:hint="default"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E187">
    <w:pPr>
      <w:pStyle w:val="19"/>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437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AB4370">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5D771C61">
    <w:pPr>
      <w:pStyle w:val="19"/>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914E9">
                          <w:pPr>
                            <w:pStyle w:val="19"/>
                            <w:rPr>
                              <w:rFonts w:hint="default" w:eastAsia="宋体"/>
                              <w:sz w:val="32"/>
                              <w:szCs w:val="32"/>
                              <w:lang w:val="en-US"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14:paraId="590914E9">
                    <w:pPr>
                      <w:pStyle w:val="19"/>
                      <w:rPr>
                        <w:rFonts w:hint="default" w:eastAsia="宋体"/>
                        <w:sz w:val="32"/>
                        <w:szCs w:val="32"/>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E26A">
    <w:pPr>
      <w:pStyle w:val="19"/>
      <w:rPr>
        <w:rFonts w:hint="eastAsia"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70A52">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C970A52">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4DAA">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A0DDA">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FA0DDA">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CCF8">
    <w:pPr>
      <w:pStyle w:val="12"/>
      <w:pBdr>
        <w:bottom w:val="none" w:color="auto" w:sz="0" w:space="0"/>
      </w:pBdr>
      <w:tabs>
        <w:tab w:val="clear" w:pos="4153"/>
      </w:tabs>
      <w:jc w:val="left"/>
      <w:rPr>
        <w:rFonts w:hint="eastAsia" w:ascii="仿宋" w:hAnsi="仿宋" w:eastAsia="仿宋" w:cs="仿宋"/>
        <w:i/>
        <w:iCs/>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DEA5">
    <w:pPr>
      <w:pStyle w:val="12"/>
      <w:pBdr>
        <w:bottom w:val="none" w:color="auto" w:sz="0" w:space="0"/>
      </w:pBdr>
      <w:tabs>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AFC0">
    <w:pPr>
      <w:pStyle w:val="12"/>
      <w:pBdr>
        <w:bottom w:val="none" w:color="auto" w:sz="0" w:space="0"/>
      </w:pBdr>
      <w:tabs>
        <w:tab w:val="clear" w:pos="4153"/>
      </w:tabs>
      <w:jc w:val="left"/>
    </w:pPr>
  </w:p>
  <w:p w14:paraId="374560F8">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5528C"/>
    <w:multiLevelType w:val="singleLevel"/>
    <w:tmpl w:val="8645528C"/>
    <w:lvl w:ilvl="0" w:tentative="0">
      <w:start w:val="4"/>
      <w:numFmt w:val="chineseCounting"/>
      <w:suff w:val="space"/>
      <w:lvlText w:val="第%1章"/>
      <w:lvlJc w:val="left"/>
      <w:rPr>
        <w:rFonts w:hint="eastAsia"/>
      </w:rPr>
    </w:lvl>
  </w:abstractNum>
  <w:abstractNum w:abstractNumId="1">
    <w:nsid w:val="B666A545"/>
    <w:multiLevelType w:val="singleLevel"/>
    <w:tmpl w:val="B666A545"/>
    <w:lvl w:ilvl="0" w:tentative="0">
      <w:start w:val="1"/>
      <w:numFmt w:val="decimal"/>
      <w:lvlText w:val="%1."/>
      <w:lvlJc w:val="left"/>
      <w:pPr>
        <w:tabs>
          <w:tab w:val="left" w:pos="312"/>
        </w:tabs>
      </w:pPr>
    </w:lvl>
  </w:abstractNum>
  <w:abstractNum w:abstractNumId="2">
    <w:nsid w:val="DBE3BE92"/>
    <w:multiLevelType w:val="singleLevel"/>
    <w:tmpl w:val="DBE3BE92"/>
    <w:lvl w:ilvl="0" w:tentative="0">
      <w:start w:val="1"/>
      <w:numFmt w:val="chineseCounting"/>
      <w:suff w:val="space"/>
      <w:lvlText w:val="第%1章"/>
      <w:lvlJc w:val="left"/>
      <w:rPr>
        <w:rFonts w:hint="eastAsia"/>
      </w:rPr>
    </w:lvl>
  </w:abstractNum>
  <w:abstractNum w:abstractNumId="3">
    <w:nsid w:val="FC8865F2"/>
    <w:multiLevelType w:val="singleLevel"/>
    <w:tmpl w:val="FC8865F2"/>
    <w:lvl w:ilvl="0" w:tentative="0">
      <w:start w:val="1"/>
      <w:numFmt w:val="decimal"/>
      <w:pStyle w:val="16"/>
      <w:lvlText w:val="%1."/>
      <w:lvlJc w:val="left"/>
      <w:pPr>
        <w:tabs>
          <w:tab w:val="left" w:pos="2040"/>
        </w:tabs>
        <w:ind w:left="2040" w:hanging="360"/>
      </w:pPr>
    </w:lvl>
  </w:abstractNum>
  <w:abstractNum w:abstractNumId="4">
    <w:nsid w:val="FFFFFFFB"/>
    <w:multiLevelType w:val="multilevel"/>
    <w:tmpl w:val="FFFFFFFB"/>
    <w:lvl w:ilvl="0" w:tentative="0">
      <w:start w:val="0"/>
      <w:numFmt w:val="none"/>
      <w:lvlText w:val=""/>
      <w:lvlJc w:val="left"/>
    </w:lvl>
    <w:lvl w:ilvl="1" w:tentative="0">
      <w:start w:val="0"/>
      <w:numFmt w:val="decimal"/>
      <w:lvlText w:val="%2"/>
      <w:legacy w:legacy="1" w:legacySpace="0" w:legacyIndent="0"/>
      <w:lvlJc w:val="left"/>
      <w:rPr>
        <w:rFonts w:hint="default" w:ascii="Tms Rmn" w:hAnsi="Tms Rmn"/>
      </w:rPr>
    </w:lvl>
    <w:lvl w:ilvl="2" w:tentative="0">
      <w:start w:val="0"/>
      <w:numFmt w:val="decimal"/>
      <w:lvlText w:val="%3"/>
      <w:legacy w:legacy="1" w:legacySpace="0" w:legacyIndent="0"/>
      <w:lvlJc w:val="left"/>
      <w:rPr>
        <w:rFonts w:hint="default" w:ascii="Tms Rmn" w:hAnsi="Tms Rmn"/>
      </w:rPr>
    </w:lvl>
    <w:lvl w:ilvl="3" w:tentative="0">
      <w:start w:val="0"/>
      <w:numFmt w:val="decimal"/>
      <w:pStyle w:val="5"/>
      <w:lvlText w:val="%4"/>
      <w:legacy w:legacy="1" w:legacySpace="0" w:legacyIndent="0"/>
      <w:lvlJc w:val="left"/>
      <w:rPr>
        <w:rFonts w:hint="default" w:ascii="Tms Rmn" w:hAnsi="Tms Rmn"/>
      </w:rPr>
    </w:lvl>
    <w:lvl w:ilvl="4" w:tentative="0">
      <w:start w:val="0"/>
      <w:numFmt w:val="decimal"/>
      <w:lvlText w:val="%5"/>
      <w:legacy w:legacy="1" w:legacySpace="0" w:legacyIndent="0"/>
      <w:lvlJc w:val="left"/>
      <w:rPr>
        <w:rFonts w:hint="default" w:ascii="Tms Rmn" w:hAnsi="Tms Rmn"/>
      </w:rPr>
    </w:lvl>
    <w:lvl w:ilvl="5" w:tentative="0">
      <w:start w:val="0"/>
      <w:numFmt w:val="decimal"/>
      <w:lvlText w:val="%6"/>
      <w:legacy w:legacy="1" w:legacySpace="0" w:legacyIndent="0"/>
      <w:lvlJc w:val="left"/>
      <w:rPr>
        <w:rFonts w:hint="default" w:ascii="Tms Rmn" w:hAnsi="Tms Rmn"/>
      </w:rPr>
    </w:lvl>
    <w:lvl w:ilvl="6" w:tentative="0">
      <w:start w:val="0"/>
      <w:numFmt w:val="decimal"/>
      <w:lvlText w:val="%7"/>
      <w:legacy w:legacy="1" w:legacySpace="0" w:legacyIndent="0"/>
      <w:lvlJc w:val="left"/>
      <w:rPr>
        <w:rFonts w:hint="default" w:ascii="Tms Rmn" w:hAnsi="Tms Rmn"/>
      </w:rPr>
    </w:lvl>
    <w:lvl w:ilvl="7" w:tentative="0">
      <w:start w:val="0"/>
      <w:numFmt w:val="decimal"/>
      <w:lvlText w:val="%8"/>
      <w:legacy w:legacy="1" w:legacySpace="0" w:legacyIndent="0"/>
      <w:lvlJc w:val="left"/>
      <w:rPr>
        <w:rFonts w:hint="default" w:ascii="Tms Rmn" w:hAnsi="Tms Rmn"/>
      </w:rPr>
    </w:lvl>
    <w:lvl w:ilvl="8" w:tentative="0">
      <w:start w:val="0"/>
      <w:numFmt w:val="decimal"/>
      <w:lvlText w:val="%9"/>
      <w:legacy w:legacy="1" w:legacySpace="0" w:legacyIndent="0"/>
      <w:lvlJc w:val="left"/>
      <w:rPr>
        <w:rFonts w:hint="default" w:ascii="Tms Rmn" w:hAnsi="Tms Rmn"/>
      </w:rPr>
    </w:lvl>
  </w:abstractNum>
  <w:abstractNum w:abstractNumId="5">
    <w:nsid w:val="32F6D8CD"/>
    <w:multiLevelType w:val="singleLevel"/>
    <w:tmpl w:val="32F6D8CD"/>
    <w:lvl w:ilvl="0" w:tentative="0">
      <w:start w:val="1"/>
      <w:numFmt w:val="chineseCounting"/>
      <w:suff w:val="space"/>
      <w:lvlText w:val="第%1章"/>
      <w:lvlJc w:val="left"/>
      <w:rPr>
        <w:rFonts w:hint="eastAsia"/>
      </w:rPr>
    </w:lvl>
  </w:abstractNum>
  <w:abstractNum w:abstractNumId="6">
    <w:nsid w:val="4386187A"/>
    <w:multiLevelType w:val="singleLevel"/>
    <w:tmpl w:val="4386187A"/>
    <w:lvl w:ilvl="0" w:tentative="0">
      <w:start w:val="1"/>
      <w:numFmt w:val="decimal"/>
      <w:suff w:val="nothing"/>
      <w:lvlText w:val="（%1）"/>
      <w:lvlJc w:val="left"/>
    </w:lvl>
  </w:abstractNum>
  <w:abstractNum w:abstractNumId="7">
    <w:nsid w:val="539ACD0D"/>
    <w:multiLevelType w:val="singleLevel"/>
    <w:tmpl w:val="539ACD0D"/>
    <w:lvl w:ilvl="0" w:tentative="0">
      <w:start w:val="1"/>
      <w:numFmt w:val="decimal"/>
      <w:lvlText w:val="%1."/>
      <w:lvlJc w:val="left"/>
      <w:pPr>
        <w:tabs>
          <w:tab w:val="left" w:pos="312"/>
        </w:tabs>
      </w:pPr>
    </w:lvl>
  </w:abstractNum>
  <w:abstractNum w:abstractNumId="8">
    <w:nsid w:val="7E6408A7"/>
    <w:multiLevelType w:val="singleLevel"/>
    <w:tmpl w:val="7E6408A7"/>
    <w:lvl w:ilvl="0" w:tentative="0">
      <w:start w:val="1"/>
      <w:numFmt w:val="decimal"/>
      <w:suff w:val="nothing"/>
      <w:lvlText w:val="%1、"/>
      <w:lvlJc w:val="left"/>
    </w:lvl>
  </w:abstractNum>
  <w:num w:numId="1">
    <w:abstractNumId w:val="4"/>
  </w:num>
  <w:num w:numId="2">
    <w:abstractNumId w:val="3"/>
  </w:num>
  <w:num w:numId="3">
    <w:abstractNumId w:val="2"/>
  </w:num>
  <w:num w:numId="4">
    <w:abstractNumId w:val="8"/>
  </w:num>
  <w:num w:numId="5">
    <w:abstractNumId w:val="7"/>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ZjM2MGY2MmM5Y2Y2ZDBlZTljOWQ4Mjc2ZWY2NWQifQ=="/>
  </w:docVars>
  <w:rsids>
    <w:rsidRoot w:val="00B41B93"/>
    <w:rsid w:val="000006C9"/>
    <w:rsid w:val="00000DDF"/>
    <w:rsid w:val="000023CA"/>
    <w:rsid w:val="0000325A"/>
    <w:rsid w:val="00006556"/>
    <w:rsid w:val="00011E3B"/>
    <w:rsid w:val="00012CE1"/>
    <w:rsid w:val="00013661"/>
    <w:rsid w:val="00017AA7"/>
    <w:rsid w:val="00017D32"/>
    <w:rsid w:val="00020EA7"/>
    <w:rsid w:val="00025913"/>
    <w:rsid w:val="00027A9E"/>
    <w:rsid w:val="00032614"/>
    <w:rsid w:val="00035517"/>
    <w:rsid w:val="0003574A"/>
    <w:rsid w:val="000407B8"/>
    <w:rsid w:val="00044E68"/>
    <w:rsid w:val="00047CB7"/>
    <w:rsid w:val="0005066B"/>
    <w:rsid w:val="000519B0"/>
    <w:rsid w:val="00053381"/>
    <w:rsid w:val="00055434"/>
    <w:rsid w:val="000577C6"/>
    <w:rsid w:val="00057D48"/>
    <w:rsid w:val="0006589B"/>
    <w:rsid w:val="00072C34"/>
    <w:rsid w:val="00077C7B"/>
    <w:rsid w:val="000801FA"/>
    <w:rsid w:val="000808A0"/>
    <w:rsid w:val="00080CE6"/>
    <w:rsid w:val="00081084"/>
    <w:rsid w:val="0008195B"/>
    <w:rsid w:val="000821DF"/>
    <w:rsid w:val="000854E3"/>
    <w:rsid w:val="00087759"/>
    <w:rsid w:val="0009100E"/>
    <w:rsid w:val="00091FF1"/>
    <w:rsid w:val="0009531B"/>
    <w:rsid w:val="000954C2"/>
    <w:rsid w:val="00096725"/>
    <w:rsid w:val="000A3198"/>
    <w:rsid w:val="000A4315"/>
    <w:rsid w:val="000A4E91"/>
    <w:rsid w:val="000A628C"/>
    <w:rsid w:val="000B21B5"/>
    <w:rsid w:val="000B4953"/>
    <w:rsid w:val="000B756B"/>
    <w:rsid w:val="000C13C4"/>
    <w:rsid w:val="000C6240"/>
    <w:rsid w:val="000D0373"/>
    <w:rsid w:val="000D069C"/>
    <w:rsid w:val="000D14AC"/>
    <w:rsid w:val="000D2D7B"/>
    <w:rsid w:val="000D3E6A"/>
    <w:rsid w:val="000D68C5"/>
    <w:rsid w:val="000D7342"/>
    <w:rsid w:val="000E1270"/>
    <w:rsid w:val="000E31FE"/>
    <w:rsid w:val="000E6138"/>
    <w:rsid w:val="000E69DD"/>
    <w:rsid w:val="000F00D8"/>
    <w:rsid w:val="000F11DE"/>
    <w:rsid w:val="000F411E"/>
    <w:rsid w:val="000F51A7"/>
    <w:rsid w:val="000F5A57"/>
    <w:rsid w:val="00100136"/>
    <w:rsid w:val="00101650"/>
    <w:rsid w:val="00101BB2"/>
    <w:rsid w:val="00107A87"/>
    <w:rsid w:val="00110F15"/>
    <w:rsid w:val="00114E14"/>
    <w:rsid w:val="001150B2"/>
    <w:rsid w:val="00115C96"/>
    <w:rsid w:val="00122185"/>
    <w:rsid w:val="001238EA"/>
    <w:rsid w:val="001278EF"/>
    <w:rsid w:val="0013127B"/>
    <w:rsid w:val="0013280F"/>
    <w:rsid w:val="00133F33"/>
    <w:rsid w:val="0013575E"/>
    <w:rsid w:val="00140A30"/>
    <w:rsid w:val="0014511F"/>
    <w:rsid w:val="00145608"/>
    <w:rsid w:val="00146594"/>
    <w:rsid w:val="00152DE9"/>
    <w:rsid w:val="00154F35"/>
    <w:rsid w:val="0016228A"/>
    <w:rsid w:val="001629EA"/>
    <w:rsid w:val="001673AE"/>
    <w:rsid w:val="00167494"/>
    <w:rsid w:val="00176294"/>
    <w:rsid w:val="0017798E"/>
    <w:rsid w:val="00181853"/>
    <w:rsid w:val="00182575"/>
    <w:rsid w:val="00185B6A"/>
    <w:rsid w:val="0018625F"/>
    <w:rsid w:val="00192286"/>
    <w:rsid w:val="00193EFB"/>
    <w:rsid w:val="001A0960"/>
    <w:rsid w:val="001A26F6"/>
    <w:rsid w:val="001A4308"/>
    <w:rsid w:val="001A64A2"/>
    <w:rsid w:val="001A6EB6"/>
    <w:rsid w:val="001A77EC"/>
    <w:rsid w:val="001B0DB8"/>
    <w:rsid w:val="001B1383"/>
    <w:rsid w:val="001B1961"/>
    <w:rsid w:val="001B332E"/>
    <w:rsid w:val="001C175F"/>
    <w:rsid w:val="001C5663"/>
    <w:rsid w:val="001D3121"/>
    <w:rsid w:val="001D3B13"/>
    <w:rsid w:val="001D4206"/>
    <w:rsid w:val="001D5906"/>
    <w:rsid w:val="001D5D31"/>
    <w:rsid w:val="001D723C"/>
    <w:rsid w:val="001E381F"/>
    <w:rsid w:val="001E79D6"/>
    <w:rsid w:val="001E7BFA"/>
    <w:rsid w:val="001F18B7"/>
    <w:rsid w:val="001F2EA1"/>
    <w:rsid w:val="001F306A"/>
    <w:rsid w:val="001F3550"/>
    <w:rsid w:val="001F6213"/>
    <w:rsid w:val="002065ED"/>
    <w:rsid w:val="002071E2"/>
    <w:rsid w:val="00211D32"/>
    <w:rsid w:val="00214063"/>
    <w:rsid w:val="00222C3D"/>
    <w:rsid w:val="0022552F"/>
    <w:rsid w:val="00230E4D"/>
    <w:rsid w:val="0023130B"/>
    <w:rsid w:val="0023230D"/>
    <w:rsid w:val="00232E92"/>
    <w:rsid w:val="002348E0"/>
    <w:rsid w:val="00236A88"/>
    <w:rsid w:val="00236B6C"/>
    <w:rsid w:val="00240ECE"/>
    <w:rsid w:val="00240F3F"/>
    <w:rsid w:val="002413DE"/>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47"/>
    <w:rsid w:val="00271658"/>
    <w:rsid w:val="00271D3E"/>
    <w:rsid w:val="00272935"/>
    <w:rsid w:val="00272DC3"/>
    <w:rsid w:val="002742C7"/>
    <w:rsid w:val="00274636"/>
    <w:rsid w:val="00274E8A"/>
    <w:rsid w:val="00275D5B"/>
    <w:rsid w:val="00276D09"/>
    <w:rsid w:val="002772F9"/>
    <w:rsid w:val="00277825"/>
    <w:rsid w:val="00277863"/>
    <w:rsid w:val="0028345B"/>
    <w:rsid w:val="00287F4F"/>
    <w:rsid w:val="00290AF4"/>
    <w:rsid w:val="00291C37"/>
    <w:rsid w:val="0029625A"/>
    <w:rsid w:val="002A4458"/>
    <w:rsid w:val="002A5560"/>
    <w:rsid w:val="002B0589"/>
    <w:rsid w:val="002B1CC5"/>
    <w:rsid w:val="002B200F"/>
    <w:rsid w:val="002B21A7"/>
    <w:rsid w:val="002B3385"/>
    <w:rsid w:val="002B3FA9"/>
    <w:rsid w:val="002B52D9"/>
    <w:rsid w:val="002B74E2"/>
    <w:rsid w:val="002C114A"/>
    <w:rsid w:val="002C14A0"/>
    <w:rsid w:val="002C2451"/>
    <w:rsid w:val="002C290E"/>
    <w:rsid w:val="002C2DCB"/>
    <w:rsid w:val="002C4E73"/>
    <w:rsid w:val="002D1A2F"/>
    <w:rsid w:val="002D4220"/>
    <w:rsid w:val="002D529E"/>
    <w:rsid w:val="002D57F1"/>
    <w:rsid w:val="002D609D"/>
    <w:rsid w:val="002E13F8"/>
    <w:rsid w:val="002E29D3"/>
    <w:rsid w:val="002E530C"/>
    <w:rsid w:val="002F34F6"/>
    <w:rsid w:val="002F3773"/>
    <w:rsid w:val="002F5FCD"/>
    <w:rsid w:val="003002C3"/>
    <w:rsid w:val="00302999"/>
    <w:rsid w:val="003037CA"/>
    <w:rsid w:val="00303A17"/>
    <w:rsid w:val="00304475"/>
    <w:rsid w:val="00320D41"/>
    <w:rsid w:val="00322960"/>
    <w:rsid w:val="003229DF"/>
    <w:rsid w:val="0032593C"/>
    <w:rsid w:val="00326008"/>
    <w:rsid w:val="0032660B"/>
    <w:rsid w:val="00326D04"/>
    <w:rsid w:val="003277FA"/>
    <w:rsid w:val="0033007D"/>
    <w:rsid w:val="00331AEF"/>
    <w:rsid w:val="0033237C"/>
    <w:rsid w:val="00335D8D"/>
    <w:rsid w:val="00335F7B"/>
    <w:rsid w:val="00340F80"/>
    <w:rsid w:val="0034121A"/>
    <w:rsid w:val="00342844"/>
    <w:rsid w:val="00343691"/>
    <w:rsid w:val="00343E60"/>
    <w:rsid w:val="00343EFB"/>
    <w:rsid w:val="00344309"/>
    <w:rsid w:val="0035259C"/>
    <w:rsid w:val="0035390B"/>
    <w:rsid w:val="00354F36"/>
    <w:rsid w:val="003559D3"/>
    <w:rsid w:val="0035618D"/>
    <w:rsid w:val="003566B9"/>
    <w:rsid w:val="00356917"/>
    <w:rsid w:val="00362997"/>
    <w:rsid w:val="00364A15"/>
    <w:rsid w:val="00371398"/>
    <w:rsid w:val="003738BF"/>
    <w:rsid w:val="00373ABC"/>
    <w:rsid w:val="003757DB"/>
    <w:rsid w:val="00376B86"/>
    <w:rsid w:val="00376FA5"/>
    <w:rsid w:val="003802CA"/>
    <w:rsid w:val="00382C48"/>
    <w:rsid w:val="00383C7B"/>
    <w:rsid w:val="00391BC6"/>
    <w:rsid w:val="00392E16"/>
    <w:rsid w:val="0039304F"/>
    <w:rsid w:val="003931E1"/>
    <w:rsid w:val="00393850"/>
    <w:rsid w:val="00393B48"/>
    <w:rsid w:val="00396235"/>
    <w:rsid w:val="003A13E3"/>
    <w:rsid w:val="003A226A"/>
    <w:rsid w:val="003A2C59"/>
    <w:rsid w:val="003A4A03"/>
    <w:rsid w:val="003A4A2C"/>
    <w:rsid w:val="003A6F65"/>
    <w:rsid w:val="003B1CB4"/>
    <w:rsid w:val="003C22B5"/>
    <w:rsid w:val="003C2A1B"/>
    <w:rsid w:val="003C2D86"/>
    <w:rsid w:val="003C33F9"/>
    <w:rsid w:val="003C4B53"/>
    <w:rsid w:val="003D0404"/>
    <w:rsid w:val="003D198B"/>
    <w:rsid w:val="003D19B1"/>
    <w:rsid w:val="003D20E0"/>
    <w:rsid w:val="003D4F03"/>
    <w:rsid w:val="003E0011"/>
    <w:rsid w:val="003E180C"/>
    <w:rsid w:val="003E270F"/>
    <w:rsid w:val="003E65A0"/>
    <w:rsid w:val="003E72C7"/>
    <w:rsid w:val="003F46BB"/>
    <w:rsid w:val="003F4E35"/>
    <w:rsid w:val="003F57CE"/>
    <w:rsid w:val="003F63BF"/>
    <w:rsid w:val="0040206B"/>
    <w:rsid w:val="004024C2"/>
    <w:rsid w:val="00402522"/>
    <w:rsid w:val="00403C49"/>
    <w:rsid w:val="00406575"/>
    <w:rsid w:val="00406882"/>
    <w:rsid w:val="00407CB2"/>
    <w:rsid w:val="00413082"/>
    <w:rsid w:val="004173C5"/>
    <w:rsid w:val="00422127"/>
    <w:rsid w:val="00422BB7"/>
    <w:rsid w:val="00423DFB"/>
    <w:rsid w:val="004249D7"/>
    <w:rsid w:val="00426F26"/>
    <w:rsid w:val="00426F67"/>
    <w:rsid w:val="00427AB0"/>
    <w:rsid w:val="00427B65"/>
    <w:rsid w:val="00427FAC"/>
    <w:rsid w:val="00434CEC"/>
    <w:rsid w:val="00435637"/>
    <w:rsid w:val="0043649A"/>
    <w:rsid w:val="004401FC"/>
    <w:rsid w:val="00441351"/>
    <w:rsid w:val="00447B18"/>
    <w:rsid w:val="00450D4C"/>
    <w:rsid w:val="004560B3"/>
    <w:rsid w:val="004570CF"/>
    <w:rsid w:val="00457A80"/>
    <w:rsid w:val="0046347C"/>
    <w:rsid w:val="004643B5"/>
    <w:rsid w:val="00464530"/>
    <w:rsid w:val="00464BA4"/>
    <w:rsid w:val="0046638E"/>
    <w:rsid w:val="00466815"/>
    <w:rsid w:val="00466EE0"/>
    <w:rsid w:val="004706F6"/>
    <w:rsid w:val="004713DE"/>
    <w:rsid w:val="00473059"/>
    <w:rsid w:val="00475051"/>
    <w:rsid w:val="004750D1"/>
    <w:rsid w:val="004756F2"/>
    <w:rsid w:val="00476F8B"/>
    <w:rsid w:val="0048076C"/>
    <w:rsid w:val="00481ED5"/>
    <w:rsid w:val="00484C14"/>
    <w:rsid w:val="00491F4F"/>
    <w:rsid w:val="00494905"/>
    <w:rsid w:val="0049502B"/>
    <w:rsid w:val="004A2258"/>
    <w:rsid w:val="004A5CE9"/>
    <w:rsid w:val="004A618E"/>
    <w:rsid w:val="004B24B8"/>
    <w:rsid w:val="004B64FB"/>
    <w:rsid w:val="004B792B"/>
    <w:rsid w:val="004C0D45"/>
    <w:rsid w:val="004C1F41"/>
    <w:rsid w:val="004C26EC"/>
    <w:rsid w:val="004C3433"/>
    <w:rsid w:val="004C3743"/>
    <w:rsid w:val="004C5D57"/>
    <w:rsid w:val="004D1D2A"/>
    <w:rsid w:val="004D33A5"/>
    <w:rsid w:val="004D67BF"/>
    <w:rsid w:val="004E3720"/>
    <w:rsid w:val="004E5AEB"/>
    <w:rsid w:val="004E74AE"/>
    <w:rsid w:val="004F26AE"/>
    <w:rsid w:val="004F444B"/>
    <w:rsid w:val="005016FC"/>
    <w:rsid w:val="005045E8"/>
    <w:rsid w:val="0050638A"/>
    <w:rsid w:val="00506E56"/>
    <w:rsid w:val="005106A3"/>
    <w:rsid w:val="005148E6"/>
    <w:rsid w:val="00515DEE"/>
    <w:rsid w:val="00520F98"/>
    <w:rsid w:val="0052277E"/>
    <w:rsid w:val="00524E7F"/>
    <w:rsid w:val="0052769E"/>
    <w:rsid w:val="005319CF"/>
    <w:rsid w:val="00533A86"/>
    <w:rsid w:val="00534746"/>
    <w:rsid w:val="00534837"/>
    <w:rsid w:val="005372D4"/>
    <w:rsid w:val="005403CF"/>
    <w:rsid w:val="005405F4"/>
    <w:rsid w:val="00541A96"/>
    <w:rsid w:val="00541D83"/>
    <w:rsid w:val="00544D72"/>
    <w:rsid w:val="0054618D"/>
    <w:rsid w:val="005466E2"/>
    <w:rsid w:val="00546A8A"/>
    <w:rsid w:val="00551043"/>
    <w:rsid w:val="005510C4"/>
    <w:rsid w:val="005518FF"/>
    <w:rsid w:val="0055473F"/>
    <w:rsid w:val="00560656"/>
    <w:rsid w:val="00560A22"/>
    <w:rsid w:val="00564025"/>
    <w:rsid w:val="005701A5"/>
    <w:rsid w:val="0057149C"/>
    <w:rsid w:val="005748C6"/>
    <w:rsid w:val="00576783"/>
    <w:rsid w:val="00580FB7"/>
    <w:rsid w:val="00583D52"/>
    <w:rsid w:val="00587753"/>
    <w:rsid w:val="00590583"/>
    <w:rsid w:val="00592C10"/>
    <w:rsid w:val="00592DA6"/>
    <w:rsid w:val="005945DF"/>
    <w:rsid w:val="00595F79"/>
    <w:rsid w:val="00597AD8"/>
    <w:rsid w:val="005A063B"/>
    <w:rsid w:val="005A21F9"/>
    <w:rsid w:val="005A2720"/>
    <w:rsid w:val="005A2DCB"/>
    <w:rsid w:val="005A5F27"/>
    <w:rsid w:val="005B0688"/>
    <w:rsid w:val="005B3C75"/>
    <w:rsid w:val="005B4D13"/>
    <w:rsid w:val="005C0662"/>
    <w:rsid w:val="005C414F"/>
    <w:rsid w:val="005C4D25"/>
    <w:rsid w:val="005C5230"/>
    <w:rsid w:val="005C6A68"/>
    <w:rsid w:val="005D2854"/>
    <w:rsid w:val="005D2B01"/>
    <w:rsid w:val="005D4F5D"/>
    <w:rsid w:val="005D66D7"/>
    <w:rsid w:val="005E0669"/>
    <w:rsid w:val="005E785A"/>
    <w:rsid w:val="005E7D96"/>
    <w:rsid w:val="005F2794"/>
    <w:rsid w:val="005F4225"/>
    <w:rsid w:val="005F61A0"/>
    <w:rsid w:val="005F7393"/>
    <w:rsid w:val="00600579"/>
    <w:rsid w:val="00602266"/>
    <w:rsid w:val="00603030"/>
    <w:rsid w:val="00603CC3"/>
    <w:rsid w:val="006047EE"/>
    <w:rsid w:val="006058A2"/>
    <w:rsid w:val="00605FB4"/>
    <w:rsid w:val="00606B98"/>
    <w:rsid w:val="00613613"/>
    <w:rsid w:val="00613665"/>
    <w:rsid w:val="00617601"/>
    <w:rsid w:val="006179E3"/>
    <w:rsid w:val="006208D2"/>
    <w:rsid w:val="00621A79"/>
    <w:rsid w:val="00622FC9"/>
    <w:rsid w:val="00625F28"/>
    <w:rsid w:val="006308D2"/>
    <w:rsid w:val="00632D49"/>
    <w:rsid w:val="006332E1"/>
    <w:rsid w:val="00635C3B"/>
    <w:rsid w:val="00636305"/>
    <w:rsid w:val="006404D8"/>
    <w:rsid w:val="0064149C"/>
    <w:rsid w:val="0064316D"/>
    <w:rsid w:val="00644259"/>
    <w:rsid w:val="006449F6"/>
    <w:rsid w:val="006527DA"/>
    <w:rsid w:val="00652E8B"/>
    <w:rsid w:val="00656BE6"/>
    <w:rsid w:val="00656DF0"/>
    <w:rsid w:val="00657DC0"/>
    <w:rsid w:val="006638FC"/>
    <w:rsid w:val="00664F74"/>
    <w:rsid w:val="006652B9"/>
    <w:rsid w:val="0066795B"/>
    <w:rsid w:val="006755C2"/>
    <w:rsid w:val="00682872"/>
    <w:rsid w:val="00684BBD"/>
    <w:rsid w:val="006866B4"/>
    <w:rsid w:val="006871E3"/>
    <w:rsid w:val="00690046"/>
    <w:rsid w:val="00690F39"/>
    <w:rsid w:val="006933A5"/>
    <w:rsid w:val="0069363E"/>
    <w:rsid w:val="00693D47"/>
    <w:rsid w:val="00697ACB"/>
    <w:rsid w:val="00697BAD"/>
    <w:rsid w:val="006A02FA"/>
    <w:rsid w:val="006A1773"/>
    <w:rsid w:val="006A2EF8"/>
    <w:rsid w:val="006A3026"/>
    <w:rsid w:val="006B18A6"/>
    <w:rsid w:val="006B226B"/>
    <w:rsid w:val="006B34EB"/>
    <w:rsid w:val="006B4728"/>
    <w:rsid w:val="006B489A"/>
    <w:rsid w:val="006C02FD"/>
    <w:rsid w:val="006C603F"/>
    <w:rsid w:val="006C6E9A"/>
    <w:rsid w:val="006D05BD"/>
    <w:rsid w:val="006D21FC"/>
    <w:rsid w:val="006D3A03"/>
    <w:rsid w:val="006D430E"/>
    <w:rsid w:val="006D69B3"/>
    <w:rsid w:val="006D728E"/>
    <w:rsid w:val="006E0759"/>
    <w:rsid w:val="006E107A"/>
    <w:rsid w:val="006E1139"/>
    <w:rsid w:val="006E2053"/>
    <w:rsid w:val="006E242E"/>
    <w:rsid w:val="006E4942"/>
    <w:rsid w:val="006E703B"/>
    <w:rsid w:val="006E7EA7"/>
    <w:rsid w:val="006F529D"/>
    <w:rsid w:val="006F583B"/>
    <w:rsid w:val="007034C2"/>
    <w:rsid w:val="00703A34"/>
    <w:rsid w:val="00705960"/>
    <w:rsid w:val="0070620F"/>
    <w:rsid w:val="0070738D"/>
    <w:rsid w:val="00711C4B"/>
    <w:rsid w:val="00712802"/>
    <w:rsid w:val="00713430"/>
    <w:rsid w:val="007146A4"/>
    <w:rsid w:val="00715711"/>
    <w:rsid w:val="007173E4"/>
    <w:rsid w:val="0072223E"/>
    <w:rsid w:val="00723B95"/>
    <w:rsid w:val="00724693"/>
    <w:rsid w:val="00724706"/>
    <w:rsid w:val="007279AC"/>
    <w:rsid w:val="00730F20"/>
    <w:rsid w:val="007314E9"/>
    <w:rsid w:val="00732788"/>
    <w:rsid w:val="00732C2E"/>
    <w:rsid w:val="007334D8"/>
    <w:rsid w:val="00734183"/>
    <w:rsid w:val="00736115"/>
    <w:rsid w:val="00736C1D"/>
    <w:rsid w:val="007373AA"/>
    <w:rsid w:val="00737828"/>
    <w:rsid w:val="00737877"/>
    <w:rsid w:val="00740437"/>
    <w:rsid w:val="00756243"/>
    <w:rsid w:val="00757306"/>
    <w:rsid w:val="00763FE6"/>
    <w:rsid w:val="0076406B"/>
    <w:rsid w:val="00766BBA"/>
    <w:rsid w:val="00771FA3"/>
    <w:rsid w:val="007740F8"/>
    <w:rsid w:val="00774A28"/>
    <w:rsid w:val="007755C9"/>
    <w:rsid w:val="00780998"/>
    <w:rsid w:val="00781EF4"/>
    <w:rsid w:val="00784104"/>
    <w:rsid w:val="00785044"/>
    <w:rsid w:val="0078708B"/>
    <w:rsid w:val="007876A9"/>
    <w:rsid w:val="0079385F"/>
    <w:rsid w:val="00795F52"/>
    <w:rsid w:val="00797129"/>
    <w:rsid w:val="007A2FF1"/>
    <w:rsid w:val="007B323A"/>
    <w:rsid w:val="007B3CD8"/>
    <w:rsid w:val="007B7601"/>
    <w:rsid w:val="007C13E9"/>
    <w:rsid w:val="007C3396"/>
    <w:rsid w:val="007C344F"/>
    <w:rsid w:val="007C4E91"/>
    <w:rsid w:val="007D05BD"/>
    <w:rsid w:val="007D50D1"/>
    <w:rsid w:val="007E0CB1"/>
    <w:rsid w:val="007E2FC4"/>
    <w:rsid w:val="007E5D60"/>
    <w:rsid w:val="007E5FAA"/>
    <w:rsid w:val="007E6E9E"/>
    <w:rsid w:val="007E782F"/>
    <w:rsid w:val="007E7D2B"/>
    <w:rsid w:val="007F08CF"/>
    <w:rsid w:val="007F2926"/>
    <w:rsid w:val="007F32E2"/>
    <w:rsid w:val="007F333E"/>
    <w:rsid w:val="007F3A51"/>
    <w:rsid w:val="007F5575"/>
    <w:rsid w:val="00803172"/>
    <w:rsid w:val="008042DE"/>
    <w:rsid w:val="00805F35"/>
    <w:rsid w:val="00807332"/>
    <w:rsid w:val="0080743D"/>
    <w:rsid w:val="00811FD1"/>
    <w:rsid w:val="008128AF"/>
    <w:rsid w:val="008138F5"/>
    <w:rsid w:val="00817D3A"/>
    <w:rsid w:val="00820117"/>
    <w:rsid w:val="00822458"/>
    <w:rsid w:val="00823CF5"/>
    <w:rsid w:val="00825875"/>
    <w:rsid w:val="00826B5E"/>
    <w:rsid w:val="00826CB9"/>
    <w:rsid w:val="00827994"/>
    <w:rsid w:val="00830410"/>
    <w:rsid w:val="00830CAA"/>
    <w:rsid w:val="0083163D"/>
    <w:rsid w:val="00834650"/>
    <w:rsid w:val="00836A74"/>
    <w:rsid w:val="00840D93"/>
    <w:rsid w:val="00842759"/>
    <w:rsid w:val="008433F1"/>
    <w:rsid w:val="00843442"/>
    <w:rsid w:val="00850890"/>
    <w:rsid w:val="00850C27"/>
    <w:rsid w:val="008566BC"/>
    <w:rsid w:val="0085702D"/>
    <w:rsid w:val="00866709"/>
    <w:rsid w:val="008673DC"/>
    <w:rsid w:val="00870A78"/>
    <w:rsid w:val="0088224B"/>
    <w:rsid w:val="00886021"/>
    <w:rsid w:val="00887659"/>
    <w:rsid w:val="008913A5"/>
    <w:rsid w:val="0089390F"/>
    <w:rsid w:val="00896EAC"/>
    <w:rsid w:val="008A26EC"/>
    <w:rsid w:val="008A3070"/>
    <w:rsid w:val="008A3E20"/>
    <w:rsid w:val="008A5BBF"/>
    <w:rsid w:val="008A61EC"/>
    <w:rsid w:val="008A6368"/>
    <w:rsid w:val="008A6BAD"/>
    <w:rsid w:val="008B2E70"/>
    <w:rsid w:val="008B33A7"/>
    <w:rsid w:val="008B411F"/>
    <w:rsid w:val="008B5A87"/>
    <w:rsid w:val="008B750D"/>
    <w:rsid w:val="008C0F5D"/>
    <w:rsid w:val="008C179A"/>
    <w:rsid w:val="008C17FC"/>
    <w:rsid w:val="008C252C"/>
    <w:rsid w:val="008C3271"/>
    <w:rsid w:val="008C3F6A"/>
    <w:rsid w:val="008C4A3F"/>
    <w:rsid w:val="008C4BCA"/>
    <w:rsid w:val="008C4C9A"/>
    <w:rsid w:val="008C5FB7"/>
    <w:rsid w:val="008D3866"/>
    <w:rsid w:val="008D4265"/>
    <w:rsid w:val="008D5079"/>
    <w:rsid w:val="008E39BE"/>
    <w:rsid w:val="008E4366"/>
    <w:rsid w:val="008E61EA"/>
    <w:rsid w:val="008E6B05"/>
    <w:rsid w:val="008E7106"/>
    <w:rsid w:val="008F100A"/>
    <w:rsid w:val="008F30D6"/>
    <w:rsid w:val="009008F1"/>
    <w:rsid w:val="00901DFB"/>
    <w:rsid w:val="0090291B"/>
    <w:rsid w:val="009059EB"/>
    <w:rsid w:val="00910165"/>
    <w:rsid w:val="00911413"/>
    <w:rsid w:val="00911AA7"/>
    <w:rsid w:val="00912099"/>
    <w:rsid w:val="00912131"/>
    <w:rsid w:val="00912F0F"/>
    <w:rsid w:val="00914039"/>
    <w:rsid w:val="00915320"/>
    <w:rsid w:val="009177F0"/>
    <w:rsid w:val="00926C61"/>
    <w:rsid w:val="00926DA4"/>
    <w:rsid w:val="0092779A"/>
    <w:rsid w:val="00927974"/>
    <w:rsid w:val="009304BA"/>
    <w:rsid w:val="0093265F"/>
    <w:rsid w:val="00932799"/>
    <w:rsid w:val="00935882"/>
    <w:rsid w:val="00936B57"/>
    <w:rsid w:val="00936BAF"/>
    <w:rsid w:val="009415C6"/>
    <w:rsid w:val="009426CD"/>
    <w:rsid w:val="009432D5"/>
    <w:rsid w:val="00943556"/>
    <w:rsid w:val="0094569D"/>
    <w:rsid w:val="00952B97"/>
    <w:rsid w:val="00953D8B"/>
    <w:rsid w:val="00953E76"/>
    <w:rsid w:val="00954256"/>
    <w:rsid w:val="009626D7"/>
    <w:rsid w:val="009631AA"/>
    <w:rsid w:val="00965A75"/>
    <w:rsid w:val="0097020F"/>
    <w:rsid w:val="00971B13"/>
    <w:rsid w:val="00971C39"/>
    <w:rsid w:val="00972555"/>
    <w:rsid w:val="00975387"/>
    <w:rsid w:val="00982D29"/>
    <w:rsid w:val="00983052"/>
    <w:rsid w:val="00984B3B"/>
    <w:rsid w:val="00985E07"/>
    <w:rsid w:val="0099251D"/>
    <w:rsid w:val="009957C9"/>
    <w:rsid w:val="009A0566"/>
    <w:rsid w:val="009A549C"/>
    <w:rsid w:val="009A576F"/>
    <w:rsid w:val="009A5FC1"/>
    <w:rsid w:val="009A767D"/>
    <w:rsid w:val="009B29F1"/>
    <w:rsid w:val="009B4292"/>
    <w:rsid w:val="009B5238"/>
    <w:rsid w:val="009C0359"/>
    <w:rsid w:val="009C217A"/>
    <w:rsid w:val="009C7E6B"/>
    <w:rsid w:val="009D0FCE"/>
    <w:rsid w:val="009D311E"/>
    <w:rsid w:val="009D32C0"/>
    <w:rsid w:val="009E1F8F"/>
    <w:rsid w:val="009E2305"/>
    <w:rsid w:val="009E2B5B"/>
    <w:rsid w:val="009E2D1F"/>
    <w:rsid w:val="009E376D"/>
    <w:rsid w:val="009E4005"/>
    <w:rsid w:val="009E40F6"/>
    <w:rsid w:val="009E6D56"/>
    <w:rsid w:val="009F0049"/>
    <w:rsid w:val="009F0FE0"/>
    <w:rsid w:val="009F1863"/>
    <w:rsid w:val="009F1F61"/>
    <w:rsid w:val="009F386B"/>
    <w:rsid w:val="009F4518"/>
    <w:rsid w:val="009F47F7"/>
    <w:rsid w:val="009F491D"/>
    <w:rsid w:val="009F5B72"/>
    <w:rsid w:val="009F5F94"/>
    <w:rsid w:val="009F6238"/>
    <w:rsid w:val="009F6A4D"/>
    <w:rsid w:val="00A010F0"/>
    <w:rsid w:val="00A01E21"/>
    <w:rsid w:val="00A04E85"/>
    <w:rsid w:val="00A05201"/>
    <w:rsid w:val="00A05A39"/>
    <w:rsid w:val="00A06899"/>
    <w:rsid w:val="00A07CE4"/>
    <w:rsid w:val="00A10737"/>
    <w:rsid w:val="00A1382B"/>
    <w:rsid w:val="00A16063"/>
    <w:rsid w:val="00A16AC9"/>
    <w:rsid w:val="00A172AD"/>
    <w:rsid w:val="00A21D4A"/>
    <w:rsid w:val="00A253E6"/>
    <w:rsid w:val="00A324D8"/>
    <w:rsid w:val="00A340A1"/>
    <w:rsid w:val="00A343E7"/>
    <w:rsid w:val="00A354B9"/>
    <w:rsid w:val="00A4103D"/>
    <w:rsid w:val="00A4188C"/>
    <w:rsid w:val="00A42231"/>
    <w:rsid w:val="00A44DE2"/>
    <w:rsid w:val="00A4510A"/>
    <w:rsid w:val="00A464E6"/>
    <w:rsid w:val="00A46A0C"/>
    <w:rsid w:val="00A476CA"/>
    <w:rsid w:val="00A50886"/>
    <w:rsid w:val="00A50CD5"/>
    <w:rsid w:val="00A528AB"/>
    <w:rsid w:val="00A54AB0"/>
    <w:rsid w:val="00A57196"/>
    <w:rsid w:val="00A61526"/>
    <w:rsid w:val="00A62C9C"/>
    <w:rsid w:val="00A66F46"/>
    <w:rsid w:val="00A703BC"/>
    <w:rsid w:val="00A71872"/>
    <w:rsid w:val="00A72635"/>
    <w:rsid w:val="00A72B60"/>
    <w:rsid w:val="00A76A4C"/>
    <w:rsid w:val="00A807F7"/>
    <w:rsid w:val="00A82757"/>
    <w:rsid w:val="00A82A92"/>
    <w:rsid w:val="00A82C6F"/>
    <w:rsid w:val="00A844A3"/>
    <w:rsid w:val="00A86533"/>
    <w:rsid w:val="00A865BD"/>
    <w:rsid w:val="00A969D9"/>
    <w:rsid w:val="00A97895"/>
    <w:rsid w:val="00A978AD"/>
    <w:rsid w:val="00AA0750"/>
    <w:rsid w:val="00AA2BCF"/>
    <w:rsid w:val="00AA42EB"/>
    <w:rsid w:val="00AA471F"/>
    <w:rsid w:val="00AA4CD6"/>
    <w:rsid w:val="00AA5F48"/>
    <w:rsid w:val="00AA6AA7"/>
    <w:rsid w:val="00AB0C22"/>
    <w:rsid w:val="00AB15D0"/>
    <w:rsid w:val="00AB3F4D"/>
    <w:rsid w:val="00AB40FF"/>
    <w:rsid w:val="00AB5AA1"/>
    <w:rsid w:val="00AB7695"/>
    <w:rsid w:val="00AC08CB"/>
    <w:rsid w:val="00AC4D4B"/>
    <w:rsid w:val="00AC6318"/>
    <w:rsid w:val="00AC65D1"/>
    <w:rsid w:val="00AD33B8"/>
    <w:rsid w:val="00AD3410"/>
    <w:rsid w:val="00AD5119"/>
    <w:rsid w:val="00AD696A"/>
    <w:rsid w:val="00AD7A54"/>
    <w:rsid w:val="00AE04DA"/>
    <w:rsid w:val="00AE113E"/>
    <w:rsid w:val="00AE157B"/>
    <w:rsid w:val="00AE2ABB"/>
    <w:rsid w:val="00AE3588"/>
    <w:rsid w:val="00AE406E"/>
    <w:rsid w:val="00AE4C07"/>
    <w:rsid w:val="00AE6473"/>
    <w:rsid w:val="00AE7E12"/>
    <w:rsid w:val="00AF35CD"/>
    <w:rsid w:val="00B01706"/>
    <w:rsid w:val="00B02AEB"/>
    <w:rsid w:val="00B02EB5"/>
    <w:rsid w:val="00B04463"/>
    <w:rsid w:val="00B045C4"/>
    <w:rsid w:val="00B11569"/>
    <w:rsid w:val="00B145AD"/>
    <w:rsid w:val="00B16537"/>
    <w:rsid w:val="00B20512"/>
    <w:rsid w:val="00B20768"/>
    <w:rsid w:val="00B2095D"/>
    <w:rsid w:val="00B2197B"/>
    <w:rsid w:val="00B244E7"/>
    <w:rsid w:val="00B31306"/>
    <w:rsid w:val="00B366C7"/>
    <w:rsid w:val="00B36A82"/>
    <w:rsid w:val="00B36FD4"/>
    <w:rsid w:val="00B3761A"/>
    <w:rsid w:val="00B40DE3"/>
    <w:rsid w:val="00B41B44"/>
    <w:rsid w:val="00B41B93"/>
    <w:rsid w:val="00B43AC0"/>
    <w:rsid w:val="00B46A1B"/>
    <w:rsid w:val="00B47C52"/>
    <w:rsid w:val="00B5283F"/>
    <w:rsid w:val="00B536BB"/>
    <w:rsid w:val="00B54217"/>
    <w:rsid w:val="00B55F87"/>
    <w:rsid w:val="00B57598"/>
    <w:rsid w:val="00B61927"/>
    <w:rsid w:val="00B62CB0"/>
    <w:rsid w:val="00B67E83"/>
    <w:rsid w:val="00B71514"/>
    <w:rsid w:val="00B72322"/>
    <w:rsid w:val="00B74E61"/>
    <w:rsid w:val="00B7539B"/>
    <w:rsid w:val="00B76131"/>
    <w:rsid w:val="00B80F67"/>
    <w:rsid w:val="00B81156"/>
    <w:rsid w:val="00B82E62"/>
    <w:rsid w:val="00B86B9E"/>
    <w:rsid w:val="00B879C6"/>
    <w:rsid w:val="00B90B19"/>
    <w:rsid w:val="00B90F51"/>
    <w:rsid w:val="00B91E3C"/>
    <w:rsid w:val="00B93DB3"/>
    <w:rsid w:val="00B96624"/>
    <w:rsid w:val="00B96B94"/>
    <w:rsid w:val="00BA0E2B"/>
    <w:rsid w:val="00BA5428"/>
    <w:rsid w:val="00BA5789"/>
    <w:rsid w:val="00BA62B7"/>
    <w:rsid w:val="00BA66D6"/>
    <w:rsid w:val="00BB07AA"/>
    <w:rsid w:val="00BB2670"/>
    <w:rsid w:val="00BB272D"/>
    <w:rsid w:val="00BB4544"/>
    <w:rsid w:val="00BB505D"/>
    <w:rsid w:val="00BB5103"/>
    <w:rsid w:val="00BB551D"/>
    <w:rsid w:val="00BB7F0F"/>
    <w:rsid w:val="00BC129B"/>
    <w:rsid w:val="00BC1F3C"/>
    <w:rsid w:val="00BC7429"/>
    <w:rsid w:val="00BD08CF"/>
    <w:rsid w:val="00BD1182"/>
    <w:rsid w:val="00BE590E"/>
    <w:rsid w:val="00BE6A92"/>
    <w:rsid w:val="00BF0CCC"/>
    <w:rsid w:val="00BF0DB6"/>
    <w:rsid w:val="00BF0F74"/>
    <w:rsid w:val="00BF101B"/>
    <w:rsid w:val="00BF33A9"/>
    <w:rsid w:val="00BF4ACC"/>
    <w:rsid w:val="00BF5430"/>
    <w:rsid w:val="00C02C21"/>
    <w:rsid w:val="00C13868"/>
    <w:rsid w:val="00C15E6D"/>
    <w:rsid w:val="00C164B0"/>
    <w:rsid w:val="00C16ECE"/>
    <w:rsid w:val="00C24CEB"/>
    <w:rsid w:val="00C251B1"/>
    <w:rsid w:val="00C25DB5"/>
    <w:rsid w:val="00C27322"/>
    <w:rsid w:val="00C317F4"/>
    <w:rsid w:val="00C33857"/>
    <w:rsid w:val="00C37B9E"/>
    <w:rsid w:val="00C42660"/>
    <w:rsid w:val="00C42D4B"/>
    <w:rsid w:val="00C440C5"/>
    <w:rsid w:val="00C4538D"/>
    <w:rsid w:val="00C4660A"/>
    <w:rsid w:val="00C47C9D"/>
    <w:rsid w:val="00C500D4"/>
    <w:rsid w:val="00C50BF6"/>
    <w:rsid w:val="00C51984"/>
    <w:rsid w:val="00C530C5"/>
    <w:rsid w:val="00C56033"/>
    <w:rsid w:val="00C56503"/>
    <w:rsid w:val="00C60F13"/>
    <w:rsid w:val="00C612F6"/>
    <w:rsid w:val="00C61AE7"/>
    <w:rsid w:val="00C62936"/>
    <w:rsid w:val="00C64DD8"/>
    <w:rsid w:val="00C65F6D"/>
    <w:rsid w:val="00C67EEF"/>
    <w:rsid w:val="00C7006F"/>
    <w:rsid w:val="00C70D23"/>
    <w:rsid w:val="00C70F2C"/>
    <w:rsid w:val="00C7162C"/>
    <w:rsid w:val="00C82777"/>
    <w:rsid w:val="00C82C71"/>
    <w:rsid w:val="00C92C44"/>
    <w:rsid w:val="00C95AB5"/>
    <w:rsid w:val="00CA1EEF"/>
    <w:rsid w:val="00CA208C"/>
    <w:rsid w:val="00CA7BBE"/>
    <w:rsid w:val="00CB0750"/>
    <w:rsid w:val="00CB0C1A"/>
    <w:rsid w:val="00CB1406"/>
    <w:rsid w:val="00CB1682"/>
    <w:rsid w:val="00CB3731"/>
    <w:rsid w:val="00CB7CED"/>
    <w:rsid w:val="00CB7F26"/>
    <w:rsid w:val="00CC52B5"/>
    <w:rsid w:val="00CC5709"/>
    <w:rsid w:val="00CD03E2"/>
    <w:rsid w:val="00CD22A8"/>
    <w:rsid w:val="00CD30C1"/>
    <w:rsid w:val="00CD32C8"/>
    <w:rsid w:val="00CD4D63"/>
    <w:rsid w:val="00CD564F"/>
    <w:rsid w:val="00CD576A"/>
    <w:rsid w:val="00CD5B92"/>
    <w:rsid w:val="00CE5A27"/>
    <w:rsid w:val="00CF1131"/>
    <w:rsid w:val="00CF1862"/>
    <w:rsid w:val="00CF2BD8"/>
    <w:rsid w:val="00CF52F9"/>
    <w:rsid w:val="00CF61EA"/>
    <w:rsid w:val="00D004E9"/>
    <w:rsid w:val="00D03729"/>
    <w:rsid w:val="00D039CA"/>
    <w:rsid w:val="00D07C73"/>
    <w:rsid w:val="00D12808"/>
    <w:rsid w:val="00D13EF5"/>
    <w:rsid w:val="00D142C3"/>
    <w:rsid w:val="00D15D38"/>
    <w:rsid w:val="00D166A3"/>
    <w:rsid w:val="00D16BB0"/>
    <w:rsid w:val="00D21520"/>
    <w:rsid w:val="00D24C43"/>
    <w:rsid w:val="00D26C33"/>
    <w:rsid w:val="00D27B0C"/>
    <w:rsid w:val="00D316D8"/>
    <w:rsid w:val="00D348C5"/>
    <w:rsid w:val="00D37CB7"/>
    <w:rsid w:val="00D42025"/>
    <w:rsid w:val="00D43207"/>
    <w:rsid w:val="00D5197A"/>
    <w:rsid w:val="00D53CC0"/>
    <w:rsid w:val="00D55D69"/>
    <w:rsid w:val="00D5688F"/>
    <w:rsid w:val="00D574BD"/>
    <w:rsid w:val="00D57DD9"/>
    <w:rsid w:val="00D66233"/>
    <w:rsid w:val="00D66C4C"/>
    <w:rsid w:val="00D70804"/>
    <w:rsid w:val="00D72FE1"/>
    <w:rsid w:val="00D77411"/>
    <w:rsid w:val="00D77FCE"/>
    <w:rsid w:val="00D80615"/>
    <w:rsid w:val="00D8121B"/>
    <w:rsid w:val="00D85071"/>
    <w:rsid w:val="00D90956"/>
    <w:rsid w:val="00D91927"/>
    <w:rsid w:val="00D93B5C"/>
    <w:rsid w:val="00D93C3B"/>
    <w:rsid w:val="00DA19D8"/>
    <w:rsid w:val="00DA4CB7"/>
    <w:rsid w:val="00DA5C92"/>
    <w:rsid w:val="00DA66CF"/>
    <w:rsid w:val="00DA6745"/>
    <w:rsid w:val="00DA6F9C"/>
    <w:rsid w:val="00DB0F0A"/>
    <w:rsid w:val="00DB237A"/>
    <w:rsid w:val="00DB429B"/>
    <w:rsid w:val="00DB552B"/>
    <w:rsid w:val="00DB5D22"/>
    <w:rsid w:val="00DC400A"/>
    <w:rsid w:val="00DC5878"/>
    <w:rsid w:val="00DC7E63"/>
    <w:rsid w:val="00DD026A"/>
    <w:rsid w:val="00DD5413"/>
    <w:rsid w:val="00DD6C0E"/>
    <w:rsid w:val="00DE0399"/>
    <w:rsid w:val="00DE0B92"/>
    <w:rsid w:val="00DE2842"/>
    <w:rsid w:val="00DE3651"/>
    <w:rsid w:val="00DE4E86"/>
    <w:rsid w:val="00DE67AB"/>
    <w:rsid w:val="00DE755E"/>
    <w:rsid w:val="00DE75DA"/>
    <w:rsid w:val="00DF3970"/>
    <w:rsid w:val="00DF3BD6"/>
    <w:rsid w:val="00DF50F6"/>
    <w:rsid w:val="00DF702E"/>
    <w:rsid w:val="00E03BAD"/>
    <w:rsid w:val="00E0452D"/>
    <w:rsid w:val="00E048EA"/>
    <w:rsid w:val="00E05548"/>
    <w:rsid w:val="00E1267B"/>
    <w:rsid w:val="00E138DA"/>
    <w:rsid w:val="00E15629"/>
    <w:rsid w:val="00E15A65"/>
    <w:rsid w:val="00E227EA"/>
    <w:rsid w:val="00E22E9D"/>
    <w:rsid w:val="00E262F1"/>
    <w:rsid w:val="00E26E27"/>
    <w:rsid w:val="00E312E0"/>
    <w:rsid w:val="00E329C1"/>
    <w:rsid w:val="00E406F4"/>
    <w:rsid w:val="00E40F9C"/>
    <w:rsid w:val="00E42A1E"/>
    <w:rsid w:val="00E42F09"/>
    <w:rsid w:val="00E43BBA"/>
    <w:rsid w:val="00E44708"/>
    <w:rsid w:val="00E4687B"/>
    <w:rsid w:val="00E47A0C"/>
    <w:rsid w:val="00E50246"/>
    <w:rsid w:val="00E5073D"/>
    <w:rsid w:val="00E54203"/>
    <w:rsid w:val="00E558ED"/>
    <w:rsid w:val="00E62D4C"/>
    <w:rsid w:val="00E647FE"/>
    <w:rsid w:val="00E65B23"/>
    <w:rsid w:val="00E66B6E"/>
    <w:rsid w:val="00E67282"/>
    <w:rsid w:val="00E70DD7"/>
    <w:rsid w:val="00E72BA2"/>
    <w:rsid w:val="00E76C13"/>
    <w:rsid w:val="00E803B7"/>
    <w:rsid w:val="00E82237"/>
    <w:rsid w:val="00E84307"/>
    <w:rsid w:val="00E84918"/>
    <w:rsid w:val="00E84E31"/>
    <w:rsid w:val="00E864B6"/>
    <w:rsid w:val="00E8694B"/>
    <w:rsid w:val="00E90199"/>
    <w:rsid w:val="00E90875"/>
    <w:rsid w:val="00E9391C"/>
    <w:rsid w:val="00E94494"/>
    <w:rsid w:val="00E95DA5"/>
    <w:rsid w:val="00E96061"/>
    <w:rsid w:val="00E96181"/>
    <w:rsid w:val="00E975E1"/>
    <w:rsid w:val="00EA266C"/>
    <w:rsid w:val="00EA390C"/>
    <w:rsid w:val="00EA580F"/>
    <w:rsid w:val="00EA7401"/>
    <w:rsid w:val="00EA7A2F"/>
    <w:rsid w:val="00EB3697"/>
    <w:rsid w:val="00EB425D"/>
    <w:rsid w:val="00EC0080"/>
    <w:rsid w:val="00EC2528"/>
    <w:rsid w:val="00EC51D4"/>
    <w:rsid w:val="00EC77B8"/>
    <w:rsid w:val="00ED21C2"/>
    <w:rsid w:val="00ED391D"/>
    <w:rsid w:val="00ED6DB8"/>
    <w:rsid w:val="00ED7FC2"/>
    <w:rsid w:val="00EE02E3"/>
    <w:rsid w:val="00EE103C"/>
    <w:rsid w:val="00EE1FF8"/>
    <w:rsid w:val="00EE3558"/>
    <w:rsid w:val="00EE5048"/>
    <w:rsid w:val="00F01801"/>
    <w:rsid w:val="00F04B96"/>
    <w:rsid w:val="00F05665"/>
    <w:rsid w:val="00F064DA"/>
    <w:rsid w:val="00F074CC"/>
    <w:rsid w:val="00F170DC"/>
    <w:rsid w:val="00F21190"/>
    <w:rsid w:val="00F2166B"/>
    <w:rsid w:val="00F2228A"/>
    <w:rsid w:val="00F2303E"/>
    <w:rsid w:val="00F2360B"/>
    <w:rsid w:val="00F2572C"/>
    <w:rsid w:val="00F279B1"/>
    <w:rsid w:val="00F335E2"/>
    <w:rsid w:val="00F369C2"/>
    <w:rsid w:val="00F41CCF"/>
    <w:rsid w:val="00F46751"/>
    <w:rsid w:val="00F47205"/>
    <w:rsid w:val="00F50533"/>
    <w:rsid w:val="00F51C79"/>
    <w:rsid w:val="00F52A95"/>
    <w:rsid w:val="00F5417F"/>
    <w:rsid w:val="00F544FC"/>
    <w:rsid w:val="00F5538C"/>
    <w:rsid w:val="00F57742"/>
    <w:rsid w:val="00F61968"/>
    <w:rsid w:val="00F61CD8"/>
    <w:rsid w:val="00F62F00"/>
    <w:rsid w:val="00F6496F"/>
    <w:rsid w:val="00F67ECE"/>
    <w:rsid w:val="00F70230"/>
    <w:rsid w:val="00F71E34"/>
    <w:rsid w:val="00F73D68"/>
    <w:rsid w:val="00F8164E"/>
    <w:rsid w:val="00F8232B"/>
    <w:rsid w:val="00F82E73"/>
    <w:rsid w:val="00F861A0"/>
    <w:rsid w:val="00F875B5"/>
    <w:rsid w:val="00F877E0"/>
    <w:rsid w:val="00F879C1"/>
    <w:rsid w:val="00F93646"/>
    <w:rsid w:val="00F94C85"/>
    <w:rsid w:val="00F966E9"/>
    <w:rsid w:val="00FA0842"/>
    <w:rsid w:val="00FA13F8"/>
    <w:rsid w:val="00FA44DA"/>
    <w:rsid w:val="00FA5352"/>
    <w:rsid w:val="00FA6B4A"/>
    <w:rsid w:val="00FB15F6"/>
    <w:rsid w:val="00FB4803"/>
    <w:rsid w:val="00FB4CAB"/>
    <w:rsid w:val="00FC0127"/>
    <w:rsid w:val="00FC0AF4"/>
    <w:rsid w:val="00FC1217"/>
    <w:rsid w:val="00FC1601"/>
    <w:rsid w:val="00FC20A1"/>
    <w:rsid w:val="00FC32B3"/>
    <w:rsid w:val="00FC35B3"/>
    <w:rsid w:val="00FC5D01"/>
    <w:rsid w:val="00FC6C4E"/>
    <w:rsid w:val="00FC73C0"/>
    <w:rsid w:val="00FC7B20"/>
    <w:rsid w:val="00FD59EA"/>
    <w:rsid w:val="00FD77DC"/>
    <w:rsid w:val="00FE1188"/>
    <w:rsid w:val="00FE6A35"/>
    <w:rsid w:val="00FF0579"/>
    <w:rsid w:val="00FF0AD6"/>
    <w:rsid w:val="00FF0DDD"/>
    <w:rsid w:val="00FF0E75"/>
    <w:rsid w:val="00FF34A6"/>
    <w:rsid w:val="00FF3532"/>
    <w:rsid w:val="00FF4A46"/>
    <w:rsid w:val="00FF4A84"/>
    <w:rsid w:val="01011432"/>
    <w:rsid w:val="012445AC"/>
    <w:rsid w:val="01483505"/>
    <w:rsid w:val="014F1C07"/>
    <w:rsid w:val="016D6E1B"/>
    <w:rsid w:val="0175210C"/>
    <w:rsid w:val="017D4D3A"/>
    <w:rsid w:val="017E6F26"/>
    <w:rsid w:val="018C519F"/>
    <w:rsid w:val="019B724F"/>
    <w:rsid w:val="01E9472F"/>
    <w:rsid w:val="021724B6"/>
    <w:rsid w:val="021B4731"/>
    <w:rsid w:val="02322BAA"/>
    <w:rsid w:val="02550E7C"/>
    <w:rsid w:val="02581525"/>
    <w:rsid w:val="0259024A"/>
    <w:rsid w:val="02663402"/>
    <w:rsid w:val="027D0F8C"/>
    <w:rsid w:val="029B4859"/>
    <w:rsid w:val="029D1923"/>
    <w:rsid w:val="02B21804"/>
    <w:rsid w:val="02D04BCE"/>
    <w:rsid w:val="02D818C8"/>
    <w:rsid w:val="02DE75F5"/>
    <w:rsid w:val="02E4100B"/>
    <w:rsid w:val="02F32FFC"/>
    <w:rsid w:val="031D5CF3"/>
    <w:rsid w:val="033E071B"/>
    <w:rsid w:val="03A569EC"/>
    <w:rsid w:val="03BC70FA"/>
    <w:rsid w:val="03D70A97"/>
    <w:rsid w:val="03F31506"/>
    <w:rsid w:val="04075747"/>
    <w:rsid w:val="040C35E6"/>
    <w:rsid w:val="0412767E"/>
    <w:rsid w:val="04241BD3"/>
    <w:rsid w:val="042E253E"/>
    <w:rsid w:val="042E69E2"/>
    <w:rsid w:val="045C7A86"/>
    <w:rsid w:val="04835298"/>
    <w:rsid w:val="04877585"/>
    <w:rsid w:val="04B70785"/>
    <w:rsid w:val="04D41E1D"/>
    <w:rsid w:val="04D54C4A"/>
    <w:rsid w:val="04DB2970"/>
    <w:rsid w:val="04E946B7"/>
    <w:rsid w:val="04EE374C"/>
    <w:rsid w:val="04F01AAE"/>
    <w:rsid w:val="04F676B8"/>
    <w:rsid w:val="05145BD8"/>
    <w:rsid w:val="05237BC9"/>
    <w:rsid w:val="05265A02"/>
    <w:rsid w:val="05356213"/>
    <w:rsid w:val="053C271B"/>
    <w:rsid w:val="05485881"/>
    <w:rsid w:val="05501DF4"/>
    <w:rsid w:val="05826347"/>
    <w:rsid w:val="058F4197"/>
    <w:rsid w:val="05986E4C"/>
    <w:rsid w:val="05BC1DCB"/>
    <w:rsid w:val="05C23A6D"/>
    <w:rsid w:val="05CE01C7"/>
    <w:rsid w:val="05E55D46"/>
    <w:rsid w:val="060C68AF"/>
    <w:rsid w:val="06345D7F"/>
    <w:rsid w:val="063B5468"/>
    <w:rsid w:val="06484360"/>
    <w:rsid w:val="06596181"/>
    <w:rsid w:val="066A0126"/>
    <w:rsid w:val="06823015"/>
    <w:rsid w:val="068B1EC9"/>
    <w:rsid w:val="06C07699"/>
    <w:rsid w:val="06CA0201"/>
    <w:rsid w:val="06D33CA4"/>
    <w:rsid w:val="06DB23AC"/>
    <w:rsid w:val="06E57C09"/>
    <w:rsid w:val="06F45E33"/>
    <w:rsid w:val="06F721DC"/>
    <w:rsid w:val="06FF62ED"/>
    <w:rsid w:val="072F5FC9"/>
    <w:rsid w:val="0730666A"/>
    <w:rsid w:val="075E2710"/>
    <w:rsid w:val="07691ADF"/>
    <w:rsid w:val="076D5A73"/>
    <w:rsid w:val="078901B5"/>
    <w:rsid w:val="07A80859"/>
    <w:rsid w:val="07B2792A"/>
    <w:rsid w:val="07C80EFB"/>
    <w:rsid w:val="07CB66C8"/>
    <w:rsid w:val="07DA1D60"/>
    <w:rsid w:val="07F017EE"/>
    <w:rsid w:val="07F27D26"/>
    <w:rsid w:val="08016791"/>
    <w:rsid w:val="08121180"/>
    <w:rsid w:val="08183C31"/>
    <w:rsid w:val="082459E7"/>
    <w:rsid w:val="08283748"/>
    <w:rsid w:val="082F2519"/>
    <w:rsid w:val="0838123A"/>
    <w:rsid w:val="083B2954"/>
    <w:rsid w:val="083C3413"/>
    <w:rsid w:val="08451156"/>
    <w:rsid w:val="085F4894"/>
    <w:rsid w:val="08601134"/>
    <w:rsid w:val="08717B51"/>
    <w:rsid w:val="087613A8"/>
    <w:rsid w:val="0889068B"/>
    <w:rsid w:val="0889683A"/>
    <w:rsid w:val="08923D33"/>
    <w:rsid w:val="08987651"/>
    <w:rsid w:val="08A96FCC"/>
    <w:rsid w:val="08AC6127"/>
    <w:rsid w:val="08CA5CEF"/>
    <w:rsid w:val="08CB44AD"/>
    <w:rsid w:val="08F37BF2"/>
    <w:rsid w:val="093C0325"/>
    <w:rsid w:val="095F13EB"/>
    <w:rsid w:val="09742DA6"/>
    <w:rsid w:val="09776735"/>
    <w:rsid w:val="098A1B2B"/>
    <w:rsid w:val="098A65CD"/>
    <w:rsid w:val="098D7772"/>
    <w:rsid w:val="09AA03F3"/>
    <w:rsid w:val="09CD7BF8"/>
    <w:rsid w:val="09E57B43"/>
    <w:rsid w:val="0A0E7DFB"/>
    <w:rsid w:val="0A1028A3"/>
    <w:rsid w:val="0A21682E"/>
    <w:rsid w:val="0A2C6CA8"/>
    <w:rsid w:val="0A344626"/>
    <w:rsid w:val="0A415ECA"/>
    <w:rsid w:val="0A4A2FC6"/>
    <w:rsid w:val="0A5B3FCC"/>
    <w:rsid w:val="0A7661AB"/>
    <w:rsid w:val="0A797E19"/>
    <w:rsid w:val="0A8176AE"/>
    <w:rsid w:val="0AA03D69"/>
    <w:rsid w:val="0AC05D10"/>
    <w:rsid w:val="0ACF356E"/>
    <w:rsid w:val="0AD83203"/>
    <w:rsid w:val="0AE02795"/>
    <w:rsid w:val="0AF017BD"/>
    <w:rsid w:val="0AF43663"/>
    <w:rsid w:val="0B0E131B"/>
    <w:rsid w:val="0B101F81"/>
    <w:rsid w:val="0B114967"/>
    <w:rsid w:val="0B401683"/>
    <w:rsid w:val="0B573604"/>
    <w:rsid w:val="0B5B4F77"/>
    <w:rsid w:val="0B8B55E6"/>
    <w:rsid w:val="0B9A4B88"/>
    <w:rsid w:val="0B9F01C5"/>
    <w:rsid w:val="0BA17A99"/>
    <w:rsid w:val="0BA8565F"/>
    <w:rsid w:val="0BAD28E2"/>
    <w:rsid w:val="0BBB3692"/>
    <w:rsid w:val="0BBE7138"/>
    <w:rsid w:val="0BC23D3D"/>
    <w:rsid w:val="0BC40004"/>
    <w:rsid w:val="0BEF4CA9"/>
    <w:rsid w:val="0BFB1F26"/>
    <w:rsid w:val="0C0D27A6"/>
    <w:rsid w:val="0C212DC3"/>
    <w:rsid w:val="0C2A5CE1"/>
    <w:rsid w:val="0C6754D4"/>
    <w:rsid w:val="0C9E24A6"/>
    <w:rsid w:val="0CB41A4E"/>
    <w:rsid w:val="0CB420B4"/>
    <w:rsid w:val="0CD36378"/>
    <w:rsid w:val="0CDB347F"/>
    <w:rsid w:val="0CF84031"/>
    <w:rsid w:val="0D1F4310"/>
    <w:rsid w:val="0D335791"/>
    <w:rsid w:val="0D896215"/>
    <w:rsid w:val="0DA2542E"/>
    <w:rsid w:val="0DA27334"/>
    <w:rsid w:val="0DA616BD"/>
    <w:rsid w:val="0DA649BA"/>
    <w:rsid w:val="0DC67C8B"/>
    <w:rsid w:val="0DC91EAE"/>
    <w:rsid w:val="0DE16873"/>
    <w:rsid w:val="0DEC60B2"/>
    <w:rsid w:val="0DED5218"/>
    <w:rsid w:val="0E022231"/>
    <w:rsid w:val="0E0F1CCC"/>
    <w:rsid w:val="0E1261D7"/>
    <w:rsid w:val="0E146C48"/>
    <w:rsid w:val="0E2569AE"/>
    <w:rsid w:val="0E322BBE"/>
    <w:rsid w:val="0E335291"/>
    <w:rsid w:val="0E43308A"/>
    <w:rsid w:val="0E4A1CCC"/>
    <w:rsid w:val="0E5B3CE3"/>
    <w:rsid w:val="0E707BF7"/>
    <w:rsid w:val="0E7B041A"/>
    <w:rsid w:val="0E8140DC"/>
    <w:rsid w:val="0EA5371F"/>
    <w:rsid w:val="0EB51178"/>
    <w:rsid w:val="0EC822C9"/>
    <w:rsid w:val="0ECF42AE"/>
    <w:rsid w:val="0ED3005B"/>
    <w:rsid w:val="0ED9579C"/>
    <w:rsid w:val="0EFB14B7"/>
    <w:rsid w:val="0EFB2DE2"/>
    <w:rsid w:val="0F27270E"/>
    <w:rsid w:val="0F3658F0"/>
    <w:rsid w:val="0F753717"/>
    <w:rsid w:val="0F87169C"/>
    <w:rsid w:val="0F892F0A"/>
    <w:rsid w:val="0F8C280E"/>
    <w:rsid w:val="0F9221C8"/>
    <w:rsid w:val="0FA12218"/>
    <w:rsid w:val="0FBA737B"/>
    <w:rsid w:val="0FD5448B"/>
    <w:rsid w:val="0FD71A8B"/>
    <w:rsid w:val="0FE64614"/>
    <w:rsid w:val="0FEE7F5A"/>
    <w:rsid w:val="100228F4"/>
    <w:rsid w:val="10165C9A"/>
    <w:rsid w:val="102B21BF"/>
    <w:rsid w:val="102E1925"/>
    <w:rsid w:val="10386626"/>
    <w:rsid w:val="103F63DB"/>
    <w:rsid w:val="10403535"/>
    <w:rsid w:val="10430481"/>
    <w:rsid w:val="1053332C"/>
    <w:rsid w:val="108830CA"/>
    <w:rsid w:val="109F7EDE"/>
    <w:rsid w:val="10EB1FB3"/>
    <w:rsid w:val="10EE2AAA"/>
    <w:rsid w:val="10F863AD"/>
    <w:rsid w:val="1107444E"/>
    <w:rsid w:val="11127192"/>
    <w:rsid w:val="111E4936"/>
    <w:rsid w:val="11210BF1"/>
    <w:rsid w:val="113D331A"/>
    <w:rsid w:val="115D67E5"/>
    <w:rsid w:val="119C142F"/>
    <w:rsid w:val="11B03F0D"/>
    <w:rsid w:val="11BE3F8E"/>
    <w:rsid w:val="11CE7039"/>
    <w:rsid w:val="11E86420"/>
    <w:rsid w:val="11F05653"/>
    <w:rsid w:val="11F1049F"/>
    <w:rsid w:val="11FA0AD0"/>
    <w:rsid w:val="121F5BBC"/>
    <w:rsid w:val="122005D1"/>
    <w:rsid w:val="122619F6"/>
    <w:rsid w:val="122B2605"/>
    <w:rsid w:val="122E2875"/>
    <w:rsid w:val="12323B41"/>
    <w:rsid w:val="123F1EBA"/>
    <w:rsid w:val="124A06AA"/>
    <w:rsid w:val="12522215"/>
    <w:rsid w:val="1270291C"/>
    <w:rsid w:val="127952CC"/>
    <w:rsid w:val="12855824"/>
    <w:rsid w:val="12952536"/>
    <w:rsid w:val="12987245"/>
    <w:rsid w:val="12A3174C"/>
    <w:rsid w:val="12B44007"/>
    <w:rsid w:val="12BB1B1C"/>
    <w:rsid w:val="12BB55BA"/>
    <w:rsid w:val="12C26C88"/>
    <w:rsid w:val="12C448A2"/>
    <w:rsid w:val="12E110C3"/>
    <w:rsid w:val="12E90170"/>
    <w:rsid w:val="12EA7CAB"/>
    <w:rsid w:val="130E479D"/>
    <w:rsid w:val="13530E99"/>
    <w:rsid w:val="13566AB3"/>
    <w:rsid w:val="1360032C"/>
    <w:rsid w:val="13625F57"/>
    <w:rsid w:val="136E4A24"/>
    <w:rsid w:val="137F7F5A"/>
    <w:rsid w:val="138868EC"/>
    <w:rsid w:val="13973927"/>
    <w:rsid w:val="139E304F"/>
    <w:rsid w:val="13AD56F3"/>
    <w:rsid w:val="13B32A60"/>
    <w:rsid w:val="13C133CE"/>
    <w:rsid w:val="13C81F5B"/>
    <w:rsid w:val="13DA4490"/>
    <w:rsid w:val="13EA4016"/>
    <w:rsid w:val="143B1652"/>
    <w:rsid w:val="144E5149"/>
    <w:rsid w:val="14513741"/>
    <w:rsid w:val="14644EB2"/>
    <w:rsid w:val="14722166"/>
    <w:rsid w:val="14883EEC"/>
    <w:rsid w:val="148D04E3"/>
    <w:rsid w:val="149E53BE"/>
    <w:rsid w:val="14A071D9"/>
    <w:rsid w:val="14B30C1E"/>
    <w:rsid w:val="14C22838"/>
    <w:rsid w:val="14C53188"/>
    <w:rsid w:val="14C60571"/>
    <w:rsid w:val="14C741BE"/>
    <w:rsid w:val="14D57E65"/>
    <w:rsid w:val="14F82BD3"/>
    <w:rsid w:val="150F1354"/>
    <w:rsid w:val="152621F6"/>
    <w:rsid w:val="15391C68"/>
    <w:rsid w:val="15406575"/>
    <w:rsid w:val="154F4A0A"/>
    <w:rsid w:val="15575881"/>
    <w:rsid w:val="15761F97"/>
    <w:rsid w:val="1582093B"/>
    <w:rsid w:val="158C734A"/>
    <w:rsid w:val="15910B7E"/>
    <w:rsid w:val="15A52151"/>
    <w:rsid w:val="15A76A47"/>
    <w:rsid w:val="15A85EC8"/>
    <w:rsid w:val="15AE7B46"/>
    <w:rsid w:val="15B25A3C"/>
    <w:rsid w:val="15B80E69"/>
    <w:rsid w:val="15C543F3"/>
    <w:rsid w:val="15CE69EA"/>
    <w:rsid w:val="15D87D38"/>
    <w:rsid w:val="15F00275"/>
    <w:rsid w:val="15F223FA"/>
    <w:rsid w:val="1637336A"/>
    <w:rsid w:val="16445249"/>
    <w:rsid w:val="16754391"/>
    <w:rsid w:val="16AD79D2"/>
    <w:rsid w:val="16B36CDC"/>
    <w:rsid w:val="16B7638F"/>
    <w:rsid w:val="16C87F6B"/>
    <w:rsid w:val="16D9778D"/>
    <w:rsid w:val="16DF67A5"/>
    <w:rsid w:val="16F271C0"/>
    <w:rsid w:val="17097C7A"/>
    <w:rsid w:val="170E2AE3"/>
    <w:rsid w:val="171F14ED"/>
    <w:rsid w:val="172029BF"/>
    <w:rsid w:val="17387C17"/>
    <w:rsid w:val="17493EF9"/>
    <w:rsid w:val="17514A69"/>
    <w:rsid w:val="176D5D13"/>
    <w:rsid w:val="17997924"/>
    <w:rsid w:val="179D0D76"/>
    <w:rsid w:val="17C02F4D"/>
    <w:rsid w:val="17D549F7"/>
    <w:rsid w:val="17D87838"/>
    <w:rsid w:val="17E201BD"/>
    <w:rsid w:val="17E2167E"/>
    <w:rsid w:val="18221F62"/>
    <w:rsid w:val="18475E6C"/>
    <w:rsid w:val="18493900"/>
    <w:rsid w:val="18534811"/>
    <w:rsid w:val="18610CDC"/>
    <w:rsid w:val="18B578D0"/>
    <w:rsid w:val="18BB169F"/>
    <w:rsid w:val="18F169BC"/>
    <w:rsid w:val="1901601B"/>
    <w:rsid w:val="19030773"/>
    <w:rsid w:val="190D096B"/>
    <w:rsid w:val="193A7C93"/>
    <w:rsid w:val="193E6A84"/>
    <w:rsid w:val="19412E5C"/>
    <w:rsid w:val="194B7158"/>
    <w:rsid w:val="194E5E3F"/>
    <w:rsid w:val="19564273"/>
    <w:rsid w:val="19665C9B"/>
    <w:rsid w:val="1973118E"/>
    <w:rsid w:val="19877384"/>
    <w:rsid w:val="198C2163"/>
    <w:rsid w:val="19955A14"/>
    <w:rsid w:val="19981EC3"/>
    <w:rsid w:val="19A7032B"/>
    <w:rsid w:val="19B50E83"/>
    <w:rsid w:val="19B579D5"/>
    <w:rsid w:val="19C7735F"/>
    <w:rsid w:val="19CB3F93"/>
    <w:rsid w:val="19E056D2"/>
    <w:rsid w:val="19EC2827"/>
    <w:rsid w:val="1A014888"/>
    <w:rsid w:val="1A1E542C"/>
    <w:rsid w:val="1A3C32CC"/>
    <w:rsid w:val="1A3E4845"/>
    <w:rsid w:val="1A425581"/>
    <w:rsid w:val="1A6427B8"/>
    <w:rsid w:val="1A895719"/>
    <w:rsid w:val="1AC373EA"/>
    <w:rsid w:val="1AE16479"/>
    <w:rsid w:val="1B041DF3"/>
    <w:rsid w:val="1B1D6D3D"/>
    <w:rsid w:val="1B4125B8"/>
    <w:rsid w:val="1B60580C"/>
    <w:rsid w:val="1B71167E"/>
    <w:rsid w:val="1B8F0B37"/>
    <w:rsid w:val="1BCA63F2"/>
    <w:rsid w:val="1BD9519A"/>
    <w:rsid w:val="1BE23FA7"/>
    <w:rsid w:val="1BEB440E"/>
    <w:rsid w:val="1BEC4D61"/>
    <w:rsid w:val="1C13053F"/>
    <w:rsid w:val="1C136A1E"/>
    <w:rsid w:val="1C1C324D"/>
    <w:rsid w:val="1C36276E"/>
    <w:rsid w:val="1C387229"/>
    <w:rsid w:val="1C4865DE"/>
    <w:rsid w:val="1C4E4299"/>
    <w:rsid w:val="1C536B8E"/>
    <w:rsid w:val="1C5538BA"/>
    <w:rsid w:val="1C6157A9"/>
    <w:rsid w:val="1C6E5865"/>
    <w:rsid w:val="1C7879D5"/>
    <w:rsid w:val="1C7D1E5D"/>
    <w:rsid w:val="1C8D6CD2"/>
    <w:rsid w:val="1C8F393E"/>
    <w:rsid w:val="1CA00DB1"/>
    <w:rsid w:val="1CA8392D"/>
    <w:rsid w:val="1CAF47F4"/>
    <w:rsid w:val="1CB11B06"/>
    <w:rsid w:val="1CB4189C"/>
    <w:rsid w:val="1CBF3F1C"/>
    <w:rsid w:val="1CCA3BE5"/>
    <w:rsid w:val="1CDC6E23"/>
    <w:rsid w:val="1CFB657D"/>
    <w:rsid w:val="1D053EB4"/>
    <w:rsid w:val="1D1D2EC5"/>
    <w:rsid w:val="1D2175E7"/>
    <w:rsid w:val="1D4D7428"/>
    <w:rsid w:val="1D50479E"/>
    <w:rsid w:val="1D5D632C"/>
    <w:rsid w:val="1D73315A"/>
    <w:rsid w:val="1D78389E"/>
    <w:rsid w:val="1DBB0E8E"/>
    <w:rsid w:val="1DD463CB"/>
    <w:rsid w:val="1DE7026A"/>
    <w:rsid w:val="1DF91353"/>
    <w:rsid w:val="1E154264"/>
    <w:rsid w:val="1E6D7CAF"/>
    <w:rsid w:val="1E8A24B5"/>
    <w:rsid w:val="1E9A5F77"/>
    <w:rsid w:val="1E9A7BF0"/>
    <w:rsid w:val="1E9E1EBA"/>
    <w:rsid w:val="1EA51A19"/>
    <w:rsid w:val="1EB16D81"/>
    <w:rsid w:val="1EBA50F6"/>
    <w:rsid w:val="1EBA7398"/>
    <w:rsid w:val="1EEE7449"/>
    <w:rsid w:val="1EF629CA"/>
    <w:rsid w:val="1F0C0624"/>
    <w:rsid w:val="1F152395"/>
    <w:rsid w:val="1F3F164B"/>
    <w:rsid w:val="1F486752"/>
    <w:rsid w:val="1F521540"/>
    <w:rsid w:val="1F6707C5"/>
    <w:rsid w:val="1F7733AF"/>
    <w:rsid w:val="1F845B16"/>
    <w:rsid w:val="1F854CDF"/>
    <w:rsid w:val="1F8B663F"/>
    <w:rsid w:val="1FAB3E60"/>
    <w:rsid w:val="1FB37D6B"/>
    <w:rsid w:val="1FBC6C8F"/>
    <w:rsid w:val="1FCA72C3"/>
    <w:rsid w:val="1FD21446"/>
    <w:rsid w:val="1FDC333E"/>
    <w:rsid w:val="1FDD49A5"/>
    <w:rsid w:val="20005705"/>
    <w:rsid w:val="2002248A"/>
    <w:rsid w:val="201D046C"/>
    <w:rsid w:val="202F402B"/>
    <w:rsid w:val="20312DAC"/>
    <w:rsid w:val="20353701"/>
    <w:rsid w:val="204F167E"/>
    <w:rsid w:val="205B6118"/>
    <w:rsid w:val="206A6B9C"/>
    <w:rsid w:val="207277FE"/>
    <w:rsid w:val="20773788"/>
    <w:rsid w:val="20793F96"/>
    <w:rsid w:val="2084555D"/>
    <w:rsid w:val="208B3FDF"/>
    <w:rsid w:val="20924301"/>
    <w:rsid w:val="209D1540"/>
    <w:rsid w:val="20A7394C"/>
    <w:rsid w:val="20DD2C49"/>
    <w:rsid w:val="20EC4BCC"/>
    <w:rsid w:val="20F14B38"/>
    <w:rsid w:val="211F7986"/>
    <w:rsid w:val="21260D15"/>
    <w:rsid w:val="212975C2"/>
    <w:rsid w:val="21392E01"/>
    <w:rsid w:val="21444969"/>
    <w:rsid w:val="21492567"/>
    <w:rsid w:val="21A1039B"/>
    <w:rsid w:val="21B24657"/>
    <w:rsid w:val="21B54881"/>
    <w:rsid w:val="21D2233A"/>
    <w:rsid w:val="21E1326A"/>
    <w:rsid w:val="21F20BF7"/>
    <w:rsid w:val="22031056"/>
    <w:rsid w:val="22071B94"/>
    <w:rsid w:val="2214765E"/>
    <w:rsid w:val="22393D67"/>
    <w:rsid w:val="223A525C"/>
    <w:rsid w:val="22462CF1"/>
    <w:rsid w:val="2254311A"/>
    <w:rsid w:val="225B30D0"/>
    <w:rsid w:val="2265761B"/>
    <w:rsid w:val="228215C1"/>
    <w:rsid w:val="229D0A56"/>
    <w:rsid w:val="22A46395"/>
    <w:rsid w:val="22C071EF"/>
    <w:rsid w:val="22CC58EC"/>
    <w:rsid w:val="22DC376E"/>
    <w:rsid w:val="22EE35E6"/>
    <w:rsid w:val="22F46A11"/>
    <w:rsid w:val="22FE29BC"/>
    <w:rsid w:val="230143EC"/>
    <w:rsid w:val="230706ED"/>
    <w:rsid w:val="23147F1E"/>
    <w:rsid w:val="2319566A"/>
    <w:rsid w:val="23256DAA"/>
    <w:rsid w:val="23431DAD"/>
    <w:rsid w:val="234D21F4"/>
    <w:rsid w:val="235A7FBB"/>
    <w:rsid w:val="23612B98"/>
    <w:rsid w:val="236701DC"/>
    <w:rsid w:val="236C5BC2"/>
    <w:rsid w:val="23856963"/>
    <w:rsid w:val="23990716"/>
    <w:rsid w:val="239B0E1A"/>
    <w:rsid w:val="23C85AE6"/>
    <w:rsid w:val="23DD1433"/>
    <w:rsid w:val="241541FA"/>
    <w:rsid w:val="242608BB"/>
    <w:rsid w:val="243B4A43"/>
    <w:rsid w:val="244734E8"/>
    <w:rsid w:val="245313F7"/>
    <w:rsid w:val="24834FC2"/>
    <w:rsid w:val="248834D9"/>
    <w:rsid w:val="248D7514"/>
    <w:rsid w:val="2491337C"/>
    <w:rsid w:val="24B5057E"/>
    <w:rsid w:val="24F7089A"/>
    <w:rsid w:val="25134AB8"/>
    <w:rsid w:val="251E7DB4"/>
    <w:rsid w:val="25232B17"/>
    <w:rsid w:val="252E3FB3"/>
    <w:rsid w:val="254429A6"/>
    <w:rsid w:val="25652EDE"/>
    <w:rsid w:val="25827E99"/>
    <w:rsid w:val="258306BF"/>
    <w:rsid w:val="25857B02"/>
    <w:rsid w:val="25923F5C"/>
    <w:rsid w:val="25A22C52"/>
    <w:rsid w:val="25A64611"/>
    <w:rsid w:val="25A8175A"/>
    <w:rsid w:val="25A85E45"/>
    <w:rsid w:val="25C9383D"/>
    <w:rsid w:val="25DF3B63"/>
    <w:rsid w:val="25E5785D"/>
    <w:rsid w:val="25F91275"/>
    <w:rsid w:val="25F93317"/>
    <w:rsid w:val="25FD279C"/>
    <w:rsid w:val="26036053"/>
    <w:rsid w:val="260743B6"/>
    <w:rsid w:val="260A3A50"/>
    <w:rsid w:val="260B4DF9"/>
    <w:rsid w:val="261145C1"/>
    <w:rsid w:val="261A7755"/>
    <w:rsid w:val="26255D46"/>
    <w:rsid w:val="26317FF4"/>
    <w:rsid w:val="26350F02"/>
    <w:rsid w:val="264019A3"/>
    <w:rsid w:val="26480970"/>
    <w:rsid w:val="264F486A"/>
    <w:rsid w:val="26526108"/>
    <w:rsid w:val="26670D5A"/>
    <w:rsid w:val="268564DD"/>
    <w:rsid w:val="26866A11"/>
    <w:rsid w:val="26885B58"/>
    <w:rsid w:val="26915AE8"/>
    <w:rsid w:val="269E759F"/>
    <w:rsid w:val="26A23BB4"/>
    <w:rsid w:val="26A74146"/>
    <w:rsid w:val="26D23572"/>
    <w:rsid w:val="26D641BC"/>
    <w:rsid w:val="26F96584"/>
    <w:rsid w:val="27361C32"/>
    <w:rsid w:val="27457A1B"/>
    <w:rsid w:val="274A6598"/>
    <w:rsid w:val="27582EA9"/>
    <w:rsid w:val="27622F42"/>
    <w:rsid w:val="277D59DB"/>
    <w:rsid w:val="277F1064"/>
    <w:rsid w:val="27843941"/>
    <w:rsid w:val="27934F9E"/>
    <w:rsid w:val="27A9420C"/>
    <w:rsid w:val="27BA1EC0"/>
    <w:rsid w:val="27BD34DB"/>
    <w:rsid w:val="27BF5D17"/>
    <w:rsid w:val="2807121E"/>
    <w:rsid w:val="280D5870"/>
    <w:rsid w:val="280E605F"/>
    <w:rsid w:val="281178FD"/>
    <w:rsid w:val="28175647"/>
    <w:rsid w:val="281778A7"/>
    <w:rsid w:val="282C4737"/>
    <w:rsid w:val="282E04AF"/>
    <w:rsid w:val="28334766"/>
    <w:rsid w:val="28612632"/>
    <w:rsid w:val="28621505"/>
    <w:rsid w:val="286E74C8"/>
    <w:rsid w:val="287C53A7"/>
    <w:rsid w:val="28A201D6"/>
    <w:rsid w:val="28B20C62"/>
    <w:rsid w:val="28C02080"/>
    <w:rsid w:val="28C17392"/>
    <w:rsid w:val="28D61C74"/>
    <w:rsid w:val="28D74B97"/>
    <w:rsid w:val="28D94D5F"/>
    <w:rsid w:val="28DC7F0B"/>
    <w:rsid w:val="28F25980"/>
    <w:rsid w:val="29021EC6"/>
    <w:rsid w:val="29086F3D"/>
    <w:rsid w:val="29157BDF"/>
    <w:rsid w:val="29205CE4"/>
    <w:rsid w:val="2924160D"/>
    <w:rsid w:val="292518B2"/>
    <w:rsid w:val="293B131C"/>
    <w:rsid w:val="293F1F73"/>
    <w:rsid w:val="2944442E"/>
    <w:rsid w:val="29575210"/>
    <w:rsid w:val="2974117F"/>
    <w:rsid w:val="2980156F"/>
    <w:rsid w:val="298A451A"/>
    <w:rsid w:val="298D7377"/>
    <w:rsid w:val="299248F3"/>
    <w:rsid w:val="299D2CEB"/>
    <w:rsid w:val="29AB51B8"/>
    <w:rsid w:val="29B7199E"/>
    <w:rsid w:val="29BB7798"/>
    <w:rsid w:val="29CA071F"/>
    <w:rsid w:val="29CC1552"/>
    <w:rsid w:val="29DF4157"/>
    <w:rsid w:val="29E057D9"/>
    <w:rsid w:val="29EB6C0A"/>
    <w:rsid w:val="29F04FFF"/>
    <w:rsid w:val="2A12375F"/>
    <w:rsid w:val="2A153D81"/>
    <w:rsid w:val="2A2723BC"/>
    <w:rsid w:val="2A675835"/>
    <w:rsid w:val="2A720133"/>
    <w:rsid w:val="2A7F7C32"/>
    <w:rsid w:val="2AA416ED"/>
    <w:rsid w:val="2AAB228B"/>
    <w:rsid w:val="2AB0456A"/>
    <w:rsid w:val="2AC1385C"/>
    <w:rsid w:val="2AC90C66"/>
    <w:rsid w:val="2AF404DD"/>
    <w:rsid w:val="2B220A0F"/>
    <w:rsid w:val="2B3109E2"/>
    <w:rsid w:val="2B556291"/>
    <w:rsid w:val="2B63756A"/>
    <w:rsid w:val="2B8E0647"/>
    <w:rsid w:val="2B942D1F"/>
    <w:rsid w:val="2B944ACD"/>
    <w:rsid w:val="2B983032"/>
    <w:rsid w:val="2BAE0C52"/>
    <w:rsid w:val="2BDA2E28"/>
    <w:rsid w:val="2BDE0DEB"/>
    <w:rsid w:val="2BF6745F"/>
    <w:rsid w:val="2C0600FC"/>
    <w:rsid w:val="2C1469E1"/>
    <w:rsid w:val="2C1520B2"/>
    <w:rsid w:val="2C192940"/>
    <w:rsid w:val="2C4A2AFC"/>
    <w:rsid w:val="2C5B3DED"/>
    <w:rsid w:val="2C5D1363"/>
    <w:rsid w:val="2C6273B8"/>
    <w:rsid w:val="2C7A33A6"/>
    <w:rsid w:val="2C7B37D7"/>
    <w:rsid w:val="2C7B77B6"/>
    <w:rsid w:val="2C8611AC"/>
    <w:rsid w:val="2C870A93"/>
    <w:rsid w:val="2C9F79CA"/>
    <w:rsid w:val="2CA8255E"/>
    <w:rsid w:val="2CA86A82"/>
    <w:rsid w:val="2CB06F17"/>
    <w:rsid w:val="2CD639AE"/>
    <w:rsid w:val="2CDC64C1"/>
    <w:rsid w:val="2CE10801"/>
    <w:rsid w:val="2CF63C91"/>
    <w:rsid w:val="2CFE2B46"/>
    <w:rsid w:val="2D141129"/>
    <w:rsid w:val="2D1D0733"/>
    <w:rsid w:val="2D214A9F"/>
    <w:rsid w:val="2D2B5BA4"/>
    <w:rsid w:val="2D2B6840"/>
    <w:rsid w:val="2D3C66A6"/>
    <w:rsid w:val="2D47272F"/>
    <w:rsid w:val="2D4949E6"/>
    <w:rsid w:val="2D555A9F"/>
    <w:rsid w:val="2D580446"/>
    <w:rsid w:val="2D5B1D46"/>
    <w:rsid w:val="2D5C786C"/>
    <w:rsid w:val="2D767C35"/>
    <w:rsid w:val="2D8D64E5"/>
    <w:rsid w:val="2D9259F9"/>
    <w:rsid w:val="2D9E60D7"/>
    <w:rsid w:val="2DAF7046"/>
    <w:rsid w:val="2DAF7CDF"/>
    <w:rsid w:val="2DB63EC1"/>
    <w:rsid w:val="2DB6777A"/>
    <w:rsid w:val="2DB735A8"/>
    <w:rsid w:val="2DCC49F2"/>
    <w:rsid w:val="2DE02DA5"/>
    <w:rsid w:val="2DEA30CA"/>
    <w:rsid w:val="2DEB3FCE"/>
    <w:rsid w:val="2DFC4953"/>
    <w:rsid w:val="2E020530"/>
    <w:rsid w:val="2E1B49C8"/>
    <w:rsid w:val="2E2B7C33"/>
    <w:rsid w:val="2E3C1B78"/>
    <w:rsid w:val="2E513135"/>
    <w:rsid w:val="2E600CE3"/>
    <w:rsid w:val="2E6C7F1A"/>
    <w:rsid w:val="2E717347"/>
    <w:rsid w:val="2E7470C0"/>
    <w:rsid w:val="2E771DB2"/>
    <w:rsid w:val="2E7D2606"/>
    <w:rsid w:val="2E96214E"/>
    <w:rsid w:val="2E9C6B99"/>
    <w:rsid w:val="2EA92857"/>
    <w:rsid w:val="2EDF27A9"/>
    <w:rsid w:val="2EDF7079"/>
    <w:rsid w:val="2EEA15D4"/>
    <w:rsid w:val="2EF2140A"/>
    <w:rsid w:val="2EFA10EB"/>
    <w:rsid w:val="2F002F5F"/>
    <w:rsid w:val="2F0352C2"/>
    <w:rsid w:val="2F0823C6"/>
    <w:rsid w:val="2F384FCB"/>
    <w:rsid w:val="2F463F98"/>
    <w:rsid w:val="2F59444C"/>
    <w:rsid w:val="2F5E784F"/>
    <w:rsid w:val="2F6173BC"/>
    <w:rsid w:val="2F642A08"/>
    <w:rsid w:val="2F700EFC"/>
    <w:rsid w:val="2F74021E"/>
    <w:rsid w:val="2F837A4C"/>
    <w:rsid w:val="2F8E33BE"/>
    <w:rsid w:val="2F9A75F9"/>
    <w:rsid w:val="2FDB3FBE"/>
    <w:rsid w:val="2FF21B80"/>
    <w:rsid w:val="2FF63FC7"/>
    <w:rsid w:val="30185562"/>
    <w:rsid w:val="303B5E5F"/>
    <w:rsid w:val="306B06EF"/>
    <w:rsid w:val="306C7DC6"/>
    <w:rsid w:val="307A6791"/>
    <w:rsid w:val="30856FF1"/>
    <w:rsid w:val="309976D7"/>
    <w:rsid w:val="30B332A3"/>
    <w:rsid w:val="30E31E3E"/>
    <w:rsid w:val="30EC0F07"/>
    <w:rsid w:val="30F20CAF"/>
    <w:rsid w:val="30FB1010"/>
    <w:rsid w:val="31014425"/>
    <w:rsid w:val="311C1A18"/>
    <w:rsid w:val="311F12DD"/>
    <w:rsid w:val="311F684B"/>
    <w:rsid w:val="313A1EA7"/>
    <w:rsid w:val="3160041B"/>
    <w:rsid w:val="3163417D"/>
    <w:rsid w:val="3177520D"/>
    <w:rsid w:val="31AA0DEF"/>
    <w:rsid w:val="31AB124D"/>
    <w:rsid w:val="31B5579D"/>
    <w:rsid w:val="31B946F3"/>
    <w:rsid w:val="31BE4652"/>
    <w:rsid w:val="31C0661C"/>
    <w:rsid w:val="31C13759"/>
    <w:rsid w:val="31CA797C"/>
    <w:rsid w:val="31F12C79"/>
    <w:rsid w:val="31F7117C"/>
    <w:rsid w:val="320C0313"/>
    <w:rsid w:val="32155665"/>
    <w:rsid w:val="3216448E"/>
    <w:rsid w:val="32193F7E"/>
    <w:rsid w:val="32261197"/>
    <w:rsid w:val="323D0F6A"/>
    <w:rsid w:val="325B4AF5"/>
    <w:rsid w:val="327117FB"/>
    <w:rsid w:val="32714AF3"/>
    <w:rsid w:val="32747406"/>
    <w:rsid w:val="32770709"/>
    <w:rsid w:val="328B73EB"/>
    <w:rsid w:val="32954DEF"/>
    <w:rsid w:val="32991011"/>
    <w:rsid w:val="32A108E2"/>
    <w:rsid w:val="32A23F73"/>
    <w:rsid w:val="32CC7242"/>
    <w:rsid w:val="32E4633A"/>
    <w:rsid w:val="32F47512"/>
    <w:rsid w:val="32FA4370"/>
    <w:rsid w:val="32FC43B4"/>
    <w:rsid w:val="330971C6"/>
    <w:rsid w:val="33284067"/>
    <w:rsid w:val="334E2FB5"/>
    <w:rsid w:val="335365EB"/>
    <w:rsid w:val="336C3012"/>
    <w:rsid w:val="33844F9E"/>
    <w:rsid w:val="339E0DDD"/>
    <w:rsid w:val="33A04957"/>
    <w:rsid w:val="33A7323E"/>
    <w:rsid w:val="33B14398"/>
    <w:rsid w:val="33BD1D56"/>
    <w:rsid w:val="33CB1B08"/>
    <w:rsid w:val="33E04BE4"/>
    <w:rsid w:val="33E10ACB"/>
    <w:rsid w:val="33F10253"/>
    <w:rsid w:val="33FA6877"/>
    <w:rsid w:val="340D4AF6"/>
    <w:rsid w:val="340D7B12"/>
    <w:rsid w:val="34107AE4"/>
    <w:rsid w:val="341542BD"/>
    <w:rsid w:val="341E2D11"/>
    <w:rsid w:val="343C710B"/>
    <w:rsid w:val="346040E6"/>
    <w:rsid w:val="348240B1"/>
    <w:rsid w:val="348A1163"/>
    <w:rsid w:val="34AD39FE"/>
    <w:rsid w:val="34C473E6"/>
    <w:rsid w:val="34CA4F44"/>
    <w:rsid w:val="34CF7804"/>
    <w:rsid w:val="34D019F0"/>
    <w:rsid w:val="34E92CF2"/>
    <w:rsid w:val="34F124A0"/>
    <w:rsid w:val="3507060C"/>
    <w:rsid w:val="350727B3"/>
    <w:rsid w:val="35112EF9"/>
    <w:rsid w:val="35223149"/>
    <w:rsid w:val="352A4D49"/>
    <w:rsid w:val="3538296D"/>
    <w:rsid w:val="354B10BF"/>
    <w:rsid w:val="354F04B5"/>
    <w:rsid w:val="35541F99"/>
    <w:rsid w:val="35611010"/>
    <w:rsid w:val="35613C72"/>
    <w:rsid w:val="357C6DB5"/>
    <w:rsid w:val="3581357E"/>
    <w:rsid w:val="358A671C"/>
    <w:rsid w:val="35937921"/>
    <w:rsid w:val="35A77AE8"/>
    <w:rsid w:val="35AC14D9"/>
    <w:rsid w:val="35CF704F"/>
    <w:rsid w:val="35E95D29"/>
    <w:rsid w:val="35F90421"/>
    <w:rsid w:val="36037912"/>
    <w:rsid w:val="36090959"/>
    <w:rsid w:val="360F5314"/>
    <w:rsid w:val="361E27E7"/>
    <w:rsid w:val="36280B3C"/>
    <w:rsid w:val="362A4C03"/>
    <w:rsid w:val="36832D7F"/>
    <w:rsid w:val="36AF3103"/>
    <w:rsid w:val="36D16BEE"/>
    <w:rsid w:val="36D17C08"/>
    <w:rsid w:val="36D5538C"/>
    <w:rsid w:val="36D62DB9"/>
    <w:rsid w:val="37021484"/>
    <w:rsid w:val="37166949"/>
    <w:rsid w:val="372456B7"/>
    <w:rsid w:val="37467AF3"/>
    <w:rsid w:val="374D44BF"/>
    <w:rsid w:val="3768578B"/>
    <w:rsid w:val="37733277"/>
    <w:rsid w:val="377C4D93"/>
    <w:rsid w:val="37872B55"/>
    <w:rsid w:val="37A86BDE"/>
    <w:rsid w:val="37A96FA0"/>
    <w:rsid w:val="37BF5EF6"/>
    <w:rsid w:val="37C46192"/>
    <w:rsid w:val="37D2408B"/>
    <w:rsid w:val="37F23BD0"/>
    <w:rsid w:val="37F4701F"/>
    <w:rsid w:val="37FE7E9E"/>
    <w:rsid w:val="38060B00"/>
    <w:rsid w:val="38066D52"/>
    <w:rsid w:val="3815625D"/>
    <w:rsid w:val="381E39FA"/>
    <w:rsid w:val="38224B20"/>
    <w:rsid w:val="382B26AB"/>
    <w:rsid w:val="384B0C09"/>
    <w:rsid w:val="3857122B"/>
    <w:rsid w:val="38631C5E"/>
    <w:rsid w:val="386A3388"/>
    <w:rsid w:val="386A72E1"/>
    <w:rsid w:val="386B200C"/>
    <w:rsid w:val="38A8464C"/>
    <w:rsid w:val="38B81AAB"/>
    <w:rsid w:val="38B96B2F"/>
    <w:rsid w:val="38C67654"/>
    <w:rsid w:val="38D155B2"/>
    <w:rsid w:val="38DA0FF1"/>
    <w:rsid w:val="38E42223"/>
    <w:rsid w:val="38FC1A65"/>
    <w:rsid w:val="39161217"/>
    <w:rsid w:val="3919095E"/>
    <w:rsid w:val="391B682D"/>
    <w:rsid w:val="391C0577"/>
    <w:rsid w:val="392505F0"/>
    <w:rsid w:val="392B7D9A"/>
    <w:rsid w:val="39303A4A"/>
    <w:rsid w:val="393A24FE"/>
    <w:rsid w:val="393F47B3"/>
    <w:rsid w:val="3971644D"/>
    <w:rsid w:val="397A3554"/>
    <w:rsid w:val="39884017"/>
    <w:rsid w:val="398D139E"/>
    <w:rsid w:val="39901974"/>
    <w:rsid w:val="399B34CA"/>
    <w:rsid w:val="39A86F0F"/>
    <w:rsid w:val="39B27C88"/>
    <w:rsid w:val="39B90520"/>
    <w:rsid w:val="39BF18AF"/>
    <w:rsid w:val="39D30A4E"/>
    <w:rsid w:val="39EE7A9E"/>
    <w:rsid w:val="39FC1454"/>
    <w:rsid w:val="3A093203"/>
    <w:rsid w:val="3A143C7A"/>
    <w:rsid w:val="3A1C67A6"/>
    <w:rsid w:val="3A332483"/>
    <w:rsid w:val="3A345DF9"/>
    <w:rsid w:val="3A362139"/>
    <w:rsid w:val="3A3E2B27"/>
    <w:rsid w:val="3A69514E"/>
    <w:rsid w:val="3A783B98"/>
    <w:rsid w:val="3A806A78"/>
    <w:rsid w:val="3A821121"/>
    <w:rsid w:val="3A9535F9"/>
    <w:rsid w:val="3AA0549B"/>
    <w:rsid w:val="3AAA346F"/>
    <w:rsid w:val="3AB64A60"/>
    <w:rsid w:val="3AC04DDB"/>
    <w:rsid w:val="3ADD232D"/>
    <w:rsid w:val="3AF178A5"/>
    <w:rsid w:val="3AF5602E"/>
    <w:rsid w:val="3AF92745"/>
    <w:rsid w:val="3B001AEF"/>
    <w:rsid w:val="3B022DF0"/>
    <w:rsid w:val="3B0655FE"/>
    <w:rsid w:val="3B0C30C3"/>
    <w:rsid w:val="3B0F24BB"/>
    <w:rsid w:val="3B406A9F"/>
    <w:rsid w:val="3B567FF1"/>
    <w:rsid w:val="3B5E0047"/>
    <w:rsid w:val="3B824942"/>
    <w:rsid w:val="3B8E71A6"/>
    <w:rsid w:val="3BA370D4"/>
    <w:rsid w:val="3BB8330B"/>
    <w:rsid w:val="3BD15DBF"/>
    <w:rsid w:val="3BD80AA0"/>
    <w:rsid w:val="3BF1154D"/>
    <w:rsid w:val="3BF33A92"/>
    <w:rsid w:val="3BF46C66"/>
    <w:rsid w:val="3BFB2EB2"/>
    <w:rsid w:val="3C146D6D"/>
    <w:rsid w:val="3C1A30F8"/>
    <w:rsid w:val="3C1C61D0"/>
    <w:rsid w:val="3C1D3710"/>
    <w:rsid w:val="3C1E1C70"/>
    <w:rsid w:val="3C465360"/>
    <w:rsid w:val="3C516CA8"/>
    <w:rsid w:val="3C6F0EA0"/>
    <w:rsid w:val="3C722026"/>
    <w:rsid w:val="3CB81452"/>
    <w:rsid w:val="3CC77E3C"/>
    <w:rsid w:val="3CD067FF"/>
    <w:rsid w:val="3CE02AB5"/>
    <w:rsid w:val="3CE13BD7"/>
    <w:rsid w:val="3CE156F7"/>
    <w:rsid w:val="3CFD79DC"/>
    <w:rsid w:val="3D0800C4"/>
    <w:rsid w:val="3D080A88"/>
    <w:rsid w:val="3D115F8F"/>
    <w:rsid w:val="3D312983"/>
    <w:rsid w:val="3D3E53CE"/>
    <w:rsid w:val="3D532A3A"/>
    <w:rsid w:val="3D5A0F8B"/>
    <w:rsid w:val="3D63746D"/>
    <w:rsid w:val="3D725321"/>
    <w:rsid w:val="3DB039E8"/>
    <w:rsid w:val="3DC05072"/>
    <w:rsid w:val="3DE10046"/>
    <w:rsid w:val="3DE706B5"/>
    <w:rsid w:val="3DF6216D"/>
    <w:rsid w:val="3E07524B"/>
    <w:rsid w:val="3E13220D"/>
    <w:rsid w:val="3E1B119A"/>
    <w:rsid w:val="3E1C4489"/>
    <w:rsid w:val="3E1E3150"/>
    <w:rsid w:val="3E3068D7"/>
    <w:rsid w:val="3E532428"/>
    <w:rsid w:val="3E8575E6"/>
    <w:rsid w:val="3E8E4B07"/>
    <w:rsid w:val="3EAE2B07"/>
    <w:rsid w:val="3EAE2FA7"/>
    <w:rsid w:val="3EB43064"/>
    <w:rsid w:val="3EC25557"/>
    <w:rsid w:val="3EC82FB3"/>
    <w:rsid w:val="3ED92270"/>
    <w:rsid w:val="3EDA411D"/>
    <w:rsid w:val="3EE76CA5"/>
    <w:rsid w:val="3EEB1367"/>
    <w:rsid w:val="3F014F92"/>
    <w:rsid w:val="3F1B7058"/>
    <w:rsid w:val="3F20482D"/>
    <w:rsid w:val="3F344FC4"/>
    <w:rsid w:val="3F347E5B"/>
    <w:rsid w:val="3F3714E2"/>
    <w:rsid w:val="3F3B5F2C"/>
    <w:rsid w:val="3F474360"/>
    <w:rsid w:val="3F4F646B"/>
    <w:rsid w:val="3FA51B75"/>
    <w:rsid w:val="3FF658FE"/>
    <w:rsid w:val="3FFD010C"/>
    <w:rsid w:val="40190EFD"/>
    <w:rsid w:val="40332B8E"/>
    <w:rsid w:val="404D089B"/>
    <w:rsid w:val="40686305"/>
    <w:rsid w:val="40693B9E"/>
    <w:rsid w:val="406C09C5"/>
    <w:rsid w:val="40755B37"/>
    <w:rsid w:val="40896772"/>
    <w:rsid w:val="408C7E90"/>
    <w:rsid w:val="408D2289"/>
    <w:rsid w:val="4096439B"/>
    <w:rsid w:val="40A84E4B"/>
    <w:rsid w:val="40DA2614"/>
    <w:rsid w:val="40EB4D37"/>
    <w:rsid w:val="40F83DFD"/>
    <w:rsid w:val="41194C80"/>
    <w:rsid w:val="412E3E18"/>
    <w:rsid w:val="41356370"/>
    <w:rsid w:val="41391F47"/>
    <w:rsid w:val="414C3A28"/>
    <w:rsid w:val="414D25D7"/>
    <w:rsid w:val="415B3C6B"/>
    <w:rsid w:val="415D4EE6"/>
    <w:rsid w:val="416A5000"/>
    <w:rsid w:val="417A6B87"/>
    <w:rsid w:val="418629FE"/>
    <w:rsid w:val="418E188F"/>
    <w:rsid w:val="41A95B48"/>
    <w:rsid w:val="41CE08E1"/>
    <w:rsid w:val="41DC3FE8"/>
    <w:rsid w:val="41DC5CC2"/>
    <w:rsid w:val="41DD18DE"/>
    <w:rsid w:val="41DF7F14"/>
    <w:rsid w:val="41E26D36"/>
    <w:rsid w:val="41F30347"/>
    <w:rsid w:val="41FB544E"/>
    <w:rsid w:val="42164036"/>
    <w:rsid w:val="422449A5"/>
    <w:rsid w:val="42413E65"/>
    <w:rsid w:val="42725FC8"/>
    <w:rsid w:val="42760A71"/>
    <w:rsid w:val="42835043"/>
    <w:rsid w:val="42946631"/>
    <w:rsid w:val="429D3BD8"/>
    <w:rsid w:val="42B31885"/>
    <w:rsid w:val="42B645DB"/>
    <w:rsid w:val="42BC4BDD"/>
    <w:rsid w:val="42C34DF3"/>
    <w:rsid w:val="42C52C6C"/>
    <w:rsid w:val="42D541FA"/>
    <w:rsid w:val="42E32F6F"/>
    <w:rsid w:val="43235D42"/>
    <w:rsid w:val="432474F3"/>
    <w:rsid w:val="432B5E41"/>
    <w:rsid w:val="432F57F3"/>
    <w:rsid w:val="433D0851"/>
    <w:rsid w:val="43680AF9"/>
    <w:rsid w:val="43887CF3"/>
    <w:rsid w:val="43A0005B"/>
    <w:rsid w:val="43B52F07"/>
    <w:rsid w:val="43C02C26"/>
    <w:rsid w:val="43CB4A1B"/>
    <w:rsid w:val="43D67F21"/>
    <w:rsid w:val="43E11433"/>
    <w:rsid w:val="43E42415"/>
    <w:rsid w:val="441A154C"/>
    <w:rsid w:val="446B23F8"/>
    <w:rsid w:val="446E021C"/>
    <w:rsid w:val="447A399A"/>
    <w:rsid w:val="44894F93"/>
    <w:rsid w:val="44927766"/>
    <w:rsid w:val="44A8127F"/>
    <w:rsid w:val="44AD00CB"/>
    <w:rsid w:val="44B40B6A"/>
    <w:rsid w:val="44D13134"/>
    <w:rsid w:val="44E00F28"/>
    <w:rsid w:val="44F60517"/>
    <w:rsid w:val="45050D03"/>
    <w:rsid w:val="452A10A2"/>
    <w:rsid w:val="45355C00"/>
    <w:rsid w:val="453B44DF"/>
    <w:rsid w:val="453E4CCD"/>
    <w:rsid w:val="454B20CD"/>
    <w:rsid w:val="454C78F9"/>
    <w:rsid w:val="45595BF7"/>
    <w:rsid w:val="456F4713"/>
    <w:rsid w:val="45725C86"/>
    <w:rsid w:val="457572C5"/>
    <w:rsid w:val="4578063A"/>
    <w:rsid w:val="4585575A"/>
    <w:rsid w:val="45AE37E2"/>
    <w:rsid w:val="45BA3B3B"/>
    <w:rsid w:val="45BE666B"/>
    <w:rsid w:val="45C8674C"/>
    <w:rsid w:val="45DA4152"/>
    <w:rsid w:val="45E5377C"/>
    <w:rsid w:val="45EB35A5"/>
    <w:rsid w:val="45F70E3F"/>
    <w:rsid w:val="45F82E9D"/>
    <w:rsid w:val="46026DAB"/>
    <w:rsid w:val="46230C36"/>
    <w:rsid w:val="46261CAF"/>
    <w:rsid w:val="462F55E2"/>
    <w:rsid w:val="464753C8"/>
    <w:rsid w:val="464E4400"/>
    <w:rsid w:val="465509EF"/>
    <w:rsid w:val="4670479A"/>
    <w:rsid w:val="46880C8C"/>
    <w:rsid w:val="4689217B"/>
    <w:rsid w:val="46971F46"/>
    <w:rsid w:val="46A663F9"/>
    <w:rsid w:val="46B362F7"/>
    <w:rsid w:val="46B9730C"/>
    <w:rsid w:val="46E56E47"/>
    <w:rsid w:val="46EF02CC"/>
    <w:rsid w:val="472F3D54"/>
    <w:rsid w:val="473B153D"/>
    <w:rsid w:val="47486A40"/>
    <w:rsid w:val="474A74A9"/>
    <w:rsid w:val="476C7B76"/>
    <w:rsid w:val="477F442B"/>
    <w:rsid w:val="47881532"/>
    <w:rsid w:val="478A098B"/>
    <w:rsid w:val="478C4C87"/>
    <w:rsid w:val="479814DE"/>
    <w:rsid w:val="479C33BB"/>
    <w:rsid w:val="47B12C02"/>
    <w:rsid w:val="47B368E6"/>
    <w:rsid w:val="47BB15B4"/>
    <w:rsid w:val="47D14C87"/>
    <w:rsid w:val="47FD3CCE"/>
    <w:rsid w:val="480663D5"/>
    <w:rsid w:val="482D6BA1"/>
    <w:rsid w:val="48311BC9"/>
    <w:rsid w:val="48316C38"/>
    <w:rsid w:val="48673140"/>
    <w:rsid w:val="486D35B3"/>
    <w:rsid w:val="486F04BB"/>
    <w:rsid w:val="487A1E2A"/>
    <w:rsid w:val="4891740D"/>
    <w:rsid w:val="489A63C4"/>
    <w:rsid w:val="48BD655F"/>
    <w:rsid w:val="48C06106"/>
    <w:rsid w:val="48C742DC"/>
    <w:rsid w:val="48D342DC"/>
    <w:rsid w:val="48D60E16"/>
    <w:rsid w:val="48FE17F4"/>
    <w:rsid w:val="491A265E"/>
    <w:rsid w:val="49224537"/>
    <w:rsid w:val="49413F52"/>
    <w:rsid w:val="494F647B"/>
    <w:rsid w:val="49507E2D"/>
    <w:rsid w:val="49523BA5"/>
    <w:rsid w:val="49667651"/>
    <w:rsid w:val="498007E5"/>
    <w:rsid w:val="49980592"/>
    <w:rsid w:val="49B605D8"/>
    <w:rsid w:val="49D64E98"/>
    <w:rsid w:val="49DB7BF1"/>
    <w:rsid w:val="49DE745A"/>
    <w:rsid w:val="49E07403"/>
    <w:rsid w:val="49F057D8"/>
    <w:rsid w:val="49F278EF"/>
    <w:rsid w:val="49F90DE5"/>
    <w:rsid w:val="4A190B67"/>
    <w:rsid w:val="4A195349"/>
    <w:rsid w:val="4A3E237C"/>
    <w:rsid w:val="4A4E6A63"/>
    <w:rsid w:val="4A526436"/>
    <w:rsid w:val="4A60751C"/>
    <w:rsid w:val="4A6435BD"/>
    <w:rsid w:val="4A64447A"/>
    <w:rsid w:val="4A7F725E"/>
    <w:rsid w:val="4A930421"/>
    <w:rsid w:val="4A9A1E73"/>
    <w:rsid w:val="4AA057AA"/>
    <w:rsid w:val="4AA16DD4"/>
    <w:rsid w:val="4AAF0594"/>
    <w:rsid w:val="4AB02617"/>
    <w:rsid w:val="4ABF2786"/>
    <w:rsid w:val="4AD60806"/>
    <w:rsid w:val="4ADF4A45"/>
    <w:rsid w:val="4AFE7F0B"/>
    <w:rsid w:val="4B0D743B"/>
    <w:rsid w:val="4B146B76"/>
    <w:rsid w:val="4B1E0812"/>
    <w:rsid w:val="4B201A81"/>
    <w:rsid w:val="4B4439C2"/>
    <w:rsid w:val="4B5F07FC"/>
    <w:rsid w:val="4B7219E4"/>
    <w:rsid w:val="4B752EB3"/>
    <w:rsid w:val="4B77515A"/>
    <w:rsid w:val="4B7807AC"/>
    <w:rsid w:val="4B7B1B6A"/>
    <w:rsid w:val="4BA40904"/>
    <w:rsid w:val="4BAA58B3"/>
    <w:rsid w:val="4BC002BD"/>
    <w:rsid w:val="4BD96800"/>
    <w:rsid w:val="4C057E6D"/>
    <w:rsid w:val="4C1001BF"/>
    <w:rsid w:val="4C3634DF"/>
    <w:rsid w:val="4C3703CD"/>
    <w:rsid w:val="4C411D62"/>
    <w:rsid w:val="4C5C6F22"/>
    <w:rsid w:val="4C76421D"/>
    <w:rsid w:val="4C993E74"/>
    <w:rsid w:val="4CB64A77"/>
    <w:rsid w:val="4CBE16BB"/>
    <w:rsid w:val="4D072EF9"/>
    <w:rsid w:val="4D267823"/>
    <w:rsid w:val="4D281547"/>
    <w:rsid w:val="4D2E0BA0"/>
    <w:rsid w:val="4D3A3E3A"/>
    <w:rsid w:val="4D3A5285"/>
    <w:rsid w:val="4D500A7B"/>
    <w:rsid w:val="4D616AAD"/>
    <w:rsid w:val="4D7D140D"/>
    <w:rsid w:val="4D877E22"/>
    <w:rsid w:val="4D9201E1"/>
    <w:rsid w:val="4D9E1EFD"/>
    <w:rsid w:val="4DA80682"/>
    <w:rsid w:val="4DC221A1"/>
    <w:rsid w:val="4DCE5139"/>
    <w:rsid w:val="4DEA6AA2"/>
    <w:rsid w:val="4DF414F0"/>
    <w:rsid w:val="4DFA480C"/>
    <w:rsid w:val="4E0740BC"/>
    <w:rsid w:val="4E0B026E"/>
    <w:rsid w:val="4E15550D"/>
    <w:rsid w:val="4E192EE4"/>
    <w:rsid w:val="4E2A1FE4"/>
    <w:rsid w:val="4E305B24"/>
    <w:rsid w:val="4E3B3A46"/>
    <w:rsid w:val="4E481A1B"/>
    <w:rsid w:val="4E734423"/>
    <w:rsid w:val="4E7A6A66"/>
    <w:rsid w:val="4E7B3CFC"/>
    <w:rsid w:val="4EAA7FE0"/>
    <w:rsid w:val="4EC217CD"/>
    <w:rsid w:val="4ECC43FA"/>
    <w:rsid w:val="4ED314A0"/>
    <w:rsid w:val="4EDE59FF"/>
    <w:rsid w:val="4EDF04B0"/>
    <w:rsid w:val="4EED1EEE"/>
    <w:rsid w:val="4EEF7A49"/>
    <w:rsid w:val="4F165675"/>
    <w:rsid w:val="4F22362A"/>
    <w:rsid w:val="4F245FE4"/>
    <w:rsid w:val="4F626B0C"/>
    <w:rsid w:val="4F6A157F"/>
    <w:rsid w:val="4F9F566B"/>
    <w:rsid w:val="4FA65B4A"/>
    <w:rsid w:val="4FB924A4"/>
    <w:rsid w:val="4FBC621D"/>
    <w:rsid w:val="4FD84EA7"/>
    <w:rsid w:val="4FE70DC0"/>
    <w:rsid w:val="4FF7137B"/>
    <w:rsid w:val="500167DC"/>
    <w:rsid w:val="50104D82"/>
    <w:rsid w:val="503F19FE"/>
    <w:rsid w:val="504B35D3"/>
    <w:rsid w:val="50731090"/>
    <w:rsid w:val="50836453"/>
    <w:rsid w:val="508E417F"/>
    <w:rsid w:val="508F4A82"/>
    <w:rsid w:val="50924871"/>
    <w:rsid w:val="50970A38"/>
    <w:rsid w:val="50A17994"/>
    <w:rsid w:val="50AE1641"/>
    <w:rsid w:val="50B436AB"/>
    <w:rsid w:val="50CC1AE3"/>
    <w:rsid w:val="50D048A4"/>
    <w:rsid w:val="50DE0415"/>
    <w:rsid w:val="50E00089"/>
    <w:rsid w:val="50E45DE8"/>
    <w:rsid w:val="50EA694B"/>
    <w:rsid w:val="514B5E06"/>
    <w:rsid w:val="515219F1"/>
    <w:rsid w:val="516A5811"/>
    <w:rsid w:val="516F314B"/>
    <w:rsid w:val="51731209"/>
    <w:rsid w:val="517A4017"/>
    <w:rsid w:val="517A4D19"/>
    <w:rsid w:val="51802D4A"/>
    <w:rsid w:val="518F3164"/>
    <w:rsid w:val="51904173"/>
    <w:rsid w:val="51B63A8B"/>
    <w:rsid w:val="51B67A2B"/>
    <w:rsid w:val="51C46897"/>
    <w:rsid w:val="52023FF1"/>
    <w:rsid w:val="52100785"/>
    <w:rsid w:val="521B542A"/>
    <w:rsid w:val="52360C34"/>
    <w:rsid w:val="52365202"/>
    <w:rsid w:val="524A7610"/>
    <w:rsid w:val="52683FB7"/>
    <w:rsid w:val="527C028D"/>
    <w:rsid w:val="529E7A19"/>
    <w:rsid w:val="52A66D10"/>
    <w:rsid w:val="52BA548E"/>
    <w:rsid w:val="52BB71FC"/>
    <w:rsid w:val="52C02D2F"/>
    <w:rsid w:val="52C617DF"/>
    <w:rsid w:val="52CB6E2F"/>
    <w:rsid w:val="52D03C5E"/>
    <w:rsid w:val="52D23E17"/>
    <w:rsid w:val="52EC0C56"/>
    <w:rsid w:val="52F707F0"/>
    <w:rsid w:val="5302663C"/>
    <w:rsid w:val="53056805"/>
    <w:rsid w:val="531B14AC"/>
    <w:rsid w:val="533049D8"/>
    <w:rsid w:val="53313DD4"/>
    <w:rsid w:val="533C6AF0"/>
    <w:rsid w:val="534B6B84"/>
    <w:rsid w:val="53511B0B"/>
    <w:rsid w:val="53672943"/>
    <w:rsid w:val="537E597D"/>
    <w:rsid w:val="53901E9A"/>
    <w:rsid w:val="5394125E"/>
    <w:rsid w:val="53A5380C"/>
    <w:rsid w:val="53B56E0B"/>
    <w:rsid w:val="53B802F2"/>
    <w:rsid w:val="53C2286A"/>
    <w:rsid w:val="53D311F2"/>
    <w:rsid w:val="53E622F1"/>
    <w:rsid w:val="53E93833"/>
    <w:rsid w:val="53F21C60"/>
    <w:rsid w:val="5402266C"/>
    <w:rsid w:val="54052570"/>
    <w:rsid w:val="5422182C"/>
    <w:rsid w:val="54534C76"/>
    <w:rsid w:val="545E5221"/>
    <w:rsid w:val="545F789F"/>
    <w:rsid w:val="54617393"/>
    <w:rsid w:val="5470546B"/>
    <w:rsid w:val="54755485"/>
    <w:rsid w:val="54814E92"/>
    <w:rsid w:val="54862089"/>
    <w:rsid w:val="548A0E4C"/>
    <w:rsid w:val="548E476E"/>
    <w:rsid w:val="548F7932"/>
    <w:rsid w:val="54B636C0"/>
    <w:rsid w:val="54BF40B9"/>
    <w:rsid w:val="54D226A0"/>
    <w:rsid w:val="54DE3568"/>
    <w:rsid w:val="550223C7"/>
    <w:rsid w:val="55144405"/>
    <w:rsid w:val="55216B22"/>
    <w:rsid w:val="55264684"/>
    <w:rsid w:val="55342710"/>
    <w:rsid w:val="55357FD0"/>
    <w:rsid w:val="553700F3"/>
    <w:rsid w:val="55474FEC"/>
    <w:rsid w:val="555E7D76"/>
    <w:rsid w:val="555F4E6D"/>
    <w:rsid w:val="558743BD"/>
    <w:rsid w:val="55A05334"/>
    <w:rsid w:val="55DD7D19"/>
    <w:rsid w:val="561D553B"/>
    <w:rsid w:val="56647AAC"/>
    <w:rsid w:val="566D61BF"/>
    <w:rsid w:val="5693328A"/>
    <w:rsid w:val="569F5D05"/>
    <w:rsid w:val="56A4329A"/>
    <w:rsid w:val="56BF10A9"/>
    <w:rsid w:val="56E10C5F"/>
    <w:rsid w:val="56E147BB"/>
    <w:rsid w:val="56EB46B5"/>
    <w:rsid w:val="56F02C50"/>
    <w:rsid w:val="56F644CC"/>
    <w:rsid w:val="56F97D56"/>
    <w:rsid w:val="57102366"/>
    <w:rsid w:val="572870A3"/>
    <w:rsid w:val="57287F16"/>
    <w:rsid w:val="572C2443"/>
    <w:rsid w:val="572D04B9"/>
    <w:rsid w:val="57454D4A"/>
    <w:rsid w:val="57461B10"/>
    <w:rsid w:val="574A7260"/>
    <w:rsid w:val="57533058"/>
    <w:rsid w:val="576403D1"/>
    <w:rsid w:val="5786289F"/>
    <w:rsid w:val="579B2752"/>
    <w:rsid w:val="57B343A9"/>
    <w:rsid w:val="57C87FED"/>
    <w:rsid w:val="57D41604"/>
    <w:rsid w:val="57E1394B"/>
    <w:rsid w:val="57F21640"/>
    <w:rsid w:val="581810D3"/>
    <w:rsid w:val="58365EC6"/>
    <w:rsid w:val="583A23D4"/>
    <w:rsid w:val="58580DAF"/>
    <w:rsid w:val="588A355D"/>
    <w:rsid w:val="589977B9"/>
    <w:rsid w:val="58A75590"/>
    <w:rsid w:val="58B531C8"/>
    <w:rsid w:val="58BA59F2"/>
    <w:rsid w:val="58BD2A75"/>
    <w:rsid w:val="58C223CA"/>
    <w:rsid w:val="58C257CD"/>
    <w:rsid w:val="58C3061C"/>
    <w:rsid w:val="58E34992"/>
    <w:rsid w:val="58F061C6"/>
    <w:rsid w:val="591647B6"/>
    <w:rsid w:val="591D154A"/>
    <w:rsid w:val="59266DFD"/>
    <w:rsid w:val="592E2C8D"/>
    <w:rsid w:val="593225D5"/>
    <w:rsid w:val="595306F4"/>
    <w:rsid w:val="597931D9"/>
    <w:rsid w:val="59BF5FAE"/>
    <w:rsid w:val="59E00211"/>
    <w:rsid w:val="59E63BE8"/>
    <w:rsid w:val="59EB20F5"/>
    <w:rsid w:val="59F67210"/>
    <w:rsid w:val="59F94E68"/>
    <w:rsid w:val="5A2F1CE1"/>
    <w:rsid w:val="5A5A4FB0"/>
    <w:rsid w:val="5A6666E6"/>
    <w:rsid w:val="5A875679"/>
    <w:rsid w:val="5A9D476D"/>
    <w:rsid w:val="5AA21D49"/>
    <w:rsid w:val="5AAC6911"/>
    <w:rsid w:val="5AB12022"/>
    <w:rsid w:val="5AC01228"/>
    <w:rsid w:val="5ACF7E1D"/>
    <w:rsid w:val="5AD913B3"/>
    <w:rsid w:val="5AEA0EFF"/>
    <w:rsid w:val="5AF95B39"/>
    <w:rsid w:val="5AFD6421"/>
    <w:rsid w:val="5B0D0102"/>
    <w:rsid w:val="5B1747A4"/>
    <w:rsid w:val="5B217BEB"/>
    <w:rsid w:val="5B2A6CB9"/>
    <w:rsid w:val="5B2F01EA"/>
    <w:rsid w:val="5B4D5B2F"/>
    <w:rsid w:val="5B5B2F72"/>
    <w:rsid w:val="5B9547D3"/>
    <w:rsid w:val="5B9D31E3"/>
    <w:rsid w:val="5BA37E74"/>
    <w:rsid w:val="5BAC4450"/>
    <w:rsid w:val="5BB74E52"/>
    <w:rsid w:val="5BBF652F"/>
    <w:rsid w:val="5BC356A7"/>
    <w:rsid w:val="5BDD7C46"/>
    <w:rsid w:val="5BE46972"/>
    <w:rsid w:val="5BED0F3C"/>
    <w:rsid w:val="5C2634BB"/>
    <w:rsid w:val="5C2B7DD8"/>
    <w:rsid w:val="5C384E7D"/>
    <w:rsid w:val="5C5E698B"/>
    <w:rsid w:val="5C794830"/>
    <w:rsid w:val="5C8128B2"/>
    <w:rsid w:val="5C8C6A72"/>
    <w:rsid w:val="5C8F140B"/>
    <w:rsid w:val="5CA5248B"/>
    <w:rsid w:val="5CA63ECF"/>
    <w:rsid w:val="5CBB785C"/>
    <w:rsid w:val="5CBC7794"/>
    <w:rsid w:val="5D0211D1"/>
    <w:rsid w:val="5D042FB1"/>
    <w:rsid w:val="5D0B14FC"/>
    <w:rsid w:val="5D0B7765"/>
    <w:rsid w:val="5D11431E"/>
    <w:rsid w:val="5D3C28FA"/>
    <w:rsid w:val="5D3D64C3"/>
    <w:rsid w:val="5D413CF7"/>
    <w:rsid w:val="5D542E7A"/>
    <w:rsid w:val="5D560FC9"/>
    <w:rsid w:val="5D632395"/>
    <w:rsid w:val="5DB21E52"/>
    <w:rsid w:val="5DCF35BF"/>
    <w:rsid w:val="5DD25585"/>
    <w:rsid w:val="5DE1705F"/>
    <w:rsid w:val="5DE72D12"/>
    <w:rsid w:val="5DE943FE"/>
    <w:rsid w:val="5DED0147"/>
    <w:rsid w:val="5DF50900"/>
    <w:rsid w:val="5DF8293A"/>
    <w:rsid w:val="5E0B46BF"/>
    <w:rsid w:val="5E14191A"/>
    <w:rsid w:val="5E1D479D"/>
    <w:rsid w:val="5E2A0F9E"/>
    <w:rsid w:val="5E8A7DFE"/>
    <w:rsid w:val="5EA64339"/>
    <w:rsid w:val="5EB237E6"/>
    <w:rsid w:val="5EB43861"/>
    <w:rsid w:val="5EC0796E"/>
    <w:rsid w:val="5EC37CAF"/>
    <w:rsid w:val="5ED969EC"/>
    <w:rsid w:val="5EDD7F5D"/>
    <w:rsid w:val="5EEA0925"/>
    <w:rsid w:val="5EEB02C2"/>
    <w:rsid w:val="5F055FE6"/>
    <w:rsid w:val="5F177133"/>
    <w:rsid w:val="5F2A4184"/>
    <w:rsid w:val="5F2D4A41"/>
    <w:rsid w:val="5F2F5940"/>
    <w:rsid w:val="5F300817"/>
    <w:rsid w:val="5F3134C2"/>
    <w:rsid w:val="5F3A53B0"/>
    <w:rsid w:val="5F3C1128"/>
    <w:rsid w:val="5F5A0F15"/>
    <w:rsid w:val="5F61293D"/>
    <w:rsid w:val="5F7560EF"/>
    <w:rsid w:val="5F797F26"/>
    <w:rsid w:val="5F7B2C24"/>
    <w:rsid w:val="5FA016B7"/>
    <w:rsid w:val="5FA20BDD"/>
    <w:rsid w:val="5FBB3692"/>
    <w:rsid w:val="5FE52B4B"/>
    <w:rsid w:val="600F690F"/>
    <w:rsid w:val="60150D5F"/>
    <w:rsid w:val="601E3E57"/>
    <w:rsid w:val="60213E7A"/>
    <w:rsid w:val="60310D87"/>
    <w:rsid w:val="604817A6"/>
    <w:rsid w:val="60610761"/>
    <w:rsid w:val="60635276"/>
    <w:rsid w:val="60762418"/>
    <w:rsid w:val="60793CB6"/>
    <w:rsid w:val="607C195B"/>
    <w:rsid w:val="608368E3"/>
    <w:rsid w:val="608767CE"/>
    <w:rsid w:val="608F6D31"/>
    <w:rsid w:val="60A74C94"/>
    <w:rsid w:val="60E3046B"/>
    <w:rsid w:val="61077514"/>
    <w:rsid w:val="611A1E80"/>
    <w:rsid w:val="61207578"/>
    <w:rsid w:val="61476BF7"/>
    <w:rsid w:val="615C785F"/>
    <w:rsid w:val="615F2EAC"/>
    <w:rsid w:val="616B1851"/>
    <w:rsid w:val="61952D71"/>
    <w:rsid w:val="61A461F5"/>
    <w:rsid w:val="61AD00BB"/>
    <w:rsid w:val="61C04109"/>
    <w:rsid w:val="61CC5ABC"/>
    <w:rsid w:val="61D64553"/>
    <w:rsid w:val="61E517E5"/>
    <w:rsid w:val="61F20241"/>
    <w:rsid w:val="620C4F07"/>
    <w:rsid w:val="620D2908"/>
    <w:rsid w:val="624251AD"/>
    <w:rsid w:val="62451FAE"/>
    <w:rsid w:val="624A76B8"/>
    <w:rsid w:val="624B36C6"/>
    <w:rsid w:val="625D4BD7"/>
    <w:rsid w:val="626C0877"/>
    <w:rsid w:val="627004FF"/>
    <w:rsid w:val="62817005"/>
    <w:rsid w:val="628A58BE"/>
    <w:rsid w:val="62CA4120"/>
    <w:rsid w:val="62F54E13"/>
    <w:rsid w:val="62F871FA"/>
    <w:rsid w:val="63006194"/>
    <w:rsid w:val="631853C6"/>
    <w:rsid w:val="63193421"/>
    <w:rsid w:val="631D00B8"/>
    <w:rsid w:val="632779F9"/>
    <w:rsid w:val="63352116"/>
    <w:rsid w:val="63353D1E"/>
    <w:rsid w:val="63422F82"/>
    <w:rsid w:val="634B193A"/>
    <w:rsid w:val="63520F1A"/>
    <w:rsid w:val="63583F7E"/>
    <w:rsid w:val="63625644"/>
    <w:rsid w:val="636C4090"/>
    <w:rsid w:val="638C7AC1"/>
    <w:rsid w:val="63926187"/>
    <w:rsid w:val="63A05822"/>
    <w:rsid w:val="63A97319"/>
    <w:rsid w:val="63AE7050"/>
    <w:rsid w:val="63B16210"/>
    <w:rsid w:val="63B52C78"/>
    <w:rsid w:val="63BB75EA"/>
    <w:rsid w:val="63BE035D"/>
    <w:rsid w:val="63BE3B27"/>
    <w:rsid w:val="63DF5E7E"/>
    <w:rsid w:val="63DF6D6A"/>
    <w:rsid w:val="63E636A7"/>
    <w:rsid w:val="63F218D1"/>
    <w:rsid w:val="63F253E1"/>
    <w:rsid w:val="63F26259"/>
    <w:rsid w:val="64195594"/>
    <w:rsid w:val="642021C6"/>
    <w:rsid w:val="6438087D"/>
    <w:rsid w:val="64466571"/>
    <w:rsid w:val="64591E34"/>
    <w:rsid w:val="645C1924"/>
    <w:rsid w:val="6461027F"/>
    <w:rsid w:val="647E12A6"/>
    <w:rsid w:val="649B1015"/>
    <w:rsid w:val="64BB489D"/>
    <w:rsid w:val="64E82A7F"/>
    <w:rsid w:val="64EA4ABC"/>
    <w:rsid w:val="650A6497"/>
    <w:rsid w:val="65205B61"/>
    <w:rsid w:val="652C5D27"/>
    <w:rsid w:val="653852A2"/>
    <w:rsid w:val="65562818"/>
    <w:rsid w:val="657C21C1"/>
    <w:rsid w:val="658A426F"/>
    <w:rsid w:val="659475F3"/>
    <w:rsid w:val="65A45B5D"/>
    <w:rsid w:val="65B71508"/>
    <w:rsid w:val="65C64BE7"/>
    <w:rsid w:val="65EC5638"/>
    <w:rsid w:val="65EE0656"/>
    <w:rsid w:val="65F067EC"/>
    <w:rsid w:val="66074602"/>
    <w:rsid w:val="661C136B"/>
    <w:rsid w:val="66360F3E"/>
    <w:rsid w:val="66390D22"/>
    <w:rsid w:val="663935EB"/>
    <w:rsid w:val="66443AC0"/>
    <w:rsid w:val="665A602F"/>
    <w:rsid w:val="665C3D93"/>
    <w:rsid w:val="666B0635"/>
    <w:rsid w:val="667016B7"/>
    <w:rsid w:val="66903B07"/>
    <w:rsid w:val="66A8422A"/>
    <w:rsid w:val="66C05EC2"/>
    <w:rsid w:val="66C67529"/>
    <w:rsid w:val="66D30ABB"/>
    <w:rsid w:val="66DD0CAB"/>
    <w:rsid w:val="66EA76BB"/>
    <w:rsid w:val="67191E9B"/>
    <w:rsid w:val="673143DA"/>
    <w:rsid w:val="67373857"/>
    <w:rsid w:val="674D780C"/>
    <w:rsid w:val="67560942"/>
    <w:rsid w:val="675A1D8C"/>
    <w:rsid w:val="6784541A"/>
    <w:rsid w:val="67987117"/>
    <w:rsid w:val="67997589"/>
    <w:rsid w:val="67A14CFB"/>
    <w:rsid w:val="67BA418D"/>
    <w:rsid w:val="67D476E1"/>
    <w:rsid w:val="67E82A24"/>
    <w:rsid w:val="681316EB"/>
    <w:rsid w:val="68212866"/>
    <w:rsid w:val="68273FF7"/>
    <w:rsid w:val="682D71BE"/>
    <w:rsid w:val="683D2785"/>
    <w:rsid w:val="683F4AAB"/>
    <w:rsid w:val="68614B44"/>
    <w:rsid w:val="68641294"/>
    <w:rsid w:val="68656D1C"/>
    <w:rsid w:val="6869205B"/>
    <w:rsid w:val="686E7F72"/>
    <w:rsid w:val="68723267"/>
    <w:rsid w:val="68732EF9"/>
    <w:rsid w:val="687B58DA"/>
    <w:rsid w:val="688B7C0C"/>
    <w:rsid w:val="688F5EB1"/>
    <w:rsid w:val="689F09E9"/>
    <w:rsid w:val="68AF4042"/>
    <w:rsid w:val="68C162F7"/>
    <w:rsid w:val="68C8580C"/>
    <w:rsid w:val="68D25E84"/>
    <w:rsid w:val="68D80598"/>
    <w:rsid w:val="68F257FB"/>
    <w:rsid w:val="68F53F4B"/>
    <w:rsid w:val="69176F17"/>
    <w:rsid w:val="69450BD9"/>
    <w:rsid w:val="694A07A5"/>
    <w:rsid w:val="694F58D2"/>
    <w:rsid w:val="69521A45"/>
    <w:rsid w:val="69562066"/>
    <w:rsid w:val="69722FFB"/>
    <w:rsid w:val="6977387A"/>
    <w:rsid w:val="698B13C0"/>
    <w:rsid w:val="698C4A5A"/>
    <w:rsid w:val="69AF22D9"/>
    <w:rsid w:val="69B822E2"/>
    <w:rsid w:val="69D22757"/>
    <w:rsid w:val="69E2521D"/>
    <w:rsid w:val="69F91FB2"/>
    <w:rsid w:val="69FA3317"/>
    <w:rsid w:val="6A0375FA"/>
    <w:rsid w:val="6A0865D9"/>
    <w:rsid w:val="6A16503C"/>
    <w:rsid w:val="6A1D38B6"/>
    <w:rsid w:val="6A386990"/>
    <w:rsid w:val="6A4514CB"/>
    <w:rsid w:val="6A4640ED"/>
    <w:rsid w:val="6A5002AE"/>
    <w:rsid w:val="6A8B2F63"/>
    <w:rsid w:val="6A8B4D12"/>
    <w:rsid w:val="6A8B598C"/>
    <w:rsid w:val="6AA45084"/>
    <w:rsid w:val="6AA716B4"/>
    <w:rsid w:val="6AAC2D43"/>
    <w:rsid w:val="6AC058F8"/>
    <w:rsid w:val="6AC30B94"/>
    <w:rsid w:val="6AC80C6F"/>
    <w:rsid w:val="6AD06BC8"/>
    <w:rsid w:val="6AE53E77"/>
    <w:rsid w:val="6AED02A0"/>
    <w:rsid w:val="6B030D4C"/>
    <w:rsid w:val="6B0610CD"/>
    <w:rsid w:val="6B087C30"/>
    <w:rsid w:val="6B160EDD"/>
    <w:rsid w:val="6B1E5B86"/>
    <w:rsid w:val="6B2000D1"/>
    <w:rsid w:val="6B2B4F53"/>
    <w:rsid w:val="6B484C5A"/>
    <w:rsid w:val="6B591683"/>
    <w:rsid w:val="6B862DFA"/>
    <w:rsid w:val="6B8E2D0B"/>
    <w:rsid w:val="6BAE2DB0"/>
    <w:rsid w:val="6BB91FE3"/>
    <w:rsid w:val="6BBE323B"/>
    <w:rsid w:val="6BD54E26"/>
    <w:rsid w:val="6BDC4029"/>
    <w:rsid w:val="6BED1839"/>
    <w:rsid w:val="6BF2256B"/>
    <w:rsid w:val="6BFB23B4"/>
    <w:rsid w:val="6C1B7B8D"/>
    <w:rsid w:val="6C304399"/>
    <w:rsid w:val="6C530BD0"/>
    <w:rsid w:val="6C565081"/>
    <w:rsid w:val="6C677AD6"/>
    <w:rsid w:val="6C6D0A5E"/>
    <w:rsid w:val="6C736A6A"/>
    <w:rsid w:val="6C954272"/>
    <w:rsid w:val="6C9A121E"/>
    <w:rsid w:val="6C9B02E1"/>
    <w:rsid w:val="6CA40E94"/>
    <w:rsid w:val="6CBD3EF0"/>
    <w:rsid w:val="6CD90C20"/>
    <w:rsid w:val="6CFF09DC"/>
    <w:rsid w:val="6D116100"/>
    <w:rsid w:val="6D1B05CF"/>
    <w:rsid w:val="6D222A39"/>
    <w:rsid w:val="6D24392A"/>
    <w:rsid w:val="6D3451EC"/>
    <w:rsid w:val="6D7A5D6B"/>
    <w:rsid w:val="6D907461"/>
    <w:rsid w:val="6D9B5612"/>
    <w:rsid w:val="6D9D6B86"/>
    <w:rsid w:val="6DA56060"/>
    <w:rsid w:val="6DAF6F69"/>
    <w:rsid w:val="6DD864C0"/>
    <w:rsid w:val="6DD95D94"/>
    <w:rsid w:val="6DE54739"/>
    <w:rsid w:val="6DE835A0"/>
    <w:rsid w:val="6DF23AC0"/>
    <w:rsid w:val="6E116386"/>
    <w:rsid w:val="6E137533"/>
    <w:rsid w:val="6E1D4C12"/>
    <w:rsid w:val="6E547FB8"/>
    <w:rsid w:val="6E5506C8"/>
    <w:rsid w:val="6E7206C2"/>
    <w:rsid w:val="6E7F158F"/>
    <w:rsid w:val="6E927932"/>
    <w:rsid w:val="6E9A4846"/>
    <w:rsid w:val="6EB00086"/>
    <w:rsid w:val="6EB12880"/>
    <w:rsid w:val="6F075889"/>
    <w:rsid w:val="6F084EF7"/>
    <w:rsid w:val="6F1A7805"/>
    <w:rsid w:val="6F204F34"/>
    <w:rsid w:val="6F3911E0"/>
    <w:rsid w:val="6F4477B6"/>
    <w:rsid w:val="6F68085D"/>
    <w:rsid w:val="6F6A75EB"/>
    <w:rsid w:val="6F7D6439"/>
    <w:rsid w:val="6F8F5583"/>
    <w:rsid w:val="6F917491"/>
    <w:rsid w:val="6F955435"/>
    <w:rsid w:val="6FA7439C"/>
    <w:rsid w:val="6FB17FE4"/>
    <w:rsid w:val="6FD601DD"/>
    <w:rsid w:val="6FE80510"/>
    <w:rsid w:val="6FF738BB"/>
    <w:rsid w:val="700157C7"/>
    <w:rsid w:val="70147557"/>
    <w:rsid w:val="702926E6"/>
    <w:rsid w:val="70343755"/>
    <w:rsid w:val="70357BF9"/>
    <w:rsid w:val="703E2583"/>
    <w:rsid w:val="705B05DF"/>
    <w:rsid w:val="707A362B"/>
    <w:rsid w:val="70B7060E"/>
    <w:rsid w:val="70B96C2C"/>
    <w:rsid w:val="70BB5D78"/>
    <w:rsid w:val="70BC10A1"/>
    <w:rsid w:val="70D00087"/>
    <w:rsid w:val="70DA56A6"/>
    <w:rsid w:val="70DB03D0"/>
    <w:rsid w:val="70FA011D"/>
    <w:rsid w:val="711A1BE7"/>
    <w:rsid w:val="713566AE"/>
    <w:rsid w:val="71396A32"/>
    <w:rsid w:val="714B7C09"/>
    <w:rsid w:val="715440AF"/>
    <w:rsid w:val="715D7CCE"/>
    <w:rsid w:val="71725765"/>
    <w:rsid w:val="717C53B4"/>
    <w:rsid w:val="71A556F6"/>
    <w:rsid w:val="71AB33A6"/>
    <w:rsid w:val="71C15170"/>
    <w:rsid w:val="71C23FD3"/>
    <w:rsid w:val="71CD3E62"/>
    <w:rsid w:val="71CE09AC"/>
    <w:rsid w:val="71CE3F0E"/>
    <w:rsid w:val="71D07D25"/>
    <w:rsid w:val="71D30AC4"/>
    <w:rsid w:val="71E371E1"/>
    <w:rsid w:val="71E54151"/>
    <w:rsid w:val="7229553C"/>
    <w:rsid w:val="72341527"/>
    <w:rsid w:val="723F4D5F"/>
    <w:rsid w:val="726418EC"/>
    <w:rsid w:val="7274296F"/>
    <w:rsid w:val="727922F2"/>
    <w:rsid w:val="727B6062"/>
    <w:rsid w:val="72907369"/>
    <w:rsid w:val="72AB454A"/>
    <w:rsid w:val="72B915FC"/>
    <w:rsid w:val="72B92358"/>
    <w:rsid w:val="72BF6578"/>
    <w:rsid w:val="72CE0B01"/>
    <w:rsid w:val="72CF66E2"/>
    <w:rsid w:val="72DC2D95"/>
    <w:rsid w:val="72E44818"/>
    <w:rsid w:val="72E667CD"/>
    <w:rsid w:val="72ED664A"/>
    <w:rsid w:val="730579C2"/>
    <w:rsid w:val="7307523F"/>
    <w:rsid w:val="7309166D"/>
    <w:rsid w:val="731D6723"/>
    <w:rsid w:val="73296DEF"/>
    <w:rsid w:val="732D59C3"/>
    <w:rsid w:val="733A72D5"/>
    <w:rsid w:val="735222F1"/>
    <w:rsid w:val="7375135A"/>
    <w:rsid w:val="737E0028"/>
    <w:rsid w:val="738911A2"/>
    <w:rsid w:val="73893DB8"/>
    <w:rsid w:val="739164BF"/>
    <w:rsid w:val="73A26F97"/>
    <w:rsid w:val="73A40BF2"/>
    <w:rsid w:val="73C54EE2"/>
    <w:rsid w:val="73DA7E34"/>
    <w:rsid w:val="73DB115E"/>
    <w:rsid w:val="73E33F2D"/>
    <w:rsid w:val="740873D5"/>
    <w:rsid w:val="742C30C1"/>
    <w:rsid w:val="744D3642"/>
    <w:rsid w:val="74561553"/>
    <w:rsid w:val="7472484C"/>
    <w:rsid w:val="749D565F"/>
    <w:rsid w:val="749F7D37"/>
    <w:rsid w:val="74A2131F"/>
    <w:rsid w:val="74A52E74"/>
    <w:rsid w:val="74B771BF"/>
    <w:rsid w:val="74C701BF"/>
    <w:rsid w:val="74F047CF"/>
    <w:rsid w:val="751002ED"/>
    <w:rsid w:val="752A36A1"/>
    <w:rsid w:val="754650B9"/>
    <w:rsid w:val="756162FE"/>
    <w:rsid w:val="75640639"/>
    <w:rsid w:val="756D4A08"/>
    <w:rsid w:val="756F397F"/>
    <w:rsid w:val="75703482"/>
    <w:rsid w:val="757D7425"/>
    <w:rsid w:val="759E67A4"/>
    <w:rsid w:val="75A279BF"/>
    <w:rsid w:val="75A8424D"/>
    <w:rsid w:val="75AA4BE4"/>
    <w:rsid w:val="75B710B1"/>
    <w:rsid w:val="75B96BD7"/>
    <w:rsid w:val="75C80BEB"/>
    <w:rsid w:val="75D7705D"/>
    <w:rsid w:val="75E63FB5"/>
    <w:rsid w:val="75EF43A6"/>
    <w:rsid w:val="760D6F22"/>
    <w:rsid w:val="76315EC5"/>
    <w:rsid w:val="76316068"/>
    <w:rsid w:val="763267CE"/>
    <w:rsid w:val="76382839"/>
    <w:rsid w:val="76424D11"/>
    <w:rsid w:val="76634D94"/>
    <w:rsid w:val="766A5E7A"/>
    <w:rsid w:val="767E3C92"/>
    <w:rsid w:val="767E40A3"/>
    <w:rsid w:val="76830D94"/>
    <w:rsid w:val="768337FB"/>
    <w:rsid w:val="76B4073B"/>
    <w:rsid w:val="76C54D65"/>
    <w:rsid w:val="76C75323"/>
    <w:rsid w:val="76CE304C"/>
    <w:rsid w:val="76D240DB"/>
    <w:rsid w:val="76D96E05"/>
    <w:rsid w:val="76E35E97"/>
    <w:rsid w:val="76E94DF6"/>
    <w:rsid w:val="772365EF"/>
    <w:rsid w:val="7735228D"/>
    <w:rsid w:val="77387FCF"/>
    <w:rsid w:val="77436DB3"/>
    <w:rsid w:val="7746169E"/>
    <w:rsid w:val="774B1728"/>
    <w:rsid w:val="776D5ECB"/>
    <w:rsid w:val="777A47D7"/>
    <w:rsid w:val="777F79AC"/>
    <w:rsid w:val="77970658"/>
    <w:rsid w:val="779C76DB"/>
    <w:rsid w:val="77A77481"/>
    <w:rsid w:val="77AA4A6D"/>
    <w:rsid w:val="77B211C8"/>
    <w:rsid w:val="77B962E8"/>
    <w:rsid w:val="77D45F4A"/>
    <w:rsid w:val="77E3656F"/>
    <w:rsid w:val="77F57C6E"/>
    <w:rsid w:val="78016613"/>
    <w:rsid w:val="78175E36"/>
    <w:rsid w:val="7826607A"/>
    <w:rsid w:val="783512AF"/>
    <w:rsid w:val="78496AB4"/>
    <w:rsid w:val="7851685F"/>
    <w:rsid w:val="78533E6B"/>
    <w:rsid w:val="786055C7"/>
    <w:rsid w:val="78786125"/>
    <w:rsid w:val="787F35D1"/>
    <w:rsid w:val="78905891"/>
    <w:rsid w:val="78935506"/>
    <w:rsid w:val="78AE679B"/>
    <w:rsid w:val="78E51A91"/>
    <w:rsid w:val="791660A5"/>
    <w:rsid w:val="792A3948"/>
    <w:rsid w:val="79377A40"/>
    <w:rsid w:val="793B5BCE"/>
    <w:rsid w:val="793D7BA8"/>
    <w:rsid w:val="79406343"/>
    <w:rsid w:val="79583B51"/>
    <w:rsid w:val="7975665C"/>
    <w:rsid w:val="798320C3"/>
    <w:rsid w:val="79985ACE"/>
    <w:rsid w:val="799F4335"/>
    <w:rsid w:val="79B06543"/>
    <w:rsid w:val="79BC050D"/>
    <w:rsid w:val="79F40EC3"/>
    <w:rsid w:val="79F44681"/>
    <w:rsid w:val="79FF668B"/>
    <w:rsid w:val="7A3A5E0C"/>
    <w:rsid w:val="7A543053"/>
    <w:rsid w:val="7A5A025C"/>
    <w:rsid w:val="7A5B20E4"/>
    <w:rsid w:val="7A6C2327"/>
    <w:rsid w:val="7A717D29"/>
    <w:rsid w:val="7A765096"/>
    <w:rsid w:val="7A886B78"/>
    <w:rsid w:val="7A9E283F"/>
    <w:rsid w:val="7AC32B52"/>
    <w:rsid w:val="7AC82E68"/>
    <w:rsid w:val="7AC92325"/>
    <w:rsid w:val="7AEF7C5E"/>
    <w:rsid w:val="7B1F4D94"/>
    <w:rsid w:val="7B2E44E1"/>
    <w:rsid w:val="7B3418E3"/>
    <w:rsid w:val="7B3E36DA"/>
    <w:rsid w:val="7B596F15"/>
    <w:rsid w:val="7B7E162C"/>
    <w:rsid w:val="7B863DF3"/>
    <w:rsid w:val="7B8856EF"/>
    <w:rsid w:val="7B9A5428"/>
    <w:rsid w:val="7B9C52BF"/>
    <w:rsid w:val="7BB26A86"/>
    <w:rsid w:val="7BC5423B"/>
    <w:rsid w:val="7BC933CD"/>
    <w:rsid w:val="7BD029FC"/>
    <w:rsid w:val="7BD70EE4"/>
    <w:rsid w:val="7BE02371"/>
    <w:rsid w:val="7BFF27A7"/>
    <w:rsid w:val="7C1D7D20"/>
    <w:rsid w:val="7C224DAA"/>
    <w:rsid w:val="7C3021C8"/>
    <w:rsid w:val="7C4A4A2C"/>
    <w:rsid w:val="7C527921"/>
    <w:rsid w:val="7C6929D9"/>
    <w:rsid w:val="7C774D6C"/>
    <w:rsid w:val="7C834A87"/>
    <w:rsid w:val="7C923CDE"/>
    <w:rsid w:val="7C997E30"/>
    <w:rsid w:val="7C9B7471"/>
    <w:rsid w:val="7CA37C99"/>
    <w:rsid w:val="7CA73C2D"/>
    <w:rsid w:val="7CB53AA6"/>
    <w:rsid w:val="7CB77BE8"/>
    <w:rsid w:val="7CBC59EA"/>
    <w:rsid w:val="7CD27FBD"/>
    <w:rsid w:val="7CDF4F60"/>
    <w:rsid w:val="7CF56D71"/>
    <w:rsid w:val="7D24527D"/>
    <w:rsid w:val="7D3A0E5D"/>
    <w:rsid w:val="7D4165A6"/>
    <w:rsid w:val="7D4A0E0B"/>
    <w:rsid w:val="7D535BC6"/>
    <w:rsid w:val="7D615494"/>
    <w:rsid w:val="7D943A85"/>
    <w:rsid w:val="7DA243F4"/>
    <w:rsid w:val="7DB73477"/>
    <w:rsid w:val="7DBD5ADF"/>
    <w:rsid w:val="7DE247F1"/>
    <w:rsid w:val="7DE61A41"/>
    <w:rsid w:val="7DF83B66"/>
    <w:rsid w:val="7E310E70"/>
    <w:rsid w:val="7E592088"/>
    <w:rsid w:val="7E5D6E0E"/>
    <w:rsid w:val="7E7E7CAC"/>
    <w:rsid w:val="7E927FC5"/>
    <w:rsid w:val="7E9401E1"/>
    <w:rsid w:val="7E98034C"/>
    <w:rsid w:val="7EB048EF"/>
    <w:rsid w:val="7EB51CDB"/>
    <w:rsid w:val="7ECB4467"/>
    <w:rsid w:val="7F016A98"/>
    <w:rsid w:val="7F192494"/>
    <w:rsid w:val="7F2A0D27"/>
    <w:rsid w:val="7F3B066D"/>
    <w:rsid w:val="7F594F87"/>
    <w:rsid w:val="7F6A0F42"/>
    <w:rsid w:val="7F6C4CBA"/>
    <w:rsid w:val="7F731732"/>
    <w:rsid w:val="7F7C35D5"/>
    <w:rsid w:val="7F814F77"/>
    <w:rsid w:val="7F891D41"/>
    <w:rsid w:val="7FA67419"/>
    <w:rsid w:val="7FB44B21"/>
    <w:rsid w:val="7FB96FF7"/>
    <w:rsid w:val="7FCA5219"/>
    <w:rsid w:val="7FDF28FB"/>
    <w:rsid w:val="7FE0106F"/>
    <w:rsid w:val="7FE256C7"/>
    <w:rsid w:val="7FFC20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unhideWhenUsed/>
    <w:qFormat/>
    <w:uiPriority w:val="0"/>
    <w:pPr>
      <w:keepNext/>
      <w:keepLines/>
      <w:jc w:val="left"/>
      <w:outlineLvl w:val="2"/>
    </w:pPr>
    <w:rPr>
      <w:b/>
      <w:bCs/>
      <w:szCs w:val="32"/>
    </w:rPr>
  </w:style>
  <w:style w:type="paragraph" w:styleId="5">
    <w:name w:val="heading 4"/>
    <w:basedOn w:val="1"/>
    <w:next w:val="1"/>
    <w:qFormat/>
    <w:uiPriority w:val="0"/>
    <w:pPr>
      <w:keepNext/>
      <w:widowControl/>
      <w:numPr>
        <w:ilvl w:val="3"/>
        <w:numId w:val="1"/>
      </w:numPr>
      <w:overflowPunct w:val="0"/>
      <w:autoSpaceDE w:val="0"/>
      <w:autoSpaceDN w:val="0"/>
      <w:adjustRightInd w:val="0"/>
      <w:spacing w:before="240" w:after="60"/>
      <w:jc w:val="left"/>
      <w:textAlignment w:val="baseline"/>
      <w:outlineLvl w:val="3"/>
    </w:pPr>
    <w:rPr>
      <w:b/>
      <w:i/>
      <w:kern w:val="0"/>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eastAsia="宋体" w:cs="Times New Roman"/>
    </w:rPr>
  </w:style>
  <w:style w:type="paragraph" w:styleId="7">
    <w:name w:val="Normal Indent"/>
    <w:basedOn w:val="1"/>
    <w:next w:val="1"/>
    <w:qFormat/>
    <w:uiPriority w:val="99"/>
    <w:pPr>
      <w:autoSpaceDE w:val="0"/>
      <w:autoSpaceDN w:val="0"/>
      <w:adjustRightInd w:val="0"/>
      <w:ind w:firstLine="420"/>
      <w:jc w:val="left"/>
    </w:pPr>
    <w:rPr>
      <w:rFonts w:ascii="宋体"/>
      <w:kern w:val="0"/>
      <w:sz w:val="24"/>
    </w:rPr>
  </w:style>
  <w:style w:type="paragraph" w:styleId="8">
    <w:name w:val="Document Map"/>
    <w:basedOn w:val="1"/>
    <w:qFormat/>
    <w:uiPriority w:val="0"/>
    <w:pPr>
      <w:shd w:val="clear" w:color="auto" w:fill="000080"/>
    </w:pPr>
    <w:rPr>
      <w:rFonts w:ascii="Cambria" w:hAnsi="Cambria"/>
      <w:sz w:val="24"/>
      <w:szCs w:val="24"/>
    </w:rPr>
  </w:style>
  <w:style w:type="paragraph" w:styleId="9">
    <w:name w:val="toa heading"/>
    <w:basedOn w:val="1"/>
    <w:next w:val="1"/>
    <w:semiHidden/>
    <w:qFormat/>
    <w:uiPriority w:val="0"/>
    <w:pPr>
      <w:spacing w:before="120"/>
    </w:pPr>
    <w:rPr>
      <w:rFonts w:ascii="Arial" w:hAnsi="Arial" w:cs="Arial"/>
      <w:sz w:val="24"/>
      <w:szCs w:val="24"/>
    </w:rPr>
  </w:style>
  <w:style w:type="paragraph" w:styleId="10">
    <w:name w:val="annotation text"/>
    <w:basedOn w:val="1"/>
    <w:link w:val="82"/>
    <w:unhideWhenUsed/>
    <w:qFormat/>
    <w:uiPriority w:val="99"/>
    <w:pPr>
      <w:jc w:val="left"/>
    </w:pPr>
  </w:style>
  <w:style w:type="paragraph" w:styleId="11">
    <w:name w:val="Body Text"/>
    <w:basedOn w:val="1"/>
    <w:next w:val="12"/>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2">
    <w:name w:val="header"/>
    <w:basedOn w:val="1"/>
    <w:next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14">
    <w:name w:val="toc 3"/>
    <w:basedOn w:val="1"/>
    <w:next w:val="1"/>
    <w:unhideWhenUsed/>
    <w:qFormat/>
    <w:uiPriority w:val="39"/>
    <w:pPr>
      <w:spacing w:line="380" w:lineRule="exact"/>
      <w:ind w:left="400" w:leftChars="400"/>
      <w:jc w:val="distribute"/>
    </w:pPr>
  </w:style>
  <w:style w:type="paragraph" w:styleId="15">
    <w:name w:val="Plain Text"/>
    <w:basedOn w:val="1"/>
    <w:next w:val="16"/>
    <w:qFormat/>
    <w:uiPriority w:val="0"/>
    <w:rPr>
      <w:rFonts w:ascii="宋体" w:hAnsi="Courier New"/>
    </w:rPr>
  </w:style>
  <w:style w:type="paragraph" w:styleId="16">
    <w:name w:val="List Number 5"/>
    <w:basedOn w:val="1"/>
    <w:semiHidden/>
    <w:unhideWhenUsed/>
    <w:qFormat/>
    <w:uiPriority w:val="99"/>
    <w:pPr>
      <w:numPr>
        <w:ilvl w:val="0"/>
        <w:numId w:val="2"/>
      </w:numPr>
    </w:pPr>
  </w:style>
  <w:style w:type="paragraph" w:styleId="17">
    <w:name w:val="Date"/>
    <w:basedOn w:val="1"/>
    <w:next w:val="1"/>
    <w:link w:val="83"/>
    <w:unhideWhenUsed/>
    <w:qFormat/>
    <w:uiPriority w:val="99"/>
    <w:pPr>
      <w:ind w:left="100" w:leftChars="2500"/>
    </w:pPr>
  </w:style>
  <w:style w:type="paragraph" w:styleId="18">
    <w:name w:val="Balloon Text"/>
    <w:basedOn w:val="1"/>
    <w:link w:val="79"/>
    <w:unhideWhenUsed/>
    <w:qFormat/>
    <w:uiPriority w:val="99"/>
    <w:rPr>
      <w:sz w:val="18"/>
      <w:szCs w:val="18"/>
    </w:rPr>
  </w:style>
  <w:style w:type="paragraph" w:styleId="19">
    <w:name w:val="footer"/>
    <w:basedOn w:val="1"/>
    <w:link w:val="52"/>
    <w:unhideWhenUsed/>
    <w:qFormat/>
    <w:uiPriority w:val="99"/>
    <w:pPr>
      <w:tabs>
        <w:tab w:val="center" w:pos="4153"/>
        <w:tab w:val="right" w:pos="8306"/>
      </w:tabs>
      <w:snapToGrid w:val="0"/>
      <w:jc w:val="left"/>
    </w:pPr>
    <w:rPr>
      <w:sz w:val="18"/>
      <w:szCs w:val="18"/>
    </w:rPr>
  </w:style>
  <w:style w:type="paragraph" w:styleId="20">
    <w:name w:val="toc 1"/>
    <w:basedOn w:val="1"/>
    <w:next w:val="1"/>
    <w:unhideWhenUsed/>
    <w:qFormat/>
    <w:uiPriority w:val="39"/>
    <w:pPr>
      <w:spacing w:line="380" w:lineRule="exact"/>
      <w:jc w:val="distribute"/>
    </w:pPr>
    <w:rPr>
      <w:rFonts w:eastAsia="黑体"/>
    </w:rPr>
  </w:style>
  <w:style w:type="paragraph" w:styleId="21">
    <w:name w:val="Subtitle"/>
    <w:basedOn w:val="1"/>
    <w:next w:val="1"/>
    <w:link w:val="189"/>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2">
    <w:name w:val="toc 6"/>
    <w:basedOn w:val="1"/>
    <w:next w:val="1"/>
    <w:semiHidden/>
    <w:qFormat/>
    <w:uiPriority w:val="0"/>
    <w:pPr>
      <w:ind w:left="1050"/>
      <w:jc w:val="left"/>
    </w:pPr>
    <w:rPr>
      <w:sz w:val="18"/>
      <w:szCs w:val="18"/>
    </w:rPr>
  </w:style>
  <w:style w:type="paragraph" w:styleId="23">
    <w:name w:val="toc 2"/>
    <w:basedOn w:val="1"/>
    <w:next w:val="1"/>
    <w:unhideWhenUsed/>
    <w:qFormat/>
    <w:uiPriority w:val="39"/>
    <w:pPr>
      <w:spacing w:line="380" w:lineRule="exact"/>
      <w:ind w:left="200" w:leftChars="200"/>
      <w:jc w:val="distribute"/>
    </w:pPr>
  </w:style>
  <w:style w:type="paragraph" w:styleId="24">
    <w:name w:val="Body Text 2"/>
    <w:basedOn w:val="1"/>
    <w:qFormat/>
    <w:uiPriority w:val="0"/>
    <w:pPr>
      <w:jc w:val="center"/>
    </w:pPr>
    <w:rPr>
      <w:rFonts w:eastAsia="黑体"/>
      <w:bCs/>
      <w:sz w:val="72"/>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188"/>
    <w:qFormat/>
    <w:uiPriority w:val="10"/>
    <w:pPr>
      <w:spacing w:before="60" w:after="60"/>
      <w:jc w:val="center"/>
      <w:outlineLvl w:val="0"/>
    </w:pPr>
    <w:rPr>
      <w:rFonts w:ascii="Cambria" w:hAnsi="Cambria" w:cs="Times New Roman"/>
      <w:b/>
      <w:bCs/>
      <w:szCs w:val="32"/>
    </w:rPr>
  </w:style>
  <w:style w:type="paragraph" w:styleId="27">
    <w:name w:val="annotation subject"/>
    <w:basedOn w:val="10"/>
    <w:next w:val="10"/>
    <w:link w:val="85"/>
    <w:unhideWhenUsed/>
    <w:qFormat/>
    <w:uiPriority w:val="99"/>
    <w:rPr>
      <w:b/>
      <w:bCs/>
    </w:rPr>
  </w:style>
  <w:style w:type="paragraph" w:styleId="28">
    <w:name w:val="Body Text First Indent"/>
    <w:basedOn w:val="11"/>
    <w:next w:val="1"/>
    <w:unhideWhenUsed/>
    <w:qFormat/>
    <w:uiPriority w:val="0"/>
    <w:pPr>
      <w:spacing w:before="0" w:after="120" w:line="312" w:lineRule="atLeast"/>
      <w:ind w:firstLine="420" w:firstLineChars="100"/>
    </w:pPr>
    <w:rPr>
      <w:sz w:val="21"/>
    </w:rPr>
  </w:style>
  <w:style w:type="paragraph" w:styleId="29">
    <w:name w:val="Body Text First Indent 2"/>
    <w:basedOn w:val="13"/>
    <w:qFormat/>
    <w:uiPriority w:val="0"/>
    <w:pPr>
      <w:ind w:firstLine="420" w:firstLineChars="200"/>
    </w:pPr>
    <w:rPr>
      <w:kern w:val="2"/>
      <w:szCs w:val="2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unhideWhenUsed/>
    <w:qFormat/>
    <w:uiPriority w:val="0"/>
    <w:rPr>
      <w:rFonts w:cs="Times New Roman"/>
    </w:rPr>
  </w:style>
  <w:style w:type="character" w:styleId="35">
    <w:name w:val="FollowedHyperlink"/>
    <w:basedOn w:val="32"/>
    <w:qFormat/>
    <w:uiPriority w:val="0"/>
    <w:rPr>
      <w:color w:val="2687D0"/>
      <w:u w:val="single"/>
    </w:rPr>
  </w:style>
  <w:style w:type="character" w:styleId="36">
    <w:name w:val="HTML Definition"/>
    <w:basedOn w:val="32"/>
    <w:unhideWhenUsed/>
    <w:qFormat/>
    <w:uiPriority w:val="99"/>
  </w:style>
  <w:style w:type="character" w:styleId="37">
    <w:name w:val="HTML Typewriter"/>
    <w:basedOn w:val="32"/>
    <w:unhideWhenUsed/>
    <w:qFormat/>
    <w:uiPriority w:val="99"/>
    <w:rPr>
      <w:rFonts w:hint="default" w:ascii="monospace" w:hAnsi="monospace" w:eastAsia="monospace" w:cs="monospace"/>
      <w:sz w:val="20"/>
    </w:rPr>
  </w:style>
  <w:style w:type="character" w:styleId="38">
    <w:name w:val="HTML Acronym"/>
    <w:basedOn w:val="32"/>
    <w:unhideWhenUsed/>
    <w:qFormat/>
    <w:uiPriority w:val="99"/>
  </w:style>
  <w:style w:type="character" w:styleId="39">
    <w:name w:val="HTML Variable"/>
    <w:basedOn w:val="32"/>
    <w:unhideWhenUsed/>
    <w:qFormat/>
    <w:uiPriority w:val="99"/>
  </w:style>
  <w:style w:type="character" w:styleId="40">
    <w:name w:val="Hyperlink"/>
    <w:basedOn w:val="32"/>
    <w:unhideWhenUsed/>
    <w:qFormat/>
    <w:uiPriority w:val="99"/>
    <w:rPr>
      <w:color w:val="0563C1"/>
      <w:u w:val="single"/>
    </w:rPr>
  </w:style>
  <w:style w:type="character" w:styleId="41">
    <w:name w:val="HTML Code"/>
    <w:basedOn w:val="32"/>
    <w:unhideWhenUsed/>
    <w:qFormat/>
    <w:uiPriority w:val="99"/>
    <w:rPr>
      <w:rFonts w:hint="default" w:ascii="Consolas" w:hAnsi="Consolas" w:eastAsia="Consolas" w:cs="Consolas"/>
      <w:sz w:val="21"/>
      <w:szCs w:val="21"/>
    </w:rPr>
  </w:style>
  <w:style w:type="character" w:styleId="42">
    <w:name w:val="annotation reference"/>
    <w:unhideWhenUsed/>
    <w:qFormat/>
    <w:uiPriority w:val="99"/>
    <w:rPr>
      <w:sz w:val="21"/>
      <w:szCs w:val="21"/>
    </w:rPr>
  </w:style>
  <w:style w:type="character" w:styleId="43">
    <w:name w:val="HTML Cite"/>
    <w:basedOn w:val="32"/>
    <w:unhideWhenUsed/>
    <w:qFormat/>
    <w:uiPriority w:val="99"/>
  </w:style>
  <w:style w:type="character" w:styleId="44">
    <w:name w:val="HTML Keyboard"/>
    <w:basedOn w:val="32"/>
    <w:unhideWhenUsed/>
    <w:qFormat/>
    <w:uiPriority w:val="99"/>
    <w:rPr>
      <w:rFonts w:hint="default" w:ascii="Consolas" w:hAnsi="Consolas" w:eastAsia="Consolas" w:cs="Consolas"/>
      <w:sz w:val="21"/>
      <w:szCs w:val="21"/>
    </w:rPr>
  </w:style>
  <w:style w:type="character" w:styleId="45">
    <w:name w:val="HTML Sample"/>
    <w:basedOn w:val="32"/>
    <w:unhideWhenUsed/>
    <w:qFormat/>
    <w:uiPriority w:val="99"/>
    <w:rPr>
      <w:rFonts w:ascii="Consolas" w:hAnsi="Consolas" w:eastAsia="Consolas" w:cs="Consolas"/>
      <w:sz w:val="21"/>
      <w:szCs w:val="21"/>
    </w:rPr>
  </w:style>
  <w:style w:type="paragraph" w:customStyle="1" w:styleId="4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8">
    <w:name w:val="current6"/>
    <w:basedOn w:val="32"/>
    <w:qFormat/>
    <w:uiPriority w:val="0"/>
    <w:rPr>
      <w:color w:val="FFFFFF"/>
      <w:shd w:val="clear" w:color="auto" w:fill="5BA0FF"/>
    </w:rPr>
  </w:style>
  <w:style w:type="character" w:customStyle="1" w:styleId="49">
    <w:name w:val="icon_bj7"/>
    <w:basedOn w:val="32"/>
    <w:qFormat/>
    <w:uiPriority w:val="0"/>
    <w:rPr>
      <w:color w:val="FFFFFF"/>
      <w:sz w:val="18"/>
      <w:szCs w:val="18"/>
      <w:shd w:val="clear" w:color="auto" w:fill="4A90E2"/>
    </w:rPr>
  </w:style>
  <w:style w:type="character" w:customStyle="1" w:styleId="50">
    <w:name w:val="tuih1"/>
    <w:basedOn w:val="32"/>
    <w:qFormat/>
    <w:uiPriority w:val="0"/>
    <w:rPr>
      <w:color w:val="57607A"/>
      <w:bdr w:val="single" w:color="CDCCCC" w:sz="6" w:space="0"/>
    </w:rPr>
  </w:style>
  <w:style w:type="character" w:customStyle="1" w:styleId="51">
    <w:name w:val="current2"/>
    <w:basedOn w:val="32"/>
    <w:qFormat/>
    <w:uiPriority w:val="0"/>
    <w:rPr>
      <w:color w:val="197AFF"/>
      <w:shd w:val="clear" w:color="auto" w:fill="EBECF0"/>
    </w:rPr>
  </w:style>
  <w:style w:type="character" w:customStyle="1" w:styleId="52">
    <w:name w:val=" Char Char4"/>
    <w:link w:val="19"/>
    <w:qFormat/>
    <w:uiPriority w:val="99"/>
    <w:rPr>
      <w:kern w:val="2"/>
      <w:sz w:val="18"/>
      <w:szCs w:val="18"/>
    </w:rPr>
  </w:style>
  <w:style w:type="character" w:customStyle="1" w:styleId="53">
    <w:name w:val="heighthight"/>
    <w:basedOn w:val="32"/>
    <w:qFormat/>
    <w:uiPriority w:val="0"/>
    <w:rPr>
      <w:color w:val="FAAE14"/>
    </w:rPr>
  </w:style>
  <w:style w:type="character" w:customStyle="1" w:styleId="54">
    <w:name w:val="gotoset1"/>
    <w:basedOn w:val="32"/>
    <w:qFormat/>
    <w:uiPriority w:val="0"/>
    <w:rPr>
      <w:color w:val="999999"/>
    </w:rPr>
  </w:style>
  <w:style w:type="character" w:customStyle="1" w:styleId="55">
    <w:name w:val="current3"/>
    <w:basedOn w:val="32"/>
    <w:qFormat/>
    <w:uiPriority w:val="0"/>
  </w:style>
  <w:style w:type="character" w:customStyle="1" w:styleId="56">
    <w:name w:val="current1"/>
    <w:basedOn w:val="32"/>
    <w:qFormat/>
    <w:uiPriority w:val="0"/>
    <w:rPr>
      <w:color w:val="FFFFFF"/>
      <w:bdr w:val="single" w:color="197AFF" w:sz="6" w:space="0"/>
      <w:shd w:val="clear" w:color="auto" w:fill="197AFF"/>
    </w:rPr>
  </w:style>
  <w:style w:type="character" w:customStyle="1" w:styleId="57">
    <w:name w:val="gotoset4"/>
    <w:basedOn w:val="32"/>
    <w:qFormat/>
    <w:uiPriority w:val="0"/>
    <w:rPr>
      <w:color w:val="999999"/>
    </w:rPr>
  </w:style>
  <w:style w:type="character" w:customStyle="1" w:styleId="58">
    <w:name w:val="current5"/>
    <w:basedOn w:val="32"/>
    <w:qFormat/>
    <w:uiPriority w:val="0"/>
    <w:rPr>
      <w:color w:val="FFFFFF"/>
      <w:shd w:val="clear" w:color="auto" w:fill="5BA0FF"/>
    </w:rPr>
  </w:style>
  <w:style w:type="character" w:customStyle="1" w:styleId="59">
    <w:name w:val="search1"/>
    <w:basedOn w:val="32"/>
    <w:qFormat/>
    <w:uiPriority w:val="0"/>
  </w:style>
  <w:style w:type="character" w:customStyle="1" w:styleId="60">
    <w:name w:val="selected1"/>
    <w:basedOn w:val="32"/>
    <w:qFormat/>
    <w:uiPriority w:val="0"/>
    <w:rPr>
      <w:color w:val="1B78FF"/>
      <w:bdr w:val="single" w:color="3177FD" w:sz="6" w:space="0"/>
    </w:rPr>
  </w:style>
  <w:style w:type="character" w:customStyle="1" w:styleId="61">
    <w:name w:val="date-title"/>
    <w:basedOn w:val="32"/>
    <w:qFormat/>
    <w:uiPriority w:val="0"/>
    <w:rPr>
      <w:color w:val="24344E"/>
      <w:sz w:val="27"/>
      <w:szCs w:val="27"/>
    </w:rPr>
  </w:style>
  <w:style w:type="character" w:customStyle="1" w:styleId="62">
    <w:name w:val="tuih12"/>
    <w:basedOn w:val="32"/>
    <w:qFormat/>
    <w:uiPriority w:val="0"/>
    <w:rPr>
      <w:color w:val="57607A"/>
      <w:bdr w:val="single" w:color="CDCCCC" w:sz="6" w:space="0"/>
    </w:rPr>
  </w:style>
  <w:style w:type="character" w:customStyle="1" w:styleId="63">
    <w:name w:val="search"/>
    <w:basedOn w:val="32"/>
    <w:qFormat/>
    <w:uiPriority w:val="0"/>
  </w:style>
  <w:style w:type="character" w:customStyle="1" w:styleId="64">
    <w:name w:val="error"/>
    <w:basedOn w:val="32"/>
    <w:qFormat/>
    <w:uiPriority w:val="0"/>
    <w:rPr>
      <w:color w:val="FF625C"/>
    </w:rPr>
  </w:style>
  <w:style w:type="character" w:customStyle="1" w:styleId="65">
    <w:name w:val="select"/>
    <w:basedOn w:val="32"/>
    <w:qFormat/>
    <w:uiPriority w:val="0"/>
    <w:rPr>
      <w:color w:val="FFFFFF"/>
      <w:shd w:val="clear" w:color="auto" w:fill="3595F8"/>
    </w:rPr>
  </w:style>
  <w:style w:type="character" w:customStyle="1" w:styleId="66">
    <w:name w:val="tuih5"/>
    <w:basedOn w:val="32"/>
    <w:qFormat/>
    <w:uiPriority w:val="0"/>
    <w:rPr>
      <w:color w:val="57607A"/>
      <w:bdr w:val="single" w:color="CDCCCC" w:sz="6" w:space="0"/>
    </w:rPr>
  </w:style>
  <w:style w:type="character" w:customStyle="1" w:styleId="67">
    <w:name w:val=" Char Char5"/>
    <w:link w:val="12"/>
    <w:qFormat/>
    <w:uiPriority w:val="99"/>
    <w:rPr>
      <w:kern w:val="2"/>
      <w:sz w:val="18"/>
      <w:szCs w:val="18"/>
    </w:rPr>
  </w:style>
  <w:style w:type="character" w:customStyle="1" w:styleId="68">
    <w:name w:val="font121"/>
    <w:basedOn w:val="32"/>
    <w:qFormat/>
    <w:uiPriority w:val="0"/>
    <w:rPr>
      <w:rFonts w:hint="eastAsia" w:ascii="宋体" w:hAnsi="宋体" w:eastAsia="宋体" w:cs="宋体"/>
      <w:b/>
      <w:color w:val="000000"/>
      <w:sz w:val="21"/>
      <w:szCs w:val="21"/>
      <w:u w:val="none"/>
    </w:rPr>
  </w:style>
  <w:style w:type="character" w:customStyle="1" w:styleId="69">
    <w:name w:val="skip1"/>
    <w:basedOn w:val="32"/>
    <w:qFormat/>
    <w:uiPriority w:val="0"/>
  </w:style>
  <w:style w:type="character" w:customStyle="1" w:styleId="70">
    <w:name w:val="tuih8"/>
    <w:basedOn w:val="32"/>
    <w:qFormat/>
    <w:uiPriority w:val="0"/>
    <w:rPr>
      <w:color w:val="57607A"/>
      <w:bdr w:val="single" w:color="CDCCCC" w:sz="6" w:space="0"/>
    </w:rPr>
  </w:style>
  <w:style w:type="character" w:customStyle="1" w:styleId="71">
    <w:name w:val="date-title1"/>
    <w:basedOn w:val="32"/>
    <w:qFormat/>
    <w:uiPriority w:val="0"/>
    <w:rPr>
      <w:color w:val="24344E"/>
      <w:sz w:val="27"/>
      <w:szCs w:val="27"/>
    </w:rPr>
  </w:style>
  <w:style w:type="character" w:customStyle="1" w:styleId="72">
    <w:name w:val="redline1"/>
    <w:basedOn w:val="32"/>
    <w:qFormat/>
    <w:uiPriority w:val="0"/>
    <w:rPr>
      <w:color w:val="FF0000"/>
    </w:rPr>
  </w:style>
  <w:style w:type="character" w:customStyle="1" w:styleId="73">
    <w:name w:val="pagetitle1"/>
    <w:basedOn w:val="32"/>
    <w:qFormat/>
    <w:uiPriority w:val="0"/>
    <w:rPr>
      <w:color w:val="24344E"/>
      <w:sz w:val="27"/>
      <w:szCs w:val="27"/>
    </w:rPr>
  </w:style>
  <w:style w:type="character" w:customStyle="1" w:styleId="74">
    <w:name w:val="star-info"/>
    <w:basedOn w:val="32"/>
    <w:qFormat/>
    <w:uiPriority w:val="0"/>
    <w:rPr>
      <w:color w:val="FD7B24"/>
      <w:sz w:val="24"/>
      <w:szCs w:val="24"/>
    </w:rPr>
  </w:style>
  <w:style w:type="character" w:customStyle="1" w:styleId="75">
    <w:name w:val="正文文本缩进 Char1"/>
    <w:qFormat/>
    <w:uiPriority w:val="0"/>
    <w:rPr>
      <w:rFonts w:ascii="Cambria" w:hAnsi="Cambria"/>
      <w:kern w:val="2"/>
      <w:sz w:val="24"/>
      <w:szCs w:val="24"/>
    </w:rPr>
  </w:style>
  <w:style w:type="character" w:customStyle="1" w:styleId="76">
    <w:name w:val="tuih"/>
    <w:basedOn w:val="32"/>
    <w:qFormat/>
    <w:uiPriority w:val="0"/>
    <w:rPr>
      <w:color w:val="57607A"/>
      <w:bdr w:val="single" w:color="CDCCCC" w:sz="6" w:space="0"/>
    </w:rPr>
  </w:style>
  <w:style w:type="character" w:customStyle="1" w:styleId="77">
    <w:name w:val="font101"/>
    <w:basedOn w:val="32"/>
    <w:qFormat/>
    <w:uiPriority w:val="0"/>
    <w:rPr>
      <w:rFonts w:hint="default" w:ascii="Calibri" w:hAnsi="Calibri" w:cs="Calibri"/>
      <w:color w:val="000000"/>
      <w:sz w:val="20"/>
      <w:szCs w:val="20"/>
      <w:u w:val="none"/>
    </w:rPr>
  </w:style>
  <w:style w:type="character" w:customStyle="1" w:styleId="78">
    <w:name w:val="zige"/>
    <w:basedOn w:val="32"/>
    <w:qFormat/>
    <w:uiPriority w:val="0"/>
  </w:style>
  <w:style w:type="character" w:customStyle="1" w:styleId="79">
    <w:name w:val=" Char Char"/>
    <w:link w:val="18"/>
    <w:semiHidden/>
    <w:qFormat/>
    <w:uiPriority w:val="99"/>
    <w:rPr>
      <w:kern w:val="2"/>
      <w:sz w:val="18"/>
      <w:szCs w:val="18"/>
    </w:rPr>
  </w:style>
  <w:style w:type="character" w:customStyle="1" w:styleId="80">
    <w:name w:val="danger"/>
    <w:basedOn w:val="32"/>
    <w:qFormat/>
    <w:uiPriority w:val="0"/>
    <w:rPr>
      <w:color w:val="FF2200"/>
    </w:rPr>
  </w:style>
  <w:style w:type="character" w:customStyle="1" w:styleId="81">
    <w:name w:val="楷体 (中文) 楷体"/>
    <w:qFormat/>
    <w:uiPriority w:val="0"/>
    <w:rPr>
      <w:rFonts w:ascii="楷体" w:hAnsi="楷体" w:eastAsia="楷体"/>
      <w:kern w:val="1"/>
      <w:sz w:val="28"/>
    </w:rPr>
  </w:style>
  <w:style w:type="character" w:customStyle="1" w:styleId="82">
    <w:name w:val=" Char Char2"/>
    <w:link w:val="10"/>
    <w:semiHidden/>
    <w:qFormat/>
    <w:uiPriority w:val="99"/>
    <w:rPr>
      <w:kern w:val="2"/>
      <w:sz w:val="21"/>
      <w:szCs w:val="22"/>
    </w:rPr>
  </w:style>
  <w:style w:type="character" w:customStyle="1" w:styleId="83">
    <w:name w:val=" Char Char3"/>
    <w:link w:val="17"/>
    <w:semiHidden/>
    <w:qFormat/>
    <w:uiPriority w:val="99"/>
    <w:rPr>
      <w:kern w:val="2"/>
      <w:sz w:val="21"/>
      <w:szCs w:val="22"/>
    </w:rPr>
  </w:style>
  <w:style w:type="character" w:customStyle="1" w:styleId="84">
    <w:name w:val="tuih9"/>
    <w:basedOn w:val="32"/>
    <w:qFormat/>
    <w:uiPriority w:val="0"/>
    <w:rPr>
      <w:color w:val="57607A"/>
      <w:bdr w:val="single" w:color="CDCCCC" w:sz="6" w:space="0"/>
    </w:rPr>
  </w:style>
  <w:style w:type="character" w:customStyle="1" w:styleId="85">
    <w:name w:val=" Char Char1"/>
    <w:link w:val="27"/>
    <w:semiHidden/>
    <w:qFormat/>
    <w:uiPriority w:val="99"/>
    <w:rPr>
      <w:b/>
      <w:bCs/>
      <w:kern w:val="2"/>
      <w:sz w:val="21"/>
      <w:szCs w:val="22"/>
    </w:rPr>
  </w:style>
  <w:style w:type="character" w:customStyle="1" w:styleId="86">
    <w:name w:val="icon_bj2"/>
    <w:basedOn w:val="32"/>
    <w:qFormat/>
    <w:uiPriority w:val="0"/>
    <w:rPr>
      <w:color w:val="FFFFFF"/>
      <w:sz w:val="18"/>
      <w:szCs w:val="18"/>
      <w:shd w:val="clear" w:color="auto" w:fill="4A90E2"/>
    </w:rPr>
  </w:style>
  <w:style w:type="character" w:customStyle="1" w:styleId="87">
    <w:name w:val="tuih10"/>
    <w:basedOn w:val="32"/>
    <w:qFormat/>
    <w:uiPriority w:val="0"/>
    <w:rPr>
      <w:color w:val="57607A"/>
      <w:bdr w:val="single" w:color="CDCCCC" w:sz="6" w:space="0"/>
    </w:rPr>
  </w:style>
  <w:style w:type="character" w:customStyle="1" w:styleId="88">
    <w:name w:val="pagetitle"/>
    <w:basedOn w:val="32"/>
    <w:qFormat/>
    <w:uiPriority w:val="0"/>
    <w:rPr>
      <w:color w:val="24344E"/>
      <w:sz w:val="27"/>
      <w:szCs w:val="27"/>
    </w:rPr>
  </w:style>
  <w:style w:type="character" w:customStyle="1" w:styleId="89">
    <w:name w:val="heighthight5"/>
    <w:basedOn w:val="32"/>
    <w:qFormat/>
    <w:uiPriority w:val="0"/>
    <w:rPr>
      <w:color w:val="FAAE14"/>
    </w:rPr>
  </w:style>
  <w:style w:type="character" w:customStyle="1" w:styleId="90">
    <w:name w:val="font151"/>
    <w:basedOn w:val="32"/>
    <w:qFormat/>
    <w:uiPriority w:val="0"/>
    <w:rPr>
      <w:rFonts w:hint="default" w:ascii="MingLiU" w:hAnsi="MingLiU" w:eastAsia="MingLiU" w:cs="MingLiU"/>
      <w:color w:val="000000"/>
      <w:sz w:val="21"/>
      <w:szCs w:val="21"/>
      <w:u w:val="none"/>
    </w:rPr>
  </w:style>
  <w:style w:type="character" w:customStyle="1" w:styleId="91">
    <w:name w:val="font61"/>
    <w:basedOn w:val="32"/>
    <w:qFormat/>
    <w:uiPriority w:val="0"/>
    <w:rPr>
      <w:rFonts w:hint="eastAsia" w:ascii="宋体" w:hAnsi="宋体" w:eastAsia="宋体" w:cs="宋体"/>
      <w:color w:val="000000"/>
      <w:sz w:val="20"/>
      <w:szCs w:val="20"/>
      <w:u w:val="none"/>
    </w:rPr>
  </w:style>
  <w:style w:type="character" w:customStyle="1" w:styleId="92">
    <w:name w:val="heighthight1"/>
    <w:basedOn w:val="32"/>
    <w:qFormat/>
    <w:uiPriority w:val="0"/>
    <w:rPr>
      <w:color w:val="FAAE14"/>
    </w:rPr>
  </w:style>
  <w:style w:type="character" w:customStyle="1" w:styleId="93">
    <w:name w:val="today1"/>
    <w:basedOn w:val="32"/>
    <w:qFormat/>
    <w:uiPriority w:val="0"/>
    <w:rPr>
      <w:color w:val="606060"/>
      <w:shd w:val="clear" w:color="auto" w:fill="F5F6FA"/>
    </w:rPr>
  </w:style>
  <w:style w:type="character" w:customStyle="1" w:styleId="94">
    <w:name w:val="gotoset3"/>
    <w:basedOn w:val="32"/>
    <w:qFormat/>
    <w:uiPriority w:val="0"/>
    <w:rPr>
      <w:color w:val="999999"/>
    </w:rPr>
  </w:style>
  <w:style w:type="character" w:customStyle="1" w:styleId="95">
    <w:name w:val="tuih3"/>
    <w:basedOn w:val="32"/>
    <w:qFormat/>
    <w:uiPriority w:val="0"/>
    <w:rPr>
      <w:color w:val="57607A"/>
      <w:bdr w:val="single" w:color="CDCCCC" w:sz="6" w:space="0"/>
    </w:rPr>
  </w:style>
  <w:style w:type="character" w:customStyle="1" w:styleId="96">
    <w:name w:val="tuih6"/>
    <w:basedOn w:val="32"/>
    <w:qFormat/>
    <w:uiPriority w:val="0"/>
    <w:rPr>
      <w:color w:val="57607A"/>
      <w:bdr w:val="single" w:color="CDCCCC" w:sz="6" w:space="0"/>
    </w:rPr>
  </w:style>
  <w:style w:type="character" w:customStyle="1" w:styleId="97">
    <w:name w:val="font91"/>
    <w:basedOn w:val="32"/>
    <w:qFormat/>
    <w:uiPriority w:val="0"/>
    <w:rPr>
      <w:rFonts w:ascii="MingLiU" w:hAnsi="MingLiU" w:eastAsia="MingLiU" w:cs="MingLiU"/>
      <w:color w:val="000000"/>
      <w:sz w:val="21"/>
      <w:szCs w:val="21"/>
      <w:u w:val="none"/>
    </w:rPr>
  </w:style>
  <w:style w:type="character" w:customStyle="1" w:styleId="98">
    <w:name w:val="selected"/>
    <w:basedOn w:val="32"/>
    <w:qFormat/>
    <w:uiPriority w:val="0"/>
    <w:rPr>
      <w:color w:val="1B78FF"/>
      <w:bdr w:val="single" w:color="3177FD" w:sz="6" w:space="0"/>
    </w:rPr>
  </w:style>
  <w:style w:type="character" w:customStyle="1" w:styleId="99">
    <w:name w:val="heighthight3"/>
    <w:basedOn w:val="32"/>
    <w:qFormat/>
    <w:uiPriority w:val="0"/>
    <w:rPr>
      <w:color w:val="FAAE14"/>
    </w:rPr>
  </w:style>
  <w:style w:type="character" w:customStyle="1" w:styleId="100">
    <w:name w:val="样式 仿宋"/>
    <w:qFormat/>
    <w:uiPriority w:val="0"/>
    <w:rPr>
      <w:rFonts w:ascii="仿宋" w:hAnsi="仿宋" w:eastAsia="仿宋"/>
      <w:kern w:val="1"/>
    </w:rPr>
  </w:style>
  <w:style w:type="character" w:customStyle="1" w:styleId="101">
    <w:name w:val="heighthight2"/>
    <w:basedOn w:val="32"/>
    <w:qFormat/>
    <w:uiPriority w:val="0"/>
    <w:rPr>
      <w:color w:val="FAAE14"/>
    </w:rPr>
  </w:style>
  <w:style w:type="character" w:customStyle="1" w:styleId="102">
    <w:name w:val="tuih4"/>
    <w:basedOn w:val="32"/>
    <w:qFormat/>
    <w:uiPriority w:val="0"/>
    <w:rPr>
      <w:color w:val="57607A"/>
      <w:bdr w:val="single" w:color="CDCCCC" w:sz="6" w:space="0"/>
    </w:rPr>
  </w:style>
  <w:style w:type="character" w:customStyle="1" w:styleId="103">
    <w:name w:val="icon_bj"/>
    <w:basedOn w:val="32"/>
    <w:qFormat/>
    <w:uiPriority w:val="0"/>
    <w:rPr>
      <w:color w:val="FFFFFF"/>
      <w:sz w:val="18"/>
      <w:szCs w:val="18"/>
      <w:shd w:val="clear" w:color="auto" w:fill="4A90E2"/>
    </w:rPr>
  </w:style>
  <w:style w:type="character" w:customStyle="1" w:styleId="104">
    <w:name w:val="font51"/>
    <w:basedOn w:val="32"/>
    <w:qFormat/>
    <w:uiPriority w:val="0"/>
    <w:rPr>
      <w:rFonts w:hint="eastAsia" w:ascii="宋体" w:hAnsi="宋体" w:eastAsia="宋体" w:cs="宋体"/>
      <w:color w:val="000000"/>
      <w:sz w:val="21"/>
      <w:szCs w:val="21"/>
      <w:u w:val="none"/>
      <w:vertAlign w:val="superscript"/>
    </w:rPr>
  </w:style>
  <w:style w:type="character" w:customStyle="1" w:styleId="105">
    <w:name w:val="redline"/>
    <w:basedOn w:val="32"/>
    <w:qFormat/>
    <w:uiPriority w:val="0"/>
    <w:rPr>
      <w:color w:val="FF0000"/>
    </w:rPr>
  </w:style>
  <w:style w:type="character" w:customStyle="1" w:styleId="106">
    <w:name w:val="tuih11"/>
    <w:basedOn w:val="32"/>
    <w:qFormat/>
    <w:uiPriority w:val="0"/>
    <w:rPr>
      <w:color w:val="57607A"/>
      <w:bdr w:val="single" w:color="CDCCCC" w:sz="6" w:space="0"/>
    </w:rPr>
  </w:style>
  <w:style w:type="character" w:customStyle="1" w:styleId="107">
    <w:name w:val="font141"/>
    <w:basedOn w:val="32"/>
    <w:qFormat/>
    <w:uiPriority w:val="0"/>
    <w:rPr>
      <w:rFonts w:hint="eastAsia" w:ascii="宋体" w:hAnsi="宋体" w:eastAsia="宋体" w:cs="宋体"/>
      <w:color w:val="000000"/>
      <w:sz w:val="21"/>
      <w:szCs w:val="21"/>
      <w:u w:val="none"/>
    </w:rPr>
  </w:style>
  <w:style w:type="character" w:customStyle="1" w:styleId="108">
    <w:name w:val="current4"/>
    <w:basedOn w:val="32"/>
    <w:qFormat/>
    <w:uiPriority w:val="0"/>
    <w:rPr>
      <w:color w:val="FFFFFF"/>
      <w:shd w:val="clear" w:color="auto" w:fill="5BA0FF"/>
    </w:rPr>
  </w:style>
  <w:style w:type="character" w:customStyle="1" w:styleId="109">
    <w:name w:val="font21"/>
    <w:basedOn w:val="32"/>
    <w:qFormat/>
    <w:uiPriority w:val="0"/>
    <w:rPr>
      <w:rFonts w:hint="eastAsia" w:ascii="宋体" w:hAnsi="宋体" w:eastAsia="宋体" w:cs="宋体"/>
      <w:color w:val="000000"/>
      <w:sz w:val="24"/>
      <w:szCs w:val="24"/>
      <w:u w:val="none"/>
    </w:rPr>
  </w:style>
  <w:style w:type="character" w:customStyle="1" w:styleId="110">
    <w:name w:val="gotoset5"/>
    <w:basedOn w:val="32"/>
    <w:qFormat/>
    <w:uiPriority w:val="0"/>
    <w:rPr>
      <w:color w:val="999999"/>
    </w:rPr>
  </w:style>
  <w:style w:type="character" w:customStyle="1" w:styleId="111">
    <w:name w:val="icon_bj1"/>
    <w:basedOn w:val="32"/>
    <w:qFormat/>
    <w:uiPriority w:val="0"/>
    <w:rPr>
      <w:color w:val="FFFFFF"/>
      <w:sz w:val="18"/>
      <w:szCs w:val="18"/>
      <w:shd w:val="clear" w:color="auto" w:fill="4A90E2"/>
    </w:rPr>
  </w:style>
  <w:style w:type="character" w:customStyle="1" w:styleId="112">
    <w:name w:val="icon_bj8"/>
    <w:basedOn w:val="32"/>
    <w:qFormat/>
    <w:uiPriority w:val="0"/>
    <w:rPr>
      <w:color w:val="FFFFFF"/>
      <w:sz w:val="18"/>
      <w:szCs w:val="18"/>
      <w:shd w:val="clear" w:color="auto" w:fill="4A90E2"/>
    </w:rPr>
  </w:style>
  <w:style w:type="character" w:customStyle="1" w:styleId="113">
    <w:name w:val="tuih7"/>
    <w:basedOn w:val="32"/>
    <w:qFormat/>
    <w:uiPriority w:val="0"/>
    <w:rPr>
      <w:color w:val="57607A"/>
      <w:bdr w:val="single" w:color="CDCCCC" w:sz="6" w:space="0"/>
    </w:rPr>
  </w:style>
  <w:style w:type="character" w:customStyle="1" w:styleId="114">
    <w:name w:val="current"/>
    <w:basedOn w:val="32"/>
    <w:qFormat/>
    <w:uiPriority w:val="0"/>
    <w:rPr>
      <w:color w:val="FFFFFF"/>
      <w:bdr w:val="single" w:color="1C7FD1" w:sz="6" w:space="0"/>
      <w:shd w:val="clear" w:color="auto" w:fill="1C7FD1"/>
    </w:rPr>
  </w:style>
  <w:style w:type="character" w:customStyle="1" w:styleId="115">
    <w:name w:val="icon_bj5"/>
    <w:basedOn w:val="32"/>
    <w:qFormat/>
    <w:uiPriority w:val="0"/>
    <w:rPr>
      <w:color w:val="FFFFFF"/>
      <w:sz w:val="18"/>
      <w:szCs w:val="18"/>
      <w:shd w:val="clear" w:color="auto" w:fill="4A90E2"/>
    </w:rPr>
  </w:style>
  <w:style w:type="character" w:customStyle="1" w:styleId="116">
    <w:name w:val="font11"/>
    <w:basedOn w:val="32"/>
    <w:qFormat/>
    <w:uiPriority w:val="0"/>
    <w:rPr>
      <w:rFonts w:hint="eastAsia" w:ascii="宋体" w:hAnsi="宋体" w:eastAsia="宋体" w:cs="宋体"/>
      <w:b/>
      <w:color w:val="000000"/>
      <w:sz w:val="22"/>
      <w:szCs w:val="22"/>
      <w:u w:val="none"/>
    </w:rPr>
  </w:style>
  <w:style w:type="character" w:customStyle="1" w:styleId="117">
    <w:name w:val="tuih2"/>
    <w:basedOn w:val="32"/>
    <w:qFormat/>
    <w:uiPriority w:val="0"/>
    <w:rPr>
      <w:color w:val="57607A"/>
      <w:bdr w:val="single" w:color="CDCCCC" w:sz="6" w:space="0"/>
    </w:rPr>
  </w:style>
  <w:style w:type="character" w:customStyle="1" w:styleId="118">
    <w:name w:val="icon_bj3"/>
    <w:basedOn w:val="32"/>
    <w:qFormat/>
    <w:uiPriority w:val="0"/>
    <w:rPr>
      <w:color w:val="FFFFFF"/>
      <w:sz w:val="18"/>
      <w:szCs w:val="18"/>
      <w:shd w:val="clear" w:color="auto" w:fill="4A90E2"/>
    </w:rPr>
  </w:style>
  <w:style w:type="character" w:customStyle="1" w:styleId="119">
    <w:name w:val="font131"/>
    <w:basedOn w:val="32"/>
    <w:qFormat/>
    <w:uiPriority w:val="0"/>
    <w:rPr>
      <w:rFonts w:hint="default" w:ascii="Calibri" w:hAnsi="Calibri" w:cs="Calibri"/>
      <w:color w:val="000000"/>
      <w:sz w:val="21"/>
      <w:szCs w:val="21"/>
      <w:u w:val="none"/>
    </w:rPr>
  </w:style>
  <w:style w:type="character" w:customStyle="1" w:styleId="120">
    <w:name w:val="skip"/>
    <w:basedOn w:val="32"/>
    <w:qFormat/>
    <w:uiPriority w:val="0"/>
  </w:style>
  <w:style w:type="character" w:customStyle="1" w:styleId="121">
    <w:name w:val="error1"/>
    <w:basedOn w:val="32"/>
    <w:qFormat/>
    <w:uiPriority w:val="0"/>
    <w:rPr>
      <w:color w:val="FF625C"/>
    </w:rPr>
  </w:style>
  <w:style w:type="character" w:customStyle="1" w:styleId="122">
    <w:name w:val="last-child"/>
    <w:basedOn w:val="32"/>
    <w:qFormat/>
    <w:uiPriority w:val="0"/>
  </w:style>
  <w:style w:type="character" w:customStyle="1" w:styleId="123">
    <w:name w:val="font112"/>
    <w:basedOn w:val="32"/>
    <w:qFormat/>
    <w:uiPriority w:val="0"/>
    <w:rPr>
      <w:rFonts w:hint="default" w:ascii="Calibri" w:hAnsi="Calibri" w:cs="Calibri"/>
      <w:color w:val="000000"/>
      <w:sz w:val="21"/>
      <w:szCs w:val="21"/>
      <w:u w:val="none"/>
    </w:rPr>
  </w:style>
  <w:style w:type="character" w:customStyle="1" w:styleId="124">
    <w:name w:val="caret4"/>
    <w:basedOn w:val="32"/>
    <w:qFormat/>
    <w:uiPriority w:val="0"/>
  </w:style>
  <w:style w:type="character" w:customStyle="1" w:styleId="125">
    <w:name w:val="gotoset"/>
    <w:basedOn w:val="32"/>
    <w:qFormat/>
    <w:uiPriority w:val="0"/>
    <w:rPr>
      <w:color w:val="999999"/>
    </w:rPr>
  </w:style>
  <w:style w:type="character" w:customStyle="1" w:styleId="126">
    <w:name w:val="icon_bj6"/>
    <w:basedOn w:val="32"/>
    <w:qFormat/>
    <w:uiPriority w:val="0"/>
    <w:rPr>
      <w:color w:val="FFFFFF"/>
      <w:sz w:val="18"/>
      <w:szCs w:val="18"/>
      <w:shd w:val="clear" w:color="auto" w:fill="4A90E2"/>
    </w:rPr>
  </w:style>
  <w:style w:type="character" w:customStyle="1" w:styleId="127">
    <w:name w:val="shenhezhong"/>
    <w:basedOn w:val="32"/>
    <w:qFormat/>
    <w:uiPriority w:val="0"/>
    <w:rPr>
      <w:color w:val="FFFFFF"/>
      <w:sz w:val="18"/>
      <w:szCs w:val="18"/>
      <w:shd w:val="clear" w:color="auto" w:fill="28B928"/>
    </w:rPr>
  </w:style>
  <w:style w:type="character" w:customStyle="1" w:styleId="128">
    <w:name w:val="today"/>
    <w:basedOn w:val="32"/>
    <w:qFormat/>
    <w:uiPriority w:val="0"/>
    <w:rPr>
      <w:color w:val="606060"/>
      <w:shd w:val="clear" w:color="auto" w:fill="F5F6FA"/>
    </w:rPr>
  </w:style>
  <w:style w:type="character" w:customStyle="1" w:styleId="129">
    <w:name w:val="fl"/>
    <w:basedOn w:val="32"/>
    <w:qFormat/>
    <w:uiPriority w:val="0"/>
    <w:rPr>
      <w:sz w:val="21"/>
      <w:szCs w:val="21"/>
    </w:rPr>
  </w:style>
  <w:style w:type="character" w:customStyle="1" w:styleId="130">
    <w:name w:val="heighthight6"/>
    <w:basedOn w:val="32"/>
    <w:qFormat/>
    <w:uiPriority w:val="0"/>
    <w:rPr>
      <w:color w:val="FAAE14"/>
    </w:rPr>
  </w:style>
  <w:style w:type="character" w:customStyle="1" w:styleId="131">
    <w:name w:val="gotoset2"/>
    <w:basedOn w:val="32"/>
    <w:qFormat/>
    <w:uiPriority w:val="0"/>
    <w:rPr>
      <w:color w:val="999999"/>
    </w:rPr>
  </w:style>
  <w:style w:type="character" w:customStyle="1" w:styleId="132">
    <w:name w:val="tuih13"/>
    <w:basedOn w:val="32"/>
    <w:qFormat/>
    <w:uiPriority w:val="0"/>
    <w:rPr>
      <w:color w:val="57607A"/>
      <w:bdr w:val="single" w:color="CDCCCC" w:sz="6" w:space="0"/>
    </w:rPr>
  </w:style>
  <w:style w:type="character" w:customStyle="1" w:styleId="133">
    <w:name w:val="heighthight4"/>
    <w:basedOn w:val="32"/>
    <w:qFormat/>
    <w:uiPriority w:val="0"/>
    <w:rPr>
      <w:color w:val="FAAE14"/>
    </w:rPr>
  </w:style>
  <w:style w:type="character" w:customStyle="1" w:styleId="134">
    <w:name w:val="icon_bj4"/>
    <w:basedOn w:val="32"/>
    <w:qFormat/>
    <w:uiPriority w:val="0"/>
    <w:rPr>
      <w:color w:val="FFFFFF"/>
      <w:sz w:val="18"/>
      <w:szCs w:val="18"/>
      <w:shd w:val="clear" w:color="auto" w:fill="4A90E2"/>
    </w:rPr>
  </w:style>
  <w:style w:type="character" w:customStyle="1" w:styleId="135">
    <w:name w:val="success"/>
    <w:basedOn w:val="32"/>
    <w:qFormat/>
    <w:uiPriority w:val="0"/>
    <w:rPr>
      <w:color w:val="2DC12D"/>
    </w:rPr>
  </w:style>
  <w:style w:type="character" w:customStyle="1" w:styleId="136">
    <w:name w:val="font01"/>
    <w:basedOn w:val="32"/>
    <w:qFormat/>
    <w:uiPriority w:val="0"/>
    <w:rPr>
      <w:rFonts w:hint="eastAsia" w:ascii="宋体" w:hAnsi="宋体" w:eastAsia="宋体" w:cs="宋体"/>
      <w:color w:val="000000"/>
      <w:sz w:val="20"/>
      <w:szCs w:val="20"/>
      <w:u w:val="none"/>
    </w:rPr>
  </w:style>
  <w:style w:type="character" w:customStyle="1" w:styleId="137">
    <w:name w:val="sl"/>
    <w:basedOn w:val="32"/>
    <w:qFormat/>
    <w:uiPriority w:val="0"/>
    <w:rPr>
      <w:sz w:val="18"/>
      <w:szCs w:val="18"/>
    </w:rPr>
  </w:style>
  <w:style w:type="paragraph" w:customStyle="1" w:styleId="1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9">
    <w:name w:val="Char Char Char Char"/>
    <w:basedOn w:val="1"/>
    <w:qFormat/>
    <w:uiPriority w:val="0"/>
    <w:rPr>
      <w:rFonts w:ascii="Times New Roman" w:hAnsi="Times New Roman"/>
      <w:szCs w:val="20"/>
    </w:rPr>
  </w:style>
  <w:style w:type="paragraph" w:customStyle="1" w:styleId="140">
    <w:name w:val="Table Paragraph"/>
    <w:basedOn w:val="1"/>
    <w:qFormat/>
    <w:uiPriority w:val="1"/>
    <w:rPr>
      <w:rFonts w:ascii="宋体" w:hAnsi="宋体" w:eastAsia="宋体" w:cs="宋体"/>
      <w:lang w:val="zh-CN" w:eastAsia="zh-CN" w:bidi="zh-CN"/>
    </w:rPr>
  </w:style>
  <w:style w:type="paragraph" w:styleId="141">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42">
    <w:name w:val="_Style 2"/>
    <w:basedOn w:val="1"/>
    <w:next w:val="1"/>
    <w:qFormat/>
    <w:uiPriority w:val="0"/>
    <w:pPr>
      <w:pBdr>
        <w:top w:val="single" w:color="auto" w:sz="6" w:space="1"/>
      </w:pBdr>
      <w:jc w:val="center"/>
    </w:pPr>
    <w:rPr>
      <w:rFonts w:ascii="Arial" w:eastAsia="宋体"/>
      <w:vanish/>
      <w:sz w:val="16"/>
    </w:rPr>
  </w:style>
  <w:style w:type="paragraph" w:customStyle="1" w:styleId="143">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144">
    <w:name w:val="正文文本1"/>
    <w:basedOn w:val="1"/>
    <w:qFormat/>
    <w:uiPriority w:val="0"/>
    <w:pPr>
      <w:widowControl w:val="0"/>
      <w:shd w:val="clear" w:color="auto" w:fill="FFFFFF"/>
      <w:spacing w:line="360" w:lineRule="auto"/>
      <w:ind w:firstLine="400"/>
    </w:pPr>
    <w:rPr>
      <w:rFonts w:ascii="MingLiU" w:hAnsi="MingLiU" w:eastAsia="MingLiU" w:cs="MingLiU"/>
      <w:sz w:val="22"/>
      <w:szCs w:val="22"/>
      <w:u w:val="none"/>
      <w:lang w:val="zh-CN" w:eastAsia="zh-CN" w:bidi="zh-CN"/>
    </w:rPr>
  </w:style>
  <w:style w:type="paragraph" w:customStyle="1" w:styleId="145">
    <w:name w:val="样式3"/>
    <w:basedOn w:val="2"/>
    <w:qFormat/>
    <w:uiPriority w:val="0"/>
    <w:rPr>
      <w:kern w:val="1"/>
      <w:sz w:val="30"/>
    </w:rPr>
  </w:style>
  <w:style w:type="paragraph" w:customStyle="1" w:styleId="146">
    <w:name w:val="样式 样式 标题 1 + (西文) 黑体 (中文) 黑体 小三 蓝色 + 非加粗 居中"/>
    <w:basedOn w:val="147"/>
    <w:qFormat/>
    <w:uiPriority w:val="0"/>
    <w:pPr>
      <w:jc w:val="center"/>
    </w:pPr>
    <w:rPr>
      <w:rFonts w:cs="宋体"/>
      <w:b w:val="0"/>
      <w:bCs w:val="0"/>
      <w:szCs w:val="20"/>
    </w:rPr>
  </w:style>
  <w:style w:type="paragraph" w:customStyle="1" w:styleId="147">
    <w:name w:val="样式 标题 1 + (西文) 黑体 (中文) 黑体 小三 蓝色"/>
    <w:basedOn w:val="2"/>
    <w:qFormat/>
    <w:uiPriority w:val="0"/>
    <w:rPr>
      <w:rFonts w:ascii="黑体" w:hAnsi="黑体" w:eastAsia="黑体"/>
      <w:sz w:val="30"/>
      <w:u w:val="none" w:color="0000FF"/>
    </w:rPr>
  </w:style>
  <w:style w:type="paragraph" w:customStyle="1" w:styleId="14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_Style 1"/>
    <w:basedOn w:val="1"/>
    <w:next w:val="1"/>
    <w:qFormat/>
    <w:uiPriority w:val="0"/>
    <w:pPr>
      <w:pBdr>
        <w:bottom w:val="single" w:color="auto" w:sz="6" w:space="1"/>
      </w:pBdr>
      <w:jc w:val="center"/>
    </w:pPr>
    <w:rPr>
      <w:rFonts w:ascii="Arial" w:eastAsia="宋体"/>
      <w:vanish/>
      <w:sz w:val="16"/>
    </w:rPr>
  </w:style>
  <w:style w:type="paragraph" w:customStyle="1" w:styleId="151">
    <w:name w:val="Normal Indent"/>
    <w:basedOn w:val="1"/>
    <w:qFormat/>
    <w:uiPriority w:val="0"/>
    <w:pPr>
      <w:adjustRightInd w:val="0"/>
      <w:spacing w:line="360" w:lineRule="atLeast"/>
      <w:ind w:firstLine="420"/>
      <w:textAlignment w:val="baseline"/>
    </w:pPr>
    <w:rPr>
      <w:szCs w:val="20"/>
    </w:rPr>
  </w:style>
  <w:style w:type="paragraph" w:customStyle="1" w:styleId="152">
    <w:name w:val="标题 #6"/>
    <w:basedOn w:val="1"/>
    <w:qFormat/>
    <w:uiPriority w:val="0"/>
    <w:pPr>
      <w:widowControl w:val="0"/>
      <w:shd w:val="clear" w:color="auto" w:fill="FFFFFF"/>
      <w:spacing w:after="960"/>
      <w:jc w:val="center"/>
      <w:outlineLvl w:val="5"/>
    </w:pPr>
    <w:rPr>
      <w:rFonts w:ascii="MingLiU" w:hAnsi="MingLiU" w:eastAsia="MingLiU" w:cs="MingLiU"/>
      <w:sz w:val="28"/>
      <w:szCs w:val="28"/>
      <w:u w:val="none"/>
      <w:lang w:val="zh-CN" w:eastAsia="zh-CN" w:bidi="zh-CN"/>
    </w:rPr>
  </w:style>
  <w:style w:type="paragraph" w:customStyle="1" w:styleId="153">
    <w:name w:val="样式１"/>
    <w:basedOn w:val="2"/>
    <w:qFormat/>
    <w:uiPriority w:val="0"/>
    <w:pPr>
      <w:jc w:val="center"/>
    </w:pPr>
    <w:rPr>
      <w:kern w:val="1"/>
      <w:sz w:val="30"/>
    </w:rPr>
  </w:style>
  <w:style w:type="paragraph" w:customStyle="1" w:styleId="154">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55">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156">
    <w:name w:val="页脚2"/>
    <w:basedOn w:val="1"/>
    <w:qFormat/>
    <w:uiPriority w:val="0"/>
    <w:pPr>
      <w:widowControl/>
      <w:pBdr>
        <w:top w:val="single" w:color="auto" w:sz="6" w:space="0"/>
      </w:pBdr>
      <w:jc w:val="right"/>
      <w:textAlignment w:val="center"/>
    </w:pPr>
    <w:rPr>
      <w:rFonts w:ascii="宋体" w:hAnsi="宋体"/>
      <w:sz w:val="18"/>
      <w:szCs w:val="18"/>
    </w:rPr>
  </w:style>
  <w:style w:type="paragraph" w:customStyle="1" w:styleId="157">
    <w:name w:val="样式 仿宋 行距: 1.5 倍行距"/>
    <w:basedOn w:val="1"/>
    <w:qFormat/>
    <w:uiPriority w:val="0"/>
    <w:pPr>
      <w:spacing w:line="360" w:lineRule="auto"/>
    </w:pPr>
    <w:rPr>
      <w:rFonts w:ascii="仿宋" w:hAnsi="仿宋" w:eastAsia="仿宋" w:cs="宋体"/>
      <w:sz w:val="24"/>
      <w:szCs w:val="20"/>
    </w:rPr>
  </w:style>
  <w:style w:type="paragraph" w:customStyle="1" w:styleId="158">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59">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160">
    <w:name w:val="列出段落"/>
    <w:basedOn w:val="1"/>
    <w:qFormat/>
    <w:uiPriority w:val="0"/>
    <w:pPr>
      <w:ind w:firstLine="420" w:firstLineChars="200"/>
    </w:pPr>
    <w:rPr>
      <w:rFonts w:ascii="Times New Roman" w:hAnsi="Times New Roman"/>
      <w:szCs w:val="21"/>
    </w:rPr>
  </w:style>
  <w:style w:type="paragraph" w:customStyle="1" w:styleId="161">
    <w:name w:val="Body Text 2"/>
    <w:basedOn w:val="1"/>
    <w:qFormat/>
    <w:uiPriority w:val="0"/>
    <w:pPr>
      <w:widowControl/>
      <w:tabs>
        <w:tab w:val="left" w:pos="0"/>
        <w:tab w:val="left" w:pos="564"/>
        <w:tab w:val="left" w:pos="1129"/>
        <w:tab w:val="left" w:pos="1695"/>
        <w:tab w:val="left" w:pos="2262"/>
        <w:tab w:val="left" w:pos="2827"/>
        <w:tab w:val="left" w:pos="3393"/>
        <w:tab w:val="left" w:pos="3960"/>
        <w:tab w:val="left" w:pos="4525"/>
        <w:tab w:val="left" w:pos="5091"/>
        <w:tab w:val="left" w:pos="5658"/>
        <w:tab w:val="left" w:pos="6223"/>
        <w:tab w:val="left" w:pos="6789"/>
        <w:tab w:val="left" w:pos="7356"/>
        <w:tab w:val="left" w:pos="7921"/>
        <w:tab w:val="left" w:pos="8487"/>
      </w:tabs>
      <w:suppressAutoHyphens/>
      <w:overflowPunct w:val="0"/>
      <w:autoSpaceDE w:val="0"/>
      <w:autoSpaceDN w:val="0"/>
      <w:adjustRightInd w:val="0"/>
      <w:textAlignment w:val="baseline"/>
    </w:pPr>
    <w:rPr>
      <w:rFonts w:ascii="Arial" w:hAnsi="Arial"/>
      <w:color w:val="000000"/>
      <w:spacing w:val="-3"/>
      <w:kern w:val="0"/>
      <w:lang w:val="en-GB"/>
    </w:rPr>
  </w:style>
  <w:style w:type="paragraph" w:customStyle="1" w:styleId="162">
    <w:name w:val="Body Text Indent 2"/>
    <w:basedOn w:val="1"/>
    <w:qFormat/>
    <w:uiPriority w:val="0"/>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verflowPunct w:val="0"/>
      <w:autoSpaceDE w:val="0"/>
      <w:autoSpaceDN w:val="0"/>
      <w:adjustRightInd w:val="0"/>
      <w:ind w:left="567" w:hanging="567"/>
      <w:textAlignment w:val="baseline"/>
    </w:pPr>
    <w:rPr>
      <w:rFonts w:ascii="Arial" w:hAnsi="Arial"/>
      <w:kern w:val="0"/>
      <w:lang w:val="it-IT" w:eastAsia="it-IT"/>
    </w:rPr>
  </w:style>
  <w:style w:type="paragraph" w:customStyle="1" w:styleId="163">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64">
    <w:name w:val="WPSOffice手动目录 1"/>
    <w:qFormat/>
    <w:uiPriority w:val="0"/>
    <w:pPr>
      <w:ind w:leftChars="0"/>
    </w:pPr>
    <w:rPr>
      <w:rFonts w:ascii="Times New Roman" w:hAnsi="Times New Roman" w:eastAsia="宋体" w:cs="Times New Roman"/>
      <w:sz w:val="20"/>
      <w:szCs w:val="20"/>
    </w:rPr>
  </w:style>
  <w:style w:type="paragraph" w:customStyle="1" w:styleId="165">
    <w:name w:val="正文_1_0"/>
    <w:basedOn w:val="166"/>
    <w:next w:val="172"/>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166">
    <w:name w:val="正文_2_0_0"/>
    <w:basedOn w:val="167"/>
    <w:next w:val="168"/>
    <w:qFormat/>
    <w:uiPriority w:val="0"/>
    <w:pPr>
      <w:widowControl w:val="0"/>
      <w:jc w:val="both"/>
    </w:pPr>
    <w:rPr>
      <w:rFonts w:ascii="Calibri" w:hAnsi="Calibri"/>
      <w:kern w:val="2"/>
      <w:sz w:val="21"/>
      <w:szCs w:val="22"/>
      <w:lang w:val="en-US" w:eastAsia="zh-CN" w:bidi="ar-SA"/>
    </w:rPr>
  </w:style>
  <w:style w:type="paragraph" w:customStyle="1" w:styleId="167">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正文文本_0_1"/>
    <w:basedOn w:val="169"/>
    <w:qFormat/>
    <w:uiPriority w:val="0"/>
    <w:pPr>
      <w:spacing w:after="120"/>
    </w:pPr>
    <w:rPr>
      <w:rFonts w:ascii="Calibri" w:hAnsi="Calibri"/>
      <w:kern w:val="0"/>
      <w:sz w:val="20"/>
    </w:rPr>
  </w:style>
  <w:style w:type="paragraph" w:customStyle="1" w:styleId="169">
    <w:name w:val="正文_2_2"/>
    <w:next w:val="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首行缩进 2_0"/>
    <w:basedOn w:val="171"/>
    <w:qFormat/>
    <w:uiPriority w:val="0"/>
    <w:pPr>
      <w:ind w:firstLine="420" w:firstLineChars="200"/>
    </w:pPr>
  </w:style>
  <w:style w:type="paragraph" w:customStyle="1" w:styleId="171">
    <w:name w:val="正文文本缩进_0_1"/>
    <w:basedOn w:val="167"/>
    <w:qFormat/>
    <w:uiPriority w:val="0"/>
    <w:pPr>
      <w:spacing w:line="500" w:lineRule="exact"/>
      <w:ind w:left="1588" w:leftChars="832" w:firstLine="433" w:firstLineChars="196"/>
    </w:pPr>
    <w:rPr>
      <w:rFonts w:ascii="Calibri" w:hAnsi="Calibri" w:eastAsia="宋体"/>
      <w:sz w:val="24"/>
    </w:rPr>
  </w:style>
  <w:style w:type="paragraph" w:customStyle="1" w:styleId="172">
    <w:name w:val="正文首行缩进1"/>
    <w:basedOn w:val="173"/>
    <w:unhideWhenUsed/>
    <w:qFormat/>
    <w:uiPriority w:val="99"/>
    <w:pPr>
      <w:ind w:firstLine="420" w:firstLineChars="100"/>
    </w:pPr>
    <w:rPr>
      <w:szCs w:val="22"/>
    </w:rPr>
  </w:style>
  <w:style w:type="paragraph" w:customStyle="1" w:styleId="173">
    <w:name w:val="正文文本_0_0"/>
    <w:basedOn w:val="174"/>
    <w:qFormat/>
    <w:uiPriority w:val="0"/>
    <w:pPr>
      <w:spacing w:after="120"/>
    </w:pPr>
    <w:rPr>
      <w:rFonts w:ascii="Times New Roman" w:hAnsi="Times New Roman"/>
      <w:szCs w:val="24"/>
    </w:rPr>
  </w:style>
  <w:style w:type="paragraph" w:customStyle="1" w:styleId="174">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kern w:val="0"/>
      <w:sz w:val="24"/>
      <w:szCs w:val="22"/>
      <w:lang w:val="en-US" w:eastAsia="zh-CN" w:bidi="ar-SA"/>
    </w:rPr>
  </w:style>
  <w:style w:type="paragraph" w:customStyle="1" w:styleId="176">
    <w:name w:val="Normal_3"/>
    <w:next w:val="177"/>
    <w:qFormat/>
    <w:uiPriority w:val="0"/>
    <w:rPr>
      <w:rFonts w:ascii="黑体" w:hAnsi="黑体" w:eastAsia="黑体" w:cs="Times New Roman"/>
      <w:b/>
      <w:sz w:val="32"/>
      <w:szCs w:val="24"/>
      <w:lang w:bidi="ar-SA"/>
    </w:rPr>
  </w:style>
  <w:style w:type="paragraph" w:customStyle="1" w:styleId="177">
    <w:name w:val="Header"/>
    <w:basedOn w:val="176"/>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178">
    <w:name w:val="Bid_正文"/>
    <w:basedOn w:val="7"/>
    <w:qFormat/>
    <w:uiPriority w:val="0"/>
    <w:pPr>
      <w:spacing w:afterLines="50" w:line="360" w:lineRule="auto"/>
      <w:ind w:firstLine="480" w:firstLineChars="200"/>
    </w:pPr>
    <w:rPr>
      <w:sz w:val="24"/>
    </w:rPr>
  </w:style>
  <w:style w:type="paragraph" w:customStyle="1" w:styleId="179">
    <w:name w:val="Normal_11"/>
    <w:qFormat/>
    <w:uiPriority w:val="0"/>
    <w:rPr>
      <w:rFonts w:ascii="黑体" w:hAnsi="黑体" w:eastAsia="黑体" w:cs="Times New Roman"/>
      <w:b/>
      <w:sz w:val="32"/>
      <w:szCs w:val="24"/>
      <w:lang w:bidi="ar-SA"/>
    </w:rPr>
  </w:style>
  <w:style w:type="paragraph" w:customStyle="1" w:styleId="180">
    <w:name w:val="Char"/>
    <w:basedOn w:val="1"/>
    <w:qFormat/>
    <w:uiPriority w:val="0"/>
    <w:rPr>
      <w:rFonts w:ascii="仿宋_GB2312" w:hAnsi="Times New Roman" w:eastAsia="仿宋_GB2312"/>
      <w:b/>
      <w:sz w:val="32"/>
      <w:szCs w:val="20"/>
    </w:rPr>
  </w:style>
  <w:style w:type="character" w:customStyle="1" w:styleId="181">
    <w:name w:val="font71"/>
    <w:basedOn w:val="32"/>
    <w:qFormat/>
    <w:uiPriority w:val="0"/>
    <w:rPr>
      <w:rFonts w:ascii="黑体" w:hAnsi="宋体" w:eastAsia="黑体" w:cs="黑体"/>
      <w:color w:val="000000"/>
      <w:sz w:val="24"/>
      <w:szCs w:val="24"/>
      <w:u w:val="none"/>
    </w:rPr>
  </w:style>
  <w:style w:type="character" w:customStyle="1" w:styleId="182">
    <w:name w:val="font31"/>
    <w:basedOn w:val="32"/>
    <w:qFormat/>
    <w:uiPriority w:val="0"/>
    <w:rPr>
      <w:rFonts w:hint="default" w:ascii="Times New Roman" w:hAnsi="Times New Roman" w:cs="Times New Roman"/>
      <w:color w:val="000000"/>
      <w:sz w:val="24"/>
      <w:szCs w:val="24"/>
      <w:u w:val="none"/>
    </w:rPr>
  </w:style>
  <w:style w:type="character" w:customStyle="1" w:styleId="183">
    <w:name w:val="font81"/>
    <w:basedOn w:val="32"/>
    <w:qFormat/>
    <w:uiPriority w:val="0"/>
    <w:rPr>
      <w:rFonts w:ascii="仿宋_GB2312" w:eastAsia="仿宋_GB2312" w:cs="仿宋_GB2312"/>
      <w:color w:val="000000"/>
      <w:sz w:val="20"/>
      <w:szCs w:val="20"/>
      <w:u w:val="none"/>
    </w:rPr>
  </w:style>
  <w:style w:type="character" w:customStyle="1" w:styleId="184">
    <w:name w:val="font41"/>
    <w:basedOn w:val="32"/>
    <w:qFormat/>
    <w:uiPriority w:val="0"/>
    <w:rPr>
      <w:rFonts w:hint="default" w:ascii="Times New Roman" w:hAnsi="Times New Roman" w:cs="Times New Roman"/>
      <w:color w:val="000000"/>
      <w:sz w:val="20"/>
      <w:szCs w:val="20"/>
      <w:u w:val="none"/>
    </w:rPr>
  </w:style>
  <w:style w:type="paragraph" w:styleId="185">
    <w:name w:val="List Paragraph"/>
    <w:basedOn w:val="1"/>
    <w:unhideWhenUsed/>
    <w:qFormat/>
    <w:uiPriority w:val="34"/>
    <w:pPr>
      <w:spacing w:beforeLines="0" w:afterLines="0"/>
      <w:ind w:firstLine="420" w:firstLineChars="200"/>
    </w:pPr>
    <w:rPr>
      <w:rFonts w:hint="default"/>
      <w:sz w:val="21"/>
      <w:szCs w:val="22"/>
    </w:rPr>
  </w:style>
  <w:style w:type="table" w:customStyle="1" w:styleId="186">
    <w:name w:val="Table Normal"/>
    <w:semiHidden/>
    <w:unhideWhenUsed/>
    <w:qFormat/>
    <w:uiPriority w:val="0"/>
    <w:tblPr>
      <w:tblCellMar>
        <w:top w:w="0" w:type="dxa"/>
        <w:left w:w="0" w:type="dxa"/>
        <w:bottom w:w="0" w:type="dxa"/>
        <w:right w:w="0" w:type="dxa"/>
      </w:tblCellMar>
    </w:tblPr>
  </w:style>
  <w:style w:type="paragraph" w:customStyle="1" w:styleId="187">
    <w:name w:val="Table Text"/>
    <w:basedOn w:val="1"/>
    <w:semiHidden/>
    <w:qFormat/>
    <w:uiPriority w:val="0"/>
    <w:rPr>
      <w:rFonts w:ascii="仿宋" w:hAnsi="仿宋" w:eastAsia="仿宋" w:cs="仿宋"/>
      <w:sz w:val="24"/>
      <w:szCs w:val="24"/>
      <w:lang w:val="en-US" w:eastAsia="en-US" w:bidi="ar-SA"/>
    </w:rPr>
  </w:style>
  <w:style w:type="character" w:customStyle="1" w:styleId="188">
    <w:name w:val="标题 Char"/>
    <w:link w:val="26"/>
    <w:qFormat/>
    <w:uiPriority w:val="10"/>
    <w:rPr>
      <w:rFonts w:ascii="Cambria" w:hAnsi="Cambria" w:cs="Times New Roman"/>
      <w:b/>
      <w:bCs/>
      <w:szCs w:val="32"/>
    </w:rPr>
  </w:style>
  <w:style w:type="character" w:customStyle="1" w:styleId="189">
    <w:name w:val="副标题 Char"/>
    <w:link w:val="21"/>
    <w:qFormat/>
    <w:uiPriority w:val="11"/>
    <w:rPr>
      <w:rFonts w:ascii="Calibri Light" w:hAnsi="Calibri Light"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30448</Words>
  <Characters>33000</Characters>
  <Lines>60</Lines>
  <Paragraphs>17</Paragraphs>
  <TotalTime>45</TotalTime>
  <ScaleCrop>false</ScaleCrop>
  <LinksUpToDate>false</LinksUpToDate>
  <CharactersWithSpaces>35097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2015-11-06T13:00:00Z</dcterms:created>
  <dc:creator>市政务服务办</dc:creator>
  <cp:lastModifiedBy>火火飞</cp:lastModifiedBy>
  <cp:lastPrinted>2026-04-20T02:32:00Z</cp:lastPrinted>
  <dcterms:modified xsi:type="dcterms:W3CDTF">2026-05-07T09:59:20Z</dcterms:modified>
  <dc:subject>青岛市政府采购采购文件范本</dc:subject>
  <dc:title>青岛市政府采购采购文件范本</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E21551AAFD634344B874512E010A4ED3_13</vt:lpwstr>
  </property>
  <property fmtid="{D5CDD505-2E9C-101B-9397-08002B2CF9AE}" pid="4" name="KSOTemplateDocerSaveRecord">
    <vt:lpwstr>eyJoZGlkIjoiOTA2ZTE1NmZiZmVhOWM4ZTg3Y2ZlYmY5M2MwMjg5MjMiLCJ1c2VySWQiOiIzNDM4Mjg5MzkifQ==</vt:lpwstr>
  </property>
</Properties>
</file>